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526"/>
        <w:gridCol w:w="5386"/>
        <w:gridCol w:w="2977"/>
      </w:tblGrid>
      <w:tr w:rsidR="00EA15B3" w:rsidRPr="00701DFA" w14:paraId="7DC8445B" w14:textId="77777777" w:rsidTr="00EA15B3">
        <w:tc>
          <w:tcPr>
            <w:tcW w:w="9889" w:type="dxa"/>
            <w:gridSpan w:val="3"/>
            <w:shd w:val="clear" w:color="auto" w:fill="auto"/>
          </w:tcPr>
          <w:p w14:paraId="40884004" w14:textId="77777777" w:rsidR="00EA15B3" w:rsidRPr="00701DFA" w:rsidRDefault="008E38B4" w:rsidP="00117282">
            <w:pPr>
              <w:spacing w:before="0"/>
              <w:jc w:val="left"/>
              <w:rPr>
                <w:rFonts w:cstheme="minorHAnsi"/>
                <w:b/>
                <w:bCs/>
                <w:color w:val="808080"/>
                <w:sz w:val="28"/>
                <w:szCs w:val="28"/>
                <w:lang w:val="en-GB"/>
              </w:rPr>
            </w:pPr>
            <w:r w:rsidRPr="00701DFA">
              <w:rPr>
                <w:rFonts w:cstheme="minorHAnsi"/>
                <w:b/>
                <w:bCs/>
                <w:color w:val="808080"/>
                <w:sz w:val="28"/>
                <w:szCs w:val="28"/>
                <w:lang w:val="en-GB"/>
              </w:rPr>
              <w:t xml:space="preserve">Radiocommunication </w:t>
            </w:r>
            <w:r w:rsidR="00AF70DA" w:rsidRPr="00701DFA">
              <w:rPr>
                <w:rFonts w:cstheme="minorHAnsi"/>
                <w:b/>
                <w:bCs/>
                <w:color w:val="808080"/>
                <w:sz w:val="28"/>
                <w:szCs w:val="28"/>
                <w:lang w:val="en-GB"/>
              </w:rPr>
              <w:t>Bureau (BR)</w:t>
            </w:r>
          </w:p>
          <w:p w14:paraId="460CB9BC" w14:textId="77777777" w:rsidR="008E38B4" w:rsidRPr="00701DFA" w:rsidRDefault="008E38B4" w:rsidP="00117282">
            <w:pPr>
              <w:spacing w:before="0"/>
              <w:jc w:val="left"/>
              <w:rPr>
                <w:rFonts w:cstheme="minorHAnsi"/>
                <w:b/>
                <w:bCs/>
                <w:color w:val="808080"/>
                <w:sz w:val="28"/>
                <w:szCs w:val="28"/>
                <w:lang w:val="en-GB"/>
              </w:rPr>
            </w:pPr>
          </w:p>
          <w:p w14:paraId="713E4ACB" w14:textId="77777777" w:rsidR="008E38B4" w:rsidRPr="00701DFA" w:rsidRDefault="008E38B4" w:rsidP="00117282">
            <w:pPr>
              <w:spacing w:before="0"/>
              <w:jc w:val="left"/>
              <w:rPr>
                <w:rFonts w:cs="Times New Roman Bold"/>
                <w:b/>
                <w:bCs/>
                <w:color w:val="808080"/>
                <w:sz w:val="28"/>
                <w:szCs w:val="28"/>
                <w:lang w:val="en-GB"/>
              </w:rPr>
            </w:pPr>
          </w:p>
        </w:tc>
      </w:tr>
      <w:tr w:rsidR="00651777" w:rsidRPr="00701DFA" w14:paraId="093FC1F3" w14:textId="77777777" w:rsidTr="006E23F7">
        <w:tc>
          <w:tcPr>
            <w:tcW w:w="6912" w:type="dxa"/>
            <w:gridSpan w:val="2"/>
            <w:shd w:val="clear" w:color="auto" w:fill="auto"/>
          </w:tcPr>
          <w:p w14:paraId="06F34595" w14:textId="77777777" w:rsidR="00C76D7F" w:rsidRPr="00A70234" w:rsidRDefault="008B35A3" w:rsidP="00E17344">
            <w:pPr>
              <w:spacing w:before="0"/>
              <w:jc w:val="left"/>
              <w:rPr>
                <w:szCs w:val="24"/>
                <w:lang w:val="en-GB"/>
              </w:rPr>
            </w:pPr>
            <w:r w:rsidRPr="00A70234">
              <w:rPr>
                <w:szCs w:val="24"/>
                <w:lang w:val="en-GB"/>
              </w:rPr>
              <w:t>C</w:t>
            </w:r>
            <w:r w:rsidR="00C76D7F" w:rsidRPr="00A70234">
              <w:rPr>
                <w:szCs w:val="24"/>
                <w:lang w:val="en-GB"/>
              </w:rPr>
              <w:t>ircular</w:t>
            </w:r>
            <w:r w:rsidR="0058405E" w:rsidRPr="00A70234">
              <w:rPr>
                <w:szCs w:val="24"/>
                <w:lang w:val="en-GB"/>
              </w:rPr>
              <w:t xml:space="preserve"> Letter</w:t>
            </w:r>
          </w:p>
          <w:p w14:paraId="3DC1159C" w14:textId="1D3FE56A" w:rsidR="00651777" w:rsidRPr="00A70234" w:rsidRDefault="00E17344" w:rsidP="00491349">
            <w:pPr>
              <w:spacing w:before="0"/>
              <w:jc w:val="left"/>
              <w:rPr>
                <w:b/>
                <w:bCs/>
                <w:szCs w:val="24"/>
                <w:lang w:val="en-GB"/>
              </w:rPr>
            </w:pPr>
            <w:r w:rsidRPr="00A70234">
              <w:rPr>
                <w:b/>
                <w:bCs/>
                <w:szCs w:val="24"/>
                <w:lang w:val="en-GB"/>
              </w:rPr>
              <w:t>C</w:t>
            </w:r>
            <w:r w:rsidR="006E23F7" w:rsidRPr="00A70234">
              <w:rPr>
                <w:b/>
                <w:bCs/>
                <w:szCs w:val="24"/>
                <w:lang w:val="en-GB"/>
              </w:rPr>
              <w:t>R</w:t>
            </w:r>
            <w:r w:rsidR="003836D4" w:rsidRPr="00A70234">
              <w:rPr>
                <w:b/>
                <w:bCs/>
                <w:szCs w:val="24"/>
                <w:lang w:val="en-GB"/>
              </w:rPr>
              <w:t>/</w:t>
            </w:r>
            <w:r w:rsidR="00891048">
              <w:rPr>
                <w:b/>
                <w:bCs/>
                <w:szCs w:val="24"/>
                <w:lang w:val="en-GB"/>
              </w:rPr>
              <w:t>492</w:t>
            </w:r>
          </w:p>
        </w:tc>
        <w:tc>
          <w:tcPr>
            <w:tcW w:w="2977" w:type="dxa"/>
            <w:shd w:val="clear" w:color="auto" w:fill="auto"/>
          </w:tcPr>
          <w:p w14:paraId="3366C928" w14:textId="71629753" w:rsidR="00651777" w:rsidRPr="00A70234" w:rsidRDefault="006E23F7" w:rsidP="005879E1">
            <w:pPr>
              <w:spacing w:before="0"/>
              <w:rPr>
                <w:szCs w:val="24"/>
                <w:lang w:val="en-GB"/>
              </w:rPr>
            </w:pPr>
            <w:r w:rsidRPr="00A70234">
              <w:rPr>
                <w:szCs w:val="24"/>
                <w:lang w:val="en-GB"/>
              </w:rPr>
              <w:t xml:space="preserve">Geneva, </w:t>
            </w:r>
            <w:r w:rsidR="00DD023B">
              <w:rPr>
                <w:szCs w:val="24"/>
                <w:lang w:val="en-GB"/>
              </w:rPr>
              <w:t>12</w:t>
            </w:r>
            <w:r w:rsidR="005879E1">
              <w:rPr>
                <w:szCs w:val="24"/>
                <w:lang w:val="en-GB"/>
              </w:rPr>
              <w:t xml:space="preserve"> </w:t>
            </w:r>
            <w:r w:rsidR="007578F0">
              <w:rPr>
                <w:szCs w:val="24"/>
                <w:lang w:val="en-GB"/>
              </w:rPr>
              <w:t>Octo</w:t>
            </w:r>
            <w:r w:rsidR="007646A5" w:rsidRPr="00A70234">
              <w:rPr>
                <w:szCs w:val="24"/>
                <w:lang w:val="en-GB"/>
              </w:rPr>
              <w:t>ber 2022</w:t>
            </w:r>
          </w:p>
        </w:tc>
      </w:tr>
      <w:tr w:rsidR="0037309C" w:rsidRPr="00701DFA" w14:paraId="1B9E1B7C" w14:textId="77777777" w:rsidTr="004D02EC">
        <w:tc>
          <w:tcPr>
            <w:tcW w:w="9889" w:type="dxa"/>
            <w:gridSpan w:val="3"/>
            <w:shd w:val="clear" w:color="auto" w:fill="auto"/>
          </w:tcPr>
          <w:p w14:paraId="6E004684" w14:textId="77777777" w:rsidR="0037309C" w:rsidRPr="00A70234" w:rsidRDefault="0037309C" w:rsidP="006047E5">
            <w:pPr>
              <w:spacing w:before="0"/>
              <w:jc w:val="left"/>
              <w:rPr>
                <w:rFonts w:cs="Arial"/>
                <w:szCs w:val="24"/>
                <w:lang w:val="en-GB"/>
              </w:rPr>
            </w:pPr>
          </w:p>
        </w:tc>
      </w:tr>
      <w:tr w:rsidR="0037309C" w:rsidRPr="00701DFA" w14:paraId="28F83914" w14:textId="77777777" w:rsidTr="00D374CD">
        <w:tc>
          <w:tcPr>
            <w:tcW w:w="9889" w:type="dxa"/>
            <w:gridSpan w:val="3"/>
            <w:shd w:val="clear" w:color="auto" w:fill="auto"/>
          </w:tcPr>
          <w:p w14:paraId="1B911C52" w14:textId="77777777" w:rsidR="0037309C" w:rsidRPr="00A70234" w:rsidRDefault="0037309C" w:rsidP="00D374CD">
            <w:pPr>
              <w:spacing w:before="0"/>
              <w:jc w:val="left"/>
              <w:rPr>
                <w:szCs w:val="24"/>
                <w:lang w:val="en-GB"/>
              </w:rPr>
            </w:pPr>
          </w:p>
        </w:tc>
      </w:tr>
      <w:tr w:rsidR="0037309C" w:rsidRPr="00701DFA" w14:paraId="6E3544B6" w14:textId="77777777" w:rsidTr="004D02EC">
        <w:tc>
          <w:tcPr>
            <w:tcW w:w="9889" w:type="dxa"/>
            <w:gridSpan w:val="3"/>
            <w:shd w:val="clear" w:color="auto" w:fill="auto"/>
          </w:tcPr>
          <w:p w14:paraId="55B26C16" w14:textId="77777777" w:rsidR="0037309C" w:rsidRPr="00A70234" w:rsidRDefault="0037309C" w:rsidP="0058405E">
            <w:pPr>
              <w:spacing w:before="0"/>
              <w:jc w:val="left"/>
              <w:rPr>
                <w:b/>
                <w:bCs/>
                <w:szCs w:val="24"/>
                <w:lang w:val="en-GB"/>
              </w:rPr>
            </w:pPr>
            <w:r w:rsidRPr="00A70234">
              <w:rPr>
                <w:b/>
                <w:bCs/>
                <w:szCs w:val="24"/>
                <w:lang w:val="en-GB"/>
              </w:rPr>
              <w:t>To Administrations of Member States of the ITU</w:t>
            </w:r>
          </w:p>
          <w:p w14:paraId="38E96E32" w14:textId="77777777" w:rsidR="00D21694" w:rsidRPr="00A70234" w:rsidRDefault="00D21694" w:rsidP="006047E5">
            <w:pPr>
              <w:spacing w:before="0"/>
              <w:jc w:val="left"/>
              <w:rPr>
                <w:b/>
                <w:bCs/>
                <w:szCs w:val="24"/>
                <w:lang w:val="en-GB"/>
              </w:rPr>
            </w:pPr>
          </w:p>
        </w:tc>
      </w:tr>
      <w:tr w:rsidR="0037309C" w:rsidRPr="00701DFA" w14:paraId="05E93E5F" w14:textId="77777777" w:rsidTr="004D02EC">
        <w:tc>
          <w:tcPr>
            <w:tcW w:w="9889" w:type="dxa"/>
            <w:gridSpan w:val="3"/>
            <w:shd w:val="clear" w:color="auto" w:fill="auto"/>
          </w:tcPr>
          <w:p w14:paraId="0C99DE13" w14:textId="77777777" w:rsidR="0037309C" w:rsidRPr="00701DFA" w:rsidRDefault="0037309C" w:rsidP="006047E5">
            <w:pPr>
              <w:spacing w:before="0"/>
              <w:jc w:val="left"/>
              <w:rPr>
                <w:szCs w:val="24"/>
                <w:lang w:val="en-GB"/>
              </w:rPr>
            </w:pPr>
          </w:p>
        </w:tc>
      </w:tr>
      <w:tr w:rsidR="0037309C" w:rsidRPr="00701DFA" w14:paraId="0B7FE68B" w14:textId="77777777" w:rsidTr="004D02EC">
        <w:tc>
          <w:tcPr>
            <w:tcW w:w="9889" w:type="dxa"/>
            <w:gridSpan w:val="3"/>
            <w:shd w:val="clear" w:color="auto" w:fill="auto"/>
          </w:tcPr>
          <w:p w14:paraId="600A7037" w14:textId="77777777" w:rsidR="0037309C" w:rsidRPr="00701DFA" w:rsidRDefault="0037309C" w:rsidP="006047E5">
            <w:pPr>
              <w:spacing w:before="0"/>
              <w:jc w:val="left"/>
              <w:rPr>
                <w:szCs w:val="24"/>
                <w:lang w:val="en-GB"/>
              </w:rPr>
            </w:pPr>
          </w:p>
        </w:tc>
      </w:tr>
      <w:tr w:rsidR="00B4054B" w:rsidRPr="00701DFA" w14:paraId="1DE4DC6F" w14:textId="77777777" w:rsidTr="0037309C">
        <w:tc>
          <w:tcPr>
            <w:tcW w:w="1526" w:type="dxa"/>
            <w:shd w:val="clear" w:color="auto" w:fill="auto"/>
          </w:tcPr>
          <w:p w14:paraId="44BC1FF0" w14:textId="77777777" w:rsidR="00B4054B" w:rsidRPr="00701DFA" w:rsidRDefault="00B4054B" w:rsidP="006A0053">
            <w:pPr>
              <w:spacing w:before="0"/>
              <w:jc w:val="left"/>
              <w:rPr>
                <w:szCs w:val="24"/>
                <w:lang w:val="en-GB"/>
              </w:rPr>
            </w:pPr>
            <w:r w:rsidRPr="00701DFA">
              <w:rPr>
                <w:szCs w:val="24"/>
                <w:lang w:val="en-GB"/>
              </w:rPr>
              <w:t>Subject:</w:t>
            </w:r>
          </w:p>
        </w:tc>
        <w:tc>
          <w:tcPr>
            <w:tcW w:w="8363" w:type="dxa"/>
            <w:gridSpan w:val="2"/>
            <w:vMerge w:val="restart"/>
            <w:shd w:val="clear" w:color="auto" w:fill="auto"/>
          </w:tcPr>
          <w:p w14:paraId="002211EF" w14:textId="46F08245" w:rsidR="00172063" w:rsidRPr="00172063" w:rsidRDefault="00CC32F4" w:rsidP="001318C8">
            <w:pPr>
              <w:spacing w:before="0"/>
              <w:jc w:val="left"/>
              <w:rPr>
                <w:rFonts w:asciiTheme="minorHAnsi" w:hAnsiTheme="minorHAnsi"/>
                <w:b/>
                <w:bCs/>
                <w:szCs w:val="24"/>
                <w:lang w:val="en-GB"/>
              </w:rPr>
            </w:pPr>
            <w:r>
              <w:rPr>
                <w:rFonts w:asciiTheme="minorHAnsi" w:hAnsiTheme="minorHAnsi" w:cs="Arial"/>
                <w:b/>
                <w:bCs/>
              </w:rPr>
              <w:t>Guidelines</w:t>
            </w:r>
            <w:r w:rsidR="0043419F">
              <w:rPr>
                <w:rFonts w:asciiTheme="minorHAnsi" w:hAnsiTheme="minorHAnsi" w:cs="Arial"/>
                <w:b/>
                <w:bCs/>
              </w:rPr>
              <w:t xml:space="preserve"> for n</w:t>
            </w:r>
            <w:r w:rsidR="00172063" w:rsidRPr="00172063">
              <w:rPr>
                <w:rFonts w:asciiTheme="minorHAnsi" w:hAnsiTheme="minorHAnsi" w:cs="Arial"/>
                <w:b/>
                <w:bCs/>
              </w:rPr>
              <w:t>otification of frequency assignments to terrestrial services</w:t>
            </w:r>
            <w:r w:rsidR="001318C8">
              <w:rPr>
                <w:rFonts w:asciiTheme="minorHAnsi" w:hAnsiTheme="minorHAnsi" w:cs="Arial"/>
                <w:b/>
                <w:bCs/>
              </w:rPr>
              <w:br/>
            </w:r>
          </w:p>
          <w:p w14:paraId="3616A5D6" w14:textId="77777777" w:rsidR="0058405E" w:rsidRPr="00701DFA" w:rsidRDefault="0058405E" w:rsidP="008B15F1">
            <w:pPr>
              <w:tabs>
                <w:tab w:val="clear" w:pos="794"/>
                <w:tab w:val="left" w:pos="425"/>
              </w:tabs>
              <w:spacing w:before="80"/>
              <w:ind w:left="425" w:hanging="425"/>
              <w:jc w:val="left"/>
              <w:rPr>
                <w:b/>
                <w:bCs/>
                <w:szCs w:val="24"/>
                <w:lang w:val="en-GB"/>
              </w:rPr>
            </w:pPr>
          </w:p>
        </w:tc>
      </w:tr>
      <w:tr w:rsidR="00B4054B" w:rsidRPr="00701DFA" w14:paraId="30FFBD30" w14:textId="77777777" w:rsidTr="006A0053">
        <w:tc>
          <w:tcPr>
            <w:tcW w:w="1526" w:type="dxa"/>
            <w:shd w:val="clear" w:color="auto" w:fill="auto"/>
          </w:tcPr>
          <w:p w14:paraId="6FE96071" w14:textId="77777777" w:rsidR="00B4054B" w:rsidRPr="00701DFA" w:rsidRDefault="00B4054B" w:rsidP="006A0053">
            <w:pPr>
              <w:spacing w:before="0"/>
              <w:jc w:val="left"/>
              <w:rPr>
                <w:b/>
                <w:bCs/>
                <w:szCs w:val="24"/>
                <w:lang w:val="en-GB"/>
              </w:rPr>
            </w:pPr>
          </w:p>
        </w:tc>
        <w:tc>
          <w:tcPr>
            <w:tcW w:w="8363" w:type="dxa"/>
            <w:gridSpan w:val="2"/>
            <w:vMerge/>
            <w:shd w:val="clear" w:color="auto" w:fill="auto"/>
          </w:tcPr>
          <w:p w14:paraId="6725D240" w14:textId="77777777" w:rsidR="00B4054B" w:rsidRPr="00701DFA" w:rsidRDefault="00B4054B" w:rsidP="006A0053">
            <w:pPr>
              <w:spacing w:before="0"/>
              <w:rPr>
                <w:b/>
                <w:bCs/>
                <w:szCs w:val="24"/>
                <w:lang w:val="en-GB"/>
              </w:rPr>
            </w:pPr>
          </w:p>
        </w:tc>
      </w:tr>
      <w:tr w:rsidR="00B4054B" w:rsidRPr="00701DFA" w14:paraId="39A3A0BA" w14:textId="77777777" w:rsidTr="006A0053">
        <w:tc>
          <w:tcPr>
            <w:tcW w:w="1526" w:type="dxa"/>
            <w:shd w:val="clear" w:color="auto" w:fill="auto"/>
          </w:tcPr>
          <w:p w14:paraId="5E09AF68" w14:textId="77777777" w:rsidR="00B4054B" w:rsidRPr="00701DFA" w:rsidRDefault="00B4054B" w:rsidP="006A0053">
            <w:pPr>
              <w:spacing w:before="0"/>
              <w:jc w:val="left"/>
              <w:rPr>
                <w:b/>
                <w:bCs/>
                <w:szCs w:val="24"/>
                <w:lang w:val="en-GB"/>
              </w:rPr>
            </w:pPr>
          </w:p>
        </w:tc>
        <w:tc>
          <w:tcPr>
            <w:tcW w:w="8363" w:type="dxa"/>
            <w:gridSpan w:val="2"/>
            <w:vMerge/>
            <w:shd w:val="clear" w:color="auto" w:fill="auto"/>
          </w:tcPr>
          <w:p w14:paraId="349B01DF" w14:textId="77777777" w:rsidR="00B4054B" w:rsidRPr="00701DFA" w:rsidRDefault="00B4054B" w:rsidP="006A0053">
            <w:pPr>
              <w:spacing w:before="0"/>
              <w:rPr>
                <w:b/>
                <w:bCs/>
                <w:szCs w:val="24"/>
                <w:lang w:val="en-GB"/>
              </w:rPr>
            </w:pPr>
          </w:p>
        </w:tc>
      </w:tr>
    </w:tbl>
    <w:p w14:paraId="6B5B0934" w14:textId="246FCB85" w:rsidR="00784D60" w:rsidRPr="007D2095" w:rsidRDefault="00CC32F4" w:rsidP="002213D7">
      <w:pPr>
        <w:spacing w:before="120" w:line="240" w:lineRule="auto"/>
        <w:ind w:left="142"/>
      </w:pPr>
      <w:r>
        <w:rPr>
          <w:rFonts w:asciiTheme="minorHAnsi" w:hAnsiTheme="minorHAnsi" w:cs="Arial"/>
        </w:rPr>
        <w:t xml:space="preserve">Following </w:t>
      </w:r>
      <w:r w:rsidRPr="007D2095">
        <w:rPr>
          <w:rFonts w:asciiTheme="minorHAnsi" w:hAnsiTheme="minorHAnsi" w:cs="Arial"/>
        </w:rPr>
        <w:t>inquiries from some administrations and ITU-R sector members</w:t>
      </w:r>
      <w:r w:rsidR="00172063" w:rsidRPr="007D2095">
        <w:rPr>
          <w:rFonts w:asciiTheme="minorHAnsi" w:hAnsiTheme="minorHAnsi" w:cs="Arial"/>
        </w:rPr>
        <w:t xml:space="preserve"> </w:t>
      </w:r>
      <w:r w:rsidRPr="007D2095">
        <w:rPr>
          <w:rFonts w:asciiTheme="minorHAnsi" w:hAnsiTheme="minorHAnsi" w:cs="Arial"/>
        </w:rPr>
        <w:t xml:space="preserve">concerning </w:t>
      </w:r>
      <w:r w:rsidR="00784D60" w:rsidRPr="007D2095">
        <w:rPr>
          <w:rFonts w:asciiTheme="minorHAnsi" w:hAnsiTheme="minorHAnsi" w:cs="Arial"/>
        </w:rPr>
        <w:t>reference</w:t>
      </w:r>
      <w:r w:rsidRPr="007D2095">
        <w:rPr>
          <w:rFonts w:asciiTheme="minorHAnsi" w:hAnsiTheme="minorHAnsi" w:cs="Arial"/>
        </w:rPr>
        <w:t xml:space="preserve"> documents</w:t>
      </w:r>
      <w:r w:rsidR="0043419F" w:rsidRPr="007D2095">
        <w:rPr>
          <w:rFonts w:asciiTheme="minorHAnsi" w:hAnsiTheme="minorHAnsi" w:cs="Arial"/>
        </w:rPr>
        <w:t xml:space="preserve"> </w:t>
      </w:r>
      <w:r w:rsidR="00784D60" w:rsidRPr="007D2095">
        <w:rPr>
          <w:rFonts w:asciiTheme="minorHAnsi" w:hAnsiTheme="minorHAnsi" w:cs="Arial"/>
        </w:rPr>
        <w:t>on</w:t>
      </w:r>
      <w:r w:rsidR="0043419F" w:rsidRPr="007D2095">
        <w:rPr>
          <w:rFonts w:asciiTheme="minorHAnsi" w:hAnsiTheme="minorHAnsi" w:cs="Arial"/>
        </w:rPr>
        <w:t xml:space="preserve"> notification of frequency assignments</w:t>
      </w:r>
      <w:r w:rsidR="002A2A76">
        <w:rPr>
          <w:rFonts w:asciiTheme="minorHAnsi" w:hAnsiTheme="minorHAnsi" w:cs="Arial"/>
        </w:rPr>
        <w:t xml:space="preserve"> and </w:t>
      </w:r>
      <w:r w:rsidR="00E64B10">
        <w:rPr>
          <w:rFonts w:asciiTheme="minorHAnsi" w:hAnsiTheme="minorHAnsi" w:cs="Arial"/>
        </w:rPr>
        <w:t>allotments</w:t>
      </w:r>
      <w:r w:rsidR="0043419F" w:rsidRPr="007D2095">
        <w:rPr>
          <w:rFonts w:asciiTheme="minorHAnsi" w:hAnsiTheme="minorHAnsi" w:cs="Arial"/>
        </w:rPr>
        <w:t xml:space="preserve"> for terrestrial services,</w:t>
      </w:r>
      <w:r w:rsidRPr="007D2095">
        <w:rPr>
          <w:rFonts w:asciiTheme="minorHAnsi" w:hAnsiTheme="minorHAnsi" w:cs="Arial"/>
        </w:rPr>
        <w:t xml:space="preserve"> the </w:t>
      </w:r>
      <w:r w:rsidR="005F2B5A">
        <w:rPr>
          <w:rFonts w:asciiTheme="minorHAnsi" w:hAnsiTheme="minorHAnsi" w:cs="Arial"/>
        </w:rPr>
        <w:t xml:space="preserve">Radiocommunication </w:t>
      </w:r>
      <w:r w:rsidRPr="007D2095">
        <w:rPr>
          <w:rFonts w:asciiTheme="minorHAnsi" w:hAnsiTheme="minorHAnsi" w:cs="Arial"/>
        </w:rPr>
        <w:t xml:space="preserve">Bureau </w:t>
      </w:r>
      <w:r w:rsidR="006D4B29">
        <w:rPr>
          <w:rFonts w:asciiTheme="minorHAnsi" w:hAnsiTheme="minorHAnsi" w:cs="Arial"/>
        </w:rPr>
        <w:t xml:space="preserve">(BR) </w:t>
      </w:r>
      <w:r w:rsidRPr="007D2095">
        <w:rPr>
          <w:rFonts w:asciiTheme="minorHAnsi" w:hAnsiTheme="minorHAnsi" w:cs="Arial"/>
        </w:rPr>
        <w:t xml:space="preserve">is pleased </w:t>
      </w:r>
      <w:r w:rsidRPr="007D2095">
        <w:t xml:space="preserve">to inform </w:t>
      </w:r>
      <w:r w:rsidR="00784D60" w:rsidRPr="007D2095">
        <w:t>the Membership</w:t>
      </w:r>
      <w:r w:rsidRPr="007D2095">
        <w:t xml:space="preserve"> that the </w:t>
      </w:r>
      <w:r w:rsidR="007D2095" w:rsidRPr="007D2095">
        <w:t>main</w:t>
      </w:r>
      <w:r w:rsidRPr="007D2095">
        <w:t xml:space="preserve"> documents specifying notification formats </w:t>
      </w:r>
      <w:r w:rsidR="00784D60" w:rsidRPr="007D2095">
        <w:t>and characteristics</w:t>
      </w:r>
      <w:r w:rsidRPr="007D2095">
        <w:t xml:space="preserve"> to be submitted are </w:t>
      </w:r>
      <w:r w:rsidR="002D1957">
        <w:t xml:space="preserve">the </w:t>
      </w:r>
      <w:r w:rsidR="007D2095" w:rsidRPr="007D2095">
        <w:t>N</w:t>
      </w:r>
      <w:r w:rsidR="00784D60" w:rsidRPr="007D2095">
        <w:t xml:space="preserve">otification </w:t>
      </w:r>
      <w:r w:rsidR="007D2095" w:rsidRPr="007D2095">
        <w:t>G</w:t>
      </w:r>
      <w:r w:rsidRPr="007D2095">
        <w:t>uidelines</w:t>
      </w:r>
      <w:r w:rsidR="00784D60" w:rsidRPr="007D2095">
        <w:t>.</w:t>
      </w:r>
      <w:r w:rsidRPr="007D2095">
        <w:t xml:space="preserve"> </w:t>
      </w:r>
    </w:p>
    <w:p w14:paraId="4DC76F6D" w14:textId="5E75D8F2" w:rsidR="001A0A9E" w:rsidRPr="007D2095" w:rsidRDefault="00784D60" w:rsidP="002213D7">
      <w:pPr>
        <w:spacing w:before="120" w:line="240" w:lineRule="auto"/>
        <w:ind w:left="142"/>
      </w:pPr>
      <w:r w:rsidRPr="007D2095">
        <w:t xml:space="preserve">These </w:t>
      </w:r>
      <w:r w:rsidR="007D2095" w:rsidRPr="007D2095">
        <w:rPr>
          <w:sz w:val="22"/>
          <w:lang w:val="en-GB"/>
        </w:rPr>
        <w:t>N</w:t>
      </w:r>
      <w:r w:rsidR="0025233C" w:rsidRPr="007D2095">
        <w:rPr>
          <w:sz w:val="22"/>
          <w:lang w:val="en-GB"/>
        </w:rPr>
        <w:t>otification</w:t>
      </w:r>
      <w:r w:rsidR="0025233C" w:rsidRPr="007D2095">
        <w:rPr>
          <w:b/>
          <w:bCs/>
          <w:sz w:val="22"/>
          <w:lang w:val="en-GB"/>
        </w:rPr>
        <w:t xml:space="preserve"> </w:t>
      </w:r>
      <w:r w:rsidR="007D2095" w:rsidRPr="007D2095">
        <w:t>G</w:t>
      </w:r>
      <w:r w:rsidRPr="007D2095">
        <w:t xml:space="preserve">uidelines are based on Appendix </w:t>
      </w:r>
      <w:r w:rsidRPr="007D2095">
        <w:rPr>
          <w:b/>
          <w:bCs/>
        </w:rPr>
        <w:t>4</w:t>
      </w:r>
      <w:r w:rsidRPr="007D2095">
        <w:t xml:space="preserve"> to the Radio Regulations and provide comprehensive and up-to-date information regarding the submission of notices </w:t>
      </w:r>
      <w:r w:rsidR="00E64B10">
        <w:t>for</w:t>
      </w:r>
      <w:r w:rsidR="00E64B10" w:rsidRPr="007D2095">
        <w:t xml:space="preserve"> </w:t>
      </w:r>
      <w:r w:rsidRPr="007D2095">
        <w:t>terrestrial service</w:t>
      </w:r>
      <w:r w:rsidR="00D870EB">
        <w:t>s</w:t>
      </w:r>
      <w:r w:rsidRPr="007D2095">
        <w:t xml:space="preserve">. They are </w:t>
      </w:r>
      <w:r w:rsidR="00CC32F4" w:rsidRPr="007D2095">
        <w:t>available</w:t>
      </w:r>
      <w:r w:rsidR="00CC32F4" w:rsidRPr="007D2095">
        <w:rPr>
          <w:color w:val="000000"/>
        </w:rPr>
        <w:t xml:space="preserve"> on the</w:t>
      </w:r>
      <w:r w:rsidR="00CC32F4" w:rsidRPr="007D2095">
        <w:t xml:space="preserve"> ITU website at the following address:</w:t>
      </w:r>
    </w:p>
    <w:p w14:paraId="22673578" w14:textId="2ABDD0DD" w:rsidR="00784D60" w:rsidRPr="007D2095" w:rsidRDefault="00974542" w:rsidP="00E17340">
      <w:pPr>
        <w:spacing w:line="240" w:lineRule="auto"/>
        <w:ind w:left="142"/>
        <w:jc w:val="center"/>
        <w:rPr>
          <w:color w:val="0000FF"/>
        </w:rPr>
      </w:pPr>
      <w:hyperlink r:id="rId8" w:history="1">
        <w:r w:rsidR="00784D60" w:rsidRPr="007D2095">
          <w:rPr>
            <w:rStyle w:val="Hyperlink"/>
          </w:rPr>
          <w:t>https://www.itu.int/en/ITU-R/terrestrial/tpr/Pages/Notification.aspx</w:t>
        </w:r>
      </w:hyperlink>
      <w:r w:rsidR="00784D60" w:rsidRPr="007D2095">
        <w:rPr>
          <w:color w:val="0000FF"/>
        </w:rPr>
        <w:t xml:space="preserve"> </w:t>
      </w:r>
    </w:p>
    <w:p w14:paraId="09721A16" w14:textId="7B53A677" w:rsidR="00CC32F4" w:rsidRPr="007D2095" w:rsidRDefault="00CC32F4" w:rsidP="002213D7">
      <w:pPr>
        <w:spacing w:before="120" w:line="240" w:lineRule="auto"/>
        <w:ind w:left="142"/>
      </w:pPr>
      <w:r w:rsidRPr="007D2095">
        <w:t xml:space="preserve">These guidelines supersede the information contained </w:t>
      </w:r>
      <w:r w:rsidR="00784D60" w:rsidRPr="007D2095">
        <w:t xml:space="preserve">in </w:t>
      </w:r>
      <w:r w:rsidR="005879E1">
        <w:t xml:space="preserve">the </w:t>
      </w:r>
      <w:r w:rsidR="001A723E" w:rsidRPr="007D2095">
        <w:t xml:space="preserve">previously published </w:t>
      </w:r>
      <w:r w:rsidRPr="007D2095">
        <w:t>Circular Lette</w:t>
      </w:r>
      <w:r w:rsidR="00784D60" w:rsidRPr="007D2095">
        <w:t xml:space="preserve">rs </w:t>
      </w:r>
      <w:r w:rsidR="005879E1">
        <w:t xml:space="preserve">listed </w:t>
      </w:r>
      <w:r w:rsidR="00784D60" w:rsidRPr="007D2095">
        <w:t xml:space="preserve">in the Annex to this </w:t>
      </w:r>
      <w:r w:rsidR="004B11AF" w:rsidRPr="007D2095">
        <w:t>C</w:t>
      </w:r>
      <w:r w:rsidR="00784D60" w:rsidRPr="007D2095">
        <w:t>ircular</w:t>
      </w:r>
      <w:r w:rsidR="004B11AF" w:rsidRPr="007D2095">
        <w:t xml:space="preserve"> Letter</w:t>
      </w:r>
      <w:r w:rsidRPr="007D2095">
        <w:t>.</w:t>
      </w:r>
      <w:r w:rsidR="00784D60" w:rsidRPr="007D2095">
        <w:t xml:space="preserve"> </w:t>
      </w:r>
      <w:r w:rsidR="00B169EA" w:rsidRPr="007D2095">
        <w:t xml:space="preserve">The guidelines </w:t>
      </w:r>
      <w:r w:rsidR="00784D60" w:rsidRPr="007D2095">
        <w:t xml:space="preserve">are </w:t>
      </w:r>
      <w:r w:rsidR="002D1957">
        <w:t>kept</w:t>
      </w:r>
      <w:r w:rsidR="002D1957" w:rsidRPr="007D2095">
        <w:t xml:space="preserve"> </w:t>
      </w:r>
      <w:r w:rsidR="00784D60" w:rsidRPr="007D2095">
        <w:t>updated by the B</w:t>
      </w:r>
      <w:r w:rsidR="006D4B29">
        <w:t>R</w:t>
      </w:r>
      <w:r w:rsidR="00784D60" w:rsidRPr="007D2095">
        <w:t xml:space="preserve"> following the relevant decisions of world and regional radiocommunication conferences, as well as the rules of procedures adopted by the Radio Regulations Board</w:t>
      </w:r>
      <w:r w:rsidR="001A723E" w:rsidRPr="007D2095">
        <w:t xml:space="preserve">. </w:t>
      </w:r>
    </w:p>
    <w:p w14:paraId="6BD6AD1C" w14:textId="102F5141" w:rsidR="001A723E" w:rsidRPr="007D2095" w:rsidRDefault="001A723E" w:rsidP="002213D7">
      <w:pPr>
        <w:spacing w:before="120" w:line="240" w:lineRule="auto"/>
        <w:ind w:left="142"/>
      </w:pPr>
      <w:r w:rsidRPr="007D2095">
        <w:t xml:space="preserve">Administrations of the Member States are invited to </w:t>
      </w:r>
      <w:r w:rsidR="006F5402" w:rsidRPr="003F4C5A">
        <w:t>regularly consult</w:t>
      </w:r>
      <w:r w:rsidRPr="007D2095">
        <w:t xml:space="preserve"> </w:t>
      </w:r>
      <w:r w:rsidR="00F55C75" w:rsidRPr="007D2095">
        <w:t xml:space="preserve">these </w:t>
      </w:r>
      <w:r w:rsidR="005879E1">
        <w:t>guidelines</w:t>
      </w:r>
      <w:r w:rsidRPr="007D2095">
        <w:t xml:space="preserve"> with a view to obtaining the most recent information concerning the notification process of terrestrial services. </w:t>
      </w:r>
      <w:r w:rsidRPr="003F4C5A">
        <w:t>The B</w:t>
      </w:r>
      <w:r w:rsidR="006D4B29">
        <w:t>R</w:t>
      </w:r>
      <w:r w:rsidRPr="003F4C5A">
        <w:t xml:space="preserve"> will inform the </w:t>
      </w:r>
      <w:r w:rsidR="006D4B29">
        <w:t>M</w:t>
      </w:r>
      <w:r w:rsidRPr="003F4C5A">
        <w:t>embership about any changes in the guidelines through</w:t>
      </w:r>
      <w:r w:rsidR="003F4C5A" w:rsidRPr="003F4C5A">
        <w:t xml:space="preserve"> </w:t>
      </w:r>
      <w:r w:rsidR="005879E1">
        <w:rPr>
          <w:color w:val="000000"/>
          <w:szCs w:val="24"/>
        </w:rPr>
        <w:t>the</w:t>
      </w:r>
      <w:r w:rsidR="002D25B7" w:rsidRPr="003F4C5A">
        <w:rPr>
          <w:color w:val="000000"/>
          <w:szCs w:val="24"/>
        </w:rPr>
        <w:t xml:space="preserve"> </w:t>
      </w:r>
      <w:r w:rsidR="005879E1">
        <w:rPr>
          <w:color w:val="000000"/>
          <w:szCs w:val="24"/>
        </w:rPr>
        <w:t xml:space="preserve">above-mentioned </w:t>
      </w:r>
      <w:r w:rsidR="002D25B7" w:rsidRPr="003F4C5A">
        <w:rPr>
          <w:color w:val="000000"/>
          <w:szCs w:val="24"/>
        </w:rPr>
        <w:t>website</w:t>
      </w:r>
      <w:r w:rsidRPr="003F4C5A">
        <w:t>.</w:t>
      </w:r>
      <w:r w:rsidRPr="007D2095">
        <w:t xml:space="preserve"> </w:t>
      </w:r>
    </w:p>
    <w:p w14:paraId="07AFE8A7" w14:textId="78C58B4B" w:rsidR="00172063" w:rsidRPr="00172063" w:rsidRDefault="00172063" w:rsidP="002213D7">
      <w:pPr>
        <w:spacing w:before="120" w:line="240" w:lineRule="auto"/>
        <w:ind w:left="142"/>
        <w:rPr>
          <w:rFonts w:asciiTheme="minorHAnsi" w:hAnsiTheme="minorHAnsi" w:cs="Arial"/>
        </w:rPr>
      </w:pPr>
      <w:r w:rsidRPr="007D2095">
        <w:rPr>
          <w:rFonts w:asciiTheme="minorHAnsi" w:hAnsiTheme="minorHAnsi" w:cs="Arial"/>
        </w:rPr>
        <w:t>The B</w:t>
      </w:r>
      <w:r w:rsidR="006D4B29">
        <w:rPr>
          <w:rFonts w:asciiTheme="minorHAnsi" w:hAnsiTheme="minorHAnsi" w:cs="Arial"/>
        </w:rPr>
        <w:t>R</w:t>
      </w:r>
      <w:r w:rsidRPr="007D2095">
        <w:rPr>
          <w:rFonts w:asciiTheme="minorHAnsi" w:hAnsiTheme="minorHAnsi" w:cs="Arial"/>
        </w:rPr>
        <w:t xml:space="preserve"> remains at the disposal of your Administration for any clarification you may require with respect to the subject covered in this Circular Letter.</w:t>
      </w:r>
    </w:p>
    <w:p w14:paraId="027CF5EF" w14:textId="77777777" w:rsidR="0058405E" w:rsidRDefault="0058405E" w:rsidP="00E17340">
      <w:pPr>
        <w:spacing w:before="0" w:line="240" w:lineRule="auto"/>
        <w:ind w:left="142"/>
        <w:jc w:val="left"/>
        <w:rPr>
          <w:rFonts w:asciiTheme="minorHAnsi" w:hAnsiTheme="minorHAnsi" w:cstheme="minorHAnsi"/>
          <w:szCs w:val="24"/>
        </w:rPr>
      </w:pPr>
    </w:p>
    <w:p w14:paraId="0EF38C32" w14:textId="77777777" w:rsidR="00DE3994" w:rsidRPr="00172063" w:rsidRDefault="00DE3994" w:rsidP="00E17340">
      <w:pPr>
        <w:spacing w:before="0" w:line="240" w:lineRule="auto"/>
        <w:ind w:left="142"/>
        <w:jc w:val="left"/>
        <w:rPr>
          <w:rFonts w:asciiTheme="minorHAnsi" w:hAnsiTheme="minorHAnsi" w:cstheme="minorHAnsi"/>
          <w:szCs w:val="24"/>
        </w:rPr>
      </w:pPr>
    </w:p>
    <w:p w14:paraId="305620C0" w14:textId="77777777" w:rsidR="0058405E" w:rsidRPr="00701DFA" w:rsidRDefault="0058405E" w:rsidP="00E17340">
      <w:pPr>
        <w:spacing w:before="0" w:line="240" w:lineRule="auto"/>
        <w:ind w:left="142"/>
        <w:jc w:val="left"/>
        <w:rPr>
          <w:rFonts w:asciiTheme="minorHAnsi" w:hAnsiTheme="minorHAnsi" w:cstheme="minorHAnsi"/>
          <w:szCs w:val="24"/>
          <w:lang w:val="en-GB"/>
        </w:rPr>
      </w:pPr>
    </w:p>
    <w:p w14:paraId="73333446" w14:textId="163653E4" w:rsidR="0058405E" w:rsidRPr="00C764ED" w:rsidRDefault="001A723E" w:rsidP="00E17340">
      <w:pPr>
        <w:spacing w:before="0" w:line="240" w:lineRule="auto"/>
        <w:ind w:left="142"/>
        <w:jc w:val="left"/>
        <w:rPr>
          <w:rFonts w:asciiTheme="minorHAnsi" w:hAnsiTheme="minorHAnsi" w:cstheme="minorHAnsi"/>
          <w:szCs w:val="24"/>
          <w:lang w:val="en-GB"/>
        </w:rPr>
      </w:pPr>
      <w:r>
        <w:rPr>
          <w:rFonts w:asciiTheme="minorHAnsi" w:hAnsiTheme="minorHAnsi" w:cstheme="minorHAnsi"/>
          <w:szCs w:val="24"/>
          <w:lang w:val="en-GB"/>
        </w:rPr>
        <w:t>Mario Maniewicz</w:t>
      </w:r>
    </w:p>
    <w:p w14:paraId="0E69490F" w14:textId="77777777" w:rsidR="0058405E" w:rsidRPr="00C764ED" w:rsidRDefault="0058405E" w:rsidP="00E17340">
      <w:pPr>
        <w:spacing w:before="0" w:line="240" w:lineRule="auto"/>
        <w:ind w:left="142"/>
        <w:jc w:val="left"/>
        <w:rPr>
          <w:rFonts w:asciiTheme="minorHAnsi" w:hAnsiTheme="minorHAnsi" w:cstheme="minorHAnsi"/>
          <w:szCs w:val="24"/>
          <w:lang w:val="en-GB"/>
        </w:rPr>
      </w:pPr>
      <w:r w:rsidRPr="00C764ED">
        <w:rPr>
          <w:rFonts w:asciiTheme="minorHAnsi" w:hAnsiTheme="minorHAnsi" w:cstheme="minorHAnsi"/>
          <w:szCs w:val="24"/>
          <w:lang w:val="en-GB"/>
        </w:rPr>
        <w:t>Director</w:t>
      </w:r>
    </w:p>
    <w:p w14:paraId="78248004" w14:textId="77777777" w:rsidR="0058405E" w:rsidRPr="00C764ED" w:rsidRDefault="0058405E" w:rsidP="00E17340">
      <w:pPr>
        <w:spacing w:before="0" w:line="240" w:lineRule="auto"/>
        <w:ind w:left="142"/>
        <w:jc w:val="left"/>
        <w:rPr>
          <w:rFonts w:asciiTheme="minorHAnsi" w:hAnsiTheme="minorHAnsi" w:cstheme="minorHAnsi"/>
          <w:szCs w:val="24"/>
          <w:lang w:val="en-GB"/>
        </w:rPr>
      </w:pPr>
    </w:p>
    <w:p w14:paraId="2B5002CE" w14:textId="77777777" w:rsidR="0058405E" w:rsidRPr="009C73BF" w:rsidRDefault="00172063" w:rsidP="00974542">
      <w:pPr>
        <w:spacing w:before="360" w:line="240" w:lineRule="auto"/>
        <w:ind w:left="142"/>
        <w:jc w:val="left"/>
        <w:rPr>
          <w:rFonts w:asciiTheme="minorHAnsi" w:hAnsiTheme="minorHAnsi" w:cstheme="minorHAnsi"/>
          <w:b/>
          <w:bCs/>
          <w:sz w:val="18"/>
          <w:szCs w:val="18"/>
          <w:lang w:val="en-GB"/>
        </w:rPr>
      </w:pPr>
      <w:r w:rsidRPr="009C73BF">
        <w:rPr>
          <w:rFonts w:asciiTheme="minorHAnsi" w:hAnsiTheme="minorHAnsi" w:cstheme="minorHAnsi"/>
          <w:b/>
          <w:bCs/>
          <w:sz w:val="18"/>
          <w:szCs w:val="18"/>
          <w:lang w:val="en-GB"/>
        </w:rPr>
        <w:t>Dis</w:t>
      </w:r>
      <w:r w:rsidR="0058405E" w:rsidRPr="009C73BF">
        <w:rPr>
          <w:rFonts w:asciiTheme="minorHAnsi" w:hAnsiTheme="minorHAnsi" w:cstheme="minorHAnsi"/>
          <w:b/>
          <w:bCs/>
          <w:sz w:val="18"/>
          <w:szCs w:val="18"/>
          <w:lang w:val="en-GB"/>
        </w:rPr>
        <w:t>tribution:</w:t>
      </w:r>
      <w:bookmarkStart w:id="0" w:name="_GoBack"/>
      <w:bookmarkEnd w:id="0"/>
    </w:p>
    <w:p w14:paraId="37885B4C" w14:textId="77777777" w:rsidR="00341348" w:rsidRDefault="0058405E" w:rsidP="00E17340">
      <w:pPr>
        <w:tabs>
          <w:tab w:val="clear" w:pos="794"/>
          <w:tab w:val="left" w:pos="426"/>
        </w:tabs>
        <w:spacing w:before="0" w:line="240" w:lineRule="auto"/>
        <w:ind w:left="142"/>
        <w:jc w:val="left"/>
        <w:rPr>
          <w:sz w:val="18"/>
          <w:szCs w:val="18"/>
          <w:lang w:val="en-GB"/>
        </w:rPr>
      </w:pPr>
      <w:r w:rsidRPr="00701DFA">
        <w:rPr>
          <w:sz w:val="18"/>
          <w:szCs w:val="18"/>
          <w:lang w:val="en-GB"/>
        </w:rPr>
        <w:t>–</w:t>
      </w:r>
      <w:r w:rsidRPr="00701DFA">
        <w:rPr>
          <w:sz w:val="18"/>
          <w:szCs w:val="18"/>
          <w:lang w:val="en-GB"/>
        </w:rPr>
        <w:tab/>
        <w:t>Administrations of Member States of ITU</w:t>
      </w:r>
    </w:p>
    <w:p w14:paraId="052350E0" w14:textId="7422070A" w:rsidR="0058405E" w:rsidRDefault="0058405E" w:rsidP="00E17340">
      <w:pPr>
        <w:tabs>
          <w:tab w:val="clear" w:pos="794"/>
          <w:tab w:val="left" w:pos="426"/>
        </w:tabs>
        <w:spacing w:before="0" w:line="240" w:lineRule="auto"/>
        <w:ind w:left="142"/>
        <w:jc w:val="left"/>
        <w:rPr>
          <w:sz w:val="18"/>
          <w:szCs w:val="18"/>
          <w:lang w:val="en-GB"/>
        </w:rPr>
      </w:pPr>
      <w:r w:rsidRPr="00701DFA">
        <w:rPr>
          <w:sz w:val="18"/>
          <w:szCs w:val="18"/>
          <w:lang w:val="en-GB"/>
        </w:rPr>
        <w:t>–</w:t>
      </w:r>
      <w:r w:rsidRPr="00701DFA">
        <w:rPr>
          <w:sz w:val="18"/>
          <w:szCs w:val="18"/>
          <w:lang w:val="en-GB"/>
        </w:rPr>
        <w:tab/>
        <w:t xml:space="preserve">Members of the </w:t>
      </w:r>
      <w:r w:rsidR="00313B12">
        <w:rPr>
          <w:sz w:val="18"/>
          <w:szCs w:val="18"/>
          <w:lang w:val="en-GB"/>
        </w:rPr>
        <w:t xml:space="preserve">Radio </w:t>
      </w:r>
      <w:r w:rsidRPr="00701DFA">
        <w:rPr>
          <w:sz w:val="18"/>
          <w:szCs w:val="18"/>
          <w:lang w:val="en-GB"/>
        </w:rPr>
        <w:t>Regulations Board</w:t>
      </w:r>
      <w:bookmarkStart w:id="1" w:name="CurrentLocation"/>
      <w:bookmarkEnd w:id="1"/>
    </w:p>
    <w:p w14:paraId="5875012B" w14:textId="1BBAB640" w:rsidR="001A723E" w:rsidRDefault="001A723E">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n-GB"/>
        </w:rPr>
      </w:pPr>
      <w:r>
        <w:rPr>
          <w:sz w:val="18"/>
          <w:szCs w:val="18"/>
          <w:lang w:val="en-GB"/>
        </w:rPr>
        <w:br w:type="page"/>
      </w:r>
    </w:p>
    <w:p w14:paraId="64EE70BE" w14:textId="37C2C557" w:rsidR="001A723E" w:rsidRPr="003222DB" w:rsidRDefault="001A723E" w:rsidP="001A723E">
      <w:pPr>
        <w:tabs>
          <w:tab w:val="clear" w:pos="794"/>
          <w:tab w:val="left" w:pos="426"/>
        </w:tabs>
        <w:spacing w:before="0" w:line="240" w:lineRule="auto"/>
        <w:jc w:val="center"/>
        <w:rPr>
          <w:b/>
          <w:bCs/>
          <w:sz w:val="22"/>
          <w:lang w:val="en-GB"/>
        </w:rPr>
      </w:pPr>
      <w:r w:rsidRPr="003222DB">
        <w:rPr>
          <w:b/>
          <w:bCs/>
          <w:sz w:val="22"/>
          <w:lang w:val="en-GB"/>
        </w:rPr>
        <w:lastRenderedPageBreak/>
        <w:t>Annex</w:t>
      </w:r>
    </w:p>
    <w:p w14:paraId="461978A4" w14:textId="225BCF62" w:rsidR="001A723E" w:rsidRPr="00A70234" w:rsidRDefault="001A723E" w:rsidP="001A723E">
      <w:pPr>
        <w:tabs>
          <w:tab w:val="clear" w:pos="794"/>
          <w:tab w:val="left" w:pos="426"/>
        </w:tabs>
        <w:spacing w:before="0" w:line="240" w:lineRule="auto"/>
        <w:jc w:val="center"/>
        <w:rPr>
          <w:b/>
          <w:bCs/>
          <w:sz w:val="22"/>
          <w:lang w:val="en-GB"/>
        </w:rPr>
      </w:pPr>
      <w:r w:rsidRPr="00A70234">
        <w:rPr>
          <w:b/>
          <w:bCs/>
          <w:sz w:val="22"/>
          <w:lang w:val="en-GB"/>
        </w:rPr>
        <w:t xml:space="preserve">BR circular letters concerning notification of terrestrial services and the </w:t>
      </w:r>
      <w:r w:rsidR="008D090E" w:rsidRPr="00A70234">
        <w:rPr>
          <w:b/>
          <w:bCs/>
          <w:sz w:val="22"/>
          <w:lang w:val="en-GB"/>
        </w:rPr>
        <w:t xml:space="preserve">relevant </w:t>
      </w:r>
      <w:r w:rsidRPr="00A70234">
        <w:rPr>
          <w:b/>
          <w:bCs/>
          <w:sz w:val="22"/>
          <w:lang w:val="en-GB"/>
        </w:rPr>
        <w:t>notification guidelines</w:t>
      </w:r>
    </w:p>
    <w:p w14:paraId="3E078C99" w14:textId="77777777" w:rsidR="001A723E" w:rsidRPr="00A70234" w:rsidRDefault="001A723E" w:rsidP="00341348">
      <w:pPr>
        <w:tabs>
          <w:tab w:val="clear" w:pos="794"/>
          <w:tab w:val="left" w:pos="426"/>
        </w:tabs>
        <w:spacing w:before="0" w:line="240" w:lineRule="auto"/>
        <w:jc w:val="left"/>
        <w:rPr>
          <w:sz w:val="18"/>
          <w:szCs w:val="18"/>
          <w:lang w:val="en-GB"/>
        </w:rPr>
      </w:pPr>
    </w:p>
    <w:p w14:paraId="2BF02B88" w14:textId="0AC313C7" w:rsidR="001A723E" w:rsidRPr="00A70234" w:rsidRDefault="001A723E" w:rsidP="00341348">
      <w:pPr>
        <w:tabs>
          <w:tab w:val="clear" w:pos="794"/>
          <w:tab w:val="left" w:pos="426"/>
        </w:tabs>
        <w:spacing w:before="0" w:line="240" w:lineRule="auto"/>
        <w:jc w:val="left"/>
        <w:rPr>
          <w:sz w:val="22"/>
          <w:lang w:val="en-GB"/>
        </w:rPr>
      </w:pPr>
      <w:r w:rsidRPr="00A70234">
        <w:rPr>
          <w:sz w:val="22"/>
          <w:lang w:val="en-GB"/>
        </w:rPr>
        <w:t xml:space="preserve">The Table below contains the list of circular letters </w:t>
      </w:r>
      <w:r w:rsidR="0025233C" w:rsidRPr="00A70234">
        <w:rPr>
          <w:sz w:val="22"/>
          <w:lang w:val="en-GB"/>
        </w:rPr>
        <w:t xml:space="preserve">that were </w:t>
      </w:r>
      <w:r w:rsidR="009F4A0D" w:rsidRPr="00A70234">
        <w:rPr>
          <w:sz w:val="22"/>
          <w:lang w:val="en-GB"/>
        </w:rPr>
        <w:t>superseded</w:t>
      </w:r>
      <w:r w:rsidRPr="00A70234">
        <w:rPr>
          <w:sz w:val="22"/>
          <w:lang w:val="en-GB"/>
        </w:rPr>
        <w:t xml:space="preserve"> by the relevant </w:t>
      </w:r>
      <w:r w:rsidR="007D2095" w:rsidRPr="00A70234">
        <w:rPr>
          <w:sz w:val="22"/>
          <w:lang w:val="en-GB"/>
        </w:rPr>
        <w:t>N</w:t>
      </w:r>
      <w:r w:rsidRPr="00A70234">
        <w:rPr>
          <w:sz w:val="22"/>
          <w:lang w:val="en-GB"/>
        </w:rPr>
        <w:t xml:space="preserve">otification </w:t>
      </w:r>
      <w:r w:rsidR="007D2095" w:rsidRPr="00A70234">
        <w:rPr>
          <w:sz w:val="22"/>
          <w:lang w:val="en-GB"/>
        </w:rPr>
        <w:t>G</w:t>
      </w:r>
      <w:r w:rsidR="009F4A0D" w:rsidRPr="00A70234">
        <w:rPr>
          <w:sz w:val="22"/>
          <w:lang w:val="en-GB"/>
        </w:rPr>
        <w:t>uidelines</w:t>
      </w:r>
      <w:r w:rsidR="00253DA9" w:rsidRPr="00A70234">
        <w:rPr>
          <w:sz w:val="22"/>
          <w:lang w:val="en-GB"/>
        </w:rPr>
        <w:t>.</w:t>
      </w:r>
    </w:p>
    <w:p w14:paraId="5D5D3643" w14:textId="77777777" w:rsidR="009F4A0D" w:rsidRPr="00A70234" w:rsidRDefault="009F4A0D" w:rsidP="00341348">
      <w:pPr>
        <w:tabs>
          <w:tab w:val="clear" w:pos="794"/>
          <w:tab w:val="left" w:pos="426"/>
        </w:tabs>
        <w:spacing w:before="0" w:line="240" w:lineRule="auto"/>
        <w:jc w:val="left"/>
        <w:rPr>
          <w:sz w:val="22"/>
          <w:lang w:val="en-GB"/>
        </w:rPr>
      </w:pPr>
    </w:p>
    <w:tbl>
      <w:tblPr>
        <w:tblStyle w:val="TableGrid"/>
        <w:tblW w:w="0" w:type="auto"/>
        <w:tblLook w:val="04A0" w:firstRow="1" w:lastRow="0" w:firstColumn="1" w:lastColumn="0" w:noHBand="0" w:noVBand="1"/>
      </w:tblPr>
      <w:tblGrid>
        <w:gridCol w:w="1220"/>
        <w:gridCol w:w="3370"/>
        <w:gridCol w:w="3090"/>
        <w:gridCol w:w="1949"/>
      </w:tblGrid>
      <w:tr w:rsidR="00F3317D" w:rsidRPr="00A70234" w14:paraId="6242E0CC" w14:textId="272EFE9E" w:rsidTr="004D6E5A">
        <w:tc>
          <w:tcPr>
            <w:tcW w:w="4526" w:type="dxa"/>
            <w:gridSpan w:val="2"/>
          </w:tcPr>
          <w:p w14:paraId="5087EA54" w14:textId="100A0802" w:rsidR="00F3317D" w:rsidRPr="00A70234" w:rsidRDefault="00F3317D" w:rsidP="00253DA9">
            <w:pPr>
              <w:tabs>
                <w:tab w:val="clear" w:pos="794"/>
                <w:tab w:val="left" w:pos="426"/>
              </w:tabs>
              <w:spacing w:before="0" w:line="240" w:lineRule="auto"/>
              <w:jc w:val="center"/>
              <w:rPr>
                <w:b/>
                <w:bCs/>
                <w:sz w:val="22"/>
                <w:lang w:val="en-GB"/>
              </w:rPr>
            </w:pPr>
            <w:r w:rsidRPr="00A70234">
              <w:rPr>
                <w:b/>
                <w:bCs/>
                <w:sz w:val="22"/>
                <w:lang w:val="en-GB"/>
              </w:rPr>
              <w:t>Circular Letter</w:t>
            </w:r>
          </w:p>
        </w:tc>
        <w:tc>
          <w:tcPr>
            <w:tcW w:w="5103" w:type="dxa"/>
            <w:gridSpan w:val="2"/>
          </w:tcPr>
          <w:p w14:paraId="50EABA34" w14:textId="60403E91" w:rsidR="00F3317D" w:rsidRPr="00A70234" w:rsidRDefault="00F3317D" w:rsidP="00341348">
            <w:pPr>
              <w:tabs>
                <w:tab w:val="clear" w:pos="794"/>
                <w:tab w:val="left" w:pos="426"/>
              </w:tabs>
              <w:spacing w:before="0" w:line="240" w:lineRule="auto"/>
              <w:jc w:val="left"/>
              <w:rPr>
                <w:b/>
                <w:bCs/>
                <w:sz w:val="22"/>
                <w:lang w:val="en-GB"/>
              </w:rPr>
            </w:pPr>
            <w:r w:rsidRPr="00A70234">
              <w:rPr>
                <w:b/>
                <w:bCs/>
                <w:sz w:val="22"/>
                <w:lang w:val="en-GB"/>
              </w:rPr>
              <w:t>Notification guidelines</w:t>
            </w:r>
          </w:p>
        </w:tc>
      </w:tr>
      <w:tr w:rsidR="00F3317D" w:rsidRPr="00A70234" w14:paraId="724778BF" w14:textId="57F64FAE" w:rsidTr="003F4C5A">
        <w:tc>
          <w:tcPr>
            <w:tcW w:w="1129" w:type="dxa"/>
          </w:tcPr>
          <w:p w14:paraId="3AB6E713" w14:textId="07695A34" w:rsidR="00F3317D" w:rsidRPr="00A70234" w:rsidRDefault="00F3317D" w:rsidP="00253DA9">
            <w:pPr>
              <w:tabs>
                <w:tab w:val="clear" w:pos="794"/>
                <w:tab w:val="left" w:pos="426"/>
              </w:tabs>
              <w:spacing w:before="0" w:line="240" w:lineRule="auto"/>
              <w:jc w:val="center"/>
              <w:rPr>
                <w:b/>
                <w:bCs/>
                <w:sz w:val="22"/>
                <w:lang w:val="en-GB"/>
              </w:rPr>
            </w:pPr>
            <w:r w:rsidRPr="00A70234">
              <w:rPr>
                <w:b/>
                <w:bCs/>
                <w:sz w:val="22"/>
                <w:lang w:val="en-GB"/>
              </w:rPr>
              <w:t>No, date</w:t>
            </w:r>
          </w:p>
        </w:tc>
        <w:tc>
          <w:tcPr>
            <w:tcW w:w="3397" w:type="dxa"/>
          </w:tcPr>
          <w:p w14:paraId="15CB8C23" w14:textId="40430F8E" w:rsidR="00F3317D" w:rsidRPr="00A70234" w:rsidRDefault="00F3317D" w:rsidP="00253DA9">
            <w:pPr>
              <w:tabs>
                <w:tab w:val="clear" w:pos="794"/>
                <w:tab w:val="left" w:pos="426"/>
              </w:tabs>
              <w:spacing w:before="0" w:line="240" w:lineRule="auto"/>
              <w:jc w:val="center"/>
              <w:rPr>
                <w:b/>
                <w:bCs/>
                <w:sz w:val="22"/>
                <w:lang w:val="en-GB"/>
              </w:rPr>
            </w:pPr>
            <w:r w:rsidRPr="00A70234">
              <w:rPr>
                <w:b/>
                <w:bCs/>
                <w:sz w:val="22"/>
                <w:lang w:val="en-GB"/>
              </w:rPr>
              <w:t>title</w:t>
            </w:r>
          </w:p>
        </w:tc>
        <w:tc>
          <w:tcPr>
            <w:tcW w:w="3134" w:type="dxa"/>
          </w:tcPr>
          <w:p w14:paraId="3CCBD216" w14:textId="3C5BDA0A" w:rsidR="00F3317D" w:rsidRPr="003F4C5A" w:rsidRDefault="00F3317D" w:rsidP="00341348">
            <w:pPr>
              <w:tabs>
                <w:tab w:val="clear" w:pos="794"/>
                <w:tab w:val="left" w:pos="426"/>
              </w:tabs>
              <w:spacing w:before="0" w:line="240" w:lineRule="auto"/>
              <w:jc w:val="left"/>
              <w:rPr>
                <w:b/>
                <w:bCs/>
                <w:sz w:val="22"/>
                <w:lang w:val="en-GB"/>
              </w:rPr>
            </w:pPr>
            <w:r w:rsidRPr="003F4C5A">
              <w:rPr>
                <w:b/>
                <w:bCs/>
                <w:sz w:val="22"/>
                <w:lang w:val="en-GB"/>
              </w:rPr>
              <w:t>title</w:t>
            </w:r>
          </w:p>
        </w:tc>
        <w:tc>
          <w:tcPr>
            <w:tcW w:w="1969" w:type="dxa"/>
          </w:tcPr>
          <w:p w14:paraId="1F5BAA8B" w14:textId="633FC33A" w:rsidR="00F3317D" w:rsidRPr="003F4C5A" w:rsidRDefault="00F3317D" w:rsidP="00341348">
            <w:pPr>
              <w:tabs>
                <w:tab w:val="clear" w:pos="794"/>
                <w:tab w:val="left" w:pos="426"/>
              </w:tabs>
              <w:spacing w:before="0" w:line="240" w:lineRule="auto"/>
              <w:jc w:val="left"/>
              <w:rPr>
                <w:b/>
                <w:bCs/>
                <w:sz w:val="22"/>
                <w:lang w:val="en-GB"/>
              </w:rPr>
            </w:pPr>
            <w:r w:rsidRPr="003F4C5A">
              <w:rPr>
                <w:b/>
                <w:bCs/>
                <w:sz w:val="22"/>
                <w:lang w:val="en-GB"/>
              </w:rPr>
              <w:t xml:space="preserve">Date </w:t>
            </w:r>
            <w:r w:rsidR="00714B45" w:rsidRPr="003F4C5A">
              <w:rPr>
                <w:b/>
                <w:bCs/>
                <w:sz w:val="22"/>
                <w:lang w:val="en-GB"/>
              </w:rPr>
              <w:t xml:space="preserve">of </w:t>
            </w:r>
            <w:r w:rsidRPr="003F4C5A">
              <w:rPr>
                <w:b/>
                <w:bCs/>
                <w:sz w:val="22"/>
                <w:lang w:val="en-GB"/>
              </w:rPr>
              <w:t>last update</w:t>
            </w:r>
          </w:p>
        </w:tc>
      </w:tr>
      <w:tr w:rsidR="00F3317D" w:rsidRPr="00A70234" w14:paraId="1C11F149" w14:textId="1AAA524B" w:rsidTr="003F4C5A">
        <w:tc>
          <w:tcPr>
            <w:tcW w:w="1129" w:type="dxa"/>
            <w:vAlign w:val="center"/>
          </w:tcPr>
          <w:p w14:paraId="390F6D5B" w14:textId="77777777" w:rsidR="00F3317D" w:rsidRPr="00A70234" w:rsidRDefault="00974542" w:rsidP="00340D99">
            <w:pPr>
              <w:tabs>
                <w:tab w:val="clear" w:pos="794"/>
                <w:tab w:val="left" w:pos="426"/>
              </w:tabs>
              <w:spacing w:before="0" w:line="240" w:lineRule="auto"/>
              <w:jc w:val="left"/>
              <w:rPr>
                <w:rFonts w:asciiTheme="minorHAnsi" w:hAnsiTheme="minorHAnsi" w:cstheme="minorHAnsi"/>
                <w:sz w:val="22"/>
              </w:rPr>
            </w:pPr>
            <w:hyperlink r:id="rId9" w:history="1">
              <w:r w:rsidR="00F3317D" w:rsidRPr="00A70234">
                <w:rPr>
                  <w:rStyle w:val="Hyperlink"/>
                  <w:rFonts w:asciiTheme="minorHAnsi" w:hAnsiTheme="minorHAnsi" w:cstheme="minorHAnsi"/>
                  <w:color w:val="auto"/>
                  <w:sz w:val="22"/>
                </w:rPr>
                <w:t>CR/118</w:t>
              </w:r>
            </w:hyperlink>
            <w:r w:rsidR="00F3317D" w:rsidRPr="00A70234">
              <w:rPr>
                <w:rFonts w:asciiTheme="minorHAnsi" w:hAnsiTheme="minorHAnsi" w:cstheme="minorHAnsi"/>
                <w:sz w:val="22"/>
              </w:rPr>
              <w:t>,</w:t>
            </w:r>
          </w:p>
          <w:p w14:paraId="22D2ACFE" w14:textId="77777777" w:rsidR="00F3317D" w:rsidRDefault="00F3317D" w:rsidP="00340D99">
            <w:pPr>
              <w:tabs>
                <w:tab w:val="clear" w:pos="794"/>
                <w:tab w:val="left" w:pos="426"/>
              </w:tabs>
              <w:spacing w:before="0" w:line="240" w:lineRule="auto"/>
              <w:jc w:val="left"/>
              <w:rPr>
                <w:rFonts w:asciiTheme="minorHAnsi" w:hAnsiTheme="minorHAnsi" w:cstheme="minorHAnsi"/>
                <w:sz w:val="22"/>
              </w:rPr>
            </w:pPr>
            <w:r w:rsidRPr="00A70234">
              <w:rPr>
                <w:rFonts w:asciiTheme="minorHAnsi" w:hAnsiTheme="minorHAnsi" w:cstheme="minorHAnsi"/>
                <w:sz w:val="22"/>
              </w:rPr>
              <w:t>31.03.1999</w:t>
            </w:r>
          </w:p>
          <w:p w14:paraId="69C51D18" w14:textId="77777777" w:rsidR="000B17FF" w:rsidRPr="00A70234" w:rsidRDefault="00974542" w:rsidP="000B17FF">
            <w:pPr>
              <w:tabs>
                <w:tab w:val="clear" w:pos="794"/>
                <w:tab w:val="left" w:pos="426"/>
              </w:tabs>
              <w:spacing w:before="0" w:line="240" w:lineRule="auto"/>
              <w:jc w:val="left"/>
              <w:rPr>
                <w:rFonts w:asciiTheme="minorHAnsi" w:hAnsiTheme="minorHAnsi" w:cstheme="minorHAnsi"/>
                <w:sz w:val="22"/>
              </w:rPr>
            </w:pPr>
            <w:hyperlink r:id="rId10" w:history="1">
              <w:r w:rsidR="000B17FF" w:rsidRPr="00A70234">
                <w:rPr>
                  <w:rStyle w:val="Hyperlink"/>
                  <w:rFonts w:asciiTheme="minorHAnsi" w:hAnsiTheme="minorHAnsi" w:cstheme="minorHAnsi"/>
                  <w:color w:val="auto"/>
                  <w:sz w:val="22"/>
                </w:rPr>
                <w:t>CR/270</w:t>
              </w:r>
            </w:hyperlink>
            <w:r w:rsidR="000B17FF" w:rsidRPr="00A70234">
              <w:rPr>
                <w:rFonts w:asciiTheme="minorHAnsi" w:hAnsiTheme="minorHAnsi" w:cstheme="minorHAnsi"/>
                <w:sz w:val="22"/>
              </w:rPr>
              <w:t>,</w:t>
            </w:r>
          </w:p>
          <w:p w14:paraId="0E0D1FF9" w14:textId="77777777" w:rsidR="000B17FF" w:rsidRDefault="000B17FF" w:rsidP="000B17FF">
            <w:pPr>
              <w:tabs>
                <w:tab w:val="clear" w:pos="794"/>
                <w:tab w:val="left" w:pos="426"/>
              </w:tabs>
              <w:spacing w:before="0" w:line="240" w:lineRule="auto"/>
              <w:jc w:val="left"/>
              <w:rPr>
                <w:rFonts w:asciiTheme="minorHAnsi" w:hAnsiTheme="minorHAnsi" w:cstheme="minorHAnsi"/>
                <w:sz w:val="22"/>
              </w:rPr>
            </w:pPr>
            <w:r w:rsidRPr="00A70234">
              <w:rPr>
                <w:rFonts w:asciiTheme="minorHAnsi" w:hAnsiTheme="minorHAnsi" w:cstheme="minorHAnsi"/>
                <w:sz w:val="22"/>
              </w:rPr>
              <w:t>29</w:t>
            </w:r>
            <w:r w:rsidRPr="003F4C5A">
              <w:rPr>
                <w:rFonts w:asciiTheme="minorHAnsi" w:hAnsiTheme="minorHAnsi" w:cstheme="minorHAnsi"/>
                <w:sz w:val="22"/>
              </w:rPr>
              <w:t>.</w:t>
            </w:r>
            <w:r w:rsidRPr="00A70234">
              <w:rPr>
                <w:rFonts w:asciiTheme="minorHAnsi" w:hAnsiTheme="minorHAnsi" w:cstheme="minorHAnsi"/>
                <w:sz w:val="22"/>
              </w:rPr>
              <w:t>03</w:t>
            </w:r>
            <w:r w:rsidRPr="003F4C5A">
              <w:rPr>
                <w:rFonts w:asciiTheme="minorHAnsi" w:hAnsiTheme="minorHAnsi" w:cstheme="minorHAnsi"/>
                <w:sz w:val="22"/>
              </w:rPr>
              <w:t>.</w:t>
            </w:r>
            <w:r w:rsidRPr="00A70234">
              <w:rPr>
                <w:rFonts w:asciiTheme="minorHAnsi" w:hAnsiTheme="minorHAnsi" w:cstheme="minorHAnsi"/>
                <w:sz w:val="22"/>
              </w:rPr>
              <w:t>2007</w:t>
            </w:r>
          </w:p>
          <w:p w14:paraId="388F94DF" w14:textId="77777777" w:rsidR="000B17FF" w:rsidRPr="00A70234" w:rsidRDefault="00974542" w:rsidP="000B17FF">
            <w:pPr>
              <w:tabs>
                <w:tab w:val="clear" w:pos="794"/>
                <w:tab w:val="left" w:pos="426"/>
              </w:tabs>
              <w:spacing w:before="0" w:line="240" w:lineRule="auto"/>
              <w:jc w:val="left"/>
              <w:rPr>
                <w:rFonts w:asciiTheme="minorHAnsi" w:hAnsiTheme="minorHAnsi" w:cstheme="minorHAnsi"/>
                <w:sz w:val="22"/>
              </w:rPr>
            </w:pPr>
            <w:hyperlink r:id="rId11" w:history="1">
              <w:r w:rsidR="000B17FF" w:rsidRPr="00A70234">
                <w:rPr>
                  <w:rStyle w:val="Hyperlink"/>
                  <w:rFonts w:asciiTheme="minorHAnsi" w:hAnsiTheme="minorHAnsi" w:cstheme="minorHAnsi"/>
                  <w:color w:val="auto"/>
                  <w:sz w:val="22"/>
                </w:rPr>
                <w:t>CR/289</w:t>
              </w:r>
            </w:hyperlink>
            <w:r w:rsidR="000B17FF" w:rsidRPr="00A70234">
              <w:rPr>
                <w:rFonts w:asciiTheme="minorHAnsi" w:hAnsiTheme="minorHAnsi" w:cstheme="minorHAnsi"/>
                <w:sz w:val="22"/>
              </w:rPr>
              <w:t>,</w:t>
            </w:r>
          </w:p>
          <w:p w14:paraId="17B79449" w14:textId="774EF91D" w:rsidR="000B17FF" w:rsidRPr="00A70234" w:rsidRDefault="000B17FF" w:rsidP="000B17FF">
            <w:pPr>
              <w:tabs>
                <w:tab w:val="clear" w:pos="794"/>
                <w:tab w:val="left" w:pos="426"/>
              </w:tabs>
              <w:spacing w:before="0" w:line="240" w:lineRule="auto"/>
              <w:jc w:val="left"/>
              <w:rPr>
                <w:rFonts w:asciiTheme="minorHAnsi" w:hAnsiTheme="minorHAnsi" w:cstheme="minorHAnsi"/>
                <w:sz w:val="22"/>
              </w:rPr>
            </w:pPr>
            <w:r w:rsidRPr="00A70234">
              <w:rPr>
                <w:rFonts w:asciiTheme="minorHAnsi" w:hAnsiTheme="minorHAnsi" w:cstheme="minorHAnsi"/>
                <w:sz w:val="22"/>
              </w:rPr>
              <w:t>24.07.2008</w:t>
            </w:r>
          </w:p>
        </w:tc>
        <w:tc>
          <w:tcPr>
            <w:tcW w:w="3397" w:type="dxa"/>
            <w:vAlign w:val="center"/>
          </w:tcPr>
          <w:p w14:paraId="78C07B19" w14:textId="781D9117" w:rsidR="00F3317D" w:rsidRPr="00A70234" w:rsidRDefault="00F3317D" w:rsidP="002B0381">
            <w:pPr>
              <w:spacing w:before="0"/>
              <w:jc w:val="left"/>
              <w:rPr>
                <w:rFonts w:asciiTheme="minorHAnsi" w:hAnsiTheme="minorHAnsi" w:cstheme="minorHAnsi"/>
                <w:sz w:val="22"/>
              </w:rPr>
            </w:pPr>
            <w:r w:rsidRPr="00A70234">
              <w:rPr>
                <w:rFonts w:asciiTheme="minorHAnsi" w:hAnsiTheme="minorHAnsi" w:cstheme="minorHAnsi"/>
                <w:sz w:val="22"/>
              </w:rPr>
              <w:t>Forms of notice and file formats for electronic notification of frequency assignments to stations in the fixed, mobile and other terrestrial services (excepting the broadcasting service in the LF/MF and VHF/UHF bands) - Parts 1 and 2</w:t>
            </w:r>
          </w:p>
        </w:tc>
        <w:tc>
          <w:tcPr>
            <w:tcW w:w="3134" w:type="dxa"/>
          </w:tcPr>
          <w:p w14:paraId="0B3F7256" w14:textId="5E030401" w:rsidR="00F3317D" w:rsidRPr="00A70234" w:rsidRDefault="00974542" w:rsidP="002B0381">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rPr>
                <w:rFonts w:asciiTheme="minorHAnsi" w:hAnsiTheme="minorHAnsi" w:cstheme="minorHAnsi"/>
                <w:sz w:val="22"/>
              </w:rPr>
            </w:pPr>
            <w:hyperlink r:id="rId12" w:history="1">
              <w:r w:rsidR="00F3317D" w:rsidRPr="00B03435">
                <w:rPr>
                  <w:rStyle w:val="Hyperlink"/>
                </w:rPr>
                <w:t>Guidelines for the submission and notification of frequency assignments and allotments to stations in the fixed, mobile and other terrestrial services (except the broadcasting service in the LF/MF and VHF/UHF bands)</w:t>
              </w:r>
            </w:hyperlink>
          </w:p>
        </w:tc>
        <w:tc>
          <w:tcPr>
            <w:tcW w:w="1969" w:type="dxa"/>
          </w:tcPr>
          <w:p w14:paraId="1323B8C7" w14:textId="11CBA03B" w:rsidR="00F3317D" w:rsidRDefault="00C75904" w:rsidP="002B0381">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pPr>
            <w:r>
              <w:t>January 2021</w:t>
            </w:r>
          </w:p>
        </w:tc>
      </w:tr>
      <w:tr w:rsidR="00F3317D" w:rsidRPr="00A70234" w14:paraId="0ACFD566" w14:textId="5C74603D" w:rsidTr="003F4C5A">
        <w:tc>
          <w:tcPr>
            <w:tcW w:w="1129" w:type="dxa"/>
            <w:vAlign w:val="center"/>
          </w:tcPr>
          <w:p w14:paraId="560D5D6D" w14:textId="7B83C68D" w:rsidR="00F3317D" w:rsidRPr="00A70234" w:rsidRDefault="00974542" w:rsidP="00341348">
            <w:pPr>
              <w:tabs>
                <w:tab w:val="clear" w:pos="794"/>
                <w:tab w:val="left" w:pos="426"/>
              </w:tabs>
              <w:spacing w:before="0" w:line="240" w:lineRule="auto"/>
              <w:jc w:val="left"/>
              <w:rPr>
                <w:rFonts w:asciiTheme="minorHAnsi" w:hAnsiTheme="minorHAnsi" w:cstheme="minorHAnsi"/>
                <w:sz w:val="22"/>
              </w:rPr>
            </w:pPr>
            <w:hyperlink r:id="rId13" w:history="1">
              <w:r w:rsidR="00F3317D" w:rsidRPr="00810ED8">
                <w:rPr>
                  <w:rStyle w:val="Hyperlink"/>
                  <w:rFonts w:asciiTheme="minorHAnsi" w:hAnsiTheme="minorHAnsi" w:cstheme="minorHAnsi"/>
                  <w:sz w:val="22"/>
                </w:rPr>
                <w:t>CR/120</w:t>
              </w:r>
            </w:hyperlink>
            <w:r w:rsidR="00F3317D" w:rsidRPr="00A70234">
              <w:rPr>
                <w:rStyle w:val="FootnoteReference"/>
                <w:rFonts w:asciiTheme="minorHAnsi" w:hAnsiTheme="minorHAnsi" w:cstheme="minorHAnsi"/>
                <w:sz w:val="22"/>
              </w:rPr>
              <w:footnoteReference w:id="1"/>
            </w:r>
            <w:r w:rsidR="00F3317D" w:rsidRPr="00A70234">
              <w:rPr>
                <w:rFonts w:asciiTheme="minorHAnsi" w:hAnsiTheme="minorHAnsi" w:cstheme="minorHAnsi"/>
                <w:sz w:val="22"/>
              </w:rPr>
              <w:t>,</w:t>
            </w:r>
          </w:p>
          <w:p w14:paraId="3AF020A9" w14:textId="786E9CDF" w:rsidR="00F3317D" w:rsidRPr="00A70234" w:rsidRDefault="00F3317D" w:rsidP="00341348">
            <w:pPr>
              <w:tabs>
                <w:tab w:val="clear" w:pos="794"/>
                <w:tab w:val="left" w:pos="426"/>
              </w:tabs>
              <w:spacing w:before="0" w:line="240" w:lineRule="auto"/>
              <w:jc w:val="left"/>
              <w:rPr>
                <w:rFonts w:asciiTheme="minorHAnsi" w:hAnsiTheme="minorHAnsi" w:cstheme="minorHAnsi"/>
                <w:sz w:val="22"/>
                <w:lang w:val="en-GB"/>
              </w:rPr>
            </w:pPr>
            <w:r w:rsidRPr="00A70234">
              <w:rPr>
                <w:rFonts w:asciiTheme="minorHAnsi" w:hAnsiTheme="minorHAnsi" w:cstheme="minorHAnsi"/>
                <w:sz w:val="22"/>
              </w:rPr>
              <w:t>31.03.1999</w:t>
            </w:r>
          </w:p>
        </w:tc>
        <w:tc>
          <w:tcPr>
            <w:tcW w:w="3397" w:type="dxa"/>
            <w:vAlign w:val="center"/>
          </w:tcPr>
          <w:p w14:paraId="2921D52D" w14:textId="0D994CEA" w:rsidR="00F3317D" w:rsidRPr="00A70234" w:rsidRDefault="00F3317D" w:rsidP="009F4A0D">
            <w:pPr>
              <w:jc w:val="left"/>
              <w:rPr>
                <w:rFonts w:asciiTheme="minorHAnsi" w:hAnsiTheme="minorHAnsi" w:cstheme="minorHAnsi"/>
                <w:sz w:val="22"/>
              </w:rPr>
            </w:pPr>
            <w:r w:rsidRPr="00A70234">
              <w:rPr>
                <w:rFonts w:asciiTheme="minorHAnsi" w:hAnsiTheme="minorHAnsi" w:cstheme="minorHAnsi"/>
                <w:sz w:val="22"/>
              </w:rPr>
              <w:t>Forms of notice and formats for electronic notification of VHF/UHF television and VHF sound broadcasting assignments</w:t>
            </w:r>
          </w:p>
        </w:tc>
        <w:tc>
          <w:tcPr>
            <w:tcW w:w="3134" w:type="dxa"/>
          </w:tcPr>
          <w:p w14:paraId="2BD363EA" w14:textId="1BE734DA" w:rsidR="00DF68B3" w:rsidRPr="005C120A" w:rsidRDefault="00F3317D" w:rsidP="003F4C5A">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rPr>
                <w:rStyle w:val="Hyperlink"/>
              </w:rPr>
            </w:pPr>
            <w:r w:rsidRPr="003F4C5A">
              <w:t>​</w:t>
            </w:r>
            <w:r w:rsidR="005C120A">
              <w:fldChar w:fldCharType="begin"/>
            </w:r>
            <w:r w:rsidR="005C120A">
              <w:instrText xml:space="preserve"> HYPERLINK "https://www.itu.int/en/ITU-R/terrestrial/tpr/Documents/FMTV/English_Guidelines/BS_VHF_UHF_GuideLines_web.pdf" </w:instrText>
            </w:r>
            <w:r w:rsidR="005C120A">
              <w:fldChar w:fldCharType="separate"/>
            </w:r>
            <w:r w:rsidR="00DF68B3" w:rsidRPr="005C120A">
              <w:rPr>
                <w:rStyle w:val="Hyperlink"/>
              </w:rPr>
              <w:t>Guidelines for VHF/UHF submissions related to</w:t>
            </w:r>
          </w:p>
          <w:p w14:paraId="6E4454CB" w14:textId="42D845E7" w:rsidR="00DF68B3" w:rsidRPr="005C120A" w:rsidRDefault="00DF68B3" w:rsidP="003F4C5A">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rPr>
                <w:rStyle w:val="Hyperlink"/>
              </w:rPr>
            </w:pPr>
            <w:r w:rsidRPr="005C120A">
              <w:rPr>
                <w:rStyle w:val="Hyperlink"/>
              </w:rPr>
              <w:t>terrestrial broadcasting services (outside the frequency and geographical</w:t>
            </w:r>
          </w:p>
          <w:p w14:paraId="11FBFAC3" w14:textId="39B1EDC2" w:rsidR="00F3317D" w:rsidRPr="003F4C5A" w:rsidRDefault="00DF68B3" w:rsidP="00341348">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pPr>
            <w:r w:rsidRPr="005C120A">
              <w:rPr>
                <w:rStyle w:val="Hyperlink"/>
              </w:rPr>
              <w:t>scope of the GE06 Agreement)</w:t>
            </w:r>
            <w:r w:rsidR="005C120A">
              <w:fldChar w:fldCharType="end"/>
            </w:r>
          </w:p>
        </w:tc>
        <w:tc>
          <w:tcPr>
            <w:tcW w:w="1969" w:type="dxa"/>
          </w:tcPr>
          <w:p w14:paraId="779CFBF8" w14:textId="23C9C9A8" w:rsidR="00F3317D" w:rsidRDefault="00DF68B3" w:rsidP="00253DA9">
            <w:pPr>
              <w:numPr>
                <w:ilvl w:val="0"/>
                <w:numId w:val="2"/>
              </w:numPr>
              <w:shd w:val="clear" w:color="auto" w:fill="FFFFFF"/>
              <w:tabs>
                <w:tab w:val="clear" w:pos="794"/>
                <w:tab w:val="clear" w:pos="1191"/>
                <w:tab w:val="clear" w:pos="1588"/>
                <w:tab w:val="clear" w:pos="1985"/>
              </w:tabs>
              <w:overflowPunct/>
              <w:autoSpaceDE/>
              <w:autoSpaceDN/>
              <w:adjustRightInd/>
              <w:spacing w:before="0" w:line="240" w:lineRule="auto"/>
              <w:ind w:left="0"/>
              <w:jc w:val="left"/>
            </w:pPr>
            <w:r>
              <w:t>July 2020</w:t>
            </w:r>
          </w:p>
        </w:tc>
      </w:tr>
      <w:tr w:rsidR="00F3317D" w:rsidRPr="00A70234" w14:paraId="0DA4637B" w14:textId="5C7B43F1" w:rsidTr="003F4C5A">
        <w:tc>
          <w:tcPr>
            <w:tcW w:w="1129" w:type="dxa"/>
            <w:vAlign w:val="center"/>
          </w:tcPr>
          <w:p w14:paraId="2BB87A34" w14:textId="46D44FD3" w:rsidR="00F3317D" w:rsidRPr="00A70234" w:rsidRDefault="00974542" w:rsidP="00341348">
            <w:pPr>
              <w:tabs>
                <w:tab w:val="clear" w:pos="794"/>
                <w:tab w:val="left" w:pos="426"/>
              </w:tabs>
              <w:spacing w:before="0" w:line="240" w:lineRule="auto"/>
              <w:jc w:val="left"/>
              <w:rPr>
                <w:rFonts w:asciiTheme="minorHAnsi" w:hAnsiTheme="minorHAnsi" w:cstheme="minorHAnsi"/>
                <w:sz w:val="22"/>
              </w:rPr>
            </w:pPr>
            <w:hyperlink r:id="rId14" w:history="1">
              <w:r w:rsidR="00F3317D" w:rsidRPr="00810ED8">
                <w:rPr>
                  <w:rStyle w:val="Hyperlink"/>
                  <w:rFonts w:asciiTheme="minorHAnsi" w:hAnsiTheme="minorHAnsi" w:cstheme="minorHAnsi"/>
                  <w:sz w:val="22"/>
                </w:rPr>
                <w:t>CR/125</w:t>
              </w:r>
            </w:hyperlink>
            <w:r w:rsidR="00F3317D" w:rsidRPr="00A70234">
              <w:rPr>
                <w:rFonts w:asciiTheme="minorHAnsi" w:hAnsiTheme="minorHAnsi" w:cstheme="minorHAnsi"/>
                <w:sz w:val="22"/>
              </w:rPr>
              <w:t>,</w:t>
            </w:r>
          </w:p>
          <w:p w14:paraId="623A5343" w14:textId="2FF0FD44" w:rsidR="00F3317D" w:rsidRPr="00A70234" w:rsidRDefault="00F3317D" w:rsidP="00341348">
            <w:pPr>
              <w:tabs>
                <w:tab w:val="clear" w:pos="794"/>
                <w:tab w:val="left" w:pos="426"/>
              </w:tabs>
              <w:spacing w:before="0" w:line="240" w:lineRule="auto"/>
              <w:jc w:val="left"/>
              <w:rPr>
                <w:rFonts w:asciiTheme="minorHAnsi" w:hAnsiTheme="minorHAnsi" w:cstheme="minorHAnsi"/>
                <w:sz w:val="22"/>
                <w:lang w:val="en-GB"/>
              </w:rPr>
            </w:pPr>
            <w:r w:rsidRPr="00A70234">
              <w:rPr>
                <w:rFonts w:asciiTheme="minorHAnsi" w:hAnsiTheme="minorHAnsi" w:cstheme="minorHAnsi"/>
                <w:sz w:val="22"/>
              </w:rPr>
              <w:t>30.07.1999</w:t>
            </w:r>
          </w:p>
        </w:tc>
        <w:tc>
          <w:tcPr>
            <w:tcW w:w="3397" w:type="dxa"/>
            <w:vAlign w:val="center"/>
          </w:tcPr>
          <w:p w14:paraId="72992DCB" w14:textId="1E28E866" w:rsidR="00F3317D" w:rsidRPr="00A70234" w:rsidRDefault="00F3317D" w:rsidP="00341348">
            <w:pPr>
              <w:tabs>
                <w:tab w:val="clear" w:pos="794"/>
                <w:tab w:val="left" w:pos="426"/>
              </w:tabs>
              <w:spacing w:before="0" w:line="240" w:lineRule="auto"/>
              <w:jc w:val="left"/>
              <w:rPr>
                <w:rFonts w:asciiTheme="minorHAnsi" w:hAnsiTheme="minorHAnsi" w:cstheme="minorHAnsi"/>
                <w:sz w:val="22"/>
                <w:lang w:val="en-GB"/>
              </w:rPr>
            </w:pPr>
            <w:r w:rsidRPr="00A70234">
              <w:rPr>
                <w:rFonts w:asciiTheme="minorHAnsi" w:hAnsiTheme="minorHAnsi" w:cstheme="minorHAnsi"/>
                <w:sz w:val="22"/>
              </w:rPr>
              <w:t>Forms of notice and formats for electronic notification of LF/MF sound broadcasting</w:t>
            </w:r>
            <w:r>
              <w:rPr>
                <w:rFonts w:asciiTheme="minorHAnsi" w:hAnsiTheme="minorHAnsi" w:cstheme="minorHAnsi"/>
                <w:sz w:val="22"/>
              </w:rPr>
              <w:t xml:space="preserve"> assignments</w:t>
            </w:r>
          </w:p>
        </w:tc>
        <w:tc>
          <w:tcPr>
            <w:tcW w:w="3134" w:type="dxa"/>
          </w:tcPr>
          <w:p w14:paraId="797EB9A2" w14:textId="2F5A8D4B" w:rsidR="00F3317D" w:rsidRPr="003F4C5A" w:rsidRDefault="00974542" w:rsidP="00341348">
            <w:pPr>
              <w:numPr>
                <w:ilvl w:val="0"/>
                <w:numId w:val="3"/>
              </w:numPr>
              <w:shd w:val="clear" w:color="auto" w:fill="FFFFFF"/>
              <w:tabs>
                <w:tab w:val="clear" w:pos="794"/>
                <w:tab w:val="clear" w:pos="1191"/>
                <w:tab w:val="clear" w:pos="1588"/>
                <w:tab w:val="clear" w:pos="1985"/>
              </w:tabs>
              <w:overflowPunct/>
              <w:autoSpaceDE/>
              <w:autoSpaceDN/>
              <w:adjustRightInd/>
              <w:spacing w:before="0" w:line="240" w:lineRule="auto"/>
              <w:ind w:left="0"/>
              <w:jc w:val="left"/>
              <w:rPr>
                <w:rFonts w:asciiTheme="minorHAnsi" w:hAnsiTheme="minorHAnsi" w:cstheme="minorHAnsi"/>
                <w:sz w:val="22"/>
              </w:rPr>
            </w:pPr>
            <w:hyperlink r:id="rId15" w:history="1">
              <w:r w:rsidR="00DF68B3" w:rsidRPr="005C120A">
                <w:rPr>
                  <w:rStyle w:val="Hyperlink"/>
                </w:rPr>
                <w:t xml:space="preserve">Guidelines submission and notification of notices relating to the GE75 and RJ81 </w:t>
              </w:r>
              <w:r w:rsidR="00642CB9" w:rsidRPr="005C120A">
                <w:rPr>
                  <w:rStyle w:val="Hyperlink"/>
                </w:rPr>
                <w:t>A</w:t>
              </w:r>
              <w:r w:rsidR="00DF68B3" w:rsidRPr="005C120A">
                <w:rPr>
                  <w:rStyle w:val="Hyperlink"/>
                </w:rPr>
                <w:t>greements</w:t>
              </w:r>
            </w:hyperlink>
          </w:p>
        </w:tc>
        <w:tc>
          <w:tcPr>
            <w:tcW w:w="1969" w:type="dxa"/>
          </w:tcPr>
          <w:p w14:paraId="7FEA4F49" w14:textId="35982178" w:rsidR="00F3317D" w:rsidRDefault="00642CB9" w:rsidP="00341348">
            <w:pPr>
              <w:tabs>
                <w:tab w:val="clear" w:pos="794"/>
                <w:tab w:val="left" w:pos="426"/>
              </w:tabs>
              <w:spacing w:before="0" w:line="240" w:lineRule="auto"/>
              <w:jc w:val="left"/>
            </w:pPr>
            <w:r>
              <w:t xml:space="preserve"> March 2014</w:t>
            </w:r>
          </w:p>
        </w:tc>
      </w:tr>
      <w:tr w:rsidR="00F3317D" w:rsidRPr="00A70234" w14:paraId="4F85570A" w14:textId="5AF0A272" w:rsidTr="003F4C5A">
        <w:tc>
          <w:tcPr>
            <w:tcW w:w="1129" w:type="dxa"/>
            <w:vAlign w:val="center"/>
          </w:tcPr>
          <w:p w14:paraId="2F079829" w14:textId="4E8F61F9" w:rsidR="00F3317D" w:rsidRPr="00A70234" w:rsidRDefault="00974542" w:rsidP="00341348">
            <w:pPr>
              <w:tabs>
                <w:tab w:val="clear" w:pos="794"/>
                <w:tab w:val="left" w:pos="426"/>
              </w:tabs>
              <w:spacing w:before="0" w:line="240" w:lineRule="auto"/>
              <w:jc w:val="left"/>
              <w:rPr>
                <w:rFonts w:asciiTheme="minorHAnsi" w:hAnsiTheme="minorHAnsi" w:cstheme="minorHAnsi"/>
                <w:sz w:val="22"/>
              </w:rPr>
            </w:pPr>
            <w:hyperlink r:id="rId16" w:history="1">
              <w:r w:rsidR="00F3317D" w:rsidRPr="00810ED8">
                <w:rPr>
                  <w:rStyle w:val="Hyperlink"/>
                  <w:rFonts w:asciiTheme="minorHAnsi" w:hAnsiTheme="minorHAnsi" w:cstheme="minorHAnsi"/>
                  <w:sz w:val="22"/>
                </w:rPr>
                <w:t>CR/261</w:t>
              </w:r>
            </w:hyperlink>
            <w:r w:rsidR="00810ED8">
              <w:rPr>
                <w:rFonts w:asciiTheme="minorHAnsi" w:hAnsiTheme="minorHAnsi" w:cstheme="minorHAnsi"/>
                <w:sz w:val="22"/>
              </w:rPr>
              <w:t>,</w:t>
            </w:r>
          </w:p>
          <w:p w14:paraId="76892140" w14:textId="103BB851" w:rsidR="00F3317D" w:rsidRPr="00A70234" w:rsidRDefault="00810ED8" w:rsidP="00341348">
            <w:pPr>
              <w:tabs>
                <w:tab w:val="clear" w:pos="794"/>
                <w:tab w:val="left" w:pos="426"/>
              </w:tabs>
              <w:spacing w:before="0" w:line="240" w:lineRule="auto"/>
              <w:jc w:val="left"/>
              <w:rPr>
                <w:rFonts w:asciiTheme="minorHAnsi" w:hAnsiTheme="minorHAnsi" w:cstheme="minorHAnsi"/>
                <w:sz w:val="22"/>
                <w:lang w:val="en-GB"/>
              </w:rPr>
            </w:pPr>
            <w:r>
              <w:rPr>
                <w:rFonts w:asciiTheme="minorHAnsi" w:hAnsiTheme="minorHAnsi" w:cstheme="minorHAnsi"/>
                <w:sz w:val="22"/>
              </w:rPr>
              <w:t>0</w:t>
            </w:r>
            <w:r w:rsidR="00F3317D" w:rsidRPr="00A70234">
              <w:rPr>
                <w:rFonts w:asciiTheme="minorHAnsi" w:hAnsiTheme="minorHAnsi" w:cstheme="minorHAnsi"/>
                <w:sz w:val="22"/>
              </w:rPr>
              <w:t>3.08.2006</w:t>
            </w:r>
          </w:p>
        </w:tc>
        <w:tc>
          <w:tcPr>
            <w:tcW w:w="3397" w:type="dxa"/>
            <w:vAlign w:val="center"/>
          </w:tcPr>
          <w:p w14:paraId="05CD7D9A" w14:textId="56160E2F" w:rsidR="00F3317D" w:rsidRPr="003F4C5A" w:rsidRDefault="00F3317D" w:rsidP="003F4C5A">
            <w:pPr>
              <w:rPr>
                <w:rFonts w:asciiTheme="minorHAnsi" w:hAnsiTheme="minorHAnsi" w:cstheme="minorHAnsi"/>
                <w:sz w:val="22"/>
              </w:rPr>
            </w:pPr>
            <w:r w:rsidRPr="00A70234">
              <w:rPr>
                <w:rFonts w:asciiTheme="minorHAnsi" w:hAnsiTheme="minorHAnsi" w:cstheme="minorHAnsi"/>
                <w:sz w:val="22"/>
              </w:rPr>
              <w:t>File formats for submission of electronic notices related to assignments of terrestrial services other than broadcasting in the planning area and bands governed by the Regional Agreement relating to the planning of the digital terrestrial broadcasting service in Region 1 (parts of Region 1 situated to the west of meridian 170° E and to the north of parallel 40° S, except the territory of Mongolia) and in the Islamic Republic of Iran, in the frequency bands 174</w:t>
            </w:r>
            <w:r>
              <w:rPr>
                <w:rFonts w:asciiTheme="minorHAnsi" w:hAnsiTheme="minorHAnsi" w:cstheme="minorHAnsi"/>
                <w:sz w:val="22"/>
              </w:rPr>
              <w:t>-</w:t>
            </w:r>
            <w:r w:rsidRPr="00A70234">
              <w:rPr>
                <w:rFonts w:asciiTheme="minorHAnsi" w:hAnsiTheme="minorHAnsi" w:cstheme="minorHAnsi"/>
                <w:sz w:val="22"/>
              </w:rPr>
              <w:t>230 MHz and 470-862 MHz (Geneva, 2006)</w:t>
            </w:r>
          </w:p>
        </w:tc>
        <w:tc>
          <w:tcPr>
            <w:tcW w:w="3134" w:type="dxa"/>
          </w:tcPr>
          <w:p w14:paraId="37583F68" w14:textId="04AB0E22" w:rsidR="00F3317D" w:rsidRPr="003F4C5A" w:rsidRDefault="00974542" w:rsidP="00341348">
            <w:pPr>
              <w:numPr>
                <w:ilvl w:val="0"/>
                <w:numId w:val="4"/>
              </w:numPr>
              <w:shd w:val="clear" w:color="auto" w:fill="FFFFFF"/>
              <w:tabs>
                <w:tab w:val="clear" w:pos="794"/>
                <w:tab w:val="clear" w:pos="1191"/>
                <w:tab w:val="clear" w:pos="1588"/>
                <w:tab w:val="clear" w:pos="1985"/>
              </w:tabs>
              <w:overflowPunct/>
              <w:autoSpaceDE/>
              <w:autoSpaceDN/>
              <w:adjustRightInd/>
              <w:spacing w:before="0" w:line="240" w:lineRule="auto"/>
              <w:ind w:left="0"/>
              <w:jc w:val="left"/>
              <w:rPr>
                <w:rFonts w:asciiTheme="minorHAnsi" w:hAnsiTheme="minorHAnsi" w:cstheme="minorHAnsi"/>
                <w:sz w:val="22"/>
              </w:rPr>
            </w:pPr>
            <w:hyperlink r:id="rId17" w:history="1">
              <w:r w:rsidR="00642CB9" w:rsidRPr="005C120A">
                <w:rPr>
                  <w:rStyle w:val="Hyperlink"/>
                </w:rPr>
                <w:t>Guidelines for GE06 submissions related to terrestrial services other than broadcasting</w:t>
              </w:r>
            </w:hyperlink>
          </w:p>
        </w:tc>
        <w:tc>
          <w:tcPr>
            <w:tcW w:w="1969" w:type="dxa"/>
          </w:tcPr>
          <w:p w14:paraId="5C94E43A" w14:textId="180C454E" w:rsidR="00F3317D" w:rsidRDefault="00642CB9" w:rsidP="003222DB">
            <w:pPr>
              <w:numPr>
                <w:ilvl w:val="0"/>
                <w:numId w:val="4"/>
              </w:numPr>
              <w:shd w:val="clear" w:color="auto" w:fill="FFFFFF"/>
              <w:tabs>
                <w:tab w:val="clear" w:pos="794"/>
                <w:tab w:val="clear" w:pos="1191"/>
                <w:tab w:val="clear" w:pos="1588"/>
                <w:tab w:val="clear" w:pos="1985"/>
              </w:tabs>
              <w:overflowPunct/>
              <w:autoSpaceDE/>
              <w:autoSpaceDN/>
              <w:adjustRightInd/>
              <w:spacing w:before="0" w:line="240" w:lineRule="auto"/>
              <w:ind w:left="0"/>
              <w:jc w:val="left"/>
            </w:pPr>
            <w:r>
              <w:t>December 2016</w:t>
            </w:r>
          </w:p>
        </w:tc>
      </w:tr>
      <w:tr w:rsidR="00F3317D" w:rsidRPr="00A70234" w14:paraId="4D099868" w14:textId="570465BA" w:rsidTr="003F4C5A">
        <w:tc>
          <w:tcPr>
            <w:tcW w:w="1129" w:type="dxa"/>
          </w:tcPr>
          <w:p w14:paraId="4F0F1BB4" w14:textId="44394342" w:rsidR="00F3317D" w:rsidRPr="00A70234" w:rsidRDefault="00974542" w:rsidP="00155CAB">
            <w:pPr>
              <w:tabs>
                <w:tab w:val="clear" w:pos="794"/>
                <w:tab w:val="left" w:pos="426"/>
              </w:tabs>
              <w:spacing w:before="0" w:line="240" w:lineRule="auto"/>
              <w:jc w:val="left"/>
              <w:rPr>
                <w:rFonts w:asciiTheme="minorHAnsi" w:hAnsiTheme="minorHAnsi" w:cstheme="minorHAnsi"/>
                <w:sz w:val="22"/>
              </w:rPr>
            </w:pPr>
            <w:hyperlink r:id="rId18" w:history="1">
              <w:r w:rsidR="00F3317D" w:rsidRPr="00810ED8">
                <w:rPr>
                  <w:rStyle w:val="Hyperlink"/>
                  <w:rFonts w:asciiTheme="minorHAnsi" w:hAnsiTheme="minorHAnsi" w:cstheme="minorHAnsi"/>
                  <w:sz w:val="22"/>
                </w:rPr>
                <w:t>CR/262</w:t>
              </w:r>
            </w:hyperlink>
            <w:r w:rsidR="00810ED8">
              <w:rPr>
                <w:rFonts w:asciiTheme="minorHAnsi" w:hAnsiTheme="minorHAnsi" w:cstheme="minorHAnsi"/>
                <w:sz w:val="22"/>
              </w:rPr>
              <w:t>,</w:t>
            </w:r>
          </w:p>
          <w:p w14:paraId="0AAAF4EE" w14:textId="11A69B57" w:rsidR="00F3317D" w:rsidRPr="00A70234" w:rsidRDefault="00F3317D" w:rsidP="00155CAB">
            <w:pPr>
              <w:tabs>
                <w:tab w:val="clear" w:pos="794"/>
                <w:tab w:val="left" w:pos="426"/>
              </w:tabs>
              <w:spacing w:before="0" w:line="240" w:lineRule="auto"/>
              <w:jc w:val="left"/>
              <w:rPr>
                <w:rFonts w:asciiTheme="minorHAnsi" w:hAnsiTheme="minorHAnsi" w:cstheme="minorHAnsi"/>
                <w:sz w:val="22"/>
              </w:rPr>
            </w:pPr>
            <w:r w:rsidRPr="00A70234">
              <w:rPr>
                <w:rFonts w:asciiTheme="minorHAnsi" w:hAnsiTheme="minorHAnsi" w:cstheme="minorHAnsi"/>
                <w:sz w:val="22"/>
              </w:rPr>
              <w:t>11.08.2006</w:t>
            </w:r>
          </w:p>
        </w:tc>
        <w:tc>
          <w:tcPr>
            <w:tcW w:w="3397" w:type="dxa"/>
          </w:tcPr>
          <w:p w14:paraId="5B8305FB" w14:textId="1948DEFB" w:rsidR="00F3317D" w:rsidRPr="00A70234" w:rsidRDefault="00F3317D" w:rsidP="00155CAB">
            <w:pPr>
              <w:spacing w:before="0"/>
              <w:rPr>
                <w:rFonts w:asciiTheme="minorHAnsi" w:hAnsiTheme="minorHAnsi" w:cstheme="minorHAnsi"/>
                <w:sz w:val="22"/>
              </w:rPr>
            </w:pPr>
            <w:r w:rsidRPr="00A70234">
              <w:rPr>
                <w:rFonts w:asciiTheme="minorHAnsi" w:hAnsiTheme="minorHAnsi" w:cstheme="minorHAnsi"/>
                <w:sz w:val="22"/>
              </w:rPr>
              <w:t>File formats for submission of electronic notices related to analogue and digital broadcasting assignments/allotments for the application of Article 4 and 5 of the Regional Agreement relating to the planning of the digital terrestrial broadcasting service in Region 1  (parts of Region 1 situated to the west of meridian 170° E and to the north of parallel 40° S, except the territory of Mongolia) and in the Islamic Republic of Iran, in the frequency bands 174</w:t>
            </w:r>
            <w:r>
              <w:rPr>
                <w:rFonts w:asciiTheme="minorHAnsi" w:hAnsiTheme="minorHAnsi" w:cstheme="minorHAnsi"/>
                <w:sz w:val="22"/>
              </w:rPr>
              <w:t>-</w:t>
            </w:r>
            <w:r w:rsidRPr="00A70234">
              <w:rPr>
                <w:rFonts w:asciiTheme="minorHAnsi" w:hAnsiTheme="minorHAnsi" w:cstheme="minorHAnsi"/>
                <w:sz w:val="22"/>
              </w:rPr>
              <w:t>230 MHz and 470-862 MHz (Geneva, 2006)</w:t>
            </w:r>
          </w:p>
        </w:tc>
        <w:tc>
          <w:tcPr>
            <w:tcW w:w="3134" w:type="dxa"/>
          </w:tcPr>
          <w:p w14:paraId="4C895EE0" w14:textId="657A09A1" w:rsidR="00F3317D" w:rsidRPr="00A70234" w:rsidRDefault="00974542" w:rsidP="00155CAB">
            <w:pPr>
              <w:shd w:val="clear" w:color="auto" w:fill="FFFFFF"/>
              <w:tabs>
                <w:tab w:val="clear" w:pos="794"/>
                <w:tab w:val="clear" w:pos="1191"/>
                <w:tab w:val="clear" w:pos="1588"/>
                <w:tab w:val="clear" w:pos="1985"/>
              </w:tabs>
              <w:overflowPunct/>
              <w:autoSpaceDE/>
              <w:autoSpaceDN/>
              <w:adjustRightInd/>
              <w:spacing w:before="0" w:line="240" w:lineRule="auto"/>
              <w:jc w:val="left"/>
              <w:rPr>
                <w:rFonts w:asciiTheme="minorHAnsi" w:hAnsiTheme="minorHAnsi" w:cstheme="minorHAnsi"/>
                <w:sz w:val="22"/>
              </w:rPr>
            </w:pPr>
            <w:hyperlink r:id="rId19" w:history="1">
              <w:r w:rsidR="00642CB9" w:rsidRPr="005C120A">
                <w:rPr>
                  <w:rStyle w:val="Hyperlink"/>
                </w:rPr>
                <w:t>Guidelines for GE06 submissions related to terrestrial broadcasting services</w:t>
              </w:r>
            </w:hyperlink>
          </w:p>
        </w:tc>
        <w:tc>
          <w:tcPr>
            <w:tcW w:w="1969" w:type="dxa"/>
          </w:tcPr>
          <w:p w14:paraId="5EBF768C" w14:textId="7E9C938A" w:rsidR="00F3317D" w:rsidRDefault="00642CB9" w:rsidP="00155CAB">
            <w:pPr>
              <w:shd w:val="clear" w:color="auto" w:fill="FFFFFF"/>
              <w:tabs>
                <w:tab w:val="clear" w:pos="794"/>
                <w:tab w:val="clear" w:pos="1191"/>
                <w:tab w:val="clear" w:pos="1588"/>
                <w:tab w:val="clear" w:pos="1985"/>
              </w:tabs>
              <w:overflowPunct/>
              <w:autoSpaceDE/>
              <w:autoSpaceDN/>
              <w:adjustRightInd/>
              <w:spacing w:before="0" w:line="240" w:lineRule="auto"/>
              <w:jc w:val="left"/>
            </w:pPr>
            <w:r>
              <w:t>July 2020</w:t>
            </w:r>
          </w:p>
        </w:tc>
      </w:tr>
    </w:tbl>
    <w:p w14:paraId="6E9E51EA" w14:textId="77777777" w:rsidR="009F4A0D" w:rsidRPr="009F4A0D" w:rsidRDefault="009F4A0D" w:rsidP="00341348">
      <w:pPr>
        <w:tabs>
          <w:tab w:val="clear" w:pos="794"/>
          <w:tab w:val="left" w:pos="426"/>
        </w:tabs>
        <w:spacing w:before="0" w:line="240" w:lineRule="auto"/>
        <w:jc w:val="left"/>
        <w:rPr>
          <w:sz w:val="22"/>
          <w:lang w:val="en-GB"/>
        </w:rPr>
      </w:pPr>
    </w:p>
    <w:p w14:paraId="37DB0C9D" w14:textId="04320287" w:rsidR="001A723E" w:rsidRDefault="001A723E" w:rsidP="00341348">
      <w:pPr>
        <w:tabs>
          <w:tab w:val="clear" w:pos="794"/>
          <w:tab w:val="left" w:pos="426"/>
        </w:tabs>
        <w:spacing w:before="0" w:line="240" w:lineRule="auto"/>
        <w:jc w:val="left"/>
        <w:rPr>
          <w:sz w:val="18"/>
          <w:szCs w:val="18"/>
          <w:lang w:val="en-GB"/>
        </w:rPr>
      </w:pPr>
    </w:p>
    <w:p w14:paraId="0D9795F1" w14:textId="0B5FE811" w:rsidR="002213D7" w:rsidRPr="002213D7" w:rsidRDefault="002213D7" w:rsidP="002213D7">
      <w:pPr>
        <w:rPr>
          <w:sz w:val="18"/>
          <w:szCs w:val="18"/>
          <w:lang w:val="en-GB"/>
        </w:rPr>
      </w:pPr>
    </w:p>
    <w:p w14:paraId="79567969" w14:textId="057CBBEA" w:rsidR="002213D7" w:rsidRDefault="002213D7" w:rsidP="002213D7">
      <w:pPr>
        <w:rPr>
          <w:sz w:val="18"/>
          <w:szCs w:val="18"/>
          <w:lang w:val="en-GB"/>
        </w:rPr>
      </w:pPr>
    </w:p>
    <w:p w14:paraId="1D41C2C5" w14:textId="528BB243" w:rsidR="002213D7" w:rsidRPr="002213D7" w:rsidRDefault="002213D7" w:rsidP="002213D7">
      <w:pPr>
        <w:jc w:val="center"/>
        <w:rPr>
          <w:sz w:val="18"/>
          <w:szCs w:val="18"/>
          <w:lang w:val="en-GB"/>
        </w:rPr>
      </w:pPr>
      <w:r>
        <w:rPr>
          <w:sz w:val="18"/>
          <w:szCs w:val="18"/>
          <w:lang w:val="en-GB"/>
        </w:rPr>
        <w:t>____________________</w:t>
      </w:r>
    </w:p>
    <w:sectPr w:rsidR="002213D7" w:rsidRPr="002213D7" w:rsidSect="00D3230A">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D9E7" w14:textId="77777777" w:rsidR="008F50EB" w:rsidRDefault="008F50EB">
      <w:r>
        <w:separator/>
      </w:r>
    </w:p>
  </w:endnote>
  <w:endnote w:type="continuationSeparator" w:id="0">
    <w:p w14:paraId="24380F35" w14:textId="77777777" w:rsidR="008F50EB" w:rsidRDefault="008F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ED04" w14:textId="41C6EBB1" w:rsidR="00D3230A" w:rsidRPr="003F4C5A" w:rsidRDefault="00D3230A" w:rsidP="00D3230A">
    <w:pPr>
      <w:pStyle w:val="Footer"/>
      <w:tabs>
        <w:tab w:val="clear" w:pos="4320"/>
        <w:tab w:val="clear" w:pos="8640"/>
        <w:tab w:val="center" w:pos="5103"/>
        <w:tab w:val="right" w:pos="9639"/>
      </w:tabs>
      <w:rPr>
        <w:sz w:val="16"/>
        <w:szCs w:val="16"/>
        <w:lang w:val="en-GB"/>
      </w:rPr>
    </w:pPr>
    <w:r w:rsidRPr="00D3230A">
      <w:rPr>
        <w:sz w:val="16"/>
        <w:szCs w:val="16"/>
      </w:rPr>
      <w:fldChar w:fldCharType="begin"/>
    </w:r>
    <w:r w:rsidRPr="003F4C5A">
      <w:rPr>
        <w:sz w:val="16"/>
        <w:szCs w:val="16"/>
        <w:lang w:val="en-GB"/>
      </w:rPr>
      <w:instrText xml:space="preserve"> FILENAME \p  \* MERGEFORMAT </w:instrText>
    </w:r>
    <w:r w:rsidRPr="00D3230A">
      <w:rPr>
        <w:sz w:val="16"/>
        <w:szCs w:val="16"/>
      </w:rPr>
      <w:fldChar w:fldCharType="separate"/>
    </w:r>
    <w:r w:rsidR="00D870EB">
      <w:rPr>
        <w:noProof/>
        <w:sz w:val="16"/>
        <w:szCs w:val="16"/>
        <w:lang w:val="en-GB"/>
      </w:rPr>
      <w:t>X:\BR\BRTSD\TPR\berrod\Draft_Circular_notification_guidelines_22_09_2022 revMM.docx</w:t>
    </w:r>
    <w:r w:rsidRPr="00D3230A">
      <w:rPr>
        <w:noProof/>
        <w:sz w:val="16"/>
        <w:szCs w:val="16"/>
      </w:rPr>
      <w:fldChar w:fldCharType="end"/>
    </w:r>
    <w:r w:rsidRPr="003F4C5A">
      <w:rPr>
        <w:noProof/>
        <w:sz w:val="16"/>
        <w:szCs w:val="16"/>
        <w:lang w:val="en-GB"/>
      </w:rPr>
      <w:t xml:space="preserve"> (352934)</w:t>
    </w:r>
    <w:r w:rsidRPr="003F4C5A">
      <w:rPr>
        <w:sz w:val="16"/>
        <w:szCs w:val="16"/>
        <w:lang w:val="en-GB"/>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974542">
      <w:rPr>
        <w:noProof/>
        <w:sz w:val="16"/>
        <w:szCs w:val="16"/>
      </w:rPr>
      <w:t>11.10.22</w:t>
    </w:r>
    <w:r w:rsidRPr="00D3230A">
      <w:rPr>
        <w:sz w:val="16"/>
        <w:szCs w:val="16"/>
      </w:rPr>
      <w:fldChar w:fldCharType="end"/>
    </w:r>
    <w:r w:rsidRPr="003F4C5A">
      <w:rPr>
        <w:sz w:val="16"/>
        <w:szCs w:val="16"/>
        <w:lang w:val="en-GB"/>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D870EB">
      <w:rPr>
        <w:noProof/>
        <w:sz w:val="16"/>
        <w:szCs w:val="16"/>
      </w:rPr>
      <w:t>26.09.22</w:t>
    </w:r>
    <w:r w:rsidRPr="00D3230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BB28" w14:textId="77777777" w:rsidR="004747E7" w:rsidRDefault="004747E7" w:rsidP="004747E7">
    <w:pPr>
      <w:pStyle w:val="Footer"/>
    </w:pPr>
  </w:p>
  <w:p w14:paraId="62B2C99E" w14:textId="77777777" w:rsidR="004747E7" w:rsidRDefault="00474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D421" w14:textId="77777777" w:rsidR="00E915AF" w:rsidRPr="009C73BF" w:rsidRDefault="009C73BF" w:rsidP="009C73BF">
    <w:pPr>
      <w:pStyle w:val="FirstFooter"/>
      <w:spacing w:line="240" w:lineRule="auto"/>
      <w:ind w:left="-397" w:right="-397"/>
      <w:jc w:val="center"/>
      <w:rPr>
        <w:color w:val="3E8EDE"/>
        <w:sz w:val="18"/>
        <w:szCs w:val="18"/>
        <w:lang w:val="fr-CH"/>
      </w:rPr>
    </w:pPr>
    <w:r>
      <w:rPr>
        <w:color w:val="3E8EDE"/>
        <w:sz w:val="18"/>
        <w:szCs w:val="18"/>
        <w:lang w:val="fr-CH"/>
      </w:rPr>
      <w:t xml:space="preserve">International </w:t>
    </w:r>
    <w:proofErr w:type="spellStart"/>
    <w:r>
      <w:rPr>
        <w:color w:val="3E8EDE"/>
        <w:sz w:val="18"/>
        <w:szCs w:val="18"/>
        <w:lang w:val="fr-CH"/>
      </w:rPr>
      <w:t>Telecommunication</w:t>
    </w:r>
    <w:proofErr w:type="spellEnd"/>
    <w:r>
      <w:rPr>
        <w:color w:val="3E8EDE"/>
        <w:sz w:val="18"/>
        <w:szCs w:val="18"/>
        <w:lang w:val="fr-CH"/>
      </w:rPr>
      <w:t xml:space="preserve"> Union • Place des Nations, CH</w:t>
    </w:r>
    <w:r>
      <w:rPr>
        <w:color w:val="3E8EDE"/>
        <w:sz w:val="18"/>
        <w:szCs w:val="18"/>
        <w:lang w:val="fr-CH"/>
      </w:rPr>
      <w:noBreakHyphen/>
      <w:t xml:space="preserve">1211 Geneva 20, </w:t>
    </w:r>
    <w:proofErr w:type="spellStart"/>
    <w:r>
      <w:rPr>
        <w:color w:val="3E8EDE"/>
        <w:sz w:val="18"/>
        <w:szCs w:val="18"/>
        <w:lang w:val="fr-CH"/>
      </w:rPr>
      <w:t>Switzerland</w:t>
    </w:r>
    <w:proofErr w:type="spellEnd"/>
    <w:r>
      <w:rPr>
        <w:color w:val="3E8EDE"/>
        <w:sz w:val="18"/>
        <w:szCs w:val="18"/>
        <w:lang w:val="fr-CH"/>
      </w:rPr>
      <w:t xml:space="preserve"> </w:t>
    </w:r>
    <w:r>
      <w:rPr>
        <w:color w:val="3E8EDE"/>
        <w:sz w:val="18"/>
        <w:szCs w:val="18"/>
        <w:lang w:val="fr-CH"/>
      </w:rPr>
      <w:br/>
      <w:t xml:space="preserve">Tel: +41 22 730 5111 • Fax: +41 22 733 7256 • </w:t>
    </w:r>
    <w:r>
      <w:rPr>
        <w:color w:val="3E8EDE"/>
        <w:sz w:val="18"/>
        <w:szCs w:val="18"/>
        <w:lang w:val="fr-CH"/>
      </w:rPr>
      <w:br/>
      <w:t xml:space="preserve">E-mail: </w:t>
    </w:r>
    <w:hyperlink r:id="rId1" w:history="1">
      <w:r>
        <w:rPr>
          <w:rStyle w:val="Hyperlink"/>
          <w:color w:val="3E8EDE"/>
          <w:sz w:val="18"/>
          <w:szCs w:val="18"/>
          <w:lang w:val="fr-CH"/>
        </w:rPr>
        <w:t>itumail@itu.int</w:t>
      </w:r>
    </w:hyperlink>
    <w:r>
      <w:rPr>
        <w:color w:val="3E8EDE"/>
        <w:sz w:val="18"/>
        <w:szCs w:val="18"/>
        <w:lang w:val="fr-CH"/>
      </w:rPr>
      <w:t xml:space="preserve"> • </w:t>
    </w:r>
    <w:hyperlink r:id="rId2" w:history="1">
      <w:r>
        <w:rPr>
          <w:rStyle w:val="Hyperlink"/>
          <w:color w:val="3E8EDE"/>
          <w:sz w:val="18"/>
          <w:szCs w:val="18"/>
          <w:lang w:val="fr-CH"/>
        </w:rPr>
        <w:t>www.itu.int</w:t>
      </w:r>
    </w:hyperlink>
    <w:r>
      <w:rPr>
        <w:color w:val="3E8EDE"/>
        <w:sz w:val="18"/>
        <w:szCs w:val="18"/>
        <w:lang w:val="fr-CH"/>
      </w:rPr>
      <w:t xml:space="preserve"> • </w:t>
    </w:r>
    <w:hyperlink r:id="rId3" w:history="1">
      <w:r>
        <w:rPr>
          <w:rStyle w:val="Hyperlink"/>
          <w:color w:val="3E8EDE"/>
          <w:sz w:val="18"/>
          <w:lang w:val="fr-CH"/>
        </w:rPr>
        <w:t>www.itu150.org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E34C" w14:textId="77777777" w:rsidR="008F50EB" w:rsidRDefault="008F50EB">
      <w:r>
        <w:t>____________________</w:t>
      </w:r>
    </w:p>
  </w:footnote>
  <w:footnote w:type="continuationSeparator" w:id="0">
    <w:p w14:paraId="7AFB0488" w14:textId="77777777" w:rsidR="008F50EB" w:rsidRDefault="008F50EB">
      <w:r>
        <w:continuationSeparator/>
      </w:r>
    </w:p>
  </w:footnote>
  <w:footnote w:id="1">
    <w:p w14:paraId="71CC32C5" w14:textId="008E03A4" w:rsidR="00F3317D" w:rsidRDefault="00F3317D" w:rsidP="00253DA9">
      <w:pPr>
        <w:tabs>
          <w:tab w:val="clear" w:pos="794"/>
          <w:tab w:val="left" w:pos="426"/>
        </w:tabs>
        <w:spacing w:before="0" w:line="240" w:lineRule="auto"/>
        <w:jc w:val="left"/>
        <w:rPr>
          <w:sz w:val="18"/>
          <w:szCs w:val="18"/>
          <w:lang w:val="en-GB"/>
        </w:rPr>
      </w:pPr>
      <w:r>
        <w:rPr>
          <w:rStyle w:val="FootnoteReference"/>
        </w:rPr>
        <w:footnoteRef/>
      </w:r>
      <w:r>
        <w:t xml:space="preserve"> </w:t>
      </w:r>
      <w:r w:rsidRPr="00253DA9">
        <w:rPr>
          <w:sz w:val="20"/>
          <w:szCs w:val="20"/>
          <w:lang w:val="en-GB"/>
        </w:rPr>
        <w:t xml:space="preserve">It is </w:t>
      </w:r>
      <w:r w:rsidRPr="00A70234">
        <w:rPr>
          <w:sz w:val="20"/>
          <w:szCs w:val="20"/>
          <w:lang w:val="en-GB"/>
        </w:rPr>
        <w:t>noted that the data item “Directivity of Antenna” in CR/120 was not obligatory for notification. This rule was changed in 2019 and</w:t>
      </w:r>
      <w:r>
        <w:rPr>
          <w:sz w:val="20"/>
          <w:szCs w:val="20"/>
          <w:lang w:val="en-GB"/>
        </w:rPr>
        <w:t xml:space="preserve"> </w:t>
      </w:r>
      <w:r w:rsidRPr="00253DA9">
        <w:rPr>
          <w:sz w:val="20"/>
          <w:szCs w:val="20"/>
          <w:lang w:val="en-GB"/>
        </w:rPr>
        <w:t xml:space="preserve">superseded by the notification guidelines, which made this data item mandatory when submitting </w:t>
      </w:r>
      <w:r w:rsidRPr="00253DA9">
        <w:rPr>
          <w:sz w:val="20"/>
          <w:szCs w:val="20"/>
        </w:rPr>
        <w:t>VHF/UHF television and VHF sound broadcasting assignments.</w:t>
      </w:r>
      <w:r>
        <w:rPr>
          <w:sz w:val="18"/>
          <w:szCs w:val="18"/>
          <w:lang w:val="en-GB"/>
        </w:rPr>
        <w:t xml:space="preserve">  </w:t>
      </w:r>
    </w:p>
    <w:p w14:paraId="25A9CFDB" w14:textId="21A0CA3A" w:rsidR="00F3317D" w:rsidRDefault="00F331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525F" w14:textId="77777777"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7646" w14:textId="77777777"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9C73BF">
          <w:rPr>
            <w:noProof/>
            <w:sz w:val="18"/>
            <w:szCs w:val="18"/>
          </w:rPr>
          <w:t>2</w:t>
        </w:r>
        <w:r w:rsidR="00D3230A" w:rsidRPr="00814E8B">
          <w:rPr>
            <w:noProof/>
            <w:sz w:val="18"/>
            <w:szCs w:val="18"/>
          </w:rPr>
          <w:fldChar w:fldCharType="end"/>
        </w:r>
        <w:r>
          <w:rPr>
            <w:noProof/>
            <w:sz w:val="18"/>
            <w:szCs w:val="18"/>
          </w:rPr>
          <w:t xml:space="preserve"> -</w:t>
        </w:r>
      </w:sdtContent>
    </w:sdt>
  </w:p>
  <w:p w14:paraId="4CDF2A54" w14:textId="77777777" w:rsidR="00E915AF" w:rsidRPr="00AF3325" w:rsidRDefault="00E9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84C59" w14:paraId="6CBC6932" w14:textId="77777777" w:rsidTr="00210C8B">
      <w:tc>
        <w:tcPr>
          <w:tcW w:w="4889" w:type="dxa"/>
        </w:tcPr>
        <w:p w14:paraId="5885A22F" w14:textId="77777777" w:rsidR="00584C59" w:rsidRDefault="00584C59" w:rsidP="00210C8B">
          <w:pPr>
            <w:pStyle w:val="Header"/>
            <w:tabs>
              <w:tab w:val="clear" w:pos="794"/>
              <w:tab w:val="clear" w:pos="4820"/>
            </w:tabs>
            <w:spacing w:before="120" w:line="360" w:lineRule="auto"/>
          </w:pPr>
          <w:r>
            <w:rPr>
              <w:b/>
              <w:bCs/>
              <w:noProof/>
              <w:lang w:val="en-GB" w:eastAsia="zh-CN"/>
            </w:rPr>
            <w:drawing>
              <wp:inline distT="0" distB="0" distL="0" distR="0" wp14:anchorId="3E533047" wp14:editId="186FF16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14:paraId="19ABBE9E" w14:textId="396ECA2F" w:rsidR="00584C59" w:rsidRDefault="00584C59" w:rsidP="00210C8B">
          <w:pPr>
            <w:pStyle w:val="Header"/>
            <w:tabs>
              <w:tab w:val="clear" w:pos="794"/>
              <w:tab w:val="clear" w:pos="4820"/>
            </w:tabs>
            <w:spacing w:line="360" w:lineRule="auto"/>
            <w:jc w:val="right"/>
          </w:pPr>
        </w:p>
      </w:tc>
    </w:tr>
  </w:tbl>
  <w:p w14:paraId="131C8D0A" w14:textId="77777777" w:rsidR="00E915AF" w:rsidRPr="00172063" w:rsidRDefault="00E915AF" w:rsidP="00172063">
    <w:pPr>
      <w:pStyle w:val="Heade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D44360"/>
    <w:multiLevelType w:val="multilevel"/>
    <w:tmpl w:val="004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00B618D"/>
    <w:multiLevelType w:val="multilevel"/>
    <w:tmpl w:val="503C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6752E"/>
    <w:multiLevelType w:val="multilevel"/>
    <w:tmpl w:val="544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Nze2NDIwNjQwsjRU0lEKTi0uzszPAykwrAUAz05s2ywAAAA="/>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575BB"/>
    <w:rsid w:val="00070258"/>
    <w:rsid w:val="0007323C"/>
    <w:rsid w:val="00086D03"/>
    <w:rsid w:val="000A096A"/>
    <w:rsid w:val="000A1132"/>
    <w:rsid w:val="000A375E"/>
    <w:rsid w:val="000A7051"/>
    <w:rsid w:val="000B0AF6"/>
    <w:rsid w:val="000B0E9B"/>
    <w:rsid w:val="000B17FF"/>
    <w:rsid w:val="000B2CAE"/>
    <w:rsid w:val="000B4909"/>
    <w:rsid w:val="000C03C7"/>
    <w:rsid w:val="000C2AD0"/>
    <w:rsid w:val="000E3D95"/>
    <w:rsid w:val="000E3DEE"/>
    <w:rsid w:val="00100B72"/>
    <w:rsid w:val="00101F7D"/>
    <w:rsid w:val="00103C76"/>
    <w:rsid w:val="00104C35"/>
    <w:rsid w:val="00105917"/>
    <w:rsid w:val="0011265F"/>
    <w:rsid w:val="00117282"/>
    <w:rsid w:val="00117389"/>
    <w:rsid w:val="00121C2D"/>
    <w:rsid w:val="001318C8"/>
    <w:rsid w:val="00134404"/>
    <w:rsid w:val="00137A24"/>
    <w:rsid w:val="00144DFB"/>
    <w:rsid w:val="00155CAB"/>
    <w:rsid w:val="00172063"/>
    <w:rsid w:val="001816B7"/>
    <w:rsid w:val="00187CA3"/>
    <w:rsid w:val="00190AB1"/>
    <w:rsid w:val="00196710"/>
    <w:rsid w:val="00196994"/>
    <w:rsid w:val="00197324"/>
    <w:rsid w:val="001A0A9E"/>
    <w:rsid w:val="001A723E"/>
    <w:rsid w:val="001B351B"/>
    <w:rsid w:val="001B6E73"/>
    <w:rsid w:val="001C06DB"/>
    <w:rsid w:val="001C6971"/>
    <w:rsid w:val="001D2785"/>
    <w:rsid w:val="001D4A87"/>
    <w:rsid w:val="001D7070"/>
    <w:rsid w:val="001E73A0"/>
    <w:rsid w:val="001F2170"/>
    <w:rsid w:val="001F3948"/>
    <w:rsid w:val="001F5A49"/>
    <w:rsid w:val="00201097"/>
    <w:rsid w:val="00201B6E"/>
    <w:rsid w:val="002213D7"/>
    <w:rsid w:val="002302B3"/>
    <w:rsid w:val="0023049C"/>
    <w:rsid w:val="00230C66"/>
    <w:rsid w:val="00235A29"/>
    <w:rsid w:val="00241526"/>
    <w:rsid w:val="002443A2"/>
    <w:rsid w:val="00247AB7"/>
    <w:rsid w:val="0025233C"/>
    <w:rsid w:val="00253DA9"/>
    <w:rsid w:val="00264394"/>
    <w:rsid w:val="00266E74"/>
    <w:rsid w:val="00266EFC"/>
    <w:rsid w:val="00283C3B"/>
    <w:rsid w:val="002861E6"/>
    <w:rsid w:val="002861F6"/>
    <w:rsid w:val="00287D18"/>
    <w:rsid w:val="002A2618"/>
    <w:rsid w:val="002A2A76"/>
    <w:rsid w:val="002A421D"/>
    <w:rsid w:val="002A5DD7"/>
    <w:rsid w:val="002B0381"/>
    <w:rsid w:val="002B0CAC"/>
    <w:rsid w:val="002D1957"/>
    <w:rsid w:val="002D25B7"/>
    <w:rsid w:val="002D5A15"/>
    <w:rsid w:val="002D5BDD"/>
    <w:rsid w:val="002E06F1"/>
    <w:rsid w:val="002E2CD8"/>
    <w:rsid w:val="002E3D27"/>
    <w:rsid w:val="002E44C6"/>
    <w:rsid w:val="002F0890"/>
    <w:rsid w:val="002F2531"/>
    <w:rsid w:val="002F4967"/>
    <w:rsid w:val="002F71E4"/>
    <w:rsid w:val="00313B12"/>
    <w:rsid w:val="00316935"/>
    <w:rsid w:val="003222DB"/>
    <w:rsid w:val="003240BD"/>
    <w:rsid w:val="003266ED"/>
    <w:rsid w:val="00331C2F"/>
    <w:rsid w:val="003370B8"/>
    <w:rsid w:val="00340D99"/>
    <w:rsid w:val="00341348"/>
    <w:rsid w:val="00345D38"/>
    <w:rsid w:val="00345EFC"/>
    <w:rsid w:val="00352097"/>
    <w:rsid w:val="003666FF"/>
    <w:rsid w:val="0037309C"/>
    <w:rsid w:val="003765DF"/>
    <w:rsid w:val="00380A6E"/>
    <w:rsid w:val="003836D4"/>
    <w:rsid w:val="003A1F49"/>
    <w:rsid w:val="003A323D"/>
    <w:rsid w:val="003A5D52"/>
    <w:rsid w:val="003B2BDA"/>
    <w:rsid w:val="003B55EC"/>
    <w:rsid w:val="003C0BD0"/>
    <w:rsid w:val="003C2EA7"/>
    <w:rsid w:val="003C4471"/>
    <w:rsid w:val="003C7D41"/>
    <w:rsid w:val="003D1FFE"/>
    <w:rsid w:val="003D4A69"/>
    <w:rsid w:val="003E504F"/>
    <w:rsid w:val="003E78D6"/>
    <w:rsid w:val="003F4C5A"/>
    <w:rsid w:val="004004D4"/>
    <w:rsid w:val="00400573"/>
    <w:rsid w:val="004007A3"/>
    <w:rsid w:val="00406D71"/>
    <w:rsid w:val="00411EB2"/>
    <w:rsid w:val="00420588"/>
    <w:rsid w:val="004326DB"/>
    <w:rsid w:val="0043419F"/>
    <w:rsid w:val="0043682E"/>
    <w:rsid w:val="00447ECB"/>
    <w:rsid w:val="004528B7"/>
    <w:rsid w:val="004623F7"/>
    <w:rsid w:val="004634CD"/>
    <w:rsid w:val="004747E7"/>
    <w:rsid w:val="00480F51"/>
    <w:rsid w:val="00481124"/>
    <w:rsid w:val="004815EB"/>
    <w:rsid w:val="00487569"/>
    <w:rsid w:val="00491349"/>
    <w:rsid w:val="00496864"/>
    <w:rsid w:val="00496920"/>
    <w:rsid w:val="004A4496"/>
    <w:rsid w:val="004B11AB"/>
    <w:rsid w:val="004B11AF"/>
    <w:rsid w:val="004B2A5A"/>
    <w:rsid w:val="004B7C9A"/>
    <w:rsid w:val="004C6779"/>
    <w:rsid w:val="004D733B"/>
    <w:rsid w:val="004E0DC4"/>
    <w:rsid w:val="004E0FB5"/>
    <w:rsid w:val="004E43BB"/>
    <w:rsid w:val="004E460D"/>
    <w:rsid w:val="004F178E"/>
    <w:rsid w:val="004F2698"/>
    <w:rsid w:val="004F4543"/>
    <w:rsid w:val="004F57BB"/>
    <w:rsid w:val="00505309"/>
    <w:rsid w:val="0050789B"/>
    <w:rsid w:val="005224A1"/>
    <w:rsid w:val="00523249"/>
    <w:rsid w:val="00533721"/>
    <w:rsid w:val="00534372"/>
    <w:rsid w:val="00543DF8"/>
    <w:rsid w:val="00546101"/>
    <w:rsid w:val="00553DD7"/>
    <w:rsid w:val="005638CF"/>
    <w:rsid w:val="0056526B"/>
    <w:rsid w:val="0056741E"/>
    <w:rsid w:val="0057325A"/>
    <w:rsid w:val="0057469A"/>
    <w:rsid w:val="00580814"/>
    <w:rsid w:val="00583A0B"/>
    <w:rsid w:val="0058405E"/>
    <w:rsid w:val="00584C59"/>
    <w:rsid w:val="005879E1"/>
    <w:rsid w:val="005A03A3"/>
    <w:rsid w:val="005A2B92"/>
    <w:rsid w:val="005A79E9"/>
    <w:rsid w:val="005B214C"/>
    <w:rsid w:val="005C120A"/>
    <w:rsid w:val="005C49BC"/>
    <w:rsid w:val="005D3669"/>
    <w:rsid w:val="005D3F0E"/>
    <w:rsid w:val="005E5EB3"/>
    <w:rsid w:val="005F05B1"/>
    <w:rsid w:val="005F2B5A"/>
    <w:rsid w:val="005F3CB6"/>
    <w:rsid w:val="005F61F9"/>
    <w:rsid w:val="005F657C"/>
    <w:rsid w:val="00602D53"/>
    <w:rsid w:val="006047E5"/>
    <w:rsid w:val="00617D1E"/>
    <w:rsid w:val="0062378D"/>
    <w:rsid w:val="006247F4"/>
    <w:rsid w:val="00641BEF"/>
    <w:rsid w:val="00642127"/>
    <w:rsid w:val="00642CB9"/>
    <w:rsid w:val="0064371D"/>
    <w:rsid w:val="00650B2A"/>
    <w:rsid w:val="00651777"/>
    <w:rsid w:val="006550F8"/>
    <w:rsid w:val="00656226"/>
    <w:rsid w:val="00671DC3"/>
    <w:rsid w:val="006827E2"/>
    <w:rsid w:val="006829F3"/>
    <w:rsid w:val="006A518B"/>
    <w:rsid w:val="006B0590"/>
    <w:rsid w:val="006B3E7E"/>
    <w:rsid w:val="006B49DA"/>
    <w:rsid w:val="006C50C3"/>
    <w:rsid w:val="006C53F8"/>
    <w:rsid w:val="006C783C"/>
    <w:rsid w:val="006C7CDE"/>
    <w:rsid w:val="006D4B29"/>
    <w:rsid w:val="006E23F7"/>
    <w:rsid w:val="006F5402"/>
    <w:rsid w:val="00701DFA"/>
    <w:rsid w:val="00714B45"/>
    <w:rsid w:val="007234B1"/>
    <w:rsid w:val="00723D08"/>
    <w:rsid w:val="00725126"/>
    <w:rsid w:val="00725FDA"/>
    <w:rsid w:val="00727816"/>
    <w:rsid w:val="00730B9A"/>
    <w:rsid w:val="00750CFA"/>
    <w:rsid w:val="007553DA"/>
    <w:rsid w:val="007578F0"/>
    <w:rsid w:val="007646A5"/>
    <w:rsid w:val="00782354"/>
    <w:rsid w:val="00784D60"/>
    <w:rsid w:val="007921A7"/>
    <w:rsid w:val="00797094"/>
    <w:rsid w:val="007A42E3"/>
    <w:rsid w:val="007B2D2C"/>
    <w:rsid w:val="007B3DB1"/>
    <w:rsid w:val="007B7FF0"/>
    <w:rsid w:val="007C3413"/>
    <w:rsid w:val="007C4AB2"/>
    <w:rsid w:val="007D183E"/>
    <w:rsid w:val="007D2095"/>
    <w:rsid w:val="007D43D0"/>
    <w:rsid w:val="007E1833"/>
    <w:rsid w:val="007E3F13"/>
    <w:rsid w:val="007F751A"/>
    <w:rsid w:val="00800012"/>
    <w:rsid w:val="0080261F"/>
    <w:rsid w:val="00804E90"/>
    <w:rsid w:val="00806160"/>
    <w:rsid w:val="00810ED8"/>
    <w:rsid w:val="008143A4"/>
    <w:rsid w:val="00814E8B"/>
    <w:rsid w:val="0081513E"/>
    <w:rsid w:val="00840C2C"/>
    <w:rsid w:val="00854131"/>
    <w:rsid w:val="0085652D"/>
    <w:rsid w:val="008756CA"/>
    <w:rsid w:val="0087694B"/>
    <w:rsid w:val="00880F4D"/>
    <w:rsid w:val="00891048"/>
    <w:rsid w:val="008B15F1"/>
    <w:rsid w:val="008B35A3"/>
    <w:rsid w:val="008B37E1"/>
    <w:rsid w:val="008B45F8"/>
    <w:rsid w:val="008C2E74"/>
    <w:rsid w:val="008C5E13"/>
    <w:rsid w:val="008D090E"/>
    <w:rsid w:val="008D5409"/>
    <w:rsid w:val="008E006D"/>
    <w:rsid w:val="008E38B4"/>
    <w:rsid w:val="008F34EA"/>
    <w:rsid w:val="008F4F21"/>
    <w:rsid w:val="008F50EB"/>
    <w:rsid w:val="00904D4A"/>
    <w:rsid w:val="009151BA"/>
    <w:rsid w:val="0092139E"/>
    <w:rsid w:val="00925023"/>
    <w:rsid w:val="009277BC"/>
    <w:rsid w:val="00927D57"/>
    <w:rsid w:val="00931A51"/>
    <w:rsid w:val="00947185"/>
    <w:rsid w:val="009518B3"/>
    <w:rsid w:val="00963D9D"/>
    <w:rsid w:val="00974542"/>
    <w:rsid w:val="0098013E"/>
    <w:rsid w:val="009807DE"/>
    <w:rsid w:val="009809CE"/>
    <w:rsid w:val="00981B54"/>
    <w:rsid w:val="009842C3"/>
    <w:rsid w:val="009A009A"/>
    <w:rsid w:val="009A6BB6"/>
    <w:rsid w:val="009B3F43"/>
    <w:rsid w:val="009B5CFA"/>
    <w:rsid w:val="009C161F"/>
    <w:rsid w:val="009C1B41"/>
    <w:rsid w:val="009C3D69"/>
    <w:rsid w:val="009C56B4"/>
    <w:rsid w:val="009C73BF"/>
    <w:rsid w:val="009D51A2"/>
    <w:rsid w:val="009E04A8"/>
    <w:rsid w:val="009E4AEC"/>
    <w:rsid w:val="009E5BD8"/>
    <w:rsid w:val="009E681E"/>
    <w:rsid w:val="009F4A0D"/>
    <w:rsid w:val="009F7C74"/>
    <w:rsid w:val="00A119E6"/>
    <w:rsid w:val="00A200B0"/>
    <w:rsid w:val="00A20FBC"/>
    <w:rsid w:val="00A31370"/>
    <w:rsid w:val="00A313C3"/>
    <w:rsid w:val="00A34D6F"/>
    <w:rsid w:val="00A353C5"/>
    <w:rsid w:val="00A41F91"/>
    <w:rsid w:val="00A434D8"/>
    <w:rsid w:val="00A521FF"/>
    <w:rsid w:val="00A63355"/>
    <w:rsid w:val="00A70234"/>
    <w:rsid w:val="00A7596D"/>
    <w:rsid w:val="00A963DF"/>
    <w:rsid w:val="00AB47C9"/>
    <w:rsid w:val="00AB4EC6"/>
    <w:rsid w:val="00AC0C22"/>
    <w:rsid w:val="00AC3896"/>
    <w:rsid w:val="00AD2CF2"/>
    <w:rsid w:val="00AD5544"/>
    <w:rsid w:val="00AE2D88"/>
    <w:rsid w:val="00AE6F6F"/>
    <w:rsid w:val="00AF3325"/>
    <w:rsid w:val="00AF34D9"/>
    <w:rsid w:val="00AF70DA"/>
    <w:rsid w:val="00B019D3"/>
    <w:rsid w:val="00B03435"/>
    <w:rsid w:val="00B169EA"/>
    <w:rsid w:val="00B34CF9"/>
    <w:rsid w:val="00B37559"/>
    <w:rsid w:val="00B4054B"/>
    <w:rsid w:val="00B45B71"/>
    <w:rsid w:val="00B579B0"/>
    <w:rsid w:val="00B57D11"/>
    <w:rsid w:val="00B649D7"/>
    <w:rsid w:val="00B769FA"/>
    <w:rsid w:val="00B81C2F"/>
    <w:rsid w:val="00B90743"/>
    <w:rsid w:val="00B90C45"/>
    <w:rsid w:val="00B933BE"/>
    <w:rsid w:val="00BB259A"/>
    <w:rsid w:val="00BC27D6"/>
    <w:rsid w:val="00BC56A5"/>
    <w:rsid w:val="00BC6314"/>
    <w:rsid w:val="00BD6738"/>
    <w:rsid w:val="00BD7E5E"/>
    <w:rsid w:val="00BE63DB"/>
    <w:rsid w:val="00BE6574"/>
    <w:rsid w:val="00C07319"/>
    <w:rsid w:val="00C104DE"/>
    <w:rsid w:val="00C16FD2"/>
    <w:rsid w:val="00C17A20"/>
    <w:rsid w:val="00C33709"/>
    <w:rsid w:val="00C4395E"/>
    <w:rsid w:val="00C47FFD"/>
    <w:rsid w:val="00C51E92"/>
    <w:rsid w:val="00C572D8"/>
    <w:rsid w:val="00C57E2C"/>
    <w:rsid w:val="00C608B7"/>
    <w:rsid w:val="00C66F24"/>
    <w:rsid w:val="00C75904"/>
    <w:rsid w:val="00C764ED"/>
    <w:rsid w:val="00C76D7F"/>
    <w:rsid w:val="00C813AA"/>
    <w:rsid w:val="00C818D7"/>
    <w:rsid w:val="00C9291E"/>
    <w:rsid w:val="00CA3F44"/>
    <w:rsid w:val="00CA4E58"/>
    <w:rsid w:val="00CB3771"/>
    <w:rsid w:val="00CB44BF"/>
    <w:rsid w:val="00CB5153"/>
    <w:rsid w:val="00CC32F4"/>
    <w:rsid w:val="00CD03CD"/>
    <w:rsid w:val="00CD4E44"/>
    <w:rsid w:val="00CE076A"/>
    <w:rsid w:val="00CE463D"/>
    <w:rsid w:val="00CF0E01"/>
    <w:rsid w:val="00D10BA0"/>
    <w:rsid w:val="00D1704D"/>
    <w:rsid w:val="00D21694"/>
    <w:rsid w:val="00D24EB5"/>
    <w:rsid w:val="00D3230A"/>
    <w:rsid w:val="00D35AB9"/>
    <w:rsid w:val="00D41571"/>
    <w:rsid w:val="00D416A0"/>
    <w:rsid w:val="00D47672"/>
    <w:rsid w:val="00D5123C"/>
    <w:rsid w:val="00D54DDD"/>
    <w:rsid w:val="00D55560"/>
    <w:rsid w:val="00D61C5A"/>
    <w:rsid w:val="00D6790C"/>
    <w:rsid w:val="00D67D83"/>
    <w:rsid w:val="00D73277"/>
    <w:rsid w:val="00D76586"/>
    <w:rsid w:val="00D76B5C"/>
    <w:rsid w:val="00D82657"/>
    <w:rsid w:val="00D870EB"/>
    <w:rsid w:val="00D87E20"/>
    <w:rsid w:val="00D943BA"/>
    <w:rsid w:val="00DA4037"/>
    <w:rsid w:val="00DC141B"/>
    <w:rsid w:val="00DC2097"/>
    <w:rsid w:val="00DD023B"/>
    <w:rsid w:val="00DE3994"/>
    <w:rsid w:val="00DE66A5"/>
    <w:rsid w:val="00DF2B50"/>
    <w:rsid w:val="00DF68B3"/>
    <w:rsid w:val="00E04C86"/>
    <w:rsid w:val="00E17340"/>
    <w:rsid w:val="00E17344"/>
    <w:rsid w:val="00E20F30"/>
    <w:rsid w:val="00E2189C"/>
    <w:rsid w:val="00E25BB1"/>
    <w:rsid w:val="00E27BBA"/>
    <w:rsid w:val="00E30E3F"/>
    <w:rsid w:val="00E35E8F"/>
    <w:rsid w:val="00E428AB"/>
    <w:rsid w:val="00E438E8"/>
    <w:rsid w:val="00E453A3"/>
    <w:rsid w:val="00E477C0"/>
    <w:rsid w:val="00E520E2"/>
    <w:rsid w:val="00E530C4"/>
    <w:rsid w:val="00E55996"/>
    <w:rsid w:val="00E64254"/>
    <w:rsid w:val="00E64B10"/>
    <w:rsid w:val="00E67928"/>
    <w:rsid w:val="00E70FB5"/>
    <w:rsid w:val="00E915AF"/>
    <w:rsid w:val="00E96415"/>
    <w:rsid w:val="00EA15B3"/>
    <w:rsid w:val="00EB2358"/>
    <w:rsid w:val="00EB3EB8"/>
    <w:rsid w:val="00EC02FE"/>
    <w:rsid w:val="00EC4A96"/>
    <w:rsid w:val="00ED3CDC"/>
    <w:rsid w:val="00EE1AB9"/>
    <w:rsid w:val="00EF059F"/>
    <w:rsid w:val="00F064AE"/>
    <w:rsid w:val="00F11299"/>
    <w:rsid w:val="00F25C4F"/>
    <w:rsid w:val="00F32ED2"/>
    <w:rsid w:val="00F3317D"/>
    <w:rsid w:val="00F424BF"/>
    <w:rsid w:val="00F44FC3"/>
    <w:rsid w:val="00F46107"/>
    <w:rsid w:val="00F468C5"/>
    <w:rsid w:val="00F52F39"/>
    <w:rsid w:val="00F55C75"/>
    <w:rsid w:val="00F6184F"/>
    <w:rsid w:val="00F8310E"/>
    <w:rsid w:val="00F914DD"/>
    <w:rsid w:val="00F9584D"/>
    <w:rsid w:val="00FA2358"/>
    <w:rsid w:val="00FA32A1"/>
    <w:rsid w:val="00FB2592"/>
    <w:rsid w:val="00FB2810"/>
    <w:rsid w:val="00FB7A2C"/>
    <w:rsid w:val="00FC0C7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E68"/>
  <w15:docId w15:val="{489FB30F-393F-4DDB-AB69-FC1D54B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 w:type="table" w:styleId="TableGrid">
    <w:name w:val="Table Grid"/>
    <w:basedOn w:val="TableNormal"/>
    <w:rsid w:val="005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5BB"/>
    <w:rPr>
      <w:sz w:val="24"/>
      <w:szCs w:val="22"/>
      <w:lang w:val="en-US" w:eastAsia="en-US"/>
    </w:rPr>
  </w:style>
  <w:style w:type="character" w:customStyle="1" w:styleId="FooterChar">
    <w:name w:val="Footer Char"/>
    <w:basedOn w:val="DefaultParagraphFont"/>
    <w:link w:val="Footer"/>
    <w:rsid w:val="004747E7"/>
    <w:rPr>
      <w:sz w:val="24"/>
      <w:szCs w:val="22"/>
      <w:lang w:val="en-US" w:eastAsia="en-US"/>
    </w:rPr>
  </w:style>
  <w:style w:type="character" w:styleId="UnresolvedMention">
    <w:name w:val="Unresolved Mention"/>
    <w:basedOn w:val="DefaultParagraphFont"/>
    <w:uiPriority w:val="99"/>
    <w:semiHidden/>
    <w:unhideWhenUsed/>
    <w:rsid w:val="00784D60"/>
    <w:rPr>
      <w:color w:val="605E5C"/>
      <w:shd w:val="clear" w:color="auto" w:fill="E1DFDD"/>
    </w:rPr>
  </w:style>
  <w:style w:type="paragraph" w:styleId="ListParagraph">
    <w:name w:val="List Paragraph"/>
    <w:basedOn w:val="Normal"/>
    <w:uiPriority w:val="34"/>
    <w:qFormat/>
    <w:rsid w:val="00BB259A"/>
    <w:pPr>
      <w:ind w:left="720"/>
      <w:contextualSpacing/>
    </w:pPr>
  </w:style>
  <w:style w:type="paragraph" w:styleId="CommentSubject">
    <w:name w:val="annotation subject"/>
    <w:basedOn w:val="CommentText"/>
    <w:next w:val="CommentText"/>
    <w:link w:val="CommentSubjectChar"/>
    <w:semiHidden/>
    <w:unhideWhenUsed/>
    <w:rsid w:val="00E64B10"/>
    <w:pPr>
      <w:spacing w:line="240" w:lineRule="auto"/>
    </w:pPr>
    <w:rPr>
      <w:b/>
      <w:bCs/>
      <w:szCs w:val="20"/>
    </w:rPr>
  </w:style>
  <w:style w:type="character" w:customStyle="1" w:styleId="CommentTextChar">
    <w:name w:val="Comment Text Char"/>
    <w:basedOn w:val="DefaultParagraphFont"/>
    <w:link w:val="CommentText"/>
    <w:semiHidden/>
    <w:rsid w:val="00E64B10"/>
    <w:rPr>
      <w:szCs w:val="22"/>
      <w:lang w:val="en-US" w:eastAsia="en-US"/>
    </w:rPr>
  </w:style>
  <w:style w:type="character" w:customStyle="1" w:styleId="CommentSubjectChar">
    <w:name w:val="Comment Subject Char"/>
    <w:basedOn w:val="CommentTextChar"/>
    <w:link w:val="CommentSubject"/>
    <w:semiHidden/>
    <w:rsid w:val="00E64B10"/>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5543">
      <w:bodyDiv w:val="1"/>
      <w:marLeft w:val="0"/>
      <w:marRight w:val="0"/>
      <w:marTop w:val="0"/>
      <w:marBottom w:val="0"/>
      <w:divBdr>
        <w:top w:val="none" w:sz="0" w:space="0" w:color="auto"/>
        <w:left w:val="none" w:sz="0" w:space="0" w:color="auto"/>
        <w:bottom w:val="none" w:sz="0" w:space="0" w:color="auto"/>
        <w:right w:val="none" w:sz="0" w:space="0" w:color="auto"/>
      </w:divBdr>
    </w:div>
    <w:div w:id="408768870">
      <w:bodyDiv w:val="1"/>
      <w:marLeft w:val="0"/>
      <w:marRight w:val="0"/>
      <w:marTop w:val="0"/>
      <w:marBottom w:val="0"/>
      <w:divBdr>
        <w:top w:val="none" w:sz="0" w:space="0" w:color="auto"/>
        <w:left w:val="none" w:sz="0" w:space="0" w:color="auto"/>
        <w:bottom w:val="none" w:sz="0" w:space="0" w:color="auto"/>
        <w:right w:val="none" w:sz="0" w:space="0" w:color="auto"/>
      </w:divBdr>
    </w:div>
    <w:div w:id="471799329">
      <w:bodyDiv w:val="1"/>
      <w:marLeft w:val="0"/>
      <w:marRight w:val="0"/>
      <w:marTop w:val="0"/>
      <w:marBottom w:val="0"/>
      <w:divBdr>
        <w:top w:val="none" w:sz="0" w:space="0" w:color="auto"/>
        <w:left w:val="none" w:sz="0" w:space="0" w:color="auto"/>
        <w:bottom w:val="none" w:sz="0" w:space="0" w:color="auto"/>
        <w:right w:val="none" w:sz="0" w:space="0" w:color="auto"/>
      </w:divBdr>
    </w:div>
    <w:div w:id="110672963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61878423">
      <w:bodyDiv w:val="1"/>
      <w:marLeft w:val="0"/>
      <w:marRight w:val="0"/>
      <w:marTop w:val="0"/>
      <w:marBottom w:val="0"/>
      <w:divBdr>
        <w:top w:val="none" w:sz="0" w:space="0" w:color="auto"/>
        <w:left w:val="none" w:sz="0" w:space="0" w:color="auto"/>
        <w:bottom w:val="none" w:sz="0" w:space="0" w:color="auto"/>
        <w:right w:val="none" w:sz="0" w:space="0" w:color="auto"/>
      </w:divBdr>
    </w:div>
    <w:div w:id="18366478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terrestrial/tpr/Pages/Notification.aspx" TargetMode="External"/><Relationship Id="rId13" Type="http://schemas.openxmlformats.org/officeDocument/2006/relationships/hyperlink" Target="https://www.itu.int/md/R00-CR-CIR-0120/en" TargetMode="External"/><Relationship Id="rId18" Type="http://schemas.openxmlformats.org/officeDocument/2006/relationships/hyperlink" Target="https://www.itu.int/md/R00-CR-CIR-026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R/terrestrial/tpr/Documents/FXM/FXM_Guidelines_English/FXM%20Guidelines_web.pdf" TargetMode="External"/><Relationship Id="rId17" Type="http://schemas.openxmlformats.org/officeDocument/2006/relationships/hyperlink" Target="https://www.itu.int/en/ITU-R/terrestrial/tpr/Documents/os_guide.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00-CR-CIR-026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289/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R/terrestrial/tpr/Documents/LFMF/lfmf_guidelines.pdf" TargetMode="External"/><Relationship Id="rId23" Type="http://schemas.openxmlformats.org/officeDocument/2006/relationships/footer" Target="footer2.xml"/><Relationship Id="rId10" Type="http://schemas.openxmlformats.org/officeDocument/2006/relationships/hyperlink" Target="https://www.itu.int/md/R00-CR-CIR-0270/en" TargetMode="External"/><Relationship Id="rId19" Type="http://schemas.openxmlformats.org/officeDocument/2006/relationships/hyperlink" Target="https://www.itu.int/en/ITU-R/terrestrial/tpr/Documents/GE06_BS/English_guidelines/BS_GE06GuideLines_web.pdf" TargetMode="External"/><Relationship Id="rId4" Type="http://schemas.openxmlformats.org/officeDocument/2006/relationships/settings" Target="settings.xml"/><Relationship Id="rId9" Type="http://schemas.openxmlformats.org/officeDocument/2006/relationships/hyperlink" Target="https://www.itu.int/md/R00-CR-CIR-0118/en" TargetMode="External"/><Relationship Id="rId14" Type="http://schemas.openxmlformats.org/officeDocument/2006/relationships/hyperlink" Target="https://www.itu.int/md/R00-CR-CIR-0125/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6F5A-AAEE-4D75-8F6E-4AB831D4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0</TotalTime>
  <Pages>3</Pages>
  <Words>633</Words>
  <Characters>4904</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5526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Panoussopoulos, Sonia</cp:lastModifiedBy>
  <cp:revision>2</cp:revision>
  <cp:lastPrinted>2022-09-26T07:40:00Z</cp:lastPrinted>
  <dcterms:created xsi:type="dcterms:W3CDTF">2022-10-11T13:32:00Z</dcterms:created>
  <dcterms:modified xsi:type="dcterms:W3CDTF">2022-10-11T13:32:00Z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