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767D3188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CC22432" w14:textId="77777777" w:rsidR="00E53DCE" w:rsidRPr="009C6A12" w:rsidRDefault="009C6A12" w:rsidP="00C37E9B">
            <w:pPr>
              <w:spacing w:before="12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2EF34A83" w14:textId="77777777"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467E4DD8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14:paraId="76E94930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BE214FC" w14:textId="42736F79" w:rsidR="00E53DCE" w:rsidRPr="00924E6D" w:rsidRDefault="00091DF4" w:rsidP="006160CB">
            <w:pPr>
              <w:spacing w:before="0"/>
              <w:jc w:val="left"/>
              <w:rPr>
                <w:szCs w:val="24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通函</w:t>
            </w:r>
          </w:p>
          <w:p w14:paraId="6B4BD4A5" w14:textId="426184B3" w:rsidR="00E53DCE" w:rsidRPr="00924E6D" w:rsidRDefault="00091DF4" w:rsidP="006160CB">
            <w:pPr>
              <w:spacing w:before="0"/>
              <w:jc w:val="left"/>
              <w:rPr>
                <w:b/>
                <w:bCs/>
                <w:szCs w:val="24"/>
              </w:rPr>
            </w:pPr>
            <w:r w:rsidRPr="00924E6D">
              <w:rPr>
                <w:b/>
                <w:bCs/>
                <w:szCs w:val="24"/>
              </w:rPr>
              <w:t>CR</w:t>
            </w:r>
            <w:r w:rsidR="003A0C76" w:rsidRPr="00E40CF2">
              <w:rPr>
                <w:rFonts w:eastAsia="Times New Roman"/>
                <w:b/>
                <w:bCs/>
                <w:szCs w:val="24"/>
                <w:lang w:val="fr-FR"/>
              </w:rPr>
              <w:t>/</w:t>
            </w:r>
            <w:r w:rsidR="003A0C76">
              <w:rPr>
                <w:rFonts w:eastAsia="Times New Roman"/>
                <w:b/>
                <w:bCs/>
                <w:szCs w:val="24"/>
                <w:lang w:val="fr-FR"/>
              </w:rPr>
              <w:t>503</w:t>
            </w:r>
          </w:p>
        </w:tc>
        <w:tc>
          <w:tcPr>
            <w:tcW w:w="2835" w:type="dxa"/>
            <w:shd w:val="clear" w:color="auto" w:fill="auto"/>
          </w:tcPr>
          <w:p w14:paraId="5729BA9F" w14:textId="1CB2D08C" w:rsidR="00E53DCE" w:rsidRPr="00334544" w:rsidRDefault="009C6A12" w:rsidP="006160CB">
            <w:pPr>
              <w:spacing w:before="0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 w:rsidR="00924E6D">
              <w:rPr>
                <w:szCs w:val="24"/>
                <w:lang w:eastAsia="zh-CN"/>
              </w:rPr>
              <w:t>24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3A0C76">
              <w:rPr>
                <w:szCs w:val="24"/>
                <w:lang w:eastAsia="zh-CN"/>
              </w:rPr>
              <w:t>4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3A0C76">
              <w:rPr>
                <w:szCs w:val="24"/>
                <w:lang w:eastAsia="zh-CN"/>
              </w:rPr>
              <w:t>8</w:t>
            </w:r>
            <w:r w:rsidRPr="00334544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14:paraId="000720F2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EA9B810" w14:textId="77777777"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14:paraId="6A93944F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C87A361" w14:textId="77777777"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14:paraId="1206067B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AAD7A88" w14:textId="451A3B54" w:rsidR="00E53DCE" w:rsidRPr="00334544" w:rsidRDefault="00D631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334544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致国际电联</w:t>
            </w:r>
            <w:r w:rsidR="003A0C76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各</w:t>
            </w:r>
            <w:r w:rsidRPr="00334544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成员国主管部门</w:t>
            </w:r>
          </w:p>
          <w:p w14:paraId="2C429976" w14:textId="77777777"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14:paraId="2A5746E2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C336285" w14:textId="77777777"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4FA19614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1471946" w14:textId="77777777"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18667BFC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05075CA7" w14:textId="77777777" w:rsidR="00E53DCE" w:rsidRPr="00334544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067A2EEA" w14:textId="6C7A6A9E" w:rsidR="00E53DCE" w:rsidRPr="00334544" w:rsidRDefault="003A0C76" w:rsidP="001501CD">
            <w:pPr>
              <w:tabs>
                <w:tab w:val="clear" w:pos="1588"/>
                <w:tab w:val="left" w:pos="1560"/>
              </w:tabs>
              <w:spacing w:before="40"/>
              <w:rPr>
                <w:b/>
                <w:bCs/>
                <w:szCs w:val="24"/>
                <w:lang w:eastAsia="zh-CN"/>
              </w:rPr>
            </w:pPr>
            <w:r w:rsidRPr="008A1860">
              <w:rPr>
                <w:rFonts w:hint="eastAsia"/>
                <w:b/>
                <w:bCs/>
                <w:szCs w:val="24"/>
                <w:lang w:eastAsia="zh-CN"/>
              </w:rPr>
              <w:t>为计算《无线电规则》第</w:t>
            </w:r>
            <w:r w:rsidRPr="008A1860">
              <w:rPr>
                <w:rFonts w:hint="eastAsia"/>
                <w:b/>
                <w:bCs/>
                <w:szCs w:val="24"/>
                <w:lang w:eastAsia="zh-CN"/>
              </w:rPr>
              <w:t>5</w:t>
            </w:r>
            <w:r w:rsidRPr="008A1860">
              <w:rPr>
                <w:rFonts w:hint="eastAsia"/>
                <w:b/>
                <w:bCs/>
                <w:szCs w:val="24"/>
                <w:lang w:eastAsia="zh-CN"/>
              </w:rPr>
              <w:t>、</w:t>
            </w:r>
            <w:r w:rsidRPr="008A1860">
              <w:rPr>
                <w:rFonts w:hint="eastAsia"/>
                <w:b/>
                <w:bCs/>
                <w:szCs w:val="24"/>
                <w:lang w:eastAsia="zh-CN"/>
              </w:rPr>
              <w:t>21</w:t>
            </w:r>
            <w:r w:rsidRPr="008A1860">
              <w:rPr>
                <w:rFonts w:hint="eastAsia"/>
                <w:b/>
                <w:bCs/>
                <w:szCs w:val="24"/>
                <w:lang w:eastAsia="zh-CN"/>
              </w:rPr>
              <w:t>和</w:t>
            </w:r>
            <w:r w:rsidRPr="008A1860">
              <w:rPr>
                <w:rFonts w:hint="eastAsia"/>
                <w:b/>
                <w:bCs/>
                <w:szCs w:val="24"/>
                <w:lang w:eastAsia="zh-CN"/>
              </w:rPr>
              <w:t>22</w:t>
            </w:r>
            <w:r w:rsidRPr="008A1860">
              <w:rPr>
                <w:rFonts w:hint="eastAsia"/>
                <w:b/>
                <w:bCs/>
                <w:szCs w:val="24"/>
                <w:lang w:eastAsia="zh-CN"/>
              </w:rPr>
              <w:t>条中的功率通量密度和等效全向辐射功率限值，使用</w:t>
            </w:r>
            <w:r w:rsidRPr="008A1860">
              <w:rPr>
                <w:rFonts w:hint="eastAsia"/>
                <w:b/>
                <w:bCs/>
                <w:szCs w:val="24"/>
                <w:lang w:eastAsia="zh-CN"/>
              </w:rPr>
              <w:t>ITU</w:t>
            </w:r>
            <w:r>
              <w:rPr>
                <w:b/>
                <w:bCs/>
                <w:szCs w:val="24"/>
                <w:lang w:eastAsia="zh-CN"/>
              </w:rPr>
              <w:t>-</w:t>
            </w:r>
            <w:r w:rsidRPr="008A1860">
              <w:rPr>
                <w:rFonts w:hint="eastAsia"/>
                <w:b/>
                <w:bCs/>
                <w:szCs w:val="24"/>
                <w:lang w:eastAsia="zh-CN"/>
              </w:rPr>
              <w:t>R SF.675</w:t>
            </w:r>
            <w:r w:rsidRPr="008A1860">
              <w:rPr>
                <w:rFonts w:hint="eastAsia"/>
                <w:b/>
                <w:bCs/>
                <w:szCs w:val="24"/>
                <w:lang w:eastAsia="zh-CN"/>
              </w:rPr>
              <w:t>建议书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通过</w:t>
            </w:r>
            <w:r w:rsidRPr="008A1860">
              <w:rPr>
                <w:rFonts w:hint="eastAsia"/>
                <w:b/>
                <w:bCs/>
                <w:szCs w:val="24"/>
                <w:lang w:eastAsia="zh-CN"/>
              </w:rPr>
              <w:t>平均带宽定义的发射功率</w:t>
            </w:r>
          </w:p>
        </w:tc>
      </w:tr>
      <w:tr w:rsidR="00E53DCE" w:rsidRPr="00334544" w14:paraId="6608C413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2EAF3622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2BC8A0D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6164C198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7957054F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A73A3EF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1AC13426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163BFC7" w14:textId="77777777"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1FD6BE6E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0FA5D37" w14:textId="77777777"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14:paraId="71C8AD9E" w14:textId="77777777" w:rsidR="003A0C76" w:rsidRPr="00E10158" w:rsidRDefault="003A0C76" w:rsidP="003A0C76">
      <w:pPr>
        <w:ind w:firstLineChars="200" w:firstLine="480"/>
        <w:rPr>
          <w:rFonts w:eastAsia="SimSun"/>
          <w:szCs w:val="24"/>
          <w:lang w:eastAsia="zh-CN"/>
        </w:rPr>
      </w:pPr>
      <w:r w:rsidRPr="008A1860">
        <w:rPr>
          <w:rFonts w:eastAsia="SimSun" w:hint="eastAsia"/>
          <w:szCs w:val="24"/>
          <w:lang w:eastAsia="zh-CN"/>
        </w:rPr>
        <w:t>经</w:t>
      </w:r>
      <w:r w:rsidRPr="008A1860">
        <w:rPr>
          <w:rFonts w:eastAsia="SimSun" w:hint="eastAsia"/>
          <w:szCs w:val="24"/>
          <w:lang w:eastAsia="zh-CN"/>
        </w:rPr>
        <w:t>WRC-12</w:t>
      </w:r>
      <w:r w:rsidRPr="008A1860">
        <w:rPr>
          <w:rFonts w:eastAsia="SimSun" w:hint="eastAsia"/>
          <w:szCs w:val="24"/>
          <w:lang w:eastAsia="zh-CN"/>
        </w:rPr>
        <w:t>修改的《无线电规则》附录</w:t>
      </w:r>
      <w:r w:rsidRPr="008A1860">
        <w:rPr>
          <w:rFonts w:eastAsia="SimSun" w:hint="eastAsia"/>
          <w:b/>
          <w:bCs/>
          <w:szCs w:val="24"/>
          <w:lang w:eastAsia="zh-CN"/>
        </w:rPr>
        <w:t>4</w:t>
      </w:r>
      <w:r w:rsidRPr="008A1860">
        <w:rPr>
          <w:rFonts w:eastAsia="SimSun" w:hint="eastAsia"/>
          <w:szCs w:val="24"/>
          <w:lang w:eastAsia="zh-CN"/>
        </w:rPr>
        <w:t>附件</w:t>
      </w:r>
      <w:r w:rsidRPr="008A1860">
        <w:rPr>
          <w:rFonts w:eastAsia="SimSun" w:hint="eastAsia"/>
          <w:szCs w:val="24"/>
          <w:lang w:eastAsia="zh-CN"/>
        </w:rPr>
        <w:t>2</w:t>
      </w:r>
      <w:r w:rsidRPr="008A1860">
        <w:rPr>
          <w:rFonts w:eastAsia="SimSun" w:hint="eastAsia"/>
          <w:szCs w:val="24"/>
          <w:lang w:eastAsia="zh-CN"/>
        </w:rPr>
        <w:t>表</w:t>
      </w:r>
      <w:r w:rsidRPr="008A1860">
        <w:rPr>
          <w:rFonts w:eastAsia="SimSun" w:hint="eastAsia"/>
          <w:szCs w:val="24"/>
          <w:lang w:eastAsia="zh-CN"/>
        </w:rPr>
        <w:t>A</w:t>
      </w:r>
      <w:r w:rsidRPr="008A1860">
        <w:rPr>
          <w:rFonts w:eastAsia="SimSun" w:hint="eastAsia"/>
          <w:szCs w:val="24"/>
          <w:lang w:eastAsia="zh-CN"/>
        </w:rPr>
        <w:t>、</w:t>
      </w:r>
      <w:r w:rsidRPr="008A1860">
        <w:rPr>
          <w:rFonts w:eastAsia="SimSun" w:hint="eastAsia"/>
          <w:szCs w:val="24"/>
          <w:lang w:eastAsia="zh-CN"/>
        </w:rPr>
        <w:t>B</w:t>
      </w:r>
      <w:r w:rsidRPr="008A1860">
        <w:rPr>
          <w:rFonts w:eastAsia="SimSun" w:hint="eastAsia"/>
          <w:szCs w:val="24"/>
          <w:lang w:eastAsia="zh-CN"/>
        </w:rPr>
        <w:t>、</w:t>
      </w:r>
      <w:r w:rsidRPr="008A1860">
        <w:rPr>
          <w:rFonts w:eastAsia="SimSun" w:hint="eastAsia"/>
          <w:szCs w:val="24"/>
          <w:lang w:eastAsia="zh-CN"/>
        </w:rPr>
        <w:t>C</w:t>
      </w:r>
      <w:r w:rsidRPr="008A1860">
        <w:rPr>
          <w:rFonts w:eastAsia="SimSun" w:hint="eastAsia"/>
          <w:szCs w:val="24"/>
          <w:lang w:eastAsia="zh-CN"/>
        </w:rPr>
        <w:t>和</w:t>
      </w:r>
      <w:r w:rsidRPr="008A1860">
        <w:rPr>
          <w:rFonts w:eastAsia="SimSun" w:hint="eastAsia"/>
          <w:szCs w:val="24"/>
          <w:lang w:eastAsia="zh-CN"/>
        </w:rPr>
        <w:t>D</w:t>
      </w:r>
      <w:r w:rsidRPr="008A1860">
        <w:rPr>
          <w:rFonts w:eastAsia="SimSun" w:hint="eastAsia"/>
          <w:szCs w:val="24"/>
          <w:lang w:eastAsia="zh-CN"/>
        </w:rPr>
        <w:t>的脚注</w:t>
      </w:r>
      <w:r w:rsidRPr="008A1860">
        <w:rPr>
          <w:rFonts w:eastAsia="SimSun" w:hint="eastAsia"/>
          <w:szCs w:val="24"/>
          <w:lang w:eastAsia="zh-CN"/>
        </w:rPr>
        <w:t>2</w:t>
      </w:r>
      <w:r w:rsidRPr="008A1860">
        <w:rPr>
          <w:rFonts w:eastAsia="SimSun" w:hint="eastAsia"/>
          <w:szCs w:val="24"/>
          <w:lang w:eastAsia="zh-CN"/>
        </w:rPr>
        <w:t>指出，</w:t>
      </w:r>
      <w:r>
        <w:rPr>
          <w:rFonts w:eastAsia="SimSun" w:hint="eastAsia"/>
          <w:szCs w:val="24"/>
          <w:lang w:eastAsia="zh-CN"/>
        </w:rPr>
        <w:t>应</w:t>
      </w:r>
      <w:r w:rsidRPr="008A1860">
        <w:rPr>
          <w:rFonts w:eastAsia="SimSun" w:hint="eastAsia"/>
          <w:szCs w:val="24"/>
          <w:lang w:eastAsia="zh-CN"/>
        </w:rPr>
        <w:t>使用最新版的</w:t>
      </w:r>
      <w:r w:rsidRPr="008A1860">
        <w:rPr>
          <w:rFonts w:eastAsia="SimSun" w:hint="eastAsia"/>
          <w:szCs w:val="24"/>
          <w:lang w:eastAsia="zh-CN"/>
        </w:rPr>
        <w:t>ITU</w:t>
      </w:r>
      <w:r>
        <w:rPr>
          <w:rFonts w:eastAsia="SimSun"/>
          <w:szCs w:val="24"/>
          <w:lang w:eastAsia="zh-CN"/>
        </w:rPr>
        <w:t>-</w:t>
      </w:r>
      <w:r w:rsidRPr="008A1860">
        <w:rPr>
          <w:rFonts w:eastAsia="SimSun" w:hint="eastAsia"/>
          <w:szCs w:val="24"/>
          <w:lang w:eastAsia="zh-CN"/>
        </w:rPr>
        <w:t>R SF.675</w:t>
      </w:r>
      <w:r w:rsidRPr="008A1860">
        <w:rPr>
          <w:rFonts w:eastAsia="SimSun" w:hint="eastAsia"/>
          <w:szCs w:val="24"/>
          <w:lang w:eastAsia="zh-CN"/>
        </w:rPr>
        <w:t>建议书计算载波的最大功率谱密度。</w:t>
      </w:r>
      <w:r w:rsidRPr="00BC73E1">
        <w:rPr>
          <w:rFonts w:eastAsia="SimSun" w:hint="eastAsia"/>
          <w:szCs w:val="24"/>
          <w:lang w:eastAsia="zh-CN"/>
        </w:rPr>
        <w:t>为确定不同类型载波的最大功率谱密度，</w:t>
      </w:r>
      <w:r>
        <w:rPr>
          <w:rFonts w:eastAsia="SimSun" w:hint="eastAsia"/>
          <w:szCs w:val="24"/>
          <w:lang w:eastAsia="zh-CN"/>
        </w:rPr>
        <w:t>此建议书</w:t>
      </w:r>
      <w:r w:rsidRPr="00BC73E1">
        <w:rPr>
          <w:rFonts w:eastAsia="SimSun" w:hint="eastAsia"/>
          <w:szCs w:val="24"/>
          <w:lang w:eastAsia="zh-CN"/>
        </w:rPr>
        <w:t>建议</w:t>
      </w:r>
      <w:r>
        <w:rPr>
          <w:rFonts w:eastAsia="SimSun" w:hint="eastAsia"/>
          <w:szCs w:val="24"/>
          <w:lang w:eastAsia="zh-CN"/>
        </w:rPr>
        <w:t>相关方</w:t>
      </w:r>
      <w:r w:rsidRPr="00BC73E1">
        <w:rPr>
          <w:rFonts w:eastAsia="SimSun" w:hint="eastAsia"/>
          <w:szCs w:val="24"/>
          <w:lang w:eastAsia="zh-CN"/>
        </w:rPr>
        <w:t>考虑可能</w:t>
      </w:r>
      <w:r>
        <w:rPr>
          <w:rFonts w:eastAsia="SimSun" w:hint="eastAsia"/>
          <w:szCs w:val="24"/>
          <w:lang w:eastAsia="zh-CN"/>
        </w:rPr>
        <w:t>的</w:t>
      </w:r>
      <w:r w:rsidRPr="00BC73E1">
        <w:rPr>
          <w:rFonts w:eastAsia="SimSun" w:hint="eastAsia"/>
          <w:szCs w:val="24"/>
          <w:lang w:eastAsia="zh-CN"/>
        </w:rPr>
        <w:t>占</w:t>
      </w:r>
      <w:r>
        <w:rPr>
          <w:rFonts w:eastAsia="SimSun" w:hint="eastAsia"/>
          <w:szCs w:val="24"/>
          <w:lang w:eastAsia="zh-CN"/>
        </w:rPr>
        <w:t>用给</w:t>
      </w:r>
      <w:r w:rsidRPr="00BC73E1">
        <w:rPr>
          <w:rFonts w:eastAsia="SimSun" w:hint="eastAsia"/>
          <w:szCs w:val="24"/>
          <w:lang w:eastAsia="zh-CN"/>
        </w:rPr>
        <w:t>定平均带宽载波的最大数目。对于</w:t>
      </w:r>
      <w:r w:rsidRPr="00BC73E1">
        <w:rPr>
          <w:rFonts w:eastAsia="SimSun" w:hint="eastAsia"/>
          <w:szCs w:val="24"/>
          <w:lang w:eastAsia="zh-CN"/>
        </w:rPr>
        <w:t>15 GHz</w:t>
      </w:r>
      <w:r w:rsidRPr="00BC73E1">
        <w:rPr>
          <w:rFonts w:eastAsia="SimSun" w:hint="eastAsia"/>
          <w:szCs w:val="24"/>
          <w:lang w:eastAsia="zh-CN"/>
        </w:rPr>
        <w:t>以下的载波，最大功率密度基于最差情况</w:t>
      </w:r>
      <w:r w:rsidRPr="00BC73E1">
        <w:rPr>
          <w:rFonts w:eastAsia="SimSun" w:hint="eastAsia"/>
          <w:szCs w:val="24"/>
          <w:lang w:eastAsia="zh-CN"/>
        </w:rPr>
        <w:t>4 kHz</w:t>
      </w:r>
      <w:r w:rsidRPr="00BC73E1">
        <w:rPr>
          <w:rFonts w:eastAsia="SimSun" w:hint="eastAsia"/>
          <w:szCs w:val="24"/>
          <w:lang w:eastAsia="zh-CN"/>
        </w:rPr>
        <w:t>取平均值；对于</w:t>
      </w:r>
      <w:r w:rsidRPr="00BC73E1">
        <w:rPr>
          <w:rFonts w:eastAsia="SimSun" w:hint="eastAsia"/>
          <w:szCs w:val="24"/>
          <w:lang w:eastAsia="zh-CN"/>
        </w:rPr>
        <w:t>15 GHz</w:t>
      </w:r>
      <w:r w:rsidRPr="00BC73E1">
        <w:rPr>
          <w:rFonts w:eastAsia="SimSun" w:hint="eastAsia"/>
          <w:szCs w:val="24"/>
          <w:lang w:eastAsia="zh-CN"/>
        </w:rPr>
        <w:t>或以上的载波，最大功率密度基于</w:t>
      </w:r>
      <w:r w:rsidRPr="00BC73E1">
        <w:rPr>
          <w:rFonts w:eastAsia="SimSun" w:hint="eastAsia"/>
          <w:szCs w:val="24"/>
          <w:lang w:eastAsia="zh-CN"/>
        </w:rPr>
        <w:t>1 MHz</w:t>
      </w:r>
      <w:r w:rsidRPr="00BC73E1">
        <w:rPr>
          <w:rFonts w:eastAsia="SimSun" w:hint="eastAsia"/>
          <w:szCs w:val="24"/>
          <w:lang w:eastAsia="zh-CN"/>
        </w:rPr>
        <w:t>取平均值。</w:t>
      </w:r>
    </w:p>
    <w:p w14:paraId="3AB98C72" w14:textId="77777777" w:rsidR="003A0C76" w:rsidRPr="00E10158" w:rsidRDefault="003A0C76" w:rsidP="003A0C76">
      <w:pPr>
        <w:ind w:firstLineChars="200" w:firstLine="480"/>
        <w:rPr>
          <w:rFonts w:eastAsia="SimSun"/>
          <w:szCs w:val="24"/>
          <w:lang w:eastAsia="zh-CN"/>
        </w:rPr>
      </w:pPr>
      <w:r w:rsidRPr="008A1860">
        <w:rPr>
          <w:rFonts w:eastAsia="SimSun" w:hint="eastAsia"/>
          <w:szCs w:val="24"/>
          <w:lang w:eastAsia="zh-CN"/>
        </w:rPr>
        <w:t>重要的是</w:t>
      </w:r>
      <w:proofErr w:type="gramStart"/>
      <w:r w:rsidRPr="008A1860">
        <w:rPr>
          <w:rFonts w:eastAsia="SimSun" w:hint="eastAsia"/>
          <w:szCs w:val="24"/>
          <w:lang w:eastAsia="zh-CN"/>
        </w:rPr>
        <w:t>当提供</w:t>
      </w:r>
      <w:proofErr w:type="gramEnd"/>
      <w:r w:rsidRPr="008A1860">
        <w:rPr>
          <w:rFonts w:eastAsia="SimSun" w:hint="eastAsia"/>
          <w:szCs w:val="24"/>
          <w:lang w:eastAsia="zh-CN"/>
        </w:rPr>
        <w:t>《无线电规则》附录</w:t>
      </w:r>
      <w:r w:rsidRPr="00797D4B">
        <w:rPr>
          <w:rFonts w:eastAsia="SimSun" w:hint="eastAsia"/>
          <w:b/>
          <w:bCs/>
          <w:szCs w:val="24"/>
          <w:lang w:eastAsia="zh-CN"/>
        </w:rPr>
        <w:t>4</w:t>
      </w:r>
      <w:r w:rsidRPr="008A1860">
        <w:rPr>
          <w:rFonts w:eastAsia="SimSun" w:hint="eastAsia"/>
          <w:szCs w:val="24"/>
          <w:lang w:eastAsia="zh-CN"/>
        </w:rPr>
        <w:t>有关功率限值审查的数据项时，各主管部门应遵循此脚注，以得出符合《无线电规则》条款的结论。</w:t>
      </w:r>
    </w:p>
    <w:p w14:paraId="7B4DC99A" w14:textId="77777777" w:rsidR="003A0C76" w:rsidRPr="00E10158" w:rsidRDefault="003A0C76" w:rsidP="003A0C76">
      <w:pPr>
        <w:ind w:firstLineChars="200" w:firstLine="480"/>
        <w:rPr>
          <w:rFonts w:eastAsia="SimSun"/>
          <w:szCs w:val="24"/>
          <w:lang w:eastAsia="zh-CN"/>
        </w:rPr>
      </w:pPr>
      <w:r w:rsidRPr="00BC73E1">
        <w:rPr>
          <w:rFonts w:eastAsia="SimSun" w:hint="eastAsia"/>
          <w:szCs w:val="24"/>
          <w:lang w:eastAsia="zh-CN"/>
        </w:rPr>
        <w:t>关于这一要求，无线电通信局注意到，对于</w:t>
      </w:r>
      <w:r>
        <w:rPr>
          <w:rFonts w:eastAsia="SimSun" w:hint="eastAsia"/>
          <w:szCs w:val="24"/>
          <w:lang w:eastAsia="zh-CN"/>
        </w:rPr>
        <w:t>提交资料中所包含</w:t>
      </w:r>
      <w:r w:rsidRPr="00BC73E1">
        <w:rPr>
          <w:rFonts w:eastAsia="SimSun" w:hint="eastAsia"/>
          <w:szCs w:val="24"/>
          <w:lang w:eastAsia="zh-CN"/>
        </w:rPr>
        <w:t>必要带宽小于平均带宽的大量发射，最大功率密度取决于占用平均带宽的单个载波。这与真实系统相反，在真实系统中可以实现多载波操作，特别是考虑到频率指配组的带宽远超上述情况下发射的必要带宽。</w:t>
      </w:r>
    </w:p>
    <w:p w14:paraId="723C1121" w14:textId="77777777" w:rsidR="003A0C76" w:rsidRPr="00E10158" w:rsidRDefault="003A0C76" w:rsidP="003A0C76">
      <w:pPr>
        <w:ind w:firstLineChars="200" w:firstLine="480"/>
        <w:rPr>
          <w:szCs w:val="24"/>
          <w:lang w:eastAsia="zh-CN"/>
        </w:rPr>
      </w:pPr>
      <w:r w:rsidRPr="00797D4B">
        <w:rPr>
          <w:rFonts w:hint="eastAsia"/>
          <w:szCs w:val="24"/>
          <w:lang w:eastAsia="zh-CN"/>
        </w:rPr>
        <w:t>在主任报告中（见</w:t>
      </w:r>
      <w:r w:rsidR="00F01AFB">
        <w:fldChar w:fldCharType="begin"/>
      </w:r>
      <w:r w:rsidR="00F01AFB">
        <w:instrText>HYPERLINK "https://www.itu.int/md/R15-WRC15-C-0004/en"</w:instrText>
      </w:r>
      <w:r w:rsidR="00F01AFB">
        <w:fldChar w:fldCharType="separate"/>
      </w:r>
      <w:r w:rsidRPr="00E10158">
        <w:rPr>
          <w:rStyle w:val="Hyperlink"/>
          <w:rFonts w:cstheme="minorHAnsi"/>
          <w:szCs w:val="24"/>
          <w:lang w:eastAsia="zh-CN"/>
        </w:rPr>
        <w:t>WRC-15/4</w:t>
      </w:r>
      <w:r w:rsidR="00F01AFB">
        <w:rPr>
          <w:rStyle w:val="Hyperlink"/>
          <w:rFonts w:cstheme="minorHAnsi"/>
          <w:szCs w:val="24"/>
          <w:lang w:eastAsia="zh-CN"/>
        </w:rPr>
        <w:fldChar w:fldCharType="end"/>
      </w:r>
      <w:r>
        <w:rPr>
          <w:rFonts w:hint="eastAsia"/>
          <w:szCs w:val="24"/>
          <w:lang w:eastAsia="zh-CN"/>
        </w:rPr>
        <w:t>号</w:t>
      </w:r>
      <w:r w:rsidRPr="00797D4B">
        <w:rPr>
          <w:rFonts w:hint="eastAsia"/>
          <w:szCs w:val="24"/>
          <w:lang w:eastAsia="zh-CN"/>
        </w:rPr>
        <w:t>文件补遗</w:t>
      </w:r>
      <w:r w:rsidRPr="00797D4B">
        <w:rPr>
          <w:rFonts w:hint="eastAsia"/>
          <w:szCs w:val="24"/>
          <w:lang w:eastAsia="zh-CN"/>
        </w:rPr>
        <w:t>2</w:t>
      </w:r>
      <w:r w:rsidRPr="00797D4B">
        <w:rPr>
          <w:rFonts w:hint="eastAsia"/>
          <w:szCs w:val="24"/>
          <w:lang w:eastAsia="zh-CN"/>
        </w:rPr>
        <w:t>修订</w:t>
      </w:r>
      <w:r w:rsidRPr="00797D4B">
        <w:rPr>
          <w:rFonts w:hint="eastAsia"/>
          <w:szCs w:val="24"/>
          <w:lang w:eastAsia="zh-CN"/>
        </w:rPr>
        <w:t>1</w:t>
      </w:r>
      <w:r w:rsidRPr="00797D4B">
        <w:rPr>
          <w:rFonts w:hint="eastAsia"/>
          <w:szCs w:val="24"/>
          <w:lang w:eastAsia="zh-CN"/>
        </w:rPr>
        <w:t>第</w:t>
      </w:r>
      <w:r w:rsidRPr="00797D4B">
        <w:rPr>
          <w:rFonts w:hint="eastAsia"/>
          <w:szCs w:val="24"/>
          <w:lang w:eastAsia="zh-CN"/>
        </w:rPr>
        <w:t>3.2.5.2.2</w:t>
      </w:r>
      <w:r w:rsidRPr="00797D4B">
        <w:rPr>
          <w:rFonts w:hint="eastAsia"/>
          <w:szCs w:val="24"/>
          <w:lang w:eastAsia="zh-CN"/>
        </w:rPr>
        <w:t>节），无线电通信局向</w:t>
      </w:r>
      <w:r w:rsidRPr="00797D4B">
        <w:rPr>
          <w:rFonts w:hint="eastAsia"/>
          <w:szCs w:val="24"/>
          <w:lang w:eastAsia="zh-CN"/>
        </w:rPr>
        <w:t>WRC-15</w:t>
      </w:r>
      <w:r w:rsidRPr="00797D4B">
        <w:rPr>
          <w:rFonts w:hint="eastAsia"/>
          <w:szCs w:val="24"/>
          <w:lang w:eastAsia="zh-CN"/>
        </w:rPr>
        <w:t>通报了主管部门使用</w:t>
      </w:r>
      <w:r w:rsidRPr="00797D4B">
        <w:rPr>
          <w:rFonts w:hint="eastAsia"/>
          <w:szCs w:val="24"/>
          <w:lang w:eastAsia="zh-CN"/>
        </w:rPr>
        <w:t>ITU-R SF.675</w:t>
      </w:r>
      <w:r w:rsidRPr="00797D4B">
        <w:rPr>
          <w:rFonts w:hint="eastAsia"/>
          <w:szCs w:val="24"/>
          <w:lang w:eastAsia="zh-CN"/>
        </w:rPr>
        <w:t>建议书计算最大功率谱密度并根据《无线电规则》附录</w:t>
      </w:r>
      <w:r w:rsidRPr="00797D4B">
        <w:rPr>
          <w:rFonts w:hint="eastAsia"/>
          <w:b/>
          <w:bCs/>
          <w:szCs w:val="24"/>
          <w:lang w:eastAsia="zh-CN"/>
        </w:rPr>
        <w:t>4</w:t>
      </w:r>
      <w:r w:rsidRPr="00797D4B">
        <w:rPr>
          <w:rFonts w:hint="eastAsia"/>
          <w:szCs w:val="24"/>
          <w:lang w:eastAsia="zh-CN"/>
        </w:rPr>
        <w:t>提交数据的要求。</w:t>
      </w:r>
    </w:p>
    <w:p w14:paraId="056A0651" w14:textId="77777777" w:rsidR="003A0C76" w:rsidRPr="00E10158" w:rsidRDefault="003A0C76" w:rsidP="003A0C76">
      <w:pPr>
        <w:ind w:firstLineChars="200" w:firstLine="480"/>
        <w:rPr>
          <w:szCs w:val="24"/>
          <w:lang w:eastAsia="zh-CN"/>
        </w:rPr>
      </w:pPr>
      <w:r w:rsidRPr="00BC73E1">
        <w:rPr>
          <w:rFonts w:hint="eastAsia"/>
          <w:color w:val="000000"/>
          <w:szCs w:val="24"/>
          <w:lang w:eastAsia="zh-CN"/>
        </w:rPr>
        <w:t>WRC-15</w:t>
      </w:r>
      <w:r w:rsidRPr="00BC73E1">
        <w:rPr>
          <w:rFonts w:hint="eastAsia"/>
          <w:color w:val="000000"/>
          <w:szCs w:val="24"/>
          <w:lang w:eastAsia="zh-CN"/>
        </w:rPr>
        <w:t>建议将这一细节问题提交给适当的</w:t>
      </w:r>
      <w:r w:rsidRPr="00BC73E1">
        <w:rPr>
          <w:rFonts w:hint="eastAsia"/>
          <w:color w:val="000000"/>
          <w:szCs w:val="24"/>
          <w:lang w:eastAsia="zh-CN"/>
        </w:rPr>
        <w:t>ITU-R</w:t>
      </w:r>
      <w:r w:rsidRPr="00BC73E1">
        <w:rPr>
          <w:rFonts w:hint="eastAsia"/>
          <w:color w:val="000000"/>
          <w:szCs w:val="24"/>
          <w:lang w:eastAsia="zh-CN"/>
        </w:rPr>
        <w:t>研究组进一步审议。</w:t>
      </w:r>
    </w:p>
    <w:p w14:paraId="4F81177C" w14:textId="77777777" w:rsidR="003A0C76" w:rsidRDefault="003A0C76" w:rsidP="003A0C76">
      <w:pPr>
        <w:ind w:firstLineChars="200" w:firstLine="480"/>
        <w:rPr>
          <w:rFonts w:eastAsia="SimSun"/>
          <w:szCs w:val="24"/>
          <w:lang w:eastAsia="zh-CN"/>
        </w:rPr>
      </w:pPr>
      <w:r w:rsidRPr="00797D4B">
        <w:rPr>
          <w:rFonts w:eastAsia="SimSun" w:hint="eastAsia"/>
          <w:szCs w:val="24"/>
          <w:lang w:eastAsia="zh-CN"/>
        </w:rPr>
        <w:t>在</w:t>
      </w:r>
      <w:r w:rsidRPr="00797D4B">
        <w:rPr>
          <w:rFonts w:eastAsia="SimSun" w:hint="eastAsia"/>
          <w:szCs w:val="24"/>
          <w:lang w:eastAsia="zh-CN"/>
        </w:rPr>
        <w:t>ITU-R 2015-2023</w:t>
      </w:r>
      <w:r w:rsidRPr="00797D4B">
        <w:rPr>
          <w:rFonts w:eastAsia="SimSun" w:hint="eastAsia"/>
          <w:szCs w:val="24"/>
          <w:lang w:eastAsia="zh-CN"/>
        </w:rPr>
        <w:t>年研究期内，无线电通信局提交了有关该问题的文稿，对问题做了解释并向</w:t>
      </w:r>
      <w:r w:rsidRPr="00797D4B">
        <w:rPr>
          <w:rFonts w:eastAsia="SimSun" w:hint="eastAsia"/>
          <w:szCs w:val="24"/>
          <w:lang w:eastAsia="zh-CN"/>
        </w:rPr>
        <w:t>ITU-R</w:t>
      </w:r>
      <w:r w:rsidRPr="00797D4B">
        <w:rPr>
          <w:rFonts w:eastAsia="SimSun" w:hint="eastAsia"/>
          <w:szCs w:val="24"/>
          <w:lang w:eastAsia="zh-CN"/>
        </w:rPr>
        <w:t>第</w:t>
      </w:r>
      <w:r w:rsidRPr="00797D4B">
        <w:rPr>
          <w:rFonts w:eastAsia="SimSun" w:hint="eastAsia"/>
          <w:szCs w:val="24"/>
          <w:lang w:eastAsia="zh-CN"/>
        </w:rPr>
        <w:t>4</w:t>
      </w:r>
      <w:r w:rsidRPr="00797D4B">
        <w:rPr>
          <w:rFonts w:eastAsia="SimSun" w:hint="eastAsia"/>
          <w:szCs w:val="24"/>
          <w:lang w:eastAsia="zh-CN"/>
        </w:rPr>
        <w:t>和第</w:t>
      </w:r>
      <w:r w:rsidRPr="00797D4B">
        <w:rPr>
          <w:rFonts w:eastAsia="SimSun" w:hint="eastAsia"/>
          <w:szCs w:val="24"/>
          <w:lang w:eastAsia="zh-CN"/>
        </w:rPr>
        <w:t>7</w:t>
      </w:r>
      <w:r w:rsidRPr="00797D4B">
        <w:rPr>
          <w:rFonts w:eastAsia="SimSun" w:hint="eastAsia"/>
          <w:szCs w:val="24"/>
          <w:lang w:eastAsia="zh-CN"/>
        </w:rPr>
        <w:t>研究组的工作组提交了现状报告。</w:t>
      </w:r>
    </w:p>
    <w:p w14:paraId="266EC385" w14:textId="77777777" w:rsidR="003A0C76" w:rsidRPr="00E10158" w:rsidRDefault="003A0C76" w:rsidP="003A0C76">
      <w:pPr>
        <w:ind w:firstLineChars="200" w:firstLine="480"/>
        <w:rPr>
          <w:szCs w:val="24"/>
          <w:lang w:eastAsia="zh-CN"/>
        </w:rPr>
      </w:pPr>
      <w:r w:rsidRPr="00797D4B">
        <w:rPr>
          <w:rFonts w:hint="eastAsia"/>
          <w:szCs w:val="24"/>
          <w:lang w:eastAsia="zh-CN"/>
        </w:rPr>
        <w:t>与此同时，无线电通信局采取了补充措施，</w:t>
      </w:r>
      <w:r>
        <w:rPr>
          <w:rFonts w:hint="eastAsia"/>
          <w:szCs w:val="24"/>
          <w:lang w:eastAsia="zh-CN"/>
        </w:rPr>
        <w:t>以</w:t>
      </w:r>
      <w:r w:rsidRPr="00797D4B">
        <w:rPr>
          <w:rFonts w:hint="eastAsia"/>
          <w:szCs w:val="24"/>
          <w:lang w:eastAsia="zh-CN"/>
        </w:rPr>
        <w:t>逐步统一根据</w:t>
      </w:r>
      <w:r w:rsidRPr="00797D4B">
        <w:rPr>
          <w:rFonts w:hint="eastAsia"/>
          <w:szCs w:val="24"/>
          <w:lang w:eastAsia="zh-CN"/>
        </w:rPr>
        <w:t>ITU-R SF.675</w:t>
      </w:r>
      <w:r w:rsidRPr="00797D4B">
        <w:rPr>
          <w:rFonts w:hint="eastAsia"/>
          <w:szCs w:val="24"/>
          <w:lang w:eastAsia="zh-CN"/>
        </w:rPr>
        <w:t>建议书使用最大功率定义的功率通量密度（</w:t>
      </w:r>
      <w:proofErr w:type="spellStart"/>
      <w:r w:rsidRPr="00797D4B">
        <w:rPr>
          <w:rFonts w:hint="eastAsia"/>
          <w:szCs w:val="24"/>
          <w:lang w:eastAsia="zh-CN"/>
        </w:rPr>
        <w:t>pfd</w:t>
      </w:r>
      <w:proofErr w:type="spellEnd"/>
      <w:r w:rsidRPr="00797D4B">
        <w:rPr>
          <w:rFonts w:hint="eastAsia"/>
          <w:szCs w:val="24"/>
          <w:lang w:eastAsia="zh-CN"/>
        </w:rPr>
        <w:t>）计算方法。这些步骤详述如下。</w:t>
      </w:r>
    </w:p>
    <w:p w14:paraId="024F8622" w14:textId="77777777" w:rsidR="003A0C76" w:rsidRPr="00E10158" w:rsidRDefault="003A0C76" w:rsidP="00F419C5">
      <w:pPr>
        <w:pStyle w:val="Headingb"/>
        <w:spacing w:before="480"/>
        <w:rPr>
          <w:lang w:eastAsia="zh-CN"/>
        </w:rPr>
      </w:pPr>
      <w:r w:rsidRPr="00CE1520">
        <w:rPr>
          <w:rFonts w:hint="eastAsia"/>
          <w:lang w:eastAsia="zh-CN"/>
        </w:rPr>
        <w:t>空间</w:t>
      </w:r>
      <w:r>
        <w:rPr>
          <w:rFonts w:hint="eastAsia"/>
          <w:lang w:eastAsia="zh-CN"/>
        </w:rPr>
        <w:t>验证</w:t>
      </w:r>
      <w:r w:rsidRPr="00CE1520">
        <w:rPr>
          <w:rFonts w:hint="eastAsia"/>
          <w:lang w:eastAsia="zh-CN"/>
        </w:rPr>
        <w:t>规则的实施</w:t>
      </w:r>
    </w:p>
    <w:p w14:paraId="3FD97E66" w14:textId="77777777" w:rsidR="003A0C76" w:rsidRPr="00CE1520" w:rsidRDefault="003A0C76" w:rsidP="003A0C76">
      <w:pPr>
        <w:ind w:firstLineChars="200" w:firstLine="480"/>
        <w:rPr>
          <w:szCs w:val="24"/>
          <w:lang w:eastAsia="zh-CN"/>
        </w:rPr>
      </w:pPr>
      <w:r w:rsidRPr="00CE1520">
        <w:rPr>
          <w:rFonts w:hint="eastAsia"/>
          <w:szCs w:val="24"/>
          <w:lang w:eastAsia="zh-CN"/>
        </w:rPr>
        <w:t>空间验证软件（第</w:t>
      </w:r>
      <w:r w:rsidRPr="00CE1520">
        <w:rPr>
          <w:rFonts w:hint="eastAsia"/>
          <w:szCs w:val="24"/>
          <w:lang w:eastAsia="zh-CN"/>
        </w:rPr>
        <w:t>8.0.5</w:t>
      </w:r>
      <w:r>
        <w:rPr>
          <w:rFonts w:hint="eastAsia"/>
          <w:szCs w:val="24"/>
          <w:lang w:eastAsia="zh-CN"/>
        </w:rPr>
        <w:t>版</w:t>
      </w:r>
      <w:r w:rsidRPr="00CE1520">
        <w:rPr>
          <w:rFonts w:hint="eastAsia"/>
          <w:szCs w:val="24"/>
          <w:lang w:eastAsia="zh-CN"/>
        </w:rPr>
        <w:t>）实施</w:t>
      </w:r>
      <w:r>
        <w:rPr>
          <w:rFonts w:hint="eastAsia"/>
          <w:szCs w:val="24"/>
          <w:lang w:eastAsia="zh-CN"/>
        </w:rPr>
        <w:t>了</w:t>
      </w:r>
      <w:r w:rsidRPr="00CE1520">
        <w:rPr>
          <w:rFonts w:hint="eastAsia"/>
          <w:szCs w:val="24"/>
          <w:lang w:eastAsia="zh-CN"/>
        </w:rPr>
        <w:t>新的验证规则</w:t>
      </w:r>
      <w:r>
        <w:rPr>
          <w:rFonts w:hint="eastAsia"/>
          <w:szCs w:val="24"/>
          <w:lang w:eastAsia="zh-CN"/>
        </w:rPr>
        <w:t>且</w:t>
      </w:r>
      <w:r w:rsidRPr="00CE1520">
        <w:rPr>
          <w:rFonts w:hint="eastAsia"/>
          <w:szCs w:val="24"/>
          <w:lang w:eastAsia="zh-CN"/>
        </w:rPr>
        <w:t>随后</w:t>
      </w:r>
      <w:r>
        <w:rPr>
          <w:rFonts w:hint="eastAsia"/>
          <w:szCs w:val="24"/>
          <w:lang w:eastAsia="zh-CN"/>
        </w:rPr>
        <w:t>这些规则</w:t>
      </w:r>
      <w:r w:rsidRPr="00CE1520">
        <w:rPr>
          <w:rFonts w:hint="eastAsia"/>
          <w:szCs w:val="24"/>
          <w:lang w:eastAsia="zh-CN"/>
        </w:rPr>
        <w:t>被转移</w:t>
      </w:r>
      <w:r>
        <w:rPr>
          <w:rFonts w:hint="eastAsia"/>
          <w:szCs w:val="24"/>
          <w:lang w:eastAsia="zh-CN"/>
        </w:rPr>
        <w:t>到</w:t>
      </w:r>
      <w:r w:rsidRPr="00CE1520">
        <w:rPr>
          <w:rFonts w:hint="eastAsia"/>
          <w:szCs w:val="24"/>
          <w:lang w:eastAsia="zh-CN"/>
        </w:rPr>
        <w:t>BRSIS</w:t>
      </w:r>
      <w:r w:rsidRPr="00CE1520">
        <w:rPr>
          <w:rFonts w:hint="eastAsia"/>
          <w:szCs w:val="24"/>
          <w:lang w:eastAsia="zh-CN"/>
        </w:rPr>
        <w:t>验证软件，</w:t>
      </w:r>
      <w:r>
        <w:rPr>
          <w:rFonts w:hint="eastAsia"/>
          <w:szCs w:val="24"/>
          <w:lang w:eastAsia="zh-CN"/>
        </w:rPr>
        <w:t>这样</w:t>
      </w:r>
      <w:r w:rsidRPr="00CE1520">
        <w:rPr>
          <w:rFonts w:hint="eastAsia"/>
          <w:szCs w:val="24"/>
          <w:lang w:eastAsia="zh-CN"/>
        </w:rPr>
        <w:t>在准备提交协调请求或通知时，</w:t>
      </w:r>
      <w:r>
        <w:rPr>
          <w:rFonts w:hint="eastAsia"/>
          <w:szCs w:val="24"/>
          <w:lang w:eastAsia="zh-CN"/>
        </w:rPr>
        <w:t>如果发现</w:t>
      </w:r>
      <w:r w:rsidRPr="00CE1520">
        <w:rPr>
          <w:rFonts w:hint="eastAsia"/>
          <w:szCs w:val="24"/>
          <w:lang w:eastAsia="zh-CN"/>
        </w:rPr>
        <w:t>所定义峰值功率与功率谱密度之间存在不一致</w:t>
      </w:r>
      <w:r>
        <w:rPr>
          <w:rFonts w:hint="eastAsia"/>
          <w:szCs w:val="24"/>
          <w:lang w:eastAsia="zh-CN"/>
        </w:rPr>
        <w:t>，便可</w:t>
      </w:r>
      <w:r w:rsidRPr="00CE1520">
        <w:rPr>
          <w:rFonts w:hint="eastAsia"/>
          <w:szCs w:val="24"/>
          <w:lang w:eastAsia="zh-CN"/>
        </w:rPr>
        <w:t>发出警告。第</w:t>
      </w:r>
      <w:r w:rsidRPr="00CE1520">
        <w:rPr>
          <w:rFonts w:hint="eastAsia"/>
          <w:szCs w:val="24"/>
          <w:lang w:eastAsia="zh-CN"/>
        </w:rPr>
        <w:t>2842</w:t>
      </w:r>
      <w:r w:rsidRPr="00CE1520">
        <w:rPr>
          <w:rFonts w:hint="eastAsia"/>
          <w:szCs w:val="24"/>
          <w:lang w:eastAsia="zh-CN"/>
        </w:rPr>
        <w:t>期</w:t>
      </w:r>
      <w:r>
        <w:rPr>
          <w:rFonts w:hint="eastAsia"/>
          <w:szCs w:val="24"/>
          <w:lang w:eastAsia="zh-CN"/>
        </w:rPr>
        <w:t>无线电通信局《国际频率信息通报》（</w:t>
      </w:r>
      <w:r w:rsidRPr="00CE1520">
        <w:rPr>
          <w:rFonts w:hint="eastAsia"/>
          <w:szCs w:val="24"/>
          <w:lang w:eastAsia="zh-CN"/>
        </w:rPr>
        <w:t>BR IFIC</w:t>
      </w:r>
      <w:r>
        <w:rPr>
          <w:rFonts w:hint="eastAsia"/>
          <w:szCs w:val="24"/>
          <w:lang w:eastAsia="zh-CN"/>
        </w:rPr>
        <w:t>）</w:t>
      </w:r>
      <w:r w:rsidRPr="00CE1520">
        <w:rPr>
          <w:rFonts w:hint="eastAsia"/>
          <w:szCs w:val="24"/>
          <w:lang w:eastAsia="zh-CN"/>
        </w:rPr>
        <w:t>（</w:t>
      </w:r>
      <w:r w:rsidRPr="00CE1520">
        <w:rPr>
          <w:rFonts w:hint="eastAsia"/>
          <w:szCs w:val="24"/>
          <w:lang w:eastAsia="zh-CN"/>
        </w:rPr>
        <w:t>2017</w:t>
      </w:r>
      <w:r w:rsidRPr="00CE1520">
        <w:rPr>
          <w:rFonts w:hint="eastAsia"/>
          <w:szCs w:val="24"/>
          <w:lang w:eastAsia="zh-CN"/>
        </w:rPr>
        <w:t>年</w:t>
      </w:r>
      <w:r w:rsidRPr="00CE1520">
        <w:rPr>
          <w:rFonts w:hint="eastAsia"/>
          <w:szCs w:val="24"/>
          <w:lang w:eastAsia="zh-CN"/>
        </w:rPr>
        <w:t>4</w:t>
      </w:r>
      <w:r w:rsidRPr="00CE1520">
        <w:rPr>
          <w:rFonts w:hint="eastAsia"/>
          <w:szCs w:val="24"/>
          <w:lang w:eastAsia="zh-CN"/>
        </w:rPr>
        <w:t>月</w:t>
      </w:r>
      <w:r w:rsidRPr="00CE1520">
        <w:rPr>
          <w:rFonts w:hint="eastAsia"/>
          <w:szCs w:val="24"/>
          <w:lang w:eastAsia="zh-CN"/>
        </w:rPr>
        <w:t>4</w:t>
      </w:r>
      <w:r w:rsidRPr="00CE1520">
        <w:rPr>
          <w:rFonts w:hint="eastAsia"/>
          <w:szCs w:val="24"/>
          <w:lang w:eastAsia="zh-CN"/>
        </w:rPr>
        <w:t>日）发布了新的验证规则。</w:t>
      </w:r>
    </w:p>
    <w:p w14:paraId="15D2E3CE" w14:textId="77777777" w:rsidR="003A0C76" w:rsidRPr="00CE1520" w:rsidRDefault="003A0C76" w:rsidP="003A0C76">
      <w:pPr>
        <w:ind w:firstLineChars="200" w:firstLine="480"/>
        <w:rPr>
          <w:szCs w:val="24"/>
          <w:lang w:eastAsia="zh-CN"/>
        </w:rPr>
      </w:pPr>
      <w:r w:rsidRPr="00CE1520">
        <w:rPr>
          <w:rFonts w:hint="eastAsia"/>
          <w:szCs w:val="24"/>
          <w:lang w:eastAsia="zh-CN"/>
        </w:rPr>
        <w:t>这些验证</w:t>
      </w:r>
      <w:r>
        <w:rPr>
          <w:rFonts w:hint="eastAsia"/>
          <w:szCs w:val="24"/>
          <w:lang w:eastAsia="zh-CN"/>
        </w:rPr>
        <w:t>检查旨在</w:t>
      </w:r>
      <w:r w:rsidRPr="00CE1520">
        <w:rPr>
          <w:rFonts w:hint="eastAsia"/>
          <w:szCs w:val="24"/>
          <w:lang w:eastAsia="zh-CN"/>
        </w:rPr>
        <w:t>帮助和提醒主管部门在计算最大功率密度时使用最新版本的</w:t>
      </w:r>
      <w:r w:rsidRPr="00CE1520">
        <w:rPr>
          <w:rFonts w:hint="eastAsia"/>
          <w:szCs w:val="24"/>
          <w:lang w:eastAsia="zh-CN"/>
        </w:rPr>
        <w:t>ITU-R SF.675</w:t>
      </w:r>
      <w:r w:rsidRPr="00CE1520">
        <w:rPr>
          <w:rFonts w:hint="eastAsia"/>
          <w:szCs w:val="24"/>
          <w:lang w:eastAsia="zh-CN"/>
        </w:rPr>
        <w:t>建议书。</w:t>
      </w:r>
    </w:p>
    <w:p w14:paraId="567A0AA9" w14:textId="77777777" w:rsidR="003A0C76" w:rsidRPr="00BC73E1" w:rsidRDefault="003A0C76" w:rsidP="003A0C76">
      <w:pPr>
        <w:ind w:firstLineChars="200" w:firstLine="480"/>
        <w:rPr>
          <w:szCs w:val="24"/>
          <w:lang w:eastAsia="zh-CN"/>
        </w:rPr>
      </w:pPr>
      <w:r w:rsidRPr="00CE1520">
        <w:rPr>
          <w:rFonts w:hint="eastAsia"/>
          <w:szCs w:val="24"/>
          <w:lang w:eastAsia="zh-CN"/>
        </w:rPr>
        <w:lastRenderedPageBreak/>
        <w:t>新的空间业务验证规则已实施近</w:t>
      </w:r>
      <w:r w:rsidRPr="00CE1520">
        <w:rPr>
          <w:rFonts w:hint="eastAsia"/>
          <w:szCs w:val="24"/>
          <w:lang w:eastAsia="zh-CN"/>
        </w:rPr>
        <w:t>7</w:t>
      </w:r>
      <w:r w:rsidRPr="00CE1520">
        <w:rPr>
          <w:rFonts w:hint="eastAsia"/>
          <w:szCs w:val="24"/>
          <w:lang w:eastAsia="zh-CN"/>
        </w:rPr>
        <w:t>年之久，各主管部门已习惯于使用</w:t>
      </w:r>
      <w:r w:rsidRPr="00CE1520">
        <w:rPr>
          <w:rFonts w:hint="eastAsia"/>
          <w:szCs w:val="24"/>
          <w:lang w:eastAsia="zh-CN"/>
        </w:rPr>
        <w:t>ITU-R SF.675</w:t>
      </w:r>
      <w:r w:rsidRPr="00CE1520">
        <w:rPr>
          <w:rFonts w:hint="eastAsia"/>
          <w:szCs w:val="24"/>
          <w:lang w:eastAsia="zh-CN"/>
        </w:rPr>
        <w:t>建议书计算最大功率密度。</w:t>
      </w:r>
    </w:p>
    <w:p w14:paraId="22F7D169" w14:textId="77777777" w:rsidR="003A0C76" w:rsidRPr="00BC73E1" w:rsidRDefault="003A0C76" w:rsidP="00F419C5">
      <w:pPr>
        <w:pStyle w:val="Headingb"/>
        <w:spacing w:before="480"/>
        <w:rPr>
          <w:lang w:eastAsia="zh-CN"/>
        </w:rPr>
      </w:pPr>
      <w:r w:rsidRPr="00B10EC2">
        <w:rPr>
          <w:rFonts w:hint="eastAsia"/>
          <w:lang w:eastAsia="zh-CN"/>
        </w:rPr>
        <w:t>新版</w:t>
      </w:r>
      <w:r w:rsidRPr="00B10EC2">
        <w:rPr>
          <w:rFonts w:hint="eastAsia"/>
          <w:lang w:eastAsia="zh-CN"/>
        </w:rPr>
        <w:t>GIBC</w:t>
      </w:r>
      <w:r w:rsidRPr="00B10EC2">
        <w:rPr>
          <w:rFonts w:hint="eastAsia"/>
          <w:lang w:eastAsia="zh-CN"/>
        </w:rPr>
        <w:t>软件</w:t>
      </w:r>
    </w:p>
    <w:p w14:paraId="18295EB9" w14:textId="77777777" w:rsidR="003A0C76" w:rsidRPr="00B10EC2" w:rsidRDefault="003A0C76" w:rsidP="003A0C76">
      <w:pPr>
        <w:ind w:firstLineChars="200" w:firstLine="480"/>
        <w:rPr>
          <w:szCs w:val="24"/>
          <w:lang w:eastAsia="zh-CN"/>
        </w:rPr>
      </w:pPr>
      <w:r w:rsidRPr="00B10EC2">
        <w:rPr>
          <w:rFonts w:hint="eastAsia"/>
          <w:szCs w:val="24"/>
          <w:lang w:eastAsia="zh-CN"/>
        </w:rPr>
        <w:t>BR IFIC 2985/29.11.2022</w:t>
      </w:r>
      <w:r w:rsidRPr="00B10EC2">
        <w:rPr>
          <w:rFonts w:hint="eastAsia"/>
          <w:szCs w:val="24"/>
          <w:lang w:eastAsia="zh-CN"/>
        </w:rPr>
        <w:t>发布了</w:t>
      </w:r>
      <w:r w:rsidRPr="00B10EC2">
        <w:rPr>
          <w:rFonts w:hint="eastAsia"/>
          <w:szCs w:val="24"/>
          <w:lang w:eastAsia="zh-CN"/>
        </w:rPr>
        <w:t>GIBC</w:t>
      </w:r>
      <w:r w:rsidRPr="00B10EC2">
        <w:rPr>
          <w:rFonts w:hint="eastAsia"/>
          <w:szCs w:val="24"/>
          <w:lang w:eastAsia="zh-CN"/>
        </w:rPr>
        <w:t>软件</w:t>
      </w:r>
      <w:r>
        <w:rPr>
          <w:rFonts w:hint="eastAsia"/>
          <w:szCs w:val="24"/>
          <w:lang w:eastAsia="zh-CN"/>
        </w:rPr>
        <w:t>的</w:t>
      </w:r>
      <w:r w:rsidRPr="00B10EC2">
        <w:rPr>
          <w:rFonts w:hint="eastAsia"/>
          <w:szCs w:val="24"/>
          <w:lang w:eastAsia="zh-CN"/>
        </w:rPr>
        <w:t>新版本（</w:t>
      </w:r>
      <w:r w:rsidRPr="00B10EC2">
        <w:rPr>
          <w:rFonts w:hint="eastAsia"/>
          <w:szCs w:val="24"/>
          <w:lang w:eastAsia="zh-CN"/>
        </w:rPr>
        <w:t>v9.1</w:t>
      </w:r>
      <w:r w:rsidRPr="00B10EC2">
        <w:rPr>
          <w:rFonts w:hint="eastAsia"/>
          <w:szCs w:val="24"/>
          <w:lang w:eastAsia="zh-CN"/>
        </w:rPr>
        <w:t>），实施了符合</w:t>
      </w:r>
      <w:r w:rsidRPr="00B10EC2">
        <w:rPr>
          <w:rFonts w:hint="eastAsia"/>
          <w:szCs w:val="24"/>
          <w:lang w:eastAsia="zh-CN"/>
        </w:rPr>
        <w:t>ITU-R SF.675</w:t>
      </w:r>
      <w:r w:rsidRPr="00B10EC2">
        <w:rPr>
          <w:rFonts w:hint="eastAsia"/>
          <w:szCs w:val="24"/>
          <w:lang w:eastAsia="zh-CN"/>
        </w:rPr>
        <w:t>建议书的新计算方法。</w:t>
      </w:r>
      <w:r>
        <w:rPr>
          <w:rFonts w:hint="eastAsia"/>
          <w:szCs w:val="24"/>
          <w:lang w:eastAsia="zh-CN"/>
        </w:rPr>
        <w:t>为</w:t>
      </w:r>
      <w:r w:rsidRPr="00B10EC2">
        <w:rPr>
          <w:rFonts w:hint="eastAsia"/>
          <w:szCs w:val="24"/>
          <w:lang w:eastAsia="zh-CN"/>
        </w:rPr>
        <w:t>使用</w:t>
      </w:r>
      <w:r w:rsidRPr="00B10EC2">
        <w:rPr>
          <w:rFonts w:hint="eastAsia"/>
          <w:szCs w:val="24"/>
          <w:lang w:eastAsia="zh-CN"/>
        </w:rPr>
        <w:t>ITU-R SF.675</w:t>
      </w:r>
      <w:r w:rsidRPr="00B10EC2">
        <w:rPr>
          <w:rFonts w:hint="eastAsia"/>
          <w:szCs w:val="24"/>
          <w:lang w:eastAsia="zh-CN"/>
        </w:rPr>
        <w:t>建议书计算发射功率</w:t>
      </w:r>
      <w:r>
        <w:rPr>
          <w:rFonts w:hint="eastAsia"/>
          <w:szCs w:val="24"/>
          <w:lang w:eastAsia="zh-CN"/>
        </w:rPr>
        <w:t>，</w:t>
      </w:r>
      <w:r w:rsidRPr="00B10EC2">
        <w:rPr>
          <w:rFonts w:hint="eastAsia"/>
          <w:szCs w:val="24"/>
          <w:lang w:eastAsia="zh-CN"/>
        </w:rPr>
        <w:t>在</w:t>
      </w:r>
      <w:r w:rsidRPr="00B10EC2">
        <w:rPr>
          <w:rFonts w:hint="eastAsia"/>
          <w:szCs w:val="24"/>
          <w:lang w:eastAsia="zh-CN"/>
        </w:rPr>
        <w:t>GIBC PFD/EIRP GSO</w:t>
      </w:r>
      <w:r w:rsidRPr="00B10EC2">
        <w:rPr>
          <w:rFonts w:hint="eastAsia"/>
          <w:szCs w:val="24"/>
          <w:lang w:eastAsia="zh-CN"/>
        </w:rPr>
        <w:t>、</w:t>
      </w:r>
      <w:r w:rsidRPr="00B10EC2">
        <w:rPr>
          <w:rFonts w:hint="eastAsia"/>
          <w:szCs w:val="24"/>
          <w:lang w:eastAsia="zh-CN"/>
        </w:rPr>
        <w:t>GIBC PFD/EIRP NGSO</w:t>
      </w:r>
      <w:r w:rsidRPr="00B10EC2">
        <w:rPr>
          <w:rFonts w:hint="eastAsia"/>
          <w:szCs w:val="24"/>
          <w:lang w:eastAsia="zh-CN"/>
        </w:rPr>
        <w:t>模块中增加了一个选项。</w:t>
      </w:r>
    </w:p>
    <w:p w14:paraId="06238DD1" w14:textId="77777777" w:rsidR="003A0C76" w:rsidRPr="00B10EC2" w:rsidRDefault="003A0C76" w:rsidP="003A0C76">
      <w:pPr>
        <w:ind w:firstLineChars="200" w:firstLine="480"/>
        <w:rPr>
          <w:szCs w:val="24"/>
          <w:lang w:eastAsia="zh-CN"/>
        </w:rPr>
      </w:pPr>
      <w:r w:rsidRPr="00B10EC2">
        <w:rPr>
          <w:rFonts w:hint="eastAsia"/>
          <w:szCs w:val="24"/>
          <w:lang w:eastAsia="zh-CN"/>
        </w:rPr>
        <w:t>附件</w:t>
      </w:r>
      <w:r w:rsidRPr="00B10EC2">
        <w:rPr>
          <w:rFonts w:hint="eastAsia"/>
          <w:szCs w:val="24"/>
          <w:lang w:eastAsia="zh-CN"/>
        </w:rPr>
        <w:t>1</w:t>
      </w:r>
      <w:r w:rsidRPr="00B10EC2">
        <w:rPr>
          <w:rFonts w:hint="eastAsia"/>
          <w:szCs w:val="24"/>
          <w:lang w:eastAsia="zh-CN"/>
        </w:rPr>
        <w:t>给出了</w:t>
      </w:r>
      <w:r>
        <w:rPr>
          <w:rFonts w:hint="eastAsia"/>
          <w:szCs w:val="24"/>
          <w:lang w:eastAsia="zh-CN"/>
        </w:rPr>
        <w:t>与</w:t>
      </w:r>
      <w:r w:rsidRPr="00B10EC2">
        <w:rPr>
          <w:rFonts w:hint="eastAsia"/>
          <w:szCs w:val="24"/>
          <w:lang w:eastAsia="zh-CN"/>
        </w:rPr>
        <w:t>ITU-R SF.675</w:t>
      </w:r>
      <w:r w:rsidRPr="00B10EC2">
        <w:rPr>
          <w:rFonts w:hint="eastAsia"/>
          <w:szCs w:val="24"/>
          <w:lang w:eastAsia="zh-CN"/>
        </w:rPr>
        <w:t>建议书</w:t>
      </w:r>
      <w:r>
        <w:rPr>
          <w:rFonts w:hint="eastAsia"/>
          <w:szCs w:val="24"/>
          <w:lang w:eastAsia="zh-CN"/>
        </w:rPr>
        <w:t>相符的</w:t>
      </w:r>
      <w:r w:rsidRPr="00B10EC2">
        <w:rPr>
          <w:rFonts w:hint="eastAsia"/>
          <w:szCs w:val="24"/>
          <w:lang w:eastAsia="zh-CN"/>
        </w:rPr>
        <w:t>新计算方法的详细步骤。</w:t>
      </w:r>
    </w:p>
    <w:p w14:paraId="1D043DA8" w14:textId="77777777" w:rsidR="003A0C76" w:rsidRPr="00E10158" w:rsidRDefault="003A0C76" w:rsidP="003A0C76">
      <w:pPr>
        <w:ind w:firstLineChars="200" w:firstLine="480"/>
        <w:rPr>
          <w:szCs w:val="24"/>
          <w:lang w:eastAsia="zh-CN"/>
        </w:rPr>
      </w:pPr>
      <w:r w:rsidRPr="00B10EC2">
        <w:rPr>
          <w:rFonts w:hint="eastAsia"/>
          <w:szCs w:val="24"/>
          <w:lang w:eastAsia="zh-CN"/>
        </w:rPr>
        <w:t>有了这个附加选项，主管部门</w:t>
      </w:r>
      <w:r>
        <w:rPr>
          <w:rFonts w:hint="eastAsia"/>
          <w:szCs w:val="24"/>
          <w:lang w:eastAsia="zh-CN"/>
        </w:rPr>
        <w:t>便</w:t>
      </w:r>
      <w:r w:rsidRPr="00B10EC2">
        <w:rPr>
          <w:rFonts w:hint="eastAsia"/>
          <w:szCs w:val="24"/>
          <w:lang w:eastAsia="zh-CN"/>
        </w:rPr>
        <w:t>可使用</w:t>
      </w:r>
      <w:r>
        <w:rPr>
          <w:rFonts w:hint="eastAsia"/>
          <w:szCs w:val="24"/>
          <w:lang w:eastAsia="zh-CN"/>
        </w:rPr>
        <w:t>一种依</w:t>
      </w:r>
      <w:r w:rsidRPr="00B10EC2">
        <w:rPr>
          <w:rFonts w:hint="eastAsia"/>
          <w:szCs w:val="24"/>
          <w:lang w:eastAsia="zh-CN"/>
        </w:rPr>
        <w:t>据</w:t>
      </w:r>
      <w:r w:rsidRPr="00B10EC2">
        <w:rPr>
          <w:rFonts w:hint="eastAsia"/>
          <w:szCs w:val="24"/>
          <w:lang w:eastAsia="zh-CN"/>
        </w:rPr>
        <w:t>ITU-R SF.675</w:t>
      </w:r>
      <w:r w:rsidRPr="00B10EC2">
        <w:rPr>
          <w:rFonts w:hint="eastAsia"/>
          <w:szCs w:val="24"/>
          <w:lang w:eastAsia="zh-CN"/>
        </w:rPr>
        <w:t>建议书推导</w:t>
      </w:r>
      <w:r>
        <w:rPr>
          <w:rFonts w:hint="eastAsia"/>
          <w:szCs w:val="24"/>
          <w:lang w:eastAsia="zh-CN"/>
        </w:rPr>
        <w:t>得出</w:t>
      </w:r>
      <w:r w:rsidRPr="00B10EC2">
        <w:rPr>
          <w:rFonts w:hint="eastAsia"/>
          <w:szCs w:val="24"/>
          <w:lang w:eastAsia="zh-CN"/>
        </w:rPr>
        <w:t>最大功率值的计算方法，</w:t>
      </w:r>
      <w:r>
        <w:rPr>
          <w:rFonts w:hint="eastAsia"/>
          <w:szCs w:val="24"/>
          <w:lang w:eastAsia="zh-CN"/>
        </w:rPr>
        <w:t>审查</w:t>
      </w:r>
      <w:r w:rsidRPr="00B10EC2">
        <w:rPr>
          <w:rFonts w:hint="eastAsia"/>
          <w:szCs w:val="24"/>
          <w:lang w:eastAsia="zh-CN"/>
        </w:rPr>
        <w:t>《无线电规则》第</w:t>
      </w:r>
      <w:r w:rsidRPr="00E84E79">
        <w:rPr>
          <w:rFonts w:hint="eastAsia"/>
          <w:b/>
          <w:bCs/>
          <w:szCs w:val="24"/>
          <w:lang w:eastAsia="zh-CN"/>
        </w:rPr>
        <w:t>5</w:t>
      </w:r>
      <w:r w:rsidRPr="00B10EC2">
        <w:rPr>
          <w:rFonts w:hint="eastAsia"/>
          <w:szCs w:val="24"/>
          <w:lang w:eastAsia="zh-CN"/>
        </w:rPr>
        <w:t>、</w:t>
      </w:r>
      <w:r w:rsidRPr="00E84E79">
        <w:rPr>
          <w:rFonts w:hint="eastAsia"/>
          <w:b/>
          <w:bCs/>
          <w:szCs w:val="24"/>
          <w:lang w:eastAsia="zh-CN"/>
        </w:rPr>
        <w:t>21</w:t>
      </w:r>
      <w:r w:rsidRPr="00B10EC2">
        <w:rPr>
          <w:rFonts w:hint="eastAsia"/>
          <w:szCs w:val="24"/>
          <w:lang w:eastAsia="zh-CN"/>
        </w:rPr>
        <w:t>和</w:t>
      </w:r>
      <w:r w:rsidRPr="00E84E79">
        <w:rPr>
          <w:rFonts w:hint="eastAsia"/>
          <w:b/>
          <w:bCs/>
          <w:szCs w:val="24"/>
          <w:lang w:eastAsia="zh-CN"/>
        </w:rPr>
        <w:t>22</w:t>
      </w:r>
      <w:r w:rsidRPr="00B10EC2">
        <w:rPr>
          <w:rFonts w:hint="eastAsia"/>
          <w:szCs w:val="24"/>
          <w:lang w:eastAsia="zh-CN"/>
        </w:rPr>
        <w:t>条中的</w:t>
      </w:r>
      <w:proofErr w:type="spellStart"/>
      <w:r w:rsidRPr="00B10EC2">
        <w:rPr>
          <w:rFonts w:hint="eastAsia"/>
          <w:szCs w:val="24"/>
          <w:lang w:eastAsia="zh-CN"/>
        </w:rPr>
        <w:t>pfd</w:t>
      </w:r>
      <w:proofErr w:type="spellEnd"/>
      <w:r w:rsidRPr="00B10EC2">
        <w:rPr>
          <w:rFonts w:hint="eastAsia"/>
          <w:szCs w:val="24"/>
          <w:lang w:eastAsia="zh-CN"/>
        </w:rPr>
        <w:t>和等效全向辐射功率（</w:t>
      </w:r>
      <w:proofErr w:type="spellStart"/>
      <w:r w:rsidRPr="00B10EC2">
        <w:rPr>
          <w:rFonts w:hint="eastAsia"/>
          <w:szCs w:val="24"/>
          <w:lang w:eastAsia="zh-CN"/>
        </w:rPr>
        <w:t>e.i.r.p</w:t>
      </w:r>
      <w:proofErr w:type="spellEnd"/>
      <w:r w:rsidRPr="00B10EC2">
        <w:rPr>
          <w:rFonts w:hint="eastAsia"/>
          <w:szCs w:val="24"/>
          <w:lang w:eastAsia="zh-CN"/>
        </w:rPr>
        <w:t>.</w:t>
      </w:r>
      <w:r w:rsidRPr="00B10EC2">
        <w:rPr>
          <w:rFonts w:hint="eastAsia"/>
          <w:szCs w:val="24"/>
          <w:lang w:eastAsia="zh-CN"/>
        </w:rPr>
        <w:t>）限值</w:t>
      </w:r>
      <w:r>
        <w:rPr>
          <w:rFonts w:hint="eastAsia"/>
          <w:szCs w:val="24"/>
          <w:lang w:eastAsia="zh-CN"/>
        </w:rPr>
        <w:t>是否得到了遵守</w:t>
      </w:r>
      <w:r w:rsidRPr="00B10EC2">
        <w:rPr>
          <w:rFonts w:hint="eastAsia"/>
          <w:szCs w:val="24"/>
          <w:lang w:eastAsia="zh-CN"/>
        </w:rPr>
        <w:t>。</w:t>
      </w:r>
    </w:p>
    <w:p w14:paraId="46BE0862" w14:textId="68D1D691" w:rsidR="003A0C76" w:rsidRPr="00E10158" w:rsidRDefault="003A0C76" w:rsidP="00F419C5">
      <w:pPr>
        <w:pStyle w:val="Headingb"/>
        <w:spacing w:before="480"/>
        <w:rPr>
          <w:lang w:eastAsia="zh-CN"/>
        </w:rPr>
      </w:pPr>
      <w:bookmarkStart w:id="0" w:name="lt_pId045"/>
      <w:bookmarkStart w:id="1" w:name="_Toc143072408"/>
      <w:r>
        <w:rPr>
          <w:rFonts w:hint="eastAsia"/>
          <w:lang w:eastAsia="zh-CN"/>
        </w:rPr>
        <w:t>引入在线审查工具“电子审查（</w:t>
      </w:r>
      <w:r w:rsidRPr="00E10158">
        <w:rPr>
          <w:lang w:eastAsia="zh-CN"/>
        </w:rPr>
        <w:t>e-Examination</w:t>
      </w:r>
      <w:r>
        <w:rPr>
          <w:rFonts w:hint="eastAsia"/>
          <w:lang w:eastAsia="zh-CN"/>
        </w:rPr>
        <w:t>）”</w:t>
      </w:r>
      <w:bookmarkEnd w:id="0"/>
      <w:bookmarkEnd w:id="1"/>
    </w:p>
    <w:p w14:paraId="035473D8" w14:textId="77777777" w:rsidR="003A0C76" w:rsidRPr="00B10EC2" w:rsidRDefault="003A0C76" w:rsidP="003A0C76">
      <w:pPr>
        <w:ind w:firstLineChars="200" w:firstLine="480"/>
        <w:rPr>
          <w:szCs w:val="24"/>
          <w:lang w:eastAsia="zh-CN"/>
        </w:rPr>
      </w:pPr>
      <w:r w:rsidRPr="00B10EC2">
        <w:rPr>
          <w:rFonts w:hint="eastAsia"/>
          <w:szCs w:val="24"/>
          <w:lang w:eastAsia="zh-CN"/>
        </w:rPr>
        <w:t>2023</w:t>
      </w:r>
      <w:r w:rsidRPr="00B10EC2">
        <w:rPr>
          <w:rFonts w:hint="eastAsia"/>
          <w:szCs w:val="24"/>
          <w:lang w:eastAsia="zh-CN"/>
        </w:rPr>
        <w:t>年</w:t>
      </w:r>
      <w:r w:rsidRPr="00B10EC2">
        <w:rPr>
          <w:rFonts w:hint="eastAsia"/>
          <w:szCs w:val="24"/>
          <w:lang w:eastAsia="zh-CN"/>
        </w:rPr>
        <w:t>10</w:t>
      </w:r>
      <w:r w:rsidRPr="00B10EC2">
        <w:rPr>
          <w:rFonts w:hint="eastAsia"/>
          <w:szCs w:val="24"/>
          <w:lang w:eastAsia="zh-CN"/>
        </w:rPr>
        <w:t>月</w:t>
      </w:r>
      <w:r w:rsidRPr="00B10EC2">
        <w:rPr>
          <w:rFonts w:hint="eastAsia"/>
          <w:szCs w:val="24"/>
          <w:lang w:eastAsia="zh-CN"/>
        </w:rPr>
        <w:t>1</w:t>
      </w:r>
      <w:proofErr w:type="gramStart"/>
      <w:r w:rsidRPr="00B10EC2">
        <w:rPr>
          <w:rFonts w:hint="eastAsia"/>
          <w:szCs w:val="24"/>
          <w:lang w:eastAsia="zh-CN"/>
        </w:rPr>
        <w:t>日在电子提交</w:t>
      </w:r>
      <w:r>
        <w:rPr>
          <w:rFonts w:hint="eastAsia"/>
          <w:szCs w:val="24"/>
          <w:lang w:eastAsia="zh-CN"/>
        </w:rPr>
        <w:t>网上</w:t>
      </w:r>
      <w:r w:rsidRPr="00B10EC2">
        <w:rPr>
          <w:rFonts w:hint="eastAsia"/>
          <w:szCs w:val="24"/>
          <w:lang w:eastAsia="zh-CN"/>
        </w:rPr>
        <w:t>平台推出</w:t>
      </w:r>
      <w:r>
        <w:rPr>
          <w:rFonts w:hint="eastAsia"/>
          <w:szCs w:val="24"/>
          <w:lang w:eastAsia="zh-CN"/>
        </w:rPr>
        <w:t>了</w:t>
      </w:r>
      <w:r w:rsidRPr="00B10EC2">
        <w:rPr>
          <w:rFonts w:hint="eastAsia"/>
          <w:szCs w:val="24"/>
          <w:lang w:eastAsia="zh-CN"/>
        </w:rPr>
        <w:t>新的在线审查工具“</w:t>
      </w:r>
      <w:proofErr w:type="gramEnd"/>
      <w:r w:rsidRPr="00B10EC2">
        <w:rPr>
          <w:rFonts w:hint="eastAsia"/>
          <w:szCs w:val="24"/>
          <w:lang w:eastAsia="zh-CN"/>
        </w:rPr>
        <w:t>电子审查”，</w:t>
      </w:r>
      <w:r>
        <w:rPr>
          <w:rFonts w:hint="eastAsia"/>
          <w:szCs w:val="24"/>
          <w:lang w:eastAsia="zh-CN"/>
        </w:rPr>
        <w:t>目的是</w:t>
      </w:r>
      <w:r w:rsidRPr="00B10EC2">
        <w:rPr>
          <w:rFonts w:hint="eastAsia"/>
          <w:szCs w:val="24"/>
          <w:lang w:eastAsia="zh-CN"/>
        </w:rPr>
        <w:t>帮助用户验证其</w:t>
      </w:r>
      <w:r>
        <w:rPr>
          <w:rFonts w:hint="eastAsia"/>
          <w:szCs w:val="24"/>
          <w:lang w:eastAsia="zh-CN"/>
        </w:rPr>
        <w:t>通过</w:t>
      </w:r>
      <w:r w:rsidRPr="00B10EC2">
        <w:rPr>
          <w:rFonts w:hint="eastAsia"/>
          <w:szCs w:val="24"/>
          <w:lang w:eastAsia="zh-CN"/>
        </w:rPr>
        <w:t>电子申报资料上传</w:t>
      </w:r>
      <w:r>
        <w:rPr>
          <w:rFonts w:hint="eastAsia"/>
          <w:szCs w:val="24"/>
          <w:lang w:eastAsia="zh-CN"/>
        </w:rPr>
        <w:t>的</w:t>
      </w:r>
      <w:r w:rsidRPr="00B10EC2">
        <w:rPr>
          <w:rFonts w:hint="eastAsia"/>
          <w:szCs w:val="24"/>
          <w:lang w:eastAsia="zh-CN"/>
        </w:rPr>
        <w:t>卫星网络或地球站是否符合《无线电规则》规定的</w:t>
      </w:r>
      <w:proofErr w:type="spellStart"/>
      <w:r w:rsidRPr="00B10EC2">
        <w:rPr>
          <w:rFonts w:hint="eastAsia"/>
          <w:szCs w:val="24"/>
          <w:lang w:eastAsia="zh-CN"/>
        </w:rPr>
        <w:t>pfd</w:t>
      </w:r>
      <w:proofErr w:type="spellEnd"/>
      <w:r w:rsidRPr="00B10EC2">
        <w:rPr>
          <w:rFonts w:hint="eastAsia"/>
          <w:szCs w:val="24"/>
          <w:lang w:eastAsia="zh-CN"/>
        </w:rPr>
        <w:t>和</w:t>
      </w:r>
      <w:proofErr w:type="spellStart"/>
      <w:r w:rsidRPr="00B10EC2">
        <w:rPr>
          <w:rFonts w:hint="eastAsia"/>
          <w:szCs w:val="24"/>
          <w:lang w:eastAsia="zh-CN"/>
        </w:rPr>
        <w:t>e.i.r.p</w:t>
      </w:r>
      <w:proofErr w:type="spellEnd"/>
      <w:r w:rsidRPr="00B10EC2">
        <w:rPr>
          <w:rFonts w:hint="eastAsia"/>
          <w:szCs w:val="24"/>
          <w:lang w:eastAsia="zh-CN"/>
        </w:rPr>
        <w:t>.</w:t>
      </w:r>
      <w:r w:rsidRPr="00B10EC2">
        <w:rPr>
          <w:rFonts w:hint="eastAsia"/>
          <w:szCs w:val="24"/>
          <w:lang w:eastAsia="zh-CN"/>
        </w:rPr>
        <w:t>限值。</w:t>
      </w:r>
    </w:p>
    <w:p w14:paraId="59ECC995" w14:textId="77777777" w:rsidR="003A0C76" w:rsidRPr="00B10EC2" w:rsidRDefault="003A0C76" w:rsidP="003A0C76">
      <w:pPr>
        <w:ind w:firstLineChars="200" w:firstLine="48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在默认情况下，</w:t>
      </w:r>
      <w:r w:rsidRPr="00B10EC2">
        <w:rPr>
          <w:rFonts w:hint="eastAsia"/>
          <w:szCs w:val="24"/>
          <w:lang w:eastAsia="zh-CN"/>
        </w:rPr>
        <w:t>电子审查中所有</w:t>
      </w:r>
      <w:proofErr w:type="spellStart"/>
      <w:r w:rsidRPr="00B10EC2">
        <w:rPr>
          <w:rFonts w:hint="eastAsia"/>
          <w:szCs w:val="24"/>
          <w:lang w:eastAsia="zh-CN"/>
        </w:rPr>
        <w:t>pfd</w:t>
      </w:r>
      <w:proofErr w:type="spellEnd"/>
      <w:r w:rsidRPr="00B10EC2">
        <w:rPr>
          <w:rFonts w:hint="eastAsia"/>
          <w:szCs w:val="24"/>
          <w:lang w:eastAsia="zh-CN"/>
        </w:rPr>
        <w:t>和</w:t>
      </w:r>
      <w:proofErr w:type="spellStart"/>
      <w:r w:rsidRPr="00B10EC2">
        <w:rPr>
          <w:rFonts w:hint="eastAsia"/>
          <w:szCs w:val="24"/>
          <w:lang w:eastAsia="zh-CN"/>
        </w:rPr>
        <w:t>e.i.r.p</w:t>
      </w:r>
      <w:proofErr w:type="spellEnd"/>
      <w:r w:rsidRPr="00B10EC2">
        <w:rPr>
          <w:rFonts w:hint="eastAsia"/>
          <w:szCs w:val="24"/>
          <w:lang w:eastAsia="zh-CN"/>
        </w:rPr>
        <w:t>.</w:t>
      </w:r>
      <w:r w:rsidRPr="00B10EC2">
        <w:rPr>
          <w:rFonts w:hint="eastAsia"/>
          <w:szCs w:val="24"/>
          <w:lang w:eastAsia="zh-CN"/>
        </w:rPr>
        <w:t>限值的计算，使用根据</w:t>
      </w:r>
      <w:r w:rsidRPr="00B10EC2">
        <w:rPr>
          <w:rFonts w:hint="eastAsia"/>
          <w:szCs w:val="24"/>
          <w:lang w:eastAsia="zh-CN"/>
        </w:rPr>
        <w:t>ITU-R SF.675</w:t>
      </w:r>
      <w:r w:rsidRPr="00B10EC2">
        <w:rPr>
          <w:rFonts w:hint="eastAsia"/>
          <w:szCs w:val="24"/>
          <w:lang w:eastAsia="zh-CN"/>
        </w:rPr>
        <w:t>建议书推导最大功率值</w:t>
      </w:r>
      <w:r>
        <w:rPr>
          <w:rFonts w:hint="eastAsia"/>
          <w:szCs w:val="24"/>
          <w:lang w:eastAsia="zh-CN"/>
        </w:rPr>
        <w:t>所采用</w:t>
      </w:r>
      <w:r w:rsidRPr="00B10EC2">
        <w:rPr>
          <w:rFonts w:hint="eastAsia"/>
          <w:szCs w:val="24"/>
          <w:lang w:eastAsia="zh-CN"/>
        </w:rPr>
        <w:t>的计算方法。</w:t>
      </w:r>
    </w:p>
    <w:p w14:paraId="6BFE4819" w14:textId="77777777" w:rsidR="003A0C76" w:rsidRPr="00B10EC2" w:rsidRDefault="003A0C76" w:rsidP="003A0C76">
      <w:pPr>
        <w:ind w:firstLineChars="200" w:firstLine="480"/>
        <w:rPr>
          <w:szCs w:val="24"/>
          <w:lang w:eastAsia="zh-CN"/>
        </w:rPr>
      </w:pPr>
      <w:r w:rsidRPr="00B10EC2">
        <w:rPr>
          <w:rFonts w:hint="eastAsia"/>
          <w:szCs w:val="24"/>
          <w:lang w:eastAsia="zh-CN"/>
        </w:rPr>
        <w:t>尽管电子审查结果仅供参考，且无线电通信局将在按照《无线电规则》第</w:t>
      </w:r>
      <w:r w:rsidRPr="000A314D">
        <w:rPr>
          <w:rFonts w:hint="eastAsia"/>
          <w:b/>
          <w:bCs/>
          <w:szCs w:val="24"/>
          <w:lang w:eastAsia="zh-CN"/>
        </w:rPr>
        <w:t>9.35/11.31</w:t>
      </w:r>
      <w:r w:rsidRPr="00B10EC2">
        <w:rPr>
          <w:rFonts w:hint="eastAsia"/>
          <w:szCs w:val="24"/>
          <w:lang w:eastAsia="zh-CN"/>
        </w:rPr>
        <w:t>款进行审查</w:t>
      </w:r>
      <w:r>
        <w:rPr>
          <w:rFonts w:hint="eastAsia"/>
          <w:szCs w:val="24"/>
          <w:lang w:eastAsia="zh-CN"/>
        </w:rPr>
        <w:t>后</w:t>
      </w:r>
      <w:r w:rsidRPr="00B10EC2">
        <w:rPr>
          <w:rFonts w:hint="eastAsia"/>
          <w:szCs w:val="24"/>
          <w:lang w:eastAsia="zh-CN"/>
        </w:rPr>
        <w:t>确定最终的规则审查结果，但电子审查工具提供的补充信息可以帮助主管部门审</w:t>
      </w:r>
      <w:r>
        <w:rPr>
          <w:rFonts w:hint="eastAsia"/>
          <w:szCs w:val="24"/>
          <w:lang w:eastAsia="zh-CN"/>
        </w:rPr>
        <w:t>查</w:t>
      </w:r>
      <w:r w:rsidRPr="00B10EC2">
        <w:rPr>
          <w:rFonts w:hint="eastAsia"/>
          <w:szCs w:val="24"/>
          <w:lang w:eastAsia="zh-CN"/>
        </w:rPr>
        <w:t>其频率指配的特性，</w:t>
      </w:r>
      <w:r>
        <w:rPr>
          <w:rFonts w:hint="eastAsia"/>
          <w:szCs w:val="24"/>
          <w:lang w:eastAsia="zh-CN"/>
        </w:rPr>
        <w:t>从而</w:t>
      </w:r>
      <w:r w:rsidRPr="00B10EC2">
        <w:rPr>
          <w:rFonts w:hint="eastAsia"/>
          <w:szCs w:val="24"/>
          <w:lang w:eastAsia="zh-CN"/>
        </w:rPr>
        <w:t>尽可能降低在无线电通信局审查期间</w:t>
      </w:r>
      <w:r>
        <w:rPr>
          <w:rFonts w:hint="eastAsia"/>
          <w:szCs w:val="24"/>
          <w:lang w:eastAsia="zh-CN"/>
        </w:rPr>
        <w:t>得出审查结论不合格</w:t>
      </w:r>
      <w:r w:rsidRPr="00B10EC2">
        <w:rPr>
          <w:rFonts w:hint="eastAsia"/>
          <w:szCs w:val="24"/>
          <w:lang w:eastAsia="zh-CN"/>
        </w:rPr>
        <w:t>的风险。</w:t>
      </w:r>
    </w:p>
    <w:p w14:paraId="1520D84D" w14:textId="77777777" w:rsidR="003A0C76" w:rsidRDefault="003A0C76" w:rsidP="00F419C5">
      <w:pPr>
        <w:spacing w:after="360"/>
        <w:ind w:firstLineChars="200" w:firstLine="480"/>
        <w:rPr>
          <w:szCs w:val="24"/>
          <w:lang w:eastAsia="zh-CN"/>
        </w:rPr>
      </w:pPr>
      <w:r w:rsidRPr="00B10EC2">
        <w:rPr>
          <w:rFonts w:hint="eastAsia"/>
          <w:szCs w:val="24"/>
          <w:lang w:eastAsia="zh-CN"/>
        </w:rPr>
        <w:t>有关电子</w:t>
      </w:r>
      <w:r>
        <w:rPr>
          <w:rFonts w:hint="eastAsia"/>
          <w:szCs w:val="24"/>
          <w:lang w:eastAsia="zh-CN"/>
        </w:rPr>
        <w:t>审查</w:t>
      </w:r>
      <w:r w:rsidRPr="00B10EC2">
        <w:rPr>
          <w:rFonts w:hint="eastAsia"/>
          <w:szCs w:val="24"/>
          <w:lang w:eastAsia="zh-CN"/>
        </w:rPr>
        <w:t>的详细信息和</w:t>
      </w:r>
      <w:proofErr w:type="gramStart"/>
      <w:r w:rsidRPr="00B10EC2">
        <w:rPr>
          <w:rFonts w:hint="eastAsia"/>
          <w:szCs w:val="24"/>
          <w:lang w:eastAsia="zh-CN"/>
        </w:rPr>
        <w:t>导则</w:t>
      </w:r>
      <w:proofErr w:type="gramEnd"/>
      <w:r>
        <w:rPr>
          <w:rFonts w:hint="eastAsia"/>
          <w:szCs w:val="24"/>
          <w:lang w:eastAsia="zh-CN"/>
        </w:rPr>
        <w:t>：</w:t>
      </w:r>
    </w:p>
    <w:p w14:paraId="2816C722" w14:textId="77777777" w:rsidR="003A0C76" w:rsidRDefault="006F4169" w:rsidP="003A0C76">
      <w:pPr>
        <w:spacing w:before="240" w:after="240"/>
        <w:rPr>
          <w:rStyle w:val="Hyperlink"/>
          <w:szCs w:val="24"/>
        </w:rPr>
      </w:pPr>
      <w:hyperlink r:id="rId8" w:history="1">
        <w:bookmarkStart w:id="2" w:name="lt_pId050"/>
        <w:r w:rsidR="003A0C76" w:rsidRPr="00084E7C">
          <w:rPr>
            <w:rStyle w:val="Hyperlink"/>
            <w:szCs w:val="24"/>
          </w:rPr>
          <w:t>https://www.itu.int/en/ITU-R/space/support/Pages/e-Examination-guide.aspx</w:t>
        </w:r>
        <w:bookmarkEnd w:id="2"/>
      </w:hyperlink>
    </w:p>
    <w:p w14:paraId="0CE22FEF" w14:textId="77777777" w:rsidR="003A0C76" w:rsidRPr="00B10EC2" w:rsidRDefault="003A0C76" w:rsidP="00F419C5">
      <w:pPr>
        <w:pStyle w:val="Headingb"/>
        <w:spacing w:before="480"/>
        <w:rPr>
          <w:lang w:eastAsia="zh-CN"/>
        </w:rPr>
      </w:pPr>
      <w:r>
        <w:rPr>
          <w:rFonts w:hint="eastAsia"/>
          <w:lang w:eastAsia="zh-CN"/>
        </w:rPr>
        <w:t>应用与</w:t>
      </w:r>
      <w:r w:rsidRPr="00B10EC2">
        <w:rPr>
          <w:lang w:eastAsia="zh-CN"/>
        </w:rPr>
        <w:t>ITU-R SF.675</w:t>
      </w:r>
      <w:r w:rsidRPr="00B10EC2">
        <w:rPr>
          <w:rFonts w:hint="eastAsia"/>
          <w:lang w:eastAsia="zh-CN"/>
        </w:rPr>
        <w:t>建议书</w:t>
      </w:r>
      <w:r>
        <w:rPr>
          <w:rFonts w:hint="eastAsia"/>
          <w:lang w:eastAsia="zh-CN"/>
        </w:rPr>
        <w:t>相符</w:t>
      </w:r>
      <w:r w:rsidRPr="00B10EC2">
        <w:rPr>
          <w:rFonts w:hint="eastAsia"/>
          <w:lang w:eastAsia="zh-CN"/>
        </w:rPr>
        <w:t>的计算方法的日期</w:t>
      </w:r>
    </w:p>
    <w:p w14:paraId="58838EB3" w14:textId="77777777" w:rsidR="003A0C76" w:rsidRPr="00B10EC2" w:rsidRDefault="003A0C76" w:rsidP="003A0C76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120" w:after="240" w:line="240" w:lineRule="auto"/>
        <w:ind w:firstLineChars="200" w:firstLine="480"/>
        <w:textAlignment w:val="auto"/>
        <w:rPr>
          <w:rFonts w:asciiTheme="minorHAnsi" w:eastAsia="SimSun" w:hAnsiTheme="minorHAnsi" w:cstheme="minorHAnsi"/>
          <w:szCs w:val="24"/>
          <w:lang w:eastAsia="zh-CN"/>
        </w:rPr>
      </w:pPr>
      <w:r w:rsidRPr="00B10EC2">
        <w:rPr>
          <w:rFonts w:asciiTheme="minorHAnsi" w:eastAsia="SimSun" w:hAnsiTheme="minorHAnsi" w:cstheme="minorHAnsi" w:hint="eastAsia"/>
          <w:szCs w:val="24"/>
          <w:lang w:eastAsia="zh-CN"/>
        </w:rPr>
        <w:t>通过上述措施逐步实施与</w:t>
      </w:r>
      <w:r w:rsidRPr="00B10EC2">
        <w:rPr>
          <w:rFonts w:asciiTheme="minorHAnsi" w:eastAsia="SimSun" w:hAnsiTheme="minorHAnsi" w:cstheme="minorHAnsi" w:hint="eastAsia"/>
          <w:szCs w:val="24"/>
          <w:lang w:eastAsia="zh-CN"/>
        </w:rPr>
        <w:t>ITU-R SF.675</w:t>
      </w:r>
      <w:r w:rsidRPr="00B10EC2">
        <w:rPr>
          <w:rFonts w:asciiTheme="minorHAnsi" w:eastAsia="SimSun" w:hAnsiTheme="minorHAnsi" w:cstheme="minorHAnsi" w:hint="eastAsia"/>
          <w:szCs w:val="24"/>
          <w:lang w:eastAsia="zh-CN"/>
        </w:rPr>
        <w:t>建议书相一致的新计算方法，无线电通信局将从</w:t>
      </w:r>
      <w:r w:rsidRPr="00B10EC2">
        <w:rPr>
          <w:rFonts w:asciiTheme="minorHAnsi" w:eastAsia="SimSun" w:hAnsiTheme="minorHAnsi" w:cstheme="minorHAnsi" w:hint="eastAsia"/>
          <w:szCs w:val="24"/>
          <w:lang w:eastAsia="zh-CN"/>
        </w:rPr>
        <w:t>2024</w:t>
      </w:r>
      <w:r w:rsidRPr="00B10EC2">
        <w:rPr>
          <w:rFonts w:asciiTheme="minorHAnsi" w:eastAsia="SimSun" w:hAnsiTheme="minorHAnsi" w:cstheme="minorHAnsi" w:hint="eastAsia"/>
          <w:szCs w:val="24"/>
          <w:lang w:eastAsia="zh-CN"/>
        </w:rPr>
        <w:t>年</w:t>
      </w:r>
      <w:r w:rsidRPr="00B10EC2">
        <w:rPr>
          <w:rFonts w:asciiTheme="minorHAnsi" w:eastAsia="SimSun" w:hAnsiTheme="minorHAnsi" w:cstheme="minorHAnsi" w:hint="eastAsia"/>
          <w:szCs w:val="24"/>
          <w:lang w:eastAsia="zh-CN"/>
        </w:rPr>
        <w:t>5</w:t>
      </w:r>
      <w:r w:rsidRPr="00B10EC2">
        <w:rPr>
          <w:rFonts w:asciiTheme="minorHAnsi" w:eastAsia="SimSun" w:hAnsiTheme="minorHAnsi" w:cstheme="minorHAnsi" w:hint="eastAsia"/>
          <w:szCs w:val="24"/>
          <w:lang w:eastAsia="zh-CN"/>
        </w:rPr>
        <w:t>月</w:t>
      </w:r>
      <w:r w:rsidRPr="00B10EC2">
        <w:rPr>
          <w:rFonts w:asciiTheme="minorHAnsi" w:eastAsia="SimSun" w:hAnsiTheme="minorHAnsi" w:cstheme="minorHAnsi" w:hint="eastAsia"/>
          <w:szCs w:val="24"/>
          <w:lang w:eastAsia="zh-CN"/>
        </w:rPr>
        <w:t>1</w:t>
      </w:r>
      <w:r w:rsidRPr="00B10EC2">
        <w:rPr>
          <w:rFonts w:asciiTheme="minorHAnsi" w:eastAsia="SimSun" w:hAnsiTheme="minorHAnsi" w:cstheme="minorHAnsi" w:hint="eastAsia"/>
          <w:szCs w:val="24"/>
          <w:lang w:eastAsia="zh-CN"/>
        </w:rPr>
        <w:t>日起开始将此新方法应用于收到的所有频率指配。</w:t>
      </w:r>
    </w:p>
    <w:p w14:paraId="4A0641AB" w14:textId="77777777" w:rsidR="003A0C76" w:rsidRPr="00B10EC2" w:rsidRDefault="003A0C76" w:rsidP="003A0C76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120" w:after="240" w:line="240" w:lineRule="auto"/>
        <w:ind w:firstLineChars="200" w:firstLine="480"/>
        <w:textAlignment w:val="auto"/>
        <w:rPr>
          <w:rFonts w:asciiTheme="minorHAnsi" w:eastAsia="SimSun" w:hAnsiTheme="minorHAnsi" w:cstheme="minorHAnsi"/>
          <w:szCs w:val="24"/>
          <w:lang w:eastAsia="zh-CN"/>
        </w:rPr>
      </w:pPr>
      <w:r w:rsidRPr="00B10EC2">
        <w:rPr>
          <w:rFonts w:asciiTheme="minorHAnsi" w:eastAsia="SimSun" w:hAnsiTheme="minorHAnsi" w:cstheme="minorHAnsi" w:hint="eastAsia"/>
          <w:szCs w:val="24"/>
          <w:lang w:eastAsia="zh-CN"/>
        </w:rPr>
        <w:t>同一方法也适用于</w:t>
      </w:r>
      <w:r w:rsidRPr="00B10EC2">
        <w:rPr>
          <w:rFonts w:asciiTheme="minorHAnsi" w:eastAsia="SimSun" w:hAnsiTheme="minorHAnsi" w:cstheme="minorHAnsi" w:hint="eastAsia"/>
          <w:szCs w:val="24"/>
          <w:lang w:eastAsia="zh-CN"/>
        </w:rPr>
        <w:t>2024</w:t>
      </w:r>
      <w:r w:rsidRPr="00B10EC2">
        <w:rPr>
          <w:rFonts w:asciiTheme="minorHAnsi" w:eastAsia="SimSun" w:hAnsiTheme="minorHAnsi" w:cstheme="minorHAnsi" w:hint="eastAsia"/>
          <w:szCs w:val="24"/>
          <w:lang w:eastAsia="zh-CN"/>
        </w:rPr>
        <w:t>年</w:t>
      </w:r>
      <w:r w:rsidRPr="00B10EC2">
        <w:rPr>
          <w:rFonts w:asciiTheme="minorHAnsi" w:eastAsia="SimSun" w:hAnsiTheme="minorHAnsi" w:cstheme="minorHAnsi" w:hint="eastAsia"/>
          <w:szCs w:val="24"/>
          <w:lang w:eastAsia="zh-CN"/>
        </w:rPr>
        <w:t>5</w:t>
      </w:r>
      <w:r w:rsidRPr="00B10EC2">
        <w:rPr>
          <w:rFonts w:asciiTheme="minorHAnsi" w:eastAsia="SimSun" w:hAnsiTheme="minorHAnsi" w:cstheme="minorHAnsi" w:hint="eastAsia"/>
          <w:szCs w:val="24"/>
          <w:lang w:eastAsia="zh-CN"/>
        </w:rPr>
        <w:t>月</w:t>
      </w:r>
      <w:r w:rsidRPr="00B10EC2">
        <w:rPr>
          <w:rFonts w:asciiTheme="minorHAnsi" w:eastAsia="SimSun" w:hAnsiTheme="minorHAnsi" w:cstheme="minorHAnsi" w:hint="eastAsia"/>
          <w:szCs w:val="24"/>
          <w:lang w:eastAsia="zh-CN"/>
        </w:rPr>
        <w:t>1</w:t>
      </w:r>
      <w:r w:rsidRPr="00B10EC2">
        <w:rPr>
          <w:rFonts w:asciiTheme="minorHAnsi" w:eastAsia="SimSun" w:hAnsiTheme="minorHAnsi" w:cstheme="minorHAnsi" w:hint="eastAsia"/>
          <w:szCs w:val="24"/>
          <w:lang w:eastAsia="zh-CN"/>
        </w:rPr>
        <w:t>日或之后收到需经协调的频率指配，即使相应的频率指配已于该日期</w:t>
      </w:r>
      <w:r>
        <w:rPr>
          <w:rFonts w:asciiTheme="minorHAnsi" w:eastAsia="SimSun" w:hAnsiTheme="minorHAnsi" w:cstheme="minorHAnsi" w:hint="eastAsia"/>
          <w:szCs w:val="24"/>
          <w:lang w:eastAsia="zh-CN"/>
        </w:rPr>
        <w:t>之</w:t>
      </w:r>
      <w:r w:rsidRPr="00B10EC2">
        <w:rPr>
          <w:rFonts w:asciiTheme="minorHAnsi" w:eastAsia="SimSun" w:hAnsiTheme="minorHAnsi" w:cstheme="minorHAnsi" w:hint="eastAsia"/>
          <w:szCs w:val="24"/>
          <w:lang w:eastAsia="zh-CN"/>
        </w:rPr>
        <w:t>前提交协调。</w:t>
      </w:r>
    </w:p>
    <w:p w14:paraId="6D121263" w14:textId="11BFF1F5" w:rsidR="00F419C5" w:rsidRDefault="003A0C76" w:rsidP="003A0C76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120" w:after="240" w:line="240" w:lineRule="auto"/>
        <w:ind w:firstLineChars="200" w:firstLine="480"/>
        <w:textAlignment w:val="auto"/>
        <w:rPr>
          <w:rFonts w:asciiTheme="minorHAnsi" w:eastAsia="SimSun" w:hAnsiTheme="minorHAnsi" w:cstheme="minorHAnsi"/>
          <w:szCs w:val="24"/>
          <w:lang w:eastAsia="zh-CN"/>
        </w:rPr>
      </w:pPr>
      <w:r>
        <w:rPr>
          <w:rFonts w:asciiTheme="minorHAnsi" w:eastAsia="SimSun" w:hAnsiTheme="minorHAnsi" w:cstheme="minorHAnsi" w:hint="eastAsia"/>
          <w:szCs w:val="24"/>
          <w:lang w:eastAsia="zh-CN"/>
        </w:rPr>
        <w:t>针对</w:t>
      </w:r>
      <w:r w:rsidRPr="00B10EC2">
        <w:rPr>
          <w:rFonts w:asciiTheme="minorHAnsi" w:eastAsia="SimSun" w:hAnsiTheme="minorHAnsi" w:cstheme="minorHAnsi" w:hint="eastAsia"/>
          <w:szCs w:val="24"/>
          <w:lang w:eastAsia="zh-CN"/>
        </w:rPr>
        <w:t>2024</w:t>
      </w:r>
      <w:r w:rsidRPr="00B10EC2">
        <w:rPr>
          <w:rFonts w:asciiTheme="minorHAnsi" w:eastAsia="SimSun" w:hAnsiTheme="minorHAnsi" w:cstheme="minorHAnsi" w:hint="eastAsia"/>
          <w:szCs w:val="24"/>
          <w:lang w:eastAsia="zh-CN"/>
        </w:rPr>
        <w:t>年</w:t>
      </w:r>
      <w:r w:rsidRPr="00B10EC2">
        <w:rPr>
          <w:rFonts w:asciiTheme="minorHAnsi" w:eastAsia="SimSun" w:hAnsiTheme="minorHAnsi" w:cstheme="minorHAnsi" w:hint="eastAsia"/>
          <w:szCs w:val="24"/>
          <w:lang w:eastAsia="zh-CN"/>
        </w:rPr>
        <w:t>5</w:t>
      </w:r>
      <w:r w:rsidRPr="00B10EC2">
        <w:rPr>
          <w:rFonts w:asciiTheme="minorHAnsi" w:eastAsia="SimSun" w:hAnsiTheme="minorHAnsi" w:cstheme="minorHAnsi" w:hint="eastAsia"/>
          <w:szCs w:val="24"/>
          <w:lang w:eastAsia="zh-CN"/>
        </w:rPr>
        <w:t>月</w:t>
      </w:r>
      <w:r w:rsidRPr="00B10EC2">
        <w:rPr>
          <w:rFonts w:asciiTheme="minorHAnsi" w:eastAsia="SimSun" w:hAnsiTheme="minorHAnsi" w:cstheme="minorHAnsi" w:hint="eastAsia"/>
          <w:szCs w:val="24"/>
          <w:lang w:eastAsia="zh-CN"/>
        </w:rPr>
        <w:t>1</w:t>
      </w:r>
      <w:r w:rsidRPr="00B10EC2">
        <w:rPr>
          <w:rFonts w:asciiTheme="minorHAnsi" w:eastAsia="SimSun" w:hAnsiTheme="minorHAnsi" w:cstheme="minorHAnsi" w:hint="eastAsia"/>
          <w:szCs w:val="24"/>
          <w:lang w:eastAsia="zh-CN"/>
        </w:rPr>
        <w:t>日之前收到的所有频率指配的规则审查</w:t>
      </w:r>
      <w:r>
        <w:rPr>
          <w:rFonts w:asciiTheme="minorHAnsi" w:eastAsia="SimSun" w:hAnsiTheme="minorHAnsi" w:cstheme="minorHAnsi" w:hint="eastAsia"/>
          <w:szCs w:val="24"/>
          <w:lang w:eastAsia="zh-CN"/>
        </w:rPr>
        <w:t>，</w:t>
      </w:r>
      <w:r w:rsidRPr="00B10EC2">
        <w:rPr>
          <w:rFonts w:asciiTheme="minorHAnsi" w:eastAsia="SimSun" w:hAnsiTheme="minorHAnsi" w:cstheme="minorHAnsi" w:hint="eastAsia"/>
          <w:szCs w:val="24"/>
          <w:lang w:eastAsia="zh-CN"/>
        </w:rPr>
        <w:t>将使用附件</w:t>
      </w:r>
      <w:r w:rsidRPr="00B10EC2">
        <w:rPr>
          <w:rFonts w:asciiTheme="minorHAnsi" w:eastAsia="SimSun" w:hAnsiTheme="minorHAnsi" w:cstheme="minorHAnsi" w:hint="eastAsia"/>
          <w:szCs w:val="24"/>
          <w:lang w:eastAsia="zh-CN"/>
        </w:rPr>
        <w:t>1</w:t>
      </w:r>
      <w:r w:rsidRPr="00B10EC2">
        <w:rPr>
          <w:rFonts w:asciiTheme="minorHAnsi" w:eastAsia="SimSun" w:hAnsiTheme="minorHAnsi" w:cstheme="minorHAnsi" w:hint="eastAsia"/>
          <w:szCs w:val="24"/>
          <w:lang w:eastAsia="zh-CN"/>
        </w:rPr>
        <w:t>中的传统方法进行。</w:t>
      </w:r>
    </w:p>
    <w:p w14:paraId="0BB1F7B5" w14:textId="77777777" w:rsidR="00F419C5" w:rsidRDefault="00F419C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eastAsia="SimSun" w:hAnsiTheme="minorHAnsi" w:cstheme="minorHAnsi"/>
          <w:szCs w:val="24"/>
          <w:lang w:eastAsia="zh-CN"/>
        </w:rPr>
      </w:pPr>
      <w:r>
        <w:rPr>
          <w:rFonts w:asciiTheme="minorHAnsi" w:eastAsia="SimSun" w:hAnsiTheme="minorHAnsi" w:cstheme="minorHAnsi"/>
          <w:szCs w:val="24"/>
          <w:lang w:eastAsia="zh-CN"/>
        </w:rPr>
        <w:br w:type="page"/>
      </w:r>
    </w:p>
    <w:p w14:paraId="695854ED" w14:textId="719B75E0" w:rsidR="003A0C76" w:rsidRDefault="003A0C76" w:rsidP="00F419C5">
      <w:pPr>
        <w:pStyle w:val="Headingb"/>
        <w:spacing w:before="480"/>
      </w:pPr>
      <w:proofErr w:type="spellStart"/>
      <w:r w:rsidRPr="00BC73E1">
        <w:rPr>
          <w:rFonts w:hint="eastAsia"/>
        </w:rPr>
        <w:lastRenderedPageBreak/>
        <w:t>支持和联系方式</w:t>
      </w:r>
      <w:proofErr w:type="spellEnd"/>
    </w:p>
    <w:p w14:paraId="7CBEF6C3" w14:textId="77777777" w:rsidR="003A0C76" w:rsidRDefault="003A0C76" w:rsidP="003A0C76">
      <w:pPr>
        <w:tabs>
          <w:tab w:val="clear" w:pos="794"/>
          <w:tab w:val="clear" w:pos="1191"/>
          <w:tab w:val="clear" w:pos="1588"/>
          <w:tab w:val="clear" w:pos="1985"/>
          <w:tab w:val="left" w:pos="900"/>
        </w:tabs>
        <w:spacing w:before="240"/>
        <w:ind w:firstLineChars="200" w:firstLine="480"/>
        <w:rPr>
          <w:szCs w:val="24"/>
          <w:lang w:val="en-GB"/>
        </w:rPr>
      </w:pPr>
      <w:proofErr w:type="spellStart"/>
      <w:r w:rsidRPr="00BC73E1">
        <w:rPr>
          <w:rFonts w:hint="eastAsia"/>
          <w:szCs w:val="24"/>
          <w:lang w:val="en-GB"/>
        </w:rPr>
        <w:t>如贵方要求对本通函所涉事宜进行任何澄清或要求提供帮助，请通过此电子邮件地址</w:t>
      </w:r>
      <w:proofErr w:type="spellEnd"/>
      <w:r w:rsidR="00F01AFB">
        <w:fldChar w:fldCharType="begin"/>
      </w:r>
      <w:r w:rsidR="00F01AFB">
        <w:instrText>HYPERLINK "mailto:brmail@itu.int"</w:instrText>
      </w:r>
      <w:r w:rsidR="00F01AFB">
        <w:fldChar w:fldCharType="separate"/>
      </w:r>
      <w:r w:rsidRPr="00BC73E1">
        <w:rPr>
          <w:rStyle w:val="Hyperlink"/>
          <w:szCs w:val="24"/>
          <w:lang w:val="en-GB"/>
        </w:rPr>
        <w:t>brmail@itu.int</w:t>
      </w:r>
      <w:r w:rsidR="00F01AFB">
        <w:rPr>
          <w:rStyle w:val="Hyperlink"/>
          <w:szCs w:val="24"/>
          <w:lang w:val="en-GB"/>
        </w:rPr>
        <w:fldChar w:fldCharType="end"/>
      </w:r>
      <w:proofErr w:type="spellStart"/>
      <w:r w:rsidRPr="00BC73E1">
        <w:rPr>
          <w:rFonts w:hint="eastAsia"/>
          <w:szCs w:val="24"/>
          <w:lang w:val="en-GB"/>
        </w:rPr>
        <w:t>随时与无线电通信局联系</w:t>
      </w:r>
      <w:proofErr w:type="spellEnd"/>
      <w:r w:rsidRPr="00BC73E1">
        <w:rPr>
          <w:rFonts w:hint="eastAsia"/>
          <w:szCs w:val="24"/>
          <w:lang w:val="en-GB"/>
        </w:rPr>
        <w:t>。</w:t>
      </w:r>
    </w:p>
    <w:p w14:paraId="450DA1E8" w14:textId="77777777" w:rsidR="003A0C76" w:rsidRPr="00B10EC2" w:rsidRDefault="003A0C76" w:rsidP="003A0C76">
      <w:pPr>
        <w:tabs>
          <w:tab w:val="clear" w:pos="794"/>
          <w:tab w:val="clear" w:pos="1191"/>
          <w:tab w:val="clear" w:pos="1588"/>
          <w:tab w:val="clear" w:pos="1985"/>
          <w:tab w:val="left" w:pos="851"/>
        </w:tabs>
        <w:spacing w:before="240" w:after="240"/>
        <w:ind w:firstLineChars="200" w:firstLine="480"/>
        <w:jc w:val="left"/>
        <w:rPr>
          <w:rFonts w:asciiTheme="minorHAnsi" w:hAnsiTheme="minorHAnsi" w:cstheme="majorBidi"/>
          <w:szCs w:val="24"/>
          <w:lang w:val="en-GB"/>
        </w:rPr>
      </w:pPr>
      <w:proofErr w:type="spellStart"/>
      <w:r w:rsidRPr="00B10EC2">
        <w:rPr>
          <w:rFonts w:asciiTheme="minorHAnsi" w:hAnsiTheme="minorHAnsi" w:cstheme="majorBidi" w:hint="eastAsia"/>
          <w:lang w:val="en-GB"/>
        </w:rPr>
        <w:t>有关</w:t>
      </w:r>
      <w:proofErr w:type="spellEnd"/>
      <w:r w:rsidRPr="00B10EC2">
        <w:rPr>
          <w:rFonts w:asciiTheme="minorHAnsi" w:hAnsiTheme="minorHAnsi" w:cstheme="majorBidi" w:hint="eastAsia"/>
          <w:lang w:val="en-GB"/>
        </w:rPr>
        <w:t>GIBC</w:t>
      </w:r>
      <w:proofErr w:type="spellStart"/>
      <w:r w:rsidRPr="00B10EC2">
        <w:rPr>
          <w:rFonts w:asciiTheme="minorHAnsi" w:hAnsiTheme="minorHAnsi" w:cstheme="majorBidi" w:hint="eastAsia"/>
          <w:lang w:val="en-GB"/>
        </w:rPr>
        <w:t>软件的任何问题，请</w:t>
      </w:r>
      <w:proofErr w:type="spellEnd"/>
      <w:r>
        <w:rPr>
          <w:rFonts w:asciiTheme="minorHAnsi" w:hAnsiTheme="minorHAnsi" w:cstheme="majorBidi" w:hint="eastAsia"/>
          <w:lang w:val="en-GB" w:eastAsia="zh-CN"/>
        </w:rPr>
        <w:t>通过</w:t>
      </w:r>
      <w:r w:rsidR="00F01AFB">
        <w:fldChar w:fldCharType="begin"/>
      </w:r>
      <w:r w:rsidR="00F01AFB">
        <w:instrText>HYPERLINK "mailto:brsas@itu.int"</w:instrText>
      </w:r>
      <w:r w:rsidR="00F01AFB">
        <w:fldChar w:fldCharType="separate"/>
      </w:r>
      <w:r w:rsidRPr="00614623">
        <w:rPr>
          <w:rStyle w:val="Hyperlink"/>
          <w:szCs w:val="24"/>
        </w:rPr>
        <w:t>brsas@itu.int</w:t>
      </w:r>
      <w:r w:rsidR="00F01AFB">
        <w:rPr>
          <w:rStyle w:val="Hyperlink"/>
          <w:szCs w:val="24"/>
        </w:rPr>
        <w:fldChar w:fldCharType="end"/>
      </w:r>
      <w:r w:rsidRPr="00B10EC2">
        <w:rPr>
          <w:rFonts w:asciiTheme="minorHAnsi" w:hAnsiTheme="minorHAnsi" w:cstheme="majorBidi" w:hint="eastAsia"/>
          <w:lang w:val="en-GB"/>
        </w:rPr>
        <w:t>提出。</w:t>
      </w:r>
    </w:p>
    <w:p w14:paraId="37091FEB" w14:textId="64556303" w:rsidR="003A0C76" w:rsidRPr="00E40CF2" w:rsidRDefault="003A0C76" w:rsidP="003A0C76">
      <w:pPr>
        <w:tabs>
          <w:tab w:val="center" w:pos="4819"/>
        </w:tabs>
        <w:spacing w:before="120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</w:pPr>
      <w:r w:rsidRPr="00E40CF2">
        <w:rPr>
          <w:rFonts w:asciiTheme="majorEastAsia" w:eastAsiaTheme="majorEastAsia" w:hAnsiTheme="majorEastAsia" w:hint="eastAsia"/>
          <w:szCs w:val="24"/>
          <w:lang w:eastAsia="zh-CN"/>
        </w:rPr>
        <w:t>主任</w:t>
      </w:r>
      <w:r w:rsidRPr="00E40CF2">
        <w:rPr>
          <w:rFonts w:asciiTheme="majorEastAsia" w:eastAsiaTheme="majorEastAsia" w:hAnsiTheme="majorEastAsia"/>
          <w:szCs w:val="24"/>
          <w:lang w:eastAsia="zh-CN"/>
        </w:rPr>
        <w:br/>
        <w:t>马里奥</w:t>
      </w:r>
      <w:r w:rsidR="00B44390" w:rsidRPr="00B44390">
        <w:rPr>
          <w:rFonts w:eastAsiaTheme="majorEastAsia"/>
          <w:sz w:val="16"/>
          <w:szCs w:val="16"/>
          <w:lang w:eastAsia="zh-CN"/>
        </w:rPr>
        <w:t>•</w:t>
      </w:r>
      <w:r w:rsidRPr="00E40CF2">
        <w:rPr>
          <w:rFonts w:asciiTheme="majorEastAsia" w:eastAsiaTheme="majorEastAsia" w:hAnsiTheme="majorEastAsia"/>
          <w:szCs w:val="24"/>
          <w:lang w:eastAsia="zh-CN"/>
        </w:rPr>
        <w:t>马尼维奇</w:t>
      </w:r>
    </w:p>
    <w:p w14:paraId="741A3DA7" w14:textId="77777777" w:rsidR="003A0C76" w:rsidRDefault="003A0C76" w:rsidP="006F4169">
      <w:pPr>
        <w:tabs>
          <w:tab w:val="clear" w:pos="794"/>
          <w:tab w:val="clear" w:pos="1191"/>
          <w:tab w:val="clear" w:pos="1588"/>
          <w:tab w:val="clear" w:pos="1985"/>
          <w:tab w:val="left" w:pos="0"/>
        </w:tabs>
        <w:spacing w:before="2280" w:line="240" w:lineRule="auto"/>
        <w:jc w:val="lowKashida"/>
        <w:rPr>
          <w:rFonts w:asciiTheme="minorHAnsi" w:eastAsiaTheme="majorEastAsia" w:hAnsiTheme="minorHAnsi" w:cstheme="minorHAnsi"/>
          <w:szCs w:val="24"/>
          <w:lang w:eastAsia="zh-CN"/>
        </w:rPr>
      </w:pPr>
      <w:bookmarkStart w:id="3" w:name="lt_pId061"/>
      <w:r>
        <w:rPr>
          <w:rFonts w:asciiTheme="minorHAnsi" w:eastAsiaTheme="majorEastAsia" w:hAnsiTheme="minorHAnsi" w:cstheme="minorHAnsi" w:hint="eastAsia"/>
          <w:szCs w:val="24"/>
          <w:lang w:eastAsia="zh-CN"/>
        </w:rPr>
        <w:t>后附资料：附件</w:t>
      </w:r>
      <w:r>
        <w:rPr>
          <w:rFonts w:asciiTheme="minorHAnsi" w:eastAsiaTheme="majorEastAsia" w:hAnsiTheme="minorHAnsi" w:cstheme="minorHAnsi" w:hint="eastAsia"/>
          <w:szCs w:val="24"/>
          <w:lang w:eastAsia="zh-CN"/>
        </w:rPr>
        <w:t>1</w:t>
      </w:r>
      <w:r>
        <w:rPr>
          <w:rFonts w:asciiTheme="minorHAnsi" w:eastAsiaTheme="majorEastAsia" w:hAnsiTheme="minorHAnsi" w:cstheme="minorHAnsi" w:hint="eastAsia"/>
          <w:szCs w:val="24"/>
          <w:lang w:eastAsia="zh-CN"/>
        </w:rPr>
        <w:t>件</w:t>
      </w:r>
      <w:bookmarkEnd w:id="3"/>
    </w:p>
    <w:p w14:paraId="2DBC3438" w14:textId="77777777" w:rsidR="003A0C76" w:rsidRPr="00B44390" w:rsidRDefault="003A0C76" w:rsidP="003A0C76">
      <w:pPr>
        <w:tabs>
          <w:tab w:val="left" w:pos="284"/>
        </w:tabs>
        <w:spacing w:before="1200"/>
        <w:jc w:val="left"/>
        <w:rPr>
          <w:rFonts w:cstheme="minorHAnsi"/>
          <w:b/>
          <w:bCs/>
          <w:sz w:val="18"/>
          <w:szCs w:val="18"/>
          <w:u w:val="single"/>
          <w:lang w:eastAsia="zh-CN"/>
        </w:rPr>
      </w:pPr>
      <w:r w:rsidRPr="00B44390">
        <w:rPr>
          <w:rFonts w:cstheme="minorHAnsi" w:hint="eastAsia"/>
          <w:b/>
          <w:bCs/>
          <w:sz w:val="18"/>
          <w:szCs w:val="18"/>
          <w:u w:val="single"/>
          <w:lang w:eastAsia="zh-CN"/>
        </w:rPr>
        <w:t>分发：</w:t>
      </w:r>
    </w:p>
    <w:p w14:paraId="282C0842" w14:textId="77777777" w:rsidR="003A0C76" w:rsidRPr="00E40CF2" w:rsidRDefault="003A0C76" w:rsidP="003A0C76">
      <w:pPr>
        <w:tabs>
          <w:tab w:val="left" w:pos="284"/>
        </w:tabs>
        <w:spacing w:before="120"/>
        <w:jc w:val="left"/>
        <w:rPr>
          <w:rFonts w:cstheme="minorHAnsi"/>
          <w:sz w:val="18"/>
          <w:szCs w:val="18"/>
          <w:lang w:eastAsia="zh-CN"/>
        </w:rPr>
      </w:pPr>
      <w:r w:rsidRPr="00E40CF2">
        <w:rPr>
          <w:rFonts w:cstheme="minorHAnsi"/>
          <w:sz w:val="18"/>
          <w:szCs w:val="18"/>
          <w:lang w:eastAsia="zh-CN"/>
        </w:rPr>
        <w:t>–</w:t>
      </w:r>
      <w:r w:rsidRPr="00E40CF2">
        <w:rPr>
          <w:rFonts w:cstheme="minorHAnsi"/>
          <w:sz w:val="18"/>
          <w:szCs w:val="18"/>
          <w:lang w:eastAsia="zh-CN"/>
        </w:rPr>
        <w:tab/>
      </w:r>
      <w:r w:rsidRPr="00E40CF2">
        <w:rPr>
          <w:rFonts w:cstheme="minorHAnsi" w:hint="eastAsia"/>
          <w:sz w:val="18"/>
          <w:szCs w:val="18"/>
          <w:lang w:eastAsia="zh-CN"/>
        </w:rPr>
        <w:t>国际电联各成员国主管部门</w:t>
      </w:r>
      <w:r w:rsidRPr="00E40CF2">
        <w:rPr>
          <w:rFonts w:cstheme="minorHAnsi"/>
          <w:sz w:val="18"/>
          <w:szCs w:val="18"/>
          <w:lang w:eastAsia="zh-CN"/>
        </w:rPr>
        <w:br/>
        <w:t>–</w:t>
      </w:r>
      <w:r w:rsidRPr="00E40CF2">
        <w:rPr>
          <w:rFonts w:cstheme="minorHAnsi"/>
          <w:sz w:val="18"/>
          <w:szCs w:val="18"/>
          <w:lang w:eastAsia="zh-CN"/>
        </w:rPr>
        <w:tab/>
      </w:r>
      <w:r w:rsidRPr="00E40CF2">
        <w:rPr>
          <w:rFonts w:cstheme="minorHAnsi" w:hint="eastAsia"/>
          <w:sz w:val="18"/>
          <w:szCs w:val="18"/>
          <w:lang w:eastAsia="zh-CN"/>
        </w:rPr>
        <w:t>无线电规则委员会委员</w:t>
      </w:r>
    </w:p>
    <w:p w14:paraId="3C45A37E" w14:textId="77777777" w:rsidR="003A0C76" w:rsidRPr="00E40CF2" w:rsidRDefault="003A0C76" w:rsidP="003A0C7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b/>
          <w:szCs w:val="24"/>
          <w:lang w:eastAsia="zh-CN"/>
        </w:rPr>
      </w:pPr>
      <w:r w:rsidRPr="00E40CF2">
        <w:rPr>
          <w:szCs w:val="24"/>
          <w:lang w:eastAsia="zh-CN"/>
        </w:rPr>
        <w:br w:type="page"/>
      </w:r>
    </w:p>
    <w:p w14:paraId="569DF89B" w14:textId="77777777" w:rsidR="003A0C76" w:rsidRPr="00D33677" w:rsidRDefault="003A0C76" w:rsidP="003A0C76">
      <w:pPr>
        <w:pStyle w:val="AnnexNo"/>
        <w:rPr>
          <w:rFonts w:asciiTheme="minorHAnsi" w:hAnsiTheme="minorHAnsi" w:cstheme="minorHAnsi"/>
          <w:lang w:eastAsia="zh-CN"/>
        </w:rPr>
      </w:pPr>
      <w:r w:rsidRPr="00D33677">
        <w:rPr>
          <w:rFonts w:asciiTheme="minorHAnsi" w:hAnsiTheme="minorHAnsi" w:cstheme="minorHAnsi"/>
          <w:szCs w:val="24"/>
          <w:lang w:eastAsia="zh-CN"/>
        </w:rPr>
        <w:lastRenderedPageBreak/>
        <w:t>附件</w:t>
      </w:r>
      <w:r w:rsidRPr="00D33677">
        <w:rPr>
          <w:rFonts w:asciiTheme="minorHAnsi" w:hAnsiTheme="minorHAnsi" w:cstheme="minorHAnsi"/>
          <w:szCs w:val="24"/>
          <w:lang w:eastAsia="zh-CN"/>
        </w:rPr>
        <w:t>1</w:t>
      </w:r>
    </w:p>
    <w:p w14:paraId="0557385D" w14:textId="57B30105" w:rsidR="003A0C76" w:rsidRPr="00D33677" w:rsidRDefault="003A0C76" w:rsidP="00D33677">
      <w:pPr>
        <w:pStyle w:val="Annextitle"/>
        <w:rPr>
          <w:rFonts w:asciiTheme="minorHAnsi" w:eastAsiaTheme="minorEastAsia" w:hAnsiTheme="minorHAnsi" w:cstheme="minorHAnsi"/>
          <w:lang w:eastAsia="zh-CN"/>
        </w:rPr>
      </w:pPr>
      <w:r w:rsidRPr="00D33677">
        <w:rPr>
          <w:rFonts w:asciiTheme="minorHAnsi" w:eastAsiaTheme="minorEastAsia" w:hAnsiTheme="minorHAnsi" w:cstheme="minorHAnsi"/>
          <w:lang w:eastAsia="zh-CN"/>
        </w:rPr>
        <w:t>按照</w:t>
      </w:r>
      <w:r w:rsidRPr="00D33677">
        <w:rPr>
          <w:rFonts w:asciiTheme="minorHAnsi" w:eastAsiaTheme="minorEastAsia" w:hAnsiTheme="minorHAnsi" w:cstheme="minorHAnsi"/>
          <w:lang w:eastAsia="zh-CN"/>
        </w:rPr>
        <w:t>ITU-R SF.675</w:t>
      </w:r>
      <w:r w:rsidRPr="00D33677">
        <w:rPr>
          <w:rFonts w:asciiTheme="minorHAnsi" w:eastAsiaTheme="minorEastAsia" w:hAnsiTheme="minorHAnsi" w:cstheme="minorHAnsi"/>
          <w:lang w:eastAsia="zh-CN"/>
        </w:rPr>
        <w:t>建议书</w:t>
      </w:r>
      <w:r w:rsidR="00093ECF" w:rsidRPr="00D33677">
        <w:rPr>
          <w:rFonts w:asciiTheme="minorHAnsi" w:eastAsiaTheme="minorEastAsia" w:hAnsiTheme="minorHAnsi" w:cstheme="minorHAnsi"/>
          <w:lang w:eastAsia="zh-CN"/>
        </w:rPr>
        <w:t>推导</w:t>
      </w:r>
      <w:r w:rsidR="00093ECF">
        <w:rPr>
          <w:rFonts w:asciiTheme="minorHAnsi" w:eastAsiaTheme="minorEastAsia" w:hAnsiTheme="minorHAnsi" w:cstheme="minorHAnsi"/>
          <w:lang w:eastAsia="zh-CN"/>
        </w:rPr>
        <w:br/>
      </w:r>
      <w:r w:rsidRPr="00D33677">
        <w:rPr>
          <w:rFonts w:asciiTheme="minorHAnsi" w:eastAsiaTheme="minorEastAsia" w:hAnsiTheme="minorHAnsi" w:cstheme="minorHAnsi"/>
          <w:lang w:eastAsia="zh-CN"/>
        </w:rPr>
        <w:t>发射功率值的方法</w:t>
      </w:r>
    </w:p>
    <w:p w14:paraId="7E1A0A65" w14:textId="77777777" w:rsidR="003A0C76" w:rsidRPr="00BC73E1" w:rsidRDefault="003A0C76" w:rsidP="003A0C76">
      <w:pPr>
        <w:pStyle w:val="Headingb"/>
        <w:rPr>
          <w:szCs w:val="24"/>
          <w:lang w:eastAsia="zh-CN"/>
        </w:rPr>
      </w:pPr>
      <w:bookmarkStart w:id="4" w:name="lt_pId067"/>
      <w:r>
        <w:rPr>
          <w:rFonts w:hint="eastAsia"/>
          <w:szCs w:val="24"/>
          <w:lang w:eastAsia="zh-CN"/>
        </w:rPr>
        <w:t>引言</w:t>
      </w:r>
      <w:bookmarkEnd w:id="4"/>
    </w:p>
    <w:p w14:paraId="480DB0E3" w14:textId="77777777" w:rsidR="003A0C76" w:rsidRPr="00BC73E1" w:rsidRDefault="003A0C76" w:rsidP="00D33677">
      <w:pPr>
        <w:ind w:firstLineChars="200" w:firstLine="480"/>
        <w:rPr>
          <w:szCs w:val="24"/>
          <w:lang w:eastAsia="zh-CN"/>
        </w:rPr>
      </w:pPr>
      <w:r w:rsidRPr="00276C09">
        <w:rPr>
          <w:rFonts w:hint="eastAsia"/>
          <w:szCs w:val="24"/>
          <w:lang w:eastAsia="zh-CN"/>
        </w:rPr>
        <w:t>以下方法用于根据</w:t>
      </w:r>
      <w:r w:rsidRPr="00276C09">
        <w:rPr>
          <w:rFonts w:hint="eastAsia"/>
          <w:szCs w:val="24"/>
          <w:lang w:eastAsia="zh-CN"/>
        </w:rPr>
        <w:t>ITU-R SF.675</w:t>
      </w:r>
      <w:r w:rsidRPr="00276C09">
        <w:rPr>
          <w:rFonts w:hint="eastAsia"/>
          <w:szCs w:val="24"/>
          <w:lang w:eastAsia="zh-CN"/>
        </w:rPr>
        <w:t>建议书</w:t>
      </w:r>
      <w:r>
        <w:rPr>
          <w:rFonts w:hint="eastAsia"/>
          <w:szCs w:val="24"/>
          <w:lang w:eastAsia="zh-CN"/>
        </w:rPr>
        <w:t>推</w:t>
      </w:r>
      <w:r w:rsidRPr="00276C09">
        <w:rPr>
          <w:rFonts w:hint="eastAsia"/>
          <w:szCs w:val="24"/>
          <w:lang w:eastAsia="zh-CN"/>
        </w:rPr>
        <w:t>导</w:t>
      </w:r>
      <w:r>
        <w:rPr>
          <w:rFonts w:hint="eastAsia"/>
          <w:szCs w:val="24"/>
          <w:lang w:eastAsia="zh-CN"/>
        </w:rPr>
        <w:t>得</w:t>
      </w:r>
      <w:r w:rsidRPr="00276C09">
        <w:rPr>
          <w:rFonts w:hint="eastAsia"/>
          <w:szCs w:val="24"/>
          <w:lang w:eastAsia="zh-CN"/>
        </w:rPr>
        <w:t>出</w:t>
      </w:r>
      <w:r>
        <w:rPr>
          <w:rFonts w:hint="eastAsia"/>
          <w:szCs w:val="24"/>
          <w:lang w:eastAsia="zh-CN"/>
        </w:rPr>
        <w:t>发射</w:t>
      </w:r>
      <w:r w:rsidRPr="00276C09">
        <w:rPr>
          <w:rFonts w:hint="eastAsia"/>
          <w:szCs w:val="24"/>
          <w:lang w:eastAsia="zh-CN"/>
        </w:rPr>
        <w:t>功率值。</w:t>
      </w:r>
      <w:r>
        <w:rPr>
          <w:rFonts w:hint="eastAsia"/>
          <w:szCs w:val="24"/>
          <w:lang w:eastAsia="zh-CN"/>
        </w:rPr>
        <w:t>此方法将</w:t>
      </w:r>
      <w:r w:rsidRPr="00276C09">
        <w:rPr>
          <w:rFonts w:hint="eastAsia"/>
          <w:szCs w:val="24"/>
          <w:lang w:eastAsia="zh-CN"/>
        </w:rPr>
        <w:t>发射的基准带宽和特性作为输入</w:t>
      </w:r>
      <w:r>
        <w:rPr>
          <w:rFonts w:hint="eastAsia"/>
          <w:szCs w:val="24"/>
          <w:lang w:eastAsia="zh-CN"/>
        </w:rPr>
        <w:t>值</w:t>
      </w:r>
      <w:r w:rsidRPr="00276C09">
        <w:rPr>
          <w:rFonts w:hint="eastAsia"/>
          <w:szCs w:val="24"/>
          <w:lang w:eastAsia="zh-CN"/>
        </w:rPr>
        <w:t>。</w:t>
      </w:r>
    </w:p>
    <w:p w14:paraId="5047D965" w14:textId="77777777" w:rsidR="003A0C76" w:rsidRPr="00BC73E1" w:rsidRDefault="003A0C76" w:rsidP="003A0C76">
      <w:pPr>
        <w:pStyle w:val="Headingb"/>
        <w:rPr>
          <w:szCs w:val="24"/>
          <w:lang w:eastAsia="zh-CN"/>
        </w:rPr>
      </w:pPr>
      <w:bookmarkStart w:id="5" w:name="lt_pId070"/>
      <w:r>
        <w:rPr>
          <w:rFonts w:hint="eastAsia"/>
          <w:szCs w:val="24"/>
          <w:lang w:eastAsia="zh-CN"/>
        </w:rPr>
        <w:t>要求</w:t>
      </w:r>
      <w:bookmarkEnd w:id="5"/>
    </w:p>
    <w:p w14:paraId="146C55F0" w14:textId="6C0BCEFA" w:rsidR="003A0C76" w:rsidRPr="00860D2F" w:rsidRDefault="003A0C76" w:rsidP="00860D2F">
      <w:pPr>
        <w:spacing w:after="120"/>
        <w:ind w:firstLineChars="200" w:firstLine="480"/>
        <w:rPr>
          <w:szCs w:val="24"/>
          <w:lang w:eastAsia="zh-CN"/>
        </w:rPr>
      </w:pPr>
      <w:r w:rsidRPr="00276C09">
        <w:rPr>
          <w:rFonts w:hint="eastAsia"/>
          <w:szCs w:val="24"/>
          <w:lang w:eastAsia="zh-CN"/>
        </w:rPr>
        <w:t>以</w:t>
      </w:r>
      <w:r>
        <w:rPr>
          <w:rFonts w:hint="eastAsia"/>
          <w:szCs w:val="24"/>
          <w:lang w:eastAsia="zh-CN"/>
        </w:rPr>
        <w:t>下各项</w:t>
      </w:r>
      <w:r w:rsidRPr="00276C09">
        <w:rPr>
          <w:rFonts w:hint="eastAsia"/>
          <w:szCs w:val="24"/>
          <w:lang w:eastAsia="zh-CN"/>
        </w:rPr>
        <w:t>在本附件中用于描述</w:t>
      </w:r>
      <w:r>
        <w:rPr>
          <w:rFonts w:hint="eastAsia"/>
          <w:szCs w:val="24"/>
          <w:lang w:eastAsia="zh-CN"/>
        </w:rPr>
        <w:t>之目的</w:t>
      </w:r>
      <w:r w:rsidRPr="00276C09">
        <w:rPr>
          <w:rFonts w:hint="eastAsia"/>
          <w:szCs w:val="24"/>
          <w:lang w:eastAsia="zh-CN"/>
        </w:rPr>
        <w:t>。</w:t>
      </w:r>
    </w:p>
    <w:tbl>
      <w:tblPr>
        <w:tblStyle w:val="TableGrid"/>
        <w:tblW w:w="9951" w:type="dxa"/>
        <w:tblLook w:val="04A0" w:firstRow="1" w:lastRow="0" w:firstColumn="1" w:lastColumn="0" w:noHBand="0" w:noVBand="1"/>
      </w:tblPr>
      <w:tblGrid>
        <w:gridCol w:w="3114"/>
        <w:gridCol w:w="2268"/>
        <w:gridCol w:w="2126"/>
        <w:gridCol w:w="2443"/>
      </w:tblGrid>
      <w:tr w:rsidR="003A0C76" w:rsidRPr="00F419C5" w14:paraId="292EFBCB" w14:textId="77777777" w:rsidTr="00DA36CC">
        <w:tc>
          <w:tcPr>
            <w:tcW w:w="3114" w:type="dxa"/>
          </w:tcPr>
          <w:p w14:paraId="1B299136" w14:textId="77777777" w:rsidR="003A0C76" w:rsidRPr="00F419C5" w:rsidRDefault="003A0C76" w:rsidP="00D33677">
            <w:pPr>
              <w:pStyle w:val="Tablehead"/>
              <w:rPr>
                <w:sz w:val="24"/>
                <w:szCs w:val="24"/>
              </w:rPr>
            </w:pPr>
            <w:r w:rsidRPr="00F419C5">
              <w:rPr>
                <w:rFonts w:hint="eastAsia"/>
                <w:sz w:val="24"/>
                <w:szCs w:val="24"/>
                <w:lang w:eastAsia="zh-CN"/>
              </w:rPr>
              <w:t>参数名称</w:t>
            </w:r>
          </w:p>
        </w:tc>
        <w:tc>
          <w:tcPr>
            <w:tcW w:w="2268" w:type="dxa"/>
          </w:tcPr>
          <w:p w14:paraId="24B480DD" w14:textId="68C5B7AF" w:rsidR="003A0C76" w:rsidRPr="00F419C5" w:rsidRDefault="003A0C76" w:rsidP="00D33677">
            <w:pPr>
              <w:pStyle w:val="Tablehead"/>
              <w:rPr>
                <w:sz w:val="24"/>
                <w:szCs w:val="24"/>
                <w:lang w:eastAsia="zh-CN"/>
              </w:rPr>
            </w:pPr>
            <w:r w:rsidRPr="00F419C5">
              <w:rPr>
                <w:rFonts w:hint="eastAsia"/>
                <w:sz w:val="24"/>
                <w:szCs w:val="24"/>
                <w:lang w:eastAsia="zh-CN"/>
              </w:rPr>
              <w:t>《无线电规则》</w:t>
            </w:r>
            <w:r w:rsidR="00D33677" w:rsidRPr="00F419C5">
              <w:rPr>
                <w:sz w:val="24"/>
                <w:szCs w:val="24"/>
                <w:lang w:eastAsia="zh-CN"/>
              </w:rPr>
              <w:br/>
            </w:r>
            <w:r w:rsidRPr="00F419C5">
              <w:rPr>
                <w:rFonts w:hint="eastAsia"/>
                <w:sz w:val="24"/>
                <w:szCs w:val="24"/>
                <w:lang w:eastAsia="zh-CN"/>
              </w:rPr>
              <w:t>附录</w:t>
            </w:r>
            <w:r w:rsidRPr="00F419C5">
              <w:rPr>
                <w:rFonts w:hint="eastAsia"/>
                <w:sz w:val="24"/>
                <w:szCs w:val="24"/>
                <w:lang w:eastAsia="zh-CN"/>
              </w:rPr>
              <w:t>4</w:t>
            </w:r>
            <w:r w:rsidRPr="00F419C5">
              <w:rPr>
                <w:rFonts w:hint="eastAsia"/>
                <w:sz w:val="24"/>
                <w:szCs w:val="24"/>
                <w:lang w:eastAsia="zh-CN"/>
              </w:rPr>
              <w:t>的项目</w:t>
            </w:r>
          </w:p>
        </w:tc>
        <w:tc>
          <w:tcPr>
            <w:tcW w:w="2126" w:type="dxa"/>
          </w:tcPr>
          <w:p w14:paraId="3BC05343" w14:textId="1C1039D8" w:rsidR="003A0C76" w:rsidRPr="00F419C5" w:rsidRDefault="003A0C76" w:rsidP="00D33677">
            <w:pPr>
              <w:pStyle w:val="Tablehead"/>
              <w:rPr>
                <w:sz w:val="24"/>
                <w:szCs w:val="24"/>
                <w:lang w:eastAsia="zh-CN"/>
              </w:rPr>
            </w:pPr>
            <w:r w:rsidRPr="00F419C5">
              <w:rPr>
                <w:rFonts w:hint="eastAsia"/>
                <w:sz w:val="24"/>
                <w:szCs w:val="24"/>
                <w:lang w:eastAsia="zh-CN"/>
              </w:rPr>
              <w:t>BR IFIC</w:t>
            </w:r>
            <w:r w:rsidRPr="00F419C5">
              <w:rPr>
                <w:rFonts w:hint="eastAsia"/>
                <w:sz w:val="24"/>
                <w:szCs w:val="24"/>
                <w:lang w:eastAsia="zh-CN"/>
              </w:rPr>
              <w:t>（空间业务）前言定义的</w:t>
            </w:r>
            <w:r w:rsidRPr="00F419C5">
              <w:rPr>
                <w:rFonts w:hint="eastAsia"/>
                <w:sz w:val="24"/>
                <w:szCs w:val="24"/>
                <w:lang w:eastAsia="zh-CN"/>
              </w:rPr>
              <w:t>SNS</w:t>
            </w:r>
            <w:r w:rsidR="00860D2F" w:rsidRPr="00F419C5">
              <w:rPr>
                <w:sz w:val="24"/>
                <w:szCs w:val="24"/>
                <w:lang w:eastAsia="zh-CN"/>
              </w:rPr>
              <w:br/>
            </w:r>
            <w:r w:rsidRPr="00F419C5">
              <w:rPr>
                <w:rFonts w:hint="eastAsia"/>
                <w:sz w:val="24"/>
                <w:szCs w:val="24"/>
                <w:lang w:eastAsia="zh-CN"/>
              </w:rPr>
              <w:t>数据库中的字段名称</w:t>
            </w:r>
          </w:p>
        </w:tc>
        <w:tc>
          <w:tcPr>
            <w:tcW w:w="2443" w:type="dxa"/>
          </w:tcPr>
          <w:p w14:paraId="5C46F4EC" w14:textId="77777777" w:rsidR="003A0C76" w:rsidRPr="00F419C5" w:rsidRDefault="003A0C76" w:rsidP="00D33677">
            <w:pPr>
              <w:pStyle w:val="Tablehead"/>
              <w:rPr>
                <w:sz w:val="24"/>
                <w:szCs w:val="24"/>
              </w:rPr>
            </w:pPr>
            <w:proofErr w:type="spellStart"/>
            <w:r w:rsidRPr="00F419C5">
              <w:rPr>
                <w:rFonts w:hint="eastAsia"/>
                <w:sz w:val="24"/>
                <w:szCs w:val="24"/>
              </w:rPr>
              <w:t>公式中的概念</w:t>
            </w:r>
            <w:proofErr w:type="spellEnd"/>
          </w:p>
        </w:tc>
      </w:tr>
      <w:tr w:rsidR="003A0C76" w:rsidRPr="00F419C5" w14:paraId="13AB91DE" w14:textId="77777777" w:rsidTr="00DA36CC">
        <w:tc>
          <w:tcPr>
            <w:tcW w:w="3114" w:type="dxa"/>
          </w:tcPr>
          <w:p w14:paraId="0A7E7078" w14:textId="77777777" w:rsidR="003A0C76" w:rsidRPr="00F419C5" w:rsidRDefault="003A0C76" w:rsidP="00D33677">
            <w:pPr>
              <w:pStyle w:val="Tabletext"/>
              <w:rPr>
                <w:sz w:val="24"/>
                <w:szCs w:val="24"/>
                <w:lang w:eastAsia="zh-CN"/>
              </w:rPr>
            </w:pPr>
            <w:r w:rsidRPr="00F419C5">
              <w:rPr>
                <w:rFonts w:hint="eastAsia"/>
                <w:sz w:val="24"/>
                <w:szCs w:val="24"/>
                <w:lang w:eastAsia="zh-CN"/>
              </w:rPr>
              <w:t>发射的最大功率谱密度，</w:t>
            </w:r>
            <w:proofErr w:type="spellStart"/>
            <w:r w:rsidRPr="00F419C5">
              <w:rPr>
                <w:rFonts w:hint="eastAsia"/>
                <w:sz w:val="24"/>
                <w:szCs w:val="24"/>
                <w:lang w:eastAsia="zh-CN"/>
              </w:rPr>
              <w:t>dBW</w:t>
            </w:r>
            <w:proofErr w:type="spellEnd"/>
            <w:r w:rsidRPr="00F419C5">
              <w:rPr>
                <w:rFonts w:hint="eastAsia"/>
                <w:sz w:val="24"/>
                <w:szCs w:val="24"/>
                <w:lang w:eastAsia="zh-CN"/>
              </w:rPr>
              <w:t>/Hz</w:t>
            </w:r>
          </w:p>
        </w:tc>
        <w:tc>
          <w:tcPr>
            <w:tcW w:w="2268" w:type="dxa"/>
          </w:tcPr>
          <w:p w14:paraId="2FAD5747" w14:textId="77777777" w:rsidR="003A0C76" w:rsidRPr="00F419C5" w:rsidRDefault="003A0C76" w:rsidP="00D55174">
            <w:pPr>
              <w:pStyle w:val="Tabletext"/>
              <w:jc w:val="center"/>
              <w:rPr>
                <w:sz w:val="24"/>
                <w:szCs w:val="24"/>
              </w:rPr>
            </w:pPr>
            <w:bookmarkStart w:id="6" w:name="lt_pId077"/>
            <w:r w:rsidRPr="00F419C5">
              <w:rPr>
                <w:sz w:val="24"/>
                <w:szCs w:val="24"/>
              </w:rPr>
              <w:t>C.</w:t>
            </w:r>
            <w:proofErr w:type="gramStart"/>
            <w:r w:rsidRPr="00F419C5">
              <w:rPr>
                <w:sz w:val="24"/>
                <w:szCs w:val="24"/>
              </w:rPr>
              <w:t>8.b.3.b</w:t>
            </w:r>
            <w:bookmarkEnd w:id="6"/>
            <w:proofErr w:type="gramEnd"/>
          </w:p>
        </w:tc>
        <w:tc>
          <w:tcPr>
            <w:tcW w:w="2126" w:type="dxa"/>
          </w:tcPr>
          <w:p w14:paraId="27FA14AA" w14:textId="77777777" w:rsidR="003A0C76" w:rsidRPr="00F419C5" w:rsidRDefault="003A0C76" w:rsidP="00D55174">
            <w:pPr>
              <w:pStyle w:val="Tabletext"/>
              <w:jc w:val="center"/>
              <w:rPr>
                <w:i/>
                <w:iCs/>
                <w:sz w:val="24"/>
                <w:szCs w:val="24"/>
              </w:rPr>
            </w:pPr>
            <w:bookmarkStart w:id="7" w:name="lt_pId078"/>
            <w:proofErr w:type="spellStart"/>
            <w:r w:rsidRPr="00F419C5">
              <w:rPr>
                <w:i/>
                <w:iCs/>
                <w:sz w:val="24"/>
                <w:szCs w:val="24"/>
              </w:rPr>
              <w:t>pwr_ds_max</w:t>
            </w:r>
            <w:bookmarkEnd w:id="7"/>
            <w:proofErr w:type="spellEnd"/>
          </w:p>
        </w:tc>
        <w:tc>
          <w:tcPr>
            <w:tcW w:w="2443" w:type="dxa"/>
          </w:tcPr>
          <w:p w14:paraId="3FF77761" w14:textId="77777777" w:rsidR="003A0C76" w:rsidRPr="00F419C5" w:rsidRDefault="006F4169" w:rsidP="00D33677">
            <w:pPr>
              <w:pStyle w:val="Tabletext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PSD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max</m:t>
                    </m:r>
                  </m:sub>
                </m:sSub>
              </m:oMath>
            </m:oMathPara>
          </w:p>
        </w:tc>
      </w:tr>
      <w:tr w:rsidR="003A0C76" w:rsidRPr="00F419C5" w14:paraId="07CF63C6" w14:textId="77777777" w:rsidTr="00DA36CC">
        <w:tc>
          <w:tcPr>
            <w:tcW w:w="3114" w:type="dxa"/>
          </w:tcPr>
          <w:p w14:paraId="3807AC05" w14:textId="77777777" w:rsidR="003A0C76" w:rsidRPr="00F419C5" w:rsidRDefault="003A0C76" w:rsidP="00D33677">
            <w:pPr>
              <w:pStyle w:val="Tabletext"/>
              <w:rPr>
                <w:sz w:val="24"/>
                <w:szCs w:val="24"/>
                <w:lang w:eastAsia="zh-CN"/>
              </w:rPr>
            </w:pPr>
            <w:r w:rsidRPr="00F419C5">
              <w:rPr>
                <w:rFonts w:hint="eastAsia"/>
                <w:sz w:val="24"/>
                <w:szCs w:val="24"/>
                <w:lang w:eastAsia="zh-CN"/>
              </w:rPr>
              <w:t>最大发射峰值功率，</w:t>
            </w:r>
            <w:proofErr w:type="spellStart"/>
            <w:r w:rsidRPr="00F419C5">
              <w:rPr>
                <w:rFonts w:hint="eastAsia"/>
                <w:sz w:val="24"/>
                <w:szCs w:val="24"/>
                <w:lang w:eastAsia="zh-CN"/>
              </w:rPr>
              <w:t>dBW</w:t>
            </w:r>
            <w:proofErr w:type="spellEnd"/>
          </w:p>
        </w:tc>
        <w:tc>
          <w:tcPr>
            <w:tcW w:w="2268" w:type="dxa"/>
          </w:tcPr>
          <w:p w14:paraId="195F0267" w14:textId="77777777" w:rsidR="003A0C76" w:rsidRPr="00F419C5" w:rsidRDefault="003A0C76" w:rsidP="00D55174">
            <w:pPr>
              <w:pStyle w:val="Tabletext"/>
              <w:jc w:val="center"/>
              <w:rPr>
                <w:sz w:val="24"/>
                <w:szCs w:val="24"/>
              </w:rPr>
            </w:pPr>
            <w:bookmarkStart w:id="8" w:name="lt_pId080"/>
            <w:r w:rsidRPr="00F419C5">
              <w:rPr>
                <w:sz w:val="24"/>
                <w:szCs w:val="24"/>
              </w:rPr>
              <w:t>C.</w:t>
            </w:r>
            <w:proofErr w:type="gramStart"/>
            <w:r w:rsidRPr="00F419C5">
              <w:rPr>
                <w:sz w:val="24"/>
                <w:szCs w:val="24"/>
              </w:rPr>
              <w:t>8.b.3.a</w:t>
            </w:r>
            <w:bookmarkEnd w:id="8"/>
            <w:proofErr w:type="gramEnd"/>
          </w:p>
        </w:tc>
        <w:tc>
          <w:tcPr>
            <w:tcW w:w="2126" w:type="dxa"/>
          </w:tcPr>
          <w:p w14:paraId="6CEBE0F0" w14:textId="77777777" w:rsidR="003A0C76" w:rsidRPr="00F419C5" w:rsidRDefault="003A0C76" w:rsidP="00D55174">
            <w:pPr>
              <w:pStyle w:val="Tabletext"/>
              <w:jc w:val="center"/>
              <w:rPr>
                <w:i/>
                <w:iCs/>
                <w:sz w:val="24"/>
                <w:szCs w:val="24"/>
              </w:rPr>
            </w:pPr>
            <w:bookmarkStart w:id="9" w:name="lt_pId081"/>
            <w:proofErr w:type="spellStart"/>
            <w:r w:rsidRPr="00F419C5">
              <w:rPr>
                <w:i/>
                <w:iCs/>
                <w:sz w:val="24"/>
                <w:szCs w:val="24"/>
              </w:rPr>
              <w:t>pep_max</w:t>
            </w:r>
            <w:bookmarkEnd w:id="9"/>
            <w:proofErr w:type="spellEnd"/>
          </w:p>
        </w:tc>
        <w:tc>
          <w:tcPr>
            <w:tcW w:w="2443" w:type="dxa"/>
          </w:tcPr>
          <w:p w14:paraId="302147E2" w14:textId="77777777" w:rsidR="003A0C76" w:rsidRPr="00F419C5" w:rsidRDefault="006F4169" w:rsidP="00D33677">
            <w:pPr>
              <w:pStyle w:val="Tabletext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max</m:t>
                    </m:r>
                  </m:sub>
                </m:sSub>
              </m:oMath>
            </m:oMathPara>
          </w:p>
        </w:tc>
      </w:tr>
      <w:tr w:rsidR="003A0C76" w:rsidRPr="00F419C5" w14:paraId="1AFA4166" w14:textId="77777777" w:rsidTr="00DA36CC">
        <w:tc>
          <w:tcPr>
            <w:tcW w:w="3114" w:type="dxa"/>
          </w:tcPr>
          <w:p w14:paraId="3A335F06" w14:textId="77777777" w:rsidR="003A0C76" w:rsidRPr="006F4169" w:rsidRDefault="003A0C76" w:rsidP="00D33677">
            <w:pPr>
              <w:pStyle w:val="Tabletext"/>
              <w:rPr>
                <w:sz w:val="24"/>
                <w:szCs w:val="24"/>
                <w:lang w:eastAsia="zh-CN"/>
              </w:rPr>
            </w:pPr>
            <w:r w:rsidRPr="00F419C5">
              <w:rPr>
                <w:rFonts w:hint="eastAsia"/>
                <w:sz w:val="24"/>
                <w:szCs w:val="24"/>
                <w:lang w:val="de-CH" w:eastAsia="zh-CN"/>
              </w:rPr>
              <w:t>参考带宽</w:t>
            </w:r>
            <w:r w:rsidRPr="006F4169">
              <w:rPr>
                <w:rFonts w:hint="eastAsia"/>
                <w:sz w:val="24"/>
                <w:szCs w:val="24"/>
                <w:lang w:eastAsia="zh-CN"/>
              </w:rPr>
              <w:t>（</w:t>
            </w:r>
            <w:r w:rsidRPr="006F4169">
              <w:rPr>
                <w:rFonts w:hint="eastAsia"/>
                <w:sz w:val="24"/>
                <w:szCs w:val="24"/>
                <w:lang w:eastAsia="zh-CN"/>
              </w:rPr>
              <w:t>4 kHz</w:t>
            </w:r>
            <w:r w:rsidRPr="00F419C5">
              <w:rPr>
                <w:rFonts w:hint="eastAsia"/>
                <w:sz w:val="24"/>
                <w:szCs w:val="24"/>
                <w:lang w:val="de-CH" w:eastAsia="zh-CN"/>
              </w:rPr>
              <w:t>、</w:t>
            </w:r>
            <w:r w:rsidRPr="006F4169">
              <w:rPr>
                <w:rFonts w:hint="eastAsia"/>
                <w:sz w:val="24"/>
                <w:szCs w:val="24"/>
                <w:lang w:eastAsia="zh-CN"/>
              </w:rPr>
              <w:t>1 MHz</w:t>
            </w:r>
            <w:r w:rsidRPr="00F419C5">
              <w:rPr>
                <w:rFonts w:hint="eastAsia"/>
                <w:sz w:val="24"/>
                <w:szCs w:val="24"/>
                <w:lang w:val="de-CH" w:eastAsia="zh-CN"/>
              </w:rPr>
              <w:t>等</w:t>
            </w:r>
            <w:r w:rsidRPr="006F4169"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  <w:p w14:paraId="5FD13694" w14:textId="77777777" w:rsidR="003A0C76" w:rsidRPr="006F4169" w:rsidRDefault="003A0C76" w:rsidP="00D33677">
            <w:pPr>
              <w:pStyle w:val="Tabletext"/>
              <w:rPr>
                <w:sz w:val="24"/>
                <w:szCs w:val="24"/>
                <w:lang w:eastAsia="zh-CN"/>
              </w:rPr>
            </w:pPr>
            <w:r w:rsidRPr="00F419C5">
              <w:rPr>
                <w:rFonts w:hint="eastAsia"/>
                <w:sz w:val="24"/>
                <w:szCs w:val="24"/>
                <w:lang w:val="de-CH" w:eastAsia="zh-CN"/>
              </w:rPr>
              <w:t>参见《无线电规则》条款中提及的参考带宽</w:t>
            </w:r>
          </w:p>
        </w:tc>
        <w:tc>
          <w:tcPr>
            <w:tcW w:w="2268" w:type="dxa"/>
          </w:tcPr>
          <w:p w14:paraId="7827BDF4" w14:textId="77777777" w:rsidR="003A0C76" w:rsidRPr="00F419C5" w:rsidRDefault="003A0C76" w:rsidP="00D55174">
            <w:pPr>
              <w:pStyle w:val="Tabletext"/>
              <w:jc w:val="center"/>
              <w:rPr>
                <w:sz w:val="24"/>
                <w:szCs w:val="24"/>
              </w:rPr>
            </w:pPr>
            <w:r w:rsidRPr="00F419C5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27AF32F4" w14:textId="77777777" w:rsidR="003A0C76" w:rsidRPr="00F419C5" w:rsidRDefault="003A0C76" w:rsidP="00D55174">
            <w:pPr>
              <w:pStyle w:val="Tabletext"/>
              <w:jc w:val="center"/>
              <w:rPr>
                <w:sz w:val="24"/>
                <w:szCs w:val="24"/>
              </w:rPr>
            </w:pPr>
            <w:r w:rsidRPr="00F419C5">
              <w:rPr>
                <w:sz w:val="24"/>
                <w:szCs w:val="24"/>
              </w:rPr>
              <w:t>-</w:t>
            </w:r>
          </w:p>
        </w:tc>
        <w:tc>
          <w:tcPr>
            <w:tcW w:w="2443" w:type="dxa"/>
          </w:tcPr>
          <w:p w14:paraId="0742711E" w14:textId="77777777" w:rsidR="003A0C76" w:rsidRPr="00F419C5" w:rsidRDefault="006F4169" w:rsidP="00D33677">
            <w:pPr>
              <w:pStyle w:val="Tabletext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ref</m:t>
                    </m:r>
                  </m:sub>
                </m:sSub>
              </m:oMath>
            </m:oMathPara>
          </w:p>
        </w:tc>
      </w:tr>
      <w:tr w:rsidR="003A0C76" w:rsidRPr="00F419C5" w14:paraId="213A10FD" w14:textId="77777777" w:rsidTr="00DA36CC">
        <w:tc>
          <w:tcPr>
            <w:tcW w:w="3114" w:type="dxa"/>
          </w:tcPr>
          <w:p w14:paraId="0DABB40F" w14:textId="77777777" w:rsidR="003A0C76" w:rsidRPr="00F419C5" w:rsidRDefault="003A0C76" w:rsidP="00D33677">
            <w:pPr>
              <w:pStyle w:val="Tabletext"/>
              <w:rPr>
                <w:sz w:val="24"/>
                <w:szCs w:val="24"/>
              </w:rPr>
            </w:pPr>
            <w:proofErr w:type="spellStart"/>
            <w:r w:rsidRPr="00F419C5">
              <w:rPr>
                <w:rFonts w:hint="eastAsia"/>
                <w:sz w:val="24"/>
                <w:szCs w:val="24"/>
              </w:rPr>
              <w:t>发射带宽（</w:t>
            </w:r>
            <w:r w:rsidRPr="00F419C5">
              <w:rPr>
                <w:rFonts w:hint="eastAsia"/>
                <w:sz w:val="24"/>
                <w:szCs w:val="24"/>
              </w:rPr>
              <w:t>Hz</w:t>
            </w:r>
            <w:proofErr w:type="spellEnd"/>
            <w:r w:rsidRPr="00F419C5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</w:tcPr>
          <w:p w14:paraId="0F275A4D" w14:textId="77777777" w:rsidR="003A0C76" w:rsidRPr="00F419C5" w:rsidRDefault="003A0C76" w:rsidP="00D55174">
            <w:pPr>
              <w:pStyle w:val="Tabletext"/>
              <w:jc w:val="center"/>
              <w:rPr>
                <w:sz w:val="24"/>
                <w:szCs w:val="24"/>
              </w:rPr>
            </w:pPr>
            <w:r w:rsidRPr="00F419C5">
              <w:rPr>
                <w:rFonts w:hint="eastAsia"/>
                <w:sz w:val="24"/>
                <w:szCs w:val="24"/>
                <w:lang w:eastAsia="zh-CN"/>
              </w:rPr>
              <w:t>推导自</w:t>
            </w:r>
          </w:p>
          <w:p w14:paraId="73BFEDF2" w14:textId="77777777" w:rsidR="003A0C76" w:rsidRPr="00F419C5" w:rsidRDefault="003A0C76" w:rsidP="00D55174">
            <w:pPr>
              <w:pStyle w:val="Tabletext"/>
              <w:jc w:val="center"/>
              <w:rPr>
                <w:sz w:val="24"/>
                <w:szCs w:val="24"/>
              </w:rPr>
            </w:pPr>
            <w:bookmarkStart w:id="10" w:name="lt_pId088"/>
            <w:r w:rsidRPr="00F419C5">
              <w:rPr>
                <w:sz w:val="24"/>
                <w:szCs w:val="24"/>
              </w:rPr>
              <w:t>C.7.a</w:t>
            </w:r>
            <w:bookmarkEnd w:id="10"/>
          </w:p>
        </w:tc>
        <w:tc>
          <w:tcPr>
            <w:tcW w:w="2126" w:type="dxa"/>
          </w:tcPr>
          <w:p w14:paraId="2518630A" w14:textId="77777777" w:rsidR="003A0C76" w:rsidRPr="00F419C5" w:rsidRDefault="003A0C76" w:rsidP="00D55174">
            <w:pPr>
              <w:pStyle w:val="Tabletext"/>
              <w:jc w:val="center"/>
              <w:rPr>
                <w:sz w:val="24"/>
                <w:szCs w:val="24"/>
              </w:rPr>
            </w:pPr>
            <w:r w:rsidRPr="00F419C5">
              <w:rPr>
                <w:rFonts w:hint="eastAsia"/>
                <w:sz w:val="24"/>
                <w:szCs w:val="24"/>
                <w:lang w:eastAsia="zh-CN"/>
              </w:rPr>
              <w:t>推导自</w:t>
            </w:r>
          </w:p>
          <w:p w14:paraId="339C2F81" w14:textId="77777777" w:rsidR="003A0C76" w:rsidRPr="00F419C5" w:rsidRDefault="003A0C76" w:rsidP="00D55174">
            <w:pPr>
              <w:pStyle w:val="Tabletext"/>
              <w:jc w:val="center"/>
              <w:rPr>
                <w:i/>
                <w:iCs/>
                <w:sz w:val="24"/>
                <w:szCs w:val="24"/>
              </w:rPr>
            </w:pPr>
            <w:bookmarkStart w:id="11" w:name="lt_pId090"/>
            <w:proofErr w:type="spellStart"/>
            <w:r w:rsidRPr="00F419C5">
              <w:rPr>
                <w:i/>
                <w:iCs/>
                <w:sz w:val="24"/>
                <w:szCs w:val="24"/>
              </w:rPr>
              <w:t>design_emi</w:t>
            </w:r>
            <w:bookmarkEnd w:id="11"/>
            <w:proofErr w:type="spellEnd"/>
          </w:p>
        </w:tc>
        <w:tc>
          <w:tcPr>
            <w:tcW w:w="2443" w:type="dxa"/>
          </w:tcPr>
          <w:p w14:paraId="09D73C89" w14:textId="77777777" w:rsidR="003A0C76" w:rsidRPr="00F419C5" w:rsidRDefault="003A0C76" w:rsidP="00D33677">
            <w:pPr>
              <w:pStyle w:val="Tabletext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oMath>
            </m:oMathPara>
          </w:p>
        </w:tc>
      </w:tr>
      <w:tr w:rsidR="003A0C76" w:rsidRPr="00F419C5" w14:paraId="08A8615A" w14:textId="77777777" w:rsidTr="00DA36CC">
        <w:tc>
          <w:tcPr>
            <w:tcW w:w="3114" w:type="dxa"/>
          </w:tcPr>
          <w:p w14:paraId="4BAA7CBF" w14:textId="77777777" w:rsidR="003A0C76" w:rsidRPr="00F419C5" w:rsidRDefault="003A0C76" w:rsidP="00D33677">
            <w:pPr>
              <w:pStyle w:val="Tabletext"/>
              <w:rPr>
                <w:sz w:val="24"/>
                <w:szCs w:val="24"/>
                <w:lang w:eastAsia="zh-CN"/>
              </w:rPr>
            </w:pPr>
            <w:r w:rsidRPr="00F419C5">
              <w:rPr>
                <w:rFonts w:hint="eastAsia"/>
                <w:sz w:val="24"/>
                <w:szCs w:val="24"/>
                <w:lang w:eastAsia="zh-CN"/>
              </w:rPr>
              <w:t>平均带宽（</w:t>
            </w:r>
            <w:r w:rsidRPr="00F419C5">
              <w:rPr>
                <w:rFonts w:hint="eastAsia"/>
                <w:sz w:val="24"/>
                <w:szCs w:val="24"/>
                <w:lang w:eastAsia="zh-CN"/>
              </w:rPr>
              <w:t>Hz</w:t>
            </w:r>
            <w:r w:rsidRPr="00F419C5"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  <w:p w14:paraId="6680861F" w14:textId="77777777" w:rsidR="003A0C76" w:rsidRPr="00F419C5" w:rsidRDefault="003A0C76" w:rsidP="00D33677">
            <w:pPr>
              <w:pStyle w:val="Tabletext"/>
              <w:rPr>
                <w:sz w:val="24"/>
                <w:szCs w:val="24"/>
                <w:lang w:eastAsia="zh-CN"/>
              </w:rPr>
            </w:pPr>
            <w:r w:rsidRPr="00F419C5">
              <w:rPr>
                <w:rFonts w:hint="eastAsia"/>
                <w:sz w:val="24"/>
                <w:szCs w:val="24"/>
                <w:lang w:eastAsia="zh-CN"/>
              </w:rPr>
              <w:t>在附录</w:t>
            </w:r>
            <w:r w:rsidRPr="00F419C5">
              <w:rPr>
                <w:rFonts w:hint="eastAsia"/>
                <w:b/>
                <w:bCs/>
                <w:sz w:val="24"/>
                <w:szCs w:val="24"/>
                <w:lang w:eastAsia="zh-CN"/>
              </w:rPr>
              <w:t>4</w:t>
            </w:r>
            <w:r w:rsidRPr="00F419C5">
              <w:rPr>
                <w:rFonts w:hint="eastAsia"/>
                <w:sz w:val="24"/>
                <w:szCs w:val="24"/>
                <w:lang w:eastAsia="zh-CN"/>
              </w:rPr>
              <w:t>附件</w:t>
            </w:r>
            <w:r w:rsidRPr="00F419C5">
              <w:rPr>
                <w:rFonts w:hint="eastAsia"/>
                <w:sz w:val="24"/>
                <w:szCs w:val="24"/>
                <w:lang w:eastAsia="zh-CN"/>
              </w:rPr>
              <w:t>2</w:t>
            </w:r>
            <w:r w:rsidRPr="00F419C5">
              <w:rPr>
                <w:rFonts w:hint="eastAsia"/>
                <w:sz w:val="24"/>
                <w:szCs w:val="24"/>
                <w:lang w:eastAsia="zh-CN"/>
              </w:rPr>
              <w:t>表</w:t>
            </w:r>
            <w:r w:rsidRPr="00F419C5">
              <w:rPr>
                <w:rFonts w:hint="eastAsia"/>
                <w:sz w:val="24"/>
                <w:szCs w:val="24"/>
                <w:lang w:eastAsia="zh-CN"/>
              </w:rPr>
              <w:t>A</w:t>
            </w:r>
            <w:r w:rsidRPr="00F419C5">
              <w:rPr>
                <w:rFonts w:hint="eastAsia"/>
                <w:sz w:val="24"/>
                <w:szCs w:val="24"/>
                <w:lang w:eastAsia="zh-CN"/>
              </w:rPr>
              <w:t>、</w:t>
            </w:r>
            <w:r w:rsidRPr="00F419C5">
              <w:rPr>
                <w:rFonts w:hint="eastAsia"/>
                <w:sz w:val="24"/>
                <w:szCs w:val="24"/>
                <w:lang w:eastAsia="zh-CN"/>
              </w:rPr>
              <w:t>B</w:t>
            </w:r>
            <w:r w:rsidRPr="00F419C5">
              <w:rPr>
                <w:rFonts w:hint="eastAsia"/>
                <w:sz w:val="24"/>
                <w:szCs w:val="24"/>
                <w:lang w:eastAsia="zh-CN"/>
              </w:rPr>
              <w:t>、</w:t>
            </w:r>
            <w:r w:rsidRPr="00F419C5">
              <w:rPr>
                <w:rFonts w:hint="eastAsia"/>
                <w:sz w:val="24"/>
                <w:szCs w:val="24"/>
                <w:lang w:eastAsia="zh-CN"/>
              </w:rPr>
              <w:t>C</w:t>
            </w:r>
            <w:r w:rsidRPr="00F419C5">
              <w:rPr>
                <w:rFonts w:hint="eastAsia"/>
                <w:sz w:val="24"/>
                <w:szCs w:val="24"/>
                <w:lang w:eastAsia="zh-CN"/>
              </w:rPr>
              <w:t>和</w:t>
            </w:r>
            <w:r w:rsidRPr="00F419C5">
              <w:rPr>
                <w:rFonts w:hint="eastAsia"/>
                <w:sz w:val="24"/>
                <w:szCs w:val="24"/>
                <w:lang w:eastAsia="zh-CN"/>
              </w:rPr>
              <w:t>D</w:t>
            </w:r>
            <w:r w:rsidRPr="00F419C5">
              <w:rPr>
                <w:rFonts w:hint="eastAsia"/>
                <w:sz w:val="24"/>
                <w:szCs w:val="24"/>
                <w:lang w:eastAsia="zh-CN"/>
              </w:rPr>
              <w:t>的脚注</w:t>
            </w:r>
            <w:r w:rsidRPr="00F419C5">
              <w:rPr>
                <w:rFonts w:hint="eastAsia"/>
                <w:sz w:val="24"/>
                <w:szCs w:val="24"/>
                <w:lang w:eastAsia="zh-CN"/>
              </w:rPr>
              <w:t>2</w:t>
            </w:r>
            <w:r w:rsidRPr="00F419C5">
              <w:rPr>
                <w:rFonts w:hint="eastAsia"/>
                <w:sz w:val="24"/>
                <w:szCs w:val="24"/>
                <w:lang w:eastAsia="zh-CN"/>
              </w:rPr>
              <w:t>中定义</w:t>
            </w:r>
          </w:p>
        </w:tc>
        <w:tc>
          <w:tcPr>
            <w:tcW w:w="2268" w:type="dxa"/>
          </w:tcPr>
          <w:p w14:paraId="6BA65230" w14:textId="77777777" w:rsidR="003A0C76" w:rsidRPr="00F419C5" w:rsidRDefault="003A0C76" w:rsidP="00D55174">
            <w:pPr>
              <w:pStyle w:val="Tabletext"/>
              <w:jc w:val="center"/>
              <w:rPr>
                <w:sz w:val="24"/>
                <w:szCs w:val="24"/>
              </w:rPr>
            </w:pPr>
            <w:r w:rsidRPr="00F419C5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66ABF019" w14:textId="77777777" w:rsidR="003A0C76" w:rsidRPr="00F419C5" w:rsidRDefault="003A0C76" w:rsidP="00D55174">
            <w:pPr>
              <w:pStyle w:val="Tabletext"/>
              <w:jc w:val="center"/>
              <w:rPr>
                <w:sz w:val="24"/>
                <w:szCs w:val="24"/>
              </w:rPr>
            </w:pPr>
            <w:r w:rsidRPr="00F419C5">
              <w:rPr>
                <w:sz w:val="24"/>
                <w:szCs w:val="24"/>
              </w:rPr>
              <w:t>-</w:t>
            </w:r>
          </w:p>
        </w:tc>
        <w:tc>
          <w:tcPr>
            <w:tcW w:w="2443" w:type="dxa"/>
          </w:tcPr>
          <w:p w14:paraId="6D26E83D" w14:textId="77777777" w:rsidR="003A0C76" w:rsidRPr="00F419C5" w:rsidRDefault="006F4169" w:rsidP="00D33677">
            <w:pPr>
              <w:pStyle w:val="Tabletext"/>
              <w:rPr>
                <w:rFonts w:eastAsia="SimSun"/>
                <w:i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avg</m:t>
                    </m:r>
                  </m:sub>
                </m:sSub>
              </m:oMath>
            </m:oMathPara>
          </w:p>
        </w:tc>
      </w:tr>
      <w:tr w:rsidR="003A0C76" w:rsidRPr="00F419C5" w14:paraId="425A27DB" w14:textId="77777777" w:rsidTr="00DA36CC">
        <w:tc>
          <w:tcPr>
            <w:tcW w:w="3114" w:type="dxa"/>
          </w:tcPr>
          <w:p w14:paraId="3EAB7078" w14:textId="77777777" w:rsidR="003A0C76" w:rsidRPr="00F419C5" w:rsidRDefault="003A0C76" w:rsidP="00D33677">
            <w:pPr>
              <w:pStyle w:val="Tabletext"/>
              <w:rPr>
                <w:sz w:val="24"/>
                <w:szCs w:val="24"/>
                <w:lang w:eastAsia="zh-CN"/>
              </w:rPr>
            </w:pPr>
            <w:bookmarkStart w:id="12" w:name="lt_pId095"/>
            <w:r w:rsidRPr="00F419C5">
              <w:rPr>
                <w:rFonts w:hint="eastAsia"/>
                <w:sz w:val="24"/>
                <w:szCs w:val="24"/>
                <w:lang w:eastAsia="zh-CN"/>
              </w:rPr>
              <w:t>计算中采用的发射功率，</w:t>
            </w:r>
            <w:proofErr w:type="spellStart"/>
            <w:r w:rsidRPr="00F419C5">
              <w:rPr>
                <w:sz w:val="24"/>
                <w:szCs w:val="24"/>
                <w:lang w:eastAsia="zh-CN"/>
              </w:rPr>
              <w:t>dBW</w:t>
            </w:r>
            <w:proofErr w:type="spellEnd"/>
            <w:r w:rsidRPr="00F419C5">
              <w:rPr>
                <w:sz w:val="24"/>
                <w:szCs w:val="24"/>
                <w:lang w:eastAsia="zh-CN"/>
              </w:rPr>
              <w:t> 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ref</m:t>
                  </m:r>
                </m:sub>
              </m:sSub>
            </m:oMath>
            <w:r w:rsidRPr="00F419C5">
              <w:rPr>
                <w:sz w:val="24"/>
                <w:szCs w:val="24"/>
                <w:lang w:eastAsia="zh-CN"/>
              </w:rPr>
              <w:t>)</w:t>
            </w:r>
            <w:bookmarkEnd w:id="12"/>
          </w:p>
        </w:tc>
        <w:tc>
          <w:tcPr>
            <w:tcW w:w="2268" w:type="dxa"/>
          </w:tcPr>
          <w:p w14:paraId="52067CF7" w14:textId="77777777" w:rsidR="003A0C76" w:rsidRPr="00F419C5" w:rsidRDefault="003A0C76" w:rsidP="00D55174">
            <w:pPr>
              <w:pStyle w:val="Tabletext"/>
              <w:jc w:val="center"/>
              <w:rPr>
                <w:sz w:val="24"/>
                <w:szCs w:val="24"/>
              </w:rPr>
            </w:pPr>
            <w:r w:rsidRPr="00F419C5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5DF4F39C" w14:textId="77777777" w:rsidR="003A0C76" w:rsidRPr="00F419C5" w:rsidRDefault="003A0C76" w:rsidP="00D55174">
            <w:pPr>
              <w:pStyle w:val="Tabletext"/>
              <w:jc w:val="center"/>
              <w:rPr>
                <w:sz w:val="24"/>
                <w:szCs w:val="24"/>
              </w:rPr>
            </w:pPr>
            <w:r w:rsidRPr="00F419C5">
              <w:rPr>
                <w:sz w:val="24"/>
                <w:szCs w:val="24"/>
              </w:rPr>
              <w:t>-</w:t>
            </w:r>
          </w:p>
        </w:tc>
        <w:tc>
          <w:tcPr>
            <w:tcW w:w="2443" w:type="dxa"/>
          </w:tcPr>
          <w:p w14:paraId="19328662" w14:textId="77777777" w:rsidR="003A0C76" w:rsidRPr="00F419C5" w:rsidRDefault="006F4169" w:rsidP="00D33677">
            <w:pPr>
              <w:pStyle w:val="Tabletext"/>
              <w:rPr>
                <w:rFonts w:eastAsia="SimSu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used</m:t>
                    </m:r>
                  </m:sub>
                </m:sSub>
              </m:oMath>
            </m:oMathPara>
          </w:p>
        </w:tc>
      </w:tr>
    </w:tbl>
    <w:p w14:paraId="02B17858" w14:textId="75EA8386" w:rsidR="003A0C76" w:rsidRPr="00BC73E1" w:rsidRDefault="003A0C76" w:rsidP="00F419C5">
      <w:pPr>
        <w:pStyle w:val="Headingb"/>
        <w:spacing w:before="600" w:after="36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程</w:t>
      </w:r>
      <w:r w:rsidR="00F12234">
        <w:rPr>
          <w:rFonts w:hint="eastAsia"/>
          <w:szCs w:val="24"/>
          <w:lang w:eastAsia="zh-CN"/>
        </w:rPr>
        <w:t>序</w:t>
      </w:r>
    </w:p>
    <w:p w14:paraId="6D626EA1" w14:textId="696B02DF" w:rsidR="003A0C76" w:rsidRPr="00D55174" w:rsidRDefault="00D55174" w:rsidP="00D55174">
      <w:pPr>
        <w:pStyle w:val="enumlev1"/>
        <w:rPr>
          <w:lang w:eastAsia="zh-CN"/>
        </w:rPr>
      </w:pPr>
      <w:bookmarkStart w:id="13" w:name="lt_pId099"/>
      <w:r>
        <w:rPr>
          <w:rFonts w:hint="eastAsia"/>
          <w:lang w:eastAsia="zh-CN"/>
        </w:rPr>
        <w:t>1</w:t>
      </w:r>
      <w:r>
        <w:rPr>
          <w:lang w:eastAsia="zh-CN"/>
        </w:rPr>
        <w:tab/>
      </w:r>
      <w:proofErr w:type="gramStart"/>
      <w:r w:rsidR="003A0C76" w:rsidRPr="00D55174">
        <w:rPr>
          <w:rFonts w:hint="eastAsia"/>
          <w:lang w:eastAsia="zh-CN"/>
        </w:rPr>
        <w:t>找出平均带宽</w:t>
      </w:r>
      <w:r w:rsidR="003A0C76" w:rsidRPr="00D55174">
        <w:rPr>
          <w:lang w:eastAsia="zh-CN"/>
        </w:rPr>
        <w:t>(</w:t>
      </w:r>
      <w:proofErr w:type="gramEnd"/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B</m:t>
            </m:r>
          </m:e>
          <m:sub>
            <m:r>
              <w:rPr>
                <w:rFonts w:ascii="Cambria Math" w:hAnsi="Cambria Math"/>
                <w:lang w:eastAsia="zh-CN"/>
              </w:rPr>
              <m:t>avg</m:t>
            </m:r>
          </m:sub>
        </m:sSub>
      </m:oMath>
      <w:r w:rsidR="003A0C76" w:rsidRPr="00D55174">
        <w:rPr>
          <w:lang w:eastAsia="zh-CN"/>
        </w:rPr>
        <w:t>)</w:t>
      </w:r>
      <w:bookmarkEnd w:id="13"/>
      <w:r w:rsidR="003A0C76" w:rsidRPr="00D55174">
        <w:rPr>
          <w:rFonts w:hint="eastAsia"/>
          <w:lang w:eastAsia="zh-CN"/>
        </w:rPr>
        <w:t>。</w:t>
      </w:r>
    </w:p>
    <w:p w14:paraId="743B0C33" w14:textId="77777777" w:rsidR="003A0C76" w:rsidRPr="00BC73E1" w:rsidRDefault="003A0C76" w:rsidP="003A0C76">
      <w:pPr>
        <w:pStyle w:val="enumlev1"/>
        <w:ind w:left="360" w:firstLine="0"/>
        <w:rPr>
          <w:szCs w:val="24"/>
          <w:lang w:eastAsia="zh-CN"/>
        </w:rPr>
      </w:pPr>
      <w:r w:rsidRPr="00BC73E1">
        <w:rPr>
          <w:szCs w:val="24"/>
          <w:lang w:eastAsia="zh-CN"/>
        </w:rPr>
        <w:tab/>
      </w:r>
      <w:r w:rsidRPr="00276C09">
        <w:rPr>
          <w:rFonts w:hint="eastAsia"/>
          <w:szCs w:val="24"/>
          <w:lang w:eastAsia="zh-CN"/>
        </w:rPr>
        <w:t>如果频率指配的中心频率低于</w:t>
      </w:r>
      <w:r w:rsidRPr="00276C09">
        <w:rPr>
          <w:rFonts w:hint="eastAsia"/>
          <w:szCs w:val="24"/>
          <w:lang w:eastAsia="zh-CN"/>
        </w:rPr>
        <w:t>15 GHz</w:t>
      </w:r>
      <w:r w:rsidRPr="00276C09">
        <w:rPr>
          <w:rFonts w:hint="eastAsia"/>
          <w:szCs w:val="24"/>
          <w:lang w:eastAsia="zh-CN"/>
        </w:rPr>
        <w:t>，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  <w:lang w:eastAsia="zh-CN"/>
              </w:rPr>
              <m:t>B</m:t>
            </m:r>
          </m:e>
          <m:sub>
            <m:r>
              <w:rPr>
                <w:rFonts w:ascii="Cambria Math" w:hAnsi="Cambria Math"/>
                <w:szCs w:val="24"/>
                <w:lang w:eastAsia="zh-CN"/>
              </w:rPr>
              <m:t>avg</m:t>
            </m:r>
          </m:sub>
        </m:sSub>
        <m:r>
          <w:rPr>
            <w:rFonts w:ascii="Cambria Math" w:hAnsi="Cambria Math"/>
            <w:szCs w:val="24"/>
            <w:lang w:eastAsia="zh-CN"/>
          </w:rPr>
          <m:t>=4 kHz</m:t>
        </m:r>
      </m:oMath>
    </w:p>
    <w:p w14:paraId="184FFF15" w14:textId="7A89D43F" w:rsidR="00F419C5" w:rsidRDefault="003A0C76" w:rsidP="003A0C76">
      <w:pPr>
        <w:pStyle w:val="enumlev1"/>
        <w:rPr>
          <w:szCs w:val="24"/>
          <w:lang w:eastAsia="zh-CN"/>
        </w:rPr>
      </w:pPr>
      <w:r w:rsidRPr="00BC73E1">
        <w:rPr>
          <w:szCs w:val="24"/>
          <w:lang w:eastAsia="zh-CN"/>
        </w:rPr>
        <w:tab/>
      </w:r>
      <w:r>
        <w:rPr>
          <w:rFonts w:hint="eastAsia"/>
          <w:szCs w:val="24"/>
          <w:lang w:eastAsia="zh-CN"/>
        </w:rPr>
        <w:t>否则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  <w:lang w:eastAsia="zh-CN"/>
              </w:rPr>
              <m:t>B</m:t>
            </m:r>
          </m:e>
          <m:sub>
            <m:r>
              <w:rPr>
                <w:rFonts w:ascii="Cambria Math" w:hAnsi="Cambria Math"/>
                <w:szCs w:val="24"/>
                <w:lang w:eastAsia="zh-CN"/>
              </w:rPr>
              <m:t>avg</m:t>
            </m:r>
          </m:sub>
        </m:sSub>
        <m:r>
          <w:rPr>
            <w:rFonts w:ascii="Cambria Math" w:hAnsi="Cambria Math"/>
            <w:szCs w:val="24"/>
            <w:lang w:eastAsia="zh-CN"/>
          </w:rPr>
          <m:t>=1 MHz</m:t>
        </m:r>
      </m:oMath>
    </w:p>
    <w:p w14:paraId="14A065A8" w14:textId="77777777" w:rsidR="00F419C5" w:rsidRDefault="00F419C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Cs w:val="24"/>
          <w:lang w:eastAsia="zh-CN"/>
        </w:rPr>
      </w:pPr>
      <w:r>
        <w:rPr>
          <w:szCs w:val="24"/>
          <w:lang w:eastAsia="zh-CN"/>
        </w:rPr>
        <w:br w:type="page"/>
      </w:r>
    </w:p>
    <w:p w14:paraId="35A9F4FA" w14:textId="3CD6FDA8" w:rsidR="003A0C76" w:rsidRPr="00D55174" w:rsidRDefault="00D55174" w:rsidP="00D55174">
      <w:pPr>
        <w:pStyle w:val="enumlev1"/>
        <w:rPr>
          <w:lang w:eastAsia="zh-CN"/>
        </w:rPr>
      </w:pPr>
      <w:bookmarkStart w:id="14" w:name="lt_pId102"/>
      <w:r>
        <w:rPr>
          <w:rFonts w:hint="eastAsia"/>
          <w:lang w:eastAsia="zh-CN"/>
        </w:rPr>
        <w:lastRenderedPageBreak/>
        <w:t>2</w:t>
      </w:r>
      <w:r>
        <w:rPr>
          <w:lang w:eastAsia="zh-CN"/>
        </w:rPr>
        <w:tab/>
      </w:r>
      <w:r w:rsidR="003A0C76" w:rsidRPr="00D55174">
        <w:rPr>
          <w:rFonts w:hint="eastAsia"/>
          <w:lang w:eastAsia="zh-CN"/>
        </w:rPr>
        <w:t>计算发射功率，</w:t>
      </w:r>
      <w:bookmarkEnd w:id="14"/>
      <m:oMath>
        <m:r>
          <m:rPr>
            <m:sty m:val="p"/>
          </m:rPr>
          <w:rPr>
            <w:rFonts w:ascii="Cambria Math" w:hAnsi="Cambria Math"/>
            <w:lang w:eastAsia="zh-CN"/>
          </w:rPr>
          <m:t xml:space="preserve">  </m:t>
        </m:r>
        <m:sSub>
          <m:sSubPr>
            <m:ctrlPr>
              <w:rPr>
                <w:rFonts w:ascii="Cambria Math" w:hAnsi="Cambria Math"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B</m:t>
            </m:r>
          </m:e>
          <m:sub>
            <m:r>
              <w:rPr>
                <w:rFonts w:ascii="Cambria Math" w:hAnsi="Cambria Math"/>
                <w:lang w:eastAsia="zh-CN"/>
              </w:rPr>
              <m:t>ref</m:t>
            </m:r>
          </m:sub>
        </m:sSub>
        <m:r>
          <m:rPr>
            <m:sty m:val="p"/>
          </m:rPr>
          <w:rPr>
            <w:rFonts w:ascii="Cambria Math" w:hAnsi="Cambria Math" w:hint="eastAsia"/>
            <w:lang w:eastAsia="zh-CN"/>
          </w:rPr>
          <m:t>中的</m:t>
        </m:r>
      </m:oMath>
      <w:r w:rsidR="003A0C76" w:rsidRPr="00D55174">
        <w:rPr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P</m:t>
            </m:r>
          </m:e>
          <m:sub>
            <m:r>
              <w:rPr>
                <w:rFonts w:ascii="Cambria Math" w:hAnsi="Cambria Math"/>
                <w:lang w:eastAsia="zh-CN"/>
              </w:rPr>
              <m:t>used</m:t>
            </m:r>
          </m:sub>
        </m:sSub>
      </m:oMath>
    </w:p>
    <w:p w14:paraId="5427DCAE" w14:textId="77777777" w:rsidR="003A0C76" w:rsidRPr="00BC73E1" w:rsidRDefault="003A0C76" w:rsidP="003A0C76">
      <w:pPr>
        <w:pStyle w:val="enumlev1"/>
        <w:jc w:val="left"/>
        <w:rPr>
          <w:szCs w:val="24"/>
          <w:lang w:eastAsia="zh-CN"/>
        </w:rPr>
      </w:pPr>
      <w:r w:rsidRPr="00BC73E1">
        <w:rPr>
          <w:b/>
          <w:bCs/>
          <w:szCs w:val="24"/>
          <w:lang w:eastAsia="zh-CN"/>
        </w:rPr>
        <w:tab/>
      </w:r>
      <w:bookmarkStart w:id="15" w:name="lt_pId103"/>
      <w:r>
        <w:rPr>
          <w:rFonts w:hint="eastAsia"/>
          <w:b/>
          <w:bCs/>
          <w:szCs w:val="24"/>
          <w:lang w:eastAsia="zh-CN"/>
        </w:rPr>
        <w:t>如果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  <w:lang w:eastAsia="zh-CN"/>
              </w:rPr>
              <m:t>B</m:t>
            </m:r>
          </m:e>
          <m:sub>
            <m:r>
              <w:rPr>
                <w:rFonts w:ascii="Cambria Math" w:hAnsi="Cambria Math"/>
                <w:szCs w:val="24"/>
                <w:lang w:eastAsia="zh-CN"/>
              </w:rPr>
              <m:t>avg</m:t>
            </m:r>
          </m:sub>
        </m:sSub>
        <m:r>
          <w:rPr>
            <w:rFonts w:ascii="Cambria Math" w:hAnsi="Cambria Math"/>
            <w:szCs w:val="24"/>
            <w:lang w:eastAsia="zh-CN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  <w:lang w:eastAsia="zh-CN"/>
              </w:rPr>
              <m:t>B</m:t>
            </m:r>
          </m:e>
          <m:sub>
            <m:r>
              <w:rPr>
                <w:rFonts w:ascii="Cambria Math" w:hAnsi="Cambria Math"/>
                <w:szCs w:val="24"/>
                <w:lang w:eastAsia="zh-CN"/>
              </w:rPr>
              <m:t>ref</m:t>
            </m:r>
          </m:sub>
        </m:sSub>
      </m:oMath>
      <w:r w:rsidRPr="00BC73E1">
        <w:rPr>
          <w:b/>
          <w:bCs/>
          <w:szCs w:val="24"/>
          <w:lang w:eastAsia="zh-CN"/>
        </w:rPr>
        <w:t xml:space="preserve"> </w:t>
      </w:r>
      <w:bookmarkEnd w:id="15"/>
      <w:r w:rsidRPr="00276C09">
        <w:rPr>
          <w:rFonts w:hint="eastAsia"/>
          <w:b/>
          <w:bCs/>
          <w:szCs w:val="24"/>
          <w:lang w:eastAsia="zh-CN"/>
        </w:rPr>
        <w:t>（根据</w:t>
      </w:r>
      <w:r w:rsidRPr="00276C09">
        <w:rPr>
          <w:rFonts w:hint="eastAsia"/>
          <w:b/>
          <w:bCs/>
          <w:szCs w:val="24"/>
          <w:lang w:eastAsia="zh-CN"/>
        </w:rPr>
        <w:t>ITU-R SF.675</w:t>
      </w:r>
      <w:r w:rsidRPr="00276C09">
        <w:rPr>
          <w:rFonts w:hint="eastAsia"/>
          <w:b/>
          <w:bCs/>
          <w:szCs w:val="24"/>
          <w:lang w:eastAsia="zh-CN"/>
        </w:rPr>
        <w:t>建议书的补充措施）：</w:t>
      </w:r>
      <w:r w:rsidRPr="00BC73E1">
        <w:rPr>
          <w:rFonts w:ascii="Cambria Math" w:hAnsi="Cambria Math"/>
          <w:i/>
          <w:szCs w:val="24"/>
          <w:lang w:eastAsia="zh-CN"/>
        </w:rPr>
        <w:br/>
      </w:r>
      <m:oMathPara>
        <m:oMath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  <w:lang w:eastAsia="zh-CN"/>
                </w:rPr>
                <m:t>P</m:t>
              </m:r>
            </m:e>
            <m:sub>
              <m:r>
                <w:rPr>
                  <w:rFonts w:ascii="Cambria Math" w:hAnsi="Cambria Math"/>
                  <w:szCs w:val="24"/>
                  <w:lang w:eastAsia="zh-CN"/>
                </w:rPr>
                <m:t>used</m:t>
              </m:r>
            </m:sub>
          </m:sSub>
          <m:r>
            <w:rPr>
              <w:rFonts w:ascii="Cambria Math" w:hAnsi="Cambria Math"/>
              <w:szCs w:val="24"/>
              <w:lang w:eastAsia="zh-CN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  <w:lang w:eastAsia="zh-CN"/>
                </w:rPr>
                <m:t>PSD</m:t>
              </m:r>
            </m:e>
            <m:sub>
              <m:r>
                <w:rPr>
                  <w:rFonts w:ascii="Cambria Math" w:hAnsi="Cambria Math"/>
                  <w:szCs w:val="24"/>
                  <w:lang w:eastAsia="zh-CN"/>
                </w:rPr>
                <m:t>max</m:t>
              </m:r>
            </m:sub>
          </m:sSub>
          <m:r>
            <w:rPr>
              <w:rFonts w:ascii="Cambria Math" w:hAnsi="Cambria Math"/>
              <w:szCs w:val="24"/>
              <w:lang w:eastAsia="zh-CN"/>
            </w:rPr>
            <m:t xml:space="preserve">+10 </m:t>
          </m:r>
          <m:func>
            <m:funcPr>
              <m:ctrlPr>
                <w:rPr>
                  <w:rFonts w:ascii="Cambria Math" w:hAnsi="Cambria Math"/>
                  <w:i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Cs w:val="24"/>
                  <w:lang w:eastAsia="zh-CN"/>
                </w:rPr>
                <m:t>log</m:t>
              </m:r>
            </m:fName>
            <m:e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eastAsia="zh-CN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eastAsia="zh-CN"/>
                    </w:rPr>
                    <m:t>ref</m:t>
                  </m:r>
                </m:sub>
              </m:sSub>
            </m:e>
          </m:func>
        </m:oMath>
      </m:oMathPara>
    </w:p>
    <w:p w14:paraId="67E70D8D" w14:textId="77777777" w:rsidR="003A0C76" w:rsidRPr="00BC73E1" w:rsidRDefault="003A0C76" w:rsidP="003A0C76">
      <w:pPr>
        <w:pStyle w:val="enumlev1"/>
        <w:rPr>
          <w:szCs w:val="24"/>
          <w:lang w:eastAsia="zh-CN"/>
        </w:rPr>
      </w:pPr>
      <w:r w:rsidRPr="00BC73E1">
        <w:rPr>
          <w:b/>
          <w:bCs/>
          <w:szCs w:val="24"/>
          <w:lang w:eastAsia="zh-CN"/>
        </w:rPr>
        <w:tab/>
      </w:r>
      <w:bookmarkStart w:id="16" w:name="lt_pId104"/>
      <w:r>
        <w:rPr>
          <w:rFonts w:hint="eastAsia"/>
          <w:b/>
          <w:bCs/>
          <w:szCs w:val="24"/>
          <w:lang w:eastAsia="zh-CN"/>
        </w:rPr>
        <w:t>如果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  <w:lang w:eastAsia="zh-CN"/>
              </w:rPr>
              <m:t>B</m:t>
            </m:r>
          </m:e>
          <m:sub>
            <m:r>
              <w:rPr>
                <w:rFonts w:ascii="Cambria Math" w:hAnsi="Cambria Math"/>
                <w:szCs w:val="24"/>
                <w:lang w:eastAsia="zh-CN"/>
              </w:rPr>
              <m:t>avg</m:t>
            </m:r>
          </m:sub>
        </m:sSub>
        <m:r>
          <w:rPr>
            <w:rFonts w:ascii="Cambria Math" w:hAnsi="Cambria Math"/>
            <w:szCs w:val="24"/>
            <w:lang w:eastAsia="zh-CN"/>
          </w:rPr>
          <m:t xml:space="preserve">&lt; 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  <w:lang w:eastAsia="zh-CN"/>
              </w:rPr>
              <m:t>B</m:t>
            </m:r>
          </m:e>
          <m:sub>
            <m:r>
              <w:rPr>
                <w:rFonts w:ascii="Cambria Math" w:hAnsi="Cambria Math"/>
                <w:szCs w:val="24"/>
                <w:lang w:eastAsia="zh-CN"/>
              </w:rPr>
              <m:t>ref</m:t>
            </m:r>
          </m:sub>
        </m:sSub>
      </m:oMath>
      <w:r w:rsidRPr="00BC73E1">
        <w:rPr>
          <w:b/>
          <w:bCs/>
          <w:szCs w:val="24"/>
          <w:lang w:eastAsia="zh-CN"/>
        </w:rPr>
        <w:t xml:space="preserve"> </w:t>
      </w:r>
      <w:bookmarkEnd w:id="16"/>
      <w:r w:rsidRPr="00276C09">
        <w:rPr>
          <w:rFonts w:hint="eastAsia"/>
          <w:b/>
          <w:bCs/>
          <w:szCs w:val="24"/>
          <w:lang w:eastAsia="zh-CN"/>
        </w:rPr>
        <w:t>（以前使用的传统方法）：</w:t>
      </w:r>
    </w:p>
    <w:p w14:paraId="25FFCA05" w14:textId="77777777" w:rsidR="003A0C76" w:rsidRPr="00BC73E1" w:rsidRDefault="003A0C76" w:rsidP="003A0C76">
      <w:pPr>
        <w:ind w:left="1440"/>
        <w:rPr>
          <w:szCs w:val="24"/>
          <w:lang w:eastAsia="zh-CN"/>
        </w:rPr>
      </w:pPr>
      <w:bookmarkStart w:id="17" w:name="lt_pId105"/>
      <w:r>
        <w:rPr>
          <w:rFonts w:hint="eastAsia"/>
          <w:szCs w:val="24"/>
          <w:lang w:eastAsia="zh-CN"/>
        </w:rPr>
        <w:t>如果</w:t>
      </w:r>
      <w:r w:rsidRPr="00BC73E1">
        <w:rPr>
          <w:szCs w:val="24"/>
          <w:lang w:eastAsia="zh-CN"/>
        </w:rPr>
        <w:t xml:space="preserve"> </w:t>
      </w:r>
      <m:oMath>
        <m:r>
          <w:rPr>
            <w:rFonts w:ascii="Cambria Math" w:hAnsi="Cambria Math"/>
            <w:szCs w:val="24"/>
            <w:lang w:eastAsia="zh-CN"/>
          </w:rPr>
          <m:t xml:space="preserve">B≥ 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  <w:lang w:eastAsia="zh-CN"/>
              </w:rPr>
              <m:t>B</m:t>
            </m:r>
          </m:e>
          <m:sub>
            <m:r>
              <w:rPr>
                <w:rFonts w:ascii="Cambria Math" w:hAnsi="Cambria Math"/>
                <w:szCs w:val="24"/>
                <w:lang w:eastAsia="zh-CN"/>
              </w:rPr>
              <m:t>ref</m:t>
            </m:r>
          </m:sub>
        </m:sSub>
      </m:oMath>
      <w:r w:rsidRPr="00BC73E1">
        <w:rPr>
          <w:szCs w:val="24"/>
          <w:lang w:eastAsia="zh-CN"/>
        </w:rPr>
        <w:t xml:space="preserve"> </w:t>
      </w:r>
      <w:bookmarkEnd w:id="17"/>
      <w:r>
        <w:rPr>
          <w:rFonts w:hint="eastAsia"/>
          <w:szCs w:val="24"/>
          <w:lang w:eastAsia="zh-CN"/>
        </w:rPr>
        <w:t>则</w:t>
      </w:r>
    </w:p>
    <w:p w14:paraId="60F5D597" w14:textId="50DC2D22" w:rsidR="003A0C76" w:rsidRPr="00BC73E1" w:rsidRDefault="003A0C76" w:rsidP="003A0C76">
      <w:pPr>
        <w:ind w:left="1440"/>
        <w:rPr>
          <w:szCs w:val="24"/>
          <w:lang w:eastAsia="zh-CN"/>
        </w:rPr>
      </w:pPr>
      <w:r w:rsidRPr="00BC73E1">
        <w:rPr>
          <w:szCs w:val="24"/>
          <w:lang w:eastAsia="zh-CN"/>
        </w:rPr>
        <w:tab/>
      </w:r>
      <w:r w:rsidRPr="00BC73E1">
        <w:rPr>
          <w:szCs w:val="24"/>
          <w:lang w:eastAsia="zh-CN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  <w:lang w:eastAsia="zh-CN"/>
              </w:rPr>
              <m:t>P</m:t>
            </m:r>
          </m:e>
          <m:sub>
            <m:r>
              <w:rPr>
                <w:rFonts w:ascii="Cambria Math" w:hAnsi="Cambria Math"/>
                <w:szCs w:val="24"/>
                <w:lang w:eastAsia="zh-CN"/>
              </w:rPr>
              <m:t>used</m:t>
            </m:r>
          </m:sub>
        </m:sSub>
        <m:r>
          <w:rPr>
            <w:rFonts w:ascii="Cambria Math" w:hAnsi="Cambria Math"/>
            <w:szCs w:val="24"/>
            <w:lang w:eastAsia="zh-CN"/>
          </w:rPr>
          <m:t>=Min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  <w:lang w:eastAsia="zh-CN"/>
                  </w:rPr>
                  <m:t>PSD</m:t>
                </m:r>
              </m:e>
              <m:sub>
                <m:r>
                  <w:rPr>
                    <w:rFonts w:ascii="Cambria Math" w:hAnsi="Cambria Math"/>
                    <w:szCs w:val="24"/>
                    <w:lang w:eastAsia="zh-CN"/>
                  </w:rPr>
                  <m:t>max</m:t>
                </m:r>
              </m:sub>
            </m:sSub>
            <m:r>
              <w:rPr>
                <w:rFonts w:ascii="Cambria Math" w:hAnsi="Cambria Math"/>
                <w:szCs w:val="24"/>
                <w:lang w:eastAsia="zh-CN"/>
              </w:rPr>
              <m:t xml:space="preserve">+10 </m:t>
            </m:r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eastAsia="zh-CN"/>
                  </w:rPr>
                  <m:t>log</m:t>
                </m:r>
              </m:fNam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  <w:lang w:eastAsia="zh-CN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eastAsia="zh-CN"/>
                      </w:rPr>
                      <m:t>ref</m:t>
                    </m:r>
                  </m:sub>
                </m:sSub>
              </m:e>
            </m:func>
            <m:r>
              <w:rPr>
                <w:rFonts w:ascii="Cambria Math" w:hAnsi="Cambria Math"/>
                <w:szCs w:val="24"/>
                <w:lang w:eastAsia="zh-CN"/>
              </w:rPr>
              <m:t xml:space="preserve">;  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  <w:lang w:eastAsia="zh-CN"/>
                  </w:rPr>
                  <m:t>P</m:t>
                </m:r>
              </m:e>
              <m:sub>
                <m:r>
                  <w:rPr>
                    <w:rFonts w:ascii="Cambria Math" w:hAnsi="Cambria Math"/>
                    <w:szCs w:val="24"/>
                    <w:lang w:eastAsia="zh-CN"/>
                  </w:rPr>
                  <m:t>max</m:t>
                </m:r>
              </m:sub>
            </m:sSub>
          </m:e>
        </m:d>
      </m:oMath>
    </w:p>
    <w:p w14:paraId="520FEF66" w14:textId="77777777" w:rsidR="003A0C76" w:rsidRPr="00BC73E1" w:rsidRDefault="003A0C76" w:rsidP="003A0C76">
      <w:pPr>
        <w:ind w:left="1440"/>
        <w:rPr>
          <w:szCs w:val="24"/>
          <w:lang w:eastAsia="zh-CN"/>
        </w:rPr>
      </w:pPr>
      <w:bookmarkStart w:id="18" w:name="lt_pId106"/>
      <w:r>
        <w:rPr>
          <w:rFonts w:hint="eastAsia"/>
          <w:szCs w:val="24"/>
          <w:lang w:eastAsia="zh-CN"/>
        </w:rPr>
        <w:t>如果</w:t>
      </w:r>
      <w:r w:rsidRPr="00BC73E1">
        <w:rPr>
          <w:szCs w:val="24"/>
          <w:lang w:eastAsia="zh-CN"/>
        </w:rPr>
        <w:t xml:space="preserve"> </w:t>
      </w:r>
      <m:oMath>
        <m:r>
          <w:rPr>
            <w:rFonts w:ascii="Cambria Math" w:hAnsi="Cambria Math"/>
            <w:szCs w:val="24"/>
            <w:lang w:eastAsia="zh-CN"/>
          </w:rPr>
          <m:t xml:space="preserve">B&lt; 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  <w:lang w:eastAsia="zh-CN"/>
              </w:rPr>
              <m:t>B</m:t>
            </m:r>
          </m:e>
          <m:sub>
            <m:r>
              <w:rPr>
                <w:rFonts w:ascii="Cambria Math" w:hAnsi="Cambria Math"/>
                <w:szCs w:val="24"/>
                <w:lang w:eastAsia="zh-CN"/>
              </w:rPr>
              <m:t>ref</m:t>
            </m:r>
          </m:sub>
        </m:sSub>
      </m:oMath>
      <w:r w:rsidRPr="00BC73E1">
        <w:rPr>
          <w:szCs w:val="24"/>
          <w:lang w:eastAsia="zh-CN"/>
        </w:rPr>
        <w:t xml:space="preserve"> </w:t>
      </w:r>
      <w:bookmarkEnd w:id="18"/>
      <w:r>
        <w:rPr>
          <w:rFonts w:hint="eastAsia"/>
          <w:szCs w:val="24"/>
          <w:lang w:eastAsia="zh-CN"/>
        </w:rPr>
        <w:t>则</w:t>
      </w:r>
    </w:p>
    <w:p w14:paraId="48600B53" w14:textId="737D6E67" w:rsidR="003A0C76" w:rsidRPr="00BC73E1" w:rsidRDefault="003A0C76" w:rsidP="003A0C76">
      <w:pPr>
        <w:ind w:left="1440"/>
        <w:rPr>
          <w:szCs w:val="24"/>
          <w:lang w:eastAsia="zh-CN"/>
        </w:rPr>
      </w:pPr>
      <w:r w:rsidRPr="00BC73E1">
        <w:rPr>
          <w:szCs w:val="24"/>
          <w:lang w:eastAsia="zh-CN"/>
        </w:rPr>
        <w:tab/>
      </w:r>
      <w:r w:rsidRPr="00BC73E1">
        <w:rPr>
          <w:szCs w:val="24"/>
          <w:lang w:eastAsia="zh-CN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  <w:lang w:eastAsia="zh-CN"/>
              </w:rPr>
              <m:t>P</m:t>
            </m:r>
          </m:e>
          <m:sub>
            <m:r>
              <w:rPr>
                <w:rFonts w:ascii="Cambria Math" w:hAnsi="Cambria Math"/>
                <w:szCs w:val="24"/>
                <w:lang w:eastAsia="zh-CN"/>
              </w:rPr>
              <m:t>used</m:t>
            </m:r>
          </m:sub>
        </m:sSub>
        <m:r>
          <w:rPr>
            <w:rFonts w:ascii="Cambria Math" w:hAnsi="Cambria Math"/>
            <w:szCs w:val="24"/>
            <w:lang w:eastAsia="zh-CN"/>
          </w:rPr>
          <m:t>=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  <w:lang w:eastAsia="zh-CN"/>
              </w:rPr>
              <m:t>P</m:t>
            </m:r>
          </m:e>
          <m:sub>
            <m:r>
              <w:rPr>
                <w:rFonts w:ascii="Cambria Math" w:hAnsi="Cambria Math"/>
                <w:szCs w:val="24"/>
                <w:lang w:eastAsia="zh-CN"/>
              </w:rPr>
              <m:t>max</m:t>
            </m:r>
          </m:sub>
        </m:sSub>
      </m:oMath>
    </w:p>
    <w:p w14:paraId="31CBA747" w14:textId="13A78379" w:rsidR="00D55174" w:rsidRDefault="00D5517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b/>
          <w:bCs/>
          <w:szCs w:val="24"/>
          <w:lang w:eastAsia="zh-CN"/>
        </w:rPr>
      </w:pPr>
    </w:p>
    <w:p w14:paraId="233BFB68" w14:textId="0E1AB62D" w:rsidR="003A0C76" w:rsidRPr="00BC73E1" w:rsidRDefault="003A0C76" w:rsidP="003A0C76">
      <w:pPr>
        <w:pStyle w:val="enumlev1"/>
        <w:rPr>
          <w:b/>
          <w:bCs/>
          <w:szCs w:val="24"/>
          <w:lang w:eastAsia="zh-CN"/>
        </w:rPr>
      </w:pPr>
      <w:r w:rsidRPr="00BC73E1">
        <w:rPr>
          <w:b/>
          <w:bCs/>
          <w:szCs w:val="24"/>
          <w:lang w:eastAsia="zh-CN"/>
        </w:rPr>
        <w:tab/>
      </w:r>
      <w:bookmarkStart w:id="19" w:name="lt_pId107"/>
      <w:r>
        <w:rPr>
          <w:rFonts w:hint="eastAsia"/>
          <w:b/>
          <w:bCs/>
          <w:szCs w:val="24"/>
          <w:lang w:eastAsia="zh-CN"/>
        </w:rPr>
        <w:t>如果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  <w:lang w:eastAsia="zh-CN"/>
              </w:rPr>
              <m:t>B</m:t>
            </m:r>
          </m:e>
          <m:sub>
            <m:r>
              <w:rPr>
                <w:rFonts w:ascii="Cambria Math" w:hAnsi="Cambria Math"/>
                <w:szCs w:val="24"/>
                <w:lang w:eastAsia="zh-CN"/>
              </w:rPr>
              <m:t>avg</m:t>
            </m:r>
          </m:sub>
        </m:sSub>
        <m:r>
          <w:rPr>
            <w:rFonts w:ascii="Cambria Math" w:hAnsi="Cambria Math"/>
            <w:szCs w:val="24"/>
            <w:lang w:eastAsia="zh-CN"/>
          </w:rPr>
          <m:t xml:space="preserve">&gt; 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  <w:lang w:eastAsia="zh-CN"/>
              </w:rPr>
              <m:t>B</m:t>
            </m:r>
          </m:e>
          <m:sub>
            <m:r>
              <w:rPr>
                <w:rFonts w:ascii="Cambria Math" w:hAnsi="Cambria Math"/>
                <w:szCs w:val="24"/>
                <w:lang w:eastAsia="zh-CN"/>
              </w:rPr>
              <m:t>ref</m:t>
            </m:r>
          </m:sub>
        </m:sSub>
      </m:oMath>
      <w:r w:rsidRPr="00BC73E1">
        <w:rPr>
          <w:b/>
          <w:bCs/>
          <w:szCs w:val="24"/>
          <w:lang w:eastAsia="zh-CN"/>
        </w:rPr>
        <w:t xml:space="preserve"> </w:t>
      </w:r>
      <w:r>
        <w:rPr>
          <w:rFonts w:hint="eastAsia"/>
          <w:b/>
          <w:bCs/>
          <w:szCs w:val="24"/>
          <w:lang w:eastAsia="zh-CN"/>
        </w:rPr>
        <w:t>（当前无案例）</w:t>
      </w:r>
      <w:bookmarkEnd w:id="19"/>
      <w:r>
        <w:rPr>
          <w:rFonts w:hint="eastAsia"/>
          <w:b/>
          <w:bCs/>
          <w:szCs w:val="24"/>
          <w:lang w:eastAsia="zh-CN"/>
        </w:rPr>
        <w:t>：</w:t>
      </w:r>
    </w:p>
    <w:p w14:paraId="4F288B10" w14:textId="77777777" w:rsidR="003A0C76" w:rsidRPr="00BC73E1" w:rsidRDefault="003A0C76" w:rsidP="003A0C76">
      <w:pPr>
        <w:ind w:left="1440"/>
        <w:rPr>
          <w:szCs w:val="24"/>
        </w:rPr>
      </w:pPr>
      <w:r w:rsidRPr="00BC73E1">
        <w:rPr>
          <w:b/>
          <w:bCs/>
          <w:szCs w:val="24"/>
          <w:lang w:eastAsia="zh-CN"/>
        </w:rPr>
        <w:tab/>
      </w:r>
      <w:bookmarkStart w:id="20" w:name="lt_pId108"/>
      <w:r>
        <w:rPr>
          <w:rFonts w:hint="eastAsia"/>
          <w:szCs w:val="24"/>
          <w:lang w:eastAsia="zh-CN"/>
        </w:rPr>
        <w:t>如果</w:t>
      </w:r>
      <w:r w:rsidRPr="00BC73E1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 xml:space="preserve">B≥ 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B</m:t>
            </m:r>
          </m:e>
          <m:sub>
            <m:r>
              <w:rPr>
                <w:rFonts w:ascii="Cambria Math" w:hAnsi="Cambria Math"/>
                <w:szCs w:val="24"/>
              </w:rPr>
              <m:t>ref</m:t>
            </m:r>
          </m:sub>
        </m:sSub>
      </m:oMath>
      <w:r w:rsidRPr="00BC73E1">
        <w:rPr>
          <w:szCs w:val="24"/>
        </w:rPr>
        <w:t xml:space="preserve"> </w:t>
      </w:r>
      <w:bookmarkEnd w:id="20"/>
      <w:r>
        <w:rPr>
          <w:rFonts w:hint="eastAsia"/>
          <w:szCs w:val="24"/>
          <w:lang w:eastAsia="zh-CN"/>
        </w:rPr>
        <w:t>则</w:t>
      </w:r>
    </w:p>
    <w:p w14:paraId="616BCD30" w14:textId="77777777" w:rsidR="003A0C76" w:rsidRPr="00BC73E1" w:rsidRDefault="003A0C76" w:rsidP="003A0C76">
      <w:pPr>
        <w:ind w:left="1440"/>
        <w:rPr>
          <w:szCs w:val="24"/>
        </w:rPr>
      </w:pPr>
      <w:r w:rsidRPr="00BC73E1">
        <w:rPr>
          <w:szCs w:val="24"/>
        </w:rPr>
        <w:tab/>
      </w:r>
      <w:r w:rsidRPr="00BC73E1"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used</m:t>
            </m:r>
          </m:sub>
        </m:sSub>
        <m: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PSD</m:t>
            </m:r>
          </m:e>
          <m:sub>
            <m:r>
              <w:rPr>
                <w:rFonts w:ascii="Cambria Math" w:hAnsi="Cambria Math"/>
                <w:szCs w:val="24"/>
              </w:rPr>
              <m:t>max</m:t>
            </m:r>
          </m:sub>
        </m:sSub>
        <m:r>
          <w:rPr>
            <w:rFonts w:ascii="Cambria Math" w:hAnsi="Cambria Math"/>
            <w:szCs w:val="24"/>
          </w:rPr>
          <m:t xml:space="preserve">+10 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log</m:t>
            </m:r>
          </m:fName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B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ref</m:t>
                </m:r>
              </m:sub>
            </m:sSub>
          </m:e>
        </m:func>
      </m:oMath>
    </w:p>
    <w:p w14:paraId="7FAB853F" w14:textId="240E391D" w:rsidR="003A0C76" w:rsidRPr="00BC73E1" w:rsidRDefault="003A0C76" w:rsidP="003A0C76">
      <w:pPr>
        <w:ind w:left="1440"/>
        <w:rPr>
          <w:szCs w:val="24"/>
          <w:lang w:eastAsia="zh-CN"/>
        </w:rPr>
      </w:pPr>
      <w:bookmarkStart w:id="21" w:name="lt_pId109"/>
      <w:r>
        <w:rPr>
          <w:rFonts w:hint="eastAsia"/>
          <w:szCs w:val="24"/>
          <w:lang w:eastAsia="zh-CN"/>
        </w:rPr>
        <w:t>如果</w:t>
      </w:r>
      <w:r w:rsidRPr="00BC73E1">
        <w:rPr>
          <w:szCs w:val="24"/>
          <w:lang w:eastAsia="zh-CN"/>
        </w:rPr>
        <w:t xml:space="preserve"> </w:t>
      </w:r>
      <m:oMath>
        <m:r>
          <w:rPr>
            <w:rFonts w:ascii="Cambria Math" w:hAnsi="Cambria Math"/>
            <w:szCs w:val="24"/>
            <w:lang w:eastAsia="zh-CN"/>
          </w:rPr>
          <m:t xml:space="preserve">B&lt; 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  <w:lang w:eastAsia="zh-CN"/>
              </w:rPr>
              <m:t>B</m:t>
            </m:r>
          </m:e>
          <m:sub>
            <m:r>
              <w:rPr>
                <w:rFonts w:ascii="Cambria Math" w:hAnsi="Cambria Math"/>
                <w:szCs w:val="24"/>
                <w:lang w:eastAsia="zh-CN"/>
              </w:rPr>
              <m:t>ref</m:t>
            </m:r>
          </m:sub>
        </m:sSub>
      </m:oMath>
      <w:r w:rsidRPr="00BC73E1">
        <w:rPr>
          <w:szCs w:val="24"/>
          <w:lang w:eastAsia="zh-CN"/>
        </w:rPr>
        <w:t xml:space="preserve"> </w:t>
      </w:r>
      <w:bookmarkEnd w:id="21"/>
      <w:r>
        <w:rPr>
          <w:rFonts w:hint="eastAsia"/>
          <w:szCs w:val="24"/>
          <w:lang w:eastAsia="zh-CN"/>
        </w:rPr>
        <w:t>则</w:t>
      </w:r>
    </w:p>
    <w:p w14:paraId="7223C7C8" w14:textId="4051684A" w:rsidR="003A0C76" w:rsidRPr="00723C9F" w:rsidRDefault="003A0C76" w:rsidP="003A0C76">
      <w:pPr>
        <w:ind w:left="1440"/>
        <w:rPr>
          <w:szCs w:val="24"/>
          <w:lang w:eastAsia="zh-CN"/>
        </w:rPr>
      </w:pPr>
      <w:r w:rsidRPr="00BC73E1">
        <w:rPr>
          <w:szCs w:val="24"/>
          <w:lang w:eastAsia="zh-CN"/>
        </w:rPr>
        <w:tab/>
      </w:r>
      <w:r w:rsidRPr="00BC73E1">
        <w:rPr>
          <w:szCs w:val="24"/>
          <w:lang w:eastAsia="zh-CN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  <w:lang w:eastAsia="zh-CN"/>
              </w:rPr>
              <m:t>P</m:t>
            </m:r>
          </m:e>
          <m:sub>
            <m:r>
              <w:rPr>
                <w:rFonts w:ascii="Cambria Math" w:hAnsi="Cambria Math"/>
                <w:szCs w:val="24"/>
                <w:lang w:eastAsia="zh-CN"/>
              </w:rPr>
              <m:t>used</m:t>
            </m:r>
          </m:sub>
        </m:sSub>
        <m:r>
          <w:rPr>
            <w:rFonts w:ascii="Cambria Math" w:hAnsi="Cambria Math"/>
            <w:szCs w:val="24"/>
            <w:lang w:eastAsia="zh-CN"/>
          </w:rPr>
          <m:t>=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  <w:lang w:eastAsia="zh-CN"/>
              </w:rPr>
              <m:t>P</m:t>
            </m:r>
          </m:e>
          <m:sub>
            <m:r>
              <w:rPr>
                <w:rFonts w:ascii="Cambria Math" w:hAnsi="Cambria Math"/>
                <w:szCs w:val="24"/>
                <w:lang w:eastAsia="zh-CN"/>
              </w:rPr>
              <m:t>max</m:t>
            </m:r>
          </m:sub>
        </m:sSub>
      </m:oMath>
    </w:p>
    <w:p w14:paraId="61B43446" w14:textId="77777777" w:rsidR="003A0C76" w:rsidRPr="00723C9F" w:rsidRDefault="003A0C76" w:rsidP="003A0C76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0"/>
          <w:tab w:val="left" w:pos="900"/>
        </w:tabs>
        <w:spacing w:before="0" w:beforeAutospacing="1" w:after="120" w:line="240" w:lineRule="auto"/>
        <w:jc w:val="lowKashida"/>
        <w:rPr>
          <w:rFonts w:eastAsia="Times New Roman"/>
          <w:szCs w:val="24"/>
          <w:lang w:eastAsia="zh-CN"/>
        </w:rPr>
      </w:pPr>
    </w:p>
    <w:p w14:paraId="6717C9DF" w14:textId="59463B91" w:rsidR="00AF051D" w:rsidRDefault="003A0C76" w:rsidP="00B44390">
      <w:pPr>
        <w:spacing w:before="0" w:line="240" w:lineRule="auto"/>
        <w:jc w:val="center"/>
        <w:rPr>
          <w:rFonts w:asciiTheme="majorEastAsia" w:eastAsiaTheme="majorEastAsia" w:hAnsiTheme="majorEastAsia"/>
          <w:szCs w:val="24"/>
          <w:lang w:eastAsia="zh-CN"/>
        </w:rPr>
      </w:pPr>
      <w:r w:rsidRPr="00E40CF2">
        <w:rPr>
          <w:rFonts w:asciiTheme="minorHAnsi" w:hAnsiTheme="minorHAnsi" w:cstheme="minorHAnsi"/>
          <w:szCs w:val="24"/>
        </w:rPr>
        <w:t>______________</w:t>
      </w:r>
    </w:p>
    <w:sectPr w:rsidR="00AF051D" w:rsidSect="003A0C76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BAE08" w14:textId="77777777" w:rsidR="003A0C76" w:rsidRDefault="003A0C76">
      <w:r>
        <w:separator/>
      </w:r>
    </w:p>
  </w:endnote>
  <w:endnote w:type="continuationSeparator" w:id="0">
    <w:p w14:paraId="2EC28310" w14:textId="77777777" w:rsidR="003A0C76" w:rsidRDefault="003A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3B57A" w14:textId="2E873FD8" w:rsidR="00ED20E1" w:rsidRPr="00B44390" w:rsidRDefault="00924E6D" w:rsidP="00B44390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</w:rPr>
    </w:pPr>
    <w:r w:rsidRPr="00E2225D">
      <w:rPr>
        <w:color w:val="4F81BD" w:themeColor="accent1"/>
        <w:sz w:val="19"/>
        <w:szCs w:val="19"/>
      </w:rPr>
      <w:t>International Telecommunication Union • Place des Nations, CH</w:t>
    </w:r>
    <w:r w:rsidRPr="00E2225D">
      <w:rPr>
        <w:color w:val="4F81BD" w:themeColor="accent1"/>
        <w:sz w:val="19"/>
        <w:szCs w:val="19"/>
      </w:rPr>
      <w:noBreakHyphen/>
      <w:t>1211 Geneva 20, Switzerland</w:t>
    </w:r>
    <w:r w:rsidRPr="00E2225D">
      <w:rPr>
        <w:color w:val="4F81BD" w:themeColor="accent1"/>
        <w:sz w:val="19"/>
        <w:szCs w:val="19"/>
      </w:rPr>
      <w:br/>
      <w:t xml:space="preserve">Tel.: +41 22 730 5111 • E-mail: </w:t>
    </w:r>
    <w:hyperlink r:id="rId1" w:history="1">
      <w:r w:rsidR="00E2225D" w:rsidRPr="006D799F">
        <w:rPr>
          <w:rStyle w:val="Hyperlink"/>
          <w:sz w:val="19"/>
          <w:szCs w:val="19"/>
        </w:rPr>
        <w:t>brmail@itu.int</w:t>
      </w:r>
    </w:hyperlink>
    <w:r w:rsidRPr="00E2225D">
      <w:rPr>
        <w:color w:val="4F81BD" w:themeColor="accent1"/>
        <w:sz w:val="19"/>
        <w:szCs w:val="19"/>
      </w:rPr>
      <w:t xml:space="preserve"> </w:t>
    </w:r>
    <w:r w:rsidRPr="00E2225D">
      <w:rPr>
        <w:color w:val="4F81BD"/>
        <w:sz w:val="19"/>
        <w:szCs w:val="19"/>
      </w:rPr>
      <w:t xml:space="preserve">• Fax: +41 22 733 7256 • </w:t>
    </w:r>
    <w:hyperlink r:id="rId2" w:history="1">
      <w:r w:rsidRPr="00E2225D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FBF98" w14:textId="77777777" w:rsidR="003A0C76" w:rsidRDefault="003A0C76">
      <w:r>
        <w:t>____________________</w:t>
      </w:r>
    </w:p>
  </w:footnote>
  <w:footnote w:type="continuationSeparator" w:id="0">
    <w:p w14:paraId="41D60297" w14:textId="77777777" w:rsidR="003A0C76" w:rsidRDefault="003A0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551E3" w14:textId="101A685A" w:rsidR="00E915AF" w:rsidRPr="00F01AFB" w:rsidRDefault="00AF051D" w:rsidP="00B44390">
    <w:pPr>
      <w:pStyle w:val="Header"/>
      <w:jc w:val="center"/>
      <w:rPr>
        <w:sz w:val="18"/>
        <w:szCs w:val="18"/>
      </w:rPr>
    </w:pPr>
    <w:r w:rsidRPr="00F01AFB">
      <w:rPr>
        <w:sz w:val="18"/>
        <w:szCs w:val="18"/>
      </w:rPr>
      <w:t xml:space="preserve">- </w:t>
    </w:r>
    <w:r w:rsidR="001B42C9" w:rsidRPr="00F01AFB">
      <w:rPr>
        <w:rStyle w:val="PageNumber"/>
        <w:sz w:val="18"/>
        <w:szCs w:val="18"/>
      </w:rPr>
      <w:fldChar w:fldCharType="begin"/>
    </w:r>
    <w:r w:rsidR="00E915AF" w:rsidRPr="00F01AFB">
      <w:rPr>
        <w:rStyle w:val="PageNumber"/>
        <w:sz w:val="18"/>
        <w:szCs w:val="18"/>
      </w:rPr>
      <w:instrText xml:space="preserve"> PAGE </w:instrText>
    </w:r>
    <w:r w:rsidR="001B42C9" w:rsidRPr="00F01AFB">
      <w:rPr>
        <w:rStyle w:val="PageNumber"/>
        <w:sz w:val="18"/>
        <w:szCs w:val="18"/>
      </w:rPr>
      <w:fldChar w:fldCharType="separate"/>
    </w:r>
    <w:r w:rsidRPr="00F01AFB">
      <w:rPr>
        <w:rStyle w:val="PageNumber"/>
        <w:noProof/>
        <w:sz w:val="18"/>
        <w:szCs w:val="18"/>
      </w:rPr>
      <w:t>2</w:t>
    </w:r>
    <w:r w:rsidR="001B42C9" w:rsidRPr="00F01AFB">
      <w:rPr>
        <w:rStyle w:val="PageNumber"/>
        <w:sz w:val="18"/>
        <w:szCs w:val="18"/>
      </w:rPr>
      <w:fldChar w:fldCharType="end"/>
    </w:r>
    <w:r w:rsidRPr="00F01AFB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F098C" w14:textId="04641B29" w:rsidR="00E915AF" w:rsidRPr="00F01AFB" w:rsidRDefault="00B44390" w:rsidP="00B44390">
    <w:pPr>
      <w:pStyle w:val="Header"/>
      <w:jc w:val="center"/>
      <w:rPr>
        <w:sz w:val="18"/>
        <w:szCs w:val="18"/>
      </w:rPr>
    </w:pPr>
    <w:r w:rsidRPr="00F01AFB">
      <w:rPr>
        <w:sz w:val="18"/>
        <w:szCs w:val="18"/>
      </w:rPr>
      <w:t xml:space="preserve">- </w:t>
    </w:r>
    <w:r w:rsidRPr="00F01AFB">
      <w:rPr>
        <w:rStyle w:val="PageNumber"/>
        <w:sz w:val="18"/>
        <w:szCs w:val="18"/>
      </w:rPr>
      <w:fldChar w:fldCharType="begin"/>
    </w:r>
    <w:r w:rsidRPr="00F01AFB">
      <w:rPr>
        <w:rStyle w:val="PageNumber"/>
        <w:sz w:val="18"/>
        <w:szCs w:val="18"/>
      </w:rPr>
      <w:instrText xml:space="preserve"> PAGE </w:instrText>
    </w:r>
    <w:r w:rsidRPr="00F01AFB">
      <w:rPr>
        <w:rStyle w:val="PageNumber"/>
        <w:sz w:val="18"/>
        <w:szCs w:val="18"/>
      </w:rPr>
      <w:fldChar w:fldCharType="separate"/>
    </w:r>
    <w:r w:rsidRPr="00F01AFB">
      <w:rPr>
        <w:rStyle w:val="PageNumber"/>
        <w:sz w:val="18"/>
        <w:szCs w:val="18"/>
      </w:rPr>
      <w:t>2</w:t>
    </w:r>
    <w:r w:rsidRPr="00F01AFB">
      <w:rPr>
        <w:rStyle w:val="PageNumber"/>
        <w:sz w:val="18"/>
        <w:szCs w:val="18"/>
      </w:rPr>
      <w:fldChar w:fldCharType="end"/>
    </w:r>
    <w:r w:rsidRPr="00F01AFB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01" w:type="dxa"/>
      <w:tblInd w:w="-1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01"/>
    </w:tblGrid>
    <w:tr w:rsidR="00C37E9B" w14:paraId="62CFB262" w14:textId="77777777" w:rsidTr="00C37E9B">
      <w:tc>
        <w:tcPr>
          <w:tcW w:w="9901" w:type="dxa"/>
          <w:tcMar>
            <w:left w:w="0" w:type="dxa"/>
          </w:tcMar>
        </w:tcPr>
        <w:p w14:paraId="2817D7E2" w14:textId="77777777" w:rsidR="00C37E9B" w:rsidRDefault="00C37E9B" w:rsidP="00F420BF">
          <w:pPr>
            <w:pStyle w:val="Header"/>
            <w:spacing w:before="120" w:line="360" w:lineRule="auto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3B50035A" wp14:editId="079D6239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4FB456C" w14:textId="77777777" w:rsidR="00E915AF" w:rsidRPr="00295CFA" w:rsidRDefault="00E915AF" w:rsidP="00295C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A252960"/>
    <w:multiLevelType w:val="hybridMultilevel"/>
    <w:tmpl w:val="F502EE0E"/>
    <w:lvl w:ilvl="0" w:tplc="7B40A8C2">
      <w:start w:val="1"/>
      <w:numFmt w:val="decimal"/>
      <w:lvlText w:val="%1"/>
      <w:lvlJc w:val="left"/>
      <w:pPr>
        <w:ind w:left="1150" w:hanging="790"/>
      </w:pPr>
      <w:rPr>
        <w:rFonts w:hint="default"/>
      </w:rPr>
    </w:lvl>
    <w:lvl w:ilvl="1" w:tplc="C6345B1C" w:tentative="1">
      <w:start w:val="1"/>
      <w:numFmt w:val="lowerLetter"/>
      <w:lvlText w:val="%2."/>
      <w:lvlJc w:val="left"/>
      <w:pPr>
        <w:ind w:left="1440" w:hanging="360"/>
      </w:pPr>
    </w:lvl>
    <w:lvl w:ilvl="2" w:tplc="D4E02826" w:tentative="1">
      <w:start w:val="1"/>
      <w:numFmt w:val="lowerRoman"/>
      <w:lvlText w:val="%3."/>
      <w:lvlJc w:val="right"/>
      <w:pPr>
        <w:ind w:left="2160" w:hanging="180"/>
      </w:pPr>
    </w:lvl>
    <w:lvl w:ilvl="3" w:tplc="A9B04C18" w:tentative="1">
      <w:start w:val="1"/>
      <w:numFmt w:val="decimal"/>
      <w:lvlText w:val="%4."/>
      <w:lvlJc w:val="left"/>
      <w:pPr>
        <w:ind w:left="2880" w:hanging="360"/>
      </w:pPr>
    </w:lvl>
    <w:lvl w:ilvl="4" w:tplc="8D94E056" w:tentative="1">
      <w:start w:val="1"/>
      <w:numFmt w:val="lowerLetter"/>
      <w:lvlText w:val="%5."/>
      <w:lvlJc w:val="left"/>
      <w:pPr>
        <w:ind w:left="3600" w:hanging="360"/>
      </w:pPr>
    </w:lvl>
    <w:lvl w:ilvl="5" w:tplc="C75A56F8" w:tentative="1">
      <w:start w:val="1"/>
      <w:numFmt w:val="lowerRoman"/>
      <w:lvlText w:val="%6."/>
      <w:lvlJc w:val="right"/>
      <w:pPr>
        <w:ind w:left="4320" w:hanging="180"/>
      </w:pPr>
    </w:lvl>
    <w:lvl w:ilvl="6" w:tplc="F7E248C6" w:tentative="1">
      <w:start w:val="1"/>
      <w:numFmt w:val="decimal"/>
      <w:lvlText w:val="%7."/>
      <w:lvlJc w:val="left"/>
      <w:pPr>
        <w:ind w:left="5040" w:hanging="360"/>
      </w:pPr>
    </w:lvl>
    <w:lvl w:ilvl="7" w:tplc="3648D078" w:tentative="1">
      <w:start w:val="1"/>
      <w:numFmt w:val="lowerLetter"/>
      <w:lvlText w:val="%8."/>
      <w:lvlJc w:val="left"/>
      <w:pPr>
        <w:ind w:left="5760" w:hanging="360"/>
      </w:pPr>
    </w:lvl>
    <w:lvl w:ilvl="8" w:tplc="1D6E84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5935906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7220504">
    <w:abstractNumId w:val="6"/>
  </w:num>
  <w:num w:numId="3" w16cid:durableId="6132935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F420BF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91DF4"/>
    <w:rsid w:val="00093ECF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0B0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501CD"/>
    <w:rsid w:val="00164B62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95CFA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316935"/>
    <w:rsid w:val="003266ED"/>
    <w:rsid w:val="00326C68"/>
    <w:rsid w:val="00334544"/>
    <w:rsid w:val="003370B8"/>
    <w:rsid w:val="00345D38"/>
    <w:rsid w:val="00352097"/>
    <w:rsid w:val="003666FF"/>
    <w:rsid w:val="0037309C"/>
    <w:rsid w:val="00380A6E"/>
    <w:rsid w:val="003836D4"/>
    <w:rsid w:val="003A0C76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728EE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C68C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C2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6F4169"/>
    <w:rsid w:val="007234B1"/>
    <w:rsid w:val="00723D08"/>
    <w:rsid w:val="007253AF"/>
    <w:rsid w:val="00725FDA"/>
    <w:rsid w:val="00727816"/>
    <w:rsid w:val="00730B9A"/>
    <w:rsid w:val="00750CFA"/>
    <w:rsid w:val="007553DA"/>
    <w:rsid w:val="007616E7"/>
    <w:rsid w:val="00775DB8"/>
    <w:rsid w:val="00782354"/>
    <w:rsid w:val="007921A7"/>
    <w:rsid w:val="00796CD6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60D2F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3888"/>
    <w:rsid w:val="008F4F21"/>
    <w:rsid w:val="00904D4A"/>
    <w:rsid w:val="009076D7"/>
    <w:rsid w:val="009151BA"/>
    <w:rsid w:val="0091560C"/>
    <w:rsid w:val="00924E6D"/>
    <w:rsid w:val="00925023"/>
    <w:rsid w:val="009277BC"/>
    <w:rsid w:val="00927D57"/>
    <w:rsid w:val="00931A51"/>
    <w:rsid w:val="00936E1F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1F2B"/>
    <w:rsid w:val="00AC3896"/>
    <w:rsid w:val="00AD2CF2"/>
    <w:rsid w:val="00AE2D88"/>
    <w:rsid w:val="00AE6F6F"/>
    <w:rsid w:val="00AF051D"/>
    <w:rsid w:val="00AF3325"/>
    <w:rsid w:val="00AF34D9"/>
    <w:rsid w:val="00AF70DA"/>
    <w:rsid w:val="00B019D3"/>
    <w:rsid w:val="00B06B90"/>
    <w:rsid w:val="00B34CF9"/>
    <w:rsid w:val="00B37559"/>
    <w:rsid w:val="00B4054B"/>
    <w:rsid w:val="00B44390"/>
    <w:rsid w:val="00B579B0"/>
    <w:rsid w:val="00B57D11"/>
    <w:rsid w:val="00B649D7"/>
    <w:rsid w:val="00B81C2F"/>
    <w:rsid w:val="00B90743"/>
    <w:rsid w:val="00B90C45"/>
    <w:rsid w:val="00B933BE"/>
    <w:rsid w:val="00BB2705"/>
    <w:rsid w:val="00BD6738"/>
    <w:rsid w:val="00BD7E5E"/>
    <w:rsid w:val="00BE63DB"/>
    <w:rsid w:val="00BE6574"/>
    <w:rsid w:val="00C07319"/>
    <w:rsid w:val="00C16FD2"/>
    <w:rsid w:val="00C37E9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4FE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3677"/>
    <w:rsid w:val="00D34BDC"/>
    <w:rsid w:val="00D35AB9"/>
    <w:rsid w:val="00D41571"/>
    <w:rsid w:val="00D416A0"/>
    <w:rsid w:val="00D47672"/>
    <w:rsid w:val="00D5123C"/>
    <w:rsid w:val="00D55174"/>
    <w:rsid w:val="00D55560"/>
    <w:rsid w:val="00D61C5A"/>
    <w:rsid w:val="00D631CE"/>
    <w:rsid w:val="00D6790C"/>
    <w:rsid w:val="00D73277"/>
    <w:rsid w:val="00D76586"/>
    <w:rsid w:val="00D82657"/>
    <w:rsid w:val="00D87E20"/>
    <w:rsid w:val="00DA16E6"/>
    <w:rsid w:val="00DA4037"/>
    <w:rsid w:val="00DA4711"/>
    <w:rsid w:val="00DE66A5"/>
    <w:rsid w:val="00DF2B50"/>
    <w:rsid w:val="00E01059"/>
    <w:rsid w:val="00E04C86"/>
    <w:rsid w:val="00E17344"/>
    <w:rsid w:val="00E20F30"/>
    <w:rsid w:val="00E2189C"/>
    <w:rsid w:val="00E2225D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D20E1"/>
    <w:rsid w:val="00EE03A0"/>
    <w:rsid w:val="00EE2A70"/>
    <w:rsid w:val="00F01AFB"/>
    <w:rsid w:val="00F12234"/>
    <w:rsid w:val="00F419C5"/>
    <w:rsid w:val="00F420BF"/>
    <w:rsid w:val="00F424BF"/>
    <w:rsid w:val="00F44FC3"/>
    <w:rsid w:val="00F46107"/>
    <w:rsid w:val="00F468C5"/>
    <w:rsid w:val="00F52F39"/>
    <w:rsid w:val="00F55884"/>
    <w:rsid w:val="00F572D3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FC3CF3"/>
  <w15:docId w15:val="{102D4159-4D44-4790-8317-0FE6B696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link w:val="HeadingbChar"/>
    <w:qFormat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0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295CFA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2225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3A0C76"/>
    <w:rPr>
      <w:b/>
      <w:sz w:val="24"/>
      <w:szCs w:val="22"/>
      <w:lang w:val="en-US" w:eastAsia="en-US"/>
    </w:rPr>
  </w:style>
  <w:style w:type="character" w:customStyle="1" w:styleId="enumlev1Char">
    <w:name w:val="enumlev1 Char"/>
    <w:basedOn w:val="DefaultParagraphFont"/>
    <w:link w:val="enumlev1"/>
    <w:rsid w:val="003A0C76"/>
    <w:rPr>
      <w:sz w:val="24"/>
      <w:szCs w:val="22"/>
      <w:lang w:val="en-US" w:eastAsia="en-US"/>
    </w:rPr>
  </w:style>
  <w:style w:type="character" w:customStyle="1" w:styleId="HeadingbChar">
    <w:name w:val="Heading_b Char"/>
    <w:basedOn w:val="DefaultParagraphFont"/>
    <w:link w:val="Headingb"/>
    <w:rsid w:val="003A0C76"/>
    <w:rPr>
      <w:b/>
      <w:sz w:val="24"/>
      <w:szCs w:val="22"/>
      <w:lang w:val="en-US" w:eastAsia="en-US"/>
    </w:rPr>
  </w:style>
  <w:style w:type="paragraph" w:customStyle="1" w:styleId="Annextitle">
    <w:name w:val="Annex_title"/>
    <w:basedOn w:val="Normal"/>
    <w:next w:val="Normal"/>
    <w:link w:val="AnnextitleChar"/>
    <w:rsid w:val="003A0C76"/>
    <w:pPr>
      <w:keepNext/>
      <w:keepLines/>
      <w:spacing w:before="240" w:after="280" w:line="240" w:lineRule="auto"/>
      <w:jc w:val="center"/>
    </w:pPr>
    <w:rPr>
      <w:rFonts w:ascii="Times New Roman Bold" w:eastAsia="Times New Roman" w:hAnsi="Times New Roman Bold" w:cs="Times New Roman"/>
      <w:b/>
      <w:sz w:val="28"/>
      <w:szCs w:val="20"/>
    </w:rPr>
  </w:style>
  <w:style w:type="character" w:customStyle="1" w:styleId="AnnextitleChar">
    <w:name w:val="Annex_title Char"/>
    <w:basedOn w:val="DefaultParagraphFont"/>
    <w:link w:val="Annextitle"/>
    <w:rsid w:val="003A0C76"/>
    <w:rPr>
      <w:rFonts w:ascii="Times New Roman Bold" w:eastAsia="Times New Roman" w:hAnsi="Times New Roman Bold" w:cs="Times New Roman"/>
      <w:b/>
      <w:sz w:val="28"/>
      <w:lang w:val="en-US" w:eastAsia="en-US"/>
    </w:rPr>
  </w:style>
  <w:style w:type="paragraph" w:customStyle="1" w:styleId="AnnexNo">
    <w:name w:val="Annex_No"/>
    <w:basedOn w:val="Normal"/>
    <w:next w:val="Normal"/>
    <w:rsid w:val="003A0C76"/>
    <w:pPr>
      <w:keepNext/>
      <w:keepLines/>
      <w:snapToGrid w:val="0"/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ITU-R/space/support/Pages/e-Examination-guide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br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4A47A-B8C3-4D76-AC1E-22C4D9E99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1995</Words>
  <Characters>1429</Characters>
  <Application>Microsoft Office Word</Application>
  <DocSecurity>0</DocSecurity>
  <Lines>11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3418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Kong, Hongli</dc:creator>
  <cp:lastModifiedBy>Panoussopoulos, Sonia</cp:lastModifiedBy>
  <cp:revision>5</cp:revision>
  <cp:lastPrinted>2013-03-08T10:15:00Z</cp:lastPrinted>
  <dcterms:created xsi:type="dcterms:W3CDTF">2024-04-04T06:16:00Z</dcterms:created>
  <dcterms:modified xsi:type="dcterms:W3CDTF">2024-04-08T07:15:00Z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