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6B4F" w14:textId="77777777" w:rsidR="009E6EBB" w:rsidRPr="008C3ECA" w:rsidRDefault="009E6EBB" w:rsidP="003E707D">
      <w:pPr>
        <w:tabs>
          <w:tab w:val="clear" w:pos="794"/>
          <w:tab w:val="clear" w:pos="1191"/>
          <w:tab w:val="clear" w:pos="1588"/>
          <w:tab w:val="clear" w:pos="1985"/>
        </w:tabs>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77777777" w:rsidR="009E6EBB" w:rsidRDefault="009E6EBB" w:rsidP="003E707D">
      <w:pPr>
        <w:tabs>
          <w:tab w:val="clear" w:pos="794"/>
          <w:tab w:val="clear" w:pos="1191"/>
          <w:tab w:val="clear" w:pos="1588"/>
          <w:tab w:val="clear" w:pos="1985"/>
        </w:tabs>
        <w:ind w:left="142"/>
      </w:pPr>
    </w:p>
    <w:tbl>
      <w:tblPr>
        <w:tblW w:w="9889" w:type="dxa"/>
        <w:tblLayout w:type="fixed"/>
        <w:tblLook w:val="04A0" w:firstRow="1" w:lastRow="0" w:firstColumn="1" w:lastColumn="0" w:noHBand="0" w:noVBand="1"/>
      </w:tblPr>
      <w:tblGrid>
        <w:gridCol w:w="1526"/>
        <w:gridCol w:w="5386"/>
        <w:gridCol w:w="2977"/>
      </w:tblGrid>
      <w:tr w:rsidR="00295CF8" w:rsidRPr="00E628C2" w14:paraId="1B864158" w14:textId="77777777" w:rsidTr="002C73C0">
        <w:tc>
          <w:tcPr>
            <w:tcW w:w="6912" w:type="dxa"/>
            <w:gridSpan w:val="2"/>
            <w:shd w:val="clear" w:color="auto" w:fill="auto"/>
          </w:tcPr>
          <w:p w14:paraId="33DF01CF" w14:textId="77777777" w:rsidR="009E6EBB" w:rsidRPr="006554AB" w:rsidRDefault="009E6EBB" w:rsidP="003E707D">
            <w:pPr>
              <w:tabs>
                <w:tab w:val="clear" w:pos="794"/>
                <w:tab w:val="clear" w:pos="1191"/>
                <w:tab w:val="clear" w:pos="1588"/>
                <w:tab w:val="clear" w:pos="1985"/>
              </w:tabs>
              <w:spacing w:before="0"/>
              <w:ind w:left="-105"/>
              <w:jc w:val="left"/>
              <w:rPr>
                <w:sz w:val="24"/>
                <w:szCs w:val="24"/>
                <w:lang w:val="en-GB"/>
              </w:rPr>
            </w:pPr>
            <w:r w:rsidRPr="006554AB">
              <w:rPr>
                <w:sz w:val="24"/>
                <w:szCs w:val="24"/>
                <w:lang w:val="en-GB"/>
              </w:rPr>
              <w:t>Circular Letter</w:t>
            </w:r>
          </w:p>
          <w:p w14:paraId="0D552710" w14:textId="51DEE02E" w:rsidR="009E6EBB" w:rsidRPr="00295CF8" w:rsidRDefault="009E6EBB" w:rsidP="003E707D">
            <w:pPr>
              <w:tabs>
                <w:tab w:val="clear" w:pos="794"/>
                <w:tab w:val="clear" w:pos="1191"/>
                <w:tab w:val="clear" w:pos="1588"/>
                <w:tab w:val="clear" w:pos="1985"/>
              </w:tabs>
              <w:spacing w:before="0"/>
              <w:ind w:left="-105"/>
              <w:jc w:val="left"/>
              <w:rPr>
                <w:b/>
                <w:bCs/>
                <w:szCs w:val="24"/>
                <w:lang w:val="en-GB"/>
              </w:rPr>
            </w:pPr>
            <w:bookmarkStart w:id="0" w:name="_Hlk162252652"/>
            <w:r w:rsidRPr="006554AB">
              <w:rPr>
                <w:b/>
                <w:bCs/>
                <w:sz w:val="24"/>
                <w:szCs w:val="24"/>
                <w:lang w:val="en-GB"/>
              </w:rPr>
              <w:t>C</w:t>
            </w:r>
            <w:r w:rsidR="0083025F">
              <w:rPr>
                <w:b/>
                <w:bCs/>
                <w:sz w:val="24"/>
                <w:szCs w:val="24"/>
                <w:lang w:val="en-GB"/>
              </w:rPr>
              <w:t>R</w:t>
            </w:r>
            <w:r w:rsidRPr="006554AB">
              <w:rPr>
                <w:b/>
                <w:bCs/>
                <w:sz w:val="24"/>
                <w:szCs w:val="24"/>
                <w:lang w:val="en-GB"/>
              </w:rPr>
              <w:t>/</w:t>
            </w:r>
            <w:bookmarkEnd w:id="0"/>
            <w:r w:rsidR="002A2CAA">
              <w:rPr>
                <w:b/>
                <w:bCs/>
                <w:sz w:val="24"/>
                <w:szCs w:val="24"/>
                <w:lang w:val="en-GB"/>
              </w:rPr>
              <w:t>503</w:t>
            </w:r>
          </w:p>
        </w:tc>
        <w:tc>
          <w:tcPr>
            <w:tcW w:w="2977" w:type="dxa"/>
            <w:shd w:val="clear" w:color="auto" w:fill="auto"/>
          </w:tcPr>
          <w:p w14:paraId="16C84185" w14:textId="5922605B" w:rsidR="009E6EBB" w:rsidRPr="00E628C2" w:rsidRDefault="002A2CAA" w:rsidP="003E707D">
            <w:pPr>
              <w:tabs>
                <w:tab w:val="clear" w:pos="794"/>
                <w:tab w:val="clear" w:pos="1191"/>
                <w:tab w:val="clear" w:pos="1588"/>
                <w:tab w:val="clear" w:pos="1985"/>
              </w:tabs>
              <w:spacing w:before="0"/>
              <w:ind w:left="-105"/>
              <w:jc w:val="right"/>
              <w:rPr>
                <w:szCs w:val="24"/>
                <w:lang w:val="en-GB"/>
              </w:rPr>
            </w:pPr>
            <w:r>
              <w:rPr>
                <w:sz w:val="24"/>
                <w:szCs w:val="28"/>
                <w:lang w:val="en-GB"/>
              </w:rPr>
              <w:t xml:space="preserve">8 </w:t>
            </w:r>
            <w:r w:rsidR="008A6F47">
              <w:rPr>
                <w:sz w:val="24"/>
                <w:szCs w:val="28"/>
                <w:lang w:val="en-GB"/>
              </w:rPr>
              <w:t>April</w:t>
            </w:r>
            <w:r w:rsidR="000E150B">
              <w:rPr>
                <w:sz w:val="24"/>
                <w:szCs w:val="28"/>
                <w:lang w:val="en-GB"/>
              </w:rPr>
              <w:t xml:space="preserve"> 2024</w:t>
            </w:r>
          </w:p>
        </w:tc>
      </w:tr>
      <w:tr w:rsidR="009E6EBB" w:rsidRPr="000D79FA" w14:paraId="0466C98C" w14:textId="77777777" w:rsidTr="002C73C0">
        <w:tc>
          <w:tcPr>
            <w:tcW w:w="9889" w:type="dxa"/>
            <w:gridSpan w:val="3"/>
            <w:shd w:val="clear" w:color="auto" w:fill="auto"/>
          </w:tcPr>
          <w:p w14:paraId="08857F06" w14:textId="77777777" w:rsidR="009E6EBB" w:rsidRPr="000D79FA" w:rsidRDefault="009E6EBB" w:rsidP="003E707D">
            <w:pPr>
              <w:tabs>
                <w:tab w:val="clear" w:pos="794"/>
                <w:tab w:val="clear" w:pos="1191"/>
                <w:tab w:val="clear" w:pos="1588"/>
                <w:tab w:val="clear" w:pos="1985"/>
                <w:tab w:val="left" w:pos="4428"/>
              </w:tabs>
              <w:spacing w:before="0"/>
              <w:ind w:left="-105"/>
              <w:jc w:val="left"/>
              <w:rPr>
                <w:rFonts w:cs="Arial"/>
                <w:sz w:val="24"/>
                <w:szCs w:val="24"/>
                <w:lang w:val="en-GB"/>
              </w:rPr>
            </w:pPr>
          </w:p>
        </w:tc>
      </w:tr>
      <w:tr w:rsidR="00EB5EC0" w:rsidRPr="00EB5EC0" w14:paraId="45500DD5" w14:textId="77777777" w:rsidTr="002C73C0">
        <w:tc>
          <w:tcPr>
            <w:tcW w:w="9889" w:type="dxa"/>
            <w:gridSpan w:val="3"/>
            <w:shd w:val="clear" w:color="auto" w:fill="auto"/>
          </w:tcPr>
          <w:tbl>
            <w:tblPr>
              <w:tblW w:w="9889" w:type="dxa"/>
              <w:jc w:val="center"/>
              <w:tblLayout w:type="fixed"/>
              <w:tblLook w:val="04A0" w:firstRow="1" w:lastRow="0" w:firstColumn="1" w:lastColumn="0" w:noHBand="0" w:noVBand="1"/>
            </w:tblPr>
            <w:tblGrid>
              <w:gridCol w:w="9889"/>
            </w:tblGrid>
            <w:tr w:rsidR="00EB5EC0" w:rsidRPr="00EB5EC0" w14:paraId="078BBAAF" w14:textId="77777777" w:rsidTr="00E94A13">
              <w:trPr>
                <w:jc w:val="center"/>
              </w:trPr>
              <w:tc>
                <w:tcPr>
                  <w:tcW w:w="9889" w:type="dxa"/>
                  <w:shd w:val="clear" w:color="auto" w:fill="auto"/>
                </w:tcPr>
                <w:p w14:paraId="1DC79045" w14:textId="625E147D" w:rsidR="00EB5EC0" w:rsidRPr="00EB5EC0" w:rsidRDefault="00EB5EC0" w:rsidP="003E707D">
                  <w:pPr>
                    <w:tabs>
                      <w:tab w:val="clear" w:pos="794"/>
                      <w:tab w:val="clear" w:pos="1191"/>
                      <w:tab w:val="clear" w:pos="1588"/>
                      <w:tab w:val="clear" w:pos="1985"/>
                    </w:tabs>
                    <w:spacing w:before="0"/>
                    <w:ind w:left="-105"/>
                    <w:jc w:val="left"/>
                    <w:rPr>
                      <w:sz w:val="24"/>
                      <w:szCs w:val="24"/>
                    </w:rPr>
                  </w:pPr>
                  <w:r w:rsidRPr="00EB5EC0">
                    <w:rPr>
                      <w:rFonts w:asciiTheme="minorHAnsi" w:hAnsiTheme="minorHAnsi"/>
                      <w:b/>
                      <w:bCs/>
                      <w:sz w:val="24"/>
                      <w:szCs w:val="24"/>
                    </w:rPr>
                    <w:t xml:space="preserve">To Administrations of Member States of the ITU </w:t>
                  </w:r>
                </w:p>
                <w:p w14:paraId="0BF66BA1" w14:textId="77777777" w:rsidR="00EB5EC0" w:rsidRPr="00EB5EC0" w:rsidRDefault="00EB5EC0" w:rsidP="003E707D">
                  <w:pPr>
                    <w:tabs>
                      <w:tab w:val="clear" w:pos="794"/>
                      <w:tab w:val="clear" w:pos="1191"/>
                      <w:tab w:val="clear" w:pos="1588"/>
                      <w:tab w:val="clear" w:pos="1985"/>
                    </w:tabs>
                    <w:spacing w:before="0"/>
                    <w:ind w:left="-105"/>
                    <w:jc w:val="left"/>
                    <w:rPr>
                      <w:b/>
                      <w:bCs/>
                      <w:sz w:val="24"/>
                      <w:szCs w:val="24"/>
                      <w:lang w:val="en-GB"/>
                    </w:rPr>
                  </w:pPr>
                </w:p>
              </w:tc>
            </w:tr>
          </w:tbl>
          <w:p w14:paraId="446DD9F9" w14:textId="77777777" w:rsidR="00EB5EC0" w:rsidRPr="00EB5EC0" w:rsidRDefault="00EB5EC0" w:rsidP="003E707D">
            <w:pPr>
              <w:tabs>
                <w:tab w:val="clear" w:pos="794"/>
                <w:tab w:val="clear" w:pos="1191"/>
                <w:tab w:val="clear" w:pos="1588"/>
                <w:tab w:val="clear" w:pos="1985"/>
              </w:tabs>
              <w:spacing w:before="0"/>
              <w:ind w:left="-105"/>
              <w:jc w:val="left"/>
              <w:rPr>
                <w:b/>
                <w:bCs/>
                <w:sz w:val="24"/>
                <w:szCs w:val="24"/>
                <w:lang w:val="en-GB"/>
              </w:rPr>
            </w:pPr>
          </w:p>
        </w:tc>
      </w:tr>
      <w:tr w:rsidR="009E6EBB" w:rsidRPr="007315BD" w14:paraId="582F5A55" w14:textId="77777777" w:rsidTr="002C73C0">
        <w:tc>
          <w:tcPr>
            <w:tcW w:w="9889" w:type="dxa"/>
            <w:gridSpan w:val="3"/>
            <w:shd w:val="clear" w:color="auto" w:fill="auto"/>
          </w:tcPr>
          <w:p w14:paraId="2B2F7F32" w14:textId="77777777" w:rsidR="009E6EBB" w:rsidRPr="000D79FA" w:rsidRDefault="009E6EBB" w:rsidP="003E707D">
            <w:pPr>
              <w:tabs>
                <w:tab w:val="clear" w:pos="794"/>
                <w:tab w:val="clear" w:pos="1191"/>
                <w:tab w:val="clear" w:pos="1588"/>
                <w:tab w:val="clear" w:pos="1985"/>
              </w:tabs>
              <w:spacing w:before="0"/>
              <w:ind w:left="-105"/>
              <w:jc w:val="left"/>
              <w:rPr>
                <w:sz w:val="24"/>
                <w:szCs w:val="24"/>
                <w:lang w:val="en-GB"/>
              </w:rPr>
            </w:pPr>
          </w:p>
        </w:tc>
      </w:tr>
      <w:tr w:rsidR="009E6EBB" w:rsidRPr="000D79FA" w14:paraId="1BBE8555" w14:textId="77777777" w:rsidTr="002C73C0">
        <w:tc>
          <w:tcPr>
            <w:tcW w:w="9889" w:type="dxa"/>
            <w:gridSpan w:val="3"/>
            <w:shd w:val="clear" w:color="auto" w:fill="auto"/>
          </w:tcPr>
          <w:p w14:paraId="2BA95F6C" w14:textId="77777777" w:rsidR="009E6EBB" w:rsidRPr="000D79FA" w:rsidRDefault="009E6EBB" w:rsidP="003E707D">
            <w:pPr>
              <w:tabs>
                <w:tab w:val="clear" w:pos="794"/>
                <w:tab w:val="clear" w:pos="1191"/>
                <w:tab w:val="clear" w:pos="1588"/>
                <w:tab w:val="clear" w:pos="1985"/>
              </w:tabs>
              <w:spacing w:before="0"/>
              <w:ind w:left="-105"/>
              <w:jc w:val="left"/>
              <w:rPr>
                <w:sz w:val="24"/>
                <w:szCs w:val="24"/>
                <w:lang w:val="en-GB"/>
              </w:rPr>
            </w:pPr>
          </w:p>
        </w:tc>
      </w:tr>
      <w:tr w:rsidR="009E6EBB" w:rsidRPr="00884223" w14:paraId="6D299DCB" w14:textId="77777777" w:rsidTr="002C73C0">
        <w:tc>
          <w:tcPr>
            <w:tcW w:w="1526" w:type="dxa"/>
            <w:shd w:val="clear" w:color="auto" w:fill="auto"/>
          </w:tcPr>
          <w:p w14:paraId="770DD236" w14:textId="77777777" w:rsidR="009E6EBB" w:rsidRPr="000D79FA" w:rsidRDefault="009E6EBB" w:rsidP="003E707D">
            <w:pPr>
              <w:tabs>
                <w:tab w:val="clear" w:pos="794"/>
                <w:tab w:val="clear" w:pos="1191"/>
                <w:tab w:val="clear" w:pos="1588"/>
                <w:tab w:val="clear" w:pos="1985"/>
              </w:tabs>
              <w:spacing w:before="0"/>
              <w:ind w:left="-105"/>
              <w:jc w:val="left"/>
              <w:rPr>
                <w:sz w:val="24"/>
                <w:szCs w:val="24"/>
                <w:lang w:val="en-GB"/>
              </w:rPr>
            </w:pPr>
            <w:r w:rsidRPr="000D79FA">
              <w:rPr>
                <w:sz w:val="24"/>
                <w:szCs w:val="24"/>
                <w:lang w:val="en-GB"/>
              </w:rPr>
              <w:t>Subject:</w:t>
            </w:r>
          </w:p>
        </w:tc>
        <w:tc>
          <w:tcPr>
            <w:tcW w:w="8363" w:type="dxa"/>
            <w:gridSpan w:val="2"/>
            <w:vMerge w:val="restart"/>
            <w:shd w:val="clear" w:color="auto" w:fill="auto"/>
          </w:tcPr>
          <w:p w14:paraId="684654A1" w14:textId="78CF34F9" w:rsidR="00335CB4" w:rsidRPr="002C73C0" w:rsidRDefault="00614623" w:rsidP="003E707D">
            <w:pPr>
              <w:tabs>
                <w:tab w:val="clear" w:pos="794"/>
                <w:tab w:val="clear" w:pos="1191"/>
                <w:tab w:val="clear" w:pos="1588"/>
                <w:tab w:val="clear" w:pos="1985"/>
                <w:tab w:val="left" w:pos="6690"/>
              </w:tabs>
              <w:spacing w:before="0" w:after="360"/>
              <w:ind w:left="-108"/>
              <w:rPr>
                <w:rFonts w:eastAsia="Times New Roman"/>
                <w:b/>
                <w:bCs/>
                <w:sz w:val="24"/>
                <w:szCs w:val="24"/>
                <w:lang w:val="en-GB"/>
              </w:rPr>
            </w:pPr>
            <w:r>
              <w:rPr>
                <w:rFonts w:eastAsia="Times New Roman"/>
                <w:b/>
                <w:bCs/>
                <w:sz w:val="24"/>
                <w:szCs w:val="24"/>
                <w:lang w:val="en-GB"/>
              </w:rPr>
              <w:t xml:space="preserve">The use </w:t>
            </w:r>
            <w:r w:rsidR="008A300E">
              <w:rPr>
                <w:rFonts w:eastAsia="Times New Roman"/>
                <w:b/>
                <w:bCs/>
                <w:sz w:val="24"/>
                <w:szCs w:val="24"/>
                <w:lang w:val="en-GB"/>
              </w:rPr>
              <w:t xml:space="preserve">of </w:t>
            </w:r>
            <w:r>
              <w:rPr>
                <w:rFonts w:eastAsia="Times New Roman"/>
                <w:b/>
                <w:bCs/>
                <w:sz w:val="24"/>
                <w:szCs w:val="24"/>
                <w:lang w:val="en-GB"/>
              </w:rPr>
              <w:t xml:space="preserve">transmitted power defined using averaging bandwidth in accordance with </w:t>
            </w:r>
            <w:r w:rsidRPr="00614623">
              <w:rPr>
                <w:rFonts w:eastAsia="Times New Roman"/>
                <w:b/>
                <w:bCs/>
                <w:sz w:val="24"/>
                <w:szCs w:val="24"/>
                <w:lang w:val="en-GB"/>
              </w:rPr>
              <w:t>Recommendation ITU</w:t>
            </w:r>
            <w:r w:rsidRPr="00614623">
              <w:rPr>
                <w:rFonts w:eastAsia="Times New Roman"/>
                <w:b/>
                <w:bCs/>
                <w:sz w:val="24"/>
                <w:szCs w:val="24"/>
                <w:lang w:val="en-GB"/>
              </w:rPr>
              <w:noBreakHyphen/>
              <w:t xml:space="preserve">R SF.675 </w:t>
            </w:r>
            <w:r w:rsidR="00884223">
              <w:rPr>
                <w:rFonts w:eastAsia="Times New Roman"/>
                <w:b/>
                <w:bCs/>
                <w:sz w:val="24"/>
                <w:szCs w:val="24"/>
                <w:lang w:val="en-GB"/>
              </w:rPr>
              <w:t xml:space="preserve">for calculations of </w:t>
            </w:r>
            <w:r>
              <w:rPr>
                <w:rFonts w:eastAsia="Times New Roman"/>
                <w:b/>
                <w:bCs/>
                <w:sz w:val="24"/>
                <w:szCs w:val="24"/>
                <w:lang w:val="en-GB"/>
              </w:rPr>
              <w:t>power</w:t>
            </w:r>
            <w:r w:rsidR="00204156">
              <w:rPr>
                <w:rFonts w:eastAsia="Times New Roman"/>
                <w:b/>
                <w:bCs/>
                <w:sz w:val="24"/>
                <w:szCs w:val="24"/>
                <w:lang w:val="en-GB"/>
              </w:rPr>
              <w:t xml:space="preserve"> </w:t>
            </w:r>
            <w:r>
              <w:rPr>
                <w:rFonts w:eastAsia="Times New Roman"/>
                <w:b/>
                <w:bCs/>
                <w:sz w:val="24"/>
                <w:szCs w:val="24"/>
                <w:lang w:val="en-GB"/>
              </w:rPr>
              <w:t>flux</w:t>
            </w:r>
            <w:r w:rsidR="00204156">
              <w:rPr>
                <w:rFonts w:eastAsia="Times New Roman"/>
                <w:b/>
                <w:bCs/>
                <w:sz w:val="24"/>
                <w:szCs w:val="24"/>
                <w:lang w:val="en-GB"/>
              </w:rPr>
              <w:t>-</w:t>
            </w:r>
            <w:r>
              <w:rPr>
                <w:rFonts w:eastAsia="Times New Roman"/>
                <w:b/>
                <w:bCs/>
                <w:sz w:val="24"/>
                <w:szCs w:val="24"/>
                <w:lang w:val="en-GB"/>
              </w:rPr>
              <w:t xml:space="preserve">density and equivalent </w:t>
            </w:r>
            <w:proofErr w:type="spellStart"/>
            <w:r>
              <w:rPr>
                <w:rFonts w:eastAsia="Times New Roman"/>
                <w:b/>
                <w:bCs/>
                <w:sz w:val="24"/>
                <w:szCs w:val="24"/>
                <w:lang w:val="en-GB"/>
              </w:rPr>
              <w:t>isot</w:t>
            </w:r>
            <w:r w:rsidR="00204156">
              <w:rPr>
                <w:rFonts w:eastAsia="Times New Roman"/>
                <w:b/>
                <w:bCs/>
                <w:sz w:val="24"/>
                <w:szCs w:val="24"/>
                <w:lang w:val="en-GB"/>
              </w:rPr>
              <w:t>r</w:t>
            </w:r>
            <w:r>
              <w:rPr>
                <w:rFonts w:eastAsia="Times New Roman"/>
                <w:b/>
                <w:bCs/>
                <w:sz w:val="24"/>
                <w:szCs w:val="24"/>
                <w:lang w:val="en-GB"/>
              </w:rPr>
              <w:t>opically</w:t>
            </w:r>
            <w:proofErr w:type="spellEnd"/>
            <w:r>
              <w:rPr>
                <w:rFonts w:eastAsia="Times New Roman"/>
                <w:b/>
                <w:bCs/>
                <w:sz w:val="24"/>
                <w:szCs w:val="24"/>
                <w:lang w:val="en-GB"/>
              </w:rPr>
              <w:t xml:space="preserve"> radiated power limits </w:t>
            </w:r>
            <w:r w:rsidR="00884223">
              <w:rPr>
                <w:rFonts w:eastAsia="Times New Roman"/>
                <w:b/>
                <w:bCs/>
                <w:sz w:val="24"/>
                <w:szCs w:val="24"/>
                <w:lang w:val="en-GB"/>
              </w:rPr>
              <w:t>in Articles 5</w:t>
            </w:r>
            <w:r w:rsidR="005B42B3">
              <w:rPr>
                <w:rFonts w:eastAsia="Times New Roman"/>
                <w:b/>
                <w:bCs/>
                <w:sz w:val="24"/>
                <w:szCs w:val="24"/>
                <w:lang w:val="en-GB"/>
              </w:rPr>
              <w:t>,</w:t>
            </w:r>
            <w:r w:rsidR="00884223">
              <w:rPr>
                <w:rFonts w:eastAsia="Times New Roman"/>
                <w:b/>
                <w:bCs/>
                <w:sz w:val="24"/>
                <w:szCs w:val="24"/>
                <w:lang w:val="en-GB"/>
              </w:rPr>
              <w:t xml:space="preserve"> 21</w:t>
            </w:r>
            <w:r w:rsidR="005B42B3">
              <w:rPr>
                <w:rFonts w:eastAsia="Times New Roman"/>
                <w:b/>
                <w:bCs/>
                <w:sz w:val="24"/>
                <w:szCs w:val="24"/>
                <w:lang w:val="en-GB"/>
              </w:rPr>
              <w:t xml:space="preserve"> and 22</w:t>
            </w:r>
            <w:r w:rsidR="00D80A13">
              <w:rPr>
                <w:rFonts w:eastAsia="Times New Roman"/>
                <w:b/>
                <w:bCs/>
                <w:sz w:val="24"/>
                <w:szCs w:val="24"/>
                <w:lang w:val="en-GB"/>
              </w:rPr>
              <w:t xml:space="preserve"> of the Radio Regulations</w:t>
            </w:r>
          </w:p>
        </w:tc>
      </w:tr>
      <w:tr w:rsidR="009E6EBB" w:rsidRPr="000D79FA" w14:paraId="5B23A838" w14:textId="77777777" w:rsidTr="002C73C0">
        <w:tc>
          <w:tcPr>
            <w:tcW w:w="1526" w:type="dxa"/>
            <w:shd w:val="clear" w:color="auto" w:fill="auto"/>
          </w:tcPr>
          <w:p w14:paraId="709777DE" w14:textId="77777777" w:rsidR="009E6EBB" w:rsidRPr="000D79FA" w:rsidRDefault="009E6EBB" w:rsidP="003E707D">
            <w:pPr>
              <w:tabs>
                <w:tab w:val="clear" w:pos="794"/>
                <w:tab w:val="clear" w:pos="1191"/>
                <w:tab w:val="clear" w:pos="1588"/>
                <w:tab w:val="clear" w:pos="1985"/>
              </w:tabs>
              <w:spacing w:before="0"/>
              <w:ind w:hanging="105"/>
              <w:jc w:val="left"/>
              <w:rPr>
                <w:b/>
                <w:bCs/>
                <w:sz w:val="24"/>
                <w:szCs w:val="24"/>
                <w:lang w:val="en-GB"/>
              </w:rPr>
            </w:pPr>
          </w:p>
        </w:tc>
        <w:tc>
          <w:tcPr>
            <w:tcW w:w="8363" w:type="dxa"/>
            <w:gridSpan w:val="2"/>
            <w:vMerge/>
            <w:shd w:val="clear" w:color="auto" w:fill="auto"/>
          </w:tcPr>
          <w:p w14:paraId="7DDE7B0D" w14:textId="77777777" w:rsidR="009E6EBB" w:rsidRPr="000D79FA" w:rsidRDefault="009E6EBB" w:rsidP="003E707D">
            <w:pPr>
              <w:tabs>
                <w:tab w:val="clear" w:pos="794"/>
                <w:tab w:val="clear" w:pos="1191"/>
                <w:tab w:val="clear" w:pos="1588"/>
                <w:tab w:val="clear" w:pos="1985"/>
              </w:tabs>
              <w:spacing w:before="0"/>
              <w:ind w:left="142"/>
              <w:rPr>
                <w:b/>
                <w:bCs/>
                <w:sz w:val="24"/>
                <w:szCs w:val="24"/>
                <w:lang w:val="en-GB"/>
              </w:rPr>
            </w:pPr>
          </w:p>
        </w:tc>
      </w:tr>
    </w:tbl>
    <w:p w14:paraId="7CCAA9EB" w14:textId="12138E9D" w:rsidR="00E10158" w:rsidRPr="00E10158" w:rsidRDefault="00E10158" w:rsidP="00B71032">
      <w:pPr>
        <w:rPr>
          <w:rFonts w:eastAsia="SimSun"/>
          <w:sz w:val="24"/>
          <w:szCs w:val="24"/>
        </w:rPr>
      </w:pPr>
      <w:r w:rsidRPr="00E10158">
        <w:rPr>
          <w:rFonts w:eastAsia="SimSun"/>
          <w:sz w:val="24"/>
          <w:szCs w:val="24"/>
        </w:rPr>
        <w:t xml:space="preserve">Footnote 2 to Tables A, B, C and D of Annex 2 to Appendix </w:t>
      </w:r>
      <w:r w:rsidRPr="00E10158">
        <w:rPr>
          <w:rFonts w:eastAsia="SimSun"/>
          <w:b/>
          <w:bCs/>
          <w:sz w:val="24"/>
          <w:szCs w:val="24"/>
        </w:rPr>
        <w:t>4</w:t>
      </w:r>
      <w:r w:rsidRPr="00E10158">
        <w:rPr>
          <w:rFonts w:eastAsia="SimSun"/>
          <w:sz w:val="24"/>
          <w:szCs w:val="24"/>
        </w:rPr>
        <w:t xml:space="preserve"> </w:t>
      </w:r>
      <w:r w:rsidR="00D80A13">
        <w:rPr>
          <w:rFonts w:eastAsia="SimSun"/>
          <w:sz w:val="24"/>
          <w:szCs w:val="24"/>
        </w:rPr>
        <w:t xml:space="preserve">of the Radio Regulations </w:t>
      </w:r>
      <w:r w:rsidR="008A6F47">
        <w:rPr>
          <w:rFonts w:eastAsia="SimSun"/>
          <w:sz w:val="24"/>
          <w:szCs w:val="24"/>
        </w:rPr>
        <w:t xml:space="preserve">(RR) </w:t>
      </w:r>
      <w:r w:rsidRPr="00E10158">
        <w:rPr>
          <w:rFonts w:eastAsia="SimSun"/>
          <w:sz w:val="24"/>
          <w:szCs w:val="24"/>
        </w:rPr>
        <w:t>as modified by WRC</w:t>
      </w:r>
      <w:r w:rsidRPr="00E10158">
        <w:rPr>
          <w:rFonts w:eastAsia="SimSun"/>
          <w:sz w:val="24"/>
          <w:szCs w:val="24"/>
        </w:rPr>
        <w:noBreakHyphen/>
        <w:t>12 indicates to use the most recent version of Recommendation ITU</w:t>
      </w:r>
      <w:r w:rsidRPr="00E10158">
        <w:rPr>
          <w:rFonts w:eastAsia="SimSun"/>
          <w:sz w:val="24"/>
          <w:szCs w:val="24"/>
        </w:rPr>
        <w:noBreakHyphen/>
        <w:t xml:space="preserve">R SF.675 to calculate the maximum power spectral density of carriers. </w:t>
      </w:r>
      <w:r w:rsidR="008632B1">
        <w:rPr>
          <w:rFonts w:eastAsia="SimSun"/>
          <w:sz w:val="24"/>
          <w:szCs w:val="24"/>
        </w:rPr>
        <w:t>To determine</w:t>
      </w:r>
      <w:r w:rsidRPr="00E10158">
        <w:rPr>
          <w:rFonts w:eastAsia="SimSun"/>
          <w:sz w:val="24"/>
          <w:szCs w:val="24"/>
        </w:rPr>
        <w:t xml:space="preserve"> the maximum power spectral density of different </w:t>
      </w:r>
      <w:r w:rsidR="008A300E">
        <w:rPr>
          <w:rFonts w:eastAsia="SimSun"/>
          <w:sz w:val="24"/>
          <w:szCs w:val="24"/>
        </w:rPr>
        <w:t>types</w:t>
      </w:r>
      <w:r w:rsidR="008A300E" w:rsidRPr="00E10158">
        <w:rPr>
          <w:rFonts w:eastAsia="SimSun"/>
          <w:sz w:val="24"/>
          <w:szCs w:val="24"/>
        </w:rPr>
        <w:t xml:space="preserve"> </w:t>
      </w:r>
      <w:r w:rsidRPr="00E10158">
        <w:rPr>
          <w:rFonts w:eastAsia="SimSun"/>
          <w:sz w:val="24"/>
          <w:szCs w:val="24"/>
        </w:rPr>
        <w:t>of carriers, it recommends considering the maximum possible number of carriers occupying a given averaging bandwidth.</w:t>
      </w:r>
      <w:r w:rsidR="008632B1" w:rsidRPr="008632B1">
        <w:rPr>
          <w:rFonts w:eastAsia="SimSun"/>
          <w:sz w:val="24"/>
          <w:szCs w:val="24"/>
        </w:rPr>
        <w:t xml:space="preserve"> </w:t>
      </w:r>
      <w:r w:rsidR="008632B1">
        <w:rPr>
          <w:rFonts w:eastAsia="SimSun"/>
          <w:sz w:val="24"/>
          <w:szCs w:val="24"/>
        </w:rPr>
        <w:t>T</w:t>
      </w:r>
      <w:r w:rsidR="008632B1" w:rsidRPr="00E10158">
        <w:rPr>
          <w:rFonts w:eastAsia="SimSun"/>
          <w:sz w:val="24"/>
          <w:szCs w:val="24"/>
        </w:rPr>
        <w:t xml:space="preserve">he maximum power density is averaged over the worst </w:t>
      </w:r>
      <w:r w:rsidR="00C43032">
        <w:rPr>
          <w:rFonts w:eastAsia="SimSun"/>
          <w:sz w:val="24"/>
          <w:szCs w:val="24"/>
        </w:rPr>
        <w:t xml:space="preserve">           </w:t>
      </w:r>
      <w:r w:rsidR="008632B1" w:rsidRPr="00E10158">
        <w:rPr>
          <w:rFonts w:eastAsia="SimSun"/>
          <w:sz w:val="24"/>
          <w:szCs w:val="24"/>
        </w:rPr>
        <w:t>4 kHz for carriers below 15 GHz and 1 MHz for carriers at or above 15 GHz</w:t>
      </w:r>
      <w:r w:rsidR="008632B1">
        <w:rPr>
          <w:rFonts w:eastAsia="SimSun"/>
          <w:sz w:val="24"/>
          <w:szCs w:val="24"/>
        </w:rPr>
        <w:t>.</w:t>
      </w:r>
    </w:p>
    <w:p w14:paraId="5E14715B" w14:textId="1D0C311D" w:rsidR="00E10158" w:rsidRPr="00E10158" w:rsidRDefault="00E10158" w:rsidP="00B71032">
      <w:pPr>
        <w:rPr>
          <w:rFonts w:eastAsia="SimSun"/>
          <w:sz w:val="24"/>
          <w:szCs w:val="24"/>
        </w:rPr>
      </w:pPr>
      <w:r w:rsidRPr="00E10158">
        <w:rPr>
          <w:rFonts w:eastAsia="SimSun"/>
          <w:sz w:val="24"/>
          <w:szCs w:val="24"/>
        </w:rPr>
        <w:t xml:space="preserve">It is important that administrations follow this footnote when providing RR Appendix </w:t>
      </w:r>
      <w:r w:rsidRPr="00E10158">
        <w:rPr>
          <w:rFonts w:eastAsia="SimSun"/>
          <w:b/>
          <w:bCs/>
          <w:sz w:val="24"/>
          <w:szCs w:val="24"/>
        </w:rPr>
        <w:t>4</w:t>
      </w:r>
      <w:r w:rsidRPr="00E10158">
        <w:rPr>
          <w:rFonts w:eastAsia="SimSun"/>
          <w:sz w:val="24"/>
          <w:szCs w:val="24"/>
        </w:rPr>
        <w:t xml:space="preserve"> data </w:t>
      </w:r>
      <w:r w:rsidR="003E198E">
        <w:rPr>
          <w:rFonts w:eastAsia="SimSun"/>
          <w:sz w:val="24"/>
          <w:szCs w:val="24"/>
        </w:rPr>
        <w:t>items</w:t>
      </w:r>
      <w:r w:rsidR="003E198E" w:rsidRPr="00E10158">
        <w:rPr>
          <w:rFonts w:eastAsia="SimSun"/>
          <w:sz w:val="24"/>
          <w:szCs w:val="24"/>
        </w:rPr>
        <w:t xml:space="preserve"> </w:t>
      </w:r>
      <w:r w:rsidRPr="00E10158">
        <w:rPr>
          <w:rFonts w:eastAsia="SimSun"/>
          <w:sz w:val="24"/>
          <w:szCs w:val="24"/>
        </w:rPr>
        <w:t>for examinations of power limits to lead to findings in compliance with the provisions of the Radio Regulations.</w:t>
      </w:r>
    </w:p>
    <w:p w14:paraId="514D8B52" w14:textId="4BCE2AFF" w:rsidR="00E10158" w:rsidRPr="00E10158" w:rsidRDefault="00E10158" w:rsidP="00B71032">
      <w:pPr>
        <w:rPr>
          <w:rFonts w:eastAsia="SimSun"/>
          <w:sz w:val="24"/>
          <w:szCs w:val="24"/>
        </w:rPr>
      </w:pPr>
      <w:r w:rsidRPr="00E10158">
        <w:rPr>
          <w:rFonts w:eastAsia="SimSun"/>
          <w:sz w:val="24"/>
          <w:szCs w:val="24"/>
        </w:rPr>
        <w:t xml:space="preserve">Regarding this requirement, the Bureau observed that, for </w:t>
      </w:r>
      <w:proofErr w:type="gramStart"/>
      <w:r w:rsidRPr="00E10158">
        <w:rPr>
          <w:rFonts w:eastAsia="SimSun"/>
          <w:sz w:val="24"/>
          <w:szCs w:val="24"/>
        </w:rPr>
        <w:t>a large number of</w:t>
      </w:r>
      <w:proofErr w:type="gramEnd"/>
      <w:r w:rsidRPr="00E10158">
        <w:rPr>
          <w:rFonts w:eastAsia="SimSun"/>
          <w:sz w:val="24"/>
          <w:szCs w:val="24"/>
        </w:rPr>
        <w:t xml:space="preserve"> emissions contained in </w:t>
      </w:r>
      <w:r>
        <w:rPr>
          <w:rFonts w:eastAsia="SimSun"/>
          <w:sz w:val="24"/>
          <w:szCs w:val="24"/>
        </w:rPr>
        <w:t>submissions</w:t>
      </w:r>
      <w:r w:rsidRPr="00E10158">
        <w:rPr>
          <w:rFonts w:eastAsia="SimSun"/>
          <w:sz w:val="24"/>
          <w:szCs w:val="24"/>
        </w:rPr>
        <w:t xml:space="preserve"> having a necessary bandwidth less than the averaging bandwidth, the maximum power density is based on a single carrier occupying the averaging bandwidth. This is contrary to real systems where multiple carrier operations could be envisaged, particularly considering that the frequency assignment group bandwidth far exceeds the necessary bandwidth of an emission for those above-mentioned cases. </w:t>
      </w:r>
    </w:p>
    <w:p w14:paraId="03E02C4A" w14:textId="39CBA3D8" w:rsidR="008632B1" w:rsidRPr="00E10158" w:rsidRDefault="00D80A13" w:rsidP="00B71032">
      <w:pPr>
        <w:rPr>
          <w:sz w:val="24"/>
          <w:szCs w:val="24"/>
        </w:rPr>
      </w:pPr>
      <w:r>
        <w:rPr>
          <w:sz w:val="24"/>
          <w:szCs w:val="24"/>
        </w:rPr>
        <w:t>I</w:t>
      </w:r>
      <w:r w:rsidRPr="00E10158">
        <w:rPr>
          <w:sz w:val="24"/>
          <w:szCs w:val="24"/>
        </w:rPr>
        <w:t>n the Director’s Report (see Section 3.2.5.2.2 of Revision 1 to Addendum 2 to Document</w:t>
      </w:r>
      <w:r w:rsidR="0053467C">
        <w:rPr>
          <w:sz w:val="24"/>
          <w:szCs w:val="24"/>
        </w:rPr>
        <w:br/>
      </w:r>
      <w:hyperlink r:id="rId8" w:history="1">
        <w:r w:rsidRPr="00E10158">
          <w:rPr>
            <w:rStyle w:val="Hyperlink"/>
            <w:rFonts w:cstheme="minorHAnsi"/>
            <w:sz w:val="24"/>
            <w:szCs w:val="24"/>
          </w:rPr>
          <w:t>WRC-15/4</w:t>
        </w:r>
      </w:hyperlink>
      <w:r w:rsidRPr="00E10158">
        <w:rPr>
          <w:sz w:val="24"/>
          <w:szCs w:val="24"/>
        </w:rPr>
        <w:t>)</w:t>
      </w:r>
      <w:r>
        <w:rPr>
          <w:sz w:val="24"/>
          <w:szCs w:val="24"/>
        </w:rPr>
        <w:t>, t</w:t>
      </w:r>
      <w:r w:rsidRPr="00E10158">
        <w:rPr>
          <w:sz w:val="24"/>
          <w:szCs w:val="24"/>
        </w:rPr>
        <w:t xml:space="preserve">he </w:t>
      </w:r>
      <w:r w:rsidR="008632B1">
        <w:rPr>
          <w:sz w:val="24"/>
          <w:szCs w:val="24"/>
        </w:rPr>
        <w:t xml:space="preserve">Radiocommunication </w:t>
      </w:r>
      <w:r w:rsidR="008632B1" w:rsidRPr="00E10158">
        <w:rPr>
          <w:sz w:val="24"/>
          <w:szCs w:val="24"/>
        </w:rPr>
        <w:t xml:space="preserve">Bureau informed WRC-15 on </w:t>
      </w:r>
      <w:r w:rsidR="008632B1" w:rsidRPr="00E10158">
        <w:rPr>
          <w:rFonts w:eastAsia="SimSun"/>
          <w:sz w:val="24"/>
          <w:szCs w:val="24"/>
        </w:rPr>
        <w:t>the requirement for administrations to use Recommendation ITU</w:t>
      </w:r>
      <w:r w:rsidR="008632B1" w:rsidRPr="00E10158">
        <w:rPr>
          <w:rFonts w:eastAsia="SimSun"/>
          <w:sz w:val="24"/>
          <w:szCs w:val="24"/>
        </w:rPr>
        <w:noBreakHyphen/>
        <w:t>R SF.675 to calculate the maximum power spectral density</w:t>
      </w:r>
      <w:r w:rsidR="008632B1" w:rsidRPr="00E10158">
        <w:rPr>
          <w:sz w:val="24"/>
          <w:szCs w:val="24"/>
        </w:rPr>
        <w:t xml:space="preserve"> and submit the data in accordance with RR Appendix </w:t>
      </w:r>
      <w:r w:rsidR="008632B1" w:rsidRPr="00E10158">
        <w:rPr>
          <w:b/>
          <w:bCs/>
          <w:sz w:val="24"/>
          <w:szCs w:val="24"/>
        </w:rPr>
        <w:t>4</w:t>
      </w:r>
      <w:r w:rsidR="008632B1" w:rsidRPr="00E10158">
        <w:rPr>
          <w:sz w:val="24"/>
          <w:szCs w:val="24"/>
        </w:rPr>
        <w:t>.</w:t>
      </w:r>
    </w:p>
    <w:p w14:paraId="26E6ABC5" w14:textId="77777777" w:rsidR="00E10158" w:rsidRPr="00E10158" w:rsidRDefault="00E10158" w:rsidP="00B71032">
      <w:pPr>
        <w:rPr>
          <w:sz w:val="24"/>
          <w:szCs w:val="24"/>
        </w:rPr>
      </w:pPr>
      <w:r w:rsidRPr="00E10158">
        <w:rPr>
          <w:color w:val="000000"/>
          <w:sz w:val="24"/>
          <w:szCs w:val="24"/>
        </w:rPr>
        <w:t>WRC-15 suggested that this detailed issue be referred to the appropriate ITU-R Study Group for further consideration.</w:t>
      </w:r>
    </w:p>
    <w:p w14:paraId="7A587C61" w14:textId="3DD77F6F" w:rsidR="0053467C" w:rsidRDefault="00E10158" w:rsidP="00B71032">
      <w:pPr>
        <w:rPr>
          <w:rFonts w:eastAsia="SimSun"/>
          <w:sz w:val="24"/>
          <w:szCs w:val="24"/>
        </w:rPr>
      </w:pPr>
      <w:r w:rsidRPr="00E10158">
        <w:rPr>
          <w:rFonts w:eastAsia="SimSun"/>
          <w:sz w:val="24"/>
          <w:szCs w:val="24"/>
        </w:rPr>
        <w:t>During the ITU-R Study Cycle</w:t>
      </w:r>
      <w:r w:rsidR="00B32758">
        <w:rPr>
          <w:rFonts w:eastAsia="SimSun"/>
          <w:sz w:val="24"/>
          <w:szCs w:val="24"/>
        </w:rPr>
        <w:t>s</w:t>
      </w:r>
      <w:r w:rsidRPr="00E10158">
        <w:rPr>
          <w:rFonts w:eastAsia="SimSun"/>
          <w:sz w:val="24"/>
          <w:szCs w:val="24"/>
        </w:rPr>
        <w:t xml:space="preserve"> 2015-2023, the Bureau presented contributions on this matter explaining the problem</w:t>
      </w:r>
      <w:r>
        <w:rPr>
          <w:rFonts w:eastAsia="SimSun"/>
          <w:sz w:val="24"/>
          <w:szCs w:val="24"/>
        </w:rPr>
        <w:t xml:space="preserve"> and providing status reports to </w:t>
      </w:r>
      <w:r w:rsidR="00D80A13">
        <w:rPr>
          <w:rFonts w:eastAsia="SimSun"/>
          <w:sz w:val="24"/>
          <w:szCs w:val="24"/>
        </w:rPr>
        <w:t xml:space="preserve">Working Parties of </w:t>
      </w:r>
      <w:r>
        <w:rPr>
          <w:rFonts w:eastAsia="SimSun"/>
          <w:sz w:val="24"/>
          <w:szCs w:val="24"/>
        </w:rPr>
        <w:t xml:space="preserve">ITU-R Study Groups 4 </w:t>
      </w:r>
      <w:r w:rsidR="00C43032">
        <w:rPr>
          <w:rFonts w:eastAsia="SimSun"/>
          <w:sz w:val="24"/>
          <w:szCs w:val="24"/>
        </w:rPr>
        <w:t xml:space="preserve">        </w:t>
      </w:r>
      <w:r>
        <w:rPr>
          <w:rFonts w:eastAsia="SimSun"/>
          <w:sz w:val="24"/>
          <w:szCs w:val="24"/>
        </w:rPr>
        <w:t>and 7.</w:t>
      </w:r>
    </w:p>
    <w:p w14:paraId="24F65E78" w14:textId="77777777" w:rsidR="0053467C" w:rsidRDefault="0053467C" w:rsidP="00B71032">
      <w:pPr>
        <w:tabs>
          <w:tab w:val="clear" w:pos="794"/>
          <w:tab w:val="clear" w:pos="1191"/>
          <w:tab w:val="clear" w:pos="1588"/>
          <w:tab w:val="clear" w:pos="1985"/>
        </w:tabs>
        <w:overflowPunct/>
        <w:autoSpaceDE/>
        <w:autoSpaceDN/>
        <w:adjustRightInd/>
        <w:spacing w:before="0" w:line="240" w:lineRule="auto"/>
        <w:textAlignment w:val="auto"/>
        <w:rPr>
          <w:rFonts w:eastAsia="SimSun"/>
          <w:sz w:val="24"/>
          <w:szCs w:val="24"/>
        </w:rPr>
      </w:pPr>
      <w:r>
        <w:rPr>
          <w:rFonts w:eastAsia="SimSun"/>
          <w:sz w:val="24"/>
          <w:szCs w:val="24"/>
        </w:rPr>
        <w:br w:type="page"/>
      </w:r>
    </w:p>
    <w:p w14:paraId="2FA890F2" w14:textId="1E037D52" w:rsidR="00E10158" w:rsidRPr="00E10158" w:rsidRDefault="00E10158" w:rsidP="00B71032">
      <w:pPr>
        <w:rPr>
          <w:sz w:val="24"/>
          <w:szCs w:val="24"/>
        </w:rPr>
      </w:pPr>
      <w:r w:rsidRPr="00E10158">
        <w:rPr>
          <w:rFonts w:eastAsia="SimSun"/>
          <w:sz w:val="24"/>
          <w:szCs w:val="24"/>
        </w:rPr>
        <w:lastRenderedPageBreak/>
        <w:t xml:space="preserve">At the same time, the Bureau took additional steps to gradually </w:t>
      </w:r>
      <w:r w:rsidRPr="00E10158">
        <w:rPr>
          <w:sz w:val="24"/>
          <w:szCs w:val="24"/>
        </w:rPr>
        <w:t xml:space="preserve">align </w:t>
      </w:r>
      <w:r>
        <w:rPr>
          <w:sz w:val="24"/>
          <w:szCs w:val="24"/>
        </w:rPr>
        <w:t>power</w:t>
      </w:r>
      <w:r w:rsidR="00B32758">
        <w:rPr>
          <w:sz w:val="24"/>
          <w:szCs w:val="24"/>
        </w:rPr>
        <w:t xml:space="preserve"> </w:t>
      </w:r>
      <w:r>
        <w:rPr>
          <w:sz w:val="24"/>
          <w:szCs w:val="24"/>
        </w:rPr>
        <w:t>flux</w:t>
      </w:r>
      <w:r w:rsidR="00B32758">
        <w:rPr>
          <w:sz w:val="24"/>
          <w:szCs w:val="24"/>
        </w:rPr>
        <w:t>-</w:t>
      </w:r>
      <w:r>
        <w:rPr>
          <w:sz w:val="24"/>
          <w:szCs w:val="24"/>
        </w:rPr>
        <w:t xml:space="preserve">density </w:t>
      </w:r>
      <w:r w:rsidR="00204156">
        <w:rPr>
          <w:sz w:val="24"/>
          <w:szCs w:val="24"/>
        </w:rPr>
        <w:t>(</w:t>
      </w:r>
      <w:proofErr w:type="spellStart"/>
      <w:r w:rsidR="00204156">
        <w:rPr>
          <w:sz w:val="24"/>
          <w:szCs w:val="24"/>
        </w:rPr>
        <w:t>pfd</w:t>
      </w:r>
      <w:proofErr w:type="spellEnd"/>
      <w:r w:rsidR="00204156">
        <w:rPr>
          <w:sz w:val="24"/>
          <w:szCs w:val="24"/>
        </w:rPr>
        <w:t xml:space="preserve">) </w:t>
      </w:r>
      <w:r>
        <w:rPr>
          <w:sz w:val="24"/>
          <w:szCs w:val="24"/>
        </w:rPr>
        <w:t>calculation</w:t>
      </w:r>
      <w:r w:rsidRPr="00E10158">
        <w:rPr>
          <w:sz w:val="24"/>
          <w:szCs w:val="24"/>
        </w:rPr>
        <w:t xml:space="preserve"> method which uses the maximum power definition in accordance with Recommendation ITU-R SF.675. These steps are detailed below.</w:t>
      </w:r>
    </w:p>
    <w:p w14:paraId="70CD698E" w14:textId="7AAC14B2" w:rsidR="00E10158" w:rsidRPr="00E10158" w:rsidRDefault="00E10158" w:rsidP="00B71032">
      <w:pPr>
        <w:pStyle w:val="Heading3"/>
        <w:rPr>
          <w:szCs w:val="24"/>
        </w:rPr>
      </w:pPr>
      <w:bookmarkStart w:id="1" w:name="_Toc143072406"/>
      <w:r w:rsidRPr="00E10158">
        <w:rPr>
          <w:szCs w:val="24"/>
        </w:rPr>
        <w:t xml:space="preserve">Implementation of </w:t>
      </w:r>
      <w:r w:rsidR="00054138">
        <w:rPr>
          <w:szCs w:val="24"/>
        </w:rPr>
        <w:t>s</w:t>
      </w:r>
      <w:r w:rsidR="00054138" w:rsidRPr="00E10158">
        <w:rPr>
          <w:szCs w:val="24"/>
        </w:rPr>
        <w:t xml:space="preserve">pace </w:t>
      </w:r>
      <w:r w:rsidRPr="00E10158">
        <w:rPr>
          <w:szCs w:val="24"/>
        </w:rPr>
        <w:t>validation rules</w:t>
      </w:r>
      <w:bookmarkEnd w:id="1"/>
    </w:p>
    <w:p w14:paraId="13575E08" w14:textId="5216C258" w:rsidR="00E10158" w:rsidRPr="00E10158" w:rsidRDefault="00E10158" w:rsidP="00B71032">
      <w:pPr>
        <w:rPr>
          <w:sz w:val="24"/>
          <w:szCs w:val="24"/>
        </w:rPr>
      </w:pPr>
      <w:r w:rsidRPr="00E10158">
        <w:rPr>
          <w:sz w:val="24"/>
          <w:szCs w:val="24"/>
        </w:rPr>
        <w:t>New validation rules were implemented in the Space Validation software (v. 8.0.5)</w:t>
      </w:r>
      <w:r w:rsidR="00054138">
        <w:rPr>
          <w:sz w:val="24"/>
          <w:szCs w:val="24"/>
        </w:rPr>
        <w:t>,</w:t>
      </w:r>
      <w:r w:rsidRPr="00E10158">
        <w:rPr>
          <w:sz w:val="24"/>
          <w:szCs w:val="24"/>
        </w:rPr>
        <w:t xml:space="preserve"> </w:t>
      </w:r>
      <w:r w:rsidR="00054138">
        <w:rPr>
          <w:sz w:val="24"/>
          <w:szCs w:val="24"/>
        </w:rPr>
        <w:t xml:space="preserve">and subsequently transferred into the BRSIS Validation software, </w:t>
      </w:r>
      <w:r w:rsidRPr="00E10158">
        <w:rPr>
          <w:sz w:val="24"/>
          <w:szCs w:val="24"/>
        </w:rPr>
        <w:t xml:space="preserve">to issue a warning when an inconsistency between the defined peak power and the power spectral density is detected at the time of preparation of the notice forms for submission of a </w:t>
      </w:r>
      <w:r w:rsidR="00054138">
        <w:rPr>
          <w:sz w:val="24"/>
          <w:szCs w:val="24"/>
        </w:rPr>
        <w:t>r</w:t>
      </w:r>
      <w:r w:rsidR="00054138" w:rsidRPr="00E10158">
        <w:rPr>
          <w:sz w:val="24"/>
          <w:szCs w:val="24"/>
        </w:rPr>
        <w:t xml:space="preserve">equest </w:t>
      </w:r>
      <w:r w:rsidRPr="00E10158">
        <w:rPr>
          <w:sz w:val="24"/>
          <w:szCs w:val="24"/>
        </w:rPr>
        <w:t xml:space="preserve">for </w:t>
      </w:r>
      <w:r w:rsidR="00054138">
        <w:rPr>
          <w:sz w:val="24"/>
          <w:szCs w:val="24"/>
        </w:rPr>
        <w:t>c</w:t>
      </w:r>
      <w:r w:rsidR="00054138" w:rsidRPr="00E10158">
        <w:rPr>
          <w:sz w:val="24"/>
          <w:szCs w:val="24"/>
        </w:rPr>
        <w:t xml:space="preserve">oordination </w:t>
      </w:r>
      <w:r w:rsidRPr="00E10158">
        <w:rPr>
          <w:sz w:val="24"/>
          <w:szCs w:val="24"/>
        </w:rPr>
        <w:t xml:space="preserve">or a </w:t>
      </w:r>
      <w:r w:rsidR="00054138">
        <w:rPr>
          <w:sz w:val="24"/>
          <w:szCs w:val="24"/>
        </w:rPr>
        <w:t>n</w:t>
      </w:r>
      <w:r w:rsidR="00054138" w:rsidRPr="00E10158">
        <w:rPr>
          <w:sz w:val="24"/>
          <w:szCs w:val="24"/>
        </w:rPr>
        <w:t>otification</w:t>
      </w:r>
      <w:r w:rsidRPr="00E10158">
        <w:rPr>
          <w:sz w:val="24"/>
          <w:szCs w:val="24"/>
        </w:rPr>
        <w:t>. These new validation rules have been released in BR IFIC 2842 (04.04.2017).</w:t>
      </w:r>
    </w:p>
    <w:p w14:paraId="19BF0CAF" w14:textId="66D021E6" w:rsidR="00E10158" w:rsidRPr="00E10158" w:rsidRDefault="00E10158" w:rsidP="00B71032">
      <w:pPr>
        <w:rPr>
          <w:b/>
          <w:bCs/>
          <w:sz w:val="24"/>
          <w:szCs w:val="24"/>
        </w:rPr>
      </w:pPr>
      <w:r w:rsidRPr="00E10158">
        <w:rPr>
          <w:sz w:val="24"/>
          <w:szCs w:val="24"/>
        </w:rPr>
        <w:t xml:space="preserve">The goal of these validation checks was to help and remind administrations to use the most recent version of Recommendation ITU-R SF.675 in their calculations of maximum power </w:t>
      </w:r>
      <w:r w:rsidR="00054138" w:rsidRPr="00E10158">
        <w:rPr>
          <w:sz w:val="24"/>
          <w:szCs w:val="24"/>
        </w:rPr>
        <w:t>densit</w:t>
      </w:r>
      <w:r w:rsidR="00054138">
        <w:rPr>
          <w:sz w:val="24"/>
          <w:szCs w:val="24"/>
        </w:rPr>
        <w:t>ies</w:t>
      </w:r>
      <w:r w:rsidRPr="00E10158">
        <w:rPr>
          <w:sz w:val="24"/>
          <w:szCs w:val="24"/>
        </w:rPr>
        <w:t>.</w:t>
      </w:r>
    </w:p>
    <w:p w14:paraId="79314761" w14:textId="1D0D52EB" w:rsidR="00E10158" w:rsidRPr="00E10158" w:rsidRDefault="00E10158" w:rsidP="00B71032">
      <w:pPr>
        <w:rPr>
          <w:sz w:val="24"/>
          <w:szCs w:val="24"/>
        </w:rPr>
      </w:pPr>
      <w:r w:rsidRPr="00E10158">
        <w:rPr>
          <w:sz w:val="24"/>
          <w:szCs w:val="24"/>
        </w:rPr>
        <w:t xml:space="preserve">With </w:t>
      </w:r>
      <w:r w:rsidR="008632B1">
        <w:rPr>
          <w:sz w:val="24"/>
          <w:szCs w:val="24"/>
        </w:rPr>
        <w:t xml:space="preserve">the </w:t>
      </w:r>
      <w:r w:rsidRPr="00E10158">
        <w:rPr>
          <w:sz w:val="24"/>
          <w:szCs w:val="24"/>
        </w:rPr>
        <w:t xml:space="preserve">new </w:t>
      </w:r>
      <w:r w:rsidR="00054138">
        <w:rPr>
          <w:sz w:val="24"/>
          <w:szCs w:val="24"/>
        </w:rPr>
        <w:t>s</w:t>
      </w:r>
      <w:r w:rsidR="00054138" w:rsidRPr="00E10158">
        <w:rPr>
          <w:sz w:val="24"/>
          <w:szCs w:val="24"/>
        </w:rPr>
        <w:t xml:space="preserve">pace </w:t>
      </w:r>
      <w:r w:rsidRPr="00E10158">
        <w:rPr>
          <w:sz w:val="24"/>
          <w:szCs w:val="24"/>
        </w:rPr>
        <w:t xml:space="preserve">Validation rules already </w:t>
      </w:r>
      <w:r w:rsidR="00054138">
        <w:rPr>
          <w:sz w:val="24"/>
          <w:szCs w:val="24"/>
        </w:rPr>
        <w:t>implemented</w:t>
      </w:r>
      <w:r w:rsidRPr="00E10158">
        <w:rPr>
          <w:sz w:val="24"/>
          <w:szCs w:val="24"/>
        </w:rPr>
        <w:t xml:space="preserve"> for </w:t>
      </w:r>
      <w:r w:rsidR="00591FE2">
        <w:rPr>
          <w:sz w:val="24"/>
          <w:szCs w:val="24"/>
        </w:rPr>
        <w:t xml:space="preserve">almost </w:t>
      </w:r>
      <w:r w:rsidR="000F1785">
        <w:rPr>
          <w:sz w:val="24"/>
          <w:szCs w:val="24"/>
        </w:rPr>
        <w:t>7</w:t>
      </w:r>
      <w:r w:rsidRPr="00E10158">
        <w:rPr>
          <w:sz w:val="24"/>
          <w:szCs w:val="24"/>
        </w:rPr>
        <w:t xml:space="preserve"> years, </w:t>
      </w:r>
      <w:r w:rsidR="00591FE2" w:rsidRPr="00591FE2">
        <w:rPr>
          <w:sz w:val="24"/>
          <w:szCs w:val="24"/>
        </w:rPr>
        <w:t>administrations would have been accustomed to</w:t>
      </w:r>
      <w:r w:rsidR="00591FE2">
        <w:rPr>
          <w:sz w:val="24"/>
          <w:szCs w:val="24"/>
        </w:rPr>
        <w:t xml:space="preserve"> </w:t>
      </w:r>
      <w:r w:rsidRPr="00E10158">
        <w:rPr>
          <w:sz w:val="24"/>
          <w:szCs w:val="24"/>
        </w:rPr>
        <w:t xml:space="preserve">the requirement to use Recommendation ITU-R SF.675 in the calculation of maximum power </w:t>
      </w:r>
      <w:r w:rsidR="00591FE2" w:rsidRPr="00E10158">
        <w:rPr>
          <w:sz w:val="24"/>
          <w:szCs w:val="24"/>
        </w:rPr>
        <w:t>densit</w:t>
      </w:r>
      <w:r w:rsidR="00591FE2">
        <w:rPr>
          <w:sz w:val="24"/>
          <w:szCs w:val="24"/>
        </w:rPr>
        <w:t>ies</w:t>
      </w:r>
      <w:r w:rsidRPr="00E10158">
        <w:rPr>
          <w:sz w:val="24"/>
          <w:szCs w:val="24"/>
        </w:rPr>
        <w:t>.</w:t>
      </w:r>
    </w:p>
    <w:p w14:paraId="728C4A53" w14:textId="101256B1" w:rsidR="00E10158" w:rsidRPr="00E10158" w:rsidRDefault="00E10158" w:rsidP="00B71032">
      <w:pPr>
        <w:pStyle w:val="Heading3"/>
        <w:rPr>
          <w:szCs w:val="24"/>
        </w:rPr>
      </w:pPr>
      <w:bookmarkStart w:id="2" w:name="_Toc143072407"/>
      <w:r w:rsidRPr="00E10158">
        <w:rPr>
          <w:szCs w:val="24"/>
        </w:rPr>
        <w:t>New version of GIBC software</w:t>
      </w:r>
      <w:bookmarkEnd w:id="2"/>
    </w:p>
    <w:p w14:paraId="0B0C362F" w14:textId="33FCCDA0" w:rsidR="00E10158" w:rsidRDefault="00F70DE4" w:rsidP="00B71032">
      <w:pPr>
        <w:rPr>
          <w:sz w:val="24"/>
          <w:szCs w:val="24"/>
        </w:rPr>
      </w:pPr>
      <w:r>
        <w:rPr>
          <w:sz w:val="24"/>
          <w:szCs w:val="24"/>
        </w:rPr>
        <w:t>A n</w:t>
      </w:r>
      <w:r w:rsidRPr="00E10158">
        <w:rPr>
          <w:sz w:val="24"/>
          <w:szCs w:val="24"/>
        </w:rPr>
        <w:t xml:space="preserve">ew </w:t>
      </w:r>
      <w:r w:rsidR="00E10158" w:rsidRPr="00E10158">
        <w:rPr>
          <w:sz w:val="24"/>
          <w:szCs w:val="24"/>
        </w:rPr>
        <w:t xml:space="preserve">version of GIBC software (v9.1) was released </w:t>
      </w:r>
      <w:r w:rsidR="004442CA">
        <w:rPr>
          <w:sz w:val="24"/>
          <w:szCs w:val="24"/>
        </w:rPr>
        <w:t xml:space="preserve">in BR IFIC </w:t>
      </w:r>
      <w:r w:rsidR="004442CA" w:rsidRPr="004442CA">
        <w:rPr>
          <w:sz w:val="24"/>
          <w:szCs w:val="24"/>
        </w:rPr>
        <w:t>2985/29.11.2022</w:t>
      </w:r>
      <w:r w:rsidR="004442CA">
        <w:rPr>
          <w:sz w:val="24"/>
          <w:szCs w:val="24"/>
        </w:rPr>
        <w:t xml:space="preserve">, </w:t>
      </w:r>
      <w:r w:rsidR="00E10158" w:rsidRPr="00E10158">
        <w:rPr>
          <w:sz w:val="24"/>
          <w:szCs w:val="24"/>
        </w:rPr>
        <w:t xml:space="preserve">implementing </w:t>
      </w:r>
      <w:bookmarkStart w:id="3" w:name="_Hlk149750553"/>
      <w:r w:rsidR="004442CA">
        <w:rPr>
          <w:sz w:val="24"/>
          <w:szCs w:val="24"/>
        </w:rPr>
        <w:t xml:space="preserve">the </w:t>
      </w:r>
      <w:r w:rsidR="00E10158" w:rsidRPr="00E10158">
        <w:rPr>
          <w:sz w:val="24"/>
          <w:szCs w:val="24"/>
        </w:rPr>
        <w:t>new calculation method aligned with Recommendation ITU-R SF.675</w:t>
      </w:r>
      <w:bookmarkEnd w:id="3"/>
      <w:r w:rsidR="00E10158" w:rsidRPr="00E10158">
        <w:rPr>
          <w:sz w:val="24"/>
          <w:szCs w:val="24"/>
        </w:rPr>
        <w:t xml:space="preserve">. </w:t>
      </w:r>
      <w:r>
        <w:rPr>
          <w:sz w:val="24"/>
          <w:szCs w:val="24"/>
        </w:rPr>
        <w:t>An o</w:t>
      </w:r>
      <w:r w:rsidRPr="00E10158">
        <w:rPr>
          <w:sz w:val="24"/>
          <w:szCs w:val="24"/>
        </w:rPr>
        <w:t xml:space="preserve">ption </w:t>
      </w:r>
      <w:r w:rsidR="00E10158" w:rsidRPr="00E10158">
        <w:rPr>
          <w:sz w:val="24"/>
          <w:szCs w:val="24"/>
        </w:rPr>
        <w:t xml:space="preserve">was added to </w:t>
      </w:r>
      <w:r w:rsidR="00D92959">
        <w:rPr>
          <w:sz w:val="24"/>
          <w:szCs w:val="24"/>
        </w:rPr>
        <w:t xml:space="preserve">the </w:t>
      </w:r>
      <w:r w:rsidR="00E10158" w:rsidRPr="00E10158">
        <w:rPr>
          <w:sz w:val="24"/>
          <w:szCs w:val="24"/>
        </w:rPr>
        <w:t xml:space="preserve">GIBC PFD/EIRP GSO, GIBC PFD/EIRP NGSO modules to calculate </w:t>
      </w:r>
      <w:r w:rsidR="00D92959">
        <w:rPr>
          <w:sz w:val="24"/>
          <w:szCs w:val="24"/>
        </w:rPr>
        <w:t xml:space="preserve">the </w:t>
      </w:r>
      <w:r w:rsidR="00E10158" w:rsidRPr="00E10158">
        <w:rPr>
          <w:sz w:val="24"/>
          <w:szCs w:val="24"/>
        </w:rPr>
        <w:t>transmitted power using Recommendation ITU-R SF.675.</w:t>
      </w:r>
    </w:p>
    <w:p w14:paraId="2E37CE7B" w14:textId="7D1AFCA9" w:rsidR="00C6046B" w:rsidRPr="00E10158" w:rsidRDefault="00C6046B" w:rsidP="00B71032">
      <w:pPr>
        <w:rPr>
          <w:sz w:val="24"/>
          <w:szCs w:val="24"/>
        </w:rPr>
      </w:pPr>
      <w:r>
        <w:rPr>
          <w:sz w:val="24"/>
          <w:szCs w:val="24"/>
        </w:rPr>
        <w:t xml:space="preserve">The detailed steps of </w:t>
      </w:r>
      <w:r w:rsidRPr="00E10158">
        <w:rPr>
          <w:sz w:val="24"/>
          <w:szCs w:val="24"/>
        </w:rPr>
        <w:t>the new calculation method aligned with Recommendation ITU-R SF.675</w:t>
      </w:r>
      <w:r>
        <w:rPr>
          <w:sz w:val="24"/>
          <w:szCs w:val="24"/>
        </w:rPr>
        <w:t xml:space="preserve"> are given in Annex </w:t>
      </w:r>
      <w:r w:rsidRPr="00096A12">
        <w:rPr>
          <w:sz w:val="24"/>
          <w:szCs w:val="24"/>
        </w:rPr>
        <w:t>1.</w:t>
      </w:r>
    </w:p>
    <w:p w14:paraId="6E876F6E" w14:textId="3CCFE111" w:rsidR="00E10158" w:rsidRPr="00E10158" w:rsidRDefault="00E10158" w:rsidP="00B71032">
      <w:pPr>
        <w:rPr>
          <w:sz w:val="24"/>
          <w:szCs w:val="24"/>
        </w:rPr>
      </w:pPr>
      <w:r w:rsidRPr="00E10158">
        <w:rPr>
          <w:sz w:val="24"/>
          <w:szCs w:val="24"/>
        </w:rPr>
        <w:t>With this additional option</w:t>
      </w:r>
      <w:r w:rsidR="00204156">
        <w:rPr>
          <w:sz w:val="24"/>
          <w:szCs w:val="24"/>
        </w:rPr>
        <w:t>,</w:t>
      </w:r>
      <w:r w:rsidRPr="00E10158">
        <w:rPr>
          <w:sz w:val="24"/>
          <w:szCs w:val="24"/>
        </w:rPr>
        <w:t xml:space="preserve"> administration</w:t>
      </w:r>
      <w:r w:rsidR="00475B17">
        <w:rPr>
          <w:sz w:val="24"/>
          <w:szCs w:val="24"/>
        </w:rPr>
        <w:t>s</w:t>
      </w:r>
      <w:r w:rsidRPr="00E10158">
        <w:rPr>
          <w:sz w:val="24"/>
          <w:szCs w:val="24"/>
        </w:rPr>
        <w:t xml:space="preserve"> can check </w:t>
      </w:r>
      <w:r w:rsidR="00475B17">
        <w:rPr>
          <w:sz w:val="24"/>
          <w:szCs w:val="24"/>
        </w:rPr>
        <w:t xml:space="preserve">the </w:t>
      </w:r>
      <w:r w:rsidRPr="00E10158">
        <w:rPr>
          <w:sz w:val="24"/>
          <w:szCs w:val="24"/>
        </w:rPr>
        <w:t>compliance with</w:t>
      </w:r>
      <w:r w:rsidR="00531FD9">
        <w:rPr>
          <w:sz w:val="24"/>
          <w:szCs w:val="24"/>
        </w:rPr>
        <w:t xml:space="preserve"> </w:t>
      </w:r>
      <w:proofErr w:type="spellStart"/>
      <w:r w:rsidR="00531FD9">
        <w:rPr>
          <w:sz w:val="24"/>
          <w:szCs w:val="24"/>
        </w:rPr>
        <w:t>pfd</w:t>
      </w:r>
      <w:proofErr w:type="spellEnd"/>
      <w:r w:rsidR="00531FD9">
        <w:rPr>
          <w:sz w:val="24"/>
          <w:szCs w:val="24"/>
        </w:rPr>
        <w:t xml:space="preserve"> and </w:t>
      </w:r>
      <w:r w:rsidR="00A41ADA" w:rsidRPr="007A45DC">
        <w:rPr>
          <w:sz w:val="24"/>
          <w:szCs w:val="24"/>
        </w:rPr>
        <w:t xml:space="preserve">equivalent </w:t>
      </w:r>
      <w:proofErr w:type="spellStart"/>
      <w:r w:rsidR="00A41ADA" w:rsidRPr="007A45DC">
        <w:rPr>
          <w:sz w:val="24"/>
          <w:szCs w:val="24"/>
        </w:rPr>
        <w:t>isotropically</w:t>
      </w:r>
      <w:proofErr w:type="spellEnd"/>
      <w:r w:rsidR="00A41ADA" w:rsidRPr="007A45DC">
        <w:rPr>
          <w:sz w:val="24"/>
          <w:szCs w:val="24"/>
        </w:rPr>
        <w:t xml:space="preserve"> radiated power (</w:t>
      </w:r>
      <w:proofErr w:type="spellStart"/>
      <w:r w:rsidR="00531FD9">
        <w:rPr>
          <w:sz w:val="24"/>
          <w:szCs w:val="24"/>
        </w:rPr>
        <w:t>e.i.r.p</w:t>
      </w:r>
      <w:proofErr w:type="spellEnd"/>
      <w:r w:rsidR="00A41ADA">
        <w:rPr>
          <w:sz w:val="24"/>
          <w:szCs w:val="24"/>
        </w:rPr>
        <w:t>.)</w:t>
      </w:r>
      <w:r w:rsidR="00531FD9">
        <w:rPr>
          <w:sz w:val="24"/>
          <w:szCs w:val="24"/>
        </w:rPr>
        <w:t xml:space="preserve"> limits in Articles </w:t>
      </w:r>
      <w:r w:rsidR="00531FD9" w:rsidRPr="00A41ADA">
        <w:rPr>
          <w:b/>
          <w:bCs/>
          <w:sz w:val="24"/>
          <w:szCs w:val="24"/>
        </w:rPr>
        <w:t>5</w:t>
      </w:r>
      <w:r w:rsidR="00531FD9">
        <w:rPr>
          <w:sz w:val="24"/>
          <w:szCs w:val="24"/>
        </w:rPr>
        <w:t>,</w:t>
      </w:r>
      <w:r w:rsidRPr="00E10158">
        <w:rPr>
          <w:sz w:val="24"/>
          <w:szCs w:val="24"/>
        </w:rPr>
        <w:t xml:space="preserve"> </w:t>
      </w:r>
      <w:r w:rsidRPr="00E10158">
        <w:rPr>
          <w:b/>
          <w:bCs/>
          <w:sz w:val="24"/>
          <w:szCs w:val="24"/>
        </w:rPr>
        <w:t>21</w:t>
      </w:r>
      <w:r w:rsidR="00531FD9">
        <w:rPr>
          <w:sz w:val="24"/>
          <w:szCs w:val="24"/>
        </w:rPr>
        <w:t xml:space="preserve"> and </w:t>
      </w:r>
      <w:r w:rsidR="00531FD9" w:rsidRPr="00A41ADA">
        <w:rPr>
          <w:b/>
          <w:bCs/>
          <w:sz w:val="24"/>
          <w:szCs w:val="24"/>
        </w:rPr>
        <w:t>22</w:t>
      </w:r>
      <w:r w:rsidR="00531FD9">
        <w:rPr>
          <w:sz w:val="24"/>
          <w:szCs w:val="24"/>
        </w:rPr>
        <w:t xml:space="preserve"> of the Radio Regulations</w:t>
      </w:r>
      <w:r w:rsidRPr="00E10158">
        <w:rPr>
          <w:b/>
          <w:bCs/>
          <w:sz w:val="24"/>
          <w:szCs w:val="24"/>
        </w:rPr>
        <w:t xml:space="preserve"> </w:t>
      </w:r>
      <w:r w:rsidRPr="00E10158">
        <w:rPr>
          <w:sz w:val="24"/>
          <w:szCs w:val="24"/>
        </w:rPr>
        <w:t xml:space="preserve">using </w:t>
      </w:r>
      <w:r w:rsidR="00D92959">
        <w:rPr>
          <w:sz w:val="24"/>
          <w:szCs w:val="24"/>
        </w:rPr>
        <w:t xml:space="preserve">a </w:t>
      </w:r>
      <w:r w:rsidRPr="00E10158">
        <w:rPr>
          <w:sz w:val="24"/>
          <w:szCs w:val="24"/>
        </w:rPr>
        <w:t xml:space="preserve">calculation method based on deriving the maximum power </w:t>
      </w:r>
      <w:r w:rsidR="00D92959">
        <w:rPr>
          <w:sz w:val="24"/>
          <w:szCs w:val="24"/>
        </w:rPr>
        <w:t>value</w:t>
      </w:r>
      <w:r w:rsidR="00D92959" w:rsidRPr="00E10158">
        <w:rPr>
          <w:sz w:val="24"/>
          <w:szCs w:val="24"/>
        </w:rPr>
        <w:t xml:space="preserve"> </w:t>
      </w:r>
      <w:r w:rsidRPr="00E10158">
        <w:rPr>
          <w:sz w:val="24"/>
          <w:szCs w:val="24"/>
        </w:rPr>
        <w:t>in accordance with Recommendation ITU-R SF.675.</w:t>
      </w:r>
    </w:p>
    <w:p w14:paraId="5CCABE4E" w14:textId="4328870E" w:rsidR="00E10158" w:rsidRPr="00E10158" w:rsidRDefault="00E10158" w:rsidP="00B71032">
      <w:pPr>
        <w:rPr>
          <w:b/>
          <w:bCs/>
          <w:sz w:val="24"/>
          <w:szCs w:val="24"/>
        </w:rPr>
      </w:pPr>
      <w:bookmarkStart w:id="4" w:name="_Toc143072408"/>
      <w:r w:rsidRPr="00E10158">
        <w:rPr>
          <w:b/>
          <w:bCs/>
          <w:sz w:val="24"/>
          <w:szCs w:val="24"/>
        </w:rPr>
        <w:t xml:space="preserve">Introduction of online examination tool “e-Examination” </w:t>
      </w:r>
      <w:bookmarkEnd w:id="4"/>
    </w:p>
    <w:p w14:paraId="36F816BB" w14:textId="77777777" w:rsidR="0053467C" w:rsidRDefault="00E10158" w:rsidP="00B71032">
      <w:pPr>
        <w:rPr>
          <w:sz w:val="24"/>
          <w:szCs w:val="24"/>
        </w:rPr>
      </w:pPr>
      <w:r w:rsidRPr="00E10158">
        <w:rPr>
          <w:sz w:val="24"/>
          <w:szCs w:val="24"/>
        </w:rPr>
        <w:t xml:space="preserve">The new online examination tool “e-Examination” </w:t>
      </w:r>
      <w:r w:rsidR="00475B17">
        <w:rPr>
          <w:sz w:val="24"/>
          <w:szCs w:val="24"/>
        </w:rPr>
        <w:t>was</w:t>
      </w:r>
      <w:r w:rsidRPr="00E10158">
        <w:rPr>
          <w:sz w:val="24"/>
          <w:szCs w:val="24"/>
        </w:rPr>
        <w:t xml:space="preserve"> introduced</w:t>
      </w:r>
      <w:r>
        <w:rPr>
          <w:sz w:val="24"/>
          <w:szCs w:val="24"/>
        </w:rPr>
        <w:t xml:space="preserve"> </w:t>
      </w:r>
      <w:r w:rsidR="00475B17">
        <w:rPr>
          <w:sz w:val="24"/>
          <w:szCs w:val="24"/>
        </w:rPr>
        <w:t>i</w:t>
      </w:r>
      <w:r w:rsidR="00475B17" w:rsidRPr="00E10158">
        <w:rPr>
          <w:sz w:val="24"/>
          <w:szCs w:val="24"/>
        </w:rPr>
        <w:t xml:space="preserve">n </w:t>
      </w:r>
      <w:r w:rsidR="00DD1F85">
        <w:rPr>
          <w:sz w:val="24"/>
          <w:szCs w:val="24"/>
        </w:rPr>
        <w:t xml:space="preserve">the </w:t>
      </w:r>
      <w:r w:rsidR="00475B17" w:rsidRPr="00E10158">
        <w:rPr>
          <w:sz w:val="24"/>
          <w:szCs w:val="24"/>
        </w:rPr>
        <w:t>e-Submission</w:t>
      </w:r>
      <w:r w:rsidR="00475B17">
        <w:rPr>
          <w:sz w:val="24"/>
          <w:szCs w:val="24"/>
        </w:rPr>
        <w:t xml:space="preserve"> </w:t>
      </w:r>
      <w:r w:rsidR="00DD1F85">
        <w:rPr>
          <w:sz w:val="24"/>
          <w:szCs w:val="24"/>
        </w:rPr>
        <w:t xml:space="preserve">online platform </w:t>
      </w:r>
      <w:r>
        <w:rPr>
          <w:sz w:val="24"/>
          <w:szCs w:val="24"/>
        </w:rPr>
        <w:t>on 1</w:t>
      </w:r>
      <w:r w:rsidRPr="00E10158">
        <w:rPr>
          <w:sz w:val="24"/>
          <w:szCs w:val="24"/>
          <w:vertAlign w:val="superscript"/>
        </w:rPr>
        <w:t>st</w:t>
      </w:r>
      <w:r>
        <w:rPr>
          <w:sz w:val="24"/>
          <w:szCs w:val="24"/>
        </w:rPr>
        <w:t xml:space="preserve"> October 2023</w:t>
      </w:r>
      <w:r w:rsidRPr="00E10158">
        <w:rPr>
          <w:sz w:val="24"/>
          <w:szCs w:val="24"/>
        </w:rPr>
        <w:t xml:space="preserve"> </w:t>
      </w:r>
      <w:proofErr w:type="gramStart"/>
      <w:r w:rsidR="00DD1F85">
        <w:rPr>
          <w:sz w:val="24"/>
          <w:szCs w:val="24"/>
        </w:rPr>
        <w:t xml:space="preserve">in order </w:t>
      </w:r>
      <w:r w:rsidRPr="00E10158">
        <w:rPr>
          <w:sz w:val="24"/>
          <w:szCs w:val="24"/>
        </w:rPr>
        <w:t>to</w:t>
      </w:r>
      <w:proofErr w:type="gramEnd"/>
      <w:r w:rsidRPr="00E10158">
        <w:rPr>
          <w:sz w:val="24"/>
          <w:szCs w:val="24"/>
        </w:rPr>
        <w:t xml:space="preserve"> assist users to verify if their satellite networks or earth stations uploaded in e-Submission are in compliance with </w:t>
      </w:r>
      <w:proofErr w:type="spellStart"/>
      <w:r w:rsidR="007A45DC">
        <w:rPr>
          <w:sz w:val="24"/>
          <w:szCs w:val="24"/>
        </w:rPr>
        <w:t>pfd</w:t>
      </w:r>
      <w:proofErr w:type="spellEnd"/>
      <w:r w:rsidRPr="00E10158">
        <w:rPr>
          <w:sz w:val="24"/>
          <w:szCs w:val="24"/>
        </w:rPr>
        <w:t xml:space="preserve"> and </w:t>
      </w:r>
      <w:proofErr w:type="spellStart"/>
      <w:r w:rsidR="007A45DC" w:rsidRPr="007A45DC">
        <w:rPr>
          <w:sz w:val="24"/>
          <w:szCs w:val="24"/>
        </w:rPr>
        <w:t>e.i.r.p</w:t>
      </w:r>
      <w:proofErr w:type="spellEnd"/>
      <w:r w:rsidR="007A45DC" w:rsidRPr="007A45DC">
        <w:rPr>
          <w:sz w:val="24"/>
          <w:szCs w:val="24"/>
        </w:rPr>
        <w:t>.</w:t>
      </w:r>
      <w:r w:rsidRPr="00E10158">
        <w:rPr>
          <w:sz w:val="24"/>
          <w:szCs w:val="24"/>
        </w:rPr>
        <w:t xml:space="preserve"> limits specified in the Radio Regulations.</w:t>
      </w:r>
    </w:p>
    <w:p w14:paraId="7277C73A" w14:textId="03F3B1C9" w:rsidR="00E10158" w:rsidRPr="00E10158" w:rsidRDefault="00E10158" w:rsidP="00B71032">
      <w:pPr>
        <w:rPr>
          <w:sz w:val="24"/>
          <w:szCs w:val="24"/>
        </w:rPr>
      </w:pPr>
      <w:r>
        <w:rPr>
          <w:sz w:val="24"/>
          <w:szCs w:val="24"/>
        </w:rPr>
        <w:t xml:space="preserve">All </w:t>
      </w:r>
      <w:proofErr w:type="spellStart"/>
      <w:r w:rsidR="007A45DC">
        <w:rPr>
          <w:sz w:val="24"/>
          <w:szCs w:val="24"/>
        </w:rPr>
        <w:t>pfd</w:t>
      </w:r>
      <w:proofErr w:type="spellEnd"/>
      <w:r w:rsidRPr="00E10158">
        <w:rPr>
          <w:sz w:val="24"/>
          <w:szCs w:val="24"/>
        </w:rPr>
        <w:t xml:space="preserve"> and </w:t>
      </w:r>
      <w:proofErr w:type="spellStart"/>
      <w:r w:rsidR="007A45DC" w:rsidRPr="007A45DC">
        <w:rPr>
          <w:sz w:val="24"/>
          <w:szCs w:val="24"/>
        </w:rPr>
        <w:t>e.i.r.p</w:t>
      </w:r>
      <w:proofErr w:type="spellEnd"/>
      <w:r w:rsidR="007A45DC" w:rsidRPr="007A45DC">
        <w:rPr>
          <w:sz w:val="24"/>
          <w:szCs w:val="24"/>
        </w:rPr>
        <w:t>.</w:t>
      </w:r>
      <w:r w:rsidRPr="00E10158">
        <w:rPr>
          <w:sz w:val="24"/>
          <w:szCs w:val="24"/>
        </w:rPr>
        <w:t xml:space="preserve"> limits</w:t>
      </w:r>
      <w:r>
        <w:rPr>
          <w:sz w:val="24"/>
          <w:szCs w:val="24"/>
        </w:rPr>
        <w:t xml:space="preserve"> calculations carried out in e-Examination are using</w:t>
      </w:r>
      <w:r w:rsidR="00FD4A1D">
        <w:rPr>
          <w:sz w:val="24"/>
          <w:szCs w:val="24"/>
        </w:rPr>
        <w:t>, by default,</w:t>
      </w:r>
      <w:r>
        <w:rPr>
          <w:sz w:val="24"/>
          <w:szCs w:val="24"/>
        </w:rPr>
        <w:t xml:space="preserve"> </w:t>
      </w:r>
      <w:r w:rsidRPr="00E10158">
        <w:rPr>
          <w:sz w:val="24"/>
          <w:szCs w:val="24"/>
        </w:rPr>
        <w:t xml:space="preserve">calculation method based on deriving the maximum power </w:t>
      </w:r>
      <w:r w:rsidR="00DD1F85">
        <w:rPr>
          <w:sz w:val="24"/>
          <w:szCs w:val="24"/>
        </w:rPr>
        <w:t>value</w:t>
      </w:r>
      <w:r w:rsidR="00DD1F85" w:rsidRPr="00E10158">
        <w:rPr>
          <w:sz w:val="24"/>
          <w:szCs w:val="24"/>
        </w:rPr>
        <w:t xml:space="preserve"> </w:t>
      </w:r>
      <w:r w:rsidRPr="00E10158">
        <w:rPr>
          <w:sz w:val="24"/>
          <w:szCs w:val="24"/>
        </w:rPr>
        <w:t>in accordance with Recommendation ITU-R SF.675.</w:t>
      </w:r>
    </w:p>
    <w:p w14:paraId="4B4D16F0" w14:textId="7B313027" w:rsidR="00E10158" w:rsidRDefault="00E10158" w:rsidP="00B71032">
      <w:pPr>
        <w:rPr>
          <w:sz w:val="24"/>
          <w:szCs w:val="24"/>
        </w:rPr>
      </w:pPr>
      <w:r>
        <w:rPr>
          <w:sz w:val="24"/>
          <w:szCs w:val="24"/>
        </w:rPr>
        <w:t xml:space="preserve">Although </w:t>
      </w:r>
      <w:r w:rsidRPr="00E10158">
        <w:rPr>
          <w:sz w:val="24"/>
          <w:szCs w:val="24"/>
        </w:rPr>
        <w:t>e-Examination results are only for informational purposes</w:t>
      </w:r>
      <w:r w:rsidR="00C6046B" w:rsidRPr="00C6046B">
        <w:rPr>
          <w:sz w:val="24"/>
          <w:szCs w:val="24"/>
        </w:rPr>
        <w:t xml:space="preserve"> </w:t>
      </w:r>
      <w:r w:rsidR="00C6046B">
        <w:rPr>
          <w:sz w:val="24"/>
          <w:szCs w:val="24"/>
        </w:rPr>
        <w:t>and d</w:t>
      </w:r>
      <w:r w:rsidR="00C6046B" w:rsidRPr="00E10158">
        <w:rPr>
          <w:sz w:val="24"/>
          <w:szCs w:val="24"/>
        </w:rPr>
        <w:t xml:space="preserve">efinitive regulatory findings will be established by the Bureau during its examination under No. </w:t>
      </w:r>
      <w:r w:rsidR="00C6046B" w:rsidRPr="00C6046B">
        <w:rPr>
          <w:b/>
          <w:bCs/>
          <w:sz w:val="24"/>
          <w:szCs w:val="24"/>
        </w:rPr>
        <w:t>9.35</w:t>
      </w:r>
      <w:r w:rsidR="00C6046B" w:rsidRPr="00E10158">
        <w:rPr>
          <w:sz w:val="24"/>
          <w:szCs w:val="24"/>
        </w:rPr>
        <w:t>/</w:t>
      </w:r>
      <w:r w:rsidR="00C6046B" w:rsidRPr="00C6046B">
        <w:rPr>
          <w:b/>
          <w:bCs/>
          <w:sz w:val="24"/>
          <w:szCs w:val="24"/>
        </w:rPr>
        <w:t>11.31</w:t>
      </w:r>
      <w:r w:rsidR="00E361B1">
        <w:rPr>
          <w:b/>
          <w:bCs/>
          <w:sz w:val="24"/>
          <w:szCs w:val="24"/>
        </w:rPr>
        <w:t xml:space="preserve"> </w:t>
      </w:r>
      <w:r w:rsidR="00E361B1" w:rsidRPr="00A41ADA">
        <w:rPr>
          <w:sz w:val="24"/>
          <w:szCs w:val="24"/>
        </w:rPr>
        <w:t>of</w:t>
      </w:r>
      <w:r w:rsidR="00E361B1">
        <w:rPr>
          <w:b/>
          <w:bCs/>
          <w:sz w:val="24"/>
          <w:szCs w:val="24"/>
        </w:rPr>
        <w:t xml:space="preserve"> </w:t>
      </w:r>
      <w:r w:rsidR="00E361B1" w:rsidRPr="00E10158">
        <w:rPr>
          <w:sz w:val="24"/>
          <w:szCs w:val="24"/>
        </w:rPr>
        <w:t>the Radio Regulations</w:t>
      </w:r>
      <w:r>
        <w:rPr>
          <w:sz w:val="24"/>
          <w:szCs w:val="24"/>
        </w:rPr>
        <w:t xml:space="preserve">, </w:t>
      </w:r>
      <w:r w:rsidR="00C6046B">
        <w:rPr>
          <w:sz w:val="24"/>
          <w:szCs w:val="24"/>
        </w:rPr>
        <w:t>additional information provided by</w:t>
      </w:r>
      <w:r w:rsidR="00796464">
        <w:rPr>
          <w:sz w:val="24"/>
          <w:szCs w:val="24"/>
        </w:rPr>
        <w:t xml:space="preserve"> the</w:t>
      </w:r>
      <w:r w:rsidR="00C6046B">
        <w:rPr>
          <w:sz w:val="24"/>
          <w:szCs w:val="24"/>
        </w:rPr>
        <w:t xml:space="preserve"> e-Examination tool can help </w:t>
      </w:r>
      <w:r>
        <w:rPr>
          <w:sz w:val="24"/>
          <w:szCs w:val="24"/>
        </w:rPr>
        <w:t xml:space="preserve">administrations </w:t>
      </w:r>
      <w:r w:rsidR="00C6046B">
        <w:rPr>
          <w:sz w:val="24"/>
          <w:szCs w:val="24"/>
        </w:rPr>
        <w:t xml:space="preserve">to review </w:t>
      </w:r>
      <w:r w:rsidR="00796464">
        <w:rPr>
          <w:sz w:val="24"/>
          <w:szCs w:val="24"/>
        </w:rPr>
        <w:t xml:space="preserve">the </w:t>
      </w:r>
      <w:r w:rsidR="00C6046B">
        <w:rPr>
          <w:sz w:val="24"/>
          <w:szCs w:val="24"/>
        </w:rPr>
        <w:t>characteristics of their frequency assignments to minimize the risk of receiving unfavorable findings during the Bureau examinations</w:t>
      </w:r>
      <w:r w:rsidRPr="00E10158">
        <w:rPr>
          <w:sz w:val="24"/>
          <w:szCs w:val="24"/>
        </w:rPr>
        <w:t>.</w:t>
      </w:r>
    </w:p>
    <w:p w14:paraId="6D76718F" w14:textId="2663EA24" w:rsidR="00C6046B" w:rsidRDefault="00C6046B" w:rsidP="00B71032">
      <w:pPr>
        <w:rPr>
          <w:sz w:val="24"/>
          <w:szCs w:val="24"/>
        </w:rPr>
      </w:pPr>
      <w:r>
        <w:rPr>
          <w:sz w:val="24"/>
          <w:szCs w:val="24"/>
        </w:rPr>
        <w:t xml:space="preserve">Detailed information and guidelines on </w:t>
      </w:r>
      <w:r w:rsidR="00796464">
        <w:rPr>
          <w:sz w:val="24"/>
          <w:szCs w:val="24"/>
        </w:rPr>
        <w:t xml:space="preserve">the </w:t>
      </w:r>
      <w:r>
        <w:rPr>
          <w:sz w:val="24"/>
          <w:szCs w:val="24"/>
        </w:rPr>
        <w:t>e-Examination tool can be found here:</w:t>
      </w:r>
    </w:p>
    <w:p w14:paraId="2110CBDB" w14:textId="4E9F2D8D" w:rsidR="0053467C" w:rsidRDefault="00C43032" w:rsidP="00B71032">
      <w:pPr>
        <w:spacing w:before="240" w:after="240"/>
        <w:rPr>
          <w:rStyle w:val="Hyperlink"/>
          <w:sz w:val="24"/>
          <w:szCs w:val="24"/>
        </w:rPr>
      </w:pPr>
      <w:hyperlink r:id="rId9" w:history="1">
        <w:r w:rsidR="00C6046B" w:rsidRPr="00084E7C">
          <w:rPr>
            <w:rStyle w:val="Hyperlink"/>
            <w:sz w:val="24"/>
            <w:szCs w:val="24"/>
          </w:rPr>
          <w:t>https://www.itu.int/en/ITU-R/space/support/Pages/e-Examination-guide.aspx</w:t>
        </w:r>
      </w:hyperlink>
    </w:p>
    <w:p w14:paraId="4BA35FFA" w14:textId="77777777" w:rsidR="0053467C" w:rsidRDefault="0053467C" w:rsidP="00B71032">
      <w:pPr>
        <w:tabs>
          <w:tab w:val="clear" w:pos="794"/>
          <w:tab w:val="clear" w:pos="1191"/>
          <w:tab w:val="clear" w:pos="1588"/>
          <w:tab w:val="clear" w:pos="1985"/>
        </w:tabs>
        <w:overflowPunct/>
        <w:autoSpaceDE/>
        <w:autoSpaceDN/>
        <w:adjustRightInd/>
        <w:spacing w:before="0" w:line="240" w:lineRule="auto"/>
        <w:textAlignment w:val="auto"/>
        <w:rPr>
          <w:rStyle w:val="Hyperlink"/>
          <w:sz w:val="24"/>
          <w:szCs w:val="24"/>
        </w:rPr>
      </w:pPr>
      <w:r>
        <w:rPr>
          <w:rStyle w:val="Hyperlink"/>
          <w:sz w:val="24"/>
          <w:szCs w:val="24"/>
        </w:rPr>
        <w:br w:type="page"/>
      </w:r>
    </w:p>
    <w:p w14:paraId="3736A2DC" w14:textId="53CD220D" w:rsidR="00C6046B" w:rsidRPr="00C6046B" w:rsidRDefault="00C6046B" w:rsidP="00B71032">
      <w:pPr>
        <w:rPr>
          <w:b/>
          <w:bCs/>
          <w:sz w:val="24"/>
          <w:szCs w:val="24"/>
        </w:rPr>
      </w:pPr>
      <w:r w:rsidRPr="00C6046B">
        <w:rPr>
          <w:b/>
          <w:bCs/>
          <w:sz w:val="24"/>
          <w:szCs w:val="24"/>
        </w:rPr>
        <w:lastRenderedPageBreak/>
        <w:t xml:space="preserve">Effective date of application of </w:t>
      </w:r>
      <w:r w:rsidR="00796464">
        <w:rPr>
          <w:b/>
          <w:bCs/>
          <w:sz w:val="24"/>
          <w:szCs w:val="24"/>
        </w:rPr>
        <w:t xml:space="preserve">the </w:t>
      </w:r>
      <w:r w:rsidRPr="00C6046B">
        <w:rPr>
          <w:b/>
          <w:bCs/>
          <w:sz w:val="24"/>
          <w:szCs w:val="24"/>
        </w:rPr>
        <w:t xml:space="preserve">calculation method </w:t>
      </w:r>
      <w:r w:rsidR="00796464" w:rsidRPr="00796464">
        <w:rPr>
          <w:b/>
          <w:bCs/>
          <w:sz w:val="24"/>
          <w:szCs w:val="24"/>
        </w:rPr>
        <w:t>aligned with Recommendation</w:t>
      </w:r>
      <w:r w:rsidR="0053467C">
        <w:rPr>
          <w:b/>
          <w:bCs/>
          <w:sz w:val="24"/>
          <w:szCs w:val="24"/>
        </w:rPr>
        <w:br/>
      </w:r>
      <w:r w:rsidR="00796464" w:rsidRPr="00796464">
        <w:rPr>
          <w:b/>
          <w:bCs/>
          <w:sz w:val="24"/>
          <w:szCs w:val="24"/>
        </w:rPr>
        <w:t xml:space="preserve">ITU-R SF.675 </w:t>
      </w:r>
    </w:p>
    <w:p w14:paraId="52357928" w14:textId="497EE086" w:rsidR="00C6046B" w:rsidRDefault="00E10158" w:rsidP="00B71032">
      <w:pPr>
        <w:rPr>
          <w:sz w:val="24"/>
          <w:szCs w:val="24"/>
        </w:rPr>
      </w:pPr>
      <w:r w:rsidRPr="00E10158">
        <w:rPr>
          <w:sz w:val="24"/>
          <w:szCs w:val="24"/>
        </w:rPr>
        <w:t xml:space="preserve">With </w:t>
      </w:r>
      <w:r w:rsidR="00796464">
        <w:rPr>
          <w:sz w:val="24"/>
          <w:szCs w:val="24"/>
        </w:rPr>
        <w:t xml:space="preserve">the above </w:t>
      </w:r>
      <w:r w:rsidRPr="00E10158">
        <w:rPr>
          <w:sz w:val="24"/>
          <w:szCs w:val="24"/>
        </w:rPr>
        <w:t xml:space="preserve">measures </w:t>
      </w:r>
      <w:r w:rsidR="00C6046B">
        <w:rPr>
          <w:sz w:val="24"/>
          <w:szCs w:val="24"/>
        </w:rPr>
        <w:t xml:space="preserve">taken to gradually implement </w:t>
      </w:r>
      <w:r w:rsidR="00FD4A1D">
        <w:rPr>
          <w:sz w:val="24"/>
          <w:szCs w:val="24"/>
        </w:rPr>
        <w:t xml:space="preserve">the </w:t>
      </w:r>
      <w:r w:rsidR="00C6046B" w:rsidRPr="00E10158">
        <w:rPr>
          <w:sz w:val="24"/>
          <w:szCs w:val="24"/>
        </w:rPr>
        <w:t>new calculation method aligned with Recommendation ITU-R SF.675</w:t>
      </w:r>
      <w:r w:rsidR="00796464">
        <w:rPr>
          <w:sz w:val="24"/>
          <w:szCs w:val="24"/>
        </w:rPr>
        <w:t>,</w:t>
      </w:r>
      <w:r w:rsidR="00C6046B">
        <w:rPr>
          <w:sz w:val="24"/>
          <w:szCs w:val="24"/>
        </w:rPr>
        <w:t xml:space="preserve"> </w:t>
      </w:r>
      <w:r w:rsidRPr="00E10158">
        <w:rPr>
          <w:sz w:val="24"/>
          <w:szCs w:val="24"/>
        </w:rPr>
        <w:t xml:space="preserve">the Bureau will </w:t>
      </w:r>
      <w:r w:rsidR="00C6046B">
        <w:rPr>
          <w:sz w:val="24"/>
          <w:szCs w:val="24"/>
        </w:rPr>
        <w:t xml:space="preserve">start applying this new method for all the frequency assignments received </w:t>
      </w:r>
      <w:r w:rsidR="00FD4A1D">
        <w:rPr>
          <w:sz w:val="24"/>
          <w:szCs w:val="24"/>
        </w:rPr>
        <w:t xml:space="preserve">from </w:t>
      </w:r>
      <w:r w:rsidR="00A41ADA">
        <w:rPr>
          <w:sz w:val="24"/>
          <w:szCs w:val="24"/>
        </w:rPr>
        <w:t>1</w:t>
      </w:r>
      <w:r w:rsidR="00A41ADA" w:rsidRPr="00A41ADA">
        <w:rPr>
          <w:sz w:val="24"/>
          <w:szCs w:val="24"/>
          <w:vertAlign w:val="superscript"/>
        </w:rPr>
        <w:t>st</w:t>
      </w:r>
      <w:r w:rsidR="00A41ADA">
        <w:rPr>
          <w:sz w:val="24"/>
          <w:szCs w:val="24"/>
        </w:rPr>
        <w:t xml:space="preserve"> May 2024</w:t>
      </w:r>
      <w:r w:rsidR="00C6046B">
        <w:rPr>
          <w:sz w:val="24"/>
          <w:szCs w:val="24"/>
        </w:rPr>
        <w:t>.</w:t>
      </w:r>
    </w:p>
    <w:p w14:paraId="7B148B3C" w14:textId="190F01CB" w:rsidR="002D631B" w:rsidRDefault="002D631B" w:rsidP="00B71032">
      <w:pPr>
        <w:tabs>
          <w:tab w:val="clear" w:pos="794"/>
          <w:tab w:val="clear" w:pos="1191"/>
          <w:tab w:val="clear" w:pos="1588"/>
          <w:tab w:val="clear" w:pos="1985"/>
        </w:tabs>
        <w:overflowPunct/>
        <w:spacing w:before="120" w:after="240" w:line="240" w:lineRule="auto"/>
        <w:textAlignment w:val="auto"/>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The same method will apply to frequency assignments subject to coordination that are received for notification on or after 1</w:t>
      </w:r>
      <w:r w:rsidRPr="00A41ADA">
        <w:rPr>
          <w:rFonts w:asciiTheme="minorHAnsi" w:eastAsia="SimSun" w:hAnsiTheme="minorHAnsi" w:cstheme="minorHAnsi"/>
          <w:sz w:val="24"/>
          <w:szCs w:val="24"/>
          <w:vertAlign w:val="superscript"/>
          <w:lang w:eastAsia="zh-CN"/>
        </w:rPr>
        <w:t>st</w:t>
      </w:r>
      <w:r>
        <w:rPr>
          <w:rFonts w:asciiTheme="minorHAnsi" w:eastAsia="SimSun" w:hAnsiTheme="minorHAnsi" w:cstheme="minorHAnsi"/>
          <w:sz w:val="24"/>
          <w:szCs w:val="24"/>
          <w:lang w:eastAsia="zh-CN"/>
        </w:rPr>
        <w:t xml:space="preserve"> May 2024, even if the corresponding frequency assignments were submitted for coordination before </w:t>
      </w:r>
      <w:r>
        <w:rPr>
          <w:sz w:val="24"/>
          <w:szCs w:val="24"/>
        </w:rPr>
        <w:t>this date</w:t>
      </w:r>
      <w:r>
        <w:rPr>
          <w:rFonts w:asciiTheme="minorHAnsi" w:eastAsia="SimSun" w:hAnsiTheme="minorHAnsi" w:cstheme="minorHAnsi"/>
          <w:sz w:val="24"/>
          <w:szCs w:val="24"/>
          <w:lang w:eastAsia="zh-CN"/>
        </w:rPr>
        <w:t>.</w:t>
      </w:r>
    </w:p>
    <w:p w14:paraId="410312FE" w14:textId="2ACC3A23" w:rsidR="00280E84" w:rsidRDefault="00280E84" w:rsidP="00B71032">
      <w:pPr>
        <w:tabs>
          <w:tab w:val="clear" w:pos="794"/>
          <w:tab w:val="clear" w:pos="1191"/>
          <w:tab w:val="clear" w:pos="1588"/>
          <w:tab w:val="clear" w:pos="1985"/>
        </w:tabs>
        <w:overflowPunct/>
        <w:spacing w:before="120" w:after="240" w:line="240" w:lineRule="auto"/>
        <w:textAlignment w:val="auto"/>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 xml:space="preserve">The regulatory examination of all frequency assignments received prior to </w:t>
      </w:r>
      <w:r w:rsidR="00A41ADA">
        <w:rPr>
          <w:rFonts w:asciiTheme="minorHAnsi" w:eastAsia="SimSun" w:hAnsiTheme="minorHAnsi" w:cstheme="minorHAnsi"/>
          <w:sz w:val="24"/>
          <w:szCs w:val="24"/>
          <w:lang w:eastAsia="zh-CN"/>
        </w:rPr>
        <w:t>1</w:t>
      </w:r>
      <w:r w:rsidR="00A41ADA" w:rsidRPr="00A41ADA">
        <w:rPr>
          <w:rFonts w:asciiTheme="minorHAnsi" w:eastAsia="SimSun" w:hAnsiTheme="minorHAnsi" w:cstheme="minorHAnsi"/>
          <w:sz w:val="24"/>
          <w:szCs w:val="24"/>
          <w:vertAlign w:val="superscript"/>
          <w:lang w:eastAsia="zh-CN"/>
        </w:rPr>
        <w:t>st</w:t>
      </w:r>
      <w:r w:rsidR="00A41ADA">
        <w:rPr>
          <w:rFonts w:asciiTheme="minorHAnsi" w:eastAsia="SimSun" w:hAnsiTheme="minorHAnsi" w:cstheme="minorHAnsi"/>
          <w:sz w:val="24"/>
          <w:szCs w:val="24"/>
          <w:lang w:eastAsia="zh-CN"/>
        </w:rPr>
        <w:t xml:space="preserve"> May 2024 </w:t>
      </w:r>
      <w:r>
        <w:rPr>
          <w:rFonts w:asciiTheme="minorHAnsi" w:eastAsia="SimSun" w:hAnsiTheme="minorHAnsi" w:cstheme="minorHAnsi"/>
          <w:sz w:val="24"/>
          <w:szCs w:val="24"/>
          <w:lang w:eastAsia="zh-CN"/>
        </w:rPr>
        <w:t xml:space="preserve">will be carried out using </w:t>
      </w:r>
      <w:r w:rsidR="00796464">
        <w:rPr>
          <w:rFonts w:asciiTheme="minorHAnsi" w:eastAsia="SimSun" w:hAnsiTheme="minorHAnsi" w:cstheme="minorHAnsi"/>
          <w:sz w:val="24"/>
          <w:szCs w:val="24"/>
          <w:lang w:eastAsia="zh-CN"/>
        </w:rPr>
        <w:t xml:space="preserve">the </w:t>
      </w:r>
      <w:r>
        <w:rPr>
          <w:rFonts w:asciiTheme="minorHAnsi" w:eastAsia="SimSun" w:hAnsiTheme="minorHAnsi" w:cstheme="minorHAnsi"/>
          <w:sz w:val="24"/>
          <w:szCs w:val="24"/>
          <w:lang w:eastAsia="zh-CN"/>
        </w:rPr>
        <w:t>legacy method in Annex 1.</w:t>
      </w:r>
    </w:p>
    <w:p w14:paraId="1DD793E7" w14:textId="77777777" w:rsidR="0083025F" w:rsidRDefault="0083025F" w:rsidP="00B71032">
      <w:pPr>
        <w:tabs>
          <w:tab w:val="clear" w:pos="794"/>
          <w:tab w:val="clear" w:pos="1191"/>
          <w:tab w:val="clear" w:pos="1588"/>
          <w:tab w:val="clear" w:pos="1985"/>
          <w:tab w:val="left" w:pos="851"/>
        </w:tabs>
        <w:spacing w:before="240" w:after="240"/>
        <w:rPr>
          <w:rFonts w:asciiTheme="minorHAnsi" w:hAnsiTheme="minorHAnsi" w:cstheme="majorBidi"/>
          <w:b/>
          <w:bCs/>
          <w:sz w:val="24"/>
          <w:szCs w:val="24"/>
        </w:rPr>
      </w:pPr>
      <w:r w:rsidRPr="00B24AFE">
        <w:rPr>
          <w:rFonts w:asciiTheme="minorHAnsi" w:hAnsiTheme="minorHAnsi" w:cstheme="majorBidi"/>
          <w:b/>
          <w:bCs/>
          <w:sz w:val="24"/>
          <w:szCs w:val="24"/>
        </w:rPr>
        <w:t>Support and Contacts</w:t>
      </w:r>
    </w:p>
    <w:p w14:paraId="08714BA9" w14:textId="77777777" w:rsidR="00614623" w:rsidRDefault="00614623" w:rsidP="00B71032">
      <w:pPr>
        <w:tabs>
          <w:tab w:val="clear" w:pos="794"/>
          <w:tab w:val="clear" w:pos="1191"/>
          <w:tab w:val="clear" w:pos="1588"/>
          <w:tab w:val="clear" w:pos="1985"/>
          <w:tab w:val="left" w:pos="900"/>
        </w:tabs>
        <w:spacing w:before="240"/>
        <w:rPr>
          <w:sz w:val="24"/>
          <w:szCs w:val="24"/>
          <w:lang w:val="en-GB"/>
        </w:rPr>
      </w:pPr>
      <w:r w:rsidRPr="00B24AFE">
        <w:rPr>
          <w:sz w:val="24"/>
          <w:szCs w:val="24"/>
          <w:lang w:val="en-GB"/>
        </w:rPr>
        <w:t xml:space="preserve">The Bureau remains at your disposal, via the </w:t>
      </w:r>
      <w:hyperlink r:id="rId10" w:history="1">
        <w:r w:rsidRPr="00B24AFE">
          <w:rPr>
            <w:rStyle w:val="Hyperlink"/>
            <w:sz w:val="24"/>
            <w:szCs w:val="24"/>
            <w:lang w:val="en-GB"/>
          </w:rPr>
          <w:t>brmail@itu.int</w:t>
        </w:r>
      </w:hyperlink>
      <w:r w:rsidRPr="00B24AFE">
        <w:rPr>
          <w:sz w:val="24"/>
          <w:szCs w:val="24"/>
          <w:lang w:val="en-GB"/>
        </w:rPr>
        <w:t xml:space="preserve"> address, for any clarification </w:t>
      </w:r>
      <w:r>
        <w:rPr>
          <w:sz w:val="24"/>
          <w:szCs w:val="24"/>
          <w:lang w:val="en-GB"/>
        </w:rPr>
        <w:t>or assistance you</w:t>
      </w:r>
      <w:r w:rsidRPr="00B24AFE">
        <w:rPr>
          <w:sz w:val="24"/>
          <w:szCs w:val="24"/>
          <w:lang w:val="en-GB"/>
        </w:rPr>
        <w:t xml:space="preserve"> may require </w:t>
      </w:r>
      <w:r>
        <w:rPr>
          <w:sz w:val="24"/>
          <w:szCs w:val="24"/>
          <w:lang w:val="en-GB"/>
        </w:rPr>
        <w:t>on matters related to</w:t>
      </w:r>
      <w:r w:rsidRPr="00B24AFE">
        <w:rPr>
          <w:sz w:val="24"/>
          <w:szCs w:val="24"/>
          <w:lang w:val="en-GB"/>
        </w:rPr>
        <w:t xml:space="preserve"> this circular letter. </w:t>
      </w:r>
    </w:p>
    <w:p w14:paraId="78154CF7" w14:textId="3F012A97" w:rsidR="003E707D" w:rsidRPr="00C43032" w:rsidRDefault="00614623" w:rsidP="00C43032">
      <w:pPr>
        <w:tabs>
          <w:tab w:val="clear" w:pos="794"/>
          <w:tab w:val="clear" w:pos="1191"/>
          <w:tab w:val="clear" w:pos="1588"/>
          <w:tab w:val="clear" w:pos="1985"/>
          <w:tab w:val="left" w:pos="851"/>
        </w:tabs>
        <w:spacing w:before="240" w:after="240"/>
        <w:jc w:val="left"/>
        <w:rPr>
          <w:rFonts w:asciiTheme="minorHAnsi" w:hAnsiTheme="minorHAnsi" w:cstheme="majorBidi"/>
          <w:sz w:val="24"/>
          <w:szCs w:val="24"/>
        </w:rPr>
      </w:pPr>
      <w:r w:rsidRPr="00614623">
        <w:rPr>
          <w:rFonts w:asciiTheme="minorHAnsi" w:hAnsiTheme="minorHAnsi" w:cstheme="majorBidi"/>
          <w:sz w:val="24"/>
          <w:szCs w:val="24"/>
          <w:lang w:val="en-GB"/>
        </w:rPr>
        <w:t xml:space="preserve">For any questions related to GIBC software, please address them the </w:t>
      </w:r>
      <w:hyperlink r:id="rId11" w:history="1">
        <w:r w:rsidR="0083025F" w:rsidRPr="00614623">
          <w:rPr>
            <w:rStyle w:val="Hyperlink"/>
            <w:sz w:val="24"/>
            <w:szCs w:val="24"/>
          </w:rPr>
          <w:t>brsas@itu.int</w:t>
        </w:r>
      </w:hyperlink>
      <w:r w:rsidRPr="00614623">
        <w:rPr>
          <w:rStyle w:val="Hyperlink"/>
          <w:sz w:val="24"/>
          <w:szCs w:val="24"/>
        </w:rPr>
        <w:t>.</w:t>
      </w:r>
    </w:p>
    <w:p w14:paraId="7092B070" w14:textId="22823418" w:rsidR="00066E5D" w:rsidRPr="00066E5D" w:rsidRDefault="00066E5D" w:rsidP="00C43032">
      <w:pPr>
        <w:tabs>
          <w:tab w:val="clear" w:pos="794"/>
          <w:tab w:val="clear" w:pos="1191"/>
          <w:tab w:val="clear" w:pos="1588"/>
          <w:tab w:val="clear" w:pos="1985"/>
          <w:tab w:val="left" w:pos="0"/>
        </w:tabs>
        <w:spacing w:before="120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Mario Maniewicz</w:t>
      </w:r>
    </w:p>
    <w:p w14:paraId="4687B2AC" w14:textId="77777777" w:rsidR="00066E5D" w:rsidRPr="00066E5D" w:rsidRDefault="00066E5D" w:rsidP="003E707D">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Director</w:t>
      </w:r>
    </w:p>
    <w:p w14:paraId="5EDE4AC5" w14:textId="77777777" w:rsidR="00066E5D" w:rsidRDefault="00066E5D" w:rsidP="003E707D">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7938F683" w14:textId="4471E5FE" w:rsidR="002A6CEE" w:rsidRDefault="002A6CEE" w:rsidP="003E707D">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478B3574" w14:textId="7684B36D" w:rsidR="0071608A" w:rsidRDefault="0071608A" w:rsidP="00B71032">
      <w:pPr>
        <w:tabs>
          <w:tab w:val="clear" w:pos="794"/>
          <w:tab w:val="clear" w:pos="1191"/>
          <w:tab w:val="clear" w:pos="1588"/>
          <w:tab w:val="clear" w:pos="1985"/>
          <w:tab w:val="left" w:pos="0"/>
        </w:tabs>
        <w:spacing w:before="1800" w:line="240" w:lineRule="auto"/>
        <w:jc w:val="lowKashida"/>
        <w:rPr>
          <w:rFonts w:asciiTheme="minorHAnsi" w:eastAsiaTheme="majorEastAsia" w:hAnsiTheme="minorHAnsi" w:cstheme="minorHAnsi"/>
          <w:sz w:val="24"/>
          <w:szCs w:val="24"/>
        </w:rPr>
      </w:pPr>
      <w:r>
        <w:rPr>
          <w:rFonts w:asciiTheme="minorHAnsi" w:eastAsiaTheme="majorEastAsia" w:hAnsiTheme="minorHAnsi" w:cstheme="minorHAnsi"/>
          <w:sz w:val="24"/>
          <w:szCs w:val="24"/>
        </w:rPr>
        <w:t>Attachment: Annex 1</w:t>
      </w:r>
    </w:p>
    <w:p w14:paraId="60912274" w14:textId="0E4F1F0A" w:rsidR="00037B95" w:rsidRDefault="00037B95" w:rsidP="003E707D">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C668E8A" w14:textId="5576F7AF" w:rsidR="00037B95" w:rsidRDefault="00037B95" w:rsidP="003E707D">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5008CD37" w14:textId="7CB58C3F" w:rsidR="00037B95" w:rsidRDefault="00037B95" w:rsidP="003E707D">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5BD241D9" w14:textId="2C351081" w:rsidR="00037B95" w:rsidRDefault="00037B95" w:rsidP="003E707D">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AC6E335" w14:textId="0B072087" w:rsidR="00037B95" w:rsidRDefault="00037B95" w:rsidP="003E707D">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2B779E55" w14:textId="2701DAB4" w:rsidR="00037B95" w:rsidRDefault="00037B95" w:rsidP="003E707D">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D2FEB3C" w14:textId="77777777" w:rsidR="00037B95" w:rsidRDefault="00037B95" w:rsidP="003E707D">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788512DC" w14:textId="77777777" w:rsidR="0070656B" w:rsidRPr="00066E5D" w:rsidRDefault="0070656B" w:rsidP="003E707D">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72A59282" w14:textId="77777777" w:rsidR="003E707D" w:rsidRPr="00023A87" w:rsidRDefault="003E707D" w:rsidP="003E707D">
      <w:pPr>
        <w:pStyle w:val="toc0"/>
        <w:spacing w:before="0" w:after="120"/>
        <w:jc w:val="lowKashida"/>
        <w:rPr>
          <w:rFonts w:asciiTheme="minorHAnsi" w:eastAsiaTheme="majorEastAsia" w:hAnsiTheme="minorHAnsi" w:cstheme="minorHAnsi"/>
          <w:bCs/>
          <w:sz w:val="18"/>
          <w:szCs w:val="18"/>
          <w:u w:val="single"/>
        </w:rPr>
      </w:pPr>
      <w:r>
        <w:rPr>
          <w:rFonts w:asciiTheme="minorHAnsi" w:eastAsiaTheme="majorEastAsia" w:hAnsiTheme="minorHAnsi" w:cstheme="minorHAnsi"/>
          <w:bCs/>
          <w:sz w:val="18"/>
          <w:szCs w:val="18"/>
          <w:u w:val="single"/>
        </w:rPr>
        <w:t>D</w:t>
      </w:r>
      <w:r w:rsidRPr="00023A87">
        <w:rPr>
          <w:rFonts w:asciiTheme="minorHAnsi" w:eastAsiaTheme="majorEastAsia" w:hAnsiTheme="minorHAnsi" w:cstheme="minorHAnsi"/>
          <w:bCs/>
          <w:sz w:val="18"/>
          <w:szCs w:val="18"/>
          <w:u w:val="single"/>
        </w:rPr>
        <w:t>istribution:</w:t>
      </w:r>
    </w:p>
    <w:p w14:paraId="54F267E8" w14:textId="77777777" w:rsidR="003E707D" w:rsidRPr="00023A87" w:rsidRDefault="003E707D" w:rsidP="003E707D">
      <w:pPr>
        <w:pStyle w:val="enumlev1"/>
        <w:numPr>
          <w:ilvl w:val="0"/>
          <w:numId w:val="10"/>
        </w:numPr>
        <w:tabs>
          <w:tab w:val="clear" w:pos="794"/>
          <w:tab w:val="clear" w:pos="1191"/>
          <w:tab w:val="clear" w:pos="1588"/>
          <w:tab w:val="clear" w:pos="1985"/>
        </w:tabs>
        <w:spacing w:before="100" w:beforeAutospacing="1" w:line="240" w:lineRule="auto"/>
        <w:ind w:left="284" w:hanging="284"/>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Administrations of ITU Member States</w:t>
      </w:r>
    </w:p>
    <w:p w14:paraId="3EC1B222" w14:textId="49B41D79" w:rsidR="00066E5D" w:rsidRPr="00656817" w:rsidRDefault="003E707D" w:rsidP="00C91CB7">
      <w:pPr>
        <w:pStyle w:val="enumlev1"/>
        <w:numPr>
          <w:ilvl w:val="0"/>
          <w:numId w:val="10"/>
        </w:numPr>
        <w:tabs>
          <w:tab w:val="clear" w:pos="794"/>
          <w:tab w:val="clear" w:pos="1191"/>
          <w:tab w:val="clear" w:pos="1588"/>
          <w:tab w:val="clear" w:pos="1985"/>
          <w:tab w:val="left" w:pos="0"/>
          <w:tab w:val="left" w:pos="900"/>
        </w:tabs>
        <w:spacing w:before="0" w:beforeAutospacing="1" w:after="120" w:line="240" w:lineRule="auto"/>
        <w:ind w:left="284" w:hanging="284"/>
        <w:jc w:val="lowKashida"/>
        <w:rPr>
          <w:rFonts w:eastAsia="Times New Roman"/>
          <w:sz w:val="18"/>
          <w:szCs w:val="18"/>
        </w:rPr>
      </w:pPr>
      <w:r w:rsidRPr="003F72F3">
        <w:rPr>
          <w:rFonts w:asciiTheme="minorHAnsi" w:eastAsiaTheme="majorEastAsia" w:hAnsiTheme="minorHAnsi" w:cstheme="minorHAnsi"/>
          <w:sz w:val="18"/>
          <w:szCs w:val="18"/>
        </w:rPr>
        <w:t>Members of the Radio Regulations Board</w:t>
      </w:r>
    </w:p>
    <w:p w14:paraId="4A934B00" w14:textId="0FB115FF" w:rsidR="00656817" w:rsidRDefault="0065681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ajorEastAsia" w:hAnsiTheme="minorHAnsi" w:cstheme="minorHAnsi"/>
          <w:sz w:val="18"/>
          <w:szCs w:val="18"/>
        </w:rPr>
      </w:pPr>
      <w:r>
        <w:rPr>
          <w:rFonts w:asciiTheme="minorHAnsi" w:eastAsiaTheme="majorEastAsia" w:hAnsiTheme="minorHAnsi" w:cstheme="minorHAnsi"/>
          <w:sz w:val="18"/>
          <w:szCs w:val="18"/>
        </w:rPr>
        <w:br w:type="page"/>
      </w:r>
    </w:p>
    <w:p w14:paraId="442D10D6" w14:textId="77777777" w:rsidR="00656817" w:rsidRPr="00E10158" w:rsidRDefault="00656817" w:rsidP="00656817">
      <w:pPr>
        <w:pStyle w:val="AnnexNo"/>
        <w:rPr>
          <w:rFonts w:asciiTheme="minorHAnsi" w:hAnsiTheme="minorHAnsi" w:cstheme="minorHAnsi"/>
        </w:rPr>
      </w:pPr>
      <w:r w:rsidRPr="00E10158">
        <w:rPr>
          <w:rFonts w:asciiTheme="minorHAnsi" w:hAnsiTheme="minorHAnsi" w:cstheme="minorHAnsi"/>
        </w:rPr>
        <w:lastRenderedPageBreak/>
        <w:t>ANNEX 1</w:t>
      </w:r>
    </w:p>
    <w:p w14:paraId="0FEBC819" w14:textId="6FB06FCC" w:rsidR="00656817" w:rsidRPr="00E10158" w:rsidRDefault="00656817" w:rsidP="00656817">
      <w:pPr>
        <w:pStyle w:val="Annextitle"/>
        <w:rPr>
          <w:rFonts w:asciiTheme="minorHAnsi" w:hAnsiTheme="minorHAnsi" w:cstheme="minorHAnsi"/>
        </w:rPr>
      </w:pPr>
      <w:r w:rsidRPr="00E10158">
        <w:rPr>
          <w:rFonts w:asciiTheme="minorHAnsi" w:hAnsiTheme="minorHAnsi" w:cstheme="minorHAnsi"/>
        </w:rPr>
        <w:t xml:space="preserve">Method to derive transmission power </w:t>
      </w:r>
      <w:r w:rsidR="00713F11">
        <w:rPr>
          <w:rFonts w:asciiTheme="minorHAnsi" w:hAnsiTheme="minorHAnsi" w:cstheme="minorHAnsi"/>
        </w:rPr>
        <w:t xml:space="preserve">values </w:t>
      </w:r>
      <w:r w:rsidRPr="00E10158">
        <w:rPr>
          <w:rFonts w:asciiTheme="minorHAnsi" w:hAnsiTheme="minorHAnsi" w:cstheme="minorHAnsi"/>
        </w:rPr>
        <w:t>in accordance with Recommendation ITU-R SF.675</w:t>
      </w:r>
    </w:p>
    <w:p w14:paraId="63681F34" w14:textId="77777777" w:rsidR="00656817" w:rsidRPr="00723C9F" w:rsidRDefault="00656817" w:rsidP="00656817">
      <w:pPr>
        <w:pStyle w:val="Headingb"/>
        <w:rPr>
          <w:sz w:val="24"/>
          <w:szCs w:val="24"/>
        </w:rPr>
      </w:pPr>
      <w:r w:rsidRPr="00723C9F">
        <w:rPr>
          <w:sz w:val="24"/>
          <w:szCs w:val="24"/>
        </w:rPr>
        <w:t>Introduction</w:t>
      </w:r>
    </w:p>
    <w:p w14:paraId="2C81E99B" w14:textId="7CC211B4" w:rsidR="00656817" w:rsidRPr="00723C9F" w:rsidRDefault="00656817" w:rsidP="00656817">
      <w:pPr>
        <w:rPr>
          <w:sz w:val="24"/>
          <w:szCs w:val="24"/>
        </w:rPr>
      </w:pPr>
      <w:r w:rsidRPr="00723C9F">
        <w:rPr>
          <w:sz w:val="24"/>
          <w:szCs w:val="24"/>
        </w:rPr>
        <w:t xml:space="preserve">The method below is used to derive transmission power </w:t>
      </w:r>
      <w:r w:rsidR="00713F11" w:rsidRPr="00723C9F">
        <w:rPr>
          <w:sz w:val="24"/>
          <w:szCs w:val="24"/>
        </w:rPr>
        <w:t xml:space="preserve">values </w:t>
      </w:r>
      <w:r w:rsidR="00713F11" w:rsidRPr="00723C9F">
        <w:rPr>
          <w:rFonts w:asciiTheme="minorHAnsi" w:hAnsiTheme="minorHAnsi" w:cstheme="minorHAnsi"/>
          <w:sz w:val="24"/>
          <w:szCs w:val="24"/>
        </w:rPr>
        <w:t>in accordance with Recommendation ITU-R SF.675</w:t>
      </w:r>
      <w:r w:rsidRPr="00723C9F">
        <w:rPr>
          <w:sz w:val="24"/>
          <w:szCs w:val="24"/>
        </w:rPr>
        <w:t>. It takes as input</w:t>
      </w:r>
      <w:r w:rsidR="00713F11" w:rsidRPr="00723C9F">
        <w:rPr>
          <w:sz w:val="24"/>
          <w:szCs w:val="24"/>
        </w:rPr>
        <w:t>s</w:t>
      </w:r>
      <w:r w:rsidRPr="00723C9F">
        <w:rPr>
          <w:sz w:val="24"/>
          <w:szCs w:val="24"/>
        </w:rPr>
        <w:t xml:space="preserve"> the reference bandwidth and characteristics of emission.</w:t>
      </w:r>
    </w:p>
    <w:p w14:paraId="0EEB9F60" w14:textId="77777777" w:rsidR="00656817" w:rsidRPr="00723C9F" w:rsidRDefault="00656817" w:rsidP="00656817">
      <w:pPr>
        <w:pStyle w:val="Headingb"/>
        <w:rPr>
          <w:sz w:val="24"/>
          <w:szCs w:val="24"/>
        </w:rPr>
      </w:pPr>
      <w:r w:rsidRPr="00723C9F">
        <w:rPr>
          <w:sz w:val="24"/>
          <w:szCs w:val="24"/>
        </w:rPr>
        <w:t>Requirements</w:t>
      </w:r>
    </w:p>
    <w:p w14:paraId="5B513F08" w14:textId="49E78A4A" w:rsidR="002B4EEE" w:rsidRPr="00723C9F" w:rsidRDefault="002B4EEE" w:rsidP="002B4EEE">
      <w:pPr>
        <w:rPr>
          <w:sz w:val="24"/>
          <w:szCs w:val="24"/>
        </w:rPr>
      </w:pPr>
      <w:r w:rsidRPr="00723C9F">
        <w:rPr>
          <w:sz w:val="24"/>
          <w:szCs w:val="24"/>
        </w:rPr>
        <w:t xml:space="preserve">The following </w:t>
      </w:r>
      <w:r w:rsidR="003E198E" w:rsidRPr="00723C9F">
        <w:rPr>
          <w:sz w:val="24"/>
          <w:szCs w:val="24"/>
        </w:rPr>
        <w:t xml:space="preserve">items </w:t>
      </w:r>
      <w:r w:rsidRPr="00723C9F">
        <w:rPr>
          <w:sz w:val="24"/>
          <w:szCs w:val="24"/>
        </w:rPr>
        <w:t>are used for descriptions in this Annex.</w:t>
      </w:r>
    </w:p>
    <w:p w14:paraId="3FB872C4" w14:textId="77777777" w:rsidR="00656817" w:rsidRDefault="00656817" w:rsidP="00656817"/>
    <w:tbl>
      <w:tblPr>
        <w:tblStyle w:val="TableGrid"/>
        <w:tblW w:w="9951" w:type="dxa"/>
        <w:tblLook w:val="04A0" w:firstRow="1" w:lastRow="0" w:firstColumn="1" w:lastColumn="0" w:noHBand="0" w:noVBand="1"/>
      </w:tblPr>
      <w:tblGrid>
        <w:gridCol w:w="3114"/>
        <w:gridCol w:w="2268"/>
        <w:gridCol w:w="2126"/>
        <w:gridCol w:w="2443"/>
      </w:tblGrid>
      <w:tr w:rsidR="00656817" w:rsidRPr="00723C9F" w14:paraId="5DAB2857" w14:textId="77777777" w:rsidTr="00656817">
        <w:tc>
          <w:tcPr>
            <w:tcW w:w="3114" w:type="dxa"/>
          </w:tcPr>
          <w:p w14:paraId="30A290B5" w14:textId="4C5C8AD6" w:rsidR="00656817" w:rsidRPr="00723C9F" w:rsidRDefault="00656817" w:rsidP="00656817">
            <w:pPr>
              <w:jc w:val="center"/>
              <w:rPr>
                <w:b/>
                <w:bCs/>
                <w:sz w:val="24"/>
                <w:szCs w:val="24"/>
              </w:rPr>
            </w:pPr>
            <w:r w:rsidRPr="00723C9F">
              <w:rPr>
                <w:b/>
                <w:bCs/>
                <w:sz w:val="24"/>
                <w:szCs w:val="24"/>
              </w:rPr>
              <w:t>Parameter name</w:t>
            </w:r>
          </w:p>
        </w:tc>
        <w:tc>
          <w:tcPr>
            <w:tcW w:w="2268" w:type="dxa"/>
          </w:tcPr>
          <w:p w14:paraId="67964E50" w14:textId="65B4B43C" w:rsidR="00656817" w:rsidRPr="00723C9F" w:rsidRDefault="00656817" w:rsidP="00656817">
            <w:pPr>
              <w:jc w:val="center"/>
              <w:rPr>
                <w:b/>
                <w:bCs/>
                <w:sz w:val="24"/>
                <w:szCs w:val="24"/>
              </w:rPr>
            </w:pPr>
            <w:r w:rsidRPr="00723C9F">
              <w:rPr>
                <w:b/>
                <w:bCs/>
                <w:sz w:val="24"/>
                <w:szCs w:val="24"/>
              </w:rPr>
              <w:t xml:space="preserve">RR Appendix 4 </w:t>
            </w:r>
            <w:r w:rsidR="003E198E" w:rsidRPr="00723C9F">
              <w:rPr>
                <w:b/>
                <w:bCs/>
                <w:sz w:val="24"/>
                <w:szCs w:val="24"/>
              </w:rPr>
              <w:t>item</w:t>
            </w:r>
          </w:p>
        </w:tc>
        <w:tc>
          <w:tcPr>
            <w:tcW w:w="2126" w:type="dxa"/>
          </w:tcPr>
          <w:p w14:paraId="0C4735BF" w14:textId="22D2B80E" w:rsidR="00656817" w:rsidRPr="00723C9F" w:rsidRDefault="000F1785" w:rsidP="00656817">
            <w:pPr>
              <w:jc w:val="center"/>
              <w:rPr>
                <w:b/>
                <w:bCs/>
                <w:sz w:val="24"/>
                <w:szCs w:val="24"/>
              </w:rPr>
            </w:pPr>
            <w:r w:rsidRPr="00723C9F">
              <w:rPr>
                <w:b/>
                <w:bCs/>
                <w:sz w:val="24"/>
                <w:szCs w:val="24"/>
              </w:rPr>
              <w:t xml:space="preserve">Field name in SNS database as defined in the </w:t>
            </w:r>
            <w:proofErr w:type="gramStart"/>
            <w:r w:rsidR="00656817" w:rsidRPr="00723C9F">
              <w:rPr>
                <w:b/>
                <w:bCs/>
                <w:sz w:val="24"/>
                <w:szCs w:val="24"/>
              </w:rPr>
              <w:t xml:space="preserve">Preface </w:t>
            </w:r>
            <w:r w:rsidRPr="00723C9F">
              <w:rPr>
                <w:b/>
                <w:bCs/>
                <w:sz w:val="24"/>
                <w:szCs w:val="24"/>
              </w:rPr>
              <w:t xml:space="preserve"> to</w:t>
            </w:r>
            <w:proofErr w:type="gramEnd"/>
            <w:r w:rsidRPr="00723C9F">
              <w:rPr>
                <w:b/>
                <w:bCs/>
                <w:sz w:val="24"/>
                <w:szCs w:val="24"/>
              </w:rPr>
              <w:t xml:space="preserve"> the BRIFIC (Space services)</w:t>
            </w:r>
          </w:p>
        </w:tc>
        <w:tc>
          <w:tcPr>
            <w:tcW w:w="2443" w:type="dxa"/>
          </w:tcPr>
          <w:p w14:paraId="22E59C55" w14:textId="1A672D14" w:rsidR="00656817" w:rsidRPr="00723C9F" w:rsidRDefault="00656817" w:rsidP="00656817">
            <w:pPr>
              <w:jc w:val="center"/>
              <w:rPr>
                <w:b/>
                <w:bCs/>
                <w:sz w:val="24"/>
                <w:szCs w:val="24"/>
              </w:rPr>
            </w:pPr>
            <w:r w:rsidRPr="00723C9F">
              <w:rPr>
                <w:b/>
                <w:bCs/>
                <w:sz w:val="24"/>
                <w:szCs w:val="24"/>
              </w:rPr>
              <w:t>Notion in formulas</w:t>
            </w:r>
          </w:p>
        </w:tc>
      </w:tr>
      <w:tr w:rsidR="00656817" w:rsidRPr="00723C9F" w14:paraId="5E5BDA48" w14:textId="77777777" w:rsidTr="00656817">
        <w:tc>
          <w:tcPr>
            <w:tcW w:w="3114" w:type="dxa"/>
          </w:tcPr>
          <w:p w14:paraId="0A378C0B" w14:textId="419C3886" w:rsidR="00656817" w:rsidRPr="00723C9F" w:rsidRDefault="00656817" w:rsidP="0053467C">
            <w:pPr>
              <w:jc w:val="left"/>
              <w:rPr>
                <w:sz w:val="24"/>
                <w:szCs w:val="24"/>
              </w:rPr>
            </w:pPr>
            <w:r w:rsidRPr="00723C9F">
              <w:rPr>
                <w:sz w:val="24"/>
                <w:szCs w:val="24"/>
              </w:rPr>
              <w:t>Maximum power spectral density of emission</w:t>
            </w:r>
            <w:r w:rsidR="002B4EEE" w:rsidRPr="00723C9F">
              <w:rPr>
                <w:sz w:val="24"/>
                <w:szCs w:val="24"/>
              </w:rPr>
              <w:t xml:space="preserve">, </w:t>
            </w:r>
            <w:proofErr w:type="spellStart"/>
            <w:r w:rsidR="002B4EEE" w:rsidRPr="00723C9F">
              <w:rPr>
                <w:sz w:val="24"/>
                <w:szCs w:val="24"/>
              </w:rPr>
              <w:t>d</w:t>
            </w:r>
            <w:r w:rsidR="0017162E" w:rsidRPr="00723C9F">
              <w:rPr>
                <w:sz w:val="24"/>
                <w:szCs w:val="24"/>
              </w:rPr>
              <w:t>B</w:t>
            </w:r>
            <w:r w:rsidR="002B4EEE" w:rsidRPr="00723C9F">
              <w:rPr>
                <w:sz w:val="24"/>
                <w:szCs w:val="24"/>
              </w:rPr>
              <w:t>W</w:t>
            </w:r>
            <w:proofErr w:type="spellEnd"/>
            <w:r w:rsidR="002B4EEE" w:rsidRPr="00723C9F">
              <w:rPr>
                <w:sz w:val="24"/>
                <w:szCs w:val="24"/>
              </w:rPr>
              <w:t>/Hz</w:t>
            </w:r>
          </w:p>
        </w:tc>
        <w:tc>
          <w:tcPr>
            <w:tcW w:w="2268" w:type="dxa"/>
          </w:tcPr>
          <w:p w14:paraId="10042DD5" w14:textId="5DB94D2D" w:rsidR="00656817" w:rsidRPr="00723C9F" w:rsidRDefault="00656817" w:rsidP="002B4EEE">
            <w:pPr>
              <w:jc w:val="center"/>
              <w:rPr>
                <w:sz w:val="24"/>
                <w:szCs w:val="24"/>
              </w:rPr>
            </w:pPr>
            <w:r w:rsidRPr="00723C9F">
              <w:rPr>
                <w:sz w:val="24"/>
                <w:szCs w:val="24"/>
              </w:rPr>
              <w:t>C.</w:t>
            </w:r>
            <w:proofErr w:type="gramStart"/>
            <w:r w:rsidRPr="00723C9F">
              <w:rPr>
                <w:sz w:val="24"/>
                <w:szCs w:val="24"/>
              </w:rPr>
              <w:t>8.b.3.b</w:t>
            </w:r>
            <w:proofErr w:type="gramEnd"/>
          </w:p>
        </w:tc>
        <w:tc>
          <w:tcPr>
            <w:tcW w:w="2126" w:type="dxa"/>
          </w:tcPr>
          <w:p w14:paraId="0B5F01D3" w14:textId="3529414B" w:rsidR="00656817" w:rsidRPr="00723C9F" w:rsidRDefault="00656817" w:rsidP="002B4EEE">
            <w:pPr>
              <w:jc w:val="center"/>
              <w:rPr>
                <w:i/>
                <w:iCs/>
                <w:sz w:val="24"/>
                <w:szCs w:val="24"/>
              </w:rPr>
            </w:pPr>
            <w:proofErr w:type="spellStart"/>
            <w:r w:rsidRPr="00723C9F">
              <w:rPr>
                <w:i/>
                <w:iCs/>
                <w:sz w:val="24"/>
                <w:szCs w:val="24"/>
              </w:rPr>
              <w:t>pwr_ds_max</w:t>
            </w:r>
            <w:proofErr w:type="spellEnd"/>
          </w:p>
        </w:tc>
        <w:tc>
          <w:tcPr>
            <w:tcW w:w="2443" w:type="dxa"/>
          </w:tcPr>
          <w:p w14:paraId="56D5AD07" w14:textId="63CD1E1F" w:rsidR="00656817" w:rsidRPr="00723C9F" w:rsidRDefault="00C43032" w:rsidP="00656817">
            <w:pPr>
              <w:rPr>
                <w:sz w:val="24"/>
                <w:szCs w:val="24"/>
              </w:rPr>
            </w:pPr>
            <m:oMathPara>
              <m:oMath>
                <m:sSub>
                  <m:sSubPr>
                    <m:ctrlPr>
                      <w:rPr>
                        <w:rFonts w:ascii="Cambria Math" w:hAnsi="Cambria Math"/>
                        <w:i/>
                        <w:sz w:val="24"/>
                        <w:szCs w:val="24"/>
                      </w:rPr>
                    </m:ctrlPr>
                  </m:sSubPr>
                  <m:e>
                    <m:r>
                      <w:rPr>
                        <w:rFonts w:ascii="Cambria Math" w:hAnsi="Cambria Math"/>
                        <w:sz w:val="24"/>
                        <w:szCs w:val="24"/>
                      </w:rPr>
                      <m:t>PSD</m:t>
                    </m:r>
                  </m:e>
                  <m:sub>
                    <m:r>
                      <w:rPr>
                        <w:rFonts w:ascii="Cambria Math" w:hAnsi="Cambria Math"/>
                        <w:sz w:val="24"/>
                        <w:szCs w:val="24"/>
                      </w:rPr>
                      <m:t>max</m:t>
                    </m:r>
                  </m:sub>
                </m:sSub>
              </m:oMath>
            </m:oMathPara>
          </w:p>
        </w:tc>
      </w:tr>
      <w:tr w:rsidR="00656817" w:rsidRPr="00723C9F" w14:paraId="16DBF99C" w14:textId="77777777" w:rsidTr="00656817">
        <w:tc>
          <w:tcPr>
            <w:tcW w:w="3114" w:type="dxa"/>
          </w:tcPr>
          <w:p w14:paraId="04D1D5D9" w14:textId="315026CC" w:rsidR="00656817" w:rsidRPr="00723C9F" w:rsidRDefault="00656817" w:rsidP="0053467C">
            <w:pPr>
              <w:jc w:val="left"/>
              <w:rPr>
                <w:sz w:val="24"/>
                <w:szCs w:val="24"/>
              </w:rPr>
            </w:pPr>
            <w:r w:rsidRPr="00723C9F">
              <w:rPr>
                <w:sz w:val="24"/>
                <w:szCs w:val="24"/>
              </w:rPr>
              <w:t>Maximum peak power of emission</w:t>
            </w:r>
            <w:r w:rsidR="002B4EEE" w:rsidRPr="00723C9F">
              <w:rPr>
                <w:sz w:val="24"/>
                <w:szCs w:val="24"/>
              </w:rPr>
              <w:t xml:space="preserve">, </w:t>
            </w:r>
            <w:proofErr w:type="spellStart"/>
            <w:r w:rsidR="002B4EEE" w:rsidRPr="00723C9F">
              <w:rPr>
                <w:sz w:val="24"/>
                <w:szCs w:val="24"/>
              </w:rPr>
              <w:t>dBW</w:t>
            </w:r>
            <w:proofErr w:type="spellEnd"/>
          </w:p>
        </w:tc>
        <w:tc>
          <w:tcPr>
            <w:tcW w:w="2268" w:type="dxa"/>
          </w:tcPr>
          <w:p w14:paraId="0105A992" w14:textId="500FCFE2" w:rsidR="00656817" w:rsidRPr="00723C9F" w:rsidRDefault="00656817" w:rsidP="002B4EEE">
            <w:pPr>
              <w:jc w:val="center"/>
              <w:rPr>
                <w:sz w:val="24"/>
                <w:szCs w:val="24"/>
              </w:rPr>
            </w:pPr>
            <w:r w:rsidRPr="00723C9F">
              <w:rPr>
                <w:sz w:val="24"/>
                <w:szCs w:val="24"/>
              </w:rPr>
              <w:t>C.</w:t>
            </w:r>
            <w:proofErr w:type="gramStart"/>
            <w:r w:rsidRPr="00723C9F">
              <w:rPr>
                <w:sz w:val="24"/>
                <w:szCs w:val="24"/>
              </w:rPr>
              <w:t>8.b.3.a</w:t>
            </w:r>
            <w:proofErr w:type="gramEnd"/>
          </w:p>
        </w:tc>
        <w:tc>
          <w:tcPr>
            <w:tcW w:w="2126" w:type="dxa"/>
          </w:tcPr>
          <w:p w14:paraId="5147014E" w14:textId="34841587" w:rsidR="00656817" w:rsidRPr="00723C9F" w:rsidRDefault="00656817" w:rsidP="002B4EEE">
            <w:pPr>
              <w:jc w:val="center"/>
              <w:rPr>
                <w:i/>
                <w:iCs/>
                <w:sz w:val="24"/>
                <w:szCs w:val="24"/>
              </w:rPr>
            </w:pPr>
            <w:proofErr w:type="spellStart"/>
            <w:r w:rsidRPr="00723C9F">
              <w:rPr>
                <w:i/>
                <w:iCs/>
                <w:sz w:val="24"/>
                <w:szCs w:val="24"/>
              </w:rPr>
              <w:t>pep_max</w:t>
            </w:r>
            <w:proofErr w:type="spellEnd"/>
          </w:p>
        </w:tc>
        <w:tc>
          <w:tcPr>
            <w:tcW w:w="2443" w:type="dxa"/>
          </w:tcPr>
          <w:p w14:paraId="2C0A012E" w14:textId="62DCA5B6" w:rsidR="00656817" w:rsidRPr="00723C9F" w:rsidRDefault="00C43032" w:rsidP="00656817">
            <w:pPr>
              <w:rPr>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max</m:t>
                    </m:r>
                  </m:sub>
                </m:sSub>
              </m:oMath>
            </m:oMathPara>
          </w:p>
        </w:tc>
      </w:tr>
      <w:tr w:rsidR="00656817" w:rsidRPr="00723C9F" w14:paraId="15417DCC" w14:textId="77777777" w:rsidTr="00656817">
        <w:tc>
          <w:tcPr>
            <w:tcW w:w="3114" w:type="dxa"/>
          </w:tcPr>
          <w:p w14:paraId="7DE91E64" w14:textId="77777777" w:rsidR="002B4EEE" w:rsidRPr="00B71032" w:rsidRDefault="00656817" w:rsidP="0053467C">
            <w:pPr>
              <w:jc w:val="left"/>
              <w:rPr>
                <w:sz w:val="24"/>
                <w:szCs w:val="24"/>
                <w:lang w:val="de-CH"/>
              </w:rPr>
            </w:pPr>
            <w:r w:rsidRPr="00B71032">
              <w:rPr>
                <w:sz w:val="24"/>
                <w:szCs w:val="24"/>
                <w:lang w:val="de-CH"/>
              </w:rPr>
              <w:t>Reference bandwidth (4 kHz, 1 MHz, etc.)</w:t>
            </w:r>
          </w:p>
          <w:p w14:paraId="10039C7B" w14:textId="21313C8E" w:rsidR="002B4EEE" w:rsidRPr="00723C9F" w:rsidRDefault="002B4EEE" w:rsidP="0053467C">
            <w:pPr>
              <w:jc w:val="left"/>
              <w:rPr>
                <w:sz w:val="24"/>
                <w:szCs w:val="24"/>
              </w:rPr>
            </w:pPr>
            <w:r w:rsidRPr="00723C9F">
              <w:rPr>
                <w:sz w:val="24"/>
                <w:szCs w:val="24"/>
              </w:rPr>
              <w:t>Refers to reference bandwidth</w:t>
            </w:r>
            <w:r w:rsidR="00856B68" w:rsidRPr="00723C9F">
              <w:rPr>
                <w:sz w:val="24"/>
                <w:szCs w:val="24"/>
              </w:rPr>
              <w:t xml:space="preserve"> in the provisions of the Radio Regulations</w:t>
            </w:r>
          </w:p>
        </w:tc>
        <w:tc>
          <w:tcPr>
            <w:tcW w:w="2268" w:type="dxa"/>
          </w:tcPr>
          <w:p w14:paraId="7596E71C" w14:textId="0DB2F04B" w:rsidR="00656817" w:rsidRPr="00723C9F" w:rsidRDefault="00656817" w:rsidP="002B4EEE">
            <w:pPr>
              <w:jc w:val="center"/>
              <w:rPr>
                <w:sz w:val="24"/>
                <w:szCs w:val="24"/>
              </w:rPr>
            </w:pPr>
            <w:r w:rsidRPr="00723C9F">
              <w:rPr>
                <w:sz w:val="24"/>
                <w:szCs w:val="24"/>
              </w:rPr>
              <w:t>-</w:t>
            </w:r>
          </w:p>
        </w:tc>
        <w:tc>
          <w:tcPr>
            <w:tcW w:w="2126" w:type="dxa"/>
          </w:tcPr>
          <w:p w14:paraId="392D0180" w14:textId="24B92B5D" w:rsidR="00656817" w:rsidRPr="00723C9F" w:rsidRDefault="00656817" w:rsidP="002B4EEE">
            <w:pPr>
              <w:jc w:val="center"/>
              <w:rPr>
                <w:sz w:val="24"/>
                <w:szCs w:val="24"/>
              </w:rPr>
            </w:pPr>
            <w:r w:rsidRPr="00723C9F">
              <w:rPr>
                <w:sz w:val="24"/>
                <w:szCs w:val="24"/>
              </w:rPr>
              <w:t>-</w:t>
            </w:r>
          </w:p>
        </w:tc>
        <w:tc>
          <w:tcPr>
            <w:tcW w:w="2443" w:type="dxa"/>
          </w:tcPr>
          <w:p w14:paraId="0E9F6DBC" w14:textId="1372FB41" w:rsidR="00656817" w:rsidRPr="00723C9F" w:rsidRDefault="00C43032" w:rsidP="00656817">
            <w:pPr>
              <w:rPr>
                <w:sz w:val="24"/>
                <w:szCs w:val="24"/>
              </w:rPr>
            </w:pPr>
            <m:oMathPara>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m:oMathPara>
          </w:p>
        </w:tc>
      </w:tr>
      <w:tr w:rsidR="00656817" w:rsidRPr="00723C9F" w14:paraId="6F01AF0A" w14:textId="77777777" w:rsidTr="00656817">
        <w:tc>
          <w:tcPr>
            <w:tcW w:w="3114" w:type="dxa"/>
          </w:tcPr>
          <w:p w14:paraId="0C83ACF1" w14:textId="374C313A" w:rsidR="00656817" w:rsidRPr="00723C9F" w:rsidRDefault="002B4EEE" w:rsidP="0053467C">
            <w:pPr>
              <w:jc w:val="left"/>
              <w:rPr>
                <w:sz w:val="24"/>
                <w:szCs w:val="24"/>
              </w:rPr>
            </w:pPr>
            <w:r w:rsidRPr="00723C9F">
              <w:rPr>
                <w:sz w:val="24"/>
                <w:szCs w:val="24"/>
              </w:rPr>
              <w:t>Emission bandwidth (Hz)</w:t>
            </w:r>
          </w:p>
        </w:tc>
        <w:tc>
          <w:tcPr>
            <w:tcW w:w="2268" w:type="dxa"/>
          </w:tcPr>
          <w:p w14:paraId="435DE538" w14:textId="4F2BF86A" w:rsidR="002B4EEE" w:rsidRPr="00723C9F" w:rsidRDefault="002B4EEE" w:rsidP="002B4EEE">
            <w:pPr>
              <w:jc w:val="center"/>
              <w:rPr>
                <w:sz w:val="24"/>
                <w:szCs w:val="24"/>
              </w:rPr>
            </w:pPr>
            <w:r w:rsidRPr="00723C9F">
              <w:rPr>
                <w:sz w:val="24"/>
                <w:szCs w:val="24"/>
              </w:rPr>
              <w:t>Derived from</w:t>
            </w:r>
          </w:p>
          <w:p w14:paraId="328E4503" w14:textId="1E5F26BD" w:rsidR="00656817" w:rsidRPr="00723C9F" w:rsidRDefault="002B4EEE" w:rsidP="002B4EEE">
            <w:pPr>
              <w:jc w:val="center"/>
              <w:rPr>
                <w:sz w:val="24"/>
                <w:szCs w:val="24"/>
              </w:rPr>
            </w:pPr>
            <w:r w:rsidRPr="00723C9F">
              <w:rPr>
                <w:sz w:val="24"/>
                <w:szCs w:val="24"/>
              </w:rPr>
              <w:t>C.7.a</w:t>
            </w:r>
          </w:p>
        </w:tc>
        <w:tc>
          <w:tcPr>
            <w:tcW w:w="2126" w:type="dxa"/>
          </w:tcPr>
          <w:p w14:paraId="60102C01" w14:textId="776BA7C3" w:rsidR="002B4EEE" w:rsidRPr="00723C9F" w:rsidRDefault="002B4EEE" w:rsidP="002B4EEE">
            <w:pPr>
              <w:jc w:val="center"/>
              <w:rPr>
                <w:sz w:val="24"/>
                <w:szCs w:val="24"/>
              </w:rPr>
            </w:pPr>
            <w:r w:rsidRPr="00723C9F">
              <w:rPr>
                <w:sz w:val="24"/>
                <w:szCs w:val="24"/>
              </w:rPr>
              <w:t>Derived from</w:t>
            </w:r>
          </w:p>
          <w:p w14:paraId="16FA450E" w14:textId="64E5D458" w:rsidR="00656817" w:rsidRPr="00723C9F" w:rsidRDefault="002B4EEE" w:rsidP="002B4EEE">
            <w:pPr>
              <w:jc w:val="center"/>
              <w:rPr>
                <w:i/>
                <w:iCs/>
                <w:sz w:val="24"/>
                <w:szCs w:val="24"/>
              </w:rPr>
            </w:pPr>
            <w:proofErr w:type="spellStart"/>
            <w:r w:rsidRPr="00723C9F">
              <w:rPr>
                <w:i/>
                <w:iCs/>
                <w:sz w:val="24"/>
                <w:szCs w:val="24"/>
              </w:rPr>
              <w:t>design_emi</w:t>
            </w:r>
            <w:proofErr w:type="spellEnd"/>
          </w:p>
        </w:tc>
        <w:tc>
          <w:tcPr>
            <w:tcW w:w="2443" w:type="dxa"/>
          </w:tcPr>
          <w:p w14:paraId="1A37F012" w14:textId="56759D67" w:rsidR="00656817" w:rsidRPr="00723C9F" w:rsidRDefault="002B4EEE" w:rsidP="00656817">
            <w:pPr>
              <w:rPr>
                <w:sz w:val="24"/>
                <w:szCs w:val="24"/>
              </w:rPr>
            </w:pPr>
            <m:oMathPara>
              <m:oMath>
                <m:r>
                  <w:rPr>
                    <w:rFonts w:ascii="Cambria Math" w:hAnsi="Cambria Math"/>
                    <w:sz w:val="24"/>
                    <w:szCs w:val="24"/>
                  </w:rPr>
                  <m:t>B</m:t>
                </m:r>
              </m:oMath>
            </m:oMathPara>
          </w:p>
        </w:tc>
      </w:tr>
      <w:tr w:rsidR="002B4EEE" w:rsidRPr="00723C9F" w14:paraId="75889E03" w14:textId="77777777" w:rsidTr="00656817">
        <w:tc>
          <w:tcPr>
            <w:tcW w:w="3114" w:type="dxa"/>
          </w:tcPr>
          <w:p w14:paraId="2CECBFC8" w14:textId="77777777" w:rsidR="002B4EEE" w:rsidRPr="00723C9F" w:rsidRDefault="002B4EEE" w:rsidP="0053467C">
            <w:pPr>
              <w:jc w:val="left"/>
              <w:rPr>
                <w:sz w:val="24"/>
                <w:szCs w:val="24"/>
              </w:rPr>
            </w:pPr>
            <w:r w:rsidRPr="00723C9F">
              <w:rPr>
                <w:sz w:val="24"/>
                <w:szCs w:val="24"/>
              </w:rPr>
              <w:t>Averaging bandwidth (Hz)</w:t>
            </w:r>
          </w:p>
          <w:p w14:paraId="420DCC30" w14:textId="78ECDF2F" w:rsidR="002B4EEE" w:rsidRPr="00723C9F" w:rsidRDefault="002B4EEE" w:rsidP="0053467C">
            <w:pPr>
              <w:jc w:val="left"/>
              <w:rPr>
                <w:sz w:val="24"/>
                <w:szCs w:val="24"/>
              </w:rPr>
            </w:pPr>
            <w:r w:rsidRPr="00723C9F">
              <w:rPr>
                <w:sz w:val="24"/>
                <w:szCs w:val="24"/>
              </w:rPr>
              <w:t xml:space="preserve">Defined in </w:t>
            </w:r>
            <w:r w:rsidRPr="00723C9F">
              <w:rPr>
                <w:rFonts w:eastAsia="SimSun"/>
                <w:sz w:val="24"/>
                <w:szCs w:val="24"/>
              </w:rPr>
              <w:t xml:space="preserve">Footnote 2 to Tables A, B, C and D of Annex 2 to Appendix </w:t>
            </w:r>
            <w:r w:rsidRPr="00723C9F">
              <w:rPr>
                <w:rFonts w:eastAsia="SimSun"/>
                <w:b/>
                <w:bCs/>
                <w:sz w:val="24"/>
                <w:szCs w:val="24"/>
              </w:rPr>
              <w:t>4</w:t>
            </w:r>
          </w:p>
        </w:tc>
        <w:tc>
          <w:tcPr>
            <w:tcW w:w="2268" w:type="dxa"/>
          </w:tcPr>
          <w:p w14:paraId="265F17C5" w14:textId="6EBA9049" w:rsidR="002B4EEE" w:rsidRPr="00723C9F" w:rsidRDefault="002B4EEE" w:rsidP="002B4EEE">
            <w:pPr>
              <w:jc w:val="center"/>
              <w:rPr>
                <w:sz w:val="24"/>
                <w:szCs w:val="24"/>
              </w:rPr>
            </w:pPr>
            <w:r w:rsidRPr="00723C9F">
              <w:rPr>
                <w:sz w:val="24"/>
                <w:szCs w:val="24"/>
              </w:rPr>
              <w:t>-</w:t>
            </w:r>
          </w:p>
        </w:tc>
        <w:tc>
          <w:tcPr>
            <w:tcW w:w="2126" w:type="dxa"/>
          </w:tcPr>
          <w:p w14:paraId="291F9B3D" w14:textId="1BAD9D52" w:rsidR="002B4EEE" w:rsidRPr="00723C9F" w:rsidRDefault="002B4EEE" w:rsidP="002B4EEE">
            <w:pPr>
              <w:jc w:val="center"/>
              <w:rPr>
                <w:sz w:val="24"/>
                <w:szCs w:val="24"/>
              </w:rPr>
            </w:pPr>
            <w:r w:rsidRPr="00723C9F">
              <w:rPr>
                <w:sz w:val="24"/>
                <w:szCs w:val="24"/>
              </w:rPr>
              <w:t>-</w:t>
            </w:r>
          </w:p>
        </w:tc>
        <w:tc>
          <w:tcPr>
            <w:tcW w:w="2443" w:type="dxa"/>
          </w:tcPr>
          <w:p w14:paraId="3C932F41" w14:textId="31C406E2" w:rsidR="002B4EEE" w:rsidRPr="00723C9F" w:rsidRDefault="00C43032" w:rsidP="002B4EEE">
            <w:pPr>
              <w:rPr>
                <w:rFonts w:eastAsia="SimSun"/>
                <w:i/>
                <w:sz w:val="24"/>
                <w:szCs w:val="24"/>
              </w:rPr>
            </w:pPr>
            <m:oMathPara>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oMath>
            </m:oMathPara>
          </w:p>
        </w:tc>
      </w:tr>
      <w:tr w:rsidR="002B4EEE" w:rsidRPr="00723C9F" w14:paraId="36244161" w14:textId="77777777" w:rsidTr="00656817">
        <w:tc>
          <w:tcPr>
            <w:tcW w:w="3114" w:type="dxa"/>
          </w:tcPr>
          <w:p w14:paraId="432EE906" w14:textId="323B18D8" w:rsidR="002B4EEE" w:rsidRPr="00723C9F" w:rsidRDefault="002B4EEE" w:rsidP="0053467C">
            <w:pPr>
              <w:jc w:val="left"/>
              <w:rPr>
                <w:sz w:val="24"/>
                <w:szCs w:val="24"/>
              </w:rPr>
            </w:pPr>
            <w:r w:rsidRPr="00723C9F">
              <w:rPr>
                <w:sz w:val="24"/>
                <w:szCs w:val="24"/>
              </w:rPr>
              <w:t xml:space="preserve">Transmitted power to be used in calculations, </w:t>
            </w:r>
            <w:proofErr w:type="spellStart"/>
            <w:r w:rsidRPr="00723C9F">
              <w:rPr>
                <w:sz w:val="24"/>
                <w:szCs w:val="24"/>
              </w:rPr>
              <w:t>dBW</w:t>
            </w:r>
            <w:proofErr w:type="spellEnd"/>
            <w:r w:rsidRPr="00723C9F">
              <w:rPr>
                <w:sz w:val="24"/>
                <w:szCs w:val="24"/>
              </w:rPr>
              <w:t>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Pr="00723C9F">
              <w:rPr>
                <w:sz w:val="24"/>
                <w:szCs w:val="24"/>
              </w:rPr>
              <w:t>)</w:t>
            </w:r>
          </w:p>
        </w:tc>
        <w:tc>
          <w:tcPr>
            <w:tcW w:w="2268" w:type="dxa"/>
          </w:tcPr>
          <w:p w14:paraId="79AE550E" w14:textId="3A695DD3" w:rsidR="002B4EEE" w:rsidRPr="00723C9F" w:rsidRDefault="002B4EEE" w:rsidP="002B4EEE">
            <w:pPr>
              <w:jc w:val="center"/>
              <w:rPr>
                <w:sz w:val="24"/>
                <w:szCs w:val="24"/>
              </w:rPr>
            </w:pPr>
            <w:r w:rsidRPr="00723C9F">
              <w:rPr>
                <w:sz w:val="24"/>
                <w:szCs w:val="24"/>
              </w:rPr>
              <w:t>-</w:t>
            </w:r>
          </w:p>
        </w:tc>
        <w:tc>
          <w:tcPr>
            <w:tcW w:w="2126" w:type="dxa"/>
          </w:tcPr>
          <w:p w14:paraId="3001FE09" w14:textId="77412C35" w:rsidR="002B4EEE" w:rsidRPr="00723C9F" w:rsidRDefault="002B4EEE" w:rsidP="002B4EEE">
            <w:pPr>
              <w:jc w:val="center"/>
              <w:rPr>
                <w:sz w:val="24"/>
                <w:szCs w:val="24"/>
              </w:rPr>
            </w:pPr>
            <w:r w:rsidRPr="00723C9F">
              <w:rPr>
                <w:sz w:val="24"/>
                <w:szCs w:val="24"/>
              </w:rPr>
              <w:t>-</w:t>
            </w:r>
          </w:p>
        </w:tc>
        <w:tc>
          <w:tcPr>
            <w:tcW w:w="2443" w:type="dxa"/>
          </w:tcPr>
          <w:p w14:paraId="577B742A" w14:textId="0C4B28D0" w:rsidR="002B4EEE" w:rsidRPr="00723C9F" w:rsidRDefault="00C43032" w:rsidP="002B4EEE">
            <w:pPr>
              <w:rPr>
                <w:rFonts w:eastAsia="SimSun"/>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oMath>
            </m:oMathPara>
          </w:p>
        </w:tc>
      </w:tr>
    </w:tbl>
    <w:p w14:paraId="7FD0EEEC" w14:textId="77777777" w:rsidR="00656817" w:rsidRPr="00656817" w:rsidRDefault="00656817" w:rsidP="00656817"/>
    <w:p w14:paraId="0020448B" w14:textId="77777777" w:rsidR="00656817" w:rsidRPr="00723C9F" w:rsidRDefault="00656817" w:rsidP="00656817">
      <w:pPr>
        <w:pStyle w:val="Headingb"/>
        <w:rPr>
          <w:sz w:val="24"/>
          <w:szCs w:val="24"/>
        </w:rPr>
      </w:pPr>
      <w:r w:rsidRPr="00723C9F">
        <w:rPr>
          <w:sz w:val="24"/>
          <w:szCs w:val="24"/>
        </w:rPr>
        <w:t>Procedure</w:t>
      </w:r>
    </w:p>
    <w:p w14:paraId="01736B5B" w14:textId="0C528064" w:rsidR="002B4EEE" w:rsidRPr="00723C9F" w:rsidRDefault="00656817" w:rsidP="002B4EEE">
      <w:pPr>
        <w:pStyle w:val="enumlev1"/>
        <w:numPr>
          <w:ilvl w:val="0"/>
          <w:numId w:val="22"/>
        </w:numPr>
        <w:rPr>
          <w:sz w:val="24"/>
          <w:szCs w:val="24"/>
        </w:rPr>
      </w:pPr>
      <w:r w:rsidRPr="00723C9F">
        <w:rPr>
          <w:sz w:val="24"/>
          <w:szCs w:val="24"/>
        </w:rPr>
        <w:t>Find averaging bandwidth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oMath>
      <w:r w:rsidRPr="00723C9F">
        <w:rPr>
          <w:sz w:val="24"/>
          <w:szCs w:val="24"/>
        </w:rPr>
        <w:t>)</w:t>
      </w:r>
      <w:r w:rsidR="002B4EEE" w:rsidRPr="00723C9F">
        <w:rPr>
          <w:sz w:val="24"/>
          <w:szCs w:val="24"/>
        </w:rPr>
        <w:t>.</w:t>
      </w:r>
    </w:p>
    <w:p w14:paraId="1694E0E9" w14:textId="1DA1A177" w:rsidR="00656817" w:rsidRPr="00723C9F" w:rsidRDefault="002B4EEE" w:rsidP="002B4EEE">
      <w:pPr>
        <w:pStyle w:val="enumlev1"/>
        <w:ind w:left="360" w:firstLine="0"/>
        <w:rPr>
          <w:sz w:val="24"/>
          <w:szCs w:val="24"/>
        </w:rPr>
      </w:pPr>
      <w:r w:rsidRPr="00723C9F">
        <w:rPr>
          <w:sz w:val="24"/>
          <w:szCs w:val="24"/>
        </w:rPr>
        <w:tab/>
      </w:r>
      <w:r w:rsidR="00656817" w:rsidRPr="00723C9F">
        <w:rPr>
          <w:sz w:val="24"/>
          <w:szCs w:val="24"/>
        </w:rPr>
        <w:t xml:space="preserve">If </w:t>
      </w:r>
      <w:r w:rsidR="0057197E" w:rsidRPr="00723C9F">
        <w:rPr>
          <w:sz w:val="24"/>
          <w:szCs w:val="24"/>
        </w:rPr>
        <w:t xml:space="preserve">the </w:t>
      </w:r>
      <w:r w:rsidR="00656817" w:rsidRPr="00723C9F">
        <w:rPr>
          <w:sz w:val="24"/>
          <w:szCs w:val="24"/>
        </w:rPr>
        <w:t>center frequency of the frequency assignment is below 15 GHz,</w:t>
      </w:r>
      <w:r w:rsidRPr="00723C9F">
        <w:rPr>
          <w:sz w:val="24"/>
          <w:szCs w:val="24"/>
        </w:rPr>
        <w:t xml:space="preserv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r>
          <w:rPr>
            <w:rFonts w:ascii="Cambria Math" w:hAnsi="Cambria Math"/>
            <w:sz w:val="24"/>
            <w:szCs w:val="24"/>
          </w:rPr>
          <m:t>=4 kHz</m:t>
        </m:r>
      </m:oMath>
    </w:p>
    <w:p w14:paraId="6885101A" w14:textId="7FB01616" w:rsidR="0053467C" w:rsidRDefault="00656817" w:rsidP="00656817">
      <w:pPr>
        <w:pStyle w:val="enumlev1"/>
        <w:rPr>
          <w:sz w:val="24"/>
          <w:szCs w:val="24"/>
        </w:rPr>
      </w:pPr>
      <w:r w:rsidRPr="00723C9F">
        <w:rPr>
          <w:sz w:val="24"/>
          <w:szCs w:val="24"/>
        </w:rPr>
        <w:tab/>
        <w:t xml:space="preserve">Otherwise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r>
          <w:rPr>
            <w:rFonts w:ascii="Cambria Math" w:hAnsi="Cambria Math"/>
            <w:sz w:val="24"/>
            <w:szCs w:val="24"/>
          </w:rPr>
          <m:t>=1 MHz</m:t>
        </m:r>
      </m:oMath>
    </w:p>
    <w:p w14:paraId="214C561C" w14:textId="77777777" w:rsidR="0053467C" w:rsidRDefault="0053467C">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14:paraId="57409461" w14:textId="652261B3" w:rsidR="002B4EEE" w:rsidRPr="00723C9F" w:rsidRDefault="00656817" w:rsidP="002B4EEE">
      <w:pPr>
        <w:pStyle w:val="enumlev1"/>
        <w:numPr>
          <w:ilvl w:val="0"/>
          <w:numId w:val="22"/>
        </w:numPr>
        <w:rPr>
          <w:sz w:val="24"/>
          <w:szCs w:val="24"/>
        </w:rPr>
      </w:pPr>
      <w:r w:rsidRPr="00723C9F">
        <w:rPr>
          <w:sz w:val="24"/>
          <w:szCs w:val="24"/>
        </w:rPr>
        <w:lastRenderedPageBreak/>
        <w:t>Calculate transmitted power</w:t>
      </w:r>
      <w:r w:rsidR="002B4EEE" w:rsidRPr="00723C9F">
        <w:rPr>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r>
          <w:rPr>
            <w:rFonts w:ascii="Cambria Math" w:hAnsi="Cambria Math"/>
            <w:sz w:val="24"/>
            <w:szCs w:val="24"/>
          </w:rPr>
          <m:t xml:space="preserve"> in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Pr="00723C9F">
        <w:rPr>
          <w:sz w:val="24"/>
          <w:szCs w:val="24"/>
        </w:rPr>
        <w:t xml:space="preserve"> </w:t>
      </w:r>
    </w:p>
    <w:p w14:paraId="2C013BF9" w14:textId="0AAA52C9" w:rsidR="00656817" w:rsidRPr="00723C9F" w:rsidRDefault="00656817" w:rsidP="00656817">
      <w:pPr>
        <w:pStyle w:val="enumlev1"/>
        <w:rPr>
          <w:b/>
          <w:bCs/>
          <w:sz w:val="24"/>
          <w:szCs w:val="24"/>
        </w:rPr>
      </w:pPr>
      <w:r w:rsidRPr="00723C9F">
        <w:rPr>
          <w:b/>
          <w:bCs/>
          <w:sz w:val="24"/>
          <w:szCs w:val="24"/>
        </w:rPr>
        <w:tab/>
      </w:r>
      <w:r w:rsidR="002B4EEE" w:rsidRPr="00723C9F">
        <w:rPr>
          <w:b/>
          <w:bCs/>
          <w:sz w:val="24"/>
          <w:szCs w:val="24"/>
        </w:rPr>
        <w:t xml:space="preserve">In case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002B4EEE" w:rsidRPr="00723C9F">
        <w:rPr>
          <w:b/>
          <w:bCs/>
          <w:sz w:val="24"/>
          <w:szCs w:val="24"/>
        </w:rPr>
        <w:t xml:space="preserve"> </w:t>
      </w:r>
      <w:r w:rsidRPr="00723C9F">
        <w:rPr>
          <w:b/>
          <w:bCs/>
          <w:sz w:val="24"/>
          <w:szCs w:val="24"/>
        </w:rPr>
        <w:t>(additional measure in accordance with Recommendation ITU-R SF.675)</w:t>
      </w:r>
      <w:r w:rsidR="002B4EEE" w:rsidRPr="00723C9F">
        <w:rPr>
          <w:b/>
          <w:bCs/>
          <w:sz w:val="24"/>
          <w:szCs w:val="24"/>
        </w:rPr>
        <w:t>:</w:t>
      </w:r>
    </w:p>
    <w:p w14:paraId="07B386BA" w14:textId="1003C6F7" w:rsidR="00AE7575" w:rsidRPr="00723C9F" w:rsidRDefault="002B4EEE" w:rsidP="00AE7575">
      <w:pPr>
        <w:ind w:left="1440"/>
        <w:jc w:val="center"/>
        <w:rPr>
          <w:sz w:val="24"/>
          <w:szCs w:val="24"/>
        </w:rPr>
      </w:pPr>
      <w:r w:rsidRPr="00723C9F">
        <w:rPr>
          <w:rFonts w:ascii="Cambria Math" w:hAnsi="Cambria Math"/>
          <w:i/>
          <w:sz w:val="24"/>
          <w:szCs w:val="24"/>
        </w:rPr>
        <w:br/>
      </w: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PSD</m:t>
              </m:r>
            </m:e>
            <m:sub>
              <m:r>
                <w:rPr>
                  <w:rFonts w:ascii="Cambria Math" w:hAnsi="Cambria Math"/>
                  <w:sz w:val="24"/>
                  <w:szCs w:val="24"/>
                </w:rPr>
                <m:t>max</m:t>
              </m:r>
            </m:sub>
          </m:sSub>
          <m:r>
            <w:rPr>
              <w:rFonts w:ascii="Cambria Math" w:hAnsi="Cambria Math"/>
              <w:sz w:val="24"/>
              <w:szCs w:val="24"/>
            </w:rPr>
            <m:t xml:space="preserve">+10 </m:t>
          </m:r>
          <m:func>
            <m:funcPr>
              <m:ctrlPr>
                <w:rPr>
                  <w:rFonts w:ascii="Cambria Math" w:hAnsi="Cambria Math"/>
                  <w:i/>
                  <w:sz w:val="24"/>
                  <w:szCs w:val="24"/>
                </w:rPr>
              </m:ctrlPr>
            </m:funcPr>
            <m:fName>
              <m:r>
                <m:rPr>
                  <m:sty m:val="p"/>
                </m:rPr>
                <w:rPr>
                  <w:rFonts w:ascii="Cambria Math" w:hAnsi="Cambria Math"/>
                  <w:sz w:val="24"/>
                  <w:szCs w:val="24"/>
                </w:rPr>
                <m:t>log</m:t>
              </m:r>
            </m:fName>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e>
          </m:func>
        </m:oMath>
      </m:oMathPara>
    </w:p>
    <w:p w14:paraId="36162586" w14:textId="0D4437AF" w:rsidR="002B4EEE" w:rsidRPr="00723C9F" w:rsidRDefault="002B4EEE" w:rsidP="00656817">
      <w:pPr>
        <w:pStyle w:val="enumlev1"/>
        <w:rPr>
          <w:sz w:val="24"/>
          <w:szCs w:val="24"/>
        </w:rPr>
      </w:pPr>
    </w:p>
    <w:p w14:paraId="69502790" w14:textId="1F9EA0B1" w:rsidR="00656817" w:rsidRPr="00723C9F" w:rsidRDefault="00656817" w:rsidP="00656817">
      <w:pPr>
        <w:pStyle w:val="enumlev1"/>
        <w:rPr>
          <w:b/>
          <w:bCs/>
          <w:sz w:val="24"/>
          <w:szCs w:val="24"/>
        </w:rPr>
      </w:pPr>
      <w:r w:rsidRPr="00723C9F">
        <w:rPr>
          <w:b/>
          <w:bCs/>
          <w:sz w:val="24"/>
          <w:szCs w:val="24"/>
        </w:rPr>
        <w:tab/>
      </w:r>
      <w:r w:rsidR="00AE7575" w:rsidRPr="00723C9F">
        <w:rPr>
          <w:b/>
          <w:bCs/>
          <w:sz w:val="24"/>
          <w:szCs w:val="24"/>
        </w:rPr>
        <w:t xml:space="preserve">In case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r>
          <w:rPr>
            <w:rFonts w:ascii="Cambria Math" w:hAnsi="Cambria Math"/>
            <w:sz w:val="24"/>
            <w:szCs w:val="24"/>
          </w:rPr>
          <m:t xml:space="preserve">&lt;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00AE7575" w:rsidRPr="00723C9F">
        <w:rPr>
          <w:b/>
          <w:bCs/>
          <w:sz w:val="24"/>
          <w:szCs w:val="24"/>
        </w:rPr>
        <w:t xml:space="preserve"> (</w:t>
      </w:r>
      <w:r w:rsidR="00280E84" w:rsidRPr="00723C9F">
        <w:rPr>
          <w:b/>
          <w:bCs/>
          <w:sz w:val="24"/>
          <w:szCs w:val="24"/>
        </w:rPr>
        <w:t xml:space="preserve">legacy </w:t>
      </w:r>
      <w:r w:rsidR="00AE7575" w:rsidRPr="00723C9F">
        <w:rPr>
          <w:b/>
          <w:bCs/>
          <w:sz w:val="24"/>
          <w:szCs w:val="24"/>
        </w:rPr>
        <w:t>method applied previously):</w:t>
      </w:r>
    </w:p>
    <w:p w14:paraId="12279458" w14:textId="77777777" w:rsidR="00AE7575" w:rsidRPr="00723C9F" w:rsidRDefault="00AE7575" w:rsidP="00656817">
      <w:pPr>
        <w:pStyle w:val="enumlev1"/>
        <w:rPr>
          <w:sz w:val="24"/>
          <w:szCs w:val="24"/>
        </w:rPr>
      </w:pPr>
    </w:p>
    <w:p w14:paraId="430AB540" w14:textId="786ED475" w:rsidR="00656817" w:rsidRPr="00723C9F" w:rsidRDefault="00656817" w:rsidP="00656817">
      <w:pPr>
        <w:ind w:left="1440"/>
        <w:rPr>
          <w:sz w:val="24"/>
          <w:szCs w:val="24"/>
        </w:rPr>
      </w:pPr>
      <w:r w:rsidRPr="00723C9F">
        <w:rPr>
          <w:sz w:val="24"/>
          <w:szCs w:val="24"/>
        </w:rPr>
        <w:t xml:space="preserve">If </w:t>
      </w:r>
      <m:oMath>
        <m:r>
          <w:rPr>
            <w:rFonts w:ascii="Cambria Math" w:hAnsi="Cambria Math"/>
            <w:sz w:val="24"/>
            <w:szCs w:val="24"/>
          </w:rPr>
          <m:t xml:space="preserve">B≥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Pr="00723C9F">
        <w:rPr>
          <w:sz w:val="24"/>
          <w:szCs w:val="24"/>
        </w:rPr>
        <w:t xml:space="preserve"> then</w:t>
      </w:r>
    </w:p>
    <w:p w14:paraId="5EB7772A" w14:textId="47F7784B" w:rsidR="00AE7575" w:rsidRPr="00723C9F" w:rsidRDefault="00AE7575" w:rsidP="00656817">
      <w:pPr>
        <w:ind w:left="1440"/>
        <w:rPr>
          <w:sz w:val="24"/>
          <w:szCs w:val="24"/>
        </w:rPr>
      </w:pPr>
      <w:r w:rsidRPr="00723C9F">
        <w:rPr>
          <w:sz w:val="24"/>
          <w:szCs w:val="24"/>
        </w:rPr>
        <w:tab/>
      </w:r>
      <w:r w:rsidRPr="00723C9F">
        <w:rPr>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PSD</m:t>
                </m:r>
              </m:e>
              <m:sub>
                <m:r>
                  <w:rPr>
                    <w:rFonts w:ascii="Cambria Math" w:hAnsi="Cambria Math"/>
                    <w:sz w:val="24"/>
                    <w:szCs w:val="24"/>
                  </w:rPr>
                  <m:t>max</m:t>
                </m:r>
              </m:sub>
            </m:sSub>
            <m:r>
              <w:rPr>
                <w:rFonts w:ascii="Cambria Math" w:hAnsi="Cambria Math"/>
                <w:sz w:val="24"/>
                <w:szCs w:val="24"/>
              </w:rPr>
              <m:t xml:space="preserve">+10 </m:t>
            </m:r>
            <m:func>
              <m:funcPr>
                <m:ctrlPr>
                  <w:rPr>
                    <w:rFonts w:ascii="Cambria Math" w:hAnsi="Cambria Math"/>
                    <w:i/>
                    <w:sz w:val="24"/>
                    <w:szCs w:val="24"/>
                  </w:rPr>
                </m:ctrlPr>
              </m:funcPr>
              <m:fName>
                <m:r>
                  <m:rPr>
                    <m:sty m:val="p"/>
                  </m:rPr>
                  <w:rPr>
                    <w:rFonts w:ascii="Cambria Math" w:hAnsi="Cambria Math"/>
                    <w:sz w:val="24"/>
                    <w:szCs w:val="24"/>
                  </w:rPr>
                  <m:t>log</m:t>
                </m:r>
              </m:fName>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e>
            </m:func>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max</m:t>
                </m:r>
              </m:sub>
            </m:sSub>
          </m:e>
        </m:d>
      </m:oMath>
      <w:r w:rsidR="00656817" w:rsidRPr="00723C9F">
        <w:rPr>
          <w:sz w:val="24"/>
          <w:szCs w:val="24"/>
        </w:rPr>
        <w:t>        </w:t>
      </w:r>
    </w:p>
    <w:p w14:paraId="1AA1AB9A" w14:textId="5122C85A" w:rsidR="00AE7575" w:rsidRPr="00723C9F" w:rsidRDefault="00AE7575" w:rsidP="00AE7575">
      <w:pPr>
        <w:ind w:left="1440"/>
        <w:rPr>
          <w:sz w:val="24"/>
          <w:szCs w:val="24"/>
        </w:rPr>
      </w:pPr>
      <w:r w:rsidRPr="00723C9F">
        <w:rPr>
          <w:sz w:val="24"/>
          <w:szCs w:val="24"/>
        </w:rPr>
        <w:t xml:space="preserve">If </w:t>
      </w:r>
      <m:oMath>
        <m:r>
          <w:rPr>
            <w:rFonts w:ascii="Cambria Math" w:hAnsi="Cambria Math"/>
            <w:sz w:val="24"/>
            <w:szCs w:val="24"/>
          </w:rPr>
          <m:t xml:space="preserve">B&lt;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Pr="00723C9F">
        <w:rPr>
          <w:sz w:val="24"/>
          <w:szCs w:val="24"/>
        </w:rPr>
        <w:t xml:space="preserve"> then</w:t>
      </w:r>
    </w:p>
    <w:p w14:paraId="4740E79F" w14:textId="490137F4" w:rsidR="00AE7575" w:rsidRPr="00723C9F" w:rsidRDefault="00AE7575" w:rsidP="00AE7575">
      <w:pPr>
        <w:ind w:left="1440"/>
        <w:rPr>
          <w:sz w:val="24"/>
          <w:szCs w:val="24"/>
        </w:rPr>
      </w:pPr>
      <w:r w:rsidRPr="00723C9F">
        <w:rPr>
          <w:sz w:val="24"/>
          <w:szCs w:val="24"/>
        </w:rPr>
        <w:tab/>
      </w:r>
      <w:r w:rsidRPr="00723C9F">
        <w:rPr>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max</m:t>
            </m:r>
          </m:sub>
        </m:sSub>
      </m:oMath>
      <w:r w:rsidRPr="00723C9F">
        <w:rPr>
          <w:sz w:val="24"/>
          <w:szCs w:val="24"/>
        </w:rPr>
        <w:t>        </w:t>
      </w:r>
    </w:p>
    <w:p w14:paraId="32468B83" w14:textId="77777777" w:rsidR="00AE7575" w:rsidRPr="00723C9F" w:rsidRDefault="00AE7575" w:rsidP="00AE7575">
      <w:pPr>
        <w:pStyle w:val="enumlev1"/>
        <w:rPr>
          <w:b/>
          <w:bCs/>
          <w:sz w:val="24"/>
          <w:szCs w:val="24"/>
        </w:rPr>
      </w:pPr>
    </w:p>
    <w:p w14:paraId="1BFC6449" w14:textId="5762F3C2" w:rsidR="00AE7575" w:rsidRPr="00723C9F" w:rsidRDefault="00AE7575" w:rsidP="00AE7575">
      <w:pPr>
        <w:pStyle w:val="enumlev1"/>
        <w:rPr>
          <w:b/>
          <w:bCs/>
          <w:sz w:val="24"/>
          <w:szCs w:val="24"/>
        </w:rPr>
      </w:pPr>
      <w:r w:rsidRPr="00723C9F">
        <w:rPr>
          <w:b/>
          <w:bCs/>
          <w:sz w:val="24"/>
          <w:szCs w:val="24"/>
        </w:rPr>
        <w:tab/>
        <w:t xml:space="preserve">In case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r>
          <w:rPr>
            <w:rFonts w:ascii="Cambria Math" w:hAnsi="Cambria Math"/>
            <w:sz w:val="24"/>
            <w:szCs w:val="24"/>
          </w:rPr>
          <m:t xml:space="preserve">&gt;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Pr="00723C9F">
        <w:rPr>
          <w:b/>
          <w:bCs/>
          <w:sz w:val="24"/>
          <w:szCs w:val="24"/>
        </w:rPr>
        <w:t xml:space="preserve"> (no cases currently):</w:t>
      </w:r>
    </w:p>
    <w:p w14:paraId="331D471E" w14:textId="77777777" w:rsidR="00AE7575" w:rsidRPr="00723C9F" w:rsidRDefault="00656817" w:rsidP="00AE7575">
      <w:pPr>
        <w:ind w:left="1440"/>
        <w:rPr>
          <w:sz w:val="24"/>
          <w:szCs w:val="24"/>
        </w:rPr>
      </w:pPr>
      <w:r w:rsidRPr="00723C9F">
        <w:rPr>
          <w:b/>
          <w:bCs/>
          <w:sz w:val="24"/>
          <w:szCs w:val="24"/>
        </w:rPr>
        <w:tab/>
      </w:r>
      <w:r w:rsidR="00AE7575" w:rsidRPr="00723C9F">
        <w:rPr>
          <w:sz w:val="24"/>
          <w:szCs w:val="24"/>
        </w:rPr>
        <w:t xml:space="preserve">If </w:t>
      </w:r>
      <m:oMath>
        <m:r>
          <w:rPr>
            <w:rFonts w:ascii="Cambria Math" w:hAnsi="Cambria Math"/>
            <w:sz w:val="24"/>
            <w:szCs w:val="24"/>
          </w:rPr>
          <m:t xml:space="preserve">B≥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00AE7575" w:rsidRPr="00723C9F">
        <w:rPr>
          <w:sz w:val="24"/>
          <w:szCs w:val="24"/>
        </w:rPr>
        <w:t xml:space="preserve"> then</w:t>
      </w:r>
    </w:p>
    <w:p w14:paraId="053E1DE6" w14:textId="0BADB20F" w:rsidR="00AE7575" w:rsidRPr="00723C9F" w:rsidRDefault="00AE7575" w:rsidP="00AE7575">
      <w:pPr>
        <w:ind w:left="1440"/>
        <w:rPr>
          <w:sz w:val="24"/>
          <w:szCs w:val="24"/>
        </w:rPr>
      </w:pPr>
      <w:r w:rsidRPr="00723C9F">
        <w:rPr>
          <w:sz w:val="24"/>
          <w:szCs w:val="24"/>
        </w:rPr>
        <w:tab/>
      </w:r>
      <w:r w:rsidRPr="00723C9F">
        <w:rPr>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PSD</m:t>
            </m:r>
          </m:e>
          <m:sub>
            <m:r>
              <w:rPr>
                <w:rFonts w:ascii="Cambria Math" w:hAnsi="Cambria Math"/>
                <w:sz w:val="24"/>
                <w:szCs w:val="24"/>
              </w:rPr>
              <m:t>max</m:t>
            </m:r>
          </m:sub>
        </m:sSub>
        <m:r>
          <w:rPr>
            <w:rFonts w:ascii="Cambria Math" w:hAnsi="Cambria Math"/>
            <w:sz w:val="24"/>
            <w:szCs w:val="24"/>
          </w:rPr>
          <m:t xml:space="preserve">+10 </m:t>
        </m:r>
        <m:func>
          <m:funcPr>
            <m:ctrlPr>
              <w:rPr>
                <w:rFonts w:ascii="Cambria Math" w:hAnsi="Cambria Math"/>
                <w:i/>
                <w:sz w:val="24"/>
                <w:szCs w:val="24"/>
              </w:rPr>
            </m:ctrlPr>
          </m:funcPr>
          <m:fName>
            <m:r>
              <m:rPr>
                <m:sty m:val="p"/>
              </m:rPr>
              <w:rPr>
                <w:rFonts w:ascii="Cambria Math" w:hAnsi="Cambria Math"/>
                <w:sz w:val="24"/>
                <w:szCs w:val="24"/>
              </w:rPr>
              <m:t>log</m:t>
            </m:r>
          </m:fName>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e>
        </m:func>
      </m:oMath>
    </w:p>
    <w:p w14:paraId="3B0DA56C" w14:textId="77777777" w:rsidR="00AE7575" w:rsidRPr="00723C9F" w:rsidRDefault="00AE7575" w:rsidP="00AE7575">
      <w:pPr>
        <w:ind w:left="1440"/>
        <w:rPr>
          <w:sz w:val="24"/>
          <w:szCs w:val="24"/>
        </w:rPr>
      </w:pPr>
      <w:r w:rsidRPr="00723C9F">
        <w:rPr>
          <w:sz w:val="24"/>
          <w:szCs w:val="24"/>
        </w:rPr>
        <w:t xml:space="preserve">If </w:t>
      </w:r>
      <m:oMath>
        <m:r>
          <w:rPr>
            <w:rFonts w:ascii="Cambria Math" w:hAnsi="Cambria Math"/>
            <w:sz w:val="24"/>
            <w:szCs w:val="24"/>
          </w:rPr>
          <m:t xml:space="preserve">B&lt;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Pr="00723C9F">
        <w:rPr>
          <w:sz w:val="24"/>
          <w:szCs w:val="24"/>
        </w:rPr>
        <w:t xml:space="preserve"> then</w:t>
      </w:r>
    </w:p>
    <w:p w14:paraId="158FE1CD" w14:textId="77777777" w:rsidR="00AE7575" w:rsidRPr="00723C9F" w:rsidRDefault="00AE7575" w:rsidP="00AE7575">
      <w:pPr>
        <w:ind w:left="1440"/>
        <w:rPr>
          <w:sz w:val="24"/>
          <w:szCs w:val="24"/>
        </w:rPr>
      </w:pPr>
      <w:r w:rsidRPr="00723C9F">
        <w:rPr>
          <w:sz w:val="24"/>
          <w:szCs w:val="24"/>
        </w:rPr>
        <w:tab/>
      </w:r>
      <w:r w:rsidRPr="00723C9F">
        <w:rPr>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max</m:t>
            </m:r>
          </m:sub>
        </m:sSub>
      </m:oMath>
      <w:r w:rsidRPr="00723C9F">
        <w:rPr>
          <w:sz w:val="24"/>
          <w:szCs w:val="24"/>
        </w:rPr>
        <w:t>        </w:t>
      </w:r>
    </w:p>
    <w:p w14:paraId="17A586B2" w14:textId="77777777" w:rsidR="00656817" w:rsidRPr="00723C9F" w:rsidRDefault="00656817" w:rsidP="00656817">
      <w:pPr>
        <w:pStyle w:val="enumlev1"/>
        <w:tabs>
          <w:tab w:val="clear" w:pos="794"/>
          <w:tab w:val="clear" w:pos="1191"/>
          <w:tab w:val="clear" w:pos="1588"/>
          <w:tab w:val="clear" w:pos="1985"/>
          <w:tab w:val="left" w:pos="0"/>
          <w:tab w:val="left" w:pos="900"/>
        </w:tabs>
        <w:spacing w:before="0" w:beforeAutospacing="1" w:after="120" w:line="240" w:lineRule="auto"/>
        <w:jc w:val="lowKashida"/>
        <w:rPr>
          <w:rFonts w:eastAsia="Times New Roman"/>
          <w:sz w:val="24"/>
          <w:szCs w:val="24"/>
        </w:rPr>
      </w:pPr>
    </w:p>
    <w:sectPr w:rsidR="00656817" w:rsidRPr="00723C9F" w:rsidSect="0053467C">
      <w:headerReference w:type="even" r:id="rId12"/>
      <w:headerReference w:type="default" r:id="rId13"/>
      <w:headerReference w:type="first" r:id="rId14"/>
      <w:footerReference w:type="first" r:id="rId15"/>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365C" w14:textId="77777777" w:rsidR="00C54D7D" w:rsidRDefault="00C54D7D">
      <w:r>
        <w:separator/>
      </w:r>
    </w:p>
  </w:endnote>
  <w:endnote w:type="continuationSeparator" w:id="0">
    <w:p w14:paraId="52F29020" w14:textId="77777777" w:rsidR="00C54D7D" w:rsidRDefault="00C5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77777777"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 </w:t>
    </w:r>
    <w:r w:rsidRPr="0070656B">
      <w:rPr>
        <w:rFonts w:eastAsia="Times New Roman"/>
        <w:color w:val="4F81BD" w:themeColor="accent1"/>
        <w:sz w:val="19"/>
        <w:szCs w:val="19"/>
        <w:lang w:val="fr-CH"/>
      </w:rPr>
      <w:br/>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 xml:space="preserve">Fax: +41 22 733 7256 </w:t>
    </w:r>
    <w:r w:rsidRPr="0070656B">
      <w:rPr>
        <w:rFonts w:eastAsia="Times New Roman"/>
        <w:color w:val="4F81BD" w:themeColor="accent1"/>
        <w:sz w:val="19"/>
        <w:szCs w:val="19"/>
        <w:lang w:val="fr-CH"/>
      </w:rPr>
      <w:t>• www.itu.int</w:t>
    </w:r>
  </w:p>
  <w:p w14:paraId="7957F140" w14:textId="77777777" w:rsidR="00066E5D" w:rsidRPr="005E5EB3" w:rsidRDefault="00066E5D"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381F" w14:textId="77777777" w:rsidR="00C54D7D" w:rsidRDefault="00C54D7D">
      <w:r>
        <w:t>____________________</w:t>
      </w:r>
    </w:p>
  </w:footnote>
  <w:footnote w:type="continuationSeparator" w:id="0">
    <w:p w14:paraId="1CC30C5C" w14:textId="77777777" w:rsidR="00C54D7D" w:rsidRDefault="00C5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D255" w14:textId="77777777"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6</w:t>
    </w:r>
    <w:r w:rsidRPr="000D79FA">
      <w:rPr>
        <w:sz w:val="18"/>
        <w:szCs w:val="18"/>
      </w:rPr>
      <w:fldChar w:fldCharType="end"/>
    </w:r>
    <w:r w:rsidRPr="000D79FA">
      <w:rPr>
        <w:sz w:val="18"/>
        <w:szCs w:val="18"/>
      </w:rPr>
      <w:t xml:space="preserve"> -</w:t>
    </w:r>
  </w:p>
  <w:p w14:paraId="0F498E93" w14:textId="7DCF0480" w:rsidR="00066E5D" w:rsidRPr="002A6CEE"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0137" w14:textId="2AD3FA10" w:rsidR="00066E5D" w:rsidRPr="000D79FA" w:rsidRDefault="00066E5D"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5</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066E5D" w14:paraId="6A118B91" w14:textId="77777777" w:rsidTr="001700C9">
      <w:tc>
        <w:tcPr>
          <w:tcW w:w="9955" w:type="dxa"/>
          <w:noWrap/>
          <w:tcMar>
            <w:left w:w="0" w:type="dxa"/>
          </w:tcMar>
        </w:tcPr>
        <w:p w14:paraId="348B964B" w14:textId="3919A80F" w:rsidR="00066E5D" w:rsidRDefault="00066E5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1056039304" name="Picture 105603930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066E5D" w:rsidRPr="00EA15B3" w:rsidRDefault="00066E5D" w:rsidP="0073727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15:restartNumberingAfterBreak="0">
    <w:nsid w:val="4A252960"/>
    <w:multiLevelType w:val="hybridMultilevel"/>
    <w:tmpl w:val="F502EE0E"/>
    <w:lvl w:ilvl="0" w:tplc="9FCAACA6">
      <w:start w:val="1"/>
      <w:numFmt w:val="decimal"/>
      <w:lvlText w:val="%1"/>
      <w:lvlJc w:val="left"/>
      <w:pPr>
        <w:ind w:left="1150" w:hanging="7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42164"/>
    <w:multiLevelType w:val="hybridMultilevel"/>
    <w:tmpl w:val="AD7CEDB4"/>
    <w:lvl w:ilvl="0" w:tplc="11042C7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288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411191">
    <w:abstractNumId w:val="10"/>
  </w:num>
  <w:num w:numId="3" w16cid:durableId="839467907">
    <w:abstractNumId w:val="7"/>
  </w:num>
  <w:num w:numId="4" w16cid:durableId="1087308094">
    <w:abstractNumId w:val="19"/>
  </w:num>
  <w:num w:numId="5" w16cid:durableId="726605741">
    <w:abstractNumId w:val="9"/>
  </w:num>
  <w:num w:numId="6" w16cid:durableId="1382824987">
    <w:abstractNumId w:val="4"/>
  </w:num>
  <w:num w:numId="7" w16cid:durableId="1065026660">
    <w:abstractNumId w:val="25"/>
  </w:num>
  <w:num w:numId="8" w16cid:durableId="935213416">
    <w:abstractNumId w:val="23"/>
  </w:num>
  <w:num w:numId="9" w16cid:durableId="1824933976">
    <w:abstractNumId w:val="12"/>
  </w:num>
  <w:num w:numId="10" w16cid:durableId="46733118">
    <w:abstractNumId w:val="6"/>
  </w:num>
  <w:num w:numId="11" w16cid:durableId="846165718">
    <w:abstractNumId w:val="22"/>
  </w:num>
  <w:num w:numId="12" w16cid:durableId="38095335">
    <w:abstractNumId w:val="21"/>
  </w:num>
  <w:num w:numId="13" w16cid:durableId="1083792942">
    <w:abstractNumId w:val="26"/>
  </w:num>
  <w:num w:numId="14" w16cid:durableId="1314330867">
    <w:abstractNumId w:val="11"/>
  </w:num>
  <w:num w:numId="15" w16cid:durableId="61949043">
    <w:abstractNumId w:val="15"/>
  </w:num>
  <w:num w:numId="16" w16cid:durableId="134106261">
    <w:abstractNumId w:val="17"/>
  </w:num>
  <w:num w:numId="17" w16cid:durableId="1630622776">
    <w:abstractNumId w:val="8"/>
  </w:num>
  <w:num w:numId="18" w16cid:durableId="1222323536">
    <w:abstractNumId w:val="24"/>
  </w:num>
  <w:num w:numId="19" w16cid:durableId="70350268">
    <w:abstractNumId w:val="5"/>
  </w:num>
  <w:num w:numId="20" w16cid:durableId="343747040">
    <w:abstractNumId w:val="18"/>
  </w:num>
  <w:num w:numId="21" w16cid:durableId="1732920813">
    <w:abstractNumId w:val="20"/>
  </w:num>
  <w:num w:numId="22" w16cid:durableId="191387849">
    <w:abstractNumId w:val="14"/>
  </w:num>
  <w:num w:numId="23" w16cid:durableId="877743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E30"/>
    <w:rsid w:val="00015C76"/>
    <w:rsid w:val="0001764B"/>
    <w:rsid w:val="00022AAC"/>
    <w:rsid w:val="00023182"/>
    <w:rsid w:val="000235F4"/>
    <w:rsid w:val="00023A87"/>
    <w:rsid w:val="00026CF8"/>
    <w:rsid w:val="000304E3"/>
    <w:rsid w:val="00031E64"/>
    <w:rsid w:val="000333D2"/>
    <w:rsid w:val="00034BB5"/>
    <w:rsid w:val="00037B95"/>
    <w:rsid w:val="00043C9A"/>
    <w:rsid w:val="000449B0"/>
    <w:rsid w:val="000468B6"/>
    <w:rsid w:val="00047C98"/>
    <w:rsid w:val="00051709"/>
    <w:rsid w:val="00054138"/>
    <w:rsid w:val="00054E5D"/>
    <w:rsid w:val="00066E5D"/>
    <w:rsid w:val="00070258"/>
    <w:rsid w:val="0007323C"/>
    <w:rsid w:val="00085769"/>
    <w:rsid w:val="00086D03"/>
    <w:rsid w:val="00096A12"/>
    <w:rsid w:val="000A1D1B"/>
    <w:rsid w:val="000A2BD9"/>
    <w:rsid w:val="000A43DF"/>
    <w:rsid w:val="000A445E"/>
    <w:rsid w:val="000A7051"/>
    <w:rsid w:val="000B0032"/>
    <w:rsid w:val="000B050B"/>
    <w:rsid w:val="000B0AF6"/>
    <w:rsid w:val="000B0E9B"/>
    <w:rsid w:val="000B6635"/>
    <w:rsid w:val="000C03C7"/>
    <w:rsid w:val="000C0E2D"/>
    <w:rsid w:val="000C10EF"/>
    <w:rsid w:val="000C15F9"/>
    <w:rsid w:val="000D288A"/>
    <w:rsid w:val="000D79FA"/>
    <w:rsid w:val="000E150B"/>
    <w:rsid w:val="000E3DEE"/>
    <w:rsid w:val="000F1785"/>
    <w:rsid w:val="000F38B2"/>
    <w:rsid w:val="000F6541"/>
    <w:rsid w:val="00100B72"/>
    <w:rsid w:val="00101F7D"/>
    <w:rsid w:val="00103C76"/>
    <w:rsid w:val="0010647C"/>
    <w:rsid w:val="00111BFA"/>
    <w:rsid w:val="0011265F"/>
    <w:rsid w:val="0011553E"/>
    <w:rsid w:val="00117282"/>
    <w:rsid w:val="00122884"/>
    <w:rsid w:val="00126AE4"/>
    <w:rsid w:val="00134404"/>
    <w:rsid w:val="00135053"/>
    <w:rsid w:val="00137ECC"/>
    <w:rsid w:val="00142E6E"/>
    <w:rsid w:val="00143BB6"/>
    <w:rsid w:val="00144DFB"/>
    <w:rsid w:val="00145EAB"/>
    <w:rsid w:val="0014624F"/>
    <w:rsid w:val="00146F88"/>
    <w:rsid w:val="00151DDC"/>
    <w:rsid w:val="00152E29"/>
    <w:rsid w:val="00154BF4"/>
    <w:rsid w:val="00164A74"/>
    <w:rsid w:val="00165B3D"/>
    <w:rsid w:val="001700C9"/>
    <w:rsid w:val="0017162E"/>
    <w:rsid w:val="00180B2F"/>
    <w:rsid w:val="00184F53"/>
    <w:rsid w:val="00187CA3"/>
    <w:rsid w:val="0019129E"/>
    <w:rsid w:val="0019487F"/>
    <w:rsid w:val="001956AA"/>
    <w:rsid w:val="00196710"/>
    <w:rsid w:val="00197324"/>
    <w:rsid w:val="001B29EE"/>
    <w:rsid w:val="001B351B"/>
    <w:rsid w:val="001B6254"/>
    <w:rsid w:val="001B734E"/>
    <w:rsid w:val="001B7C76"/>
    <w:rsid w:val="001C06DB"/>
    <w:rsid w:val="001C2E84"/>
    <w:rsid w:val="001C39B7"/>
    <w:rsid w:val="001C71F3"/>
    <w:rsid w:val="001D4E1D"/>
    <w:rsid w:val="001D7070"/>
    <w:rsid w:val="001E07B8"/>
    <w:rsid w:val="001E2A93"/>
    <w:rsid w:val="001F2339"/>
    <w:rsid w:val="001F3F48"/>
    <w:rsid w:val="001F4D00"/>
    <w:rsid w:val="001F5966"/>
    <w:rsid w:val="001F5A49"/>
    <w:rsid w:val="002004E7"/>
    <w:rsid w:val="00201097"/>
    <w:rsid w:val="00201B6E"/>
    <w:rsid w:val="00202D26"/>
    <w:rsid w:val="00204156"/>
    <w:rsid w:val="00204F26"/>
    <w:rsid w:val="00216B9C"/>
    <w:rsid w:val="002302B3"/>
    <w:rsid w:val="00230C66"/>
    <w:rsid w:val="00235A29"/>
    <w:rsid w:val="00235AF6"/>
    <w:rsid w:val="00240F91"/>
    <w:rsid w:val="002443A2"/>
    <w:rsid w:val="00250D4F"/>
    <w:rsid w:val="002527DF"/>
    <w:rsid w:val="00257882"/>
    <w:rsid w:val="00257A19"/>
    <w:rsid w:val="00261D5F"/>
    <w:rsid w:val="00263235"/>
    <w:rsid w:val="00266E2B"/>
    <w:rsid w:val="00274AEA"/>
    <w:rsid w:val="00280E84"/>
    <w:rsid w:val="00281075"/>
    <w:rsid w:val="002861E6"/>
    <w:rsid w:val="00287D18"/>
    <w:rsid w:val="00295CF8"/>
    <w:rsid w:val="002A17C1"/>
    <w:rsid w:val="002A2618"/>
    <w:rsid w:val="002A2CAA"/>
    <w:rsid w:val="002A6CEE"/>
    <w:rsid w:val="002B4EEE"/>
    <w:rsid w:val="002C73C0"/>
    <w:rsid w:val="002D01C2"/>
    <w:rsid w:val="002D585E"/>
    <w:rsid w:val="002D5A15"/>
    <w:rsid w:val="002D5ADC"/>
    <w:rsid w:val="002D5BDD"/>
    <w:rsid w:val="002D631B"/>
    <w:rsid w:val="002E2AFE"/>
    <w:rsid w:val="002E3D27"/>
    <w:rsid w:val="002E5BED"/>
    <w:rsid w:val="002F0890"/>
    <w:rsid w:val="002F0A0D"/>
    <w:rsid w:val="002F2531"/>
    <w:rsid w:val="002F4967"/>
    <w:rsid w:val="002F499F"/>
    <w:rsid w:val="00300DB9"/>
    <w:rsid w:val="00316935"/>
    <w:rsid w:val="00327A42"/>
    <w:rsid w:val="00330DAF"/>
    <w:rsid w:val="00335CB4"/>
    <w:rsid w:val="003370B8"/>
    <w:rsid w:val="00337C74"/>
    <w:rsid w:val="00345D38"/>
    <w:rsid w:val="00347561"/>
    <w:rsid w:val="00350B86"/>
    <w:rsid w:val="00352877"/>
    <w:rsid w:val="00362140"/>
    <w:rsid w:val="003666FF"/>
    <w:rsid w:val="00367724"/>
    <w:rsid w:val="003677DA"/>
    <w:rsid w:val="00370639"/>
    <w:rsid w:val="003720E3"/>
    <w:rsid w:val="003A1F49"/>
    <w:rsid w:val="003A226A"/>
    <w:rsid w:val="003B02DF"/>
    <w:rsid w:val="003B2BDA"/>
    <w:rsid w:val="003B55EC"/>
    <w:rsid w:val="003C2B69"/>
    <w:rsid w:val="003C4471"/>
    <w:rsid w:val="003E198E"/>
    <w:rsid w:val="003E41DB"/>
    <w:rsid w:val="003E504F"/>
    <w:rsid w:val="003E6F09"/>
    <w:rsid w:val="003E707D"/>
    <w:rsid w:val="003E78D6"/>
    <w:rsid w:val="003F38A5"/>
    <w:rsid w:val="003F3A0C"/>
    <w:rsid w:val="003F6A1B"/>
    <w:rsid w:val="003F72F3"/>
    <w:rsid w:val="00402667"/>
    <w:rsid w:val="00403D58"/>
    <w:rsid w:val="00404788"/>
    <w:rsid w:val="00406D71"/>
    <w:rsid w:val="0041247F"/>
    <w:rsid w:val="00415160"/>
    <w:rsid w:val="00420791"/>
    <w:rsid w:val="004324F8"/>
    <w:rsid w:val="004326DB"/>
    <w:rsid w:val="0043682E"/>
    <w:rsid w:val="004369F2"/>
    <w:rsid w:val="004442CA"/>
    <w:rsid w:val="00447ECB"/>
    <w:rsid w:val="0045277D"/>
    <w:rsid w:val="004530A4"/>
    <w:rsid w:val="00457403"/>
    <w:rsid w:val="004575EB"/>
    <w:rsid w:val="004623F7"/>
    <w:rsid w:val="00463512"/>
    <w:rsid w:val="00463CE7"/>
    <w:rsid w:val="00463EF0"/>
    <w:rsid w:val="0047245B"/>
    <w:rsid w:val="00475B17"/>
    <w:rsid w:val="00480F51"/>
    <w:rsid w:val="00480FE5"/>
    <w:rsid w:val="00481124"/>
    <w:rsid w:val="004815EB"/>
    <w:rsid w:val="00484FE6"/>
    <w:rsid w:val="004853AD"/>
    <w:rsid w:val="00486571"/>
    <w:rsid w:val="00487569"/>
    <w:rsid w:val="00494933"/>
    <w:rsid w:val="00496864"/>
    <w:rsid w:val="00496920"/>
    <w:rsid w:val="00496D17"/>
    <w:rsid w:val="004A1F27"/>
    <w:rsid w:val="004A4496"/>
    <w:rsid w:val="004A451F"/>
    <w:rsid w:val="004B11AB"/>
    <w:rsid w:val="004B6CCB"/>
    <w:rsid w:val="004B7C9A"/>
    <w:rsid w:val="004C13E7"/>
    <w:rsid w:val="004C38A1"/>
    <w:rsid w:val="004C6779"/>
    <w:rsid w:val="004D020F"/>
    <w:rsid w:val="004D0E51"/>
    <w:rsid w:val="004D4ED0"/>
    <w:rsid w:val="004E0712"/>
    <w:rsid w:val="004E0DC4"/>
    <w:rsid w:val="004E0FB5"/>
    <w:rsid w:val="004E43BB"/>
    <w:rsid w:val="004E486B"/>
    <w:rsid w:val="004E677B"/>
    <w:rsid w:val="004E7D5D"/>
    <w:rsid w:val="004F1016"/>
    <w:rsid w:val="004F178E"/>
    <w:rsid w:val="004F1F97"/>
    <w:rsid w:val="00505309"/>
    <w:rsid w:val="0050789B"/>
    <w:rsid w:val="00512C49"/>
    <w:rsid w:val="00513B88"/>
    <w:rsid w:val="00516901"/>
    <w:rsid w:val="00520189"/>
    <w:rsid w:val="005224A1"/>
    <w:rsid w:val="00531FD9"/>
    <w:rsid w:val="005332A6"/>
    <w:rsid w:val="00534372"/>
    <w:rsid w:val="0053467C"/>
    <w:rsid w:val="0053796C"/>
    <w:rsid w:val="00541C5B"/>
    <w:rsid w:val="00543DF8"/>
    <w:rsid w:val="0054475A"/>
    <w:rsid w:val="00546101"/>
    <w:rsid w:val="005530B1"/>
    <w:rsid w:val="00553DD7"/>
    <w:rsid w:val="005628BA"/>
    <w:rsid w:val="005638CF"/>
    <w:rsid w:val="00563FF1"/>
    <w:rsid w:val="0056641D"/>
    <w:rsid w:val="0056741E"/>
    <w:rsid w:val="0057197E"/>
    <w:rsid w:val="0057325A"/>
    <w:rsid w:val="0057469A"/>
    <w:rsid w:val="00580814"/>
    <w:rsid w:val="00586DD6"/>
    <w:rsid w:val="00591FE2"/>
    <w:rsid w:val="005A03A3"/>
    <w:rsid w:val="005A2AAA"/>
    <w:rsid w:val="005A2B92"/>
    <w:rsid w:val="005A6F41"/>
    <w:rsid w:val="005A79E9"/>
    <w:rsid w:val="005B214C"/>
    <w:rsid w:val="005B42B3"/>
    <w:rsid w:val="005C3112"/>
    <w:rsid w:val="005D3669"/>
    <w:rsid w:val="005D4416"/>
    <w:rsid w:val="005E5EB3"/>
    <w:rsid w:val="005F3CB6"/>
    <w:rsid w:val="005F657C"/>
    <w:rsid w:val="005F74B8"/>
    <w:rsid w:val="00602D53"/>
    <w:rsid w:val="0060417B"/>
    <w:rsid w:val="006047E5"/>
    <w:rsid w:val="00606D6A"/>
    <w:rsid w:val="00614623"/>
    <w:rsid w:val="00617DC5"/>
    <w:rsid w:val="00627CE1"/>
    <w:rsid w:val="00637CAB"/>
    <w:rsid w:val="006402E9"/>
    <w:rsid w:val="0064371D"/>
    <w:rsid w:val="00650B2A"/>
    <w:rsid w:val="00651777"/>
    <w:rsid w:val="006550F8"/>
    <w:rsid w:val="006554AB"/>
    <w:rsid w:val="00655A02"/>
    <w:rsid w:val="00655C3A"/>
    <w:rsid w:val="00656817"/>
    <w:rsid w:val="00657F12"/>
    <w:rsid w:val="006800E8"/>
    <w:rsid w:val="00683247"/>
    <w:rsid w:val="00684EE0"/>
    <w:rsid w:val="00690A1B"/>
    <w:rsid w:val="006961E4"/>
    <w:rsid w:val="006A115B"/>
    <w:rsid w:val="006A49DC"/>
    <w:rsid w:val="006A518B"/>
    <w:rsid w:val="006A5B9A"/>
    <w:rsid w:val="006A6A97"/>
    <w:rsid w:val="006B04B7"/>
    <w:rsid w:val="006B0590"/>
    <w:rsid w:val="006B49DA"/>
    <w:rsid w:val="006C3ACE"/>
    <w:rsid w:val="006C7CDE"/>
    <w:rsid w:val="006D214D"/>
    <w:rsid w:val="006D70FC"/>
    <w:rsid w:val="006F1A35"/>
    <w:rsid w:val="006F3F75"/>
    <w:rsid w:val="006F72B3"/>
    <w:rsid w:val="007038CC"/>
    <w:rsid w:val="0070656B"/>
    <w:rsid w:val="00713F11"/>
    <w:rsid w:val="00714AE6"/>
    <w:rsid w:val="0071608A"/>
    <w:rsid w:val="0071658E"/>
    <w:rsid w:val="007234B1"/>
    <w:rsid w:val="00723C9F"/>
    <w:rsid w:val="00726A6E"/>
    <w:rsid w:val="00727816"/>
    <w:rsid w:val="00730B9A"/>
    <w:rsid w:val="007315BD"/>
    <w:rsid w:val="00737279"/>
    <w:rsid w:val="0074244F"/>
    <w:rsid w:val="00742E77"/>
    <w:rsid w:val="00750CFA"/>
    <w:rsid w:val="00754007"/>
    <w:rsid w:val="0075521E"/>
    <w:rsid w:val="007553DA"/>
    <w:rsid w:val="007659B1"/>
    <w:rsid w:val="0077544F"/>
    <w:rsid w:val="00782354"/>
    <w:rsid w:val="007921A7"/>
    <w:rsid w:val="00796464"/>
    <w:rsid w:val="007A45DC"/>
    <w:rsid w:val="007A7AB6"/>
    <w:rsid w:val="007B26FA"/>
    <w:rsid w:val="007B3DB1"/>
    <w:rsid w:val="007B7498"/>
    <w:rsid w:val="007C1309"/>
    <w:rsid w:val="007C382F"/>
    <w:rsid w:val="007D0A21"/>
    <w:rsid w:val="007D183E"/>
    <w:rsid w:val="007D55ED"/>
    <w:rsid w:val="007D6846"/>
    <w:rsid w:val="007E0B73"/>
    <w:rsid w:val="007E0E94"/>
    <w:rsid w:val="007E1833"/>
    <w:rsid w:val="007E3F13"/>
    <w:rsid w:val="007F4C50"/>
    <w:rsid w:val="007F7046"/>
    <w:rsid w:val="007F751A"/>
    <w:rsid w:val="00800012"/>
    <w:rsid w:val="00803594"/>
    <w:rsid w:val="00803AED"/>
    <w:rsid w:val="0081338A"/>
    <w:rsid w:val="008143A4"/>
    <w:rsid w:val="0081513E"/>
    <w:rsid w:val="00821311"/>
    <w:rsid w:val="0082164F"/>
    <w:rsid w:val="00827FDD"/>
    <w:rsid w:val="0083025F"/>
    <w:rsid w:val="008366B5"/>
    <w:rsid w:val="00852EC3"/>
    <w:rsid w:val="00854131"/>
    <w:rsid w:val="0085652D"/>
    <w:rsid w:val="00856B68"/>
    <w:rsid w:val="00861A14"/>
    <w:rsid w:val="008632B1"/>
    <w:rsid w:val="00874ED2"/>
    <w:rsid w:val="0087694B"/>
    <w:rsid w:val="00884223"/>
    <w:rsid w:val="008864F8"/>
    <w:rsid w:val="008871A4"/>
    <w:rsid w:val="00887EE8"/>
    <w:rsid w:val="00894C14"/>
    <w:rsid w:val="0089578B"/>
    <w:rsid w:val="008A0019"/>
    <w:rsid w:val="008A1AC2"/>
    <w:rsid w:val="008A300E"/>
    <w:rsid w:val="008A5114"/>
    <w:rsid w:val="008A6F47"/>
    <w:rsid w:val="008A75CD"/>
    <w:rsid w:val="008B7BE5"/>
    <w:rsid w:val="008C0966"/>
    <w:rsid w:val="008C2E74"/>
    <w:rsid w:val="008C78B8"/>
    <w:rsid w:val="008D2DF9"/>
    <w:rsid w:val="008D5409"/>
    <w:rsid w:val="008D7618"/>
    <w:rsid w:val="008E006D"/>
    <w:rsid w:val="008E485B"/>
    <w:rsid w:val="008F3A1F"/>
    <w:rsid w:val="008F4F21"/>
    <w:rsid w:val="00904D4A"/>
    <w:rsid w:val="00912ECB"/>
    <w:rsid w:val="00913693"/>
    <w:rsid w:val="009141DE"/>
    <w:rsid w:val="009151BA"/>
    <w:rsid w:val="00925023"/>
    <w:rsid w:val="009277BC"/>
    <w:rsid w:val="00927D57"/>
    <w:rsid w:val="00931A51"/>
    <w:rsid w:val="009323DA"/>
    <w:rsid w:val="00935527"/>
    <w:rsid w:val="00936D0F"/>
    <w:rsid w:val="00941932"/>
    <w:rsid w:val="00947185"/>
    <w:rsid w:val="009560C2"/>
    <w:rsid w:val="00956880"/>
    <w:rsid w:val="00957A98"/>
    <w:rsid w:val="00963362"/>
    <w:rsid w:val="00963D0B"/>
    <w:rsid w:val="00963D9D"/>
    <w:rsid w:val="009661F4"/>
    <w:rsid w:val="009758B9"/>
    <w:rsid w:val="00975D6F"/>
    <w:rsid w:val="0098013E"/>
    <w:rsid w:val="00981B54"/>
    <w:rsid w:val="00982041"/>
    <w:rsid w:val="009842C3"/>
    <w:rsid w:val="00986E5D"/>
    <w:rsid w:val="009A009A"/>
    <w:rsid w:val="009A2B0B"/>
    <w:rsid w:val="009A6BB6"/>
    <w:rsid w:val="009B1BF4"/>
    <w:rsid w:val="009B2242"/>
    <w:rsid w:val="009B3F43"/>
    <w:rsid w:val="009B5CFA"/>
    <w:rsid w:val="009C161F"/>
    <w:rsid w:val="009C3038"/>
    <w:rsid w:val="009C56B4"/>
    <w:rsid w:val="009C6769"/>
    <w:rsid w:val="009D00DC"/>
    <w:rsid w:val="009D15A0"/>
    <w:rsid w:val="009D51A2"/>
    <w:rsid w:val="009E04A8"/>
    <w:rsid w:val="009E4AEC"/>
    <w:rsid w:val="009E5BD8"/>
    <w:rsid w:val="009E681E"/>
    <w:rsid w:val="009E6EBB"/>
    <w:rsid w:val="009F1E33"/>
    <w:rsid w:val="009F70E5"/>
    <w:rsid w:val="00A02280"/>
    <w:rsid w:val="00A03CF9"/>
    <w:rsid w:val="00A067CC"/>
    <w:rsid w:val="00A10269"/>
    <w:rsid w:val="00A119E6"/>
    <w:rsid w:val="00A12572"/>
    <w:rsid w:val="00A15F66"/>
    <w:rsid w:val="00A17727"/>
    <w:rsid w:val="00A24A6F"/>
    <w:rsid w:val="00A2541D"/>
    <w:rsid w:val="00A2671E"/>
    <w:rsid w:val="00A30388"/>
    <w:rsid w:val="00A31370"/>
    <w:rsid w:val="00A3147D"/>
    <w:rsid w:val="00A340D6"/>
    <w:rsid w:val="00A34963"/>
    <w:rsid w:val="00A34D6F"/>
    <w:rsid w:val="00A35635"/>
    <w:rsid w:val="00A41ADA"/>
    <w:rsid w:val="00A41F91"/>
    <w:rsid w:val="00A442A8"/>
    <w:rsid w:val="00A56F09"/>
    <w:rsid w:val="00A600CA"/>
    <w:rsid w:val="00A66EB8"/>
    <w:rsid w:val="00A700B7"/>
    <w:rsid w:val="00A75CA2"/>
    <w:rsid w:val="00A80D29"/>
    <w:rsid w:val="00A82972"/>
    <w:rsid w:val="00A963DF"/>
    <w:rsid w:val="00AB10BE"/>
    <w:rsid w:val="00AB7201"/>
    <w:rsid w:val="00AC05B1"/>
    <w:rsid w:val="00AC3896"/>
    <w:rsid w:val="00AD0123"/>
    <w:rsid w:val="00AD7647"/>
    <w:rsid w:val="00AD7D10"/>
    <w:rsid w:val="00AE112D"/>
    <w:rsid w:val="00AE2D88"/>
    <w:rsid w:val="00AE6F6F"/>
    <w:rsid w:val="00AE7575"/>
    <w:rsid w:val="00AE7722"/>
    <w:rsid w:val="00AF3325"/>
    <w:rsid w:val="00AF34D9"/>
    <w:rsid w:val="00AF70DA"/>
    <w:rsid w:val="00B019D3"/>
    <w:rsid w:val="00B21D20"/>
    <w:rsid w:val="00B32758"/>
    <w:rsid w:val="00B34CF9"/>
    <w:rsid w:val="00B36D6C"/>
    <w:rsid w:val="00B37559"/>
    <w:rsid w:val="00B4508C"/>
    <w:rsid w:val="00B50A49"/>
    <w:rsid w:val="00B5209B"/>
    <w:rsid w:val="00B579B0"/>
    <w:rsid w:val="00B672ED"/>
    <w:rsid w:val="00B71032"/>
    <w:rsid w:val="00B72197"/>
    <w:rsid w:val="00B747D1"/>
    <w:rsid w:val="00B75EA5"/>
    <w:rsid w:val="00B7724A"/>
    <w:rsid w:val="00B82BAA"/>
    <w:rsid w:val="00B84B68"/>
    <w:rsid w:val="00B90C45"/>
    <w:rsid w:val="00B91535"/>
    <w:rsid w:val="00B933BE"/>
    <w:rsid w:val="00BA5BB2"/>
    <w:rsid w:val="00BB0D72"/>
    <w:rsid w:val="00BB1751"/>
    <w:rsid w:val="00BB528C"/>
    <w:rsid w:val="00BB6557"/>
    <w:rsid w:val="00BB68D8"/>
    <w:rsid w:val="00BB6D35"/>
    <w:rsid w:val="00BD41F6"/>
    <w:rsid w:val="00BD64F8"/>
    <w:rsid w:val="00BD6738"/>
    <w:rsid w:val="00BD68F8"/>
    <w:rsid w:val="00BD7E5E"/>
    <w:rsid w:val="00BE14EE"/>
    <w:rsid w:val="00BE197D"/>
    <w:rsid w:val="00BE22B9"/>
    <w:rsid w:val="00BE44AA"/>
    <w:rsid w:val="00BE6574"/>
    <w:rsid w:val="00C0122F"/>
    <w:rsid w:val="00C06566"/>
    <w:rsid w:val="00C07806"/>
    <w:rsid w:val="00C11F58"/>
    <w:rsid w:val="00C13597"/>
    <w:rsid w:val="00C1516A"/>
    <w:rsid w:val="00C16FD2"/>
    <w:rsid w:val="00C22F0D"/>
    <w:rsid w:val="00C22F1A"/>
    <w:rsid w:val="00C24730"/>
    <w:rsid w:val="00C300E4"/>
    <w:rsid w:val="00C33937"/>
    <w:rsid w:val="00C43032"/>
    <w:rsid w:val="00C45B3F"/>
    <w:rsid w:val="00C47CF9"/>
    <w:rsid w:val="00C47FFD"/>
    <w:rsid w:val="00C54D7D"/>
    <w:rsid w:val="00C57E2C"/>
    <w:rsid w:val="00C6046B"/>
    <w:rsid w:val="00C608B7"/>
    <w:rsid w:val="00C617B3"/>
    <w:rsid w:val="00C66F24"/>
    <w:rsid w:val="00C76660"/>
    <w:rsid w:val="00C767E8"/>
    <w:rsid w:val="00C80B37"/>
    <w:rsid w:val="00C813AA"/>
    <w:rsid w:val="00C826DF"/>
    <w:rsid w:val="00C9291E"/>
    <w:rsid w:val="00C97702"/>
    <w:rsid w:val="00CA3F44"/>
    <w:rsid w:val="00CA4E58"/>
    <w:rsid w:val="00CA5319"/>
    <w:rsid w:val="00CB3771"/>
    <w:rsid w:val="00CB44BF"/>
    <w:rsid w:val="00CB5153"/>
    <w:rsid w:val="00CB6925"/>
    <w:rsid w:val="00CE076A"/>
    <w:rsid w:val="00CE463D"/>
    <w:rsid w:val="00CF2A15"/>
    <w:rsid w:val="00D05B3E"/>
    <w:rsid w:val="00D06CD0"/>
    <w:rsid w:val="00D10BA0"/>
    <w:rsid w:val="00D21132"/>
    <w:rsid w:val="00D21952"/>
    <w:rsid w:val="00D24782"/>
    <w:rsid w:val="00D24EB5"/>
    <w:rsid w:val="00D30D33"/>
    <w:rsid w:val="00D35AB9"/>
    <w:rsid w:val="00D37776"/>
    <w:rsid w:val="00D41571"/>
    <w:rsid w:val="00D416A0"/>
    <w:rsid w:val="00D4193D"/>
    <w:rsid w:val="00D4609B"/>
    <w:rsid w:val="00D47672"/>
    <w:rsid w:val="00D5123C"/>
    <w:rsid w:val="00D55560"/>
    <w:rsid w:val="00D61C5A"/>
    <w:rsid w:val="00D64D40"/>
    <w:rsid w:val="00D653DE"/>
    <w:rsid w:val="00D733F5"/>
    <w:rsid w:val="00D758F8"/>
    <w:rsid w:val="00D7741D"/>
    <w:rsid w:val="00D80A13"/>
    <w:rsid w:val="00D843D3"/>
    <w:rsid w:val="00D84FF2"/>
    <w:rsid w:val="00D85887"/>
    <w:rsid w:val="00D87828"/>
    <w:rsid w:val="00D87E20"/>
    <w:rsid w:val="00D92959"/>
    <w:rsid w:val="00D93DC5"/>
    <w:rsid w:val="00D97139"/>
    <w:rsid w:val="00D9787D"/>
    <w:rsid w:val="00DA31C1"/>
    <w:rsid w:val="00DB37E7"/>
    <w:rsid w:val="00DC284D"/>
    <w:rsid w:val="00DD0EF9"/>
    <w:rsid w:val="00DD1F85"/>
    <w:rsid w:val="00DD5171"/>
    <w:rsid w:val="00DE16C2"/>
    <w:rsid w:val="00DE31F9"/>
    <w:rsid w:val="00DE66A5"/>
    <w:rsid w:val="00DF2B50"/>
    <w:rsid w:val="00DF4325"/>
    <w:rsid w:val="00DF4B44"/>
    <w:rsid w:val="00E01280"/>
    <w:rsid w:val="00E03D73"/>
    <w:rsid w:val="00E04C86"/>
    <w:rsid w:val="00E06B13"/>
    <w:rsid w:val="00E10158"/>
    <w:rsid w:val="00E20F30"/>
    <w:rsid w:val="00E2189C"/>
    <w:rsid w:val="00E2337D"/>
    <w:rsid w:val="00E25BB1"/>
    <w:rsid w:val="00E27BBA"/>
    <w:rsid w:val="00E33C2D"/>
    <w:rsid w:val="00E35279"/>
    <w:rsid w:val="00E35E8F"/>
    <w:rsid w:val="00E361B1"/>
    <w:rsid w:val="00E41CDA"/>
    <w:rsid w:val="00E428AB"/>
    <w:rsid w:val="00E4296A"/>
    <w:rsid w:val="00E438E8"/>
    <w:rsid w:val="00E448F0"/>
    <w:rsid w:val="00E453A3"/>
    <w:rsid w:val="00E46E06"/>
    <w:rsid w:val="00E520E2"/>
    <w:rsid w:val="00E62738"/>
    <w:rsid w:val="00E628C2"/>
    <w:rsid w:val="00E64254"/>
    <w:rsid w:val="00E71242"/>
    <w:rsid w:val="00E72D0C"/>
    <w:rsid w:val="00E77BED"/>
    <w:rsid w:val="00E77D1B"/>
    <w:rsid w:val="00E817BF"/>
    <w:rsid w:val="00E915AF"/>
    <w:rsid w:val="00E9622B"/>
    <w:rsid w:val="00E96415"/>
    <w:rsid w:val="00EA15B3"/>
    <w:rsid w:val="00EA2DF7"/>
    <w:rsid w:val="00EB2358"/>
    <w:rsid w:val="00EB3EB8"/>
    <w:rsid w:val="00EB5EC0"/>
    <w:rsid w:val="00EC02FE"/>
    <w:rsid w:val="00EC0880"/>
    <w:rsid w:val="00EC6A98"/>
    <w:rsid w:val="00ED1745"/>
    <w:rsid w:val="00ED2F62"/>
    <w:rsid w:val="00EE1264"/>
    <w:rsid w:val="00EE3CDE"/>
    <w:rsid w:val="00EF5D0B"/>
    <w:rsid w:val="00F07E51"/>
    <w:rsid w:val="00F10E33"/>
    <w:rsid w:val="00F117BE"/>
    <w:rsid w:val="00F31C1E"/>
    <w:rsid w:val="00F37853"/>
    <w:rsid w:val="00F424BF"/>
    <w:rsid w:val="00F45A19"/>
    <w:rsid w:val="00F46107"/>
    <w:rsid w:val="00F468C5"/>
    <w:rsid w:val="00F52F39"/>
    <w:rsid w:val="00F53F25"/>
    <w:rsid w:val="00F65661"/>
    <w:rsid w:val="00F70DE4"/>
    <w:rsid w:val="00F810C9"/>
    <w:rsid w:val="00F867F0"/>
    <w:rsid w:val="00F914DD"/>
    <w:rsid w:val="00F93E4F"/>
    <w:rsid w:val="00F9757F"/>
    <w:rsid w:val="00FA2358"/>
    <w:rsid w:val="00FA6A1D"/>
    <w:rsid w:val="00FA7867"/>
    <w:rsid w:val="00FB2592"/>
    <w:rsid w:val="00FB2810"/>
    <w:rsid w:val="00FC2947"/>
    <w:rsid w:val="00FC2CAB"/>
    <w:rsid w:val="00FC3BFE"/>
    <w:rsid w:val="00FC7CA5"/>
    <w:rsid w:val="00FD2A1B"/>
    <w:rsid w:val="00FD4A1D"/>
    <w:rsid w:val="00FD7E83"/>
    <w:rsid w:val="00FE0818"/>
    <w:rsid w:val="00FE593A"/>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7B95"/>
    <w:rPr>
      <w:color w:val="605E5C"/>
      <w:shd w:val="clear" w:color="auto" w:fill="E1DFDD"/>
    </w:rPr>
  </w:style>
  <w:style w:type="character" w:customStyle="1" w:styleId="Artdef">
    <w:name w:val="Art_def"/>
    <w:rsid w:val="0083025F"/>
    <w:rPr>
      <w:b/>
      <w:color w:val="FFCC00"/>
    </w:rPr>
  </w:style>
  <w:style w:type="paragraph" w:styleId="Revision">
    <w:name w:val="Revision"/>
    <w:hidden/>
    <w:uiPriority w:val="99"/>
    <w:semiHidden/>
    <w:rsid w:val="00656817"/>
    <w:rPr>
      <w:sz w:val="22"/>
      <w:szCs w:val="22"/>
      <w:lang w:val="en-US" w:eastAsia="en-US"/>
    </w:rPr>
  </w:style>
  <w:style w:type="paragraph" w:customStyle="1" w:styleId="AnnexNo">
    <w:name w:val="Annex_No"/>
    <w:basedOn w:val="Normal"/>
    <w:next w:val="Normal"/>
    <w:rsid w:val="00656817"/>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 w:type="paragraph" w:customStyle="1" w:styleId="Annextitle">
    <w:name w:val="Annex_title"/>
    <w:basedOn w:val="Normal"/>
    <w:next w:val="Normal"/>
    <w:rsid w:val="00656817"/>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styleId="NormalWeb">
    <w:name w:val="Normal (Web)"/>
    <w:basedOn w:val="Normal"/>
    <w:uiPriority w:val="99"/>
    <w:semiHidden/>
    <w:unhideWhenUsed/>
    <w:rsid w:val="00E1015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BB6D35"/>
    <w:pPr>
      <w:spacing w:line="240" w:lineRule="auto"/>
    </w:pPr>
    <w:rPr>
      <w:b/>
      <w:bCs/>
      <w:szCs w:val="20"/>
    </w:rPr>
  </w:style>
  <w:style w:type="character" w:customStyle="1" w:styleId="CommentTextChar">
    <w:name w:val="Comment Text Char"/>
    <w:basedOn w:val="DefaultParagraphFont"/>
    <w:link w:val="CommentText"/>
    <w:semiHidden/>
    <w:rsid w:val="00BB6D35"/>
    <w:rPr>
      <w:szCs w:val="22"/>
      <w:lang w:val="en-US" w:eastAsia="en-US"/>
    </w:rPr>
  </w:style>
  <w:style w:type="character" w:customStyle="1" w:styleId="CommentSubjectChar">
    <w:name w:val="Comment Subject Char"/>
    <w:basedOn w:val="CommentTextChar"/>
    <w:link w:val="CommentSubject"/>
    <w:semiHidden/>
    <w:rsid w:val="00BB6D35"/>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1983342022">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RC15-C-0004/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sas@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en/ITU-R/space/support/Pages/e-Examination-guide.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7DD1-44C5-4EE0-8DD6-1FC51AF2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5</TotalTime>
  <Pages>5</Pages>
  <Words>1197</Words>
  <Characters>7403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8583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3</cp:revision>
  <cp:lastPrinted>2020-02-21T08:00:00Z</cp:lastPrinted>
  <dcterms:created xsi:type="dcterms:W3CDTF">2024-03-28T13:57:00Z</dcterms:created>
  <dcterms:modified xsi:type="dcterms:W3CDTF">2024-04-08T07:17:00Z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GrammarlyDocumentId">
    <vt:lpwstr>8efb987c5003f6861d3f74af9fa90daea6c2cbd0c5e2edf806a4aa7a7c0527e8</vt:lpwstr>
  </property>
</Properties>
</file>