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496612" w14:paraId="3373B1DA" w14:textId="77777777" w:rsidTr="004228FA">
        <w:trPr>
          <w:jc w:val="center"/>
        </w:trPr>
        <w:tc>
          <w:tcPr>
            <w:tcW w:w="9889" w:type="dxa"/>
            <w:gridSpan w:val="3"/>
            <w:shd w:val="clear" w:color="auto" w:fill="auto"/>
          </w:tcPr>
          <w:p w14:paraId="131D11D0" w14:textId="77777777" w:rsidR="00E53DCE" w:rsidRPr="00496612" w:rsidRDefault="00E53DCE">
            <w:pPr>
              <w:spacing w:before="0"/>
              <w:jc w:val="left"/>
              <w:rPr>
                <w:rFonts w:cstheme="minorHAnsi"/>
                <w:b/>
                <w:bCs/>
                <w:color w:val="808080"/>
                <w:sz w:val="28"/>
                <w:szCs w:val="28"/>
                <w:lang w:val="fr-FR"/>
              </w:rPr>
            </w:pPr>
            <w:r w:rsidRPr="00496612">
              <w:rPr>
                <w:rFonts w:cstheme="minorHAnsi"/>
                <w:b/>
                <w:bCs/>
                <w:color w:val="808080"/>
                <w:sz w:val="28"/>
                <w:szCs w:val="28"/>
                <w:lang w:val="fr-FR"/>
              </w:rPr>
              <w:t>Bureau des radiocommunications (BR)</w:t>
            </w:r>
          </w:p>
          <w:p w14:paraId="5D410CA3" w14:textId="77777777" w:rsidR="00E53DCE" w:rsidRPr="00496612" w:rsidRDefault="00E53DCE">
            <w:pPr>
              <w:spacing w:before="0"/>
              <w:jc w:val="left"/>
              <w:rPr>
                <w:rFonts w:cstheme="minorHAnsi"/>
                <w:b/>
                <w:bCs/>
                <w:color w:val="808080"/>
                <w:sz w:val="28"/>
                <w:szCs w:val="28"/>
                <w:lang w:val="fr-FR"/>
              </w:rPr>
            </w:pPr>
          </w:p>
          <w:p w14:paraId="238EAC46" w14:textId="77777777" w:rsidR="00E53DCE" w:rsidRPr="00496612" w:rsidRDefault="00E53DCE">
            <w:pPr>
              <w:spacing w:before="0"/>
              <w:jc w:val="left"/>
              <w:rPr>
                <w:rFonts w:cs="Times New Roman Bold"/>
                <w:b/>
                <w:bCs/>
                <w:color w:val="808080"/>
                <w:sz w:val="28"/>
                <w:szCs w:val="28"/>
                <w:lang w:val="fr-FR"/>
              </w:rPr>
            </w:pPr>
          </w:p>
        </w:tc>
      </w:tr>
      <w:tr w:rsidR="00E53DCE" w:rsidRPr="00496612" w14:paraId="32D03654" w14:textId="77777777" w:rsidTr="004228FA">
        <w:trPr>
          <w:jc w:val="center"/>
        </w:trPr>
        <w:tc>
          <w:tcPr>
            <w:tcW w:w="7054" w:type="dxa"/>
            <w:gridSpan w:val="2"/>
            <w:shd w:val="clear" w:color="auto" w:fill="auto"/>
          </w:tcPr>
          <w:p w14:paraId="787AC96A" w14:textId="03A94388" w:rsidR="00E53DCE" w:rsidRPr="00496612" w:rsidRDefault="00AA781A">
            <w:pPr>
              <w:spacing w:before="0"/>
              <w:jc w:val="left"/>
              <w:rPr>
                <w:sz w:val="28"/>
                <w:szCs w:val="28"/>
                <w:lang w:val="fr-FR"/>
              </w:rPr>
            </w:pPr>
            <w:r w:rsidRPr="00496612">
              <w:rPr>
                <w:szCs w:val="24"/>
                <w:lang w:val="fr-FR"/>
              </w:rPr>
              <w:t>Lettre circulaire</w:t>
            </w:r>
          </w:p>
          <w:p w14:paraId="198DE3D1" w14:textId="473F95B8" w:rsidR="00E53DCE" w:rsidRPr="00496612" w:rsidRDefault="00AA781A">
            <w:pPr>
              <w:spacing w:before="0"/>
              <w:jc w:val="left"/>
              <w:rPr>
                <w:b/>
                <w:bCs/>
                <w:sz w:val="28"/>
                <w:szCs w:val="28"/>
                <w:lang w:val="fr-FR"/>
              </w:rPr>
            </w:pPr>
            <w:r w:rsidRPr="00496612">
              <w:rPr>
                <w:b/>
                <w:bCs/>
                <w:szCs w:val="24"/>
                <w:lang w:val="fr-FR"/>
              </w:rPr>
              <w:t>CR</w:t>
            </w:r>
            <w:r w:rsidR="0003335F" w:rsidRPr="00496612">
              <w:rPr>
                <w:b/>
                <w:bCs/>
                <w:szCs w:val="24"/>
                <w:lang w:val="fr-FR"/>
              </w:rPr>
              <w:t>/503</w:t>
            </w:r>
          </w:p>
        </w:tc>
        <w:tc>
          <w:tcPr>
            <w:tcW w:w="2835" w:type="dxa"/>
            <w:shd w:val="clear" w:color="auto" w:fill="auto"/>
          </w:tcPr>
          <w:p w14:paraId="73698996" w14:textId="11625025" w:rsidR="00E53DCE" w:rsidRPr="00496612" w:rsidRDefault="00AA781A" w:rsidP="00304636">
            <w:pPr>
              <w:spacing w:before="0"/>
              <w:jc w:val="right"/>
              <w:rPr>
                <w:sz w:val="28"/>
                <w:szCs w:val="28"/>
                <w:lang w:val="fr-FR"/>
              </w:rPr>
            </w:pPr>
            <w:r w:rsidRPr="00496612">
              <w:rPr>
                <w:szCs w:val="24"/>
                <w:lang w:val="fr-FR"/>
              </w:rPr>
              <w:t xml:space="preserve">Le </w:t>
            </w:r>
            <w:r w:rsidR="0003335F" w:rsidRPr="00496612">
              <w:rPr>
                <w:rFonts w:cs="Arial"/>
                <w:szCs w:val="24"/>
                <w:lang w:val="fr-FR"/>
              </w:rPr>
              <w:t>8 avril 2024</w:t>
            </w:r>
          </w:p>
        </w:tc>
      </w:tr>
      <w:tr w:rsidR="00E53DCE" w:rsidRPr="00496612" w14:paraId="21CF050B" w14:textId="77777777" w:rsidTr="004228FA">
        <w:trPr>
          <w:jc w:val="center"/>
        </w:trPr>
        <w:tc>
          <w:tcPr>
            <w:tcW w:w="9889" w:type="dxa"/>
            <w:gridSpan w:val="3"/>
            <w:shd w:val="clear" w:color="auto" w:fill="auto"/>
          </w:tcPr>
          <w:p w14:paraId="78C111A6" w14:textId="77777777" w:rsidR="00E53DCE" w:rsidRPr="00496612" w:rsidRDefault="00E53DCE">
            <w:pPr>
              <w:spacing w:before="0"/>
              <w:jc w:val="left"/>
              <w:rPr>
                <w:rFonts w:cs="Arial"/>
                <w:szCs w:val="24"/>
                <w:lang w:val="fr-FR"/>
              </w:rPr>
            </w:pPr>
          </w:p>
        </w:tc>
      </w:tr>
      <w:tr w:rsidR="00E53DCE" w:rsidRPr="00496612" w14:paraId="2F4E240B" w14:textId="77777777" w:rsidTr="004228FA">
        <w:trPr>
          <w:jc w:val="center"/>
        </w:trPr>
        <w:tc>
          <w:tcPr>
            <w:tcW w:w="9889" w:type="dxa"/>
            <w:gridSpan w:val="3"/>
            <w:shd w:val="clear" w:color="auto" w:fill="auto"/>
          </w:tcPr>
          <w:p w14:paraId="1E0134AA" w14:textId="77777777" w:rsidR="00E53DCE" w:rsidRPr="00496612" w:rsidRDefault="00E53DCE">
            <w:pPr>
              <w:spacing w:before="0"/>
              <w:jc w:val="left"/>
              <w:rPr>
                <w:szCs w:val="24"/>
                <w:lang w:val="fr-FR"/>
              </w:rPr>
            </w:pPr>
          </w:p>
        </w:tc>
      </w:tr>
      <w:tr w:rsidR="00E53DCE" w:rsidRPr="00C37A4B" w14:paraId="007114AC" w14:textId="77777777" w:rsidTr="004228FA">
        <w:trPr>
          <w:jc w:val="center"/>
        </w:trPr>
        <w:tc>
          <w:tcPr>
            <w:tcW w:w="9889" w:type="dxa"/>
            <w:gridSpan w:val="3"/>
            <w:shd w:val="clear" w:color="auto" w:fill="auto"/>
          </w:tcPr>
          <w:p w14:paraId="63C97C02" w14:textId="1A8F0DB7" w:rsidR="00E53DCE" w:rsidRPr="00496612" w:rsidRDefault="0003335F" w:rsidP="007920E6">
            <w:pPr>
              <w:spacing w:before="0" w:line="240" w:lineRule="auto"/>
              <w:jc w:val="left"/>
              <w:rPr>
                <w:b/>
                <w:bCs/>
                <w:szCs w:val="24"/>
                <w:lang w:val="fr-FR"/>
              </w:rPr>
            </w:pPr>
            <w:r w:rsidRPr="00496612">
              <w:rPr>
                <w:b/>
                <w:bCs/>
                <w:szCs w:val="24"/>
                <w:lang w:val="fr-FR"/>
              </w:rPr>
              <w:t>Aux Administrations des États Membres de l</w:t>
            </w:r>
            <w:r w:rsidR="00686D59" w:rsidRPr="00496612">
              <w:rPr>
                <w:b/>
                <w:bCs/>
                <w:szCs w:val="24"/>
                <w:lang w:val="fr-FR"/>
              </w:rPr>
              <w:t>'</w:t>
            </w:r>
            <w:r w:rsidRPr="00496612">
              <w:rPr>
                <w:b/>
                <w:bCs/>
                <w:szCs w:val="24"/>
                <w:lang w:val="fr-FR"/>
              </w:rPr>
              <w:t>UIT</w:t>
            </w:r>
          </w:p>
          <w:p w14:paraId="43A7338A" w14:textId="77777777" w:rsidR="00E53DCE" w:rsidRPr="00496612" w:rsidRDefault="00E53DCE">
            <w:pPr>
              <w:spacing w:before="0"/>
              <w:jc w:val="left"/>
              <w:rPr>
                <w:b/>
                <w:bCs/>
                <w:szCs w:val="24"/>
                <w:lang w:val="fr-FR"/>
              </w:rPr>
            </w:pPr>
          </w:p>
        </w:tc>
      </w:tr>
      <w:tr w:rsidR="00E53DCE" w:rsidRPr="00C37A4B" w14:paraId="6C559311" w14:textId="77777777" w:rsidTr="004228FA">
        <w:trPr>
          <w:jc w:val="center"/>
        </w:trPr>
        <w:tc>
          <w:tcPr>
            <w:tcW w:w="9889" w:type="dxa"/>
            <w:gridSpan w:val="3"/>
            <w:shd w:val="clear" w:color="auto" w:fill="auto"/>
          </w:tcPr>
          <w:p w14:paraId="0D32AE4E" w14:textId="77777777" w:rsidR="00E53DCE" w:rsidRPr="00496612" w:rsidRDefault="00E53DCE">
            <w:pPr>
              <w:spacing w:before="0"/>
              <w:jc w:val="left"/>
              <w:rPr>
                <w:szCs w:val="24"/>
                <w:lang w:val="fr-FR"/>
              </w:rPr>
            </w:pPr>
          </w:p>
        </w:tc>
      </w:tr>
      <w:tr w:rsidR="00E53DCE" w:rsidRPr="00C37A4B" w14:paraId="26C0E337" w14:textId="77777777" w:rsidTr="004228FA">
        <w:trPr>
          <w:jc w:val="center"/>
        </w:trPr>
        <w:tc>
          <w:tcPr>
            <w:tcW w:w="9889" w:type="dxa"/>
            <w:gridSpan w:val="3"/>
            <w:shd w:val="clear" w:color="auto" w:fill="auto"/>
          </w:tcPr>
          <w:p w14:paraId="29F7E960" w14:textId="77777777" w:rsidR="00E53DCE" w:rsidRPr="00496612" w:rsidRDefault="00E53DCE">
            <w:pPr>
              <w:spacing w:before="0"/>
              <w:jc w:val="left"/>
              <w:rPr>
                <w:szCs w:val="24"/>
                <w:lang w:val="fr-FR"/>
              </w:rPr>
            </w:pPr>
          </w:p>
        </w:tc>
      </w:tr>
      <w:tr w:rsidR="00E53DCE" w:rsidRPr="00C37A4B" w14:paraId="2813E03B" w14:textId="77777777" w:rsidTr="004228FA">
        <w:trPr>
          <w:jc w:val="center"/>
        </w:trPr>
        <w:tc>
          <w:tcPr>
            <w:tcW w:w="1526" w:type="dxa"/>
            <w:shd w:val="clear" w:color="auto" w:fill="auto"/>
          </w:tcPr>
          <w:p w14:paraId="50D97891" w14:textId="77777777" w:rsidR="00E53DCE" w:rsidRPr="00496612" w:rsidRDefault="003471C9">
            <w:pPr>
              <w:tabs>
                <w:tab w:val="clear" w:pos="1588"/>
                <w:tab w:val="left" w:pos="1560"/>
              </w:tabs>
              <w:spacing w:before="0"/>
              <w:jc w:val="left"/>
              <w:rPr>
                <w:szCs w:val="24"/>
                <w:lang w:val="fr-FR"/>
              </w:rPr>
            </w:pPr>
            <w:proofErr w:type="gramStart"/>
            <w:r w:rsidRPr="00496612">
              <w:rPr>
                <w:lang w:val="fr-FR"/>
              </w:rPr>
              <w:t>Objet</w:t>
            </w:r>
            <w:r w:rsidR="00E53DCE" w:rsidRPr="00496612">
              <w:rPr>
                <w:szCs w:val="24"/>
                <w:lang w:val="fr-FR"/>
              </w:rPr>
              <w:t>:</w:t>
            </w:r>
            <w:proofErr w:type="gramEnd"/>
          </w:p>
        </w:tc>
        <w:tc>
          <w:tcPr>
            <w:tcW w:w="8363" w:type="dxa"/>
            <w:gridSpan w:val="2"/>
            <w:vMerge w:val="restart"/>
            <w:shd w:val="clear" w:color="auto" w:fill="auto"/>
          </w:tcPr>
          <w:p w14:paraId="41F3265F" w14:textId="7D0DF666" w:rsidR="00E53DCE" w:rsidRPr="00496612" w:rsidRDefault="0003335F" w:rsidP="007920E6">
            <w:pPr>
              <w:tabs>
                <w:tab w:val="clear" w:pos="1588"/>
                <w:tab w:val="left" w:pos="1560"/>
              </w:tabs>
              <w:spacing w:before="0" w:line="240" w:lineRule="auto"/>
              <w:jc w:val="left"/>
              <w:rPr>
                <w:b/>
                <w:bCs/>
                <w:szCs w:val="24"/>
                <w:lang w:val="fr-FR"/>
              </w:rPr>
            </w:pPr>
            <w:r w:rsidRPr="00496612">
              <w:rPr>
                <w:b/>
                <w:bCs/>
                <w:szCs w:val="24"/>
                <w:lang w:val="fr-FR"/>
              </w:rPr>
              <w:t>Utilisation de la puissance d</w:t>
            </w:r>
            <w:r w:rsidR="00686D59" w:rsidRPr="00496612">
              <w:rPr>
                <w:b/>
                <w:bCs/>
                <w:szCs w:val="24"/>
                <w:lang w:val="fr-FR"/>
              </w:rPr>
              <w:t>'</w:t>
            </w:r>
            <w:r w:rsidRPr="00496612">
              <w:rPr>
                <w:b/>
                <w:bCs/>
                <w:szCs w:val="24"/>
                <w:lang w:val="fr-FR"/>
              </w:rPr>
              <w:t>émission définie à l</w:t>
            </w:r>
            <w:r w:rsidR="00686D59" w:rsidRPr="00496612">
              <w:rPr>
                <w:b/>
                <w:bCs/>
                <w:szCs w:val="24"/>
                <w:lang w:val="fr-FR"/>
              </w:rPr>
              <w:t>'</w:t>
            </w:r>
            <w:r w:rsidRPr="00496612">
              <w:rPr>
                <w:b/>
                <w:bCs/>
                <w:szCs w:val="24"/>
                <w:lang w:val="fr-FR"/>
              </w:rPr>
              <w:t>aide d</w:t>
            </w:r>
            <w:r w:rsidR="00686D59" w:rsidRPr="00496612">
              <w:rPr>
                <w:b/>
                <w:bCs/>
                <w:szCs w:val="24"/>
                <w:lang w:val="fr-FR"/>
              </w:rPr>
              <w:t>'</w:t>
            </w:r>
            <w:r w:rsidRPr="00496612">
              <w:rPr>
                <w:b/>
                <w:bCs/>
                <w:szCs w:val="24"/>
                <w:lang w:val="fr-FR"/>
              </w:rPr>
              <w:t>une largeur de bande moyenne conformément à la Recommandation UIT-R SF.675 pour calculer les limites de puissance surfacique et de puissance isotrope rayonnée équivalente au titre des Articles 5, 21 et 22 du Règlement des radiocommunications</w:t>
            </w:r>
          </w:p>
        </w:tc>
      </w:tr>
      <w:tr w:rsidR="00E53DCE" w:rsidRPr="00C37A4B" w14:paraId="61BFC634" w14:textId="77777777" w:rsidTr="004228FA">
        <w:trPr>
          <w:jc w:val="center"/>
        </w:trPr>
        <w:tc>
          <w:tcPr>
            <w:tcW w:w="1526" w:type="dxa"/>
            <w:shd w:val="clear" w:color="auto" w:fill="auto"/>
          </w:tcPr>
          <w:p w14:paraId="1D8E097C" w14:textId="77777777" w:rsidR="00E53DCE" w:rsidRPr="00496612" w:rsidRDefault="00E53DCE">
            <w:pPr>
              <w:tabs>
                <w:tab w:val="clear" w:pos="1588"/>
                <w:tab w:val="left" w:pos="1560"/>
              </w:tabs>
              <w:spacing w:before="0"/>
              <w:jc w:val="left"/>
              <w:rPr>
                <w:b/>
                <w:bCs/>
                <w:szCs w:val="24"/>
                <w:lang w:val="fr-FR"/>
              </w:rPr>
            </w:pPr>
          </w:p>
        </w:tc>
        <w:tc>
          <w:tcPr>
            <w:tcW w:w="8363" w:type="dxa"/>
            <w:gridSpan w:val="2"/>
            <w:vMerge/>
            <w:shd w:val="clear" w:color="auto" w:fill="auto"/>
          </w:tcPr>
          <w:p w14:paraId="6D0E898D" w14:textId="77777777" w:rsidR="00E53DCE" w:rsidRPr="00496612" w:rsidRDefault="00E53DCE">
            <w:pPr>
              <w:tabs>
                <w:tab w:val="clear" w:pos="1588"/>
                <w:tab w:val="left" w:pos="1560"/>
              </w:tabs>
              <w:spacing w:before="0"/>
              <w:rPr>
                <w:b/>
                <w:bCs/>
                <w:szCs w:val="24"/>
                <w:lang w:val="fr-FR"/>
              </w:rPr>
            </w:pPr>
          </w:p>
        </w:tc>
      </w:tr>
      <w:tr w:rsidR="00E53DCE" w:rsidRPr="00C37A4B" w14:paraId="16E0966F" w14:textId="77777777" w:rsidTr="004228FA">
        <w:trPr>
          <w:jc w:val="center"/>
        </w:trPr>
        <w:tc>
          <w:tcPr>
            <w:tcW w:w="1526" w:type="dxa"/>
            <w:shd w:val="clear" w:color="auto" w:fill="auto"/>
          </w:tcPr>
          <w:p w14:paraId="1523ACF5" w14:textId="77777777" w:rsidR="00E53DCE" w:rsidRPr="00496612" w:rsidRDefault="00E53DCE">
            <w:pPr>
              <w:tabs>
                <w:tab w:val="clear" w:pos="1588"/>
                <w:tab w:val="left" w:pos="1560"/>
              </w:tabs>
              <w:spacing w:before="0"/>
              <w:jc w:val="left"/>
              <w:rPr>
                <w:b/>
                <w:bCs/>
                <w:szCs w:val="24"/>
                <w:lang w:val="fr-FR"/>
              </w:rPr>
            </w:pPr>
          </w:p>
        </w:tc>
        <w:tc>
          <w:tcPr>
            <w:tcW w:w="8363" w:type="dxa"/>
            <w:gridSpan w:val="2"/>
            <w:vMerge/>
            <w:shd w:val="clear" w:color="auto" w:fill="auto"/>
          </w:tcPr>
          <w:p w14:paraId="14AEF458" w14:textId="77777777" w:rsidR="00E53DCE" w:rsidRPr="00496612" w:rsidRDefault="00E53DCE">
            <w:pPr>
              <w:tabs>
                <w:tab w:val="clear" w:pos="1588"/>
                <w:tab w:val="left" w:pos="1560"/>
              </w:tabs>
              <w:spacing w:before="0"/>
              <w:rPr>
                <w:b/>
                <w:bCs/>
                <w:szCs w:val="24"/>
                <w:lang w:val="fr-FR"/>
              </w:rPr>
            </w:pPr>
          </w:p>
        </w:tc>
      </w:tr>
    </w:tbl>
    <w:p w14:paraId="753117BB" w14:textId="5F0C9871" w:rsidR="0003335F" w:rsidRPr="00496612" w:rsidRDefault="0003335F" w:rsidP="00E51B40">
      <w:pPr>
        <w:spacing w:before="240" w:line="240" w:lineRule="auto"/>
        <w:rPr>
          <w:rFonts w:eastAsia="SimSun"/>
          <w:lang w:val="fr-FR"/>
        </w:rPr>
      </w:pPr>
      <w:r w:rsidRPr="00496612">
        <w:rPr>
          <w:rFonts w:eastAsia="SimSun"/>
          <w:lang w:val="fr-FR"/>
        </w:rPr>
        <w:t>Dans la Note 2 concernant les Tableaux A, B, C et D de l</w:t>
      </w:r>
      <w:r w:rsidR="00686D59" w:rsidRPr="00496612">
        <w:rPr>
          <w:rFonts w:eastAsia="SimSun"/>
          <w:lang w:val="fr-FR"/>
        </w:rPr>
        <w:t>'</w:t>
      </w:r>
      <w:r w:rsidRPr="00496612">
        <w:rPr>
          <w:rFonts w:eastAsia="SimSun"/>
          <w:lang w:val="fr-FR"/>
        </w:rPr>
        <w:t>Annexe 2 de l</w:t>
      </w:r>
      <w:r w:rsidR="00686D59" w:rsidRPr="00496612">
        <w:rPr>
          <w:rFonts w:eastAsia="SimSun"/>
          <w:lang w:val="fr-FR"/>
        </w:rPr>
        <w:t>'</w:t>
      </w:r>
      <w:r w:rsidRPr="00496612">
        <w:rPr>
          <w:rFonts w:eastAsia="SimSun"/>
          <w:lang w:val="fr-FR"/>
        </w:rPr>
        <w:t>Appendice </w:t>
      </w:r>
      <w:r w:rsidRPr="00496612">
        <w:rPr>
          <w:rFonts w:eastAsia="SimSun"/>
          <w:b/>
          <w:bCs/>
          <w:lang w:val="fr-FR"/>
        </w:rPr>
        <w:t>4</w:t>
      </w:r>
      <w:r w:rsidRPr="00496612">
        <w:rPr>
          <w:rFonts w:eastAsia="SimSun"/>
          <w:lang w:val="fr-FR"/>
        </w:rPr>
        <w:t xml:space="preserve"> du Règlement des radiocommunications (RR), telle que modifiée par la CMR-12, il est suggéré d</w:t>
      </w:r>
      <w:r w:rsidR="00686D59" w:rsidRPr="00496612">
        <w:rPr>
          <w:rFonts w:eastAsia="SimSun"/>
          <w:lang w:val="fr-FR"/>
        </w:rPr>
        <w:t>'</w:t>
      </w:r>
      <w:r w:rsidRPr="00496612">
        <w:rPr>
          <w:rFonts w:eastAsia="SimSun"/>
          <w:lang w:val="fr-FR"/>
        </w:rPr>
        <w:t>utiliser la version la plus récente de la Recommandation UIT-R SF.675 pour le calcul de la densité spectrale de puissance maximale des porteuses. Pour déterminer la densité spectrale de puissance maximale de différents types de porteuses, il est recommandé d</w:t>
      </w:r>
      <w:r w:rsidR="00686D59" w:rsidRPr="00496612">
        <w:rPr>
          <w:rFonts w:eastAsia="SimSun"/>
          <w:lang w:val="fr-FR"/>
        </w:rPr>
        <w:t>'</w:t>
      </w:r>
      <w:r w:rsidRPr="00496612">
        <w:rPr>
          <w:rFonts w:eastAsia="SimSun"/>
          <w:lang w:val="fr-FR"/>
        </w:rPr>
        <w:t>envisager le nombre maximal possible de porteuses occupant une largeur de bande moyenne donnée. La densité maximale de puissance moyenne est calculée sur la bande de 4 kHz la plus défavorable dans le cas de porteuses au</w:t>
      </w:r>
      <w:r w:rsidR="00686D59" w:rsidRPr="00496612">
        <w:rPr>
          <w:rFonts w:eastAsia="SimSun"/>
          <w:lang w:val="fr-FR"/>
        </w:rPr>
        <w:noBreakHyphen/>
      </w:r>
      <w:r w:rsidRPr="00496612">
        <w:rPr>
          <w:rFonts w:eastAsia="SimSun"/>
          <w:lang w:val="fr-FR"/>
        </w:rPr>
        <w:t>dessous de 15 GHz ou bien sur la bande de 1 MHz la plus défavorable dans le cas de porteuses au-dessus de 15 GHz.</w:t>
      </w:r>
    </w:p>
    <w:p w14:paraId="7768652E" w14:textId="0713A74B" w:rsidR="0003335F" w:rsidRPr="00496612" w:rsidRDefault="0003335F" w:rsidP="00E51B40">
      <w:pPr>
        <w:spacing w:before="120" w:line="240" w:lineRule="auto"/>
        <w:rPr>
          <w:rFonts w:eastAsia="SimSun"/>
          <w:lang w:val="fr-FR"/>
        </w:rPr>
      </w:pPr>
      <w:r w:rsidRPr="00496612">
        <w:rPr>
          <w:rFonts w:eastAsia="SimSun"/>
          <w:lang w:val="fr-FR"/>
        </w:rPr>
        <w:t>Il est important que les administrations respectent cette note lorsqu</w:t>
      </w:r>
      <w:r w:rsidR="00686D59" w:rsidRPr="00496612">
        <w:rPr>
          <w:rFonts w:eastAsia="SimSun"/>
          <w:lang w:val="fr-FR"/>
        </w:rPr>
        <w:t>'</w:t>
      </w:r>
      <w:r w:rsidRPr="00496612">
        <w:rPr>
          <w:rFonts w:eastAsia="SimSun"/>
          <w:lang w:val="fr-FR"/>
        </w:rPr>
        <w:t>elles fournissent les éléments de données au titre de l</w:t>
      </w:r>
      <w:r w:rsidR="00686D59" w:rsidRPr="00496612">
        <w:rPr>
          <w:rFonts w:eastAsia="SimSun"/>
          <w:lang w:val="fr-FR"/>
        </w:rPr>
        <w:t>'</w:t>
      </w:r>
      <w:r w:rsidRPr="00496612">
        <w:rPr>
          <w:rFonts w:eastAsia="SimSun"/>
          <w:lang w:val="fr-FR"/>
        </w:rPr>
        <w:t>Appendice </w:t>
      </w:r>
      <w:r w:rsidRPr="00496612">
        <w:rPr>
          <w:rFonts w:eastAsia="SimSun"/>
          <w:b/>
          <w:bCs/>
          <w:lang w:val="fr-FR"/>
        </w:rPr>
        <w:t>4</w:t>
      </w:r>
      <w:r w:rsidRPr="00496612">
        <w:rPr>
          <w:rFonts w:eastAsia="SimSun"/>
          <w:lang w:val="fr-FR"/>
        </w:rPr>
        <w:t xml:space="preserve"> du RR pour l</w:t>
      </w:r>
      <w:r w:rsidR="00686D59" w:rsidRPr="00496612">
        <w:rPr>
          <w:rFonts w:eastAsia="SimSun"/>
          <w:lang w:val="fr-FR"/>
        </w:rPr>
        <w:t>'</w:t>
      </w:r>
      <w:r w:rsidRPr="00496612">
        <w:rPr>
          <w:rFonts w:eastAsia="SimSun"/>
          <w:lang w:val="fr-FR"/>
        </w:rPr>
        <w:t>examen des limites de puissance afin de parvenir à des conclusions sur la conformité aux dispositions du Règlement des radiocommunications.</w:t>
      </w:r>
    </w:p>
    <w:p w14:paraId="7AFE867A" w14:textId="0140FFFF" w:rsidR="0003335F" w:rsidRPr="00496612" w:rsidRDefault="0003335F" w:rsidP="00E51B40">
      <w:pPr>
        <w:spacing w:before="120" w:line="240" w:lineRule="auto"/>
        <w:rPr>
          <w:rFonts w:eastAsia="SimSun"/>
          <w:lang w:val="fr-FR"/>
        </w:rPr>
      </w:pPr>
      <w:r w:rsidRPr="00496612">
        <w:rPr>
          <w:rFonts w:eastAsia="SimSun"/>
          <w:lang w:val="fr-FR"/>
        </w:rPr>
        <w:t>En ce qui concerne cette prescription, le Bureau a constaté que pour un grand nombre d</w:t>
      </w:r>
      <w:r w:rsidR="00686D59" w:rsidRPr="00496612">
        <w:rPr>
          <w:rFonts w:eastAsia="SimSun"/>
          <w:lang w:val="fr-FR"/>
        </w:rPr>
        <w:t>'</w:t>
      </w:r>
      <w:r w:rsidRPr="00496612">
        <w:rPr>
          <w:rFonts w:eastAsia="SimSun"/>
          <w:lang w:val="fr-FR"/>
        </w:rPr>
        <w:t>émissions figurant dans les soumissions dont la largeur de bande nécessaire est inférieure à la largeur de bande moyenne, la densité spectrale de puissance maximale est fondée sur une porteuse unique occupant la largeur de bande moyenne. Cela est contraire aux systèmes réels, pour lesquels on pourrait envisager une exploitation multi-porteuses, compte tenu notamment du fait que la largeur de bande du groupe d</w:t>
      </w:r>
      <w:r w:rsidR="00686D59" w:rsidRPr="00496612">
        <w:rPr>
          <w:rFonts w:eastAsia="SimSun"/>
          <w:lang w:val="fr-FR"/>
        </w:rPr>
        <w:t>'</w:t>
      </w:r>
      <w:r w:rsidRPr="00496612">
        <w:rPr>
          <w:rFonts w:eastAsia="SimSun"/>
          <w:lang w:val="fr-FR"/>
        </w:rPr>
        <w:t>assignations de fréquence dépasse largement la largeur de bande nécessaire d</w:t>
      </w:r>
      <w:r w:rsidR="00686D59" w:rsidRPr="00496612">
        <w:rPr>
          <w:rFonts w:eastAsia="SimSun"/>
          <w:lang w:val="fr-FR"/>
        </w:rPr>
        <w:t>'</w:t>
      </w:r>
      <w:r w:rsidRPr="00496612">
        <w:rPr>
          <w:rFonts w:eastAsia="SimSun"/>
          <w:lang w:val="fr-FR"/>
        </w:rPr>
        <w:t>une émission pour les cas susmentionnés.</w:t>
      </w:r>
    </w:p>
    <w:p w14:paraId="1179DE66" w14:textId="1A4F24C6" w:rsidR="0003335F" w:rsidRPr="00496612" w:rsidRDefault="0003335F" w:rsidP="00E51B40">
      <w:pPr>
        <w:spacing w:before="120" w:line="240" w:lineRule="auto"/>
        <w:rPr>
          <w:lang w:val="fr-FR"/>
        </w:rPr>
      </w:pPr>
      <w:r w:rsidRPr="00496612">
        <w:rPr>
          <w:lang w:val="fr-FR"/>
        </w:rPr>
        <w:t>Dans le rapport du Directeur (voir le § 3.2.5.2.2 de la Révision 1 de l</w:t>
      </w:r>
      <w:r w:rsidR="00686D59" w:rsidRPr="00496612">
        <w:rPr>
          <w:lang w:val="fr-FR"/>
        </w:rPr>
        <w:t>'</w:t>
      </w:r>
      <w:r w:rsidRPr="00496612">
        <w:rPr>
          <w:lang w:val="fr-FR"/>
        </w:rPr>
        <w:t>Addendum 2 au Document </w:t>
      </w:r>
      <w:hyperlink r:id="rId8" w:history="1">
        <w:r w:rsidRPr="00496612">
          <w:rPr>
            <w:rStyle w:val="Hyperlink"/>
            <w:lang w:val="fr-FR"/>
          </w:rPr>
          <w:t>C</w:t>
        </w:r>
        <w:r w:rsidR="00BC1389" w:rsidRPr="00496612">
          <w:rPr>
            <w:rStyle w:val="Hyperlink"/>
            <w:lang w:val="fr-FR"/>
          </w:rPr>
          <w:t>MR</w:t>
        </w:r>
        <w:r w:rsidRPr="00496612">
          <w:rPr>
            <w:rStyle w:val="Hyperlink"/>
            <w:lang w:val="fr-FR"/>
          </w:rPr>
          <w:t>-15/4</w:t>
        </w:r>
      </w:hyperlink>
      <w:r w:rsidRPr="00496612">
        <w:rPr>
          <w:lang w:val="fr-FR"/>
        </w:rPr>
        <w:t>), le Bureau des radiocommunications a informé la CMR-15 que les administrations devaient utiliser la Recommandation UIT-R SF.675 pour calculer la densité spectrale de puissance maximale et soumettre les données conformément à l</w:t>
      </w:r>
      <w:r w:rsidR="00686D59" w:rsidRPr="00496612">
        <w:rPr>
          <w:lang w:val="fr-FR"/>
        </w:rPr>
        <w:t>'</w:t>
      </w:r>
      <w:r w:rsidRPr="00496612">
        <w:rPr>
          <w:lang w:val="fr-FR"/>
        </w:rPr>
        <w:t>Appendice </w:t>
      </w:r>
      <w:r w:rsidRPr="00496612">
        <w:rPr>
          <w:b/>
          <w:bCs/>
          <w:lang w:val="fr-FR"/>
        </w:rPr>
        <w:t>4</w:t>
      </w:r>
      <w:r w:rsidRPr="00496612">
        <w:rPr>
          <w:lang w:val="fr-FR"/>
        </w:rPr>
        <w:t xml:space="preserve"> du RR.</w:t>
      </w:r>
    </w:p>
    <w:p w14:paraId="0B55AE13" w14:textId="0A194961" w:rsidR="0003335F" w:rsidRPr="00496612" w:rsidRDefault="0003335F" w:rsidP="00E51B40">
      <w:pPr>
        <w:spacing w:before="120" w:line="240" w:lineRule="auto"/>
        <w:rPr>
          <w:lang w:val="fr-FR"/>
        </w:rPr>
      </w:pPr>
      <w:r w:rsidRPr="00496612">
        <w:rPr>
          <w:lang w:val="fr-FR"/>
        </w:rPr>
        <w:t>La CMR-15 a suggéré que cette question détaillée soit soumise à la Commission d</w:t>
      </w:r>
      <w:r w:rsidR="00686D59" w:rsidRPr="00496612">
        <w:rPr>
          <w:lang w:val="fr-FR"/>
        </w:rPr>
        <w:t>'</w:t>
      </w:r>
      <w:r w:rsidRPr="00496612">
        <w:rPr>
          <w:lang w:val="fr-FR"/>
        </w:rPr>
        <w:t>études appropriée de l</w:t>
      </w:r>
      <w:r w:rsidR="00686D59" w:rsidRPr="00496612">
        <w:rPr>
          <w:lang w:val="fr-FR"/>
        </w:rPr>
        <w:t>'</w:t>
      </w:r>
      <w:r w:rsidRPr="00496612">
        <w:rPr>
          <w:lang w:val="fr-FR"/>
        </w:rPr>
        <w:t>UIT-R pour qu</w:t>
      </w:r>
      <w:r w:rsidR="00686D59" w:rsidRPr="00496612">
        <w:rPr>
          <w:lang w:val="fr-FR"/>
        </w:rPr>
        <w:t>'</w:t>
      </w:r>
      <w:r w:rsidRPr="00496612">
        <w:rPr>
          <w:lang w:val="fr-FR"/>
        </w:rPr>
        <w:t>elle l</w:t>
      </w:r>
      <w:r w:rsidR="00686D59" w:rsidRPr="00496612">
        <w:rPr>
          <w:lang w:val="fr-FR"/>
        </w:rPr>
        <w:t>'</w:t>
      </w:r>
      <w:r w:rsidRPr="00496612">
        <w:rPr>
          <w:lang w:val="fr-FR"/>
        </w:rPr>
        <w:t>examine plus avant.</w:t>
      </w:r>
    </w:p>
    <w:p w14:paraId="18121D7C" w14:textId="35636DAE" w:rsidR="002569F7" w:rsidRPr="00496612" w:rsidRDefault="0003335F" w:rsidP="00E51B40">
      <w:pPr>
        <w:keepNext/>
        <w:spacing w:before="120" w:line="240" w:lineRule="auto"/>
        <w:rPr>
          <w:lang w:val="fr-FR"/>
        </w:rPr>
      </w:pPr>
      <w:r w:rsidRPr="00496612">
        <w:rPr>
          <w:rFonts w:eastAsia="SimSun"/>
          <w:lang w:val="fr-FR"/>
        </w:rPr>
        <w:lastRenderedPageBreak/>
        <w:t>Au cours des cycles d</w:t>
      </w:r>
      <w:r w:rsidR="00686D59" w:rsidRPr="00496612">
        <w:rPr>
          <w:rFonts w:eastAsia="SimSun"/>
          <w:lang w:val="fr-FR"/>
        </w:rPr>
        <w:t>'</w:t>
      </w:r>
      <w:r w:rsidRPr="00496612">
        <w:rPr>
          <w:rFonts w:eastAsia="SimSun"/>
          <w:lang w:val="fr-FR"/>
        </w:rPr>
        <w:t>études qui se sont succédé entre 2015 et 2023 de l</w:t>
      </w:r>
      <w:r w:rsidR="00686D59" w:rsidRPr="00496612">
        <w:rPr>
          <w:rFonts w:eastAsia="SimSun"/>
          <w:lang w:val="fr-FR"/>
        </w:rPr>
        <w:t>'</w:t>
      </w:r>
      <w:r w:rsidRPr="00496612">
        <w:rPr>
          <w:rFonts w:eastAsia="SimSun"/>
          <w:lang w:val="fr-FR"/>
        </w:rPr>
        <w:t>UIT-R, le Bureau a présenté des contributions sur cette question pour expliquer le problème et fournir des rapports d</w:t>
      </w:r>
      <w:r w:rsidR="00686D59" w:rsidRPr="00496612">
        <w:rPr>
          <w:rFonts w:eastAsia="SimSun"/>
          <w:lang w:val="fr-FR"/>
        </w:rPr>
        <w:t>'</w:t>
      </w:r>
      <w:r w:rsidRPr="00496612">
        <w:rPr>
          <w:rFonts w:eastAsia="SimSun"/>
          <w:lang w:val="fr-FR"/>
        </w:rPr>
        <w:t>activité aux Groupes de travail des Commissions d</w:t>
      </w:r>
      <w:r w:rsidR="00686D59" w:rsidRPr="00496612">
        <w:rPr>
          <w:rFonts w:eastAsia="SimSun"/>
          <w:lang w:val="fr-FR"/>
        </w:rPr>
        <w:t>'</w:t>
      </w:r>
      <w:r w:rsidRPr="00496612">
        <w:rPr>
          <w:rFonts w:eastAsia="SimSun"/>
          <w:lang w:val="fr-FR"/>
        </w:rPr>
        <w:t>études 4 et 7 de l</w:t>
      </w:r>
      <w:r w:rsidR="00686D59" w:rsidRPr="00496612">
        <w:rPr>
          <w:rFonts w:eastAsia="SimSun"/>
          <w:lang w:val="fr-FR"/>
        </w:rPr>
        <w:t>'</w:t>
      </w:r>
      <w:r w:rsidRPr="00496612">
        <w:rPr>
          <w:rFonts w:eastAsia="SimSun"/>
          <w:lang w:val="fr-FR"/>
        </w:rPr>
        <w:t>UIT-R.</w:t>
      </w:r>
    </w:p>
    <w:p w14:paraId="76E55368" w14:textId="77777777" w:rsidR="0003335F" w:rsidRPr="00496612" w:rsidRDefault="0003335F" w:rsidP="00E51B40">
      <w:pPr>
        <w:spacing w:before="120" w:line="240" w:lineRule="auto"/>
        <w:rPr>
          <w:lang w:val="fr-FR"/>
        </w:rPr>
      </w:pPr>
      <w:r w:rsidRPr="00496612">
        <w:rPr>
          <w:rFonts w:eastAsia="SimSun"/>
          <w:lang w:val="fr-FR"/>
        </w:rPr>
        <w:t>Parallèlement, le Bureau a pris de nouvelles mesures pour harmoniser progressivement la méthode de calcul de la puissance surfacique qui utilise la définition de la puissance maximale conformément à la Recommandation UIT-R SF.675. Ces étapes sont détaillées ci-dessous.</w:t>
      </w:r>
    </w:p>
    <w:p w14:paraId="56BDB1AB" w14:textId="77777777" w:rsidR="0003335F" w:rsidRPr="00496612" w:rsidRDefault="0003335F" w:rsidP="00E51B40">
      <w:pPr>
        <w:pStyle w:val="Headingb"/>
        <w:spacing w:before="160" w:line="240" w:lineRule="auto"/>
        <w:rPr>
          <w:lang w:val="fr-FR"/>
        </w:rPr>
      </w:pPr>
      <w:r w:rsidRPr="00496612">
        <w:rPr>
          <w:lang w:val="fr-FR"/>
        </w:rPr>
        <w:t>Mise en œuvre des règles de validation spatiale</w:t>
      </w:r>
    </w:p>
    <w:p w14:paraId="4655D4BF" w14:textId="20FC56D8" w:rsidR="0003335F" w:rsidRPr="00496612" w:rsidRDefault="0003335F" w:rsidP="00E51B40">
      <w:pPr>
        <w:spacing w:before="120" w:line="240" w:lineRule="auto"/>
        <w:rPr>
          <w:lang w:val="fr-FR"/>
        </w:rPr>
      </w:pPr>
      <w:r w:rsidRPr="00496612">
        <w:rPr>
          <w:lang w:val="fr-FR"/>
        </w:rPr>
        <w:t>De nouvelles règles de validation ont été mises en œuvre dans le logiciel de validation spatiale (v. 8.0.5), puis transférées dans le logiciel BRSIS-Validation, afin d</w:t>
      </w:r>
      <w:r w:rsidR="00686D59" w:rsidRPr="00496612">
        <w:rPr>
          <w:lang w:val="fr-FR"/>
        </w:rPr>
        <w:t>'</w:t>
      </w:r>
      <w:r w:rsidRPr="00496612">
        <w:rPr>
          <w:lang w:val="fr-FR"/>
        </w:rPr>
        <w:t>émettre un avertissement lorsqu</w:t>
      </w:r>
      <w:r w:rsidR="00686D59" w:rsidRPr="00496612">
        <w:rPr>
          <w:lang w:val="fr-FR"/>
        </w:rPr>
        <w:t>'</w:t>
      </w:r>
      <w:r w:rsidRPr="00496612">
        <w:rPr>
          <w:lang w:val="fr-FR"/>
        </w:rPr>
        <w:t>une incohérence entre la puissance de crête définie et la densité spectrale de puissance est détectée au moment de la préparation des fiches de notification pour la soumission d</w:t>
      </w:r>
      <w:r w:rsidR="00686D59" w:rsidRPr="00496612">
        <w:rPr>
          <w:lang w:val="fr-FR"/>
        </w:rPr>
        <w:t>'</w:t>
      </w:r>
      <w:r w:rsidRPr="00496612">
        <w:rPr>
          <w:lang w:val="fr-FR"/>
        </w:rPr>
        <w:t>une demande de coordination ou d</w:t>
      </w:r>
      <w:r w:rsidR="00686D59" w:rsidRPr="00496612">
        <w:rPr>
          <w:lang w:val="fr-FR"/>
        </w:rPr>
        <w:t>'</w:t>
      </w:r>
      <w:r w:rsidRPr="00496612">
        <w:rPr>
          <w:lang w:val="fr-FR"/>
        </w:rPr>
        <w:t>une notification. Ces nouvelles règles de validation ont été publiées dans la BR IFIC 2842 (4 avril 2017).</w:t>
      </w:r>
    </w:p>
    <w:p w14:paraId="65CF853E" w14:textId="24779E97" w:rsidR="0003335F" w:rsidRPr="00496612" w:rsidRDefault="0003335F" w:rsidP="00E51B40">
      <w:pPr>
        <w:spacing w:before="120" w:line="240" w:lineRule="auto"/>
        <w:rPr>
          <w:lang w:val="fr-FR"/>
        </w:rPr>
      </w:pPr>
      <w:r w:rsidRPr="00496612">
        <w:rPr>
          <w:lang w:val="fr-FR"/>
        </w:rPr>
        <w:t>Ces contrôles de validation avaient pour but d</w:t>
      </w:r>
      <w:r w:rsidR="00686D59" w:rsidRPr="00496612">
        <w:rPr>
          <w:lang w:val="fr-FR"/>
        </w:rPr>
        <w:t>'</w:t>
      </w:r>
      <w:r w:rsidRPr="00496612">
        <w:rPr>
          <w:lang w:val="fr-FR"/>
        </w:rPr>
        <w:t>aider les administrations ainsi que de leur rappeler d</w:t>
      </w:r>
      <w:r w:rsidR="00686D59" w:rsidRPr="00496612">
        <w:rPr>
          <w:lang w:val="fr-FR"/>
        </w:rPr>
        <w:t>'</w:t>
      </w:r>
      <w:r w:rsidRPr="00496612">
        <w:rPr>
          <w:lang w:val="fr-FR"/>
        </w:rPr>
        <w:t>utiliser la version la plus récente de la Recommandation UIT-R SF.675 dans leurs calculs des densités maximales de puissance.</w:t>
      </w:r>
    </w:p>
    <w:p w14:paraId="65377DE7" w14:textId="6B5EB9F7" w:rsidR="0003335F" w:rsidRPr="00496612" w:rsidRDefault="0003335F" w:rsidP="00E51B40">
      <w:pPr>
        <w:spacing w:before="120" w:line="240" w:lineRule="auto"/>
        <w:rPr>
          <w:lang w:val="fr-FR"/>
        </w:rPr>
      </w:pPr>
      <w:r w:rsidRPr="00496612">
        <w:rPr>
          <w:lang w:val="fr-FR"/>
        </w:rPr>
        <w:t>Les nouvelles règles de validation spatiale étant déjà appliquées depuis près de 7</w:t>
      </w:r>
      <w:r w:rsidR="00BC1389" w:rsidRPr="00496612">
        <w:rPr>
          <w:lang w:val="fr-FR"/>
        </w:rPr>
        <w:t xml:space="preserve"> </w:t>
      </w:r>
      <w:r w:rsidRPr="00496612">
        <w:rPr>
          <w:lang w:val="fr-FR"/>
        </w:rPr>
        <w:t>ans, les administrations ont dû prendre l</w:t>
      </w:r>
      <w:r w:rsidR="00686D59" w:rsidRPr="00496612">
        <w:rPr>
          <w:lang w:val="fr-FR"/>
        </w:rPr>
        <w:t>'</w:t>
      </w:r>
      <w:r w:rsidRPr="00496612">
        <w:rPr>
          <w:lang w:val="fr-FR"/>
        </w:rPr>
        <w:t>habitude d</w:t>
      </w:r>
      <w:r w:rsidR="00686D59" w:rsidRPr="00496612">
        <w:rPr>
          <w:lang w:val="fr-FR"/>
        </w:rPr>
        <w:t>'</w:t>
      </w:r>
      <w:r w:rsidRPr="00496612">
        <w:rPr>
          <w:lang w:val="fr-FR"/>
        </w:rPr>
        <w:t>utiliser la Recommandation UIT-R SF.675 pour calculer les densités maximales de puissance.</w:t>
      </w:r>
    </w:p>
    <w:p w14:paraId="1CE5F3B7" w14:textId="77777777" w:rsidR="0003335F" w:rsidRPr="00496612" w:rsidRDefault="0003335F" w:rsidP="00E51B40">
      <w:pPr>
        <w:pStyle w:val="Headingb"/>
        <w:spacing w:before="160" w:line="240" w:lineRule="auto"/>
        <w:rPr>
          <w:lang w:val="fr-FR"/>
        </w:rPr>
      </w:pPr>
      <w:bookmarkStart w:id="0" w:name="_Toc143072407"/>
      <w:r w:rsidRPr="00496612">
        <w:rPr>
          <w:lang w:val="fr-FR"/>
        </w:rPr>
        <w:t>Nouvelle version du progiciel GIBC</w:t>
      </w:r>
      <w:bookmarkEnd w:id="0"/>
    </w:p>
    <w:p w14:paraId="3CC3836E" w14:textId="28FC226C" w:rsidR="0003335F" w:rsidRPr="00496612" w:rsidRDefault="0003335F" w:rsidP="00E51B40">
      <w:pPr>
        <w:spacing w:before="120" w:line="240" w:lineRule="auto"/>
        <w:rPr>
          <w:lang w:val="fr-FR"/>
        </w:rPr>
      </w:pPr>
      <w:r w:rsidRPr="00496612">
        <w:rPr>
          <w:lang w:val="fr-FR"/>
        </w:rPr>
        <w:t>Une nouvelle version du progiciel GIBC (v9.1) a été publiée dans la BR IFIC 2985/29.11.2022, mettant en œuvre la nouvelle méthode de calcul alignée sur la Recommandation UIT-R SF.675. Une option a été ajoutée aux modules GIBC puissance surfacique/p.i.r.e. (OSG) et GIBC puissance surfacique/p.i.r.e. (non OSG) pour calculer la puissance d</w:t>
      </w:r>
      <w:r w:rsidR="00686D59" w:rsidRPr="00496612">
        <w:rPr>
          <w:lang w:val="fr-FR"/>
        </w:rPr>
        <w:t>'</w:t>
      </w:r>
      <w:r w:rsidRPr="00496612">
        <w:rPr>
          <w:lang w:val="fr-FR"/>
        </w:rPr>
        <w:t>émission à l</w:t>
      </w:r>
      <w:r w:rsidR="00686D59" w:rsidRPr="00496612">
        <w:rPr>
          <w:lang w:val="fr-FR"/>
        </w:rPr>
        <w:t>'</w:t>
      </w:r>
      <w:r w:rsidRPr="00496612">
        <w:rPr>
          <w:lang w:val="fr-FR"/>
        </w:rPr>
        <w:t>aide de la Recommandation</w:t>
      </w:r>
      <w:r w:rsidR="00863141" w:rsidRPr="00496612">
        <w:rPr>
          <w:lang w:val="fr-FR"/>
        </w:rPr>
        <w:t> </w:t>
      </w:r>
      <w:r w:rsidRPr="00496612">
        <w:rPr>
          <w:lang w:val="fr-FR"/>
        </w:rPr>
        <w:t>UIT-R SF.675.</w:t>
      </w:r>
    </w:p>
    <w:p w14:paraId="3395E588" w14:textId="25D3FB2D" w:rsidR="0003335F" w:rsidRPr="00496612" w:rsidRDefault="0003335F" w:rsidP="00E51B40">
      <w:pPr>
        <w:spacing w:before="120" w:line="240" w:lineRule="auto"/>
        <w:rPr>
          <w:lang w:val="fr-FR"/>
        </w:rPr>
      </w:pPr>
      <w:r w:rsidRPr="00496612">
        <w:rPr>
          <w:lang w:val="fr-FR"/>
        </w:rPr>
        <w:t>Les étapes détaillées de la nouvelle méthode de calcul alignée sur la Recommandation UIT</w:t>
      </w:r>
      <w:r w:rsidR="00BC1389" w:rsidRPr="00496612">
        <w:rPr>
          <w:lang w:val="fr-FR"/>
        </w:rPr>
        <w:noBreakHyphen/>
      </w:r>
      <w:r w:rsidRPr="00496612">
        <w:rPr>
          <w:lang w:val="fr-FR"/>
        </w:rPr>
        <w:t>R</w:t>
      </w:r>
      <w:r w:rsidR="00BC1389" w:rsidRPr="00496612">
        <w:rPr>
          <w:lang w:val="fr-FR"/>
        </w:rPr>
        <w:t> </w:t>
      </w:r>
      <w:r w:rsidRPr="00496612">
        <w:rPr>
          <w:lang w:val="fr-FR"/>
        </w:rPr>
        <w:t>SF.675 sont données dans l</w:t>
      </w:r>
      <w:r w:rsidR="00686D59" w:rsidRPr="00496612">
        <w:rPr>
          <w:lang w:val="fr-FR"/>
        </w:rPr>
        <w:t>'</w:t>
      </w:r>
      <w:r w:rsidRPr="00496612">
        <w:rPr>
          <w:lang w:val="fr-FR"/>
        </w:rPr>
        <w:t>Annexe 1.</w:t>
      </w:r>
    </w:p>
    <w:p w14:paraId="189372B1" w14:textId="4FCD4F2D" w:rsidR="0003335F" w:rsidRPr="00496612" w:rsidRDefault="0003335F" w:rsidP="00E51B40">
      <w:pPr>
        <w:spacing w:before="120" w:line="240" w:lineRule="auto"/>
        <w:rPr>
          <w:lang w:val="fr-FR"/>
        </w:rPr>
      </w:pPr>
      <w:r w:rsidRPr="00496612">
        <w:rPr>
          <w:lang w:val="fr-FR"/>
        </w:rPr>
        <w:t>Grâce à cette option supplémentaire, les administrations peuvent vérifier la conformité aux limites de puissance surfacique et de puissance isotrope rayonnée équivalente (p.i.r.e.) définies dans les Articles </w:t>
      </w:r>
      <w:r w:rsidRPr="00496612">
        <w:rPr>
          <w:b/>
          <w:bCs/>
          <w:lang w:val="fr-FR"/>
        </w:rPr>
        <w:t>5</w:t>
      </w:r>
      <w:r w:rsidRPr="00496612">
        <w:rPr>
          <w:lang w:val="fr-FR"/>
        </w:rPr>
        <w:t xml:space="preserve">, </w:t>
      </w:r>
      <w:r w:rsidRPr="00496612">
        <w:rPr>
          <w:b/>
          <w:bCs/>
          <w:lang w:val="fr-FR"/>
        </w:rPr>
        <w:t>21</w:t>
      </w:r>
      <w:r w:rsidRPr="00496612">
        <w:rPr>
          <w:lang w:val="fr-FR"/>
        </w:rPr>
        <w:t xml:space="preserve"> et </w:t>
      </w:r>
      <w:r w:rsidRPr="00496612">
        <w:rPr>
          <w:b/>
          <w:bCs/>
          <w:lang w:val="fr-FR"/>
        </w:rPr>
        <w:t>22</w:t>
      </w:r>
      <w:r w:rsidRPr="00496612">
        <w:rPr>
          <w:lang w:val="fr-FR"/>
        </w:rPr>
        <w:t xml:space="preserve"> du Règlement des radiocommunications en utilisant une méthode de calcul fondée sur le calcul de la valeur maximale de puissance conformément à la Recommandation</w:t>
      </w:r>
      <w:r w:rsidR="00863141" w:rsidRPr="00496612">
        <w:rPr>
          <w:lang w:val="fr-FR"/>
        </w:rPr>
        <w:t> </w:t>
      </w:r>
      <w:r w:rsidRPr="00496612">
        <w:rPr>
          <w:lang w:val="fr-FR"/>
        </w:rPr>
        <w:t>UIT</w:t>
      </w:r>
      <w:r w:rsidR="00863141" w:rsidRPr="00496612">
        <w:rPr>
          <w:lang w:val="fr-FR"/>
        </w:rPr>
        <w:noBreakHyphen/>
      </w:r>
      <w:r w:rsidRPr="00496612">
        <w:rPr>
          <w:lang w:val="fr-FR"/>
        </w:rPr>
        <w:t>R SF.675.</w:t>
      </w:r>
    </w:p>
    <w:p w14:paraId="6BA3B36F" w14:textId="3D80CFDF" w:rsidR="0003335F" w:rsidRPr="00496612" w:rsidRDefault="0003335F" w:rsidP="00E51B40">
      <w:pPr>
        <w:pStyle w:val="Headingb"/>
        <w:spacing w:before="160" w:line="240" w:lineRule="auto"/>
        <w:rPr>
          <w:lang w:val="fr-FR"/>
        </w:rPr>
      </w:pPr>
      <w:r w:rsidRPr="00496612">
        <w:rPr>
          <w:lang w:val="fr-FR"/>
        </w:rPr>
        <w:t>Mise en place de l</w:t>
      </w:r>
      <w:r w:rsidR="00686D59" w:rsidRPr="00496612">
        <w:rPr>
          <w:lang w:val="fr-FR"/>
        </w:rPr>
        <w:t>'</w:t>
      </w:r>
      <w:r w:rsidRPr="00496612">
        <w:rPr>
          <w:lang w:val="fr-FR"/>
        </w:rPr>
        <w:t>outil d</w:t>
      </w:r>
      <w:r w:rsidR="00686D59" w:rsidRPr="00496612">
        <w:rPr>
          <w:lang w:val="fr-FR"/>
        </w:rPr>
        <w:t>'</w:t>
      </w:r>
      <w:r w:rsidRPr="00496612">
        <w:rPr>
          <w:lang w:val="fr-FR"/>
        </w:rPr>
        <w:t xml:space="preserve">examen en ligne </w:t>
      </w:r>
      <w:r w:rsidR="00863141" w:rsidRPr="00496612">
        <w:rPr>
          <w:lang w:val="fr-FR"/>
        </w:rPr>
        <w:t>«</w:t>
      </w:r>
      <w:r w:rsidRPr="00496612">
        <w:rPr>
          <w:lang w:val="fr-FR"/>
        </w:rPr>
        <w:t>Examen électronique</w:t>
      </w:r>
      <w:r w:rsidR="00863141" w:rsidRPr="00496612">
        <w:rPr>
          <w:lang w:val="fr-FR"/>
        </w:rPr>
        <w:t>»</w:t>
      </w:r>
    </w:p>
    <w:p w14:paraId="02279FF1" w14:textId="0B5A869A" w:rsidR="0003335F" w:rsidRPr="00496612" w:rsidRDefault="0003335F" w:rsidP="00E51B40">
      <w:pPr>
        <w:spacing w:before="120" w:line="240" w:lineRule="auto"/>
        <w:rPr>
          <w:lang w:val="fr-FR"/>
        </w:rPr>
      </w:pPr>
      <w:r w:rsidRPr="00496612">
        <w:rPr>
          <w:lang w:val="fr-FR"/>
        </w:rPr>
        <w:t>Le nouvel outil d</w:t>
      </w:r>
      <w:r w:rsidR="00686D59" w:rsidRPr="00496612">
        <w:rPr>
          <w:lang w:val="fr-FR"/>
        </w:rPr>
        <w:t>'</w:t>
      </w:r>
      <w:r w:rsidRPr="00496612">
        <w:rPr>
          <w:lang w:val="fr-FR"/>
        </w:rPr>
        <w:t xml:space="preserve">examen en ligne </w:t>
      </w:r>
      <w:r w:rsidR="00863141" w:rsidRPr="00496612">
        <w:rPr>
          <w:lang w:val="fr-FR"/>
        </w:rPr>
        <w:t>«</w:t>
      </w:r>
      <w:r w:rsidRPr="00496612">
        <w:rPr>
          <w:lang w:val="fr-FR"/>
        </w:rPr>
        <w:t>Examen</w:t>
      </w:r>
      <w:r w:rsidR="00863141" w:rsidRPr="00496612">
        <w:rPr>
          <w:lang w:val="fr-FR"/>
        </w:rPr>
        <w:t xml:space="preserve"> </w:t>
      </w:r>
      <w:r w:rsidRPr="00496612">
        <w:rPr>
          <w:lang w:val="fr-FR"/>
        </w:rPr>
        <w:t>électronique</w:t>
      </w:r>
      <w:r w:rsidR="00863141" w:rsidRPr="00496612">
        <w:rPr>
          <w:lang w:val="fr-FR"/>
        </w:rPr>
        <w:t>»</w:t>
      </w:r>
      <w:r w:rsidRPr="00496612">
        <w:rPr>
          <w:lang w:val="fr-FR"/>
        </w:rPr>
        <w:t xml:space="preserve"> a été introduit sur la plate-forme </w:t>
      </w:r>
      <w:r w:rsidR="00863141" w:rsidRPr="00496612">
        <w:rPr>
          <w:lang w:val="fr-FR"/>
        </w:rPr>
        <w:t>«</w:t>
      </w:r>
      <w:r w:rsidRPr="00496612">
        <w:rPr>
          <w:lang w:val="fr-FR"/>
        </w:rPr>
        <w:t>Soumission électronique</w:t>
      </w:r>
      <w:r w:rsidR="00863141" w:rsidRPr="00496612">
        <w:rPr>
          <w:lang w:val="fr-FR"/>
        </w:rPr>
        <w:t>»</w:t>
      </w:r>
      <w:r w:rsidRPr="00496612">
        <w:rPr>
          <w:lang w:val="fr-FR"/>
        </w:rPr>
        <w:t xml:space="preserve"> le </w:t>
      </w:r>
      <w:r w:rsidR="00863141" w:rsidRPr="00496612">
        <w:rPr>
          <w:lang w:val="fr-FR"/>
        </w:rPr>
        <w:t xml:space="preserve">1er </w:t>
      </w:r>
      <w:r w:rsidRPr="00496612">
        <w:rPr>
          <w:lang w:val="fr-FR"/>
        </w:rPr>
        <w:t>octobre</w:t>
      </w:r>
      <w:r w:rsidR="00863141" w:rsidRPr="00496612">
        <w:rPr>
          <w:lang w:val="fr-FR"/>
        </w:rPr>
        <w:t xml:space="preserve"> </w:t>
      </w:r>
      <w:r w:rsidRPr="00496612">
        <w:rPr>
          <w:lang w:val="fr-FR"/>
        </w:rPr>
        <w:t>2023 afin d</w:t>
      </w:r>
      <w:r w:rsidR="00686D59" w:rsidRPr="00496612">
        <w:rPr>
          <w:lang w:val="fr-FR"/>
        </w:rPr>
        <w:t>'</w:t>
      </w:r>
      <w:r w:rsidRPr="00496612">
        <w:rPr>
          <w:lang w:val="fr-FR"/>
        </w:rPr>
        <w:t>aider les utilisateurs à vérifier si leurs réseaux à satellite ou leurs stations terriennes téléchargées sur la plate-forme de soumission électronique respectent les limites de puissance surfacique et de p.i.r.e. fixées dans le Règlement des radiocommunications.</w:t>
      </w:r>
    </w:p>
    <w:p w14:paraId="452F8258" w14:textId="7F290798" w:rsidR="0003335F" w:rsidRPr="00496612" w:rsidRDefault="0003335F" w:rsidP="00E51B40">
      <w:pPr>
        <w:spacing w:before="120" w:line="240" w:lineRule="auto"/>
        <w:rPr>
          <w:lang w:val="fr-FR"/>
        </w:rPr>
      </w:pPr>
      <w:r w:rsidRPr="00496612">
        <w:rPr>
          <w:lang w:val="fr-FR"/>
        </w:rPr>
        <w:t>Pour tous les calculs des limites de puissance surfacique et de p.i.r.e. effectués dans l</w:t>
      </w:r>
      <w:r w:rsidR="00686D59" w:rsidRPr="00496612">
        <w:rPr>
          <w:lang w:val="fr-FR"/>
        </w:rPr>
        <w:t>'</w:t>
      </w:r>
      <w:r w:rsidRPr="00496612">
        <w:rPr>
          <w:lang w:val="fr-FR"/>
        </w:rPr>
        <w:t xml:space="preserve">outil </w:t>
      </w:r>
      <w:r w:rsidR="00863141" w:rsidRPr="00496612">
        <w:rPr>
          <w:lang w:val="fr-FR"/>
        </w:rPr>
        <w:t>«</w:t>
      </w:r>
      <w:r w:rsidRPr="00496612">
        <w:rPr>
          <w:lang w:val="fr-FR"/>
        </w:rPr>
        <w:t>Examen électronique</w:t>
      </w:r>
      <w:r w:rsidR="00863141" w:rsidRPr="00496612">
        <w:rPr>
          <w:lang w:val="fr-FR"/>
        </w:rPr>
        <w:t>»</w:t>
      </w:r>
      <w:r w:rsidRPr="00496612">
        <w:rPr>
          <w:lang w:val="fr-FR"/>
        </w:rPr>
        <w:t>, on utilise par défaut la méthode fondée sur le calcul de la valeur maximale de puissance conformément à la Recommandation</w:t>
      </w:r>
      <w:r w:rsidR="00863141" w:rsidRPr="00496612">
        <w:rPr>
          <w:lang w:val="fr-FR"/>
        </w:rPr>
        <w:t xml:space="preserve"> </w:t>
      </w:r>
      <w:r w:rsidRPr="00496612">
        <w:rPr>
          <w:lang w:val="fr-FR"/>
        </w:rPr>
        <w:t>UIT-R SF.675.</w:t>
      </w:r>
    </w:p>
    <w:p w14:paraId="4AA840BD" w14:textId="5B57422B" w:rsidR="0003335F" w:rsidRPr="00496612" w:rsidRDefault="0003335F" w:rsidP="00E51B40">
      <w:pPr>
        <w:keepLines/>
        <w:spacing w:before="120" w:line="240" w:lineRule="auto"/>
        <w:rPr>
          <w:lang w:val="fr-FR"/>
        </w:rPr>
      </w:pPr>
      <w:r w:rsidRPr="00496612">
        <w:rPr>
          <w:lang w:val="fr-FR"/>
        </w:rPr>
        <w:lastRenderedPageBreak/>
        <w:t>Bien que les résultats donnés par l</w:t>
      </w:r>
      <w:r w:rsidR="00686D59" w:rsidRPr="00496612">
        <w:rPr>
          <w:lang w:val="fr-FR"/>
        </w:rPr>
        <w:t>'</w:t>
      </w:r>
      <w:r w:rsidRPr="00496612">
        <w:rPr>
          <w:lang w:val="fr-FR"/>
        </w:rPr>
        <w:t xml:space="preserve">outil </w:t>
      </w:r>
      <w:r w:rsidR="00863141" w:rsidRPr="00496612">
        <w:rPr>
          <w:lang w:val="fr-FR"/>
        </w:rPr>
        <w:t>«</w:t>
      </w:r>
      <w:r w:rsidRPr="00496612">
        <w:rPr>
          <w:lang w:val="fr-FR"/>
        </w:rPr>
        <w:t>Examen électronique</w:t>
      </w:r>
      <w:r w:rsidR="00863141" w:rsidRPr="00496612">
        <w:rPr>
          <w:lang w:val="fr-FR"/>
        </w:rPr>
        <w:t>»</w:t>
      </w:r>
      <w:r w:rsidRPr="00496612">
        <w:rPr>
          <w:lang w:val="fr-FR"/>
        </w:rPr>
        <w:t xml:space="preserve"> n</w:t>
      </w:r>
      <w:r w:rsidR="00686D59" w:rsidRPr="00496612">
        <w:rPr>
          <w:lang w:val="fr-FR"/>
        </w:rPr>
        <w:t>'</w:t>
      </w:r>
      <w:r w:rsidRPr="00496612">
        <w:rPr>
          <w:lang w:val="fr-FR"/>
        </w:rPr>
        <w:t>aient qu</w:t>
      </w:r>
      <w:r w:rsidR="00686D59" w:rsidRPr="00496612">
        <w:rPr>
          <w:lang w:val="fr-FR"/>
        </w:rPr>
        <w:t>'</w:t>
      </w:r>
      <w:r w:rsidRPr="00496612">
        <w:rPr>
          <w:lang w:val="fr-FR"/>
        </w:rPr>
        <w:t>un caractère informatif et que des conclusions réglementaires définitives soient rendues par le Bureau lors de l</w:t>
      </w:r>
      <w:r w:rsidR="00686D59" w:rsidRPr="00496612">
        <w:rPr>
          <w:lang w:val="fr-FR"/>
        </w:rPr>
        <w:t>'</w:t>
      </w:r>
      <w:r w:rsidRPr="00496612">
        <w:rPr>
          <w:lang w:val="fr-FR"/>
        </w:rPr>
        <w:t>examen qu</w:t>
      </w:r>
      <w:r w:rsidR="00686D59" w:rsidRPr="00496612">
        <w:rPr>
          <w:lang w:val="fr-FR"/>
        </w:rPr>
        <w:t>'</w:t>
      </w:r>
      <w:r w:rsidRPr="00496612">
        <w:rPr>
          <w:lang w:val="fr-FR"/>
        </w:rPr>
        <w:t>il effectue au titre des numéros</w:t>
      </w:r>
      <w:r w:rsidR="00863141" w:rsidRPr="00496612">
        <w:rPr>
          <w:lang w:val="fr-FR"/>
        </w:rPr>
        <w:t xml:space="preserve"> </w:t>
      </w:r>
      <w:r w:rsidRPr="00496612">
        <w:rPr>
          <w:b/>
          <w:bCs/>
          <w:lang w:val="fr-FR"/>
        </w:rPr>
        <w:t>9.35</w:t>
      </w:r>
      <w:r w:rsidRPr="00496612">
        <w:rPr>
          <w:lang w:val="fr-FR"/>
        </w:rPr>
        <w:t>/</w:t>
      </w:r>
      <w:r w:rsidRPr="00496612">
        <w:rPr>
          <w:b/>
          <w:bCs/>
          <w:lang w:val="fr-FR"/>
        </w:rPr>
        <w:t>11.31</w:t>
      </w:r>
      <w:r w:rsidRPr="00496612">
        <w:rPr>
          <w:lang w:val="fr-FR"/>
        </w:rPr>
        <w:t xml:space="preserve"> du Règlement des radiocommunications, les renseignements supplémentaires fournis par cet outil peuvent aider les administrations à revoir les caractéristiques de leurs assignations de fréquence afin de réduire au minimum le risque de recevoir des conclusions défavorables dans le cadre des examens effectués par le Bureau.</w:t>
      </w:r>
    </w:p>
    <w:p w14:paraId="33C86A2D" w14:textId="59226C68" w:rsidR="0003335F" w:rsidRPr="00496612" w:rsidRDefault="0003335F" w:rsidP="00E51B40">
      <w:pPr>
        <w:spacing w:before="120" w:line="240" w:lineRule="auto"/>
        <w:rPr>
          <w:szCs w:val="24"/>
          <w:lang w:val="fr-FR"/>
        </w:rPr>
      </w:pPr>
      <w:r w:rsidRPr="00496612">
        <w:rPr>
          <w:lang w:val="fr-FR"/>
        </w:rPr>
        <w:t>Vous trouverez des renseignements détaillés et des lignes directrices sur l</w:t>
      </w:r>
      <w:r w:rsidR="00686D59" w:rsidRPr="00496612">
        <w:rPr>
          <w:lang w:val="fr-FR"/>
        </w:rPr>
        <w:t>'</w:t>
      </w:r>
      <w:r w:rsidRPr="00496612">
        <w:rPr>
          <w:lang w:val="fr-FR"/>
        </w:rPr>
        <w:t>outil d</w:t>
      </w:r>
      <w:r w:rsidR="00686D59" w:rsidRPr="00496612">
        <w:rPr>
          <w:lang w:val="fr-FR"/>
        </w:rPr>
        <w:t>'</w:t>
      </w:r>
      <w:r w:rsidRPr="00496612">
        <w:rPr>
          <w:lang w:val="fr-FR"/>
        </w:rPr>
        <w:t>examen électronique à l</w:t>
      </w:r>
      <w:r w:rsidR="00686D59" w:rsidRPr="00496612">
        <w:rPr>
          <w:lang w:val="fr-FR"/>
        </w:rPr>
        <w:t>'</w:t>
      </w:r>
      <w:r w:rsidRPr="00496612">
        <w:rPr>
          <w:lang w:val="fr-FR"/>
        </w:rPr>
        <w:t>adresse suivante:</w:t>
      </w:r>
    </w:p>
    <w:p w14:paraId="2A9E202F" w14:textId="18A5B36A" w:rsidR="0003335F" w:rsidRPr="00496612" w:rsidRDefault="00C37A4B" w:rsidP="00E51B40">
      <w:pPr>
        <w:spacing w:before="120" w:after="240" w:line="240" w:lineRule="auto"/>
        <w:rPr>
          <w:lang w:val="fr-FR"/>
        </w:rPr>
      </w:pPr>
      <w:hyperlink r:id="rId9" w:history="1">
        <w:r w:rsidR="0003335F" w:rsidRPr="00496612">
          <w:rPr>
            <w:rStyle w:val="Hyperlink"/>
            <w:lang w:val="fr-FR"/>
          </w:rPr>
          <w:t>https://www.itu.int/en/ITU-R/space/support/Pages/e-Examination-guide.aspx</w:t>
        </w:r>
      </w:hyperlink>
      <w:r w:rsidR="00863141" w:rsidRPr="00496612">
        <w:rPr>
          <w:lang w:val="fr-FR"/>
        </w:rPr>
        <w:t>.</w:t>
      </w:r>
    </w:p>
    <w:p w14:paraId="6653C7F6" w14:textId="3D9240E4" w:rsidR="0003335F" w:rsidRPr="00496612" w:rsidRDefault="0003335F" w:rsidP="00E51B40">
      <w:pPr>
        <w:pStyle w:val="Headingb"/>
        <w:spacing w:before="160" w:line="240" w:lineRule="auto"/>
        <w:rPr>
          <w:lang w:val="fr-FR"/>
        </w:rPr>
      </w:pPr>
      <w:r w:rsidRPr="00496612">
        <w:rPr>
          <w:lang w:val="fr-FR"/>
        </w:rPr>
        <w:t>Date d</w:t>
      </w:r>
      <w:r w:rsidR="00686D59" w:rsidRPr="00496612">
        <w:rPr>
          <w:lang w:val="fr-FR"/>
        </w:rPr>
        <w:t>'</w:t>
      </w:r>
      <w:r w:rsidRPr="00496612">
        <w:rPr>
          <w:lang w:val="fr-FR"/>
        </w:rPr>
        <w:t>entrée en vigueur de la méthode de calcul alignée sur la Recommandation UIT-R SF.675</w:t>
      </w:r>
    </w:p>
    <w:p w14:paraId="372B1D7B" w14:textId="51E7E759" w:rsidR="0003335F" w:rsidRPr="00496612" w:rsidRDefault="0003335F" w:rsidP="00E51B40">
      <w:pPr>
        <w:spacing w:before="120" w:line="240" w:lineRule="auto"/>
        <w:rPr>
          <w:lang w:val="fr-FR"/>
        </w:rPr>
      </w:pPr>
      <w:r w:rsidRPr="00496612">
        <w:rPr>
          <w:lang w:val="fr-FR"/>
        </w:rPr>
        <w:t>Compte tenu des mesures prises ci-dessus pour mettre progressivement en œuvre la nouvelle méthode de calcul alignée sur la Recommandation</w:t>
      </w:r>
      <w:r w:rsidR="00863141" w:rsidRPr="00496612">
        <w:rPr>
          <w:lang w:val="fr-FR"/>
        </w:rPr>
        <w:t xml:space="preserve"> </w:t>
      </w:r>
      <w:r w:rsidRPr="00496612">
        <w:rPr>
          <w:lang w:val="fr-FR"/>
        </w:rPr>
        <w:t>UIT-R SF.675, le Bureau commencera à appliquer cette nouvelle méthode à toutes les assignations de fréquence reçues à compter du</w:t>
      </w:r>
      <w:r w:rsidR="00863141" w:rsidRPr="00496612">
        <w:rPr>
          <w:lang w:val="fr-FR"/>
        </w:rPr>
        <w:t> </w:t>
      </w:r>
      <w:r w:rsidRPr="00496612">
        <w:rPr>
          <w:lang w:val="fr-FR"/>
        </w:rPr>
        <w:t>1er mai</w:t>
      </w:r>
      <w:r w:rsidR="00863141" w:rsidRPr="00496612">
        <w:rPr>
          <w:lang w:val="fr-FR"/>
        </w:rPr>
        <w:t xml:space="preserve"> </w:t>
      </w:r>
      <w:r w:rsidRPr="00496612">
        <w:rPr>
          <w:lang w:val="fr-FR"/>
        </w:rPr>
        <w:t>2024.</w:t>
      </w:r>
    </w:p>
    <w:p w14:paraId="0C16CDDB" w14:textId="3F7F04BA" w:rsidR="0003335F" w:rsidRPr="00496612" w:rsidRDefault="0003335F" w:rsidP="00E51B40">
      <w:pPr>
        <w:spacing w:before="120" w:line="240" w:lineRule="auto"/>
        <w:rPr>
          <w:rFonts w:eastAsia="SimSun"/>
          <w:lang w:val="fr-FR"/>
        </w:rPr>
      </w:pPr>
      <w:r w:rsidRPr="00496612">
        <w:rPr>
          <w:rFonts w:eastAsia="SimSun"/>
          <w:lang w:val="fr-FR"/>
        </w:rPr>
        <w:t>La même méthode s</w:t>
      </w:r>
      <w:r w:rsidR="00686D59" w:rsidRPr="00496612">
        <w:rPr>
          <w:rFonts w:eastAsia="SimSun"/>
          <w:lang w:val="fr-FR"/>
        </w:rPr>
        <w:t>'</w:t>
      </w:r>
      <w:r w:rsidRPr="00496612">
        <w:rPr>
          <w:rFonts w:eastAsia="SimSun"/>
          <w:lang w:val="fr-FR"/>
        </w:rPr>
        <w:t>appliquera aux assignations de fréquence assujetties à la coordination qui sont reçues pour notification à compter du 1er mai 2024, même si les assignations de fréquence correspondantes ont été soumises pour coordination avant cette date.</w:t>
      </w:r>
    </w:p>
    <w:p w14:paraId="61E3F9B0" w14:textId="37372C89" w:rsidR="0003335F" w:rsidRPr="00496612" w:rsidRDefault="0003335F" w:rsidP="00E51B40">
      <w:pPr>
        <w:spacing w:before="120" w:line="240" w:lineRule="auto"/>
        <w:rPr>
          <w:rFonts w:eastAsia="SimSun"/>
          <w:lang w:val="fr-FR"/>
        </w:rPr>
      </w:pPr>
      <w:r w:rsidRPr="00496612">
        <w:rPr>
          <w:rFonts w:eastAsia="SimSun"/>
          <w:lang w:val="fr-FR"/>
        </w:rPr>
        <w:t>L</w:t>
      </w:r>
      <w:r w:rsidR="00686D59" w:rsidRPr="00496612">
        <w:rPr>
          <w:rFonts w:eastAsia="SimSun"/>
          <w:lang w:val="fr-FR"/>
        </w:rPr>
        <w:t>'</w:t>
      </w:r>
      <w:r w:rsidRPr="00496612">
        <w:rPr>
          <w:rFonts w:eastAsia="SimSun"/>
          <w:lang w:val="fr-FR"/>
        </w:rPr>
        <w:t>examen réglementaire de toutes les assignations de fréquence reçues avant le 1er mai 2024 sera effectué selon l</w:t>
      </w:r>
      <w:r w:rsidR="00686D59" w:rsidRPr="00496612">
        <w:rPr>
          <w:rFonts w:eastAsia="SimSun"/>
          <w:lang w:val="fr-FR"/>
        </w:rPr>
        <w:t>'</w:t>
      </w:r>
      <w:r w:rsidRPr="00496612">
        <w:rPr>
          <w:rFonts w:eastAsia="SimSun"/>
          <w:lang w:val="fr-FR"/>
        </w:rPr>
        <w:t>ancienne méthode décrite dans l</w:t>
      </w:r>
      <w:r w:rsidR="00686D59" w:rsidRPr="00496612">
        <w:rPr>
          <w:rFonts w:eastAsia="SimSun"/>
          <w:lang w:val="fr-FR"/>
        </w:rPr>
        <w:t>'</w:t>
      </w:r>
      <w:r w:rsidRPr="00496612">
        <w:rPr>
          <w:rFonts w:eastAsia="SimSun"/>
          <w:lang w:val="fr-FR"/>
        </w:rPr>
        <w:t>Annexe 1.</w:t>
      </w:r>
    </w:p>
    <w:p w14:paraId="01EEB872" w14:textId="77777777" w:rsidR="0003335F" w:rsidRPr="00496612" w:rsidRDefault="0003335F" w:rsidP="00E51B40">
      <w:pPr>
        <w:pStyle w:val="Headingb"/>
        <w:spacing w:before="160" w:line="240" w:lineRule="auto"/>
        <w:rPr>
          <w:lang w:val="fr-FR"/>
        </w:rPr>
      </w:pPr>
      <w:r w:rsidRPr="00496612">
        <w:rPr>
          <w:lang w:val="fr-FR"/>
        </w:rPr>
        <w:t>Appui et contacts</w:t>
      </w:r>
    </w:p>
    <w:p w14:paraId="3E26A948" w14:textId="709AA406" w:rsidR="0003335F" w:rsidRPr="00496612" w:rsidRDefault="0003335F" w:rsidP="00E51B40">
      <w:pPr>
        <w:spacing w:before="120" w:line="240" w:lineRule="auto"/>
        <w:rPr>
          <w:lang w:val="fr-FR"/>
        </w:rPr>
      </w:pPr>
      <w:r w:rsidRPr="00496612">
        <w:rPr>
          <w:lang w:val="fr-FR"/>
        </w:rPr>
        <w:t>Le Bureau reste à votre disposition, via l</w:t>
      </w:r>
      <w:r w:rsidR="00686D59" w:rsidRPr="00496612">
        <w:rPr>
          <w:lang w:val="fr-FR"/>
        </w:rPr>
        <w:t>'</w:t>
      </w:r>
      <w:r w:rsidRPr="00496612">
        <w:rPr>
          <w:lang w:val="fr-FR"/>
        </w:rPr>
        <w:t xml:space="preserve">adresse </w:t>
      </w:r>
      <w:hyperlink r:id="rId10" w:history="1">
        <w:r w:rsidRPr="00496612">
          <w:rPr>
            <w:rStyle w:val="Hyperlink"/>
            <w:lang w:val="fr-FR"/>
          </w:rPr>
          <w:t>brmail@itu.int</w:t>
        </w:r>
      </w:hyperlink>
      <w:r w:rsidRPr="00496612">
        <w:rPr>
          <w:lang w:val="fr-FR"/>
        </w:rPr>
        <w:t>, pour toute précision ou assistance dont vous pourriez avoir besoin concernant les sujets traités dans la présente Lettre circulaire.</w:t>
      </w:r>
    </w:p>
    <w:p w14:paraId="6C390E04" w14:textId="7AFD472A" w:rsidR="0003335F" w:rsidRPr="00496612" w:rsidRDefault="0003335F" w:rsidP="00E51B40">
      <w:pPr>
        <w:spacing w:before="120" w:line="240" w:lineRule="auto"/>
        <w:rPr>
          <w:lang w:val="fr-FR"/>
        </w:rPr>
      </w:pPr>
      <w:r w:rsidRPr="00496612">
        <w:rPr>
          <w:lang w:val="fr-FR"/>
        </w:rPr>
        <w:t>Veuillez adresser toute question relative au logiciel GIBC à l</w:t>
      </w:r>
      <w:r w:rsidR="00686D59" w:rsidRPr="00496612">
        <w:rPr>
          <w:lang w:val="fr-FR"/>
        </w:rPr>
        <w:t>'</w:t>
      </w:r>
      <w:r w:rsidRPr="00496612">
        <w:rPr>
          <w:lang w:val="fr-FR"/>
        </w:rPr>
        <w:t xml:space="preserve">adresse </w:t>
      </w:r>
      <w:hyperlink r:id="rId11" w:history="1">
        <w:r w:rsidRPr="00496612">
          <w:rPr>
            <w:rStyle w:val="Hyperlink"/>
            <w:lang w:val="fr-FR"/>
          </w:rPr>
          <w:t>brsas@itu.int</w:t>
        </w:r>
      </w:hyperlink>
      <w:r w:rsidRPr="00496612">
        <w:rPr>
          <w:lang w:val="fr-FR"/>
        </w:rPr>
        <w:t>.</w:t>
      </w:r>
    </w:p>
    <w:p w14:paraId="359E7D3B" w14:textId="6D86BE01" w:rsidR="0003335F" w:rsidRPr="00496612" w:rsidRDefault="0003335F" w:rsidP="00C37A4B">
      <w:pPr>
        <w:spacing w:before="1200" w:line="240" w:lineRule="auto"/>
        <w:jc w:val="left"/>
        <w:rPr>
          <w:rFonts w:eastAsiaTheme="majorEastAsia"/>
          <w:lang w:val="fr-FR"/>
        </w:rPr>
      </w:pPr>
      <w:r w:rsidRPr="00496612">
        <w:rPr>
          <w:rFonts w:eastAsiaTheme="majorEastAsia"/>
          <w:lang w:val="fr-FR"/>
        </w:rPr>
        <w:t>Mario Maniewicz</w:t>
      </w:r>
      <w:r w:rsidRPr="00496612">
        <w:rPr>
          <w:rFonts w:eastAsiaTheme="majorEastAsia"/>
          <w:lang w:val="fr-FR"/>
        </w:rPr>
        <w:br/>
        <w:t>Directeur</w:t>
      </w:r>
    </w:p>
    <w:p w14:paraId="1A73A1BB" w14:textId="77777777" w:rsidR="0003335F" w:rsidRPr="00496612" w:rsidRDefault="0003335F" w:rsidP="00C37A4B">
      <w:pPr>
        <w:spacing w:before="2160" w:line="240" w:lineRule="auto"/>
        <w:jc w:val="left"/>
        <w:rPr>
          <w:szCs w:val="24"/>
          <w:lang w:val="fr-FR"/>
        </w:rPr>
      </w:pPr>
      <w:r w:rsidRPr="00496612">
        <w:rPr>
          <w:szCs w:val="24"/>
          <w:lang w:val="fr-FR"/>
        </w:rPr>
        <w:t>Pièce jointe: Annexe 1</w:t>
      </w:r>
    </w:p>
    <w:p w14:paraId="6D1E791D" w14:textId="77777777" w:rsidR="0003335F" w:rsidRPr="00E51B40" w:rsidRDefault="0003335F" w:rsidP="00C37A4B">
      <w:pPr>
        <w:spacing w:before="720" w:line="240" w:lineRule="auto"/>
        <w:jc w:val="left"/>
        <w:rPr>
          <w:b/>
          <w:bCs/>
          <w:sz w:val="18"/>
          <w:szCs w:val="18"/>
          <w:u w:val="single"/>
          <w:lang w:val="fr-FR"/>
        </w:rPr>
      </w:pPr>
      <w:proofErr w:type="gramStart"/>
      <w:r w:rsidRPr="00E51B40">
        <w:rPr>
          <w:b/>
          <w:bCs/>
          <w:sz w:val="18"/>
          <w:szCs w:val="18"/>
          <w:u w:val="single"/>
          <w:lang w:val="fr-FR"/>
        </w:rPr>
        <w:t>Distribution</w:t>
      </w:r>
      <w:r w:rsidRPr="00E51B40">
        <w:rPr>
          <w:b/>
          <w:bCs/>
          <w:sz w:val="18"/>
          <w:szCs w:val="18"/>
          <w:lang w:val="fr-FR"/>
        </w:rPr>
        <w:t>:</w:t>
      </w:r>
      <w:proofErr w:type="gramEnd"/>
    </w:p>
    <w:p w14:paraId="45193503" w14:textId="55737FA6" w:rsidR="0003335F" w:rsidRPr="00E51B40" w:rsidRDefault="0003335F" w:rsidP="00F9558F">
      <w:pPr>
        <w:pStyle w:val="enumlev1"/>
        <w:spacing w:line="240" w:lineRule="auto"/>
        <w:rPr>
          <w:sz w:val="18"/>
          <w:szCs w:val="18"/>
          <w:lang w:val="fr-FR"/>
        </w:rPr>
      </w:pPr>
      <w:r w:rsidRPr="00E51B40">
        <w:rPr>
          <w:sz w:val="18"/>
          <w:szCs w:val="18"/>
          <w:lang w:val="fr-FR"/>
        </w:rPr>
        <w:t>–</w:t>
      </w:r>
      <w:r w:rsidRPr="00E51B40">
        <w:rPr>
          <w:sz w:val="18"/>
          <w:szCs w:val="18"/>
          <w:lang w:val="fr-FR"/>
        </w:rPr>
        <w:tab/>
        <w:t xml:space="preserve">Aux Administrations des États Membres de </w:t>
      </w:r>
      <w:proofErr w:type="gramStart"/>
      <w:r w:rsidRPr="00E51B40">
        <w:rPr>
          <w:sz w:val="18"/>
          <w:szCs w:val="18"/>
          <w:lang w:val="fr-FR"/>
        </w:rPr>
        <w:t>l</w:t>
      </w:r>
      <w:r w:rsidR="00686D59" w:rsidRPr="00E51B40">
        <w:rPr>
          <w:sz w:val="18"/>
          <w:szCs w:val="18"/>
          <w:lang w:val="fr-FR"/>
        </w:rPr>
        <w:t>'</w:t>
      </w:r>
      <w:r w:rsidRPr="00E51B40">
        <w:rPr>
          <w:sz w:val="18"/>
          <w:szCs w:val="18"/>
          <w:lang w:val="fr-FR"/>
        </w:rPr>
        <w:t>UIT</w:t>
      </w:r>
      <w:r w:rsidR="00AC733C" w:rsidRPr="00E51B40">
        <w:rPr>
          <w:sz w:val="18"/>
          <w:szCs w:val="18"/>
          <w:lang w:val="fr-FR"/>
        </w:rPr>
        <w:t>;</w:t>
      </w:r>
      <w:proofErr w:type="gramEnd"/>
    </w:p>
    <w:p w14:paraId="73138815" w14:textId="70C20839" w:rsidR="0003335F" w:rsidRPr="00E51B40" w:rsidRDefault="0003335F" w:rsidP="00F9558F">
      <w:pPr>
        <w:pStyle w:val="enumlev1"/>
        <w:spacing w:line="240" w:lineRule="auto"/>
        <w:rPr>
          <w:sz w:val="18"/>
          <w:szCs w:val="18"/>
          <w:lang w:val="fr-FR"/>
        </w:rPr>
      </w:pPr>
      <w:r w:rsidRPr="00E51B40">
        <w:rPr>
          <w:sz w:val="18"/>
          <w:szCs w:val="18"/>
          <w:lang w:val="fr-FR"/>
        </w:rPr>
        <w:t>–</w:t>
      </w:r>
      <w:r w:rsidRPr="00E51B40">
        <w:rPr>
          <w:sz w:val="18"/>
          <w:szCs w:val="18"/>
          <w:lang w:val="fr-FR"/>
        </w:rPr>
        <w:tab/>
      </w:r>
      <w:r w:rsidR="0001469A" w:rsidRPr="00E51B40">
        <w:rPr>
          <w:sz w:val="18"/>
          <w:szCs w:val="18"/>
          <w:lang w:val="fr-FR"/>
        </w:rPr>
        <w:t>a</w:t>
      </w:r>
      <w:r w:rsidR="00AC733C" w:rsidRPr="00E51B40">
        <w:rPr>
          <w:sz w:val="18"/>
          <w:szCs w:val="18"/>
          <w:lang w:val="fr-FR"/>
        </w:rPr>
        <w:t>ux M</w:t>
      </w:r>
      <w:r w:rsidRPr="00E51B40">
        <w:rPr>
          <w:sz w:val="18"/>
          <w:szCs w:val="18"/>
          <w:lang w:val="fr-FR"/>
        </w:rPr>
        <w:t>embres du Comité du Règlement des radiocommunications</w:t>
      </w:r>
      <w:r w:rsidR="00AC733C" w:rsidRPr="00E51B40">
        <w:rPr>
          <w:sz w:val="18"/>
          <w:szCs w:val="18"/>
          <w:lang w:val="fr-FR"/>
        </w:rPr>
        <w:t>.</w:t>
      </w:r>
    </w:p>
    <w:p w14:paraId="0A01CAEF" w14:textId="082D32F3" w:rsidR="0003335F" w:rsidRPr="00E51B40" w:rsidRDefault="0003335F" w:rsidP="00F9558F">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fr-FR"/>
        </w:rPr>
      </w:pPr>
      <w:r w:rsidRPr="00E51B40">
        <w:rPr>
          <w:sz w:val="18"/>
          <w:szCs w:val="18"/>
          <w:lang w:val="fr-FR"/>
        </w:rPr>
        <w:br w:type="page"/>
      </w:r>
    </w:p>
    <w:p w14:paraId="034103EB" w14:textId="2EFFC42D" w:rsidR="0003335F" w:rsidRPr="00496612" w:rsidRDefault="0003335F" w:rsidP="00F9558F">
      <w:pPr>
        <w:pStyle w:val="AnnexNoTitle"/>
        <w:spacing w:line="240" w:lineRule="auto"/>
        <w:rPr>
          <w:szCs w:val="24"/>
          <w:lang w:val="fr-FR"/>
        </w:rPr>
      </w:pPr>
      <w:r w:rsidRPr="00496612">
        <w:rPr>
          <w:lang w:val="fr-FR"/>
        </w:rPr>
        <w:lastRenderedPageBreak/>
        <w:t>ANNEXE</w:t>
      </w:r>
      <w:r w:rsidR="00AC733C" w:rsidRPr="00496612">
        <w:rPr>
          <w:lang w:val="fr-FR"/>
        </w:rPr>
        <w:t xml:space="preserve"> 1</w:t>
      </w:r>
      <w:r w:rsidR="00AC733C" w:rsidRPr="00496612">
        <w:rPr>
          <w:lang w:val="fr-FR"/>
        </w:rPr>
        <w:br/>
      </w:r>
      <w:r w:rsidR="00AC733C" w:rsidRPr="00496612">
        <w:rPr>
          <w:szCs w:val="24"/>
          <w:lang w:val="fr-FR"/>
        </w:rPr>
        <w:br/>
      </w:r>
      <w:r w:rsidRPr="00496612">
        <w:rPr>
          <w:szCs w:val="24"/>
          <w:lang w:val="fr-FR"/>
        </w:rPr>
        <w:t>Méthode de calcul des valeurs de puissance d</w:t>
      </w:r>
      <w:r w:rsidR="00686D59" w:rsidRPr="00496612">
        <w:rPr>
          <w:szCs w:val="24"/>
          <w:lang w:val="fr-FR"/>
        </w:rPr>
        <w:t>'</w:t>
      </w:r>
      <w:r w:rsidRPr="00496612">
        <w:rPr>
          <w:szCs w:val="24"/>
          <w:lang w:val="fr-FR"/>
        </w:rPr>
        <w:t>émission conformément à la Recommandation UIT-R SF.675</w:t>
      </w:r>
    </w:p>
    <w:p w14:paraId="703FF362" w14:textId="77777777" w:rsidR="0003335F" w:rsidRPr="00496612" w:rsidRDefault="0003335F" w:rsidP="00F9558F">
      <w:pPr>
        <w:pStyle w:val="Headingb"/>
        <w:spacing w:before="160" w:line="240" w:lineRule="auto"/>
        <w:rPr>
          <w:lang w:val="fr-FR"/>
        </w:rPr>
      </w:pPr>
      <w:r w:rsidRPr="00496612">
        <w:rPr>
          <w:lang w:val="fr-FR"/>
        </w:rPr>
        <w:t>Introduction</w:t>
      </w:r>
    </w:p>
    <w:p w14:paraId="6068EC77" w14:textId="75AFDE49" w:rsidR="0003335F" w:rsidRPr="00496612" w:rsidRDefault="0003335F" w:rsidP="00F9558F">
      <w:pPr>
        <w:spacing w:before="120" w:line="240" w:lineRule="auto"/>
        <w:jc w:val="left"/>
        <w:rPr>
          <w:lang w:val="fr-FR"/>
        </w:rPr>
      </w:pPr>
      <w:r w:rsidRPr="00496612">
        <w:rPr>
          <w:lang w:val="fr-FR"/>
        </w:rPr>
        <w:t>La méthode ci-dessous est utilisée pour calculer les valeurs de puissance d</w:t>
      </w:r>
      <w:r w:rsidR="00686D59" w:rsidRPr="00496612">
        <w:rPr>
          <w:lang w:val="fr-FR"/>
        </w:rPr>
        <w:t>'</w:t>
      </w:r>
      <w:r w:rsidRPr="00496612">
        <w:rPr>
          <w:lang w:val="fr-FR"/>
        </w:rPr>
        <w:t>émission conformément à la Recommandation UIT-R SF.675. Les paramètres d</w:t>
      </w:r>
      <w:r w:rsidR="00686D59" w:rsidRPr="00496612">
        <w:rPr>
          <w:lang w:val="fr-FR"/>
        </w:rPr>
        <w:t>'</w:t>
      </w:r>
      <w:r w:rsidRPr="00496612">
        <w:rPr>
          <w:lang w:val="fr-FR"/>
        </w:rPr>
        <w:t>entrée utilisés sont la largeur de bande de référence et les caractéristiques de l</w:t>
      </w:r>
      <w:r w:rsidR="00686D59" w:rsidRPr="00496612">
        <w:rPr>
          <w:lang w:val="fr-FR"/>
        </w:rPr>
        <w:t>'</w:t>
      </w:r>
      <w:r w:rsidRPr="00496612">
        <w:rPr>
          <w:lang w:val="fr-FR"/>
        </w:rPr>
        <w:t>émission.</w:t>
      </w:r>
    </w:p>
    <w:p w14:paraId="3444775C" w14:textId="77777777" w:rsidR="0003335F" w:rsidRPr="00496612" w:rsidRDefault="0003335F" w:rsidP="00F9558F">
      <w:pPr>
        <w:pStyle w:val="Headingb"/>
        <w:spacing w:before="160" w:line="240" w:lineRule="auto"/>
        <w:rPr>
          <w:lang w:val="fr-FR"/>
        </w:rPr>
      </w:pPr>
      <w:r w:rsidRPr="00496612">
        <w:rPr>
          <w:lang w:val="fr-FR"/>
        </w:rPr>
        <w:t>Exigences</w:t>
      </w:r>
    </w:p>
    <w:p w14:paraId="41A3CE00" w14:textId="77777777" w:rsidR="0003335F" w:rsidRPr="00496612" w:rsidRDefault="0003335F" w:rsidP="00E51B40">
      <w:pPr>
        <w:spacing w:before="120" w:after="360" w:line="240" w:lineRule="auto"/>
        <w:jc w:val="left"/>
        <w:rPr>
          <w:lang w:val="fr-FR"/>
        </w:rPr>
      </w:pPr>
      <w:r w:rsidRPr="00496612">
        <w:rPr>
          <w:lang w:val="fr-FR"/>
        </w:rPr>
        <w:t>Les éléments suivants sont utilisés pour les descriptions de la présente Annexe.</w:t>
      </w:r>
    </w:p>
    <w:tbl>
      <w:tblPr>
        <w:tblStyle w:val="TableGrid"/>
        <w:tblW w:w="9951" w:type="dxa"/>
        <w:tblLook w:val="04A0" w:firstRow="1" w:lastRow="0" w:firstColumn="1" w:lastColumn="0" w:noHBand="0" w:noVBand="1"/>
      </w:tblPr>
      <w:tblGrid>
        <w:gridCol w:w="3114"/>
        <w:gridCol w:w="2268"/>
        <w:gridCol w:w="2126"/>
        <w:gridCol w:w="2443"/>
      </w:tblGrid>
      <w:tr w:rsidR="0003335F" w:rsidRPr="00E51B40" w14:paraId="41A24B46" w14:textId="77777777">
        <w:tc>
          <w:tcPr>
            <w:tcW w:w="3114" w:type="dxa"/>
          </w:tcPr>
          <w:p w14:paraId="03E2C436" w14:textId="77777777" w:rsidR="0003335F" w:rsidRPr="00E51B40" w:rsidRDefault="0003335F" w:rsidP="00F9558F">
            <w:pPr>
              <w:pStyle w:val="Tablehead"/>
              <w:rPr>
                <w:sz w:val="24"/>
                <w:szCs w:val="24"/>
                <w:lang w:val="fr-FR"/>
              </w:rPr>
            </w:pPr>
            <w:r w:rsidRPr="00E51B40">
              <w:rPr>
                <w:sz w:val="24"/>
                <w:szCs w:val="24"/>
                <w:lang w:val="fr-FR"/>
              </w:rPr>
              <w:t>Nom du paramètre</w:t>
            </w:r>
          </w:p>
        </w:tc>
        <w:tc>
          <w:tcPr>
            <w:tcW w:w="2268" w:type="dxa"/>
          </w:tcPr>
          <w:p w14:paraId="2D8DEEE9" w14:textId="5E344306" w:rsidR="0003335F" w:rsidRPr="00E51B40" w:rsidRDefault="0003335F" w:rsidP="00F9558F">
            <w:pPr>
              <w:pStyle w:val="Tablehead"/>
              <w:rPr>
                <w:sz w:val="24"/>
                <w:szCs w:val="24"/>
                <w:lang w:val="fr-FR"/>
              </w:rPr>
            </w:pPr>
            <w:r w:rsidRPr="00E51B40">
              <w:rPr>
                <w:sz w:val="24"/>
                <w:szCs w:val="24"/>
                <w:lang w:val="fr-FR"/>
              </w:rPr>
              <w:t>Élément de données de l</w:t>
            </w:r>
            <w:r w:rsidR="00686D59" w:rsidRPr="00E51B40">
              <w:rPr>
                <w:sz w:val="24"/>
                <w:szCs w:val="24"/>
                <w:lang w:val="fr-FR"/>
              </w:rPr>
              <w:t>'</w:t>
            </w:r>
            <w:r w:rsidRPr="00E51B40">
              <w:rPr>
                <w:sz w:val="24"/>
                <w:szCs w:val="24"/>
                <w:lang w:val="fr-FR"/>
              </w:rPr>
              <w:t>Appendice 4 du RR</w:t>
            </w:r>
          </w:p>
        </w:tc>
        <w:tc>
          <w:tcPr>
            <w:tcW w:w="2126" w:type="dxa"/>
          </w:tcPr>
          <w:p w14:paraId="39132953" w14:textId="77777777" w:rsidR="0003335F" w:rsidRPr="00E51B40" w:rsidRDefault="0003335F" w:rsidP="00F9558F">
            <w:pPr>
              <w:pStyle w:val="Tablehead"/>
              <w:rPr>
                <w:sz w:val="24"/>
                <w:szCs w:val="24"/>
                <w:lang w:val="fr-FR"/>
              </w:rPr>
            </w:pPr>
            <w:r w:rsidRPr="00E51B40">
              <w:rPr>
                <w:sz w:val="24"/>
                <w:szCs w:val="24"/>
                <w:lang w:val="fr-FR"/>
              </w:rPr>
              <w:t>Nom du champ dans la base de données SNS tel que défini dans la Préface de la BR IFIC (Services spatiaux)</w:t>
            </w:r>
          </w:p>
        </w:tc>
        <w:tc>
          <w:tcPr>
            <w:tcW w:w="2443" w:type="dxa"/>
          </w:tcPr>
          <w:p w14:paraId="2F253656" w14:textId="77777777" w:rsidR="0003335F" w:rsidRPr="00E51B40" w:rsidRDefault="0003335F" w:rsidP="00F9558F">
            <w:pPr>
              <w:pStyle w:val="Tablehead"/>
              <w:rPr>
                <w:sz w:val="24"/>
                <w:szCs w:val="24"/>
                <w:lang w:val="fr-FR"/>
              </w:rPr>
            </w:pPr>
            <w:r w:rsidRPr="00E51B40">
              <w:rPr>
                <w:sz w:val="24"/>
                <w:szCs w:val="24"/>
                <w:lang w:val="fr-FR"/>
              </w:rPr>
              <w:t>Notion dans les formules</w:t>
            </w:r>
          </w:p>
        </w:tc>
      </w:tr>
      <w:tr w:rsidR="0003335F" w:rsidRPr="00E51B40" w14:paraId="6C8A8E2F" w14:textId="77777777">
        <w:tc>
          <w:tcPr>
            <w:tcW w:w="3114" w:type="dxa"/>
          </w:tcPr>
          <w:p w14:paraId="0A2E8198" w14:textId="02BB701D" w:rsidR="0003335F" w:rsidRPr="00E51B40" w:rsidRDefault="0003335F" w:rsidP="00F9558F">
            <w:pPr>
              <w:pStyle w:val="Tabletext"/>
              <w:rPr>
                <w:sz w:val="24"/>
                <w:szCs w:val="24"/>
                <w:lang w:val="fr-FR"/>
              </w:rPr>
            </w:pPr>
            <w:r w:rsidRPr="00E51B40">
              <w:rPr>
                <w:sz w:val="24"/>
                <w:szCs w:val="24"/>
                <w:lang w:val="fr-FR"/>
              </w:rPr>
              <w:t>Densité spectrale maximale de puissance d</w:t>
            </w:r>
            <w:r w:rsidR="00686D59" w:rsidRPr="00E51B40">
              <w:rPr>
                <w:sz w:val="24"/>
                <w:szCs w:val="24"/>
                <w:lang w:val="fr-FR"/>
              </w:rPr>
              <w:t>'</w:t>
            </w:r>
            <w:r w:rsidRPr="00E51B40">
              <w:rPr>
                <w:sz w:val="24"/>
                <w:szCs w:val="24"/>
                <w:lang w:val="fr-FR"/>
              </w:rPr>
              <w:t>émission (dBW/Hz)</w:t>
            </w:r>
          </w:p>
        </w:tc>
        <w:tc>
          <w:tcPr>
            <w:tcW w:w="2268" w:type="dxa"/>
          </w:tcPr>
          <w:p w14:paraId="352E4A6F" w14:textId="77777777" w:rsidR="0003335F" w:rsidRPr="00E51B40" w:rsidRDefault="0003335F" w:rsidP="00F9558F">
            <w:pPr>
              <w:pStyle w:val="Tabletext"/>
              <w:jc w:val="center"/>
              <w:rPr>
                <w:sz w:val="24"/>
                <w:szCs w:val="24"/>
                <w:lang w:val="fr-FR"/>
              </w:rPr>
            </w:pPr>
            <w:r w:rsidRPr="00E51B40">
              <w:rPr>
                <w:sz w:val="24"/>
                <w:szCs w:val="24"/>
                <w:lang w:val="fr-FR"/>
              </w:rPr>
              <w:t>C.</w:t>
            </w:r>
            <w:proofErr w:type="gramStart"/>
            <w:r w:rsidRPr="00E51B40">
              <w:rPr>
                <w:sz w:val="24"/>
                <w:szCs w:val="24"/>
                <w:lang w:val="fr-FR"/>
              </w:rPr>
              <w:t>8.b.3.b</w:t>
            </w:r>
            <w:proofErr w:type="gramEnd"/>
          </w:p>
        </w:tc>
        <w:tc>
          <w:tcPr>
            <w:tcW w:w="2126" w:type="dxa"/>
          </w:tcPr>
          <w:p w14:paraId="4BEA503A" w14:textId="77777777" w:rsidR="0003335F" w:rsidRPr="00E51B40" w:rsidRDefault="0003335F" w:rsidP="00F9558F">
            <w:pPr>
              <w:pStyle w:val="Tabletext"/>
              <w:jc w:val="center"/>
              <w:rPr>
                <w:i/>
                <w:iCs/>
                <w:sz w:val="24"/>
                <w:szCs w:val="24"/>
                <w:lang w:val="fr-FR"/>
              </w:rPr>
            </w:pPr>
            <w:proofErr w:type="gramStart"/>
            <w:r w:rsidRPr="00E51B40">
              <w:rPr>
                <w:i/>
                <w:iCs/>
                <w:sz w:val="24"/>
                <w:szCs w:val="24"/>
                <w:lang w:val="fr-FR"/>
              </w:rPr>
              <w:t>pwr</w:t>
            </w:r>
            <w:proofErr w:type="gramEnd"/>
            <w:r w:rsidRPr="00E51B40">
              <w:rPr>
                <w:i/>
                <w:iCs/>
                <w:sz w:val="24"/>
                <w:szCs w:val="24"/>
                <w:lang w:val="fr-FR"/>
              </w:rPr>
              <w:t>_ds_max</w:t>
            </w:r>
          </w:p>
        </w:tc>
        <w:tc>
          <w:tcPr>
            <w:tcW w:w="2443" w:type="dxa"/>
          </w:tcPr>
          <w:p w14:paraId="77149AFB" w14:textId="472E5A1A" w:rsidR="0003335F" w:rsidRPr="00E51B40" w:rsidRDefault="00C37A4B" w:rsidP="00F9558F">
            <w:pPr>
              <w:pStyle w:val="Tabletext"/>
              <w:rPr>
                <w:sz w:val="24"/>
                <w:szCs w:val="24"/>
                <w:lang w:val="fr-FR"/>
              </w:rPr>
            </w:pPr>
            <m:oMathPara>
              <m:oMath>
                <m:sSub>
                  <m:sSubPr>
                    <m:ctrlPr>
                      <w:rPr>
                        <w:rFonts w:ascii="Cambria Math" w:hAnsi="Cambria Math"/>
                        <w:i/>
                        <w:sz w:val="24"/>
                        <w:szCs w:val="24"/>
                        <w:lang w:val="fr-FR"/>
                      </w:rPr>
                    </m:ctrlPr>
                  </m:sSubPr>
                  <m:e>
                    <m:r>
                      <w:rPr>
                        <w:rFonts w:ascii="Cambria Math" w:hAnsi="Cambria Math"/>
                        <w:sz w:val="24"/>
                        <w:szCs w:val="24"/>
                        <w:lang w:val="fr-FR"/>
                      </w:rPr>
                      <m:t>PSD</m:t>
                    </m:r>
                  </m:e>
                  <m:sub>
                    <m:r>
                      <w:rPr>
                        <w:rFonts w:ascii="Cambria Math" w:hAnsi="Cambria Math"/>
                        <w:sz w:val="24"/>
                        <w:szCs w:val="24"/>
                        <w:lang w:val="fr-FR"/>
                      </w:rPr>
                      <m:t>max</m:t>
                    </m:r>
                  </m:sub>
                </m:sSub>
              </m:oMath>
            </m:oMathPara>
          </w:p>
        </w:tc>
      </w:tr>
      <w:tr w:rsidR="0003335F" w:rsidRPr="00E51B40" w14:paraId="36C260BA" w14:textId="77777777">
        <w:tc>
          <w:tcPr>
            <w:tcW w:w="3114" w:type="dxa"/>
          </w:tcPr>
          <w:p w14:paraId="1A7D9CC9" w14:textId="0EDBD107" w:rsidR="0003335F" w:rsidRPr="00E51B40" w:rsidRDefault="0003335F" w:rsidP="00F9558F">
            <w:pPr>
              <w:pStyle w:val="Tabletext"/>
              <w:rPr>
                <w:sz w:val="24"/>
                <w:szCs w:val="24"/>
                <w:lang w:val="fr-FR"/>
              </w:rPr>
            </w:pPr>
            <w:r w:rsidRPr="00E51B40">
              <w:rPr>
                <w:sz w:val="24"/>
                <w:szCs w:val="24"/>
                <w:lang w:val="fr-FR"/>
              </w:rPr>
              <w:t>Puissance de crête maximale d</w:t>
            </w:r>
            <w:r w:rsidR="00686D59" w:rsidRPr="00E51B40">
              <w:rPr>
                <w:sz w:val="24"/>
                <w:szCs w:val="24"/>
                <w:lang w:val="fr-FR"/>
              </w:rPr>
              <w:t>'</w:t>
            </w:r>
            <w:r w:rsidRPr="00E51B40">
              <w:rPr>
                <w:sz w:val="24"/>
                <w:szCs w:val="24"/>
                <w:lang w:val="fr-FR"/>
              </w:rPr>
              <w:t>émission (dBW)</w:t>
            </w:r>
          </w:p>
        </w:tc>
        <w:tc>
          <w:tcPr>
            <w:tcW w:w="2268" w:type="dxa"/>
          </w:tcPr>
          <w:p w14:paraId="5FF47A4C" w14:textId="77777777" w:rsidR="0003335F" w:rsidRPr="00E51B40" w:rsidRDefault="0003335F" w:rsidP="00F9558F">
            <w:pPr>
              <w:pStyle w:val="Tabletext"/>
              <w:jc w:val="center"/>
              <w:rPr>
                <w:sz w:val="24"/>
                <w:szCs w:val="24"/>
                <w:lang w:val="fr-FR"/>
              </w:rPr>
            </w:pPr>
            <w:r w:rsidRPr="00E51B40">
              <w:rPr>
                <w:sz w:val="24"/>
                <w:szCs w:val="24"/>
                <w:lang w:val="fr-FR"/>
              </w:rPr>
              <w:t>C.</w:t>
            </w:r>
            <w:proofErr w:type="gramStart"/>
            <w:r w:rsidRPr="00E51B40">
              <w:rPr>
                <w:sz w:val="24"/>
                <w:szCs w:val="24"/>
                <w:lang w:val="fr-FR"/>
              </w:rPr>
              <w:t>8.b.3.a</w:t>
            </w:r>
            <w:proofErr w:type="gramEnd"/>
          </w:p>
        </w:tc>
        <w:tc>
          <w:tcPr>
            <w:tcW w:w="2126" w:type="dxa"/>
          </w:tcPr>
          <w:p w14:paraId="4104A70D" w14:textId="77777777" w:rsidR="0003335F" w:rsidRPr="00E51B40" w:rsidRDefault="0003335F" w:rsidP="00F9558F">
            <w:pPr>
              <w:pStyle w:val="Tabletext"/>
              <w:jc w:val="center"/>
              <w:rPr>
                <w:i/>
                <w:iCs/>
                <w:sz w:val="24"/>
                <w:szCs w:val="24"/>
                <w:lang w:val="fr-FR"/>
              </w:rPr>
            </w:pPr>
            <w:proofErr w:type="gramStart"/>
            <w:r w:rsidRPr="00E51B40">
              <w:rPr>
                <w:i/>
                <w:iCs/>
                <w:sz w:val="24"/>
                <w:szCs w:val="24"/>
                <w:lang w:val="fr-FR"/>
              </w:rPr>
              <w:t>pep</w:t>
            </w:r>
            <w:proofErr w:type="gramEnd"/>
            <w:r w:rsidRPr="00E51B40">
              <w:rPr>
                <w:i/>
                <w:iCs/>
                <w:sz w:val="24"/>
                <w:szCs w:val="24"/>
                <w:lang w:val="fr-FR"/>
              </w:rPr>
              <w:t>_max</w:t>
            </w:r>
          </w:p>
        </w:tc>
        <w:tc>
          <w:tcPr>
            <w:tcW w:w="2443" w:type="dxa"/>
          </w:tcPr>
          <w:p w14:paraId="6A8977B6" w14:textId="1C4842F3" w:rsidR="0003335F" w:rsidRPr="00E51B40" w:rsidRDefault="00C37A4B" w:rsidP="00F9558F">
            <w:pPr>
              <w:pStyle w:val="Tabletext"/>
              <w:rPr>
                <w:sz w:val="24"/>
                <w:szCs w:val="24"/>
                <w:lang w:val="fr-FR"/>
              </w:rPr>
            </w:pPr>
            <m:oMathPara>
              <m:oMath>
                <m:sSub>
                  <m:sSubPr>
                    <m:ctrlPr>
                      <w:rPr>
                        <w:rFonts w:ascii="Cambria Math" w:hAnsi="Cambria Math"/>
                        <w:i/>
                        <w:sz w:val="24"/>
                        <w:szCs w:val="24"/>
                        <w:lang w:val="fr-FR"/>
                      </w:rPr>
                    </m:ctrlPr>
                  </m:sSubPr>
                  <m:e>
                    <m:r>
                      <w:rPr>
                        <w:rFonts w:ascii="Cambria Math" w:hAnsi="Cambria Math"/>
                        <w:sz w:val="24"/>
                        <w:szCs w:val="24"/>
                        <w:lang w:val="fr-FR"/>
                      </w:rPr>
                      <m:t>P</m:t>
                    </m:r>
                  </m:e>
                  <m:sub>
                    <m:r>
                      <w:rPr>
                        <w:rFonts w:ascii="Cambria Math" w:hAnsi="Cambria Math"/>
                        <w:sz w:val="24"/>
                        <w:szCs w:val="24"/>
                        <w:lang w:val="fr-FR"/>
                      </w:rPr>
                      <m:t>max</m:t>
                    </m:r>
                  </m:sub>
                </m:sSub>
              </m:oMath>
            </m:oMathPara>
          </w:p>
        </w:tc>
      </w:tr>
      <w:tr w:rsidR="0003335F" w:rsidRPr="00E51B40" w14:paraId="713BC610" w14:textId="77777777">
        <w:tc>
          <w:tcPr>
            <w:tcW w:w="3114" w:type="dxa"/>
          </w:tcPr>
          <w:p w14:paraId="5A0590B7" w14:textId="77777777" w:rsidR="0003335F" w:rsidRPr="00E51B40" w:rsidRDefault="0003335F" w:rsidP="00F9558F">
            <w:pPr>
              <w:pStyle w:val="Tabletext"/>
              <w:rPr>
                <w:sz w:val="24"/>
                <w:szCs w:val="24"/>
                <w:lang w:val="fr-FR"/>
              </w:rPr>
            </w:pPr>
            <w:r w:rsidRPr="00E51B40">
              <w:rPr>
                <w:sz w:val="24"/>
                <w:szCs w:val="24"/>
                <w:lang w:val="fr-FR"/>
              </w:rPr>
              <w:t>Largeur de bande de référence (4 kHz, 1 MHz, etc.)</w:t>
            </w:r>
          </w:p>
          <w:p w14:paraId="228DB1D2" w14:textId="77777777" w:rsidR="0003335F" w:rsidRPr="00E51B40" w:rsidRDefault="0003335F" w:rsidP="00F9558F">
            <w:pPr>
              <w:pStyle w:val="Tabletext"/>
              <w:rPr>
                <w:sz w:val="24"/>
                <w:szCs w:val="24"/>
                <w:lang w:val="fr-FR"/>
              </w:rPr>
            </w:pPr>
            <w:r w:rsidRPr="00E51B40">
              <w:rPr>
                <w:sz w:val="24"/>
                <w:szCs w:val="24"/>
                <w:lang w:val="fr-FR"/>
              </w:rPr>
              <w:t>Désigne la largeur de bande de référence dans les dispositions du Règlement des radiocommunications</w:t>
            </w:r>
          </w:p>
        </w:tc>
        <w:tc>
          <w:tcPr>
            <w:tcW w:w="2268" w:type="dxa"/>
          </w:tcPr>
          <w:p w14:paraId="30EB8A00" w14:textId="0C016FFC" w:rsidR="0003335F" w:rsidRPr="00E51B40" w:rsidRDefault="00F9558F" w:rsidP="00F9558F">
            <w:pPr>
              <w:pStyle w:val="Tabletext"/>
              <w:jc w:val="center"/>
              <w:rPr>
                <w:sz w:val="24"/>
                <w:szCs w:val="24"/>
                <w:lang w:val="fr-FR"/>
              </w:rPr>
            </w:pPr>
            <w:r w:rsidRPr="00E51B40">
              <w:rPr>
                <w:sz w:val="24"/>
                <w:szCs w:val="24"/>
                <w:lang w:val="fr-FR"/>
              </w:rPr>
              <w:t>–</w:t>
            </w:r>
          </w:p>
        </w:tc>
        <w:tc>
          <w:tcPr>
            <w:tcW w:w="2126" w:type="dxa"/>
          </w:tcPr>
          <w:p w14:paraId="5719EB21" w14:textId="4711BA80" w:rsidR="0003335F" w:rsidRPr="00E51B40" w:rsidRDefault="00F9558F" w:rsidP="00F9558F">
            <w:pPr>
              <w:pStyle w:val="Tabletext"/>
              <w:jc w:val="center"/>
              <w:rPr>
                <w:sz w:val="24"/>
                <w:szCs w:val="24"/>
                <w:lang w:val="fr-FR"/>
              </w:rPr>
            </w:pPr>
            <w:r w:rsidRPr="00E51B40">
              <w:rPr>
                <w:sz w:val="24"/>
                <w:szCs w:val="24"/>
                <w:lang w:val="fr-FR"/>
              </w:rPr>
              <w:t>–</w:t>
            </w:r>
          </w:p>
        </w:tc>
        <w:tc>
          <w:tcPr>
            <w:tcW w:w="2443" w:type="dxa"/>
          </w:tcPr>
          <w:p w14:paraId="185E359F" w14:textId="239FB803" w:rsidR="0003335F" w:rsidRPr="00E51B40" w:rsidRDefault="00C37A4B" w:rsidP="00F9558F">
            <w:pPr>
              <w:pStyle w:val="Tabletext"/>
              <w:rPr>
                <w:sz w:val="24"/>
                <w:szCs w:val="24"/>
                <w:lang w:val="fr-FR"/>
              </w:rPr>
            </w:pPr>
            <m:oMathPara>
              <m:oMath>
                <m:sSub>
                  <m:sSubPr>
                    <m:ctrlPr>
                      <w:rPr>
                        <w:rFonts w:ascii="Cambria Math" w:hAnsi="Cambria Math"/>
                        <w:i/>
                        <w:sz w:val="24"/>
                        <w:szCs w:val="24"/>
                        <w:lang w:val="fr-FR"/>
                      </w:rPr>
                    </m:ctrlPr>
                  </m:sSubPr>
                  <m:e>
                    <m:r>
                      <w:rPr>
                        <w:rFonts w:ascii="Cambria Math" w:hAnsi="Cambria Math"/>
                        <w:sz w:val="24"/>
                        <w:szCs w:val="24"/>
                        <w:lang w:val="fr-FR"/>
                      </w:rPr>
                      <m:t>B</m:t>
                    </m:r>
                  </m:e>
                  <m:sub>
                    <m:r>
                      <w:rPr>
                        <w:rFonts w:ascii="Cambria Math" w:hAnsi="Cambria Math"/>
                        <w:sz w:val="24"/>
                        <w:szCs w:val="24"/>
                        <w:lang w:val="fr-FR"/>
                      </w:rPr>
                      <m:t>ref</m:t>
                    </m:r>
                  </m:sub>
                </m:sSub>
              </m:oMath>
            </m:oMathPara>
          </w:p>
        </w:tc>
      </w:tr>
      <w:tr w:rsidR="0003335F" w:rsidRPr="00E51B40" w14:paraId="7EEDDD64" w14:textId="77777777">
        <w:tc>
          <w:tcPr>
            <w:tcW w:w="3114" w:type="dxa"/>
          </w:tcPr>
          <w:p w14:paraId="1D2A4196" w14:textId="5B50F76B" w:rsidR="0003335F" w:rsidRPr="00E51B40" w:rsidRDefault="0003335F" w:rsidP="00F9558F">
            <w:pPr>
              <w:pStyle w:val="Tabletext"/>
              <w:rPr>
                <w:sz w:val="24"/>
                <w:szCs w:val="24"/>
                <w:lang w:val="fr-FR"/>
              </w:rPr>
            </w:pPr>
            <w:r w:rsidRPr="00E51B40">
              <w:rPr>
                <w:sz w:val="24"/>
                <w:szCs w:val="24"/>
                <w:lang w:val="fr-FR"/>
              </w:rPr>
              <w:t>Largeur de bande d</w:t>
            </w:r>
            <w:r w:rsidR="00686D59" w:rsidRPr="00E51B40">
              <w:rPr>
                <w:sz w:val="24"/>
                <w:szCs w:val="24"/>
                <w:lang w:val="fr-FR"/>
              </w:rPr>
              <w:t>'</w:t>
            </w:r>
            <w:r w:rsidRPr="00E51B40">
              <w:rPr>
                <w:sz w:val="24"/>
                <w:szCs w:val="24"/>
                <w:lang w:val="fr-FR"/>
              </w:rPr>
              <w:t>émission (Hz)</w:t>
            </w:r>
          </w:p>
        </w:tc>
        <w:tc>
          <w:tcPr>
            <w:tcW w:w="2268" w:type="dxa"/>
          </w:tcPr>
          <w:p w14:paraId="7922CF03" w14:textId="0452306D" w:rsidR="0003335F" w:rsidRPr="00E51B40" w:rsidRDefault="0003335F" w:rsidP="00F9558F">
            <w:pPr>
              <w:pStyle w:val="Tabletext"/>
              <w:jc w:val="center"/>
              <w:rPr>
                <w:sz w:val="24"/>
                <w:szCs w:val="24"/>
                <w:lang w:val="fr-FR"/>
              </w:rPr>
            </w:pPr>
            <w:r w:rsidRPr="00E51B40">
              <w:rPr>
                <w:sz w:val="24"/>
                <w:szCs w:val="24"/>
                <w:lang w:val="fr-FR"/>
              </w:rPr>
              <w:t>Calculée à partir de l</w:t>
            </w:r>
            <w:r w:rsidR="00686D59" w:rsidRPr="00E51B40">
              <w:rPr>
                <w:sz w:val="24"/>
                <w:szCs w:val="24"/>
                <w:lang w:val="fr-FR"/>
              </w:rPr>
              <w:t>'</w:t>
            </w:r>
            <w:r w:rsidRPr="00E51B40">
              <w:rPr>
                <w:sz w:val="24"/>
                <w:szCs w:val="24"/>
                <w:lang w:val="fr-FR"/>
              </w:rPr>
              <w:t>élément de données C.7.a</w:t>
            </w:r>
          </w:p>
        </w:tc>
        <w:tc>
          <w:tcPr>
            <w:tcW w:w="2126" w:type="dxa"/>
          </w:tcPr>
          <w:p w14:paraId="476C96C8" w14:textId="24D5ABFE" w:rsidR="0003335F" w:rsidRPr="00E51B40" w:rsidRDefault="0003335F" w:rsidP="00F9558F">
            <w:pPr>
              <w:pStyle w:val="Tabletext"/>
              <w:jc w:val="center"/>
              <w:rPr>
                <w:i/>
                <w:iCs/>
                <w:sz w:val="24"/>
                <w:szCs w:val="24"/>
                <w:lang w:val="fr-FR"/>
              </w:rPr>
            </w:pPr>
            <w:r w:rsidRPr="00E51B40">
              <w:rPr>
                <w:sz w:val="24"/>
                <w:szCs w:val="24"/>
                <w:lang w:val="fr-FR"/>
              </w:rPr>
              <w:t>Calculée à partir de l</w:t>
            </w:r>
            <w:r w:rsidR="00686D59" w:rsidRPr="00E51B40">
              <w:rPr>
                <w:sz w:val="24"/>
                <w:szCs w:val="24"/>
                <w:lang w:val="fr-FR"/>
              </w:rPr>
              <w:t>'</w:t>
            </w:r>
            <w:r w:rsidRPr="00E51B40">
              <w:rPr>
                <w:sz w:val="24"/>
                <w:szCs w:val="24"/>
                <w:lang w:val="fr-FR"/>
              </w:rPr>
              <w:t xml:space="preserve">élément de données </w:t>
            </w:r>
            <w:r w:rsidRPr="00E51B40">
              <w:rPr>
                <w:i/>
                <w:iCs/>
                <w:sz w:val="24"/>
                <w:szCs w:val="24"/>
                <w:lang w:val="fr-FR"/>
              </w:rPr>
              <w:t>design_emi</w:t>
            </w:r>
          </w:p>
        </w:tc>
        <w:tc>
          <w:tcPr>
            <w:tcW w:w="2443" w:type="dxa"/>
          </w:tcPr>
          <w:p w14:paraId="2BE157B1" w14:textId="11FA223E" w:rsidR="0003335F" w:rsidRPr="00E51B40" w:rsidRDefault="0003335F" w:rsidP="00F9558F">
            <w:pPr>
              <w:pStyle w:val="Tabletext"/>
              <w:rPr>
                <w:sz w:val="24"/>
                <w:szCs w:val="24"/>
                <w:lang w:val="fr-FR"/>
              </w:rPr>
            </w:pPr>
            <m:oMathPara>
              <m:oMath>
                <m:r>
                  <w:rPr>
                    <w:rFonts w:ascii="Cambria Math" w:hAnsi="Cambria Math"/>
                    <w:sz w:val="24"/>
                    <w:szCs w:val="24"/>
                    <w:lang w:val="fr-FR"/>
                  </w:rPr>
                  <m:t>B</m:t>
                </m:r>
              </m:oMath>
            </m:oMathPara>
          </w:p>
        </w:tc>
      </w:tr>
      <w:tr w:rsidR="0003335F" w:rsidRPr="00E51B40" w14:paraId="3E44A8F6" w14:textId="77777777">
        <w:tc>
          <w:tcPr>
            <w:tcW w:w="3114" w:type="dxa"/>
          </w:tcPr>
          <w:p w14:paraId="06533919" w14:textId="77777777" w:rsidR="0003335F" w:rsidRPr="00E51B40" w:rsidRDefault="0003335F" w:rsidP="00F9558F">
            <w:pPr>
              <w:pStyle w:val="Tabletext"/>
              <w:rPr>
                <w:sz w:val="24"/>
                <w:szCs w:val="24"/>
                <w:lang w:val="fr-FR"/>
              </w:rPr>
            </w:pPr>
            <w:r w:rsidRPr="00E51B40">
              <w:rPr>
                <w:sz w:val="24"/>
                <w:szCs w:val="24"/>
                <w:lang w:val="fr-FR"/>
              </w:rPr>
              <w:t>Largeur de bande moyenne (Hz)</w:t>
            </w:r>
          </w:p>
          <w:p w14:paraId="41C2199F" w14:textId="447EE894" w:rsidR="0003335F" w:rsidRPr="00E51B40" w:rsidRDefault="0003335F" w:rsidP="00F9558F">
            <w:pPr>
              <w:pStyle w:val="Tabletext"/>
              <w:rPr>
                <w:sz w:val="24"/>
                <w:szCs w:val="24"/>
                <w:lang w:val="fr-FR"/>
              </w:rPr>
            </w:pPr>
            <w:r w:rsidRPr="00E51B40">
              <w:rPr>
                <w:sz w:val="24"/>
                <w:szCs w:val="24"/>
                <w:lang w:val="fr-FR"/>
              </w:rPr>
              <w:t>Définie dans la Note 2 concernant les Tableaux A, B, C et D de l</w:t>
            </w:r>
            <w:r w:rsidR="00686D59" w:rsidRPr="00E51B40">
              <w:rPr>
                <w:sz w:val="24"/>
                <w:szCs w:val="24"/>
                <w:lang w:val="fr-FR"/>
              </w:rPr>
              <w:t>'</w:t>
            </w:r>
            <w:r w:rsidRPr="00E51B40">
              <w:rPr>
                <w:sz w:val="24"/>
                <w:szCs w:val="24"/>
                <w:lang w:val="fr-FR"/>
              </w:rPr>
              <w:t>Annexe 2 de l</w:t>
            </w:r>
            <w:r w:rsidR="00686D59" w:rsidRPr="00E51B40">
              <w:rPr>
                <w:sz w:val="24"/>
                <w:szCs w:val="24"/>
                <w:lang w:val="fr-FR"/>
              </w:rPr>
              <w:t>'</w:t>
            </w:r>
            <w:r w:rsidRPr="00E51B40">
              <w:rPr>
                <w:sz w:val="24"/>
                <w:szCs w:val="24"/>
                <w:lang w:val="fr-FR"/>
              </w:rPr>
              <w:t>Appendice </w:t>
            </w:r>
            <w:r w:rsidRPr="00E51B40">
              <w:rPr>
                <w:b/>
                <w:bCs/>
                <w:sz w:val="24"/>
                <w:szCs w:val="24"/>
                <w:lang w:val="fr-FR"/>
              </w:rPr>
              <w:t>4</w:t>
            </w:r>
          </w:p>
        </w:tc>
        <w:tc>
          <w:tcPr>
            <w:tcW w:w="2268" w:type="dxa"/>
          </w:tcPr>
          <w:p w14:paraId="4E5DC2AD" w14:textId="5D6F4CB4" w:rsidR="0003335F" w:rsidRPr="00E51B40" w:rsidRDefault="00F9558F" w:rsidP="00F9558F">
            <w:pPr>
              <w:pStyle w:val="Tabletext"/>
              <w:jc w:val="center"/>
              <w:rPr>
                <w:sz w:val="24"/>
                <w:szCs w:val="24"/>
                <w:lang w:val="fr-FR"/>
              </w:rPr>
            </w:pPr>
            <w:r w:rsidRPr="00E51B40">
              <w:rPr>
                <w:sz w:val="24"/>
                <w:szCs w:val="24"/>
                <w:lang w:val="fr-FR"/>
              </w:rPr>
              <w:t>–</w:t>
            </w:r>
          </w:p>
        </w:tc>
        <w:tc>
          <w:tcPr>
            <w:tcW w:w="2126" w:type="dxa"/>
          </w:tcPr>
          <w:p w14:paraId="7E023F7C" w14:textId="1DE51608" w:rsidR="0003335F" w:rsidRPr="00E51B40" w:rsidRDefault="00F9558F" w:rsidP="00F9558F">
            <w:pPr>
              <w:pStyle w:val="Tabletext"/>
              <w:jc w:val="center"/>
              <w:rPr>
                <w:sz w:val="24"/>
                <w:szCs w:val="24"/>
                <w:lang w:val="fr-FR"/>
              </w:rPr>
            </w:pPr>
            <w:r w:rsidRPr="00E51B40">
              <w:rPr>
                <w:sz w:val="24"/>
                <w:szCs w:val="24"/>
                <w:lang w:val="fr-FR"/>
              </w:rPr>
              <w:t>–</w:t>
            </w:r>
          </w:p>
        </w:tc>
        <w:tc>
          <w:tcPr>
            <w:tcW w:w="2443" w:type="dxa"/>
          </w:tcPr>
          <w:p w14:paraId="374A73AE" w14:textId="251B5671" w:rsidR="0003335F" w:rsidRPr="00E51B40" w:rsidRDefault="00C37A4B" w:rsidP="00F9558F">
            <w:pPr>
              <w:pStyle w:val="Tabletext"/>
              <w:rPr>
                <w:i/>
                <w:sz w:val="24"/>
                <w:szCs w:val="24"/>
                <w:lang w:val="fr-FR"/>
              </w:rPr>
            </w:pPr>
            <m:oMathPara>
              <m:oMath>
                <m:sSub>
                  <m:sSubPr>
                    <m:ctrlPr>
                      <w:rPr>
                        <w:rFonts w:ascii="Cambria Math" w:hAnsi="Cambria Math"/>
                        <w:i/>
                        <w:sz w:val="24"/>
                        <w:szCs w:val="24"/>
                        <w:lang w:val="fr-FR"/>
                      </w:rPr>
                    </m:ctrlPr>
                  </m:sSubPr>
                  <m:e>
                    <m:r>
                      <w:rPr>
                        <w:rFonts w:ascii="Cambria Math" w:hAnsi="Cambria Math"/>
                        <w:sz w:val="24"/>
                        <w:szCs w:val="24"/>
                        <w:lang w:val="fr-FR"/>
                      </w:rPr>
                      <m:t>B</m:t>
                    </m:r>
                  </m:e>
                  <m:sub>
                    <m:r>
                      <w:rPr>
                        <w:rFonts w:ascii="Cambria Math" w:hAnsi="Cambria Math"/>
                        <w:sz w:val="24"/>
                        <w:szCs w:val="24"/>
                        <w:lang w:val="fr-FR"/>
                      </w:rPr>
                      <m:t>avg</m:t>
                    </m:r>
                  </m:sub>
                </m:sSub>
              </m:oMath>
            </m:oMathPara>
          </w:p>
        </w:tc>
      </w:tr>
      <w:tr w:rsidR="0003335F" w:rsidRPr="00E51B40" w14:paraId="382DECC7" w14:textId="77777777">
        <w:tc>
          <w:tcPr>
            <w:tcW w:w="3114" w:type="dxa"/>
          </w:tcPr>
          <w:p w14:paraId="6B12BB88" w14:textId="23FADA55" w:rsidR="0003335F" w:rsidRPr="00E51B40" w:rsidRDefault="0003335F" w:rsidP="00F9558F">
            <w:pPr>
              <w:pStyle w:val="Tabletext"/>
              <w:rPr>
                <w:sz w:val="24"/>
                <w:szCs w:val="24"/>
                <w:lang w:val="fr-FR"/>
              </w:rPr>
            </w:pPr>
            <w:r w:rsidRPr="00E51B40">
              <w:rPr>
                <w:sz w:val="24"/>
                <w:szCs w:val="24"/>
                <w:lang w:val="fr-FR"/>
              </w:rPr>
              <w:t>Puissance émise à utiliser dans les calculs (dBW (</w:t>
            </w:r>
            <m:oMath>
              <m:sSub>
                <m:sSubPr>
                  <m:ctrlPr>
                    <w:rPr>
                      <w:rFonts w:ascii="Cambria Math" w:hAnsi="Cambria Math"/>
                      <w:i/>
                      <w:sz w:val="24"/>
                      <w:szCs w:val="24"/>
                      <w:lang w:val="fr-FR"/>
                    </w:rPr>
                  </m:ctrlPr>
                </m:sSubPr>
                <m:e>
                  <m:r>
                    <w:rPr>
                      <w:rFonts w:ascii="Cambria Math" w:hAnsi="Cambria Math"/>
                      <w:sz w:val="24"/>
                      <w:szCs w:val="24"/>
                      <w:lang w:val="fr-FR"/>
                    </w:rPr>
                    <m:t>B</m:t>
                  </m:r>
                </m:e>
                <m:sub>
                  <m:r>
                    <w:rPr>
                      <w:rFonts w:ascii="Cambria Math" w:hAnsi="Cambria Math"/>
                      <w:sz w:val="24"/>
                      <w:szCs w:val="24"/>
                      <w:lang w:val="fr-FR"/>
                    </w:rPr>
                    <m:t>ref</m:t>
                  </m:r>
                </m:sub>
              </m:sSub>
            </m:oMath>
            <w:r w:rsidRPr="00E51B40">
              <w:rPr>
                <w:sz w:val="24"/>
                <w:szCs w:val="24"/>
                <w:lang w:val="fr-FR"/>
              </w:rPr>
              <w:t>))</w:t>
            </w:r>
          </w:p>
        </w:tc>
        <w:tc>
          <w:tcPr>
            <w:tcW w:w="2268" w:type="dxa"/>
          </w:tcPr>
          <w:p w14:paraId="48B14C43" w14:textId="030F3949" w:rsidR="0003335F" w:rsidRPr="00E51B40" w:rsidRDefault="00F9558F" w:rsidP="00F9558F">
            <w:pPr>
              <w:pStyle w:val="Tabletext"/>
              <w:jc w:val="center"/>
              <w:rPr>
                <w:sz w:val="24"/>
                <w:szCs w:val="24"/>
                <w:lang w:val="fr-FR"/>
              </w:rPr>
            </w:pPr>
            <w:r w:rsidRPr="00E51B40">
              <w:rPr>
                <w:sz w:val="24"/>
                <w:szCs w:val="24"/>
                <w:lang w:val="fr-FR"/>
              </w:rPr>
              <w:t>–</w:t>
            </w:r>
          </w:p>
        </w:tc>
        <w:tc>
          <w:tcPr>
            <w:tcW w:w="2126" w:type="dxa"/>
          </w:tcPr>
          <w:p w14:paraId="54C789EB" w14:textId="21DB6B1B" w:rsidR="0003335F" w:rsidRPr="00E51B40" w:rsidRDefault="00F9558F" w:rsidP="00F9558F">
            <w:pPr>
              <w:pStyle w:val="Tabletext"/>
              <w:jc w:val="center"/>
              <w:rPr>
                <w:sz w:val="24"/>
                <w:szCs w:val="24"/>
                <w:lang w:val="fr-FR"/>
              </w:rPr>
            </w:pPr>
            <w:r w:rsidRPr="00E51B40">
              <w:rPr>
                <w:sz w:val="24"/>
                <w:szCs w:val="24"/>
                <w:lang w:val="fr-FR"/>
              </w:rPr>
              <w:t>–</w:t>
            </w:r>
          </w:p>
        </w:tc>
        <w:tc>
          <w:tcPr>
            <w:tcW w:w="2443" w:type="dxa"/>
          </w:tcPr>
          <w:p w14:paraId="0602E593" w14:textId="18AD7DCC" w:rsidR="0003335F" w:rsidRPr="00E51B40" w:rsidRDefault="00C37A4B" w:rsidP="00F9558F">
            <w:pPr>
              <w:pStyle w:val="Tabletext"/>
              <w:rPr>
                <w:sz w:val="24"/>
                <w:szCs w:val="24"/>
                <w:lang w:val="fr-FR"/>
              </w:rPr>
            </w:pPr>
            <m:oMathPara>
              <m:oMath>
                <m:sSub>
                  <m:sSubPr>
                    <m:ctrlPr>
                      <w:rPr>
                        <w:rFonts w:ascii="Cambria Math" w:hAnsi="Cambria Math"/>
                        <w:i/>
                        <w:sz w:val="24"/>
                        <w:szCs w:val="24"/>
                        <w:lang w:val="fr-FR"/>
                      </w:rPr>
                    </m:ctrlPr>
                  </m:sSubPr>
                  <m:e>
                    <m:r>
                      <w:rPr>
                        <w:rFonts w:ascii="Cambria Math" w:hAnsi="Cambria Math"/>
                        <w:sz w:val="24"/>
                        <w:szCs w:val="24"/>
                        <w:lang w:val="fr-FR"/>
                      </w:rPr>
                      <m:t>P</m:t>
                    </m:r>
                  </m:e>
                  <m:sub>
                    <m:r>
                      <w:rPr>
                        <w:rFonts w:ascii="Cambria Math" w:hAnsi="Cambria Math"/>
                        <w:sz w:val="24"/>
                        <w:szCs w:val="24"/>
                        <w:lang w:val="fr-FR"/>
                      </w:rPr>
                      <m:t>used</m:t>
                    </m:r>
                  </m:sub>
                </m:sSub>
              </m:oMath>
            </m:oMathPara>
          </w:p>
        </w:tc>
      </w:tr>
    </w:tbl>
    <w:p w14:paraId="3E517B48" w14:textId="77777777" w:rsidR="00E51B40" w:rsidRDefault="00E51B40" w:rsidP="007920E6">
      <w:pPr>
        <w:pStyle w:val="Headingb"/>
        <w:spacing w:line="240" w:lineRule="auto"/>
        <w:rPr>
          <w:lang w:val="fr-FR"/>
        </w:rPr>
      </w:pPr>
    </w:p>
    <w:p w14:paraId="4E372428" w14:textId="77777777" w:rsidR="00E51B40" w:rsidRDefault="00E51B40">
      <w:pPr>
        <w:tabs>
          <w:tab w:val="clear" w:pos="794"/>
          <w:tab w:val="clear" w:pos="1191"/>
          <w:tab w:val="clear" w:pos="1588"/>
          <w:tab w:val="clear" w:pos="1985"/>
        </w:tabs>
        <w:overflowPunct/>
        <w:autoSpaceDE/>
        <w:autoSpaceDN/>
        <w:adjustRightInd/>
        <w:spacing w:before="0" w:line="240" w:lineRule="auto"/>
        <w:jc w:val="left"/>
        <w:textAlignment w:val="auto"/>
        <w:rPr>
          <w:b/>
          <w:lang w:val="fr-FR"/>
        </w:rPr>
      </w:pPr>
      <w:r>
        <w:rPr>
          <w:lang w:val="fr-FR"/>
        </w:rPr>
        <w:br w:type="page"/>
      </w:r>
    </w:p>
    <w:p w14:paraId="6633D438" w14:textId="56F348A7" w:rsidR="0003335F" w:rsidRPr="00496612" w:rsidRDefault="0003335F" w:rsidP="007920E6">
      <w:pPr>
        <w:pStyle w:val="Headingb"/>
        <w:spacing w:line="240" w:lineRule="auto"/>
        <w:rPr>
          <w:lang w:val="fr-FR"/>
        </w:rPr>
      </w:pPr>
      <w:r w:rsidRPr="00496612">
        <w:rPr>
          <w:lang w:val="fr-FR"/>
        </w:rPr>
        <w:lastRenderedPageBreak/>
        <w:t>Procédure</w:t>
      </w:r>
    </w:p>
    <w:p w14:paraId="6D61616D" w14:textId="6954C23D" w:rsidR="00E51B40" w:rsidRDefault="00AC733C" w:rsidP="007920E6">
      <w:pPr>
        <w:pStyle w:val="enumlev1"/>
        <w:spacing w:line="240" w:lineRule="auto"/>
        <w:jc w:val="left"/>
        <w:rPr>
          <w:lang w:val="fr-FR"/>
        </w:rPr>
      </w:pPr>
      <w:r w:rsidRPr="00496612">
        <w:rPr>
          <w:lang w:val="fr-FR"/>
        </w:rPr>
        <w:t>1)</w:t>
      </w:r>
      <w:r w:rsidRPr="00496612">
        <w:rPr>
          <w:lang w:val="fr-FR"/>
        </w:rPr>
        <w:tab/>
      </w:r>
      <w:r w:rsidR="0003335F" w:rsidRPr="00496612">
        <w:rPr>
          <w:lang w:val="fr-FR"/>
        </w:rPr>
        <w:t>Trouver la largeur de bande moyenne (</w:t>
      </w:r>
      <m:oMath>
        <m:sSub>
          <m:sSubPr>
            <m:ctrlPr>
              <w:rPr>
                <w:rFonts w:ascii="Cambria Math" w:hAnsi="Cambria Math"/>
                <w:i/>
                <w:lang w:val="fr-FR"/>
              </w:rPr>
            </m:ctrlPr>
          </m:sSubPr>
          <m:e>
            <m:r>
              <w:rPr>
                <w:rFonts w:ascii="Cambria Math" w:hAnsi="Cambria Math"/>
                <w:lang w:val="fr-FR"/>
              </w:rPr>
              <m:t>B</m:t>
            </m:r>
          </m:e>
          <m:sub>
            <m:r>
              <w:rPr>
                <w:rFonts w:ascii="Cambria Math" w:hAnsi="Cambria Math"/>
                <w:lang w:val="fr-FR"/>
              </w:rPr>
              <m:t>avg</m:t>
            </m:r>
          </m:sub>
        </m:sSub>
      </m:oMath>
      <w:r w:rsidR="0003335F" w:rsidRPr="00496612">
        <w:rPr>
          <w:lang w:val="fr-FR"/>
        </w:rPr>
        <w:t>).</w:t>
      </w:r>
    </w:p>
    <w:p w14:paraId="4BE380D1" w14:textId="21B9C115" w:rsidR="0003335F" w:rsidRPr="00496612" w:rsidRDefault="0003335F" w:rsidP="007920E6">
      <w:pPr>
        <w:pStyle w:val="enumlev1"/>
        <w:spacing w:line="240" w:lineRule="auto"/>
        <w:jc w:val="left"/>
        <w:rPr>
          <w:lang w:val="fr-FR"/>
        </w:rPr>
      </w:pPr>
      <w:r w:rsidRPr="00496612">
        <w:rPr>
          <w:lang w:val="fr-FR"/>
        </w:rPr>
        <w:tab/>
        <w:t>Si la fréquence centrale de l</w:t>
      </w:r>
      <w:r w:rsidR="00686D59" w:rsidRPr="00496612">
        <w:rPr>
          <w:lang w:val="fr-FR"/>
        </w:rPr>
        <w:t>'</w:t>
      </w:r>
      <w:r w:rsidRPr="00496612">
        <w:rPr>
          <w:lang w:val="fr-FR"/>
        </w:rPr>
        <w:t>assignation de fréquence est au-dessous de 15 GHz,</w:t>
      </w:r>
      <w:r w:rsidR="00F9558F" w:rsidRPr="00496612">
        <w:rPr>
          <w:lang w:val="fr-FR"/>
        </w:rPr>
        <w:br/>
      </w:r>
      <m:oMathPara>
        <m:oMathParaPr>
          <m:jc m:val="left"/>
        </m:oMathParaPr>
        <m:oMath>
          <m:sSub>
            <m:sSubPr>
              <m:ctrlPr>
                <w:rPr>
                  <w:rFonts w:ascii="Cambria Math" w:hAnsi="Cambria Math"/>
                  <w:i/>
                  <w:lang w:val="fr-FR"/>
                </w:rPr>
              </m:ctrlPr>
            </m:sSubPr>
            <m:e>
              <m:r>
                <w:rPr>
                  <w:rFonts w:ascii="Cambria Math" w:hAnsi="Cambria Math"/>
                  <w:lang w:val="fr-FR"/>
                </w:rPr>
                <m:t>B</m:t>
              </m:r>
            </m:e>
            <m:sub>
              <m:r>
                <w:rPr>
                  <w:rFonts w:ascii="Cambria Math" w:hAnsi="Cambria Math"/>
                  <w:lang w:val="fr-FR"/>
                </w:rPr>
                <m:t>avg</m:t>
              </m:r>
            </m:sub>
          </m:sSub>
          <m:r>
            <w:rPr>
              <w:rFonts w:ascii="Cambria Math" w:hAnsi="Cambria Math"/>
              <w:lang w:val="fr-FR"/>
            </w:rPr>
            <m:t xml:space="preserve">=4 </m:t>
          </m:r>
          <m:r>
            <m:rPr>
              <m:sty m:val="p"/>
            </m:rPr>
            <w:rPr>
              <w:rFonts w:ascii="Cambria Math" w:hAnsi="Cambria Math"/>
              <w:lang w:val="fr-FR"/>
            </w:rPr>
            <m:t>kHz</m:t>
          </m:r>
        </m:oMath>
      </m:oMathPara>
    </w:p>
    <w:p w14:paraId="71D1B341" w14:textId="6E30FC79" w:rsidR="0003335F" w:rsidRPr="00496612" w:rsidRDefault="0003335F" w:rsidP="00E51B40">
      <w:pPr>
        <w:pStyle w:val="enumlev1"/>
        <w:spacing w:after="240" w:line="240" w:lineRule="auto"/>
        <w:jc w:val="left"/>
        <w:rPr>
          <w:lang w:val="fr-FR"/>
        </w:rPr>
      </w:pPr>
      <w:r w:rsidRPr="00496612">
        <w:rPr>
          <w:lang w:val="fr-FR"/>
        </w:rPr>
        <w:tab/>
        <w:t xml:space="preserve">Sinon </w:t>
      </w:r>
      <m:oMath>
        <m:sSub>
          <m:sSubPr>
            <m:ctrlPr>
              <w:rPr>
                <w:rFonts w:ascii="Cambria Math" w:hAnsi="Cambria Math"/>
                <w:i/>
                <w:lang w:val="fr-FR"/>
              </w:rPr>
            </m:ctrlPr>
          </m:sSubPr>
          <m:e>
            <m:r>
              <w:rPr>
                <w:rFonts w:ascii="Cambria Math" w:hAnsi="Cambria Math"/>
                <w:lang w:val="fr-FR"/>
              </w:rPr>
              <m:t>B</m:t>
            </m:r>
          </m:e>
          <m:sub>
            <m:r>
              <w:rPr>
                <w:rFonts w:ascii="Cambria Math" w:hAnsi="Cambria Math"/>
                <w:lang w:val="fr-FR"/>
              </w:rPr>
              <m:t>avg</m:t>
            </m:r>
          </m:sub>
        </m:sSub>
        <m:r>
          <w:rPr>
            <w:rFonts w:ascii="Cambria Math" w:hAnsi="Cambria Math"/>
            <w:lang w:val="fr-FR"/>
          </w:rPr>
          <m:t xml:space="preserve">=1 </m:t>
        </m:r>
        <m:r>
          <m:rPr>
            <m:sty m:val="p"/>
          </m:rPr>
          <w:rPr>
            <w:rFonts w:ascii="Cambria Math" w:hAnsi="Cambria Math"/>
            <w:lang w:val="fr-FR"/>
          </w:rPr>
          <m:t>MHz</m:t>
        </m:r>
      </m:oMath>
    </w:p>
    <w:p w14:paraId="14D6C2F2" w14:textId="496C9A53" w:rsidR="0003335F" w:rsidRPr="00496612" w:rsidRDefault="00AC733C" w:rsidP="007920E6">
      <w:pPr>
        <w:pStyle w:val="enumlev1"/>
        <w:spacing w:line="240" w:lineRule="auto"/>
        <w:jc w:val="left"/>
        <w:rPr>
          <w:lang w:val="fr-FR"/>
        </w:rPr>
      </w:pPr>
      <w:r w:rsidRPr="00496612">
        <w:rPr>
          <w:lang w:val="fr-FR"/>
        </w:rPr>
        <w:t>2)</w:t>
      </w:r>
      <w:r w:rsidRPr="00496612">
        <w:rPr>
          <w:lang w:val="fr-FR"/>
        </w:rPr>
        <w:tab/>
      </w:r>
      <w:r w:rsidR="0003335F" w:rsidRPr="00496612">
        <w:rPr>
          <w:lang w:val="fr-FR"/>
        </w:rPr>
        <w:t xml:space="preserve">Calculer la puissance émise </w:t>
      </w:r>
      <m:oMath>
        <m:sSub>
          <m:sSubPr>
            <m:ctrlPr>
              <w:rPr>
                <w:rFonts w:ascii="Cambria Math" w:hAnsi="Cambria Math"/>
                <w:i/>
                <w:lang w:val="fr-FR"/>
              </w:rPr>
            </m:ctrlPr>
          </m:sSubPr>
          <m:e>
            <m:r>
              <w:rPr>
                <w:rFonts w:ascii="Cambria Math" w:hAnsi="Cambria Math"/>
                <w:lang w:val="fr-FR"/>
              </w:rPr>
              <m:t>P</m:t>
            </m:r>
          </m:e>
          <m:sub>
            <m:r>
              <w:rPr>
                <w:rFonts w:ascii="Cambria Math" w:hAnsi="Cambria Math"/>
                <w:lang w:val="fr-FR"/>
              </w:rPr>
              <m:t>used</m:t>
            </m:r>
          </m:sub>
        </m:sSub>
        <m:r>
          <w:rPr>
            <w:rFonts w:ascii="Cambria Math" w:hAnsi="Cambria Math"/>
            <w:lang w:val="fr-FR"/>
          </w:rPr>
          <m:t xml:space="preserve"> in </m:t>
        </m:r>
        <m:sSub>
          <m:sSubPr>
            <m:ctrlPr>
              <w:rPr>
                <w:rFonts w:ascii="Cambria Math" w:hAnsi="Cambria Math"/>
                <w:i/>
                <w:lang w:val="fr-FR"/>
              </w:rPr>
            </m:ctrlPr>
          </m:sSubPr>
          <m:e>
            <m:r>
              <w:rPr>
                <w:rFonts w:ascii="Cambria Math" w:hAnsi="Cambria Math"/>
                <w:lang w:val="fr-FR"/>
              </w:rPr>
              <m:t>B</m:t>
            </m:r>
          </m:e>
          <m:sub>
            <m:r>
              <w:rPr>
                <w:rFonts w:ascii="Cambria Math" w:hAnsi="Cambria Math"/>
                <w:lang w:val="fr-FR"/>
              </w:rPr>
              <m:t>ref</m:t>
            </m:r>
          </m:sub>
        </m:sSub>
      </m:oMath>
      <w:r w:rsidR="00F9558F" w:rsidRPr="00496612">
        <w:rPr>
          <w:lang w:val="fr-FR"/>
        </w:rPr>
        <w:t>.</w:t>
      </w:r>
    </w:p>
    <w:p w14:paraId="0E017AFC" w14:textId="3554156A" w:rsidR="0003335F" w:rsidRPr="00496612" w:rsidRDefault="0003335F" w:rsidP="007920E6">
      <w:pPr>
        <w:pStyle w:val="enumlev1"/>
        <w:spacing w:line="240" w:lineRule="auto"/>
        <w:jc w:val="left"/>
        <w:rPr>
          <w:b/>
          <w:bCs/>
          <w:lang w:val="fr-FR"/>
        </w:rPr>
      </w:pPr>
      <w:r w:rsidRPr="00496612">
        <w:rPr>
          <w:b/>
          <w:bCs/>
          <w:lang w:val="fr-FR"/>
        </w:rPr>
        <w:tab/>
        <w:t>Si</w:t>
      </w:r>
      <w:r w:rsidRPr="00496612">
        <w:rPr>
          <w:lang w:val="fr-FR"/>
        </w:rPr>
        <w:t xml:space="preserve"> </w:t>
      </w:r>
      <m:oMath>
        <m:sSub>
          <m:sSubPr>
            <m:ctrlPr>
              <w:rPr>
                <w:rFonts w:ascii="Cambria Math" w:hAnsi="Cambria Math"/>
                <w:i/>
                <w:lang w:val="fr-FR"/>
              </w:rPr>
            </m:ctrlPr>
          </m:sSubPr>
          <m:e>
            <m:r>
              <w:rPr>
                <w:rFonts w:ascii="Cambria Math" w:hAnsi="Cambria Math"/>
                <w:lang w:val="fr-FR"/>
              </w:rPr>
              <m:t>B</m:t>
            </m:r>
          </m:e>
          <m:sub>
            <m:r>
              <w:rPr>
                <w:rFonts w:ascii="Cambria Math" w:hAnsi="Cambria Math"/>
                <w:lang w:val="fr-FR"/>
              </w:rPr>
              <m:t>avg</m:t>
            </m:r>
          </m:sub>
        </m:sSub>
        <m:r>
          <w:rPr>
            <w:rFonts w:ascii="Cambria Math" w:hAnsi="Cambria Math"/>
            <w:lang w:val="fr-FR"/>
          </w:rPr>
          <m:t xml:space="preserve">= </m:t>
        </m:r>
        <m:sSub>
          <m:sSubPr>
            <m:ctrlPr>
              <w:rPr>
                <w:rFonts w:ascii="Cambria Math" w:hAnsi="Cambria Math"/>
                <w:i/>
                <w:lang w:val="fr-FR"/>
              </w:rPr>
            </m:ctrlPr>
          </m:sSubPr>
          <m:e>
            <m:r>
              <w:rPr>
                <w:rFonts w:ascii="Cambria Math" w:hAnsi="Cambria Math"/>
                <w:lang w:val="fr-FR"/>
              </w:rPr>
              <m:t>B</m:t>
            </m:r>
          </m:e>
          <m:sub>
            <m:r>
              <w:rPr>
                <w:rFonts w:ascii="Cambria Math" w:hAnsi="Cambria Math"/>
                <w:lang w:val="fr-FR"/>
              </w:rPr>
              <m:t>ref</m:t>
            </m:r>
          </m:sub>
        </m:sSub>
      </m:oMath>
      <w:r w:rsidRPr="00496612">
        <w:rPr>
          <w:lang w:val="fr-FR"/>
        </w:rPr>
        <w:t xml:space="preserve"> </w:t>
      </w:r>
      <w:r w:rsidRPr="00496612">
        <w:rPr>
          <w:b/>
          <w:bCs/>
          <w:lang w:val="fr-FR"/>
        </w:rPr>
        <w:t>(mesure additionnelle conforme à la Recommandation</w:t>
      </w:r>
      <w:r w:rsidR="00F9558F" w:rsidRPr="00496612">
        <w:rPr>
          <w:b/>
          <w:bCs/>
          <w:lang w:val="fr-FR"/>
        </w:rPr>
        <w:t xml:space="preserve"> </w:t>
      </w:r>
      <w:r w:rsidRPr="00496612">
        <w:rPr>
          <w:b/>
          <w:bCs/>
          <w:lang w:val="fr-FR"/>
        </w:rPr>
        <w:t>UIT-R SF.675):</w:t>
      </w:r>
    </w:p>
    <w:p w14:paraId="69D7CA72" w14:textId="75C66596" w:rsidR="0003335F" w:rsidRPr="00496612" w:rsidRDefault="00C37A4B" w:rsidP="007920E6">
      <w:pPr>
        <w:pStyle w:val="Equation"/>
        <w:spacing w:line="240" w:lineRule="auto"/>
        <w:rPr>
          <w:lang w:val="fr-FR"/>
        </w:rPr>
      </w:pPr>
      <m:oMathPara>
        <m:oMath>
          <m:sSub>
            <m:sSubPr>
              <m:ctrlPr>
                <w:rPr>
                  <w:rFonts w:ascii="Cambria Math" w:hAnsi="Cambria Math"/>
                  <w:lang w:val="fr-FR"/>
                </w:rPr>
              </m:ctrlPr>
            </m:sSubPr>
            <m:e>
              <m:r>
                <w:rPr>
                  <w:rFonts w:ascii="Cambria Math" w:hAnsi="Cambria Math"/>
                  <w:lang w:val="fr-FR"/>
                </w:rPr>
                <m:t>P</m:t>
              </m:r>
            </m:e>
            <m:sub>
              <m:r>
                <w:rPr>
                  <w:rFonts w:ascii="Cambria Math" w:hAnsi="Cambria Math"/>
                  <w:lang w:val="fr-FR"/>
                </w:rPr>
                <m:t>used</m:t>
              </m:r>
            </m:sub>
          </m:sSub>
          <m:r>
            <m:rPr>
              <m:sty m:val="p"/>
            </m:rPr>
            <w:rPr>
              <w:rFonts w:ascii="Cambria Math" w:hAnsi="Cambria Math"/>
              <w:lang w:val="fr-FR"/>
            </w:rPr>
            <m:t>=</m:t>
          </m:r>
          <m:sSub>
            <m:sSubPr>
              <m:ctrlPr>
                <w:rPr>
                  <w:rFonts w:ascii="Cambria Math" w:hAnsi="Cambria Math"/>
                  <w:lang w:val="fr-FR"/>
                </w:rPr>
              </m:ctrlPr>
            </m:sSubPr>
            <m:e>
              <m:r>
                <w:rPr>
                  <w:rFonts w:ascii="Cambria Math" w:hAnsi="Cambria Math"/>
                  <w:lang w:val="fr-FR"/>
                </w:rPr>
                <m:t>PSD</m:t>
              </m:r>
            </m:e>
            <m:sub>
              <m:r>
                <w:rPr>
                  <w:rFonts w:ascii="Cambria Math" w:hAnsi="Cambria Math"/>
                  <w:lang w:val="fr-FR"/>
                </w:rPr>
                <m:t>max</m:t>
              </m:r>
            </m:sub>
          </m:sSub>
          <m:r>
            <m:rPr>
              <m:sty m:val="p"/>
            </m:rPr>
            <w:rPr>
              <w:rFonts w:ascii="Cambria Math" w:hAnsi="Cambria Math"/>
              <w:lang w:val="fr-FR"/>
            </w:rPr>
            <m:t xml:space="preserve">+10 </m:t>
          </m:r>
          <m:func>
            <m:funcPr>
              <m:ctrlPr>
                <w:rPr>
                  <w:rFonts w:ascii="Cambria Math" w:hAnsi="Cambria Math"/>
                  <w:lang w:val="fr-FR"/>
                </w:rPr>
              </m:ctrlPr>
            </m:funcPr>
            <m:fName>
              <m:r>
                <m:rPr>
                  <m:sty m:val="p"/>
                </m:rPr>
                <w:rPr>
                  <w:rFonts w:ascii="Cambria Math" w:hAnsi="Cambria Math"/>
                  <w:lang w:val="fr-FR"/>
                </w:rPr>
                <m:t>log</m:t>
              </m:r>
            </m:fName>
            <m:e>
              <m:sSub>
                <m:sSubPr>
                  <m:ctrlPr>
                    <w:rPr>
                      <w:rFonts w:ascii="Cambria Math" w:hAnsi="Cambria Math"/>
                      <w:lang w:val="fr-FR"/>
                    </w:rPr>
                  </m:ctrlPr>
                </m:sSubPr>
                <m:e>
                  <m:r>
                    <w:rPr>
                      <w:rFonts w:ascii="Cambria Math" w:hAnsi="Cambria Math"/>
                      <w:lang w:val="fr-FR"/>
                    </w:rPr>
                    <m:t>B</m:t>
                  </m:r>
                </m:e>
                <m:sub>
                  <m:r>
                    <w:rPr>
                      <w:rFonts w:ascii="Cambria Math" w:hAnsi="Cambria Math"/>
                      <w:lang w:val="fr-FR"/>
                    </w:rPr>
                    <m:t>ref</m:t>
                  </m:r>
                </m:sub>
              </m:sSub>
            </m:e>
          </m:func>
        </m:oMath>
      </m:oMathPara>
    </w:p>
    <w:p w14:paraId="085EAC83" w14:textId="0D92BFD7" w:rsidR="0003335F" w:rsidRPr="00496612" w:rsidRDefault="0003335F" w:rsidP="007920E6">
      <w:pPr>
        <w:pStyle w:val="enumlev1"/>
        <w:keepNext/>
        <w:spacing w:line="240" w:lineRule="auto"/>
        <w:jc w:val="left"/>
        <w:rPr>
          <w:b/>
          <w:bCs/>
          <w:lang w:val="fr-FR"/>
        </w:rPr>
      </w:pPr>
      <w:r w:rsidRPr="00496612">
        <w:rPr>
          <w:b/>
          <w:bCs/>
          <w:lang w:val="fr-FR"/>
        </w:rPr>
        <w:tab/>
        <w:t>Si</w:t>
      </w:r>
      <w:r w:rsidRPr="00496612">
        <w:rPr>
          <w:lang w:val="fr-FR"/>
        </w:rPr>
        <w:t xml:space="preserve"> </w:t>
      </w:r>
      <m:oMath>
        <m:sSub>
          <m:sSubPr>
            <m:ctrlPr>
              <w:rPr>
                <w:rFonts w:ascii="Cambria Math" w:hAnsi="Cambria Math"/>
                <w:i/>
                <w:lang w:val="fr-FR"/>
              </w:rPr>
            </m:ctrlPr>
          </m:sSubPr>
          <m:e>
            <m:r>
              <w:rPr>
                <w:rFonts w:ascii="Cambria Math" w:hAnsi="Cambria Math"/>
                <w:lang w:val="fr-FR"/>
              </w:rPr>
              <m:t>B</m:t>
            </m:r>
          </m:e>
          <m:sub>
            <m:r>
              <w:rPr>
                <w:rFonts w:ascii="Cambria Math" w:hAnsi="Cambria Math"/>
                <w:lang w:val="fr-FR"/>
              </w:rPr>
              <m:t>avg</m:t>
            </m:r>
          </m:sub>
        </m:sSub>
        <m:r>
          <w:rPr>
            <w:rFonts w:ascii="Cambria Math" w:hAnsi="Cambria Math"/>
            <w:lang w:val="fr-FR"/>
          </w:rPr>
          <m:t xml:space="preserve">&lt; </m:t>
        </m:r>
        <m:sSub>
          <m:sSubPr>
            <m:ctrlPr>
              <w:rPr>
                <w:rFonts w:ascii="Cambria Math" w:hAnsi="Cambria Math"/>
                <w:i/>
                <w:lang w:val="fr-FR"/>
              </w:rPr>
            </m:ctrlPr>
          </m:sSubPr>
          <m:e>
            <m:r>
              <w:rPr>
                <w:rFonts w:ascii="Cambria Math" w:hAnsi="Cambria Math"/>
                <w:lang w:val="fr-FR"/>
              </w:rPr>
              <m:t>B</m:t>
            </m:r>
          </m:e>
          <m:sub>
            <m:r>
              <w:rPr>
                <w:rFonts w:ascii="Cambria Math" w:hAnsi="Cambria Math"/>
                <w:lang w:val="fr-FR"/>
              </w:rPr>
              <m:t>ref</m:t>
            </m:r>
          </m:sub>
        </m:sSub>
      </m:oMath>
      <w:r w:rsidRPr="00496612">
        <w:rPr>
          <w:lang w:val="fr-FR"/>
        </w:rPr>
        <w:t xml:space="preserve"> </w:t>
      </w:r>
      <w:r w:rsidRPr="00496612">
        <w:rPr>
          <w:b/>
          <w:bCs/>
          <w:lang w:val="fr-FR"/>
        </w:rPr>
        <w:t>(ancienne méthode appliquée auparavant):</w:t>
      </w:r>
    </w:p>
    <w:p w14:paraId="0D10D29C" w14:textId="5CCD273D" w:rsidR="0003335F" w:rsidRPr="00496612" w:rsidRDefault="00F9558F" w:rsidP="007920E6">
      <w:pPr>
        <w:pStyle w:val="enumlev2"/>
        <w:keepNext/>
        <w:spacing w:line="240" w:lineRule="auto"/>
        <w:rPr>
          <w:lang w:val="fr-FR"/>
        </w:rPr>
      </w:pPr>
      <w:r w:rsidRPr="00496612">
        <w:rPr>
          <w:lang w:val="fr-FR"/>
        </w:rPr>
        <w:tab/>
      </w:r>
      <w:r w:rsidR="0003335F" w:rsidRPr="00496612">
        <w:rPr>
          <w:lang w:val="fr-FR"/>
        </w:rPr>
        <w:t xml:space="preserve">Si </w:t>
      </w:r>
      <m:oMath>
        <m:r>
          <w:rPr>
            <w:rFonts w:ascii="Cambria Math" w:hAnsi="Cambria Math"/>
            <w:lang w:val="fr-FR"/>
          </w:rPr>
          <m:t>B</m:t>
        </m:r>
        <m:r>
          <m:rPr>
            <m:sty m:val="p"/>
          </m:rPr>
          <w:rPr>
            <w:rFonts w:ascii="Cambria Math" w:hAnsi="Cambria Math"/>
            <w:lang w:val="fr-FR"/>
          </w:rPr>
          <m:t xml:space="preserve">≥ </m:t>
        </m:r>
        <m:sSub>
          <m:sSubPr>
            <m:ctrlPr>
              <w:rPr>
                <w:rFonts w:ascii="Cambria Math" w:hAnsi="Cambria Math"/>
                <w:lang w:val="fr-FR"/>
              </w:rPr>
            </m:ctrlPr>
          </m:sSubPr>
          <m:e>
            <m:r>
              <w:rPr>
                <w:rFonts w:ascii="Cambria Math" w:hAnsi="Cambria Math"/>
                <w:lang w:val="fr-FR"/>
              </w:rPr>
              <m:t>B</m:t>
            </m:r>
          </m:e>
          <m:sub>
            <m:r>
              <w:rPr>
                <w:rFonts w:ascii="Cambria Math" w:hAnsi="Cambria Math"/>
                <w:lang w:val="fr-FR"/>
              </w:rPr>
              <m:t>ref</m:t>
            </m:r>
          </m:sub>
        </m:sSub>
      </m:oMath>
    </w:p>
    <w:p w14:paraId="596C6EC8" w14:textId="5CD00877" w:rsidR="0003335F" w:rsidRPr="00496612" w:rsidRDefault="00C37A4B" w:rsidP="007920E6">
      <w:pPr>
        <w:pStyle w:val="Equation"/>
        <w:keepNext/>
        <w:spacing w:line="240" w:lineRule="auto"/>
        <w:rPr>
          <w:lang w:val="fr-FR"/>
        </w:rPr>
      </w:pPr>
      <m:oMathPara>
        <m:oMath>
          <m:sSub>
            <m:sSubPr>
              <m:ctrlPr>
                <w:rPr>
                  <w:rFonts w:ascii="Cambria Math" w:hAnsi="Cambria Math"/>
                  <w:lang w:val="fr-FR"/>
                </w:rPr>
              </m:ctrlPr>
            </m:sSubPr>
            <m:e>
              <m:r>
                <w:rPr>
                  <w:rFonts w:ascii="Cambria Math" w:hAnsi="Cambria Math"/>
                  <w:lang w:val="fr-FR"/>
                </w:rPr>
                <m:t>P</m:t>
              </m:r>
            </m:e>
            <m:sub>
              <m:r>
                <w:rPr>
                  <w:rFonts w:ascii="Cambria Math" w:hAnsi="Cambria Math"/>
                  <w:lang w:val="fr-FR"/>
                </w:rPr>
                <m:t>used</m:t>
              </m:r>
            </m:sub>
          </m:sSub>
          <m:r>
            <m:rPr>
              <m:sty m:val="p"/>
            </m:rPr>
            <w:rPr>
              <w:rFonts w:ascii="Cambria Math" w:hAnsi="Cambria Math"/>
              <w:lang w:val="fr-FR"/>
            </w:rPr>
            <m:t>=</m:t>
          </m:r>
          <m:r>
            <w:rPr>
              <w:rFonts w:ascii="Cambria Math" w:hAnsi="Cambria Math"/>
              <w:lang w:val="fr-FR"/>
            </w:rPr>
            <m:t>Min</m:t>
          </m:r>
          <m:d>
            <m:dPr>
              <m:ctrlPr>
                <w:rPr>
                  <w:rFonts w:ascii="Cambria Math" w:hAnsi="Cambria Math"/>
                  <w:lang w:val="fr-FR"/>
                </w:rPr>
              </m:ctrlPr>
            </m:dPr>
            <m:e>
              <m:sSub>
                <m:sSubPr>
                  <m:ctrlPr>
                    <w:rPr>
                      <w:rFonts w:ascii="Cambria Math" w:hAnsi="Cambria Math"/>
                      <w:lang w:val="fr-FR"/>
                    </w:rPr>
                  </m:ctrlPr>
                </m:sSubPr>
                <m:e>
                  <m:r>
                    <w:rPr>
                      <w:rFonts w:ascii="Cambria Math" w:hAnsi="Cambria Math"/>
                      <w:lang w:val="fr-FR"/>
                    </w:rPr>
                    <m:t>PSD</m:t>
                  </m:r>
                </m:e>
                <m:sub>
                  <m:r>
                    <w:rPr>
                      <w:rFonts w:ascii="Cambria Math" w:hAnsi="Cambria Math"/>
                      <w:lang w:val="fr-FR"/>
                    </w:rPr>
                    <m:t>max</m:t>
                  </m:r>
                </m:sub>
              </m:sSub>
              <m:r>
                <m:rPr>
                  <m:sty m:val="p"/>
                </m:rPr>
                <w:rPr>
                  <w:rFonts w:ascii="Cambria Math" w:hAnsi="Cambria Math"/>
                  <w:lang w:val="fr-FR"/>
                </w:rPr>
                <m:t xml:space="preserve">+10 </m:t>
              </m:r>
              <m:func>
                <m:funcPr>
                  <m:ctrlPr>
                    <w:rPr>
                      <w:rFonts w:ascii="Cambria Math" w:hAnsi="Cambria Math"/>
                      <w:lang w:val="fr-FR"/>
                    </w:rPr>
                  </m:ctrlPr>
                </m:funcPr>
                <m:fName>
                  <m:r>
                    <m:rPr>
                      <m:sty m:val="p"/>
                    </m:rPr>
                    <w:rPr>
                      <w:rFonts w:ascii="Cambria Math" w:hAnsi="Cambria Math"/>
                      <w:lang w:val="fr-FR"/>
                    </w:rPr>
                    <m:t>log</m:t>
                  </m:r>
                </m:fName>
                <m:e>
                  <m:sSub>
                    <m:sSubPr>
                      <m:ctrlPr>
                        <w:rPr>
                          <w:rFonts w:ascii="Cambria Math" w:hAnsi="Cambria Math"/>
                          <w:lang w:val="fr-FR"/>
                        </w:rPr>
                      </m:ctrlPr>
                    </m:sSubPr>
                    <m:e>
                      <m:r>
                        <w:rPr>
                          <w:rFonts w:ascii="Cambria Math" w:hAnsi="Cambria Math"/>
                          <w:lang w:val="fr-FR"/>
                        </w:rPr>
                        <m:t>B</m:t>
                      </m:r>
                    </m:e>
                    <m:sub>
                      <m:r>
                        <w:rPr>
                          <w:rFonts w:ascii="Cambria Math" w:hAnsi="Cambria Math"/>
                          <w:lang w:val="fr-FR"/>
                        </w:rPr>
                        <m:t>ref</m:t>
                      </m:r>
                    </m:sub>
                  </m:sSub>
                </m:e>
              </m:func>
              <m:r>
                <m:rPr>
                  <m:sty m:val="p"/>
                </m:rPr>
                <w:rPr>
                  <w:rFonts w:ascii="Cambria Math" w:hAnsi="Cambria Math"/>
                  <w:lang w:val="fr-FR"/>
                </w:rPr>
                <m:t xml:space="preserve">;  </m:t>
              </m:r>
              <m:sSub>
                <m:sSubPr>
                  <m:ctrlPr>
                    <w:rPr>
                      <w:rFonts w:ascii="Cambria Math" w:hAnsi="Cambria Math"/>
                      <w:lang w:val="fr-FR"/>
                    </w:rPr>
                  </m:ctrlPr>
                </m:sSubPr>
                <m:e>
                  <m:r>
                    <w:rPr>
                      <w:rFonts w:ascii="Cambria Math" w:hAnsi="Cambria Math"/>
                      <w:lang w:val="fr-FR"/>
                    </w:rPr>
                    <m:t>P</m:t>
                  </m:r>
                </m:e>
                <m:sub>
                  <m:r>
                    <w:rPr>
                      <w:rFonts w:ascii="Cambria Math" w:hAnsi="Cambria Math"/>
                      <w:lang w:val="fr-FR"/>
                    </w:rPr>
                    <m:t>max</m:t>
                  </m:r>
                </m:sub>
              </m:sSub>
            </m:e>
          </m:d>
        </m:oMath>
      </m:oMathPara>
    </w:p>
    <w:p w14:paraId="2FE2CCC4" w14:textId="60A2B380" w:rsidR="0003335F" w:rsidRPr="00496612" w:rsidRDefault="007920E6" w:rsidP="007920E6">
      <w:pPr>
        <w:pStyle w:val="enumlev2"/>
        <w:spacing w:line="240" w:lineRule="auto"/>
        <w:rPr>
          <w:lang w:val="fr-FR"/>
        </w:rPr>
      </w:pPr>
      <w:r w:rsidRPr="00496612">
        <w:rPr>
          <w:lang w:val="fr-FR"/>
        </w:rPr>
        <w:tab/>
      </w:r>
      <w:r w:rsidR="0003335F" w:rsidRPr="00496612">
        <w:rPr>
          <w:lang w:val="fr-FR"/>
        </w:rPr>
        <w:t xml:space="preserve">Si </w:t>
      </w:r>
      <m:oMath>
        <m:r>
          <w:rPr>
            <w:rFonts w:ascii="Cambria Math" w:hAnsi="Cambria Math"/>
            <w:lang w:val="fr-FR"/>
          </w:rPr>
          <m:t>B</m:t>
        </m:r>
        <m:r>
          <m:rPr>
            <m:sty m:val="p"/>
          </m:rPr>
          <w:rPr>
            <w:rFonts w:ascii="Cambria Math" w:hAnsi="Cambria Math"/>
            <w:lang w:val="fr-FR"/>
          </w:rPr>
          <m:t xml:space="preserve">&lt; </m:t>
        </m:r>
        <m:sSub>
          <m:sSubPr>
            <m:ctrlPr>
              <w:rPr>
                <w:rFonts w:ascii="Cambria Math" w:hAnsi="Cambria Math"/>
                <w:lang w:val="fr-FR"/>
              </w:rPr>
            </m:ctrlPr>
          </m:sSubPr>
          <m:e>
            <m:r>
              <w:rPr>
                <w:rFonts w:ascii="Cambria Math" w:hAnsi="Cambria Math"/>
                <w:lang w:val="fr-FR"/>
              </w:rPr>
              <m:t>B</m:t>
            </m:r>
          </m:e>
          <m:sub>
            <m:r>
              <w:rPr>
                <w:rFonts w:ascii="Cambria Math" w:hAnsi="Cambria Math"/>
                <w:lang w:val="fr-FR"/>
              </w:rPr>
              <m:t>ref</m:t>
            </m:r>
          </m:sub>
        </m:sSub>
      </m:oMath>
    </w:p>
    <w:p w14:paraId="2AD65A70" w14:textId="1FBD5AD5" w:rsidR="0003335F" w:rsidRPr="00496612" w:rsidRDefault="00C37A4B" w:rsidP="007920E6">
      <w:pPr>
        <w:pStyle w:val="Equation"/>
        <w:spacing w:line="240" w:lineRule="auto"/>
        <w:rPr>
          <w:lang w:val="fr-FR"/>
        </w:rPr>
      </w:pPr>
      <m:oMathPara>
        <m:oMath>
          <m:sSub>
            <m:sSubPr>
              <m:ctrlPr>
                <w:rPr>
                  <w:rFonts w:ascii="Cambria Math" w:hAnsi="Cambria Math"/>
                  <w:lang w:val="fr-FR"/>
                </w:rPr>
              </m:ctrlPr>
            </m:sSubPr>
            <m:e>
              <m:r>
                <w:rPr>
                  <w:rFonts w:ascii="Cambria Math" w:hAnsi="Cambria Math"/>
                  <w:lang w:val="fr-FR"/>
                </w:rPr>
                <m:t>P</m:t>
              </m:r>
            </m:e>
            <m:sub>
              <m:r>
                <w:rPr>
                  <w:rFonts w:ascii="Cambria Math" w:hAnsi="Cambria Math"/>
                  <w:lang w:val="fr-FR"/>
                </w:rPr>
                <m:t>used</m:t>
              </m:r>
            </m:sub>
          </m:sSub>
          <m:r>
            <m:rPr>
              <m:sty m:val="p"/>
            </m:rPr>
            <w:rPr>
              <w:rFonts w:ascii="Cambria Math" w:hAnsi="Cambria Math"/>
              <w:lang w:val="fr-FR"/>
            </w:rPr>
            <m:t>=</m:t>
          </m:r>
          <m:sSub>
            <m:sSubPr>
              <m:ctrlPr>
                <w:rPr>
                  <w:rFonts w:ascii="Cambria Math" w:hAnsi="Cambria Math"/>
                  <w:lang w:val="fr-FR"/>
                </w:rPr>
              </m:ctrlPr>
            </m:sSubPr>
            <m:e>
              <m:r>
                <w:rPr>
                  <w:rFonts w:ascii="Cambria Math" w:hAnsi="Cambria Math"/>
                  <w:lang w:val="fr-FR"/>
                </w:rPr>
                <m:t>P</m:t>
              </m:r>
            </m:e>
            <m:sub>
              <m:r>
                <w:rPr>
                  <w:rFonts w:ascii="Cambria Math" w:hAnsi="Cambria Math"/>
                  <w:lang w:val="fr-FR"/>
                </w:rPr>
                <m:t>max</m:t>
              </m:r>
            </m:sub>
          </m:sSub>
        </m:oMath>
      </m:oMathPara>
    </w:p>
    <w:p w14:paraId="62E939A3" w14:textId="6C990D50" w:rsidR="0003335F" w:rsidRPr="00496612" w:rsidRDefault="0003335F" w:rsidP="007920E6">
      <w:pPr>
        <w:pStyle w:val="enumlev1"/>
        <w:spacing w:line="240" w:lineRule="auto"/>
        <w:rPr>
          <w:lang w:val="fr-FR"/>
        </w:rPr>
      </w:pPr>
      <w:r w:rsidRPr="00496612">
        <w:rPr>
          <w:lang w:val="fr-FR"/>
        </w:rPr>
        <w:tab/>
      </w:r>
      <w:r w:rsidRPr="00496612">
        <w:rPr>
          <w:b/>
          <w:bCs/>
          <w:lang w:val="fr-FR"/>
        </w:rPr>
        <w:t>Si</w:t>
      </w:r>
      <w:r w:rsidRPr="00496612">
        <w:rPr>
          <w:lang w:val="fr-FR"/>
        </w:rPr>
        <w:t xml:space="preserve"> </w:t>
      </w:r>
      <m:oMath>
        <m:sSub>
          <m:sSubPr>
            <m:ctrlPr>
              <w:rPr>
                <w:rFonts w:ascii="Cambria Math" w:hAnsi="Cambria Math"/>
                <w:i/>
                <w:lang w:val="fr-FR"/>
              </w:rPr>
            </m:ctrlPr>
          </m:sSubPr>
          <m:e>
            <m:r>
              <w:rPr>
                <w:rFonts w:ascii="Cambria Math" w:hAnsi="Cambria Math"/>
                <w:lang w:val="fr-FR"/>
              </w:rPr>
              <m:t>B</m:t>
            </m:r>
          </m:e>
          <m:sub>
            <m:r>
              <w:rPr>
                <w:rFonts w:ascii="Cambria Math" w:hAnsi="Cambria Math"/>
                <w:lang w:val="fr-FR"/>
              </w:rPr>
              <m:t>avg</m:t>
            </m:r>
          </m:sub>
        </m:sSub>
        <m:r>
          <w:rPr>
            <w:rFonts w:ascii="Cambria Math" w:hAnsi="Cambria Math"/>
            <w:lang w:val="fr-FR"/>
          </w:rPr>
          <m:t xml:space="preserve">&gt; </m:t>
        </m:r>
        <m:sSub>
          <m:sSubPr>
            <m:ctrlPr>
              <w:rPr>
                <w:rFonts w:ascii="Cambria Math" w:hAnsi="Cambria Math"/>
                <w:i/>
                <w:lang w:val="fr-FR"/>
              </w:rPr>
            </m:ctrlPr>
          </m:sSubPr>
          <m:e>
            <m:r>
              <w:rPr>
                <w:rFonts w:ascii="Cambria Math" w:hAnsi="Cambria Math"/>
                <w:lang w:val="fr-FR"/>
              </w:rPr>
              <m:t>B</m:t>
            </m:r>
          </m:e>
          <m:sub>
            <m:r>
              <w:rPr>
                <w:rFonts w:ascii="Cambria Math" w:hAnsi="Cambria Math"/>
                <w:lang w:val="fr-FR"/>
              </w:rPr>
              <m:t>ref</m:t>
            </m:r>
          </m:sub>
        </m:sSub>
      </m:oMath>
      <w:r w:rsidRPr="00496612">
        <w:rPr>
          <w:lang w:val="fr-FR"/>
        </w:rPr>
        <w:t xml:space="preserve"> </w:t>
      </w:r>
      <w:r w:rsidRPr="00496612">
        <w:rPr>
          <w:b/>
          <w:bCs/>
          <w:lang w:val="fr-FR"/>
        </w:rPr>
        <w:t>(aucun cas n</w:t>
      </w:r>
      <w:r w:rsidR="00686D59" w:rsidRPr="00496612">
        <w:rPr>
          <w:b/>
          <w:bCs/>
          <w:lang w:val="fr-FR"/>
        </w:rPr>
        <w:t>'</w:t>
      </w:r>
      <w:r w:rsidRPr="00496612">
        <w:rPr>
          <w:b/>
          <w:bCs/>
          <w:lang w:val="fr-FR"/>
        </w:rPr>
        <w:t>existe actuellement):</w:t>
      </w:r>
    </w:p>
    <w:p w14:paraId="28550B7E" w14:textId="2CD45C39" w:rsidR="0003335F" w:rsidRPr="00496612" w:rsidRDefault="0003335F" w:rsidP="007920E6">
      <w:pPr>
        <w:pStyle w:val="enumlev2"/>
        <w:spacing w:line="240" w:lineRule="auto"/>
        <w:rPr>
          <w:lang w:val="fr-FR"/>
        </w:rPr>
      </w:pPr>
      <w:r w:rsidRPr="00496612">
        <w:rPr>
          <w:b/>
          <w:bCs/>
          <w:lang w:val="fr-FR"/>
        </w:rPr>
        <w:tab/>
      </w:r>
      <w:r w:rsidRPr="00496612">
        <w:rPr>
          <w:lang w:val="fr-FR"/>
        </w:rPr>
        <w:t xml:space="preserve">Si </w:t>
      </w:r>
      <m:oMath>
        <m:r>
          <w:rPr>
            <w:rFonts w:ascii="Cambria Math" w:hAnsi="Cambria Math"/>
            <w:lang w:val="fr-FR"/>
          </w:rPr>
          <m:t>B</m:t>
        </m:r>
        <m:r>
          <m:rPr>
            <m:sty m:val="p"/>
          </m:rPr>
          <w:rPr>
            <w:rFonts w:ascii="Cambria Math" w:hAnsi="Cambria Math"/>
            <w:lang w:val="fr-FR"/>
          </w:rPr>
          <m:t xml:space="preserve">≥ </m:t>
        </m:r>
        <m:sSub>
          <m:sSubPr>
            <m:ctrlPr>
              <w:rPr>
                <w:rFonts w:ascii="Cambria Math" w:hAnsi="Cambria Math"/>
                <w:lang w:val="fr-FR"/>
              </w:rPr>
            </m:ctrlPr>
          </m:sSubPr>
          <m:e>
            <m:r>
              <w:rPr>
                <w:rFonts w:ascii="Cambria Math" w:hAnsi="Cambria Math"/>
                <w:lang w:val="fr-FR"/>
              </w:rPr>
              <m:t>B</m:t>
            </m:r>
          </m:e>
          <m:sub>
            <m:r>
              <w:rPr>
                <w:rFonts w:ascii="Cambria Math" w:hAnsi="Cambria Math"/>
                <w:lang w:val="fr-FR"/>
              </w:rPr>
              <m:t>ref</m:t>
            </m:r>
          </m:sub>
        </m:sSub>
      </m:oMath>
    </w:p>
    <w:p w14:paraId="61A69C1D" w14:textId="2B834B22" w:rsidR="0003335F" w:rsidRPr="00496612" w:rsidRDefault="00C37A4B" w:rsidP="007920E6">
      <w:pPr>
        <w:pStyle w:val="Equation"/>
        <w:spacing w:line="240" w:lineRule="auto"/>
        <w:rPr>
          <w:lang w:val="fr-FR"/>
        </w:rPr>
      </w:pPr>
      <m:oMathPara>
        <m:oMath>
          <m:sSub>
            <m:sSubPr>
              <m:ctrlPr>
                <w:rPr>
                  <w:rFonts w:ascii="Cambria Math" w:hAnsi="Cambria Math"/>
                  <w:lang w:val="fr-FR"/>
                </w:rPr>
              </m:ctrlPr>
            </m:sSubPr>
            <m:e>
              <m:r>
                <w:rPr>
                  <w:rFonts w:ascii="Cambria Math" w:hAnsi="Cambria Math"/>
                  <w:lang w:val="fr-FR"/>
                </w:rPr>
                <m:t>P</m:t>
              </m:r>
            </m:e>
            <m:sub>
              <m:r>
                <w:rPr>
                  <w:rFonts w:ascii="Cambria Math" w:hAnsi="Cambria Math"/>
                  <w:lang w:val="fr-FR"/>
                </w:rPr>
                <m:t>used</m:t>
              </m:r>
            </m:sub>
          </m:sSub>
          <m:r>
            <m:rPr>
              <m:sty m:val="p"/>
            </m:rPr>
            <w:rPr>
              <w:rFonts w:ascii="Cambria Math" w:hAnsi="Cambria Math"/>
              <w:lang w:val="fr-FR"/>
            </w:rPr>
            <m:t>=</m:t>
          </m:r>
          <m:sSub>
            <m:sSubPr>
              <m:ctrlPr>
                <w:rPr>
                  <w:rFonts w:ascii="Cambria Math" w:hAnsi="Cambria Math"/>
                  <w:lang w:val="fr-FR"/>
                </w:rPr>
              </m:ctrlPr>
            </m:sSubPr>
            <m:e>
              <m:r>
                <w:rPr>
                  <w:rFonts w:ascii="Cambria Math" w:hAnsi="Cambria Math"/>
                  <w:lang w:val="fr-FR"/>
                </w:rPr>
                <m:t>PSD</m:t>
              </m:r>
            </m:e>
            <m:sub>
              <m:r>
                <w:rPr>
                  <w:rFonts w:ascii="Cambria Math" w:hAnsi="Cambria Math"/>
                  <w:lang w:val="fr-FR"/>
                </w:rPr>
                <m:t>max</m:t>
              </m:r>
            </m:sub>
          </m:sSub>
          <m:r>
            <m:rPr>
              <m:sty m:val="p"/>
            </m:rPr>
            <w:rPr>
              <w:rFonts w:ascii="Cambria Math" w:hAnsi="Cambria Math"/>
              <w:lang w:val="fr-FR"/>
            </w:rPr>
            <m:t xml:space="preserve">+10 </m:t>
          </m:r>
          <m:func>
            <m:funcPr>
              <m:ctrlPr>
                <w:rPr>
                  <w:rFonts w:ascii="Cambria Math" w:hAnsi="Cambria Math"/>
                  <w:lang w:val="fr-FR"/>
                </w:rPr>
              </m:ctrlPr>
            </m:funcPr>
            <m:fName>
              <m:r>
                <m:rPr>
                  <m:sty m:val="p"/>
                </m:rPr>
                <w:rPr>
                  <w:rFonts w:ascii="Cambria Math" w:hAnsi="Cambria Math"/>
                  <w:lang w:val="fr-FR"/>
                </w:rPr>
                <m:t>log</m:t>
              </m:r>
            </m:fName>
            <m:e>
              <m:sSub>
                <m:sSubPr>
                  <m:ctrlPr>
                    <w:rPr>
                      <w:rFonts w:ascii="Cambria Math" w:hAnsi="Cambria Math"/>
                      <w:lang w:val="fr-FR"/>
                    </w:rPr>
                  </m:ctrlPr>
                </m:sSubPr>
                <m:e>
                  <m:r>
                    <w:rPr>
                      <w:rFonts w:ascii="Cambria Math" w:hAnsi="Cambria Math"/>
                      <w:lang w:val="fr-FR"/>
                    </w:rPr>
                    <m:t>B</m:t>
                  </m:r>
                </m:e>
                <m:sub>
                  <m:r>
                    <w:rPr>
                      <w:rFonts w:ascii="Cambria Math" w:hAnsi="Cambria Math"/>
                      <w:lang w:val="fr-FR"/>
                    </w:rPr>
                    <m:t>ref</m:t>
                  </m:r>
                </m:sub>
              </m:sSub>
            </m:e>
          </m:func>
        </m:oMath>
      </m:oMathPara>
    </w:p>
    <w:p w14:paraId="4FBFFF58" w14:textId="74FD6024" w:rsidR="0003335F" w:rsidRPr="00496612" w:rsidRDefault="007920E6" w:rsidP="007920E6">
      <w:pPr>
        <w:pStyle w:val="enumlev2"/>
        <w:spacing w:line="240" w:lineRule="auto"/>
        <w:rPr>
          <w:lang w:val="fr-FR"/>
        </w:rPr>
      </w:pPr>
      <w:r w:rsidRPr="00496612">
        <w:rPr>
          <w:lang w:val="fr-FR"/>
        </w:rPr>
        <w:tab/>
      </w:r>
      <w:r w:rsidR="0003335F" w:rsidRPr="00496612">
        <w:rPr>
          <w:lang w:val="fr-FR"/>
        </w:rPr>
        <w:t xml:space="preserve">Si </w:t>
      </w:r>
      <m:oMath>
        <m:r>
          <w:rPr>
            <w:rFonts w:ascii="Cambria Math" w:hAnsi="Cambria Math"/>
            <w:lang w:val="fr-FR"/>
          </w:rPr>
          <m:t>B</m:t>
        </m:r>
        <m:r>
          <m:rPr>
            <m:sty m:val="p"/>
          </m:rPr>
          <w:rPr>
            <w:rFonts w:ascii="Cambria Math" w:hAnsi="Cambria Math"/>
            <w:lang w:val="fr-FR"/>
          </w:rPr>
          <m:t xml:space="preserve">&lt; </m:t>
        </m:r>
        <m:sSub>
          <m:sSubPr>
            <m:ctrlPr>
              <w:rPr>
                <w:rFonts w:ascii="Cambria Math" w:hAnsi="Cambria Math"/>
                <w:lang w:val="fr-FR"/>
              </w:rPr>
            </m:ctrlPr>
          </m:sSubPr>
          <m:e>
            <m:r>
              <w:rPr>
                <w:rFonts w:ascii="Cambria Math" w:hAnsi="Cambria Math"/>
                <w:lang w:val="fr-FR"/>
              </w:rPr>
              <m:t>B</m:t>
            </m:r>
          </m:e>
          <m:sub>
            <m:r>
              <w:rPr>
                <w:rFonts w:ascii="Cambria Math" w:hAnsi="Cambria Math"/>
                <w:lang w:val="fr-FR"/>
              </w:rPr>
              <m:t>ref</m:t>
            </m:r>
          </m:sub>
        </m:sSub>
      </m:oMath>
    </w:p>
    <w:p w14:paraId="13B3A1A6" w14:textId="71290900" w:rsidR="0003335F" w:rsidRPr="00496612" w:rsidRDefault="00C37A4B" w:rsidP="007920E6">
      <w:pPr>
        <w:pStyle w:val="Equation"/>
        <w:spacing w:line="240" w:lineRule="auto"/>
        <w:rPr>
          <w:lang w:val="fr-FR"/>
        </w:rPr>
      </w:pPr>
      <m:oMathPara>
        <m:oMath>
          <m:sSub>
            <m:sSubPr>
              <m:ctrlPr>
                <w:rPr>
                  <w:rFonts w:ascii="Cambria Math" w:hAnsi="Cambria Math"/>
                  <w:lang w:val="fr-FR"/>
                </w:rPr>
              </m:ctrlPr>
            </m:sSubPr>
            <m:e>
              <m:r>
                <w:rPr>
                  <w:rFonts w:ascii="Cambria Math" w:hAnsi="Cambria Math"/>
                  <w:lang w:val="fr-FR"/>
                </w:rPr>
                <m:t>P</m:t>
              </m:r>
            </m:e>
            <m:sub>
              <m:r>
                <w:rPr>
                  <w:rFonts w:ascii="Cambria Math" w:hAnsi="Cambria Math"/>
                  <w:lang w:val="fr-FR"/>
                </w:rPr>
                <m:t>used</m:t>
              </m:r>
            </m:sub>
          </m:sSub>
          <m:r>
            <m:rPr>
              <m:sty m:val="p"/>
            </m:rPr>
            <w:rPr>
              <w:rFonts w:ascii="Cambria Math" w:hAnsi="Cambria Math"/>
              <w:lang w:val="fr-FR"/>
            </w:rPr>
            <m:t>=</m:t>
          </m:r>
          <m:sSub>
            <m:sSubPr>
              <m:ctrlPr>
                <w:rPr>
                  <w:rFonts w:ascii="Cambria Math" w:hAnsi="Cambria Math"/>
                  <w:lang w:val="fr-FR"/>
                </w:rPr>
              </m:ctrlPr>
            </m:sSubPr>
            <m:e>
              <m:r>
                <w:rPr>
                  <w:rFonts w:ascii="Cambria Math" w:hAnsi="Cambria Math"/>
                  <w:lang w:val="fr-FR"/>
                </w:rPr>
                <m:t>P</m:t>
              </m:r>
            </m:e>
            <m:sub>
              <m:r>
                <w:rPr>
                  <w:rFonts w:ascii="Cambria Math" w:hAnsi="Cambria Math"/>
                  <w:lang w:val="fr-FR"/>
                </w:rPr>
                <m:t>max</m:t>
              </m:r>
            </m:sub>
          </m:sSub>
        </m:oMath>
      </m:oMathPara>
    </w:p>
    <w:p w14:paraId="30787369" w14:textId="77777777" w:rsidR="007920E6" w:rsidRPr="00496612" w:rsidRDefault="007920E6">
      <w:pPr>
        <w:jc w:val="center"/>
        <w:rPr>
          <w:lang w:val="fr-FR"/>
        </w:rPr>
      </w:pPr>
      <w:r w:rsidRPr="00496612">
        <w:rPr>
          <w:lang w:val="fr-FR"/>
        </w:rPr>
        <w:t>______________</w:t>
      </w:r>
    </w:p>
    <w:sectPr w:rsidR="007920E6" w:rsidRPr="00496612" w:rsidSect="003F2F3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C769E" w14:textId="77777777" w:rsidR="006B6420" w:rsidRDefault="006B6420">
      <w:r>
        <w:separator/>
      </w:r>
    </w:p>
  </w:endnote>
  <w:endnote w:type="continuationSeparator" w:id="0">
    <w:p w14:paraId="338D87CB" w14:textId="77777777" w:rsidR="006B6420" w:rsidRDefault="006B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6018" w14:textId="2CC34C42" w:rsidR="00305156" w:rsidRPr="004C1B88" w:rsidRDefault="00305156" w:rsidP="00305156">
    <w:pPr>
      <w:pStyle w:val="FirstFooter"/>
      <w:spacing w:line="240" w:lineRule="auto"/>
      <w:ind w:left="-397" w:right="-397"/>
      <w:jc w:val="center"/>
      <w:rPr>
        <w:color w:val="4F81BD"/>
        <w:sz w:val="19"/>
        <w:szCs w:val="19"/>
        <w:lang w:val="fr-CH"/>
      </w:rPr>
    </w:pPr>
    <w:r w:rsidRPr="004C1B88">
      <w:rPr>
        <w:rFonts w:asciiTheme="minorHAnsi" w:hAnsiTheme="minorHAnsi"/>
        <w:color w:val="4F81BD"/>
        <w:sz w:val="19"/>
        <w:szCs w:val="19"/>
        <w:lang w:val="fr-CH"/>
      </w:rPr>
      <w:t>Union internationale des télécommunications • Place des Nations, CH</w:t>
    </w:r>
    <w:r w:rsidRPr="004C1B88">
      <w:rPr>
        <w:rFonts w:asciiTheme="minorHAnsi" w:hAnsiTheme="minorHAnsi"/>
        <w:color w:val="4F81BD"/>
        <w:sz w:val="19"/>
        <w:szCs w:val="19"/>
        <w:lang w:val="fr-CH"/>
      </w:rPr>
      <w:noBreakHyphen/>
      <w:t>1211 Genève 20, Suisse</w:t>
    </w:r>
    <w:r w:rsidRPr="004C1B88">
      <w:rPr>
        <w:rFonts w:asciiTheme="minorHAnsi" w:hAnsiTheme="minorHAnsi"/>
        <w:color w:val="4F81BD"/>
        <w:sz w:val="19"/>
        <w:szCs w:val="19"/>
        <w:lang w:val="fr-CH"/>
      </w:rPr>
      <w:br/>
    </w:r>
    <w:proofErr w:type="gramStart"/>
    <w:r w:rsidRPr="004C1B88">
      <w:rPr>
        <w:rFonts w:asciiTheme="minorHAnsi" w:hAnsiTheme="minorHAnsi"/>
        <w:color w:val="4F81BD"/>
        <w:sz w:val="19"/>
        <w:szCs w:val="19"/>
        <w:lang w:val="fr-CH"/>
      </w:rPr>
      <w:t>Tél.:</w:t>
    </w:r>
    <w:proofErr w:type="gramEnd"/>
    <w:r w:rsidRPr="004C1B88">
      <w:rPr>
        <w:rFonts w:asciiTheme="minorHAnsi" w:hAnsiTheme="minorHAnsi"/>
        <w:color w:val="4F81BD"/>
        <w:sz w:val="19"/>
        <w:szCs w:val="19"/>
        <w:lang w:val="fr-CH"/>
      </w:rPr>
      <w:t xml:space="preserve"> +41 22 730 5111 • Courriel: </w:t>
    </w:r>
    <w:r w:rsidR="00C37A4B">
      <w:fldChar w:fldCharType="begin"/>
    </w:r>
    <w:r w:rsidR="00C37A4B" w:rsidRPr="00C37A4B">
      <w:rPr>
        <w:lang w:val="fr-FR"/>
      </w:rPr>
      <w:instrText>HYPERLINK "mailto:itumail@itu.int"</w:instrText>
    </w:r>
    <w:r w:rsidR="00C37A4B">
      <w:fldChar w:fldCharType="separate"/>
    </w:r>
    <w:r w:rsidR="0003335F">
      <w:rPr>
        <w:rStyle w:val="Hyperlink"/>
        <w:rFonts w:asciiTheme="minorHAnsi" w:hAnsiTheme="minorHAnsi"/>
        <w:sz w:val="19"/>
        <w:szCs w:val="19"/>
        <w:lang w:val="fr-CH"/>
      </w:rPr>
      <w:t>itumail@itu.int</w:t>
    </w:r>
    <w:r w:rsidR="00C37A4B">
      <w:rPr>
        <w:rStyle w:val="Hyperlink"/>
        <w:rFonts w:asciiTheme="minorHAnsi" w:hAnsiTheme="minorHAnsi"/>
        <w:sz w:val="19"/>
        <w:szCs w:val="19"/>
        <w:lang w:val="fr-CH"/>
      </w:rPr>
      <w:fldChar w:fldCharType="end"/>
    </w:r>
    <w:r w:rsidRPr="004C1B88">
      <w:rPr>
        <w:rFonts w:asciiTheme="minorHAnsi" w:hAnsiTheme="minorHAnsi"/>
        <w:sz w:val="19"/>
        <w:szCs w:val="19"/>
        <w:lang w:val="fr-CH"/>
      </w:rPr>
      <w:t xml:space="preserve"> </w:t>
    </w:r>
    <w:r w:rsidRPr="004C1B88">
      <w:rPr>
        <w:rFonts w:asciiTheme="minorHAnsi" w:hAnsiTheme="minorHAnsi"/>
        <w:color w:val="4F81BD"/>
        <w:sz w:val="19"/>
        <w:szCs w:val="19"/>
        <w:lang w:val="fr-CH"/>
      </w:rPr>
      <w:t xml:space="preserve">• </w:t>
    </w:r>
    <w:r w:rsidR="0003335F">
      <w:rPr>
        <w:rFonts w:asciiTheme="minorHAnsi" w:hAnsiTheme="minorHAnsi"/>
        <w:color w:val="4F81BD"/>
        <w:sz w:val="19"/>
        <w:szCs w:val="19"/>
        <w:lang w:val="fr-CH"/>
      </w:rPr>
      <w:t>Télécopie</w:t>
    </w:r>
    <w:r w:rsidRPr="004C1B88">
      <w:rPr>
        <w:rFonts w:asciiTheme="minorHAnsi" w:hAnsiTheme="minorHAnsi"/>
        <w:color w:val="4F81BD"/>
        <w:sz w:val="19"/>
        <w:szCs w:val="19"/>
        <w:lang w:val="fr-CH"/>
      </w:rPr>
      <w:t xml:space="preserve">: +41 22 733 7256 • </w:t>
    </w:r>
    <w:hyperlink r:id="rId1" w:history="1">
      <w:r w:rsidRPr="004C1B88">
        <w:rPr>
          <w:rStyle w:val="Hyperlink"/>
          <w:sz w:val="19"/>
          <w:szCs w:val="19"/>
          <w:lang w:val="fr-CH"/>
        </w:rPr>
        <w:t>www.itu.int</w:t>
      </w:r>
    </w:hyperlink>
  </w:p>
  <w:p w14:paraId="6E0554B3" w14:textId="699DD0E9" w:rsidR="005E42F8" w:rsidRPr="00305156" w:rsidRDefault="005E42F8" w:rsidP="00305156">
    <w:pPr>
      <w:pStyle w:val="Foo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93FDF" w14:textId="77777777" w:rsidR="006B6420" w:rsidRDefault="006B6420">
      <w:r>
        <w:t>____________________</w:t>
      </w:r>
    </w:p>
  </w:footnote>
  <w:footnote w:type="continuationSeparator" w:id="0">
    <w:p w14:paraId="625FE83D" w14:textId="77777777" w:rsidR="006B6420" w:rsidRDefault="006B6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258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1931"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131"/>
    </w:tblGrid>
    <w:tr w:rsidR="004F47EA" w14:paraId="481783A9" w14:textId="77777777" w:rsidTr="00304636">
      <w:tc>
        <w:tcPr>
          <w:tcW w:w="10042" w:type="dxa"/>
          <w:tcMar>
            <w:left w:w="0" w:type="dxa"/>
          </w:tcMar>
        </w:tcPr>
        <w:p w14:paraId="2C832B73" w14:textId="77777777" w:rsidR="004F47EA" w:rsidRDefault="00304636"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3371477D" wp14:editId="1BD04A86">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3F26A1BC" w14:textId="77777777" w:rsidR="004F47EA" w:rsidRDefault="004F47EA" w:rsidP="00304636">
          <w:pPr>
            <w:pStyle w:val="Header"/>
            <w:spacing w:before="240" w:line="360" w:lineRule="auto"/>
            <w:ind w:left="4065" w:hanging="4065"/>
            <w:jc w:val="right"/>
          </w:pPr>
        </w:p>
      </w:tc>
    </w:tr>
  </w:tbl>
  <w:p w14:paraId="4922C67B"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86D9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9AB2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0C98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3A7A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661E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7841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BA41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8A4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6803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640E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6" w15:restartNumberingAfterBreak="0">
    <w:nsid w:val="4A252960"/>
    <w:multiLevelType w:val="hybridMultilevel"/>
    <w:tmpl w:val="F502EE0E"/>
    <w:lvl w:ilvl="0" w:tplc="9FCAACA6">
      <w:start w:val="1"/>
      <w:numFmt w:val="decimal"/>
      <w:lvlText w:val="%1"/>
      <w:lvlJc w:val="left"/>
      <w:pPr>
        <w:ind w:left="1150" w:hanging="7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423829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17"/>
  </w:num>
  <w:num w:numId="3" w16cid:durableId="2008245325">
    <w:abstractNumId w:val="14"/>
  </w:num>
  <w:num w:numId="4" w16cid:durableId="1869296167">
    <w:abstractNumId w:val="16"/>
  </w:num>
  <w:num w:numId="5" w16cid:durableId="1606645730">
    <w:abstractNumId w:val="9"/>
  </w:num>
  <w:num w:numId="6" w16cid:durableId="1019047109">
    <w:abstractNumId w:val="7"/>
  </w:num>
  <w:num w:numId="7" w16cid:durableId="1537228815">
    <w:abstractNumId w:val="6"/>
  </w:num>
  <w:num w:numId="8" w16cid:durableId="971977964">
    <w:abstractNumId w:val="5"/>
  </w:num>
  <w:num w:numId="9" w16cid:durableId="1154877343">
    <w:abstractNumId w:val="4"/>
  </w:num>
  <w:num w:numId="10" w16cid:durableId="322973892">
    <w:abstractNumId w:val="8"/>
  </w:num>
  <w:num w:numId="11" w16cid:durableId="1356231680">
    <w:abstractNumId w:val="3"/>
  </w:num>
  <w:num w:numId="12" w16cid:durableId="180702784">
    <w:abstractNumId w:val="2"/>
  </w:num>
  <w:num w:numId="13" w16cid:durableId="1035154408">
    <w:abstractNumId w:val="1"/>
  </w:num>
  <w:num w:numId="14" w16cid:durableId="237323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304636"/>
    <w:rsid w:val="00006A31"/>
    <w:rsid w:val="00006C82"/>
    <w:rsid w:val="00010E30"/>
    <w:rsid w:val="0001469A"/>
    <w:rsid w:val="00015C76"/>
    <w:rsid w:val="00026CF8"/>
    <w:rsid w:val="00030BD7"/>
    <w:rsid w:val="00031E64"/>
    <w:rsid w:val="0003335F"/>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0515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7ECB"/>
    <w:rsid w:val="004623F7"/>
    <w:rsid w:val="00480F51"/>
    <w:rsid w:val="00481124"/>
    <w:rsid w:val="004815EB"/>
    <w:rsid w:val="00487569"/>
    <w:rsid w:val="00496612"/>
    <w:rsid w:val="00496864"/>
    <w:rsid w:val="00496920"/>
    <w:rsid w:val="004A4496"/>
    <w:rsid w:val="004B11AB"/>
    <w:rsid w:val="004B7C9A"/>
    <w:rsid w:val="004C1B88"/>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5F7186"/>
    <w:rsid w:val="006007B0"/>
    <w:rsid w:val="00602D53"/>
    <w:rsid w:val="006047E5"/>
    <w:rsid w:val="00642050"/>
    <w:rsid w:val="0064371D"/>
    <w:rsid w:val="00650543"/>
    <w:rsid w:val="00650B2A"/>
    <w:rsid w:val="00651777"/>
    <w:rsid w:val="006550F8"/>
    <w:rsid w:val="006829F3"/>
    <w:rsid w:val="00686D59"/>
    <w:rsid w:val="006A518B"/>
    <w:rsid w:val="006B0590"/>
    <w:rsid w:val="006B49DA"/>
    <w:rsid w:val="006B6420"/>
    <w:rsid w:val="006C53F8"/>
    <w:rsid w:val="006C7CDE"/>
    <w:rsid w:val="007234B1"/>
    <w:rsid w:val="00723D08"/>
    <w:rsid w:val="00724368"/>
    <w:rsid w:val="00725FDA"/>
    <w:rsid w:val="00727816"/>
    <w:rsid w:val="00730B9A"/>
    <w:rsid w:val="00750CFA"/>
    <w:rsid w:val="007553DA"/>
    <w:rsid w:val="00773F7E"/>
    <w:rsid w:val="00775DB8"/>
    <w:rsid w:val="00782354"/>
    <w:rsid w:val="007920E6"/>
    <w:rsid w:val="007921A7"/>
    <w:rsid w:val="007B3DB1"/>
    <w:rsid w:val="007B7C5E"/>
    <w:rsid w:val="007C2E1E"/>
    <w:rsid w:val="007D183E"/>
    <w:rsid w:val="007D43D0"/>
    <w:rsid w:val="007E1833"/>
    <w:rsid w:val="007E3F13"/>
    <w:rsid w:val="007F751A"/>
    <w:rsid w:val="00800012"/>
    <w:rsid w:val="0080261F"/>
    <w:rsid w:val="00806160"/>
    <w:rsid w:val="008143A4"/>
    <w:rsid w:val="0081513E"/>
    <w:rsid w:val="0082455C"/>
    <w:rsid w:val="00854131"/>
    <w:rsid w:val="0085652D"/>
    <w:rsid w:val="00863141"/>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023A0"/>
    <w:rsid w:val="00A119E6"/>
    <w:rsid w:val="00A20FBC"/>
    <w:rsid w:val="00A231BC"/>
    <w:rsid w:val="00A31370"/>
    <w:rsid w:val="00A34D6F"/>
    <w:rsid w:val="00A41F91"/>
    <w:rsid w:val="00A63355"/>
    <w:rsid w:val="00A7596D"/>
    <w:rsid w:val="00A963DF"/>
    <w:rsid w:val="00AA211B"/>
    <w:rsid w:val="00AA781A"/>
    <w:rsid w:val="00AC0C22"/>
    <w:rsid w:val="00AC3896"/>
    <w:rsid w:val="00AC733C"/>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C1389"/>
    <w:rsid w:val="00BD6738"/>
    <w:rsid w:val="00BD7E5E"/>
    <w:rsid w:val="00BE63DB"/>
    <w:rsid w:val="00BE6574"/>
    <w:rsid w:val="00C07319"/>
    <w:rsid w:val="00C16FD2"/>
    <w:rsid w:val="00C236AF"/>
    <w:rsid w:val="00C3556B"/>
    <w:rsid w:val="00C37A4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1B40"/>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EE6F95"/>
    <w:rsid w:val="00F424BF"/>
    <w:rsid w:val="00F44FC3"/>
    <w:rsid w:val="00F46107"/>
    <w:rsid w:val="00F468C5"/>
    <w:rsid w:val="00F52F39"/>
    <w:rsid w:val="00F6184F"/>
    <w:rsid w:val="00F73DBD"/>
    <w:rsid w:val="00F8310E"/>
    <w:rsid w:val="00F914DD"/>
    <w:rsid w:val="00F9558F"/>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B6AD5"/>
  <w15:docId w15:val="{122B9ABA-FF8C-46BE-B84A-44E1722A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character" w:styleId="FollowedHyperlink">
    <w:name w:val="FollowedHyperlink"/>
    <w:basedOn w:val="DefaultParagraphFont"/>
    <w:semiHidden/>
    <w:unhideWhenUsed/>
    <w:rsid w:val="00686D59"/>
    <w:rPr>
      <w:color w:val="800080" w:themeColor="followedHyperlink"/>
      <w:u w:val="single"/>
    </w:rPr>
  </w:style>
  <w:style w:type="character" w:customStyle="1" w:styleId="CommentTextChar">
    <w:name w:val="Comment Text Char"/>
    <w:basedOn w:val="DefaultParagraphFont"/>
    <w:link w:val="CommentText"/>
    <w:semiHidden/>
    <w:rsid w:val="0003335F"/>
    <w:rPr>
      <w:szCs w:val="22"/>
      <w:lang w:val="en-US" w:eastAsia="en-US"/>
    </w:rPr>
  </w:style>
  <w:style w:type="paragraph" w:customStyle="1" w:styleId="Reasons">
    <w:name w:val="Reasons"/>
    <w:basedOn w:val="Normal"/>
    <w:qFormat/>
    <w:rsid w:val="007920E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RC15-C-0004/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sas@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s://www.itu.int/en/ITU-R/space/support/Pages/e-Examination-guide.aspx"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1532</Words>
  <Characters>8736</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10248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Panoussopoulos, Sonia</dc:creator>
  <cp:keywords/>
  <dc:description/>
  <cp:lastModifiedBy>Panoussopoulos, Sonia</cp:lastModifiedBy>
  <cp:revision>4</cp:revision>
  <cp:lastPrinted>2013-03-08T10:15:00Z</cp:lastPrinted>
  <dcterms:created xsi:type="dcterms:W3CDTF">2024-04-08T03:50:00Z</dcterms:created>
  <dcterms:modified xsi:type="dcterms:W3CDTF">2024-04-08T07:18:00Z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MTWinEqns">
    <vt:bool>true</vt:bool>
  </property>
</Properties>
</file>