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tblInd w:w="-142" w:type="dxa"/>
        <w:tblLayout w:type="fixed"/>
        <w:tblLook w:val="04A0" w:firstRow="1" w:lastRow="0" w:firstColumn="1" w:lastColumn="0" w:noHBand="0" w:noVBand="1"/>
      </w:tblPr>
      <w:tblGrid>
        <w:gridCol w:w="1526"/>
        <w:gridCol w:w="5528"/>
        <w:gridCol w:w="2835"/>
      </w:tblGrid>
      <w:tr w:rsidR="00E53DCE" w:rsidRPr="001D70D9" w14:paraId="2B5A43D7" w14:textId="77777777" w:rsidTr="003E62D5">
        <w:tc>
          <w:tcPr>
            <w:tcW w:w="9889" w:type="dxa"/>
            <w:gridSpan w:val="3"/>
            <w:shd w:val="clear" w:color="auto" w:fill="auto"/>
          </w:tcPr>
          <w:p w14:paraId="50E99086" w14:textId="4491F15E" w:rsidR="00E53DCE" w:rsidRPr="001D70D9" w:rsidRDefault="00BD1315" w:rsidP="00C023A0">
            <w:pPr>
              <w:spacing w:before="0" w:after="480"/>
              <w:rPr>
                <w:rFonts w:cstheme="minorHAnsi"/>
                <w:b/>
                <w:bCs/>
                <w:color w:val="808080"/>
                <w:sz w:val="28"/>
                <w:szCs w:val="28"/>
                <w:lang w:val="ru-RU"/>
              </w:rPr>
            </w:pPr>
            <w:r w:rsidRPr="001D70D9">
              <w:rPr>
                <w:rFonts w:cstheme="minorHAnsi"/>
                <w:b/>
                <w:bCs/>
                <w:color w:val="808080"/>
                <w:sz w:val="28"/>
                <w:szCs w:val="28"/>
                <w:lang w:val="ru-RU" w:eastAsia="fr-CH"/>
              </w:rPr>
              <w:t>Бюро радиосвязи (БР)</w:t>
            </w:r>
          </w:p>
        </w:tc>
      </w:tr>
      <w:tr w:rsidR="00E53DCE" w:rsidRPr="00BA38CD" w14:paraId="5D919A98" w14:textId="77777777" w:rsidTr="003E62D5">
        <w:tc>
          <w:tcPr>
            <w:tcW w:w="7054" w:type="dxa"/>
            <w:gridSpan w:val="2"/>
            <w:shd w:val="clear" w:color="auto" w:fill="auto"/>
          </w:tcPr>
          <w:p w14:paraId="40E95CCE" w14:textId="4177B1BF" w:rsidR="00E53DCE" w:rsidRPr="00BA38CD" w:rsidRDefault="00B65478" w:rsidP="00124EDF">
            <w:pPr>
              <w:tabs>
                <w:tab w:val="left" w:pos="7513"/>
              </w:tabs>
              <w:spacing w:before="0"/>
              <w:rPr>
                <w:b/>
                <w:bCs/>
                <w:sz w:val="24"/>
                <w:szCs w:val="24"/>
                <w:lang w:val="ru-RU"/>
              </w:rPr>
            </w:pPr>
            <w:r w:rsidRPr="00BA38CD">
              <w:rPr>
                <w:sz w:val="24"/>
                <w:szCs w:val="24"/>
                <w:lang w:val="ru-RU"/>
              </w:rPr>
              <w:t>Циркулярное письмо</w:t>
            </w:r>
            <w:r w:rsidR="00D92B90" w:rsidRPr="00BA38CD">
              <w:rPr>
                <w:sz w:val="24"/>
                <w:szCs w:val="24"/>
                <w:lang w:val="ru-RU"/>
              </w:rPr>
              <w:br/>
            </w:r>
            <w:r w:rsidR="00E9175C" w:rsidRPr="00BA38CD">
              <w:rPr>
                <w:b/>
                <w:bCs/>
                <w:sz w:val="24"/>
                <w:szCs w:val="24"/>
                <w:lang w:val="ru-RU"/>
              </w:rPr>
              <w:t>C</w:t>
            </w:r>
            <w:r w:rsidRPr="00BA38CD">
              <w:rPr>
                <w:b/>
                <w:bCs/>
                <w:sz w:val="24"/>
                <w:szCs w:val="24"/>
                <w:lang w:val="ru-RU"/>
              </w:rPr>
              <w:t>R</w:t>
            </w:r>
            <w:r w:rsidR="00E53DCE" w:rsidRPr="00BA38CD">
              <w:rPr>
                <w:b/>
                <w:bCs/>
                <w:sz w:val="24"/>
                <w:szCs w:val="24"/>
                <w:lang w:val="ru-RU"/>
              </w:rPr>
              <w:t>/</w:t>
            </w:r>
            <w:r w:rsidR="00C54420" w:rsidRPr="00BA38CD">
              <w:rPr>
                <w:b/>
                <w:bCs/>
                <w:sz w:val="24"/>
                <w:szCs w:val="24"/>
                <w:lang w:val="ru-RU"/>
              </w:rPr>
              <w:t>50</w:t>
            </w:r>
            <w:r w:rsidR="0082678D" w:rsidRPr="00BA38CD">
              <w:rPr>
                <w:b/>
                <w:bCs/>
                <w:sz w:val="24"/>
                <w:szCs w:val="24"/>
                <w:lang w:val="ru-RU"/>
              </w:rPr>
              <w:t>3</w:t>
            </w:r>
          </w:p>
        </w:tc>
        <w:tc>
          <w:tcPr>
            <w:tcW w:w="2835" w:type="dxa"/>
            <w:shd w:val="clear" w:color="auto" w:fill="auto"/>
          </w:tcPr>
          <w:p w14:paraId="539A3289" w14:textId="0769549C" w:rsidR="00E53DCE" w:rsidRPr="00BA38CD" w:rsidRDefault="00353DE6" w:rsidP="00124EDF">
            <w:pPr>
              <w:spacing w:before="0"/>
              <w:jc w:val="right"/>
              <w:rPr>
                <w:sz w:val="24"/>
                <w:szCs w:val="24"/>
                <w:lang w:val="ru-RU"/>
              </w:rPr>
            </w:pPr>
            <w:sdt>
              <w:sdtPr>
                <w:rPr>
                  <w:rFonts w:cs="Arial"/>
                  <w:sz w:val="24"/>
                  <w:szCs w:val="24"/>
                  <w:lang w:val="ru-RU"/>
                </w:rPr>
                <w:alias w:val="Date"/>
                <w:tag w:val="Date"/>
                <w:id w:val="20922293"/>
                <w:placeholder>
                  <w:docPart w:val="2C95E7C05A6D4489B041EF3356A73BBF"/>
                </w:placeholder>
                <w:date>
                  <w:dateFormat w:val="d MMMM yyyy 'г.'"/>
                  <w:lid w:val="ru-RU"/>
                  <w:storeMappedDataAs w:val="date"/>
                  <w:calendar w:val="gregorian"/>
                </w:date>
              </w:sdtPr>
              <w:sdtEndPr/>
              <w:sdtContent>
                <w:r w:rsidR="0082678D" w:rsidRPr="00BA38CD">
                  <w:rPr>
                    <w:rFonts w:cs="Arial"/>
                    <w:sz w:val="24"/>
                    <w:szCs w:val="24"/>
                    <w:lang w:val="ru-RU"/>
                  </w:rPr>
                  <w:t>8 апреля</w:t>
                </w:r>
                <w:r w:rsidR="00587AA9" w:rsidRPr="00BA38CD">
                  <w:rPr>
                    <w:rFonts w:cs="Arial"/>
                    <w:sz w:val="24"/>
                    <w:szCs w:val="24"/>
                    <w:lang w:val="ru-RU"/>
                  </w:rPr>
                  <w:t xml:space="preserve"> 20</w:t>
                </w:r>
                <w:r w:rsidR="00A935EB" w:rsidRPr="00BA38CD">
                  <w:rPr>
                    <w:rFonts w:cs="Arial"/>
                    <w:sz w:val="24"/>
                    <w:szCs w:val="24"/>
                    <w:lang w:val="ru-RU"/>
                  </w:rPr>
                  <w:t>2</w:t>
                </w:r>
                <w:r w:rsidR="00C54420" w:rsidRPr="00BA38CD">
                  <w:rPr>
                    <w:rFonts w:cs="Arial"/>
                    <w:sz w:val="24"/>
                    <w:szCs w:val="24"/>
                    <w:lang w:val="ru-RU"/>
                  </w:rPr>
                  <w:t>4</w:t>
                </w:r>
                <w:r w:rsidR="00587AA9" w:rsidRPr="00BA38CD">
                  <w:rPr>
                    <w:rFonts w:cs="Arial"/>
                    <w:sz w:val="24"/>
                    <w:szCs w:val="24"/>
                    <w:lang w:val="ru-RU"/>
                  </w:rPr>
                  <w:t xml:space="preserve"> г</w:t>
                </w:r>
                <w:r w:rsidR="007F72ED" w:rsidRPr="00BA38CD">
                  <w:rPr>
                    <w:rFonts w:cs="Arial"/>
                    <w:sz w:val="24"/>
                    <w:szCs w:val="24"/>
                    <w:lang w:val="ru-RU"/>
                  </w:rPr>
                  <w:t>ода</w:t>
                </w:r>
              </w:sdtContent>
            </w:sdt>
          </w:p>
        </w:tc>
      </w:tr>
      <w:tr w:rsidR="00E53DCE" w:rsidRPr="00BA38CD" w14:paraId="1D94107E" w14:textId="77777777" w:rsidTr="003E62D5">
        <w:tc>
          <w:tcPr>
            <w:tcW w:w="9889" w:type="dxa"/>
            <w:gridSpan w:val="3"/>
            <w:shd w:val="clear" w:color="auto" w:fill="auto"/>
          </w:tcPr>
          <w:p w14:paraId="35E4977B" w14:textId="77777777" w:rsidR="00E53DCE" w:rsidRPr="00BA38CD" w:rsidRDefault="00E53DCE" w:rsidP="00124EDF">
            <w:pPr>
              <w:spacing w:before="0"/>
              <w:rPr>
                <w:rFonts w:cs="Arial"/>
                <w:sz w:val="24"/>
                <w:szCs w:val="24"/>
                <w:lang w:val="ru-RU"/>
              </w:rPr>
            </w:pPr>
          </w:p>
        </w:tc>
      </w:tr>
      <w:tr w:rsidR="00E53DCE" w:rsidRPr="00BA38CD" w14:paraId="227B4EDC" w14:textId="77777777" w:rsidTr="003E62D5">
        <w:tc>
          <w:tcPr>
            <w:tcW w:w="9889" w:type="dxa"/>
            <w:gridSpan w:val="3"/>
            <w:shd w:val="clear" w:color="auto" w:fill="auto"/>
          </w:tcPr>
          <w:p w14:paraId="54497E33" w14:textId="77777777" w:rsidR="00E53DCE" w:rsidRPr="00BA38CD" w:rsidRDefault="00E53DCE" w:rsidP="00124EDF">
            <w:pPr>
              <w:spacing w:before="0"/>
              <w:rPr>
                <w:sz w:val="24"/>
                <w:szCs w:val="24"/>
                <w:lang w:val="ru-RU"/>
              </w:rPr>
            </w:pPr>
          </w:p>
        </w:tc>
      </w:tr>
      <w:tr w:rsidR="00E53DCE" w:rsidRPr="00BA38CD" w14:paraId="5F34DDE6" w14:textId="77777777" w:rsidTr="003E62D5">
        <w:tc>
          <w:tcPr>
            <w:tcW w:w="9889" w:type="dxa"/>
            <w:gridSpan w:val="3"/>
            <w:shd w:val="clear" w:color="auto" w:fill="auto"/>
          </w:tcPr>
          <w:p w14:paraId="10BA8960" w14:textId="06102087" w:rsidR="00E53DCE" w:rsidRPr="00BA38CD" w:rsidRDefault="00F26672" w:rsidP="00124EDF">
            <w:pPr>
              <w:spacing w:before="0"/>
              <w:rPr>
                <w:b/>
                <w:bCs/>
                <w:sz w:val="24"/>
                <w:szCs w:val="24"/>
                <w:lang w:val="ru-RU"/>
              </w:rPr>
            </w:pPr>
            <w:r w:rsidRPr="00BA38CD">
              <w:rPr>
                <w:b/>
                <w:bCs/>
                <w:sz w:val="24"/>
                <w:szCs w:val="24"/>
                <w:lang w:val="ru-RU"/>
              </w:rPr>
              <w:t>Администрациям Государств – Членов МСЭ</w:t>
            </w:r>
          </w:p>
        </w:tc>
      </w:tr>
      <w:tr w:rsidR="00CC2E09" w:rsidRPr="00BA38CD" w14:paraId="47A6CB54" w14:textId="77777777" w:rsidTr="003E62D5">
        <w:tc>
          <w:tcPr>
            <w:tcW w:w="9889" w:type="dxa"/>
            <w:gridSpan w:val="3"/>
            <w:shd w:val="clear" w:color="auto" w:fill="auto"/>
          </w:tcPr>
          <w:p w14:paraId="2C049A78" w14:textId="77777777" w:rsidR="00CC2E09" w:rsidRPr="00BA38CD" w:rsidRDefault="00CC2E09" w:rsidP="00124EDF">
            <w:pPr>
              <w:spacing w:before="0"/>
              <w:rPr>
                <w:sz w:val="24"/>
                <w:szCs w:val="24"/>
                <w:lang w:val="ru-RU"/>
              </w:rPr>
            </w:pPr>
          </w:p>
        </w:tc>
      </w:tr>
      <w:tr w:rsidR="00E53DCE" w:rsidRPr="00BA38CD" w14:paraId="2BC648D2" w14:textId="77777777" w:rsidTr="003E62D5">
        <w:tc>
          <w:tcPr>
            <w:tcW w:w="9889" w:type="dxa"/>
            <w:gridSpan w:val="3"/>
            <w:shd w:val="clear" w:color="auto" w:fill="auto"/>
          </w:tcPr>
          <w:p w14:paraId="0A3198F9" w14:textId="77777777" w:rsidR="00E53DCE" w:rsidRPr="00BA38CD" w:rsidRDefault="00E53DCE" w:rsidP="00124EDF">
            <w:pPr>
              <w:spacing w:before="0"/>
              <w:rPr>
                <w:sz w:val="24"/>
                <w:szCs w:val="24"/>
                <w:lang w:val="ru-RU"/>
              </w:rPr>
            </w:pPr>
          </w:p>
        </w:tc>
      </w:tr>
      <w:tr w:rsidR="00E53DCE" w:rsidRPr="00BA38CD" w14:paraId="085933B9" w14:textId="77777777" w:rsidTr="003E62D5">
        <w:tc>
          <w:tcPr>
            <w:tcW w:w="9889" w:type="dxa"/>
            <w:gridSpan w:val="3"/>
            <w:shd w:val="clear" w:color="auto" w:fill="auto"/>
          </w:tcPr>
          <w:p w14:paraId="70E47B40" w14:textId="77777777" w:rsidR="00E53DCE" w:rsidRPr="00BA38CD" w:rsidRDefault="00E53DCE" w:rsidP="00124EDF">
            <w:pPr>
              <w:spacing w:before="0"/>
              <w:rPr>
                <w:sz w:val="24"/>
                <w:szCs w:val="24"/>
                <w:lang w:val="ru-RU"/>
              </w:rPr>
            </w:pPr>
          </w:p>
        </w:tc>
      </w:tr>
      <w:tr w:rsidR="007D7012" w:rsidRPr="00353DE6" w14:paraId="76525310" w14:textId="77777777" w:rsidTr="003E62D5">
        <w:tc>
          <w:tcPr>
            <w:tcW w:w="1526" w:type="dxa"/>
            <w:shd w:val="clear" w:color="auto" w:fill="auto"/>
          </w:tcPr>
          <w:p w14:paraId="61220238" w14:textId="77777777" w:rsidR="007D7012" w:rsidRPr="00BA38CD" w:rsidRDefault="007D7012" w:rsidP="00124EDF">
            <w:pPr>
              <w:tabs>
                <w:tab w:val="clear" w:pos="1588"/>
                <w:tab w:val="left" w:pos="1560"/>
              </w:tabs>
              <w:spacing w:before="0"/>
              <w:rPr>
                <w:sz w:val="24"/>
                <w:szCs w:val="24"/>
                <w:lang w:val="ru-RU"/>
              </w:rPr>
            </w:pPr>
            <w:r w:rsidRPr="00BA38CD">
              <w:rPr>
                <w:sz w:val="24"/>
                <w:szCs w:val="24"/>
                <w:lang w:val="ru-RU"/>
              </w:rPr>
              <w:t>Предмет:</w:t>
            </w:r>
          </w:p>
        </w:tc>
        <w:tc>
          <w:tcPr>
            <w:tcW w:w="8363" w:type="dxa"/>
            <w:gridSpan w:val="2"/>
            <w:shd w:val="clear" w:color="auto" w:fill="auto"/>
          </w:tcPr>
          <w:p w14:paraId="70BBF927" w14:textId="3A3FA0C6" w:rsidR="007D7012" w:rsidRPr="00BA38CD" w:rsidRDefault="0082678D" w:rsidP="001D70D9">
            <w:pPr>
              <w:tabs>
                <w:tab w:val="clear" w:pos="1588"/>
                <w:tab w:val="left" w:pos="1560"/>
              </w:tabs>
              <w:spacing w:before="0"/>
              <w:jc w:val="both"/>
              <w:rPr>
                <w:rFonts w:asciiTheme="minorHAnsi" w:hAnsiTheme="minorHAnsi"/>
                <w:b/>
                <w:bCs/>
                <w:sz w:val="24"/>
                <w:szCs w:val="24"/>
                <w:lang w:val="ru-RU"/>
              </w:rPr>
            </w:pPr>
            <w:r w:rsidRPr="00BA38CD">
              <w:rPr>
                <w:rFonts w:asciiTheme="minorHAnsi" w:eastAsiaTheme="minorEastAsia" w:hAnsiTheme="minorHAnsi" w:cstheme="minorHAnsi"/>
                <w:b/>
                <w:bCs/>
                <w:sz w:val="24"/>
                <w:szCs w:val="24"/>
                <w:lang w:val="ru-RU"/>
              </w:rPr>
              <w:t>Использование передаваемой мощности, определенной с использованием ширины полосы усреднения в соответствии с Рекомендацией МСЭ-R SF.675, для расчетов пределов плотности потока мощности и эквивалентной изотропно излучаемой мощности, указанных в Статьях 5, 21 и 22 Регламента радиосвязи</w:t>
            </w:r>
          </w:p>
        </w:tc>
      </w:tr>
    </w:tbl>
    <w:p w14:paraId="3FBA3E1C" w14:textId="17758373" w:rsidR="0082678D" w:rsidRPr="00BA38CD" w:rsidRDefault="0082678D" w:rsidP="001D70D9">
      <w:pPr>
        <w:pStyle w:val="Normalaftertitle0"/>
        <w:spacing w:before="720"/>
        <w:jc w:val="both"/>
        <w:rPr>
          <w:rFonts w:eastAsia="SimSun"/>
          <w:sz w:val="24"/>
          <w:szCs w:val="24"/>
          <w:lang w:val="ru-RU"/>
        </w:rPr>
      </w:pPr>
      <w:r w:rsidRPr="00BA38CD">
        <w:rPr>
          <w:sz w:val="24"/>
          <w:szCs w:val="24"/>
          <w:lang w:val="ru-RU"/>
        </w:rPr>
        <w:t xml:space="preserve">В сноске 2 к Таблицам A, B, C и D Дополнения 2 к Приложению </w:t>
      </w:r>
      <w:r w:rsidRPr="00BA38CD">
        <w:rPr>
          <w:b/>
          <w:bCs/>
          <w:sz w:val="24"/>
          <w:szCs w:val="24"/>
          <w:lang w:val="ru-RU"/>
        </w:rPr>
        <w:t>4</w:t>
      </w:r>
      <w:r w:rsidRPr="00BA38CD">
        <w:rPr>
          <w:sz w:val="24"/>
          <w:szCs w:val="24"/>
          <w:lang w:val="ru-RU"/>
        </w:rPr>
        <w:t xml:space="preserve"> к Регламенту радиосвязи (РР) с</w:t>
      </w:r>
      <w:r w:rsidR="00CC2E09" w:rsidRPr="00BA38CD">
        <w:rPr>
          <w:sz w:val="24"/>
          <w:szCs w:val="24"/>
          <w:lang w:val="ru-RU"/>
        </w:rPr>
        <w:t> </w:t>
      </w:r>
      <w:r w:rsidRPr="00BA38CD">
        <w:rPr>
          <w:sz w:val="24"/>
          <w:szCs w:val="24"/>
          <w:lang w:val="ru-RU"/>
        </w:rPr>
        <w:t>изменениями, внесенными на ВКР-12, указывается на необходимость использования последней версии Рекомендации МСЭ-R SF.675 для расчета максимальной спектральной плотности мощности несущих. Для определения максимальной спектральной плотности мощности несущих различных типов рекомендуется рассмотреть как можно больше несущих, занимающих заданную ширину полосы усреднения. Для несущих на частотах ниже 15 ГГц максимальная плотность мощности усредняется по наихудшей полосе шириной 4 кГц, а для несущих на частоте 15 ГГц или выше – по</w:t>
      </w:r>
      <w:r w:rsidR="00CC2E09" w:rsidRPr="00BA38CD">
        <w:rPr>
          <w:sz w:val="24"/>
          <w:szCs w:val="24"/>
          <w:lang w:val="ru-RU"/>
        </w:rPr>
        <w:t> </w:t>
      </w:r>
      <w:r w:rsidRPr="00BA38CD">
        <w:rPr>
          <w:sz w:val="24"/>
          <w:szCs w:val="24"/>
          <w:lang w:val="ru-RU"/>
        </w:rPr>
        <w:t>наихудшей полосе шириной 1 МГц.</w:t>
      </w:r>
    </w:p>
    <w:p w14:paraId="66ED9B73" w14:textId="77777777" w:rsidR="0082678D" w:rsidRPr="00BA38CD" w:rsidRDefault="0082678D" w:rsidP="001D70D9">
      <w:pPr>
        <w:jc w:val="both"/>
        <w:rPr>
          <w:rFonts w:eastAsia="SimSun"/>
          <w:sz w:val="24"/>
          <w:szCs w:val="24"/>
          <w:lang w:val="ru-RU"/>
        </w:rPr>
      </w:pPr>
      <w:r w:rsidRPr="00BA38CD">
        <w:rPr>
          <w:sz w:val="24"/>
          <w:szCs w:val="24"/>
          <w:lang w:val="ru-RU"/>
        </w:rPr>
        <w:t xml:space="preserve">Важно, чтобы администрации следовали этой сноске при представлении элементов данных Приложения </w:t>
      </w:r>
      <w:r w:rsidRPr="00BA38CD">
        <w:rPr>
          <w:b/>
          <w:bCs/>
          <w:sz w:val="24"/>
          <w:szCs w:val="24"/>
          <w:lang w:val="ru-RU"/>
        </w:rPr>
        <w:t>4</w:t>
      </w:r>
      <w:r w:rsidRPr="00BA38CD">
        <w:rPr>
          <w:sz w:val="24"/>
          <w:szCs w:val="24"/>
          <w:lang w:val="ru-RU"/>
        </w:rPr>
        <w:t xml:space="preserve"> к РР для рассмотрения пределов мощности, с тем чтобы получить заключения в соответствии с положениями Регламента радиосвязи.</w:t>
      </w:r>
    </w:p>
    <w:p w14:paraId="44717E77" w14:textId="77777777" w:rsidR="0082678D" w:rsidRPr="00BA38CD" w:rsidRDefault="0082678D" w:rsidP="001D70D9">
      <w:pPr>
        <w:jc w:val="both"/>
        <w:rPr>
          <w:rFonts w:eastAsia="SimSun"/>
          <w:sz w:val="24"/>
          <w:szCs w:val="24"/>
          <w:lang w:val="ru-RU"/>
        </w:rPr>
      </w:pPr>
      <w:r w:rsidRPr="00BA38CD">
        <w:rPr>
          <w:sz w:val="24"/>
          <w:szCs w:val="24"/>
          <w:lang w:val="ru-RU"/>
        </w:rPr>
        <w:t xml:space="preserve">В отношении этого требования Бюро отметило, что для большого количества содержащихся в представлениях излучений, необходимая ширина полосы которых меньше, чем ширина полосы усреднения, максимальная плотность мощности основана на одной несущей, занимающей ширину полосы усреднения. Это не соответствует реальным системам, в которых возможно наличие несколько несущих, в особенности учитывая, что ширина полосы группы частотных присвоений намного превышает необходимую ширину полосы излучения для вышеупомянутых случаев. </w:t>
      </w:r>
    </w:p>
    <w:p w14:paraId="510D8674" w14:textId="77777777" w:rsidR="0082678D" w:rsidRPr="00BA38CD" w:rsidRDefault="0082678D" w:rsidP="001D70D9">
      <w:pPr>
        <w:jc w:val="both"/>
        <w:rPr>
          <w:sz w:val="24"/>
          <w:szCs w:val="24"/>
          <w:lang w:val="ru-RU"/>
        </w:rPr>
      </w:pPr>
      <w:r w:rsidRPr="00BA38CD">
        <w:rPr>
          <w:sz w:val="24"/>
          <w:szCs w:val="24"/>
          <w:lang w:val="ru-RU"/>
        </w:rPr>
        <w:t xml:space="preserve">Бюро сообщило ВКР-15 в Отчете Директора (см. раздел 3.2.5.2.2 Пересмотра 1 Дополнительного документа 2 к Документу </w:t>
      </w:r>
      <w:hyperlink r:id="rId8" w:history="1">
        <w:r w:rsidRPr="00BA38CD">
          <w:rPr>
            <w:rStyle w:val="Hyperlink"/>
            <w:sz w:val="24"/>
            <w:szCs w:val="24"/>
            <w:lang w:val="ru-RU"/>
          </w:rPr>
          <w:t>WRC-15/4</w:t>
        </w:r>
      </w:hyperlink>
      <w:r w:rsidRPr="00BA38CD">
        <w:rPr>
          <w:sz w:val="24"/>
          <w:szCs w:val="24"/>
          <w:lang w:val="ru-RU"/>
        </w:rPr>
        <w:t xml:space="preserve">) о требовании к администрациям использовать Рекомендацию МСЭ-R SF.675 для расчета максимальной спектральной плотности мощности и представления данных в соответствии с Приложением </w:t>
      </w:r>
      <w:r w:rsidRPr="00BA38CD">
        <w:rPr>
          <w:b/>
          <w:bCs/>
          <w:sz w:val="24"/>
          <w:szCs w:val="24"/>
          <w:lang w:val="ru-RU"/>
        </w:rPr>
        <w:t>4</w:t>
      </w:r>
      <w:r w:rsidRPr="00BA38CD">
        <w:rPr>
          <w:sz w:val="24"/>
          <w:szCs w:val="24"/>
          <w:lang w:val="ru-RU"/>
        </w:rPr>
        <w:t xml:space="preserve"> к РР.</w:t>
      </w:r>
    </w:p>
    <w:p w14:paraId="0EEBE736" w14:textId="77777777" w:rsidR="0082678D" w:rsidRPr="00BA38CD" w:rsidRDefault="0082678D" w:rsidP="001D70D9">
      <w:pPr>
        <w:jc w:val="both"/>
        <w:rPr>
          <w:sz w:val="24"/>
          <w:szCs w:val="24"/>
          <w:lang w:val="ru-RU"/>
        </w:rPr>
      </w:pPr>
      <w:r w:rsidRPr="00BA38CD">
        <w:rPr>
          <w:sz w:val="24"/>
          <w:szCs w:val="24"/>
          <w:lang w:val="ru-RU"/>
        </w:rPr>
        <w:t>ВКР-15 предложила передать этот конкретный вопрос соответствующей исследовательской комиссии МСЭ-R для дальнейшего рассмотрения.</w:t>
      </w:r>
    </w:p>
    <w:p w14:paraId="0B11B8A5" w14:textId="77777777" w:rsidR="0082678D" w:rsidRPr="00BA38CD" w:rsidRDefault="0082678D" w:rsidP="001D70D9">
      <w:pPr>
        <w:jc w:val="both"/>
        <w:rPr>
          <w:rFonts w:eastAsia="SimSun"/>
          <w:sz w:val="24"/>
          <w:szCs w:val="24"/>
          <w:lang w:val="ru-RU"/>
        </w:rPr>
      </w:pPr>
      <w:r w:rsidRPr="00BA38CD">
        <w:rPr>
          <w:sz w:val="24"/>
          <w:szCs w:val="24"/>
          <w:lang w:val="ru-RU"/>
        </w:rPr>
        <w:lastRenderedPageBreak/>
        <w:t xml:space="preserve">В ходе исследовательских циклов МСЭ-R </w:t>
      </w:r>
      <w:proofErr w:type="gramStart"/>
      <w:r w:rsidRPr="00BA38CD">
        <w:rPr>
          <w:sz w:val="24"/>
          <w:szCs w:val="24"/>
          <w:lang w:val="ru-RU"/>
        </w:rPr>
        <w:t>2015−2023</w:t>
      </w:r>
      <w:proofErr w:type="gramEnd"/>
      <w:r w:rsidRPr="00BA38CD">
        <w:rPr>
          <w:sz w:val="24"/>
          <w:szCs w:val="24"/>
          <w:lang w:val="ru-RU"/>
        </w:rPr>
        <w:t xml:space="preserve"> годов Бюро представило вклады по этому вопросу, в которых объяснялась проблема и предоставлялись отчеты о ходе работы рабочим группам 4-й и 7-й Исследовательских комиссий МСЭ-R.</w:t>
      </w:r>
    </w:p>
    <w:p w14:paraId="136E4E01" w14:textId="6C8BD316" w:rsidR="0082678D" w:rsidRPr="00BA38CD" w:rsidRDefault="0082678D" w:rsidP="001D70D9">
      <w:pPr>
        <w:jc w:val="both"/>
        <w:rPr>
          <w:sz w:val="24"/>
          <w:szCs w:val="24"/>
          <w:lang w:val="ru-RU"/>
        </w:rPr>
      </w:pPr>
      <w:r w:rsidRPr="00BA38CD">
        <w:rPr>
          <w:sz w:val="24"/>
          <w:szCs w:val="24"/>
          <w:lang w:val="ru-RU"/>
        </w:rPr>
        <w:t>В то же время Бюро предприняло дополнительные шаги, с тем чтобы постепенно согласовать метод расчета плотности потока мощности (п.п.м.), в котором используется определение максимальной мощности, с Рекомендацией МСЭ-R SF.675. Эти шаги подробно описаны ниже.</w:t>
      </w:r>
    </w:p>
    <w:p w14:paraId="09B330F7" w14:textId="77777777" w:rsidR="0082678D" w:rsidRPr="00BA38CD" w:rsidRDefault="0082678D" w:rsidP="001D70D9">
      <w:pPr>
        <w:pStyle w:val="Headingb"/>
        <w:jc w:val="both"/>
        <w:rPr>
          <w:sz w:val="24"/>
          <w:szCs w:val="24"/>
          <w:lang w:val="ru-RU"/>
        </w:rPr>
      </w:pPr>
      <w:bookmarkStart w:id="0" w:name="_Toc143072406"/>
      <w:r w:rsidRPr="00BA38CD">
        <w:rPr>
          <w:sz w:val="24"/>
          <w:szCs w:val="24"/>
          <w:lang w:val="ru-RU"/>
        </w:rPr>
        <w:t>Реализация правил проверки заявок на космические службы</w:t>
      </w:r>
      <w:bookmarkEnd w:id="0"/>
    </w:p>
    <w:p w14:paraId="3A6A3AD7" w14:textId="2419121B" w:rsidR="0082678D" w:rsidRPr="00BA38CD" w:rsidRDefault="0082678D" w:rsidP="001D70D9">
      <w:pPr>
        <w:jc w:val="both"/>
        <w:rPr>
          <w:sz w:val="24"/>
          <w:szCs w:val="24"/>
          <w:lang w:val="ru-RU"/>
        </w:rPr>
      </w:pPr>
      <w:r w:rsidRPr="00BA38CD">
        <w:rPr>
          <w:sz w:val="24"/>
          <w:szCs w:val="24"/>
          <w:lang w:val="ru-RU"/>
        </w:rPr>
        <w:t>В программном обеспечении для проверки заявок на космические службы (версия 8.0.5) были реализованы новые правила, которые затем были перенесены в программное обеспечение BRSIS</w:t>
      </w:r>
      <w:r w:rsidR="00CC2E09" w:rsidRPr="00BA38CD">
        <w:rPr>
          <w:sz w:val="24"/>
          <w:szCs w:val="24"/>
          <w:lang w:val="ru-RU"/>
        </w:rPr>
        <w:noBreakHyphen/>
      </w:r>
      <w:r w:rsidRPr="00BA38CD">
        <w:rPr>
          <w:sz w:val="24"/>
          <w:szCs w:val="24"/>
          <w:lang w:val="ru-RU"/>
        </w:rPr>
        <w:t>Validation; правила предполагают выдачу предупреждения при обнаружении несоответствия между определенной пиковой мощностью и спектральной плотностью мощности в процессе подготовки форм заявок для представления запроса о координации или заявления. Эти новые правила проверки опубликованы в ИФИК БР № 2842 от 4 апреля 2017 года.</w:t>
      </w:r>
    </w:p>
    <w:p w14:paraId="18600C0C" w14:textId="77777777" w:rsidR="0082678D" w:rsidRPr="00BA38CD" w:rsidRDefault="0082678D" w:rsidP="001D70D9">
      <w:pPr>
        <w:jc w:val="both"/>
        <w:rPr>
          <w:b/>
          <w:bCs/>
          <w:sz w:val="24"/>
          <w:szCs w:val="24"/>
          <w:lang w:val="ru-RU"/>
        </w:rPr>
      </w:pPr>
      <w:r w:rsidRPr="00BA38CD">
        <w:rPr>
          <w:sz w:val="24"/>
          <w:szCs w:val="24"/>
          <w:lang w:val="ru-RU"/>
        </w:rPr>
        <w:t>Цель этих проверок заключается в том, чтобы помочь администрациям в использовании последней версии Рекомендации МСЭ-R SF.675 при расчетах значений максимальной плотности мощности и напомнить им о необходимости использовать эту последнюю версию.</w:t>
      </w:r>
    </w:p>
    <w:p w14:paraId="37BAD5D7" w14:textId="77777777" w:rsidR="0082678D" w:rsidRPr="00BA38CD" w:rsidRDefault="0082678D" w:rsidP="001D70D9">
      <w:pPr>
        <w:jc w:val="both"/>
        <w:rPr>
          <w:sz w:val="24"/>
          <w:szCs w:val="24"/>
          <w:lang w:val="ru-RU"/>
        </w:rPr>
      </w:pPr>
      <w:r w:rsidRPr="00BA38CD">
        <w:rPr>
          <w:sz w:val="24"/>
          <w:szCs w:val="24"/>
          <w:lang w:val="ru-RU"/>
        </w:rPr>
        <w:t>С учетом того, что новые правила проверки заявок на космические службы действуют уже семь лет, администрации должны были адаптироваться к требованию использовать Рекомендацию МСЭ-R SF.675 при расчете максимальной плотности мощности.</w:t>
      </w:r>
    </w:p>
    <w:p w14:paraId="15AA7CC3" w14:textId="77777777" w:rsidR="0082678D" w:rsidRPr="00BA38CD" w:rsidRDefault="0082678D" w:rsidP="001D70D9">
      <w:pPr>
        <w:pStyle w:val="Headingb"/>
        <w:jc w:val="both"/>
        <w:rPr>
          <w:sz w:val="24"/>
          <w:szCs w:val="24"/>
          <w:lang w:val="ru-RU"/>
        </w:rPr>
      </w:pPr>
      <w:bookmarkStart w:id="1" w:name="_Toc143072407"/>
      <w:r w:rsidRPr="00BA38CD">
        <w:rPr>
          <w:sz w:val="24"/>
          <w:szCs w:val="24"/>
          <w:lang w:val="ru-RU"/>
        </w:rPr>
        <w:t>Новая версия программного обеспечения GIBC</w:t>
      </w:r>
      <w:bookmarkEnd w:id="1"/>
    </w:p>
    <w:p w14:paraId="48810EA5" w14:textId="77777777" w:rsidR="0082678D" w:rsidRPr="00BA38CD" w:rsidRDefault="0082678D" w:rsidP="001D70D9">
      <w:pPr>
        <w:jc w:val="both"/>
        <w:rPr>
          <w:sz w:val="24"/>
          <w:szCs w:val="24"/>
          <w:lang w:val="ru-RU"/>
        </w:rPr>
      </w:pPr>
      <w:r w:rsidRPr="00BA38CD">
        <w:rPr>
          <w:sz w:val="24"/>
          <w:szCs w:val="24"/>
          <w:lang w:val="ru-RU"/>
        </w:rPr>
        <w:t>В ИФИК БР № 2985 от 29 ноября 2022 года выпущена новая версия программного обеспечения GIBC (версия 9.1), в которой реализован новый метод расчета, соответствующий Рекомендации МСЭ-R SF.675. К модулям GIBC для расчета п.п.м./э.и.и.м. ГСО и п.п.м./э.и.и.м. НГСО была добавлена опция расчета передаваемой мощности с использованием Рекомендации МСЭ-R SF.675.</w:t>
      </w:r>
      <w:bookmarkStart w:id="2" w:name="_Hlk149750553"/>
      <w:bookmarkEnd w:id="2"/>
    </w:p>
    <w:p w14:paraId="1A1BA690" w14:textId="77777777" w:rsidR="0082678D" w:rsidRPr="00BA38CD" w:rsidRDefault="0082678D" w:rsidP="001D70D9">
      <w:pPr>
        <w:jc w:val="both"/>
        <w:rPr>
          <w:sz w:val="24"/>
          <w:szCs w:val="24"/>
          <w:lang w:val="ru-RU"/>
        </w:rPr>
      </w:pPr>
      <w:r w:rsidRPr="00BA38CD">
        <w:rPr>
          <w:sz w:val="24"/>
          <w:szCs w:val="24"/>
          <w:lang w:val="ru-RU"/>
        </w:rPr>
        <w:t>Подробные шаги нового метода расчета, согласованного с Рекомендацией МСЭ-R SF.675, приведены в Приложении 1.</w:t>
      </w:r>
    </w:p>
    <w:p w14:paraId="31D194E4" w14:textId="77777777" w:rsidR="0082678D" w:rsidRPr="00BA38CD" w:rsidRDefault="0082678D" w:rsidP="001D70D9">
      <w:pPr>
        <w:jc w:val="both"/>
        <w:rPr>
          <w:sz w:val="24"/>
          <w:szCs w:val="24"/>
          <w:lang w:val="ru-RU"/>
        </w:rPr>
      </w:pPr>
      <w:r w:rsidRPr="00BA38CD">
        <w:rPr>
          <w:sz w:val="24"/>
          <w:szCs w:val="24"/>
          <w:lang w:val="ru-RU"/>
        </w:rPr>
        <w:t xml:space="preserve">С помощью этой дополнительной опции администрации могут проверить соответствие пределам п.п.м. и эквивалентной изотропно излучаемой мощности (э.и.и.м.), приведенным в Статьях </w:t>
      </w:r>
      <w:r w:rsidRPr="00BA38CD">
        <w:rPr>
          <w:b/>
          <w:bCs/>
          <w:sz w:val="24"/>
          <w:szCs w:val="24"/>
          <w:lang w:val="ru-RU"/>
        </w:rPr>
        <w:t>5</w:t>
      </w:r>
      <w:r w:rsidRPr="00BA38CD">
        <w:rPr>
          <w:sz w:val="24"/>
          <w:szCs w:val="24"/>
          <w:lang w:val="ru-RU"/>
        </w:rPr>
        <w:t xml:space="preserve">, </w:t>
      </w:r>
      <w:r w:rsidRPr="00BA38CD">
        <w:rPr>
          <w:b/>
          <w:bCs/>
          <w:sz w:val="24"/>
          <w:szCs w:val="24"/>
          <w:lang w:val="ru-RU"/>
        </w:rPr>
        <w:t xml:space="preserve">21 </w:t>
      </w:r>
      <w:r w:rsidRPr="00BA38CD">
        <w:rPr>
          <w:sz w:val="24"/>
          <w:szCs w:val="24"/>
          <w:lang w:val="ru-RU"/>
        </w:rPr>
        <w:t xml:space="preserve">и </w:t>
      </w:r>
      <w:r w:rsidRPr="00BA38CD">
        <w:rPr>
          <w:b/>
          <w:bCs/>
          <w:sz w:val="24"/>
          <w:szCs w:val="24"/>
          <w:lang w:val="ru-RU"/>
        </w:rPr>
        <w:t xml:space="preserve">22 </w:t>
      </w:r>
      <w:r w:rsidRPr="00BA38CD">
        <w:rPr>
          <w:sz w:val="24"/>
          <w:szCs w:val="24"/>
          <w:lang w:val="ru-RU"/>
        </w:rPr>
        <w:t>Регламента радиосвязи, используя метод расчета, основанный на получении максимального значения мощности в соответствии с Рекомендацией МСЭ-R SF.675.</w:t>
      </w:r>
    </w:p>
    <w:p w14:paraId="5049B99B" w14:textId="28B71A07" w:rsidR="0082678D" w:rsidRPr="00BA38CD" w:rsidRDefault="0082678D" w:rsidP="001D70D9">
      <w:pPr>
        <w:pStyle w:val="Headingb"/>
        <w:jc w:val="both"/>
        <w:rPr>
          <w:sz w:val="24"/>
          <w:szCs w:val="24"/>
          <w:lang w:val="ru-RU"/>
        </w:rPr>
      </w:pPr>
      <w:bookmarkStart w:id="3" w:name="_Toc143072408"/>
      <w:r w:rsidRPr="00BA38CD">
        <w:rPr>
          <w:sz w:val="24"/>
          <w:szCs w:val="24"/>
          <w:lang w:val="ru-RU"/>
        </w:rPr>
        <w:t xml:space="preserve">Внедрение онлайнового инструмента рассмотрения </w:t>
      </w:r>
      <w:r w:rsidRPr="00BA38CD">
        <w:rPr>
          <w:b w:val="0"/>
          <w:bCs/>
          <w:sz w:val="24"/>
          <w:szCs w:val="24"/>
          <w:lang w:val="ru-RU"/>
        </w:rPr>
        <w:t>"</w:t>
      </w:r>
      <w:r w:rsidRPr="00BA38CD">
        <w:rPr>
          <w:sz w:val="24"/>
          <w:szCs w:val="24"/>
          <w:lang w:val="ru-RU"/>
        </w:rPr>
        <w:t>e-Examination</w:t>
      </w:r>
      <w:r w:rsidRPr="00BA38CD">
        <w:rPr>
          <w:b w:val="0"/>
          <w:bCs/>
          <w:sz w:val="24"/>
          <w:szCs w:val="24"/>
          <w:lang w:val="ru-RU"/>
        </w:rPr>
        <w:t>"</w:t>
      </w:r>
      <w:bookmarkEnd w:id="3"/>
    </w:p>
    <w:p w14:paraId="376253CA" w14:textId="77777777" w:rsidR="0082678D" w:rsidRPr="00BA38CD" w:rsidRDefault="0082678D" w:rsidP="001D70D9">
      <w:pPr>
        <w:jc w:val="both"/>
        <w:rPr>
          <w:sz w:val="24"/>
          <w:szCs w:val="24"/>
          <w:lang w:val="ru-RU"/>
        </w:rPr>
      </w:pPr>
      <w:r w:rsidRPr="00BA38CD">
        <w:rPr>
          <w:sz w:val="24"/>
          <w:szCs w:val="24"/>
          <w:lang w:val="ru-RU"/>
        </w:rPr>
        <w:t>1 октября 2023 года в рамках онлайновой платформы e-Submission был представлен новый онлайновый инструмент рассмотрения e-Examination, с тем чтобы помочь пользователям проверить, соответствуют ли их спутниковые сети или земные станции, загруженные в e-Submission, пределам п.п.м. и э.и.и.м., указанным в Регламенте радиосвязи.</w:t>
      </w:r>
    </w:p>
    <w:p w14:paraId="5235361D" w14:textId="77777777" w:rsidR="0082678D" w:rsidRPr="00BA38CD" w:rsidRDefault="0082678D" w:rsidP="001D70D9">
      <w:pPr>
        <w:jc w:val="both"/>
        <w:rPr>
          <w:sz w:val="24"/>
          <w:szCs w:val="24"/>
          <w:lang w:val="ru-RU"/>
        </w:rPr>
      </w:pPr>
      <w:r w:rsidRPr="00BA38CD">
        <w:rPr>
          <w:sz w:val="24"/>
          <w:szCs w:val="24"/>
          <w:lang w:val="ru-RU"/>
        </w:rPr>
        <w:t>Во всех расчетах пределов п.п.м. и э.и.и.м., выполненных в e-Examination, используется по умолчанию метод расчета, основанный на получении максимального значения мощности в соответствии с Рекомендацией МСЭ-R SF.675.</w:t>
      </w:r>
    </w:p>
    <w:p w14:paraId="5E69C62F" w14:textId="77777777" w:rsidR="0082678D" w:rsidRPr="00BA38CD" w:rsidRDefault="0082678D" w:rsidP="001D70D9">
      <w:pPr>
        <w:jc w:val="both"/>
        <w:rPr>
          <w:sz w:val="24"/>
          <w:szCs w:val="24"/>
          <w:lang w:val="ru-RU"/>
        </w:rPr>
      </w:pPr>
      <w:r w:rsidRPr="00BA38CD">
        <w:rPr>
          <w:sz w:val="24"/>
          <w:szCs w:val="24"/>
          <w:lang w:val="ru-RU"/>
        </w:rPr>
        <w:lastRenderedPageBreak/>
        <w:t>Полученные в e-Examination результаты носят исключительно информационный характер, и окончательные регламентарные заключения составляются Бюро в ходе рассмотрения согласно пп. </w:t>
      </w:r>
      <w:r w:rsidRPr="00BA38CD">
        <w:rPr>
          <w:b/>
          <w:bCs/>
          <w:sz w:val="24"/>
          <w:szCs w:val="24"/>
          <w:lang w:val="ru-RU"/>
        </w:rPr>
        <w:t>9.35</w:t>
      </w:r>
      <w:r w:rsidRPr="00BA38CD">
        <w:rPr>
          <w:sz w:val="24"/>
          <w:szCs w:val="24"/>
          <w:lang w:val="ru-RU"/>
        </w:rPr>
        <w:t>/</w:t>
      </w:r>
      <w:r w:rsidRPr="00BA38CD">
        <w:rPr>
          <w:b/>
          <w:bCs/>
          <w:sz w:val="24"/>
          <w:szCs w:val="24"/>
          <w:lang w:val="ru-RU"/>
        </w:rPr>
        <w:t>11.31</w:t>
      </w:r>
      <w:r w:rsidRPr="00BA38CD">
        <w:rPr>
          <w:sz w:val="24"/>
          <w:szCs w:val="24"/>
          <w:lang w:val="ru-RU"/>
        </w:rPr>
        <w:t xml:space="preserve"> Регламента радиосвязи, но при этом дополнительная информация, предоставляемая инструментом e-Examination, может помочь администрациям пересмотреть характеристики их частотных присвоений, с тем чтобы свести к минимуму риск получения неблагоприятных заключений в ходе рассмотрения Бюро.</w:t>
      </w:r>
    </w:p>
    <w:p w14:paraId="1AE4D623" w14:textId="77777777" w:rsidR="0082678D" w:rsidRPr="00BA38CD" w:rsidRDefault="0082678D" w:rsidP="001D70D9">
      <w:pPr>
        <w:jc w:val="both"/>
        <w:rPr>
          <w:sz w:val="24"/>
          <w:szCs w:val="24"/>
          <w:lang w:val="ru-RU"/>
        </w:rPr>
      </w:pPr>
      <w:r w:rsidRPr="00BA38CD">
        <w:rPr>
          <w:sz w:val="24"/>
          <w:szCs w:val="24"/>
          <w:lang w:val="ru-RU"/>
        </w:rPr>
        <w:t>С подробной информацией и руководящими указаниями по инструменту e-Examination можно ознакомиться по ссылке:</w:t>
      </w:r>
    </w:p>
    <w:p w14:paraId="57F7C71E" w14:textId="5409E2F9" w:rsidR="0082678D" w:rsidRPr="00BA38CD" w:rsidRDefault="004F760A" w:rsidP="00CC2E09">
      <w:pPr>
        <w:rPr>
          <w:sz w:val="24"/>
          <w:szCs w:val="24"/>
          <w:lang w:val="ru-RU"/>
        </w:rPr>
      </w:pPr>
      <w:hyperlink r:id="rId9" w:history="1">
        <w:r w:rsidR="0082678D" w:rsidRPr="00BA38CD">
          <w:rPr>
            <w:rStyle w:val="Hyperlink"/>
            <w:sz w:val="24"/>
            <w:szCs w:val="24"/>
            <w:lang w:val="ru-RU"/>
          </w:rPr>
          <w:t>https://www.itu.int/en/ITU-R/space/support/Pages/e-Examination-guide.aspx</w:t>
        </w:r>
      </w:hyperlink>
      <w:r w:rsidR="00CC2E09" w:rsidRPr="00BA38CD">
        <w:rPr>
          <w:sz w:val="24"/>
          <w:szCs w:val="24"/>
          <w:lang w:val="ru-RU"/>
        </w:rPr>
        <w:t>.</w:t>
      </w:r>
    </w:p>
    <w:p w14:paraId="7307AC50" w14:textId="77DE0FFD" w:rsidR="0082678D" w:rsidRPr="00BA38CD" w:rsidRDefault="0082678D" w:rsidP="00CC2E09">
      <w:pPr>
        <w:pStyle w:val="Headingb"/>
        <w:rPr>
          <w:sz w:val="24"/>
          <w:szCs w:val="24"/>
          <w:lang w:val="ru-RU"/>
        </w:rPr>
      </w:pPr>
      <w:r w:rsidRPr="00BA38CD">
        <w:rPr>
          <w:sz w:val="24"/>
          <w:szCs w:val="24"/>
          <w:lang w:val="ru-RU"/>
        </w:rPr>
        <w:t>Дата вступления в силу метода расчета, согласованного с Рекомендацией МСЭ-R SF.675</w:t>
      </w:r>
    </w:p>
    <w:p w14:paraId="086A5D9F" w14:textId="77777777" w:rsidR="0082678D" w:rsidRPr="00BA38CD" w:rsidRDefault="0082678D" w:rsidP="001D70D9">
      <w:pPr>
        <w:jc w:val="both"/>
        <w:rPr>
          <w:sz w:val="24"/>
          <w:szCs w:val="24"/>
          <w:lang w:val="ru-RU"/>
        </w:rPr>
      </w:pPr>
      <w:r w:rsidRPr="00BA38CD">
        <w:rPr>
          <w:sz w:val="24"/>
          <w:szCs w:val="24"/>
          <w:lang w:val="ru-RU"/>
        </w:rPr>
        <w:t>Бюро приняло вышеуказанные меры для постепенного внедрения нового метода расчета, согласованного с Рекомендацией МСЭ-R SF.675, и начнет применять этот новый метод для всех частотных присвоений, полученных с 1 мая 2024 года.</w:t>
      </w:r>
    </w:p>
    <w:p w14:paraId="7396473E" w14:textId="77777777" w:rsidR="0082678D" w:rsidRPr="00BA38CD" w:rsidRDefault="0082678D" w:rsidP="001D70D9">
      <w:pPr>
        <w:jc w:val="both"/>
        <w:rPr>
          <w:rFonts w:asciiTheme="minorHAnsi" w:eastAsia="SimSun" w:hAnsiTheme="minorHAnsi" w:cstheme="minorHAnsi"/>
          <w:sz w:val="24"/>
          <w:szCs w:val="24"/>
          <w:lang w:val="ru-RU"/>
        </w:rPr>
      </w:pPr>
      <w:r w:rsidRPr="00BA38CD">
        <w:rPr>
          <w:sz w:val="24"/>
          <w:szCs w:val="24"/>
          <w:lang w:val="ru-RU"/>
        </w:rPr>
        <w:t>Этот же метод будет применяться к частотным присвоениям, подлежащим координации, которые получены для заявления 1 мая 2024 года или после этой даты, даже если соответствующие частотные присвоения были представлены для координации до этой даты.</w:t>
      </w:r>
    </w:p>
    <w:p w14:paraId="67381559" w14:textId="77777777" w:rsidR="0082678D" w:rsidRPr="00BA38CD" w:rsidRDefault="0082678D" w:rsidP="001D70D9">
      <w:pPr>
        <w:jc w:val="both"/>
        <w:rPr>
          <w:rFonts w:asciiTheme="minorHAnsi" w:eastAsia="SimSun" w:hAnsiTheme="minorHAnsi" w:cstheme="minorHAnsi"/>
          <w:sz w:val="24"/>
          <w:szCs w:val="24"/>
          <w:lang w:val="ru-RU"/>
        </w:rPr>
      </w:pPr>
      <w:r w:rsidRPr="00BA38CD">
        <w:rPr>
          <w:sz w:val="24"/>
          <w:szCs w:val="24"/>
          <w:lang w:val="ru-RU"/>
        </w:rPr>
        <w:t>Регламентарное рассмотрение всех частотных присвоений, полученных до 1 мая 2024 года, будет выполняться с использованием традиционного метода, приведенного в Приложении 1.</w:t>
      </w:r>
    </w:p>
    <w:p w14:paraId="6D97F309" w14:textId="77777777" w:rsidR="0082678D" w:rsidRPr="00BA38CD" w:rsidRDefault="0082678D" w:rsidP="001D70D9">
      <w:pPr>
        <w:pStyle w:val="Headingb"/>
        <w:jc w:val="both"/>
        <w:rPr>
          <w:sz w:val="24"/>
          <w:szCs w:val="24"/>
          <w:lang w:val="ru-RU"/>
        </w:rPr>
      </w:pPr>
      <w:r w:rsidRPr="00BA38CD">
        <w:rPr>
          <w:sz w:val="24"/>
          <w:szCs w:val="24"/>
          <w:lang w:val="ru-RU"/>
        </w:rPr>
        <w:t>Поддержка и контакты</w:t>
      </w:r>
    </w:p>
    <w:p w14:paraId="79539C33" w14:textId="77777777" w:rsidR="0082678D" w:rsidRPr="00BA38CD" w:rsidRDefault="0082678D" w:rsidP="001D70D9">
      <w:pPr>
        <w:jc w:val="both"/>
        <w:rPr>
          <w:sz w:val="24"/>
          <w:szCs w:val="24"/>
          <w:lang w:val="ru-RU"/>
        </w:rPr>
      </w:pPr>
      <w:r w:rsidRPr="00BA38CD">
        <w:rPr>
          <w:sz w:val="24"/>
          <w:szCs w:val="24"/>
          <w:lang w:val="ru-RU"/>
        </w:rPr>
        <w:t xml:space="preserve">По запросу на адрес: </w:t>
      </w:r>
      <w:hyperlink r:id="rId10" w:history="1">
        <w:r w:rsidRPr="00BA38CD">
          <w:rPr>
            <w:rStyle w:val="Hyperlink"/>
            <w:sz w:val="24"/>
            <w:szCs w:val="24"/>
            <w:lang w:val="ru-RU"/>
          </w:rPr>
          <w:t>brmail@itu.int</w:t>
        </w:r>
      </w:hyperlink>
      <w:r w:rsidRPr="00BA38CD">
        <w:rPr>
          <w:sz w:val="24"/>
          <w:szCs w:val="24"/>
          <w:lang w:val="ru-RU"/>
        </w:rPr>
        <w:t xml:space="preserve"> Бюро готово предоставить любые необходимые разъяснения или помощь по вопросам, затронутым в настоящем Циркулярном письме. </w:t>
      </w:r>
    </w:p>
    <w:p w14:paraId="179C3B27" w14:textId="487D9323" w:rsidR="0082678D" w:rsidRPr="00BA38CD" w:rsidRDefault="0082678D" w:rsidP="001D70D9">
      <w:pPr>
        <w:jc w:val="both"/>
        <w:rPr>
          <w:rFonts w:asciiTheme="minorHAnsi" w:hAnsiTheme="minorHAnsi" w:cstheme="majorBidi"/>
          <w:sz w:val="24"/>
          <w:szCs w:val="24"/>
          <w:lang w:val="ru-RU"/>
        </w:rPr>
      </w:pPr>
      <w:r w:rsidRPr="00BA38CD">
        <w:rPr>
          <w:sz w:val="24"/>
          <w:szCs w:val="24"/>
          <w:lang w:val="ru-RU"/>
        </w:rPr>
        <w:t>По любым вопросам, связанным с программным обеспечением GIBC, просьба обращаться по адресу</w:t>
      </w:r>
      <w:r w:rsidR="00593891" w:rsidRPr="00BA38CD">
        <w:rPr>
          <w:sz w:val="24"/>
          <w:szCs w:val="24"/>
          <w:lang w:val="ru-RU"/>
        </w:rPr>
        <w:t>:</w:t>
      </w:r>
      <w:r w:rsidRPr="00BA38CD">
        <w:rPr>
          <w:sz w:val="24"/>
          <w:szCs w:val="24"/>
          <w:lang w:val="ru-RU"/>
        </w:rPr>
        <w:t xml:space="preserve"> </w:t>
      </w:r>
      <w:hyperlink r:id="rId11" w:history="1">
        <w:r w:rsidRPr="00BA38CD">
          <w:rPr>
            <w:rStyle w:val="Hyperlink"/>
            <w:sz w:val="24"/>
            <w:szCs w:val="24"/>
            <w:lang w:val="ru-RU"/>
          </w:rPr>
          <w:t>brsas@itu.int</w:t>
        </w:r>
      </w:hyperlink>
      <w:r w:rsidRPr="00BA38CD">
        <w:rPr>
          <w:sz w:val="24"/>
          <w:szCs w:val="24"/>
          <w:lang w:val="ru-RU"/>
        </w:rPr>
        <w:t>.</w:t>
      </w:r>
    </w:p>
    <w:p w14:paraId="1DBEC98E" w14:textId="1F4A851E" w:rsidR="00A935EB" w:rsidRPr="00BA38CD" w:rsidRDefault="0088447C" w:rsidP="00353DE6">
      <w:pPr>
        <w:tabs>
          <w:tab w:val="clear" w:pos="1191"/>
          <w:tab w:val="clear" w:pos="1588"/>
          <w:tab w:val="clear" w:pos="1985"/>
        </w:tabs>
        <w:spacing w:before="1200"/>
        <w:rPr>
          <w:sz w:val="24"/>
          <w:szCs w:val="24"/>
          <w:lang w:val="ru-RU"/>
        </w:rPr>
      </w:pPr>
      <w:r w:rsidRPr="00BA38CD">
        <w:rPr>
          <w:sz w:val="24"/>
          <w:szCs w:val="24"/>
          <w:lang w:val="ru-RU"/>
        </w:rPr>
        <w:t>Марио Маневич</w:t>
      </w:r>
      <w:r w:rsidR="00A935EB" w:rsidRPr="00BA38CD">
        <w:rPr>
          <w:sz w:val="24"/>
          <w:szCs w:val="24"/>
          <w:lang w:val="ru-RU"/>
        </w:rPr>
        <w:br/>
        <w:t>Директор</w:t>
      </w:r>
    </w:p>
    <w:p w14:paraId="39AB65EE" w14:textId="6BAD9BD9" w:rsidR="00D51AD5" w:rsidRPr="00BA38CD" w:rsidRDefault="0082678D" w:rsidP="00353DE6">
      <w:pPr>
        <w:tabs>
          <w:tab w:val="clear" w:pos="1191"/>
          <w:tab w:val="clear" w:pos="1588"/>
          <w:tab w:val="clear" w:pos="1985"/>
        </w:tabs>
        <w:spacing w:before="1680"/>
        <w:rPr>
          <w:sz w:val="24"/>
          <w:szCs w:val="24"/>
          <w:lang w:val="ru-RU"/>
        </w:rPr>
      </w:pPr>
      <w:r w:rsidRPr="00BA38CD">
        <w:rPr>
          <w:b/>
          <w:bCs/>
          <w:sz w:val="24"/>
          <w:szCs w:val="24"/>
          <w:lang w:val="ru-RU"/>
        </w:rPr>
        <w:t>Прилагаемый документ</w:t>
      </w:r>
      <w:r w:rsidRPr="00BA38CD">
        <w:rPr>
          <w:sz w:val="24"/>
          <w:szCs w:val="24"/>
          <w:lang w:val="ru-RU"/>
        </w:rPr>
        <w:t>: Приложение 1</w:t>
      </w:r>
    </w:p>
    <w:p w14:paraId="3B470B60" w14:textId="77777777" w:rsidR="00A935EB" w:rsidRPr="00BA38CD" w:rsidRDefault="00A935EB" w:rsidP="00BA38CD">
      <w:pPr>
        <w:spacing w:before="720"/>
        <w:rPr>
          <w:sz w:val="18"/>
          <w:szCs w:val="18"/>
          <w:lang w:val="ru-RU"/>
        </w:rPr>
      </w:pPr>
      <w:r w:rsidRPr="00BA38CD">
        <w:rPr>
          <w:b/>
          <w:bCs/>
          <w:sz w:val="18"/>
          <w:szCs w:val="18"/>
          <w:u w:val="single"/>
          <w:lang w:val="ru-RU"/>
        </w:rPr>
        <w:t>Рассылка</w:t>
      </w:r>
      <w:r w:rsidRPr="00BA38CD">
        <w:rPr>
          <w:sz w:val="18"/>
          <w:szCs w:val="18"/>
          <w:lang w:val="ru-RU"/>
        </w:rPr>
        <w:t>:</w:t>
      </w:r>
    </w:p>
    <w:p w14:paraId="2F8C43F5" w14:textId="77777777" w:rsidR="00A935EB" w:rsidRPr="00BA38CD" w:rsidRDefault="00A935EB" w:rsidP="00C023A0">
      <w:pPr>
        <w:tabs>
          <w:tab w:val="clear" w:pos="1191"/>
          <w:tab w:val="clear" w:pos="1588"/>
          <w:tab w:val="clear" w:pos="1985"/>
          <w:tab w:val="left" w:pos="284"/>
        </w:tabs>
        <w:spacing w:before="0"/>
        <w:rPr>
          <w:sz w:val="18"/>
          <w:szCs w:val="18"/>
          <w:lang w:val="ru-RU"/>
        </w:rPr>
      </w:pPr>
      <w:r w:rsidRPr="00BA38CD">
        <w:rPr>
          <w:sz w:val="18"/>
          <w:szCs w:val="18"/>
          <w:lang w:val="ru-RU"/>
        </w:rPr>
        <w:sym w:font="Symbol" w:char="F02D"/>
      </w:r>
      <w:r w:rsidRPr="00BA38CD">
        <w:rPr>
          <w:sz w:val="18"/>
          <w:szCs w:val="18"/>
          <w:lang w:val="ru-RU"/>
        </w:rPr>
        <w:tab/>
        <w:t xml:space="preserve">Администрациям Государств </w:t>
      </w:r>
      <w:r w:rsidRPr="00BA38CD">
        <w:rPr>
          <w:sz w:val="18"/>
          <w:szCs w:val="18"/>
          <w:lang w:val="ru-RU"/>
        </w:rPr>
        <w:sym w:font="Symbol" w:char="F02D"/>
      </w:r>
      <w:r w:rsidRPr="00BA38CD">
        <w:rPr>
          <w:sz w:val="18"/>
          <w:szCs w:val="18"/>
          <w:lang w:val="ru-RU"/>
        </w:rPr>
        <w:t xml:space="preserve"> Членов МСЭ</w:t>
      </w:r>
    </w:p>
    <w:p w14:paraId="3317DEED" w14:textId="2C941A8B" w:rsidR="00A935EB" w:rsidRPr="00BA38CD" w:rsidRDefault="00A935EB" w:rsidP="00C023A0">
      <w:pPr>
        <w:tabs>
          <w:tab w:val="clear" w:pos="1191"/>
          <w:tab w:val="clear" w:pos="1588"/>
          <w:tab w:val="clear" w:pos="1985"/>
          <w:tab w:val="left" w:pos="284"/>
        </w:tabs>
        <w:spacing w:before="0"/>
        <w:rPr>
          <w:sz w:val="18"/>
          <w:szCs w:val="18"/>
          <w:lang w:val="ru-RU"/>
        </w:rPr>
      </w:pPr>
      <w:r w:rsidRPr="00BA38CD">
        <w:rPr>
          <w:sz w:val="18"/>
          <w:szCs w:val="18"/>
          <w:lang w:val="ru-RU"/>
        </w:rPr>
        <w:sym w:font="Symbol" w:char="F02D"/>
      </w:r>
      <w:r w:rsidRPr="00BA38CD">
        <w:rPr>
          <w:sz w:val="18"/>
          <w:szCs w:val="18"/>
          <w:lang w:val="ru-RU"/>
        </w:rPr>
        <w:tab/>
        <w:t>Членам Радиорегламентарного комитета</w:t>
      </w:r>
    </w:p>
    <w:p w14:paraId="0370AE6E" w14:textId="14E076AC" w:rsidR="0082678D" w:rsidRPr="00BA38CD" w:rsidRDefault="0082678D">
      <w:pPr>
        <w:tabs>
          <w:tab w:val="clear" w:pos="794"/>
          <w:tab w:val="clear" w:pos="1191"/>
          <w:tab w:val="clear" w:pos="1588"/>
          <w:tab w:val="clear" w:pos="1985"/>
        </w:tabs>
        <w:overflowPunct/>
        <w:autoSpaceDE/>
        <w:autoSpaceDN/>
        <w:adjustRightInd/>
        <w:spacing w:before="0"/>
        <w:textAlignment w:val="auto"/>
        <w:rPr>
          <w:sz w:val="24"/>
          <w:szCs w:val="24"/>
          <w:lang w:val="ru-RU"/>
        </w:rPr>
      </w:pPr>
      <w:r w:rsidRPr="00BA38CD">
        <w:rPr>
          <w:sz w:val="24"/>
          <w:szCs w:val="24"/>
          <w:lang w:val="ru-RU"/>
        </w:rPr>
        <w:br w:type="page"/>
      </w:r>
    </w:p>
    <w:p w14:paraId="28304367" w14:textId="140E1DE9" w:rsidR="0082678D" w:rsidRPr="004F760A" w:rsidRDefault="00E273BB" w:rsidP="00BF5D4A">
      <w:pPr>
        <w:pStyle w:val="AnnexNo"/>
        <w:rPr>
          <w:sz w:val="28"/>
          <w:szCs w:val="28"/>
          <w:lang w:val="ru-RU"/>
        </w:rPr>
      </w:pPr>
      <w:r w:rsidRPr="004F760A">
        <w:rPr>
          <w:sz w:val="28"/>
          <w:szCs w:val="28"/>
          <w:lang w:val="ru-RU"/>
        </w:rPr>
        <w:lastRenderedPageBreak/>
        <w:t>ПРИЛОЖЕНИЕ</w:t>
      </w:r>
      <w:r w:rsidR="0082678D" w:rsidRPr="004F760A">
        <w:rPr>
          <w:sz w:val="28"/>
          <w:szCs w:val="28"/>
          <w:lang w:val="ru-RU"/>
        </w:rPr>
        <w:t xml:space="preserve"> 1</w:t>
      </w:r>
    </w:p>
    <w:p w14:paraId="5E96A041" w14:textId="0D01D578" w:rsidR="0082678D" w:rsidRPr="004F760A" w:rsidRDefault="0082678D" w:rsidP="00BF5D4A">
      <w:pPr>
        <w:pStyle w:val="AnnexTitle"/>
        <w:rPr>
          <w:sz w:val="28"/>
          <w:szCs w:val="28"/>
          <w:lang w:val="ru-RU"/>
        </w:rPr>
      </w:pPr>
      <w:r w:rsidRPr="004F760A">
        <w:rPr>
          <w:sz w:val="28"/>
          <w:szCs w:val="28"/>
          <w:lang w:val="ru-RU"/>
        </w:rPr>
        <w:t xml:space="preserve">Метод получения значений мощности передачи в соответствии </w:t>
      </w:r>
      <w:r w:rsidR="00BF5D4A" w:rsidRPr="004F760A">
        <w:rPr>
          <w:sz w:val="28"/>
          <w:szCs w:val="28"/>
          <w:lang w:val="ru-RU"/>
        </w:rPr>
        <w:br/>
      </w:r>
      <w:r w:rsidRPr="004F760A">
        <w:rPr>
          <w:sz w:val="28"/>
          <w:szCs w:val="28"/>
          <w:lang w:val="ru-RU"/>
        </w:rPr>
        <w:t>с Рекомендацией МСЭ-R SF.675</w:t>
      </w:r>
    </w:p>
    <w:p w14:paraId="538ED5A6" w14:textId="77777777" w:rsidR="0082678D" w:rsidRPr="00BA38CD" w:rsidRDefault="0082678D" w:rsidP="001D70D9">
      <w:pPr>
        <w:pStyle w:val="Headingb"/>
        <w:jc w:val="both"/>
        <w:rPr>
          <w:sz w:val="24"/>
          <w:szCs w:val="24"/>
          <w:lang w:val="ru-RU"/>
        </w:rPr>
      </w:pPr>
      <w:r w:rsidRPr="00BA38CD">
        <w:rPr>
          <w:bCs/>
          <w:sz w:val="24"/>
          <w:szCs w:val="24"/>
          <w:lang w:val="ru-RU"/>
        </w:rPr>
        <w:t>Введение</w:t>
      </w:r>
    </w:p>
    <w:p w14:paraId="29A71AB2" w14:textId="148293B6" w:rsidR="0082678D" w:rsidRPr="00BA38CD" w:rsidRDefault="0082678D" w:rsidP="001D70D9">
      <w:pPr>
        <w:jc w:val="both"/>
        <w:rPr>
          <w:sz w:val="24"/>
          <w:szCs w:val="24"/>
          <w:lang w:val="ru-RU"/>
        </w:rPr>
      </w:pPr>
      <w:r w:rsidRPr="00BA38CD">
        <w:rPr>
          <w:sz w:val="24"/>
          <w:szCs w:val="24"/>
          <w:lang w:val="ru-RU"/>
        </w:rPr>
        <w:t>Описанный ниже метод используется для получения значений мощности передачи в соответствии с Рекомендацией МСЭ-R SF.675</w:t>
      </w:r>
      <w:r w:rsidR="00593891" w:rsidRPr="00BA38CD">
        <w:rPr>
          <w:sz w:val="24"/>
          <w:szCs w:val="24"/>
          <w:lang w:val="ru-RU"/>
        </w:rPr>
        <w:t>.</w:t>
      </w:r>
      <w:r w:rsidRPr="00BA38CD">
        <w:rPr>
          <w:sz w:val="24"/>
          <w:szCs w:val="24"/>
          <w:lang w:val="ru-RU"/>
        </w:rPr>
        <w:t xml:space="preserve"> В качестве входных данных используется эталонная ширина полосы и характеристики передачи.</w:t>
      </w:r>
    </w:p>
    <w:p w14:paraId="0AB7ECE5" w14:textId="77777777" w:rsidR="0082678D" w:rsidRPr="00BA38CD" w:rsidRDefault="0082678D" w:rsidP="001D70D9">
      <w:pPr>
        <w:pStyle w:val="Headingb"/>
        <w:jc w:val="both"/>
        <w:rPr>
          <w:sz w:val="24"/>
          <w:szCs w:val="24"/>
          <w:lang w:val="ru-RU"/>
        </w:rPr>
      </w:pPr>
      <w:r w:rsidRPr="00BA38CD">
        <w:rPr>
          <w:bCs/>
          <w:sz w:val="24"/>
          <w:szCs w:val="24"/>
          <w:lang w:val="ru-RU"/>
        </w:rPr>
        <w:t>Требования</w:t>
      </w:r>
    </w:p>
    <w:p w14:paraId="3B5ACA1B" w14:textId="1206B52E" w:rsidR="0082678D" w:rsidRPr="00BA38CD" w:rsidRDefault="0082678D" w:rsidP="001D70D9">
      <w:pPr>
        <w:spacing w:after="120"/>
        <w:jc w:val="both"/>
        <w:rPr>
          <w:sz w:val="24"/>
          <w:szCs w:val="24"/>
          <w:lang w:val="ru-RU"/>
        </w:rPr>
      </w:pPr>
      <w:r w:rsidRPr="00BA38CD">
        <w:rPr>
          <w:sz w:val="24"/>
          <w:szCs w:val="24"/>
          <w:lang w:val="ru-RU"/>
        </w:rPr>
        <w:t>Приведенные ниже элементы используются для описаний в настоящем Приложении.</w:t>
      </w:r>
    </w:p>
    <w:tbl>
      <w:tblPr>
        <w:tblStyle w:val="TableGrid"/>
        <w:tblW w:w="9654" w:type="dxa"/>
        <w:tblLayout w:type="fixed"/>
        <w:tblLook w:val="04A0" w:firstRow="1" w:lastRow="0" w:firstColumn="1" w:lastColumn="0" w:noHBand="0" w:noVBand="1"/>
      </w:tblPr>
      <w:tblGrid>
        <w:gridCol w:w="3539"/>
        <w:gridCol w:w="1985"/>
        <w:gridCol w:w="2551"/>
        <w:gridCol w:w="1579"/>
      </w:tblGrid>
      <w:tr w:rsidR="0082678D" w:rsidRPr="00BA38CD" w14:paraId="77B9ABE7" w14:textId="77777777" w:rsidTr="00BF5D4A">
        <w:tc>
          <w:tcPr>
            <w:tcW w:w="3539" w:type="dxa"/>
            <w:vAlign w:val="center"/>
          </w:tcPr>
          <w:p w14:paraId="25084EB1" w14:textId="77777777" w:rsidR="0082678D" w:rsidRPr="00BA38CD" w:rsidRDefault="0082678D" w:rsidP="00BF5D4A">
            <w:pPr>
              <w:pStyle w:val="Tablehead"/>
              <w:rPr>
                <w:sz w:val="24"/>
                <w:szCs w:val="24"/>
                <w:lang w:val="ru-RU"/>
              </w:rPr>
            </w:pPr>
            <w:r w:rsidRPr="00BA38CD">
              <w:rPr>
                <w:sz w:val="24"/>
                <w:szCs w:val="24"/>
                <w:lang w:val="ru-RU"/>
              </w:rPr>
              <w:t>Название параметра</w:t>
            </w:r>
          </w:p>
        </w:tc>
        <w:tc>
          <w:tcPr>
            <w:tcW w:w="1985" w:type="dxa"/>
            <w:vAlign w:val="center"/>
          </w:tcPr>
          <w:p w14:paraId="4ABFB0D2" w14:textId="77777777" w:rsidR="0082678D" w:rsidRPr="00BA38CD" w:rsidRDefault="0082678D" w:rsidP="00BF5D4A">
            <w:pPr>
              <w:pStyle w:val="Tablehead"/>
              <w:rPr>
                <w:sz w:val="24"/>
                <w:szCs w:val="24"/>
                <w:lang w:val="ru-RU"/>
              </w:rPr>
            </w:pPr>
            <w:r w:rsidRPr="00BA38CD">
              <w:rPr>
                <w:sz w:val="24"/>
                <w:szCs w:val="24"/>
                <w:lang w:val="ru-RU"/>
              </w:rPr>
              <w:t>Элемент данных Приложения 4 к РР</w:t>
            </w:r>
          </w:p>
        </w:tc>
        <w:tc>
          <w:tcPr>
            <w:tcW w:w="2551" w:type="dxa"/>
            <w:vAlign w:val="center"/>
          </w:tcPr>
          <w:p w14:paraId="36EF3DEF" w14:textId="11F8A7F7" w:rsidR="0082678D" w:rsidRPr="00BA38CD" w:rsidRDefault="0082678D" w:rsidP="00BF5D4A">
            <w:pPr>
              <w:pStyle w:val="Tablehead"/>
              <w:ind w:left="-57" w:right="-57"/>
              <w:rPr>
                <w:sz w:val="24"/>
                <w:szCs w:val="24"/>
                <w:lang w:val="ru-RU"/>
              </w:rPr>
            </w:pPr>
            <w:r w:rsidRPr="00BA38CD">
              <w:rPr>
                <w:sz w:val="24"/>
                <w:szCs w:val="24"/>
                <w:lang w:val="ru-RU"/>
              </w:rPr>
              <w:t xml:space="preserve">Название поля </w:t>
            </w:r>
            <w:r w:rsidR="00BF5D4A" w:rsidRPr="00BA38CD">
              <w:rPr>
                <w:sz w:val="24"/>
                <w:szCs w:val="24"/>
                <w:lang w:val="ru-RU"/>
              </w:rPr>
              <w:br/>
            </w:r>
            <w:r w:rsidRPr="00BA38CD">
              <w:rPr>
                <w:sz w:val="24"/>
                <w:szCs w:val="24"/>
                <w:lang w:val="ru-RU"/>
              </w:rPr>
              <w:t xml:space="preserve">в базе данных SNS, </w:t>
            </w:r>
            <w:r w:rsidR="00BF5D4A" w:rsidRPr="00BA38CD">
              <w:rPr>
                <w:sz w:val="24"/>
                <w:szCs w:val="24"/>
                <w:lang w:val="ru-RU"/>
              </w:rPr>
              <w:br/>
            </w:r>
            <w:r w:rsidRPr="00BA38CD">
              <w:rPr>
                <w:sz w:val="24"/>
                <w:szCs w:val="24"/>
                <w:lang w:val="ru-RU"/>
              </w:rPr>
              <w:t>как определено в</w:t>
            </w:r>
            <w:r w:rsidR="00BF5D4A" w:rsidRPr="00BA38CD">
              <w:rPr>
                <w:sz w:val="24"/>
                <w:szCs w:val="24"/>
                <w:lang w:val="ru-RU"/>
              </w:rPr>
              <w:t> </w:t>
            </w:r>
            <w:r w:rsidRPr="00BA38CD">
              <w:rPr>
                <w:sz w:val="24"/>
                <w:szCs w:val="24"/>
                <w:lang w:val="ru-RU"/>
              </w:rPr>
              <w:t>Предисловии к ИФИК БР (Космические службы)</w:t>
            </w:r>
          </w:p>
        </w:tc>
        <w:tc>
          <w:tcPr>
            <w:tcW w:w="1579" w:type="dxa"/>
            <w:vAlign w:val="center"/>
          </w:tcPr>
          <w:p w14:paraId="1327C4E8" w14:textId="22AE1D9F" w:rsidR="0082678D" w:rsidRPr="00BA38CD" w:rsidRDefault="0082678D" w:rsidP="00BF5D4A">
            <w:pPr>
              <w:pStyle w:val="Tablehead"/>
              <w:rPr>
                <w:sz w:val="24"/>
                <w:szCs w:val="24"/>
                <w:lang w:val="ru-RU"/>
              </w:rPr>
            </w:pPr>
            <w:r w:rsidRPr="00BA38CD">
              <w:rPr>
                <w:sz w:val="24"/>
                <w:szCs w:val="24"/>
                <w:lang w:val="ru-RU"/>
              </w:rPr>
              <w:t>Обозначение в</w:t>
            </w:r>
            <w:r w:rsidR="00BF5D4A" w:rsidRPr="00BA38CD">
              <w:rPr>
                <w:sz w:val="24"/>
                <w:szCs w:val="24"/>
                <w:lang w:val="ru-RU"/>
              </w:rPr>
              <w:t> </w:t>
            </w:r>
            <w:r w:rsidRPr="00BA38CD">
              <w:rPr>
                <w:sz w:val="24"/>
                <w:szCs w:val="24"/>
                <w:lang w:val="ru-RU"/>
              </w:rPr>
              <w:t>формулах</w:t>
            </w:r>
          </w:p>
        </w:tc>
      </w:tr>
      <w:tr w:rsidR="0082678D" w:rsidRPr="00BA38CD" w14:paraId="1F0AF56C" w14:textId="77777777" w:rsidTr="00BF5D4A">
        <w:tc>
          <w:tcPr>
            <w:tcW w:w="3539" w:type="dxa"/>
          </w:tcPr>
          <w:p w14:paraId="2904C2E4" w14:textId="77777777" w:rsidR="0082678D" w:rsidRPr="00BA38CD" w:rsidRDefault="0082678D" w:rsidP="00BF5D4A">
            <w:pPr>
              <w:pStyle w:val="Tabletext"/>
              <w:rPr>
                <w:sz w:val="24"/>
                <w:szCs w:val="24"/>
                <w:lang w:val="ru-RU"/>
              </w:rPr>
            </w:pPr>
            <w:r w:rsidRPr="00BA38CD">
              <w:rPr>
                <w:sz w:val="24"/>
                <w:szCs w:val="24"/>
                <w:lang w:val="ru-RU"/>
              </w:rPr>
              <w:t>Максимальная спектральная плотность излучения, дБВт/Гц</w:t>
            </w:r>
          </w:p>
        </w:tc>
        <w:tc>
          <w:tcPr>
            <w:tcW w:w="1985" w:type="dxa"/>
          </w:tcPr>
          <w:p w14:paraId="36B575FA" w14:textId="77777777" w:rsidR="0082678D" w:rsidRPr="00BA38CD" w:rsidRDefault="0082678D" w:rsidP="00BF5D4A">
            <w:pPr>
              <w:pStyle w:val="Tabletext"/>
              <w:jc w:val="center"/>
              <w:rPr>
                <w:sz w:val="24"/>
                <w:szCs w:val="24"/>
                <w:lang w:val="ru-RU"/>
              </w:rPr>
            </w:pPr>
            <w:r w:rsidRPr="00BA38CD">
              <w:rPr>
                <w:sz w:val="24"/>
                <w:szCs w:val="24"/>
                <w:lang w:val="ru-RU"/>
              </w:rPr>
              <w:t>C.</w:t>
            </w:r>
            <w:proofErr w:type="gramStart"/>
            <w:r w:rsidRPr="00BA38CD">
              <w:rPr>
                <w:sz w:val="24"/>
                <w:szCs w:val="24"/>
                <w:lang w:val="ru-RU"/>
              </w:rPr>
              <w:t>8.b.3.b</w:t>
            </w:r>
            <w:proofErr w:type="gramEnd"/>
          </w:p>
        </w:tc>
        <w:tc>
          <w:tcPr>
            <w:tcW w:w="2551" w:type="dxa"/>
          </w:tcPr>
          <w:p w14:paraId="6A7BC6CB" w14:textId="77777777" w:rsidR="0082678D" w:rsidRPr="00BA38CD" w:rsidRDefault="0082678D" w:rsidP="00BF5D4A">
            <w:pPr>
              <w:pStyle w:val="Tabletext"/>
              <w:jc w:val="center"/>
              <w:rPr>
                <w:i/>
                <w:iCs/>
                <w:sz w:val="24"/>
                <w:szCs w:val="24"/>
                <w:lang w:val="ru-RU"/>
              </w:rPr>
            </w:pPr>
            <w:r w:rsidRPr="00BA38CD">
              <w:rPr>
                <w:i/>
                <w:iCs/>
                <w:sz w:val="24"/>
                <w:szCs w:val="24"/>
                <w:lang w:val="ru-RU"/>
              </w:rPr>
              <w:t>pwr_ds_max</w:t>
            </w:r>
          </w:p>
        </w:tc>
        <w:tc>
          <w:tcPr>
            <w:tcW w:w="1579" w:type="dxa"/>
          </w:tcPr>
          <w:p w14:paraId="298644D2" w14:textId="77777777" w:rsidR="0082678D" w:rsidRPr="00BA38CD" w:rsidRDefault="00353DE6" w:rsidP="00BF5D4A">
            <w:pPr>
              <w:pStyle w:val="Tabletext"/>
              <w:jc w:val="center"/>
              <w:rPr>
                <w:sz w:val="24"/>
                <w:szCs w:val="24"/>
                <w:lang w:val="ru-RU"/>
              </w:rPr>
            </w:pPr>
            <m:oMathPara>
              <m:oMath>
                <m:sSub>
                  <m:sSubPr>
                    <m:ctrlPr>
                      <w:rPr>
                        <w:rFonts w:ascii="Cambria Math" w:hAnsi="Cambria Math"/>
                        <w:i/>
                        <w:sz w:val="24"/>
                        <w:szCs w:val="24"/>
                        <w:lang w:val="ru-RU"/>
                      </w:rPr>
                    </m:ctrlPr>
                  </m:sSubPr>
                  <m:e>
                    <m:r>
                      <w:rPr>
                        <w:rFonts w:ascii="Cambria Math" w:hAnsi="Cambria Math"/>
                        <w:sz w:val="24"/>
                        <w:szCs w:val="24"/>
                        <w:lang w:val="ru-RU"/>
                      </w:rPr>
                      <m:t>PSD</m:t>
                    </m:r>
                  </m:e>
                  <m:sub>
                    <m:r>
                      <w:rPr>
                        <w:rFonts w:ascii="Cambria Math" w:hAnsi="Cambria Math"/>
                        <w:sz w:val="24"/>
                        <w:szCs w:val="24"/>
                        <w:lang w:val="ru-RU"/>
                      </w:rPr>
                      <m:t>max</m:t>
                    </m:r>
                  </m:sub>
                </m:sSub>
              </m:oMath>
            </m:oMathPara>
          </w:p>
        </w:tc>
      </w:tr>
      <w:tr w:rsidR="0082678D" w:rsidRPr="00BA38CD" w14:paraId="30DCD43F" w14:textId="77777777" w:rsidTr="00BF5D4A">
        <w:tc>
          <w:tcPr>
            <w:tcW w:w="3539" w:type="dxa"/>
          </w:tcPr>
          <w:p w14:paraId="0275EE81" w14:textId="77777777" w:rsidR="0082678D" w:rsidRPr="00BA38CD" w:rsidRDefault="0082678D" w:rsidP="00BF5D4A">
            <w:pPr>
              <w:pStyle w:val="Tabletext"/>
              <w:rPr>
                <w:sz w:val="24"/>
                <w:szCs w:val="24"/>
                <w:lang w:val="ru-RU"/>
              </w:rPr>
            </w:pPr>
            <w:r w:rsidRPr="00BA38CD">
              <w:rPr>
                <w:sz w:val="24"/>
                <w:szCs w:val="24"/>
                <w:lang w:val="ru-RU"/>
              </w:rPr>
              <w:t>Максимальная пиковая мощность излучения, дБВт</w:t>
            </w:r>
          </w:p>
        </w:tc>
        <w:tc>
          <w:tcPr>
            <w:tcW w:w="1985" w:type="dxa"/>
          </w:tcPr>
          <w:p w14:paraId="014B7C2C" w14:textId="77777777" w:rsidR="0082678D" w:rsidRPr="00BA38CD" w:rsidRDefault="0082678D" w:rsidP="00BF5D4A">
            <w:pPr>
              <w:pStyle w:val="Tabletext"/>
              <w:jc w:val="center"/>
              <w:rPr>
                <w:sz w:val="24"/>
                <w:szCs w:val="24"/>
                <w:lang w:val="ru-RU"/>
              </w:rPr>
            </w:pPr>
            <w:r w:rsidRPr="00BA38CD">
              <w:rPr>
                <w:sz w:val="24"/>
                <w:szCs w:val="24"/>
                <w:lang w:val="ru-RU"/>
              </w:rPr>
              <w:t>C.</w:t>
            </w:r>
            <w:proofErr w:type="gramStart"/>
            <w:r w:rsidRPr="00BA38CD">
              <w:rPr>
                <w:sz w:val="24"/>
                <w:szCs w:val="24"/>
                <w:lang w:val="ru-RU"/>
              </w:rPr>
              <w:t>8.b.3.a</w:t>
            </w:r>
            <w:proofErr w:type="gramEnd"/>
          </w:p>
        </w:tc>
        <w:tc>
          <w:tcPr>
            <w:tcW w:w="2551" w:type="dxa"/>
          </w:tcPr>
          <w:p w14:paraId="47E74508" w14:textId="77777777" w:rsidR="0082678D" w:rsidRPr="00BA38CD" w:rsidRDefault="0082678D" w:rsidP="00BF5D4A">
            <w:pPr>
              <w:pStyle w:val="Tabletext"/>
              <w:jc w:val="center"/>
              <w:rPr>
                <w:i/>
                <w:iCs/>
                <w:sz w:val="24"/>
                <w:szCs w:val="24"/>
                <w:lang w:val="ru-RU"/>
              </w:rPr>
            </w:pPr>
            <w:r w:rsidRPr="00BA38CD">
              <w:rPr>
                <w:i/>
                <w:iCs/>
                <w:sz w:val="24"/>
                <w:szCs w:val="24"/>
                <w:lang w:val="ru-RU"/>
              </w:rPr>
              <w:t>pep_max</w:t>
            </w:r>
          </w:p>
        </w:tc>
        <w:tc>
          <w:tcPr>
            <w:tcW w:w="1579" w:type="dxa"/>
          </w:tcPr>
          <w:p w14:paraId="0E50125B" w14:textId="77777777" w:rsidR="0082678D" w:rsidRPr="00BA38CD" w:rsidRDefault="00353DE6" w:rsidP="00BF5D4A">
            <w:pPr>
              <w:pStyle w:val="Tabletext"/>
              <w:jc w:val="center"/>
              <w:rPr>
                <w:sz w:val="24"/>
                <w:szCs w:val="24"/>
                <w:lang w:val="ru-RU"/>
              </w:rPr>
            </w:pPr>
            <m:oMathPara>
              <m:oMath>
                <m:sSub>
                  <m:sSubPr>
                    <m:ctrlPr>
                      <w:rPr>
                        <w:rFonts w:ascii="Cambria Math" w:hAnsi="Cambria Math"/>
                        <w:i/>
                        <w:sz w:val="24"/>
                        <w:szCs w:val="24"/>
                        <w:lang w:val="ru-RU"/>
                      </w:rPr>
                    </m:ctrlPr>
                  </m:sSubPr>
                  <m:e>
                    <m:r>
                      <w:rPr>
                        <w:rFonts w:ascii="Cambria Math" w:hAnsi="Cambria Math"/>
                        <w:sz w:val="24"/>
                        <w:szCs w:val="24"/>
                        <w:lang w:val="ru-RU"/>
                      </w:rPr>
                      <m:t>P</m:t>
                    </m:r>
                  </m:e>
                  <m:sub>
                    <m:r>
                      <w:rPr>
                        <w:rFonts w:ascii="Cambria Math" w:hAnsi="Cambria Math"/>
                        <w:sz w:val="24"/>
                        <w:szCs w:val="24"/>
                        <w:lang w:val="ru-RU"/>
                      </w:rPr>
                      <m:t>max</m:t>
                    </m:r>
                  </m:sub>
                </m:sSub>
              </m:oMath>
            </m:oMathPara>
          </w:p>
        </w:tc>
      </w:tr>
      <w:tr w:rsidR="0082678D" w:rsidRPr="00BA38CD" w14:paraId="61B62C4B" w14:textId="77777777" w:rsidTr="00BF5D4A">
        <w:tc>
          <w:tcPr>
            <w:tcW w:w="3539" w:type="dxa"/>
          </w:tcPr>
          <w:p w14:paraId="22C74EA7" w14:textId="0214BD06" w:rsidR="0082678D" w:rsidRPr="00BA38CD" w:rsidRDefault="0082678D" w:rsidP="00BF5D4A">
            <w:pPr>
              <w:pStyle w:val="Tabletext"/>
              <w:rPr>
                <w:sz w:val="24"/>
                <w:szCs w:val="24"/>
                <w:lang w:val="ru-RU"/>
              </w:rPr>
            </w:pPr>
            <w:r w:rsidRPr="00BA38CD">
              <w:rPr>
                <w:sz w:val="24"/>
                <w:szCs w:val="24"/>
                <w:lang w:val="ru-RU"/>
              </w:rPr>
              <w:t>Эталонная ширина полосы</w:t>
            </w:r>
            <w:r w:rsidR="00BF5D4A" w:rsidRPr="00BA38CD">
              <w:rPr>
                <w:sz w:val="24"/>
                <w:szCs w:val="24"/>
                <w:lang w:val="ru-RU"/>
              </w:rPr>
              <w:t xml:space="preserve"> </w:t>
            </w:r>
            <w:r w:rsidRPr="00BA38CD">
              <w:rPr>
                <w:sz w:val="24"/>
                <w:szCs w:val="24"/>
                <w:lang w:val="ru-RU"/>
              </w:rPr>
              <w:t>(4 кГц, 1</w:t>
            </w:r>
            <w:r w:rsidR="00BF5D4A" w:rsidRPr="00BA38CD">
              <w:rPr>
                <w:sz w:val="24"/>
                <w:szCs w:val="24"/>
                <w:lang w:val="ru-RU"/>
              </w:rPr>
              <w:t> </w:t>
            </w:r>
            <w:r w:rsidRPr="00BA38CD">
              <w:rPr>
                <w:sz w:val="24"/>
                <w:szCs w:val="24"/>
                <w:lang w:val="ru-RU"/>
              </w:rPr>
              <w:t>МГц и т. д.)</w:t>
            </w:r>
          </w:p>
          <w:p w14:paraId="5321275F" w14:textId="77777777" w:rsidR="0082678D" w:rsidRPr="00BA38CD" w:rsidRDefault="0082678D" w:rsidP="00BF5D4A">
            <w:pPr>
              <w:pStyle w:val="Tabletext"/>
              <w:rPr>
                <w:sz w:val="24"/>
                <w:szCs w:val="24"/>
                <w:lang w:val="ru-RU"/>
              </w:rPr>
            </w:pPr>
            <w:r w:rsidRPr="00BA38CD">
              <w:rPr>
                <w:sz w:val="24"/>
                <w:szCs w:val="24"/>
                <w:lang w:val="ru-RU"/>
              </w:rPr>
              <w:t>Относится к эталонной ширине полосы в положениях Регламента радиосвязи</w:t>
            </w:r>
          </w:p>
        </w:tc>
        <w:tc>
          <w:tcPr>
            <w:tcW w:w="1985" w:type="dxa"/>
          </w:tcPr>
          <w:p w14:paraId="39F04506" w14:textId="66A12C31" w:rsidR="0082678D" w:rsidRPr="00BA38CD" w:rsidRDefault="00BF5D4A" w:rsidP="00BF5D4A">
            <w:pPr>
              <w:pStyle w:val="Tabletext"/>
              <w:jc w:val="center"/>
              <w:rPr>
                <w:sz w:val="24"/>
                <w:szCs w:val="24"/>
                <w:lang w:val="ru-RU"/>
              </w:rPr>
            </w:pPr>
            <w:r w:rsidRPr="00BA38CD">
              <w:rPr>
                <w:sz w:val="24"/>
                <w:szCs w:val="24"/>
                <w:lang w:val="ru-RU"/>
              </w:rPr>
              <w:t>−</w:t>
            </w:r>
          </w:p>
        </w:tc>
        <w:tc>
          <w:tcPr>
            <w:tcW w:w="2551" w:type="dxa"/>
          </w:tcPr>
          <w:p w14:paraId="5194C508" w14:textId="58556C67" w:rsidR="0082678D" w:rsidRPr="00BA38CD" w:rsidRDefault="00BF5D4A" w:rsidP="00BF5D4A">
            <w:pPr>
              <w:pStyle w:val="Tabletext"/>
              <w:jc w:val="center"/>
              <w:rPr>
                <w:sz w:val="24"/>
                <w:szCs w:val="24"/>
                <w:lang w:val="ru-RU"/>
              </w:rPr>
            </w:pPr>
            <w:r w:rsidRPr="00BA38CD">
              <w:rPr>
                <w:sz w:val="24"/>
                <w:szCs w:val="24"/>
                <w:lang w:val="ru-RU"/>
              </w:rPr>
              <w:t>−</w:t>
            </w:r>
          </w:p>
        </w:tc>
        <w:tc>
          <w:tcPr>
            <w:tcW w:w="1579" w:type="dxa"/>
          </w:tcPr>
          <w:p w14:paraId="5357932E" w14:textId="77777777" w:rsidR="0082678D" w:rsidRPr="00BA38CD" w:rsidRDefault="00353DE6" w:rsidP="00BF5D4A">
            <w:pPr>
              <w:pStyle w:val="Tabletext"/>
              <w:jc w:val="center"/>
              <w:rPr>
                <w:sz w:val="24"/>
                <w:szCs w:val="24"/>
                <w:lang w:val="ru-RU"/>
              </w:rPr>
            </w:pPr>
            <m:oMathPara>
              <m:oMath>
                <m:sSub>
                  <m:sSubPr>
                    <m:ctrlPr>
                      <w:rPr>
                        <w:rFonts w:ascii="Cambria Math" w:hAnsi="Cambria Math"/>
                        <w:i/>
                        <w:sz w:val="24"/>
                        <w:szCs w:val="24"/>
                        <w:lang w:val="ru-RU"/>
                      </w:rPr>
                    </m:ctrlPr>
                  </m:sSubPr>
                  <m:e>
                    <m:r>
                      <w:rPr>
                        <w:rFonts w:ascii="Cambria Math" w:hAnsi="Cambria Math"/>
                        <w:sz w:val="24"/>
                        <w:szCs w:val="24"/>
                        <w:lang w:val="ru-RU"/>
                      </w:rPr>
                      <m:t>B</m:t>
                    </m:r>
                  </m:e>
                  <m:sub>
                    <m:r>
                      <w:rPr>
                        <w:rFonts w:ascii="Cambria Math" w:hAnsi="Cambria Math"/>
                        <w:sz w:val="24"/>
                        <w:szCs w:val="24"/>
                        <w:lang w:val="ru-RU"/>
                      </w:rPr>
                      <m:t>ref</m:t>
                    </m:r>
                  </m:sub>
                </m:sSub>
              </m:oMath>
            </m:oMathPara>
          </w:p>
        </w:tc>
      </w:tr>
      <w:tr w:rsidR="0082678D" w:rsidRPr="00BA38CD" w14:paraId="527A900D" w14:textId="77777777" w:rsidTr="00BF5D4A">
        <w:tc>
          <w:tcPr>
            <w:tcW w:w="3539" w:type="dxa"/>
          </w:tcPr>
          <w:p w14:paraId="24CE1842" w14:textId="77777777" w:rsidR="0082678D" w:rsidRPr="00BA38CD" w:rsidRDefault="0082678D" w:rsidP="00BF5D4A">
            <w:pPr>
              <w:pStyle w:val="Tabletext"/>
              <w:rPr>
                <w:sz w:val="24"/>
                <w:szCs w:val="24"/>
                <w:lang w:val="ru-RU"/>
              </w:rPr>
            </w:pPr>
            <w:r w:rsidRPr="00BA38CD">
              <w:rPr>
                <w:sz w:val="24"/>
                <w:szCs w:val="24"/>
                <w:lang w:val="ru-RU"/>
              </w:rPr>
              <w:t>Ширина полосы излучения, Гц</w:t>
            </w:r>
          </w:p>
        </w:tc>
        <w:tc>
          <w:tcPr>
            <w:tcW w:w="1985" w:type="dxa"/>
          </w:tcPr>
          <w:p w14:paraId="441D519A" w14:textId="068EB191" w:rsidR="0082678D" w:rsidRPr="00BA38CD" w:rsidRDefault="0082678D" w:rsidP="00BF5D4A">
            <w:pPr>
              <w:pStyle w:val="Tabletext"/>
              <w:jc w:val="center"/>
              <w:rPr>
                <w:sz w:val="24"/>
                <w:szCs w:val="24"/>
                <w:lang w:val="ru-RU"/>
              </w:rPr>
            </w:pPr>
            <w:r w:rsidRPr="00BA38CD">
              <w:rPr>
                <w:sz w:val="24"/>
                <w:szCs w:val="24"/>
                <w:lang w:val="ru-RU"/>
              </w:rPr>
              <w:t>Получается из</w:t>
            </w:r>
            <w:r w:rsidR="00593891" w:rsidRPr="00BA38CD">
              <w:rPr>
                <w:sz w:val="24"/>
                <w:szCs w:val="24"/>
                <w:lang w:val="ru-RU"/>
              </w:rPr>
              <w:br/>
            </w:r>
            <w:r w:rsidRPr="00BA38CD">
              <w:rPr>
                <w:sz w:val="24"/>
                <w:szCs w:val="24"/>
                <w:lang w:val="ru-RU"/>
              </w:rPr>
              <w:t>C.7.a</w:t>
            </w:r>
          </w:p>
        </w:tc>
        <w:tc>
          <w:tcPr>
            <w:tcW w:w="2551" w:type="dxa"/>
          </w:tcPr>
          <w:p w14:paraId="5D59CA1E" w14:textId="2B3EB575" w:rsidR="0082678D" w:rsidRPr="00BA38CD" w:rsidRDefault="0082678D" w:rsidP="00593891">
            <w:pPr>
              <w:pStyle w:val="Tabletext"/>
              <w:jc w:val="center"/>
              <w:rPr>
                <w:i/>
                <w:iCs/>
                <w:sz w:val="24"/>
                <w:szCs w:val="24"/>
                <w:lang w:val="ru-RU"/>
              </w:rPr>
            </w:pPr>
            <w:r w:rsidRPr="00BA38CD">
              <w:rPr>
                <w:sz w:val="24"/>
                <w:szCs w:val="24"/>
                <w:lang w:val="ru-RU"/>
              </w:rPr>
              <w:t>Получается из</w:t>
            </w:r>
            <w:r w:rsidR="00593891" w:rsidRPr="00BA38CD">
              <w:rPr>
                <w:sz w:val="24"/>
                <w:szCs w:val="24"/>
                <w:lang w:val="ru-RU"/>
              </w:rPr>
              <w:t xml:space="preserve"> </w:t>
            </w:r>
            <w:r w:rsidR="00593891" w:rsidRPr="00BA38CD">
              <w:rPr>
                <w:sz w:val="24"/>
                <w:szCs w:val="24"/>
                <w:lang w:val="ru-RU"/>
              </w:rPr>
              <w:br/>
            </w:r>
            <w:r w:rsidRPr="00BA38CD">
              <w:rPr>
                <w:i/>
                <w:iCs/>
                <w:sz w:val="24"/>
                <w:szCs w:val="24"/>
                <w:lang w:val="ru-RU"/>
              </w:rPr>
              <w:t>design_emi</w:t>
            </w:r>
          </w:p>
        </w:tc>
        <w:tc>
          <w:tcPr>
            <w:tcW w:w="1579" w:type="dxa"/>
          </w:tcPr>
          <w:p w14:paraId="58ABD0EA" w14:textId="77777777" w:rsidR="0082678D" w:rsidRPr="00BA38CD" w:rsidRDefault="0082678D" w:rsidP="00BF5D4A">
            <w:pPr>
              <w:pStyle w:val="Tabletext"/>
              <w:jc w:val="center"/>
              <w:rPr>
                <w:sz w:val="24"/>
                <w:szCs w:val="24"/>
                <w:lang w:val="ru-RU"/>
              </w:rPr>
            </w:pPr>
            <m:oMathPara>
              <m:oMath>
                <m:r>
                  <w:rPr>
                    <w:rFonts w:ascii="Cambria Math" w:hAnsi="Cambria Math"/>
                    <w:sz w:val="24"/>
                    <w:szCs w:val="24"/>
                    <w:lang w:val="ru-RU"/>
                  </w:rPr>
                  <m:t>B</m:t>
                </m:r>
              </m:oMath>
            </m:oMathPara>
          </w:p>
        </w:tc>
      </w:tr>
      <w:tr w:rsidR="0082678D" w:rsidRPr="00BA38CD" w14:paraId="0C46C327" w14:textId="77777777" w:rsidTr="00BF5D4A">
        <w:tc>
          <w:tcPr>
            <w:tcW w:w="3539" w:type="dxa"/>
          </w:tcPr>
          <w:p w14:paraId="42F523E8" w14:textId="77777777" w:rsidR="0082678D" w:rsidRPr="00BA38CD" w:rsidRDefault="0082678D" w:rsidP="00BF5D4A">
            <w:pPr>
              <w:pStyle w:val="Tabletext"/>
              <w:rPr>
                <w:sz w:val="24"/>
                <w:szCs w:val="24"/>
                <w:lang w:val="ru-RU"/>
              </w:rPr>
            </w:pPr>
            <w:r w:rsidRPr="00BA38CD">
              <w:rPr>
                <w:sz w:val="24"/>
                <w:szCs w:val="24"/>
                <w:lang w:val="ru-RU"/>
              </w:rPr>
              <w:t>Ширина полосы усреднения, Гц</w:t>
            </w:r>
          </w:p>
          <w:p w14:paraId="516F454F" w14:textId="0F3F6F4F" w:rsidR="0082678D" w:rsidRPr="00BA38CD" w:rsidRDefault="0082678D" w:rsidP="00BF5D4A">
            <w:pPr>
              <w:pStyle w:val="Tabletext"/>
              <w:rPr>
                <w:sz w:val="24"/>
                <w:szCs w:val="24"/>
                <w:lang w:val="ru-RU"/>
              </w:rPr>
            </w:pPr>
            <w:r w:rsidRPr="00BA38CD">
              <w:rPr>
                <w:sz w:val="24"/>
                <w:szCs w:val="24"/>
                <w:lang w:val="ru-RU"/>
              </w:rPr>
              <w:t>Определено в сноске 2 к Таблицам A, B, C и D Дополнения 2 к</w:t>
            </w:r>
            <w:r w:rsidR="00BF5D4A" w:rsidRPr="00BA38CD">
              <w:rPr>
                <w:sz w:val="24"/>
                <w:szCs w:val="24"/>
                <w:lang w:val="ru-RU"/>
              </w:rPr>
              <w:t> </w:t>
            </w:r>
            <w:r w:rsidRPr="00BA38CD">
              <w:rPr>
                <w:sz w:val="24"/>
                <w:szCs w:val="24"/>
                <w:lang w:val="ru-RU"/>
              </w:rPr>
              <w:t>Приложению</w:t>
            </w:r>
            <w:r w:rsidR="00BF5D4A" w:rsidRPr="00BA38CD">
              <w:rPr>
                <w:sz w:val="24"/>
                <w:szCs w:val="24"/>
                <w:lang w:val="ru-RU"/>
              </w:rPr>
              <w:t> </w:t>
            </w:r>
            <w:r w:rsidRPr="00BA38CD">
              <w:rPr>
                <w:b/>
                <w:bCs/>
                <w:sz w:val="24"/>
                <w:szCs w:val="24"/>
                <w:lang w:val="ru-RU"/>
              </w:rPr>
              <w:t>4</w:t>
            </w:r>
          </w:p>
        </w:tc>
        <w:tc>
          <w:tcPr>
            <w:tcW w:w="1985" w:type="dxa"/>
          </w:tcPr>
          <w:p w14:paraId="34C2D339" w14:textId="27F27BC9" w:rsidR="0082678D" w:rsidRPr="00BA38CD" w:rsidRDefault="00BF5D4A" w:rsidP="00BF5D4A">
            <w:pPr>
              <w:pStyle w:val="Tabletext"/>
              <w:jc w:val="center"/>
              <w:rPr>
                <w:sz w:val="24"/>
                <w:szCs w:val="24"/>
                <w:lang w:val="ru-RU"/>
              </w:rPr>
            </w:pPr>
            <w:r w:rsidRPr="00BA38CD">
              <w:rPr>
                <w:sz w:val="24"/>
                <w:szCs w:val="24"/>
                <w:lang w:val="ru-RU"/>
              </w:rPr>
              <w:t>−</w:t>
            </w:r>
          </w:p>
        </w:tc>
        <w:tc>
          <w:tcPr>
            <w:tcW w:w="2551" w:type="dxa"/>
          </w:tcPr>
          <w:p w14:paraId="312DFE49" w14:textId="0197B6ED" w:rsidR="0082678D" w:rsidRPr="00BA38CD" w:rsidRDefault="00BF5D4A" w:rsidP="00BF5D4A">
            <w:pPr>
              <w:pStyle w:val="Tabletext"/>
              <w:jc w:val="center"/>
              <w:rPr>
                <w:sz w:val="24"/>
                <w:szCs w:val="24"/>
                <w:lang w:val="ru-RU"/>
              </w:rPr>
            </w:pPr>
            <w:r w:rsidRPr="00BA38CD">
              <w:rPr>
                <w:sz w:val="24"/>
                <w:szCs w:val="24"/>
                <w:lang w:val="ru-RU"/>
              </w:rPr>
              <w:t>−</w:t>
            </w:r>
          </w:p>
        </w:tc>
        <w:tc>
          <w:tcPr>
            <w:tcW w:w="1579" w:type="dxa"/>
          </w:tcPr>
          <w:p w14:paraId="4C81026C" w14:textId="77777777" w:rsidR="0082678D" w:rsidRPr="00BA38CD" w:rsidRDefault="00353DE6" w:rsidP="00BF5D4A">
            <w:pPr>
              <w:pStyle w:val="Tabletext"/>
              <w:jc w:val="center"/>
              <w:rPr>
                <w:rFonts w:eastAsia="SimSun"/>
                <w:i/>
                <w:sz w:val="24"/>
                <w:szCs w:val="24"/>
                <w:lang w:val="ru-RU"/>
              </w:rPr>
            </w:pPr>
            <m:oMathPara>
              <m:oMath>
                <m:sSub>
                  <m:sSubPr>
                    <m:ctrlPr>
                      <w:rPr>
                        <w:rFonts w:ascii="Cambria Math" w:hAnsi="Cambria Math"/>
                        <w:i/>
                        <w:sz w:val="24"/>
                        <w:szCs w:val="24"/>
                        <w:lang w:val="ru-RU"/>
                      </w:rPr>
                    </m:ctrlPr>
                  </m:sSubPr>
                  <m:e>
                    <m:r>
                      <w:rPr>
                        <w:rFonts w:ascii="Cambria Math" w:hAnsi="Cambria Math"/>
                        <w:sz w:val="24"/>
                        <w:szCs w:val="24"/>
                        <w:lang w:val="ru-RU"/>
                      </w:rPr>
                      <m:t>B</m:t>
                    </m:r>
                  </m:e>
                  <m:sub>
                    <m:r>
                      <w:rPr>
                        <w:rFonts w:ascii="Cambria Math" w:hAnsi="Cambria Math"/>
                        <w:sz w:val="24"/>
                        <w:szCs w:val="24"/>
                        <w:lang w:val="ru-RU"/>
                      </w:rPr>
                      <m:t>avg</m:t>
                    </m:r>
                  </m:sub>
                </m:sSub>
              </m:oMath>
            </m:oMathPara>
          </w:p>
        </w:tc>
      </w:tr>
      <w:tr w:rsidR="0082678D" w:rsidRPr="00BA38CD" w14:paraId="6470C480" w14:textId="77777777" w:rsidTr="00BF5D4A">
        <w:tc>
          <w:tcPr>
            <w:tcW w:w="3539" w:type="dxa"/>
          </w:tcPr>
          <w:p w14:paraId="11B96173" w14:textId="590E0C0C" w:rsidR="0082678D" w:rsidRPr="00BA38CD" w:rsidRDefault="0082678D" w:rsidP="00BF5D4A">
            <w:pPr>
              <w:pStyle w:val="Tabletext"/>
              <w:rPr>
                <w:sz w:val="24"/>
                <w:szCs w:val="24"/>
                <w:lang w:val="ru-RU"/>
              </w:rPr>
            </w:pPr>
            <w:r w:rsidRPr="00BA38CD">
              <w:rPr>
                <w:sz w:val="24"/>
                <w:szCs w:val="24"/>
                <w:lang w:val="ru-RU"/>
              </w:rPr>
              <w:t>Передаваемая мощность, которая должна использоваться при расчетах, дБВт</w:t>
            </w:r>
            <w:r w:rsidR="00593891" w:rsidRPr="00BA38CD">
              <w:rPr>
                <w:sz w:val="24"/>
                <w:szCs w:val="24"/>
                <w:lang w:val="ru-RU"/>
              </w:rPr>
              <w:t xml:space="preserve"> </w:t>
            </w:r>
            <m:oMath>
              <m:r>
                <m:rPr>
                  <m:sty m:val="p"/>
                </m:rPr>
                <w:rPr>
                  <w:rFonts w:ascii="Cambria Math" w:hAnsi="Cambria Math"/>
                  <w:sz w:val="24"/>
                  <w:szCs w:val="24"/>
                  <w:lang w:val="ru-RU"/>
                </w:rPr>
                <m:t>(</m:t>
              </m:r>
              <m:sSub>
                <m:sSubPr>
                  <m:ctrlPr>
                    <w:rPr>
                      <w:rFonts w:ascii="Cambria Math" w:hAnsi="Cambria Math"/>
                      <w:i/>
                      <w:sz w:val="24"/>
                      <w:szCs w:val="24"/>
                      <w:lang w:val="ru-RU"/>
                    </w:rPr>
                  </m:ctrlPr>
                </m:sSubPr>
                <m:e>
                  <m:r>
                    <w:rPr>
                      <w:rFonts w:ascii="Cambria Math" w:hAnsi="Cambria Math"/>
                      <w:sz w:val="24"/>
                      <w:szCs w:val="24"/>
                      <w:lang w:val="ru-RU"/>
                    </w:rPr>
                    <m:t>B</m:t>
                  </m:r>
                </m:e>
                <m:sub>
                  <m:r>
                    <w:rPr>
                      <w:rFonts w:ascii="Cambria Math" w:hAnsi="Cambria Math"/>
                      <w:sz w:val="24"/>
                      <w:szCs w:val="24"/>
                      <w:lang w:val="ru-RU"/>
                    </w:rPr>
                    <m:t>ref</m:t>
                  </m:r>
                </m:sub>
              </m:sSub>
              <m:r>
                <m:rPr>
                  <m:sty m:val="p"/>
                </m:rPr>
                <w:rPr>
                  <w:rFonts w:ascii="Cambria Math" w:hAnsi="Cambria Math"/>
                  <w:sz w:val="24"/>
                  <w:szCs w:val="24"/>
                  <w:lang w:val="ru-RU"/>
                </w:rPr>
                <m:t>)</m:t>
              </m:r>
            </m:oMath>
          </w:p>
        </w:tc>
        <w:tc>
          <w:tcPr>
            <w:tcW w:w="1985" w:type="dxa"/>
          </w:tcPr>
          <w:p w14:paraId="0FDC27B0" w14:textId="50947382" w:rsidR="0082678D" w:rsidRPr="00BA38CD" w:rsidRDefault="00BF5D4A" w:rsidP="00BF5D4A">
            <w:pPr>
              <w:pStyle w:val="Tabletext"/>
              <w:jc w:val="center"/>
              <w:rPr>
                <w:sz w:val="24"/>
                <w:szCs w:val="24"/>
                <w:lang w:val="ru-RU"/>
              </w:rPr>
            </w:pPr>
            <w:r w:rsidRPr="00BA38CD">
              <w:rPr>
                <w:sz w:val="24"/>
                <w:szCs w:val="24"/>
                <w:lang w:val="ru-RU"/>
              </w:rPr>
              <w:t>−</w:t>
            </w:r>
          </w:p>
        </w:tc>
        <w:tc>
          <w:tcPr>
            <w:tcW w:w="2551" w:type="dxa"/>
          </w:tcPr>
          <w:p w14:paraId="0BEB332D" w14:textId="2ED9BF40" w:rsidR="0082678D" w:rsidRPr="00BA38CD" w:rsidRDefault="00BF5D4A" w:rsidP="00BF5D4A">
            <w:pPr>
              <w:pStyle w:val="Tabletext"/>
              <w:jc w:val="center"/>
              <w:rPr>
                <w:sz w:val="24"/>
                <w:szCs w:val="24"/>
                <w:lang w:val="ru-RU"/>
              </w:rPr>
            </w:pPr>
            <w:r w:rsidRPr="00BA38CD">
              <w:rPr>
                <w:sz w:val="24"/>
                <w:szCs w:val="24"/>
                <w:lang w:val="ru-RU"/>
              </w:rPr>
              <w:t>−</w:t>
            </w:r>
          </w:p>
        </w:tc>
        <w:tc>
          <w:tcPr>
            <w:tcW w:w="1579" w:type="dxa"/>
          </w:tcPr>
          <w:p w14:paraId="59170D94" w14:textId="77777777" w:rsidR="0082678D" w:rsidRPr="00BA38CD" w:rsidRDefault="00353DE6" w:rsidP="00BF5D4A">
            <w:pPr>
              <w:pStyle w:val="Tabletext"/>
              <w:jc w:val="center"/>
              <w:rPr>
                <w:rFonts w:eastAsia="SimSun"/>
                <w:sz w:val="24"/>
                <w:szCs w:val="24"/>
                <w:lang w:val="ru-RU"/>
              </w:rPr>
            </w:pPr>
            <m:oMathPara>
              <m:oMath>
                <m:sSub>
                  <m:sSubPr>
                    <m:ctrlPr>
                      <w:rPr>
                        <w:rFonts w:ascii="Cambria Math" w:hAnsi="Cambria Math"/>
                        <w:i/>
                        <w:sz w:val="24"/>
                        <w:szCs w:val="24"/>
                        <w:lang w:val="ru-RU"/>
                      </w:rPr>
                    </m:ctrlPr>
                  </m:sSubPr>
                  <m:e>
                    <m:r>
                      <w:rPr>
                        <w:rFonts w:ascii="Cambria Math" w:hAnsi="Cambria Math"/>
                        <w:sz w:val="24"/>
                        <w:szCs w:val="24"/>
                        <w:lang w:val="ru-RU"/>
                      </w:rPr>
                      <m:t>P</m:t>
                    </m:r>
                  </m:e>
                  <m:sub>
                    <m:r>
                      <w:rPr>
                        <w:rFonts w:ascii="Cambria Math" w:hAnsi="Cambria Math"/>
                        <w:sz w:val="24"/>
                        <w:szCs w:val="24"/>
                        <w:lang w:val="ru-RU"/>
                      </w:rPr>
                      <m:t>used</m:t>
                    </m:r>
                  </m:sub>
                </m:sSub>
              </m:oMath>
            </m:oMathPara>
          </w:p>
        </w:tc>
      </w:tr>
    </w:tbl>
    <w:p w14:paraId="3F6BA96E" w14:textId="77777777" w:rsidR="0082678D" w:rsidRPr="00BA38CD" w:rsidRDefault="0082678D" w:rsidP="00593891">
      <w:pPr>
        <w:pStyle w:val="Headingb"/>
        <w:spacing w:before="360"/>
        <w:rPr>
          <w:bCs/>
          <w:sz w:val="24"/>
          <w:szCs w:val="24"/>
          <w:lang w:val="ru-RU"/>
        </w:rPr>
      </w:pPr>
      <w:r w:rsidRPr="00BA38CD">
        <w:rPr>
          <w:bCs/>
          <w:sz w:val="24"/>
          <w:szCs w:val="24"/>
          <w:lang w:val="ru-RU"/>
        </w:rPr>
        <w:t>Процедура</w:t>
      </w:r>
    </w:p>
    <w:p w14:paraId="204FAFA3" w14:textId="0C1655B9" w:rsidR="0082678D" w:rsidRPr="00BA38CD" w:rsidRDefault="00BF5D4A" w:rsidP="00BF5D4A">
      <w:pPr>
        <w:rPr>
          <w:sz w:val="24"/>
          <w:szCs w:val="24"/>
          <w:lang w:val="ru-RU"/>
        </w:rPr>
      </w:pPr>
      <w:r w:rsidRPr="00BA38CD">
        <w:rPr>
          <w:sz w:val="24"/>
          <w:szCs w:val="24"/>
          <w:lang w:val="ru-RU"/>
        </w:rPr>
        <w:t>1</w:t>
      </w:r>
      <w:r w:rsidRPr="00BA38CD">
        <w:rPr>
          <w:sz w:val="24"/>
          <w:szCs w:val="24"/>
          <w:lang w:val="ru-RU"/>
        </w:rPr>
        <w:tab/>
      </w:r>
      <w:r w:rsidR="0082678D" w:rsidRPr="00BA38CD">
        <w:rPr>
          <w:sz w:val="24"/>
          <w:szCs w:val="24"/>
          <w:lang w:val="ru-RU"/>
        </w:rPr>
        <w:t>Определить ширину полосы усреднения (</w:t>
      </w:r>
      <m:oMath>
        <m:sSub>
          <m:sSubPr>
            <m:ctrlPr>
              <w:rPr>
                <w:rFonts w:ascii="Cambria Math" w:hAnsi="Cambria Math"/>
                <w:i/>
                <w:sz w:val="24"/>
                <w:szCs w:val="24"/>
                <w:lang w:val="ru-RU"/>
              </w:rPr>
            </m:ctrlPr>
          </m:sSubPr>
          <m:e>
            <m:r>
              <w:rPr>
                <w:rFonts w:ascii="Cambria Math" w:hAnsi="Cambria Math"/>
                <w:sz w:val="24"/>
                <w:szCs w:val="24"/>
                <w:lang w:val="ru-RU"/>
              </w:rPr>
              <m:t>B</m:t>
            </m:r>
          </m:e>
          <m:sub>
            <m:r>
              <w:rPr>
                <w:rFonts w:ascii="Cambria Math" w:hAnsi="Cambria Math"/>
                <w:sz w:val="24"/>
                <w:szCs w:val="24"/>
                <w:lang w:val="ru-RU"/>
              </w:rPr>
              <m:t>avg</m:t>
            </m:r>
          </m:sub>
        </m:sSub>
      </m:oMath>
      <w:r w:rsidR="0082678D" w:rsidRPr="00BA38CD">
        <w:rPr>
          <w:sz w:val="24"/>
          <w:szCs w:val="24"/>
          <w:lang w:val="ru-RU"/>
        </w:rPr>
        <w:t>)</w:t>
      </w:r>
    </w:p>
    <w:p w14:paraId="2C11CF6A" w14:textId="1FB40E1E" w:rsidR="0082678D" w:rsidRPr="00BA38CD" w:rsidRDefault="0082678D" w:rsidP="0082678D">
      <w:pPr>
        <w:pStyle w:val="enumlev1"/>
        <w:ind w:left="360" w:firstLine="0"/>
        <w:rPr>
          <w:sz w:val="24"/>
          <w:szCs w:val="24"/>
          <w:lang w:val="ru-RU"/>
        </w:rPr>
      </w:pPr>
      <w:r w:rsidRPr="00BA38CD">
        <w:rPr>
          <w:sz w:val="24"/>
          <w:szCs w:val="24"/>
          <w:lang w:val="ru-RU"/>
        </w:rPr>
        <w:tab/>
        <w:t xml:space="preserve">Если центральная частота частотного присвоения ниже 15 ГГц, </w:t>
      </w:r>
      <m:oMath>
        <m:sSub>
          <m:sSubPr>
            <m:ctrlPr>
              <w:rPr>
                <w:rFonts w:ascii="Cambria Math" w:hAnsi="Cambria Math"/>
                <w:i/>
                <w:sz w:val="24"/>
                <w:szCs w:val="24"/>
                <w:lang w:val="ru-RU"/>
              </w:rPr>
            </m:ctrlPr>
          </m:sSubPr>
          <m:e>
            <m:r>
              <w:rPr>
                <w:rFonts w:ascii="Cambria Math" w:hAnsi="Cambria Math"/>
                <w:sz w:val="24"/>
                <w:szCs w:val="24"/>
                <w:lang w:val="ru-RU"/>
              </w:rPr>
              <m:t>B</m:t>
            </m:r>
          </m:e>
          <m:sub>
            <m:r>
              <w:rPr>
                <w:rFonts w:ascii="Cambria Math" w:hAnsi="Cambria Math"/>
                <w:sz w:val="24"/>
                <w:szCs w:val="24"/>
                <w:lang w:val="ru-RU"/>
              </w:rPr>
              <m:t>avg</m:t>
            </m:r>
          </m:sub>
        </m:sSub>
        <m:r>
          <w:rPr>
            <w:rFonts w:ascii="Cambria Math" w:hAnsi="Cambria Math"/>
            <w:sz w:val="24"/>
            <w:szCs w:val="24"/>
            <w:lang w:val="ru-RU"/>
          </w:rPr>
          <m:t>=4 кГц</m:t>
        </m:r>
      </m:oMath>
      <w:r w:rsidRPr="00BA38CD">
        <w:rPr>
          <w:sz w:val="24"/>
          <w:szCs w:val="24"/>
          <w:lang w:val="ru-RU"/>
        </w:rPr>
        <w:t>,</w:t>
      </w:r>
    </w:p>
    <w:p w14:paraId="424EEF1F" w14:textId="25FC1F78" w:rsidR="00BA38CD" w:rsidRDefault="0082678D" w:rsidP="0082678D">
      <w:pPr>
        <w:pStyle w:val="enumlev1"/>
        <w:rPr>
          <w:sz w:val="24"/>
          <w:szCs w:val="24"/>
          <w:lang w:val="ru-RU"/>
        </w:rPr>
      </w:pPr>
      <w:r w:rsidRPr="00BA38CD">
        <w:rPr>
          <w:sz w:val="24"/>
          <w:szCs w:val="24"/>
          <w:lang w:val="ru-RU"/>
        </w:rPr>
        <w:tab/>
        <w:t xml:space="preserve">в ином случае </w:t>
      </w:r>
      <m:oMath>
        <m:sSub>
          <m:sSubPr>
            <m:ctrlPr>
              <w:rPr>
                <w:rFonts w:ascii="Cambria Math" w:hAnsi="Cambria Math"/>
                <w:i/>
                <w:sz w:val="24"/>
                <w:szCs w:val="24"/>
                <w:lang w:val="ru-RU"/>
              </w:rPr>
            </m:ctrlPr>
          </m:sSubPr>
          <m:e>
            <m:r>
              <w:rPr>
                <w:rFonts w:ascii="Cambria Math" w:hAnsi="Cambria Math"/>
                <w:sz w:val="24"/>
                <w:szCs w:val="24"/>
                <w:lang w:val="ru-RU"/>
              </w:rPr>
              <m:t>B</m:t>
            </m:r>
          </m:e>
          <m:sub>
            <m:r>
              <w:rPr>
                <w:rFonts w:ascii="Cambria Math" w:hAnsi="Cambria Math"/>
                <w:sz w:val="24"/>
                <w:szCs w:val="24"/>
                <w:lang w:val="ru-RU"/>
              </w:rPr>
              <m:t>avg</m:t>
            </m:r>
          </m:sub>
        </m:sSub>
        <m:r>
          <w:rPr>
            <w:rFonts w:ascii="Cambria Math" w:hAnsi="Cambria Math"/>
            <w:sz w:val="24"/>
            <w:szCs w:val="24"/>
            <w:lang w:val="ru-RU"/>
          </w:rPr>
          <m:t>=1 МГц</m:t>
        </m:r>
      </m:oMath>
      <w:r w:rsidR="00BF5D4A" w:rsidRPr="00BA38CD">
        <w:rPr>
          <w:sz w:val="24"/>
          <w:szCs w:val="24"/>
          <w:lang w:val="ru-RU"/>
        </w:rPr>
        <w:t>.</w:t>
      </w:r>
    </w:p>
    <w:p w14:paraId="54500660" w14:textId="77777777" w:rsidR="00BA38CD" w:rsidRDefault="00BA38CD">
      <w:pPr>
        <w:tabs>
          <w:tab w:val="clear" w:pos="794"/>
          <w:tab w:val="clear" w:pos="1191"/>
          <w:tab w:val="clear" w:pos="1588"/>
          <w:tab w:val="clear" w:pos="1985"/>
        </w:tabs>
        <w:overflowPunct/>
        <w:autoSpaceDE/>
        <w:autoSpaceDN/>
        <w:adjustRightInd/>
        <w:spacing w:before="0"/>
        <w:textAlignment w:val="auto"/>
        <w:rPr>
          <w:sz w:val="24"/>
          <w:szCs w:val="24"/>
          <w:lang w:val="ru-RU"/>
        </w:rPr>
      </w:pPr>
      <w:r>
        <w:rPr>
          <w:sz w:val="24"/>
          <w:szCs w:val="24"/>
          <w:lang w:val="ru-RU"/>
        </w:rPr>
        <w:br w:type="page"/>
      </w:r>
    </w:p>
    <w:p w14:paraId="69385B64" w14:textId="77E0D6A6" w:rsidR="0082678D" w:rsidRPr="00BA38CD" w:rsidRDefault="00BF5D4A" w:rsidP="00BF5D4A">
      <w:pPr>
        <w:rPr>
          <w:sz w:val="24"/>
          <w:szCs w:val="24"/>
          <w:lang w:val="ru-RU"/>
        </w:rPr>
      </w:pPr>
      <w:r w:rsidRPr="00BA38CD">
        <w:rPr>
          <w:sz w:val="24"/>
          <w:szCs w:val="24"/>
          <w:lang w:val="ru-RU"/>
        </w:rPr>
        <w:lastRenderedPageBreak/>
        <w:t>2</w:t>
      </w:r>
      <w:r w:rsidRPr="00BA38CD">
        <w:rPr>
          <w:sz w:val="24"/>
          <w:szCs w:val="24"/>
          <w:lang w:val="ru-RU"/>
        </w:rPr>
        <w:tab/>
      </w:r>
      <w:r w:rsidR="0082678D" w:rsidRPr="00BA38CD">
        <w:rPr>
          <w:sz w:val="24"/>
          <w:szCs w:val="24"/>
          <w:lang w:val="ru-RU"/>
        </w:rPr>
        <w:t xml:space="preserve">Рассчитать передаваемую мощность </w:t>
      </w:r>
      <m:oMath>
        <m:sSub>
          <m:sSubPr>
            <m:ctrlPr>
              <w:rPr>
                <w:rFonts w:ascii="Cambria Math" w:hAnsi="Cambria Math"/>
                <w:i/>
                <w:sz w:val="24"/>
                <w:szCs w:val="24"/>
                <w:lang w:val="ru-RU"/>
              </w:rPr>
            </m:ctrlPr>
          </m:sSubPr>
          <m:e>
            <m:r>
              <w:rPr>
                <w:rFonts w:ascii="Cambria Math" w:hAnsi="Cambria Math"/>
                <w:sz w:val="24"/>
                <w:szCs w:val="24"/>
                <w:lang w:val="ru-RU"/>
              </w:rPr>
              <m:t>P</m:t>
            </m:r>
          </m:e>
          <m:sub>
            <m:r>
              <w:rPr>
                <w:rFonts w:ascii="Cambria Math" w:hAnsi="Cambria Math"/>
                <w:sz w:val="24"/>
                <w:szCs w:val="24"/>
                <w:lang w:val="ru-RU"/>
              </w:rPr>
              <m:t>used</m:t>
            </m:r>
          </m:sub>
        </m:sSub>
        <m:r>
          <w:rPr>
            <w:rFonts w:ascii="Cambria Math" w:hAnsi="Cambria Math"/>
            <w:sz w:val="24"/>
            <w:szCs w:val="24"/>
            <w:lang w:val="ru-RU"/>
          </w:rPr>
          <m:t xml:space="preserve"> в </m:t>
        </m:r>
        <m:sSub>
          <m:sSubPr>
            <m:ctrlPr>
              <w:rPr>
                <w:rFonts w:ascii="Cambria Math" w:hAnsi="Cambria Math"/>
                <w:i/>
                <w:sz w:val="24"/>
                <w:szCs w:val="24"/>
                <w:lang w:val="ru-RU"/>
              </w:rPr>
            </m:ctrlPr>
          </m:sSubPr>
          <m:e>
            <m:r>
              <w:rPr>
                <w:rFonts w:ascii="Cambria Math" w:hAnsi="Cambria Math"/>
                <w:sz w:val="24"/>
                <w:szCs w:val="24"/>
                <w:lang w:val="ru-RU"/>
              </w:rPr>
              <m:t>B</m:t>
            </m:r>
          </m:e>
          <m:sub>
            <m:r>
              <w:rPr>
                <w:rFonts w:ascii="Cambria Math" w:hAnsi="Cambria Math"/>
                <w:sz w:val="24"/>
                <w:szCs w:val="24"/>
                <w:lang w:val="ru-RU"/>
              </w:rPr>
              <m:t>ref</m:t>
            </m:r>
          </m:sub>
        </m:sSub>
      </m:oMath>
    </w:p>
    <w:p w14:paraId="3216F115" w14:textId="77777777" w:rsidR="0082678D" w:rsidRPr="00BA38CD" w:rsidRDefault="0082678D" w:rsidP="0082678D">
      <w:pPr>
        <w:pStyle w:val="enumlev1"/>
        <w:rPr>
          <w:rFonts w:asciiTheme="minorHAnsi" w:hAnsiTheme="minorHAnsi" w:cstheme="minorHAnsi"/>
          <w:sz w:val="24"/>
          <w:szCs w:val="24"/>
          <w:lang w:val="ru-RU"/>
        </w:rPr>
      </w:pPr>
      <w:r w:rsidRPr="00BA38CD">
        <w:rPr>
          <w:sz w:val="24"/>
          <w:szCs w:val="24"/>
          <w:lang w:val="ru-RU"/>
        </w:rPr>
        <w:tab/>
      </w:r>
      <w:r w:rsidRPr="00BA38CD">
        <w:rPr>
          <w:rFonts w:asciiTheme="minorHAnsi" w:hAnsiTheme="minorHAnsi" w:cstheme="minorHAnsi"/>
          <w:b/>
          <w:bCs/>
          <w:sz w:val="24"/>
          <w:szCs w:val="24"/>
          <w:lang w:val="ru-RU"/>
        </w:rPr>
        <w:t xml:space="preserve">В случае </w:t>
      </w:r>
      <m:oMath>
        <m:sSub>
          <m:sSubPr>
            <m:ctrlPr>
              <w:rPr>
                <w:rFonts w:ascii="Cambria Math" w:hAnsi="Cambria Math" w:cstheme="minorHAnsi"/>
                <w:i/>
                <w:sz w:val="24"/>
                <w:szCs w:val="24"/>
                <w:lang w:val="ru-RU"/>
              </w:rPr>
            </m:ctrlPr>
          </m:sSubPr>
          <m:e>
            <m:r>
              <w:rPr>
                <w:rFonts w:ascii="Cambria Math" w:hAnsi="Cambria Math" w:cstheme="minorHAnsi"/>
                <w:sz w:val="24"/>
                <w:szCs w:val="24"/>
                <w:lang w:val="ru-RU"/>
              </w:rPr>
              <m:t>B</m:t>
            </m:r>
          </m:e>
          <m:sub>
            <m:r>
              <w:rPr>
                <w:rFonts w:ascii="Cambria Math" w:hAnsi="Cambria Math" w:cstheme="minorHAnsi"/>
                <w:sz w:val="24"/>
                <w:szCs w:val="24"/>
                <w:lang w:val="ru-RU"/>
              </w:rPr>
              <m:t>avg</m:t>
            </m:r>
          </m:sub>
        </m:sSub>
        <m:r>
          <w:rPr>
            <w:rFonts w:ascii="Cambria Math" w:hAnsi="Cambria Math" w:cstheme="minorHAnsi"/>
            <w:sz w:val="24"/>
            <w:szCs w:val="24"/>
            <w:lang w:val="ru-RU"/>
          </w:rPr>
          <m:t xml:space="preserve">= </m:t>
        </m:r>
        <m:sSub>
          <m:sSubPr>
            <m:ctrlPr>
              <w:rPr>
                <w:rFonts w:ascii="Cambria Math" w:hAnsi="Cambria Math" w:cstheme="minorHAnsi"/>
                <w:i/>
                <w:sz w:val="24"/>
                <w:szCs w:val="24"/>
                <w:lang w:val="ru-RU"/>
              </w:rPr>
            </m:ctrlPr>
          </m:sSubPr>
          <m:e>
            <m:r>
              <w:rPr>
                <w:rFonts w:ascii="Cambria Math" w:hAnsi="Cambria Math" w:cstheme="minorHAnsi"/>
                <w:sz w:val="24"/>
                <w:szCs w:val="24"/>
                <w:lang w:val="ru-RU"/>
              </w:rPr>
              <m:t>B</m:t>
            </m:r>
          </m:e>
          <m:sub>
            <m:r>
              <w:rPr>
                <w:rFonts w:ascii="Cambria Math" w:hAnsi="Cambria Math" w:cstheme="minorHAnsi"/>
                <w:sz w:val="24"/>
                <w:szCs w:val="24"/>
                <w:lang w:val="ru-RU"/>
              </w:rPr>
              <m:t>ref</m:t>
            </m:r>
          </m:sub>
        </m:sSub>
      </m:oMath>
      <w:r w:rsidRPr="00BA38CD">
        <w:rPr>
          <w:rFonts w:asciiTheme="minorHAnsi" w:hAnsiTheme="minorHAnsi" w:cstheme="minorHAnsi"/>
          <w:sz w:val="24"/>
          <w:szCs w:val="24"/>
          <w:lang w:val="ru-RU"/>
        </w:rPr>
        <w:t xml:space="preserve"> </w:t>
      </w:r>
      <w:r w:rsidRPr="00BA38CD">
        <w:rPr>
          <w:rFonts w:asciiTheme="minorHAnsi" w:hAnsiTheme="minorHAnsi" w:cstheme="minorHAnsi"/>
          <w:b/>
          <w:bCs/>
          <w:sz w:val="24"/>
          <w:szCs w:val="24"/>
          <w:lang w:val="ru-RU"/>
        </w:rPr>
        <w:t>(дополнительная мера в соответствии с Рекомендацией МСЭ-R SF.675)</w:t>
      </w:r>
      <w:r w:rsidRPr="00BA38CD">
        <w:rPr>
          <w:rFonts w:asciiTheme="minorHAnsi" w:hAnsiTheme="minorHAnsi" w:cstheme="minorHAnsi"/>
          <w:sz w:val="24"/>
          <w:szCs w:val="24"/>
          <w:lang w:val="ru-RU"/>
        </w:rPr>
        <w:t>:</w:t>
      </w:r>
    </w:p>
    <w:p w14:paraId="352B7FBB" w14:textId="027702F4" w:rsidR="0082678D" w:rsidRPr="00BA38CD" w:rsidRDefault="00353DE6" w:rsidP="00BF5D4A">
      <w:pPr>
        <w:jc w:val="center"/>
        <w:rPr>
          <w:sz w:val="24"/>
          <w:szCs w:val="24"/>
          <w:lang w:val="ru-RU"/>
        </w:rPr>
      </w:pPr>
      <m:oMath>
        <m:sSub>
          <m:sSubPr>
            <m:ctrlPr>
              <w:rPr>
                <w:rFonts w:ascii="Cambria Math" w:hAnsi="Cambria Math"/>
                <w:sz w:val="24"/>
                <w:szCs w:val="24"/>
                <w:lang w:val="ru-RU"/>
              </w:rPr>
            </m:ctrlPr>
          </m:sSubPr>
          <m:e>
            <m:r>
              <w:rPr>
                <w:rFonts w:ascii="Cambria Math" w:hAnsi="Cambria Math"/>
                <w:sz w:val="24"/>
                <w:szCs w:val="24"/>
                <w:lang w:val="ru-RU"/>
              </w:rPr>
              <m:t>P</m:t>
            </m:r>
          </m:e>
          <m:sub>
            <m:r>
              <w:rPr>
                <w:rFonts w:ascii="Cambria Math" w:hAnsi="Cambria Math"/>
                <w:sz w:val="24"/>
                <w:szCs w:val="24"/>
                <w:lang w:val="ru-RU"/>
              </w:rPr>
              <m:t>used</m:t>
            </m:r>
          </m:sub>
        </m:sSub>
        <m:r>
          <m:rPr>
            <m:sty m:val="p"/>
          </m:rPr>
          <w:rPr>
            <w:rFonts w:ascii="Cambria Math" w:hAnsi="Cambria Math"/>
            <w:sz w:val="24"/>
            <w:szCs w:val="24"/>
            <w:lang w:val="ru-RU"/>
          </w:rPr>
          <m:t>=</m:t>
        </m:r>
        <m:sSub>
          <m:sSubPr>
            <m:ctrlPr>
              <w:rPr>
                <w:rFonts w:ascii="Cambria Math" w:hAnsi="Cambria Math"/>
                <w:sz w:val="24"/>
                <w:szCs w:val="24"/>
                <w:lang w:val="ru-RU"/>
              </w:rPr>
            </m:ctrlPr>
          </m:sSubPr>
          <m:e>
            <m:r>
              <w:rPr>
                <w:rFonts w:ascii="Cambria Math" w:hAnsi="Cambria Math"/>
                <w:sz w:val="24"/>
                <w:szCs w:val="24"/>
                <w:lang w:val="ru-RU"/>
              </w:rPr>
              <m:t>PSD</m:t>
            </m:r>
          </m:e>
          <m:sub>
            <m:r>
              <w:rPr>
                <w:rFonts w:ascii="Cambria Math" w:hAnsi="Cambria Math"/>
                <w:sz w:val="24"/>
                <w:szCs w:val="24"/>
                <w:lang w:val="ru-RU"/>
              </w:rPr>
              <m:t>max</m:t>
            </m:r>
          </m:sub>
        </m:sSub>
        <m:r>
          <m:rPr>
            <m:sty m:val="p"/>
          </m:rPr>
          <w:rPr>
            <w:rFonts w:ascii="Cambria Math" w:hAnsi="Cambria Math"/>
            <w:sz w:val="24"/>
            <w:szCs w:val="24"/>
            <w:lang w:val="ru-RU"/>
          </w:rPr>
          <m:t xml:space="preserve">+10 </m:t>
        </m:r>
        <m:func>
          <m:funcPr>
            <m:ctrlPr>
              <w:rPr>
                <w:rFonts w:ascii="Cambria Math" w:hAnsi="Cambria Math"/>
                <w:sz w:val="24"/>
                <w:szCs w:val="24"/>
                <w:lang w:val="ru-RU"/>
              </w:rPr>
            </m:ctrlPr>
          </m:funcPr>
          <m:fName>
            <m:r>
              <m:rPr>
                <m:sty m:val="p"/>
              </m:rPr>
              <w:rPr>
                <w:rFonts w:ascii="Cambria Math" w:hAnsi="Cambria Math"/>
                <w:sz w:val="24"/>
                <w:szCs w:val="24"/>
                <w:lang w:val="ru-RU"/>
              </w:rPr>
              <m:t>log</m:t>
            </m:r>
          </m:fName>
          <m:e>
            <m:sSub>
              <m:sSubPr>
                <m:ctrlPr>
                  <w:rPr>
                    <w:rFonts w:ascii="Cambria Math" w:hAnsi="Cambria Math"/>
                    <w:sz w:val="24"/>
                    <w:szCs w:val="24"/>
                    <w:lang w:val="ru-RU"/>
                  </w:rPr>
                </m:ctrlPr>
              </m:sSubPr>
              <m:e>
                <m:r>
                  <w:rPr>
                    <w:rFonts w:ascii="Cambria Math" w:hAnsi="Cambria Math"/>
                    <w:sz w:val="24"/>
                    <w:szCs w:val="24"/>
                    <w:lang w:val="ru-RU"/>
                  </w:rPr>
                  <m:t>B</m:t>
                </m:r>
              </m:e>
              <m:sub>
                <m:r>
                  <w:rPr>
                    <w:rFonts w:ascii="Cambria Math" w:hAnsi="Cambria Math"/>
                    <w:sz w:val="24"/>
                    <w:szCs w:val="24"/>
                    <w:lang w:val="ru-RU"/>
                  </w:rPr>
                  <m:t>ref</m:t>
                </m:r>
              </m:sub>
            </m:sSub>
          </m:e>
        </m:func>
      </m:oMath>
      <w:r w:rsidR="00BF5D4A" w:rsidRPr="00BA38CD">
        <w:rPr>
          <w:sz w:val="24"/>
          <w:szCs w:val="24"/>
          <w:lang w:val="ru-RU"/>
        </w:rPr>
        <w:t>.</w:t>
      </w:r>
    </w:p>
    <w:p w14:paraId="780A6410" w14:textId="2F6C86FA" w:rsidR="00593891" w:rsidRPr="00BA38CD" w:rsidRDefault="00593891">
      <w:pPr>
        <w:tabs>
          <w:tab w:val="clear" w:pos="794"/>
          <w:tab w:val="clear" w:pos="1191"/>
          <w:tab w:val="clear" w:pos="1588"/>
          <w:tab w:val="clear" w:pos="1985"/>
        </w:tabs>
        <w:overflowPunct/>
        <w:autoSpaceDE/>
        <w:autoSpaceDN/>
        <w:adjustRightInd/>
        <w:spacing w:before="0"/>
        <w:textAlignment w:val="auto"/>
        <w:rPr>
          <w:sz w:val="24"/>
          <w:szCs w:val="24"/>
          <w:lang w:val="ru-RU"/>
        </w:rPr>
      </w:pPr>
    </w:p>
    <w:p w14:paraId="26801DAF" w14:textId="3AAC1E12" w:rsidR="0082678D" w:rsidRPr="00BA38CD" w:rsidRDefault="0082678D" w:rsidP="00BF5D4A">
      <w:pPr>
        <w:pStyle w:val="enumlev1"/>
        <w:keepNext/>
        <w:rPr>
          <w:rFonts w:asciiTheme="minorHAnsi" w:hAnsiTheme="minorHAnsi" w:cstheme="minorHAnsi"/>
          <w:b/>
          <w:bCs/>
          <w:sz w:val="24"/>
          <w:szCs w:val="24"/>
          <w:lang w:val="ru-RU"/>
        </w:rPr>
      </w:pPr>
      <w:r w:rsidRPr="00BA38CD">
        <w:rPr>
          <w:sz w:val="24"/>
          <w:szCs w:val="24"/>
          <w:lang w:val="ru-RU"/>
        </w:rPr>
        <w:tab/>
      </w:r>
      <w:r w:rsidRPr="00BA38CD">
        <w:rPr>
          <w:rFonts w:asciiTheme="minorHAnsi" w:hAnsiTheme="minorHAnsi" w:cstheme="minorHAnsi"/>
          <w:b/>
          <w:bCs/>
          <w:sz w:val="24"/>
          <w:szCs w:val="24"/>
          <w:lang w:val="ru-RU"/>
        </w:rPr>
        <w:t xml:space="preserve">В случае </w:t>
      </w:r>
      <m:oMath>
        <m:sSub>
          <m:sSubPr>
            <m:ctrlPr>
              <w:rPr>
                <w:rFonts w:ascii="Cambria Math" w:hAnsi="Cambria Math" w:cstheme="minorHAnsi"/>
                <w:i/>
                <w:sz w:val="24"/>
                <w:szCs w:val="24"/>
                <w:lang w:val="ru-RU"/>
              </w:rPr>
            </m:ctrlPr>
          </m:sSubPr>
          <m:e>
            <m:r>
              <w:rPr>
                <w:rFonts w:ascii="Cambria Math" w:hAnsi="Cambria Math" w:cstheme="minorHAnsi"/>
                <w:sz w:val="24"/>
                <w:szCs w:val="24"/>
                <w:lang w:val="ru-RU"/>
              </w:rPr>
              <m:t>B</m:t>
            </m:r>
          </m:e>
          <m:sub>
            <m:r>
              <w:rPr>
                <w:rFonts w:ascii="Cambria Math" w:hAnsi="Cambria Math" w:cstheme="minorHAnsi"/>
                <w:sz w:val="24"/>
                <w:szCs w:val="24"/>
                <w:lang w:val="ru-RU"/>
              </w:rPr>
              <m:t>avg</m:t>
            </m:r>
          </m:sub>
        </m:sSub>
        <m:r>
          <w:rPr>
            <w:rFonts w:ascii="Cambria Math" w:hAnsi="Cambria Math" w:cstheme="minorHAnsi"/>
            <w:sz w:val="24"/>
            <w:szCs w:val="24"/>
            <w:lang w:val="ru-RU"/>
          </w:rPr>
          <m:t xml:space="preserve">&lt; </m:t>
        </m:r>
        <m:sSub>
          <m:sSubPr>
            <m:ctrlPr>
              <w:rPr>
                <w:rFonts w:ascii="Cambria Math" w:hAnsi="Cambria Math" w:cstheme="minorHAnsi"/>
                <w:i/>
                <w:sz w:val="24"/>
                <w:szCs w:val="24"/>
                <w:lang w:val="ru-RU"/>
              </w:rPr>
            </m:ctrlPr>
          </m:sSubPr>
          <m:e>
            <m:r>
              <w:rPr>
                <w:rFonts w:ascii="Cambria Math" w:hAnsi="Cambria Math" w:cstheme="minorHAnsi"/>
                <w:sz w:val="24"/>
                <w:szCs w:val="24"/>
                <w:lang w:val="ru-RU"/>
              </w:rPr>
              <m:t>B</m:t>
            </m:r>
          </m:e>
          <m:sub>
            <m:r>
              <w:rPr>
                <w:rFonts w:ascii="Cambria Math" w:hAnsi="Cambria Math" w:cstheme="minorHAnsi"/>
                <w:sz w:val="24"/>
                <w:szCs w:val="24"/>
                <w:lang w:val="ru-RU"/>
              </w:rPr>
              <m:t>ref</m:t>
            </m:r>
          </m:sub>
        </m:sSub>
      </m:oMath>
      <w:r w:rsidRPr="00BA38CD">
        <w:rPr>
          <w:rFonts w:asciiTheme="minorHAnsi" w:hAnsiTheme="minorHAnsi" w:cstheme="minorHAnsi"/>
          <w:sz w:val="24"/>
          <w:szCs w:val="24"/>
          <w:lang w:val="ru-RU"/>
        </w:rPr>
        <w:t xml:space="preserve"> </w:t>
      </w:r>
      <w:r w:rsidRPr="00BA38CD">
        <w:rPr>
          <w:rFonts w:asciiTheme="minorHAnsi" w:hAnsiTheme="minorHAnsi" w:cstheme="minorHAnsi"/>
          <w:b/>
          <w:bCs/>
          <w:sz w:val="24"/>
          <w:szCs w:val="24"/>
          <w:lang w:val="ru-RU"/>
        </w:rPr>
        <w:t>(традиционный метод, применявшийся ранее)</w:t>
      </w:r>
      <w:r w:rsidRPr="00BA38CD">
        <w:rPr>
          <w:rFonts w:asciiTheme="minorHAnsi" w:hAnsiTheme="minorHAnsi" w:cstheme="minorHAnsi"/>
          <w:sz w:val="24"/>
          <w:szCs w:val="24"/>
          <w:lang w:val="ru-RU"/>
        </w:rPr>
        <w:t>:</w:t>
      </w:r>
    </w:p>
    <w:p w14:paraId="32973FF0" w14:textId="77777777" w:rsidR="0082678D" w:rsidRPr="00BA38CD" w:rsidRDefault="0082678D" w:rsidP="0082678D">
      <w:pPr>
        <w:ind w:left="1440"/>
        <w:rPr>
          <w:sz w:val="24"/>
          <w:szCs w:val="24"/>
          <w:lang w:val="ru-RU"/>
        </w:rPr>
      </w:pPr>
      <w:r w:rsidRPr="00BA38CD">
        <w:rPr>
          <w:sz w:val="24"/>
          <w:szCs w:val="24"/>
          <w:lang w:val="ru-RU"/>
        </w:rPr>
        <w:t>Если</w:t>
      </w:r>
      <m:oMath>
        <m:r>
          <w:rPr>
            <w:rFonts w:ascii="Cambria Math" w:hAnsi="Cambria Math"/>
            <w:sz w:val="24"/>
            <w:szCs w:val="24"/>
            <w:lang w:val="ru-RU"/>
          </w:rPr>
          <m:t xml:space="preserve"> B≥ </m:t>
        </m:r>
        <m:sSub>
          <m:sSubPr>
            <m:ctrlPr>
              <w:rPr>
                <w:rFonts w:ascii="Cambria Math" w:hAnsi="Cambria Math"/>
                <w:i/>
                <w:sz w:val="24"/>
                <w:szCs w:val="24"/>
                <w:lang w:val="ru-RU"/>
              </w:rPr>
            </m:ctrlPr>
          </m:sSubPr>
          <m:e>
            <m:r>
              <w:rPr>
                <w:rFonts w:ascii="Cambria Math" w:hAnsi="Cambria Math"/>
                <w:sz w:val="24"/>
                <w:szCs w:val="24"/>
                <w:lang w:val="ru-RU"/>
              </w:rPr>
              <m:t>B</m:t>
            </m:r>
          </m:e>
          <m:sub>
            <m:r>
              <w:rPr>
                <w:rFonts w:ascii="Cambria Math" w:hAnsi="Cambria Math"/>
                <w:sz w:val="24"/>
                <w:szCs w:val="24"/>
                <w:lang w:val="ru-RU"/>
              </w:rPr>
              <m:t>ref</m:t>
            </m:r>
          </m:sub>
        </m:sSub>
      </m:oMath>
      <w:r w:rsidRPr="00BA38CD">
        <w:rPr>
          <w:sz w:val="24"/>
          <w:szCs w:val="24"/>
          <w:lang w:val="ru-RU"/>
        </w:rPr>
        <w:t>, то</w:t>
      </w:r>
    </w:p>
    <w:p w14:paraId="6F7CB200" w14:textId="5A3F657E" w:rsidR="0082678D" w:rsidRPr="00BA38CD" w:rsidRDefault="0082678D" w:rsidP="0082678D">
      <w:pPr>
        <w:ind w:left="1440"/>
        <w:rPr>
          <w:sz w:val="24"/>
          <w:szCs w:val="24"/>
          <w:lang w:val="ru-RU"/>
        </w:rPr>
      </w:pPr>
      <w:r w:rsidRPr="00BA38CD">
        <w:rPr>
          <w:sz w:val="24"/>
          <w:szCs w:val="24"/>
          <w:lang w:val="ru-RU"/>
        </w:rPr>
        <w:tab/>
      </w:r>
      <w:r w:rsidRPr="00BA38CD">
        <w:rPr>
          <w:sz w:val="24"/>
          <w:szCs w:val="24"/>
          <w:lang w:val="ru-RU"/>
        </w:rPr>
        <w:tab/>
      </w:r>
      <m:oMath>
        <m:sSub>
          <m:sSubPr>
            <m:ctrlPr>
              <w:rPr>
                <w:rFonts w:ascii="Cambria Math" w:hAnsi="Cambria Math"/>
                <w:i/>
                <w:sz w:val="24"/>
                <w:szCs w:val="24"/>
                <w:lang w:val="ru-RU"/>
              </w:rPr>
            </m:ctrlPr>
          </m:sSubPr>
          <m:e>
            <m:r>
              <w:rPr>
                <w:rFonts w:ascii="Cambria Math" w:hAnsi="Cambria Math"/>
                <w:sz w:val="24"/>
                <w:szCs w:val="24"/>
                <w:lang w:val="ru-RU"/>
              </w:rPr>
              <m:t>P</m:t>
            </m:r>
          </m:e>
          <m:sub>
            <m:r>
              <w:rPr>
                <w:rFonts w:ascii="Cambria Math" w:hAnsi="Cambria Math"/>
                <w:sz w:val="24"/>
                <w:szCs w:val="24"/>
                <w:lang w:val="ru-RU"/>
              </w:rPr>
              <m:t>used</m:t>
            </m:r>
          </m:sub>
        </m:sSub>
        <m:r>
          <w:rPr>
            <w:rFonts w:ascii="Cambria Math" w:hAnsi="Cambria Math"/>
            <w:sz w:val="24"/>
            <w:szCs w:val="24"/>
            <w:lang w:val="ru-RU"/>
          </w:rPr>
          <m:t>=Min</m:t>
        </m:r>
        <m:d>
          <m:dPr>
            <m:ctrlPr>
              <w:rPr>
                <w:rFonts w:ascii="Cambria Math" w:hAnsi="Cambria Math"/>
                <w:i/>
                <w:sz w:val="24"/>
                <w:szCs w:val="24"/>
                <w:lang w:val="ru-RU"/>
              </w:rPr>
            </m:ctrlPr>
          </m:dPr>
          <m:e>
            <m:sSub>
              <m:sSubPr>
                <m:ctrlPr>
                  <w:rPr>
                    <w:rFonts w:ascii="Cambria Math" w:hAnsi="Cambria Math"/>
                    <w:i/>
                    <w:sz w:val="24"/>
                    <w:szCs w:val="24"/>
                    <w:lang w:val="ru-RU"/>
                  </w:rPr>
                </m:ctrlPr>
              </m:sSubPr>
              <m:e>
                <m:r>
                  <w:rPr>
                    <w:rFonts w:ascii="Cambria Math" w:hAnsi="Cambria Math"/>
                    <w:sz w:val="24"/>
                    <w:szCs w:val="24"/>
                    <w:lang w:val="ru-RU"/>
                  </w:rPr>
                  <m:t>PSD</m:t>
                </m:r>
              </m:e>
              <m:sub>
                <m:r>
                  <w:rPr>
                    <w:rFonts w:ascii="Cambria Math" w:hAnsi="Cambria Math"/>
                    <w:sz w:val="24"/>
                    <w:szCs w:val="24"/>
                    <w:lang w:val="ru-RU"/>
                  </w:rPr>
                  <m:t>max</m:t>
                </m:r>
              </m:sub>
            </m:sSub>
            <m:r>
              <w:rPr>
                <w:rFonts w:ascii="Cambria Math" w:hAnsi="Cambria Math"/>
                <w:sz w:val="24"/>
                <w:szCs w:val="24"/>
                <w:lang w:val="ru-RU"/>
              </w:rPr>
              <m:t xml:space="preserve">+10 </m:t>
            </m:r>
            <m:func>
              <m:funcPr>
                <m:ctrlPr>
                  <w:rPr>
                    <w:rFonts w:ascii="Cambria Math" w:hAnsi="Cambria Math"/>
                    <w:i/>
                    <w:sz w:val="24"/>
                    <w:szCs w:val="24"/>
                    <w:lang w:val="ru-RU"/>
                  </w:rPr>
                </m:ctrlPr>
              </m:funcPr>
              <m:fName>
                <m:r>
                  <m:rPr>
                    <m:sty m:val="p"/>
                  </m:rPr>
                  <w:rPr>
                    <w:rFonts w:ascii="Cambria Math" w:hAnsi="Cambria Math"/>
                    <w:sz w:val="24"/>
                    <w:szCs w:val="24"/>
                    <w:lang w:val="ru-RU"/>
                  </w:rPr>
                  <m:t>log</m:t>
                </m:r>
              </m:fName>
              <m:e>
                <m:sSub>
                  <m:sSubPr>
                    <m:ctrlPr>
                      <w:rPr>
                        <w:rFonts w:ascii="Cambria Math" w:hAnsi="Cambria Math"/>
                        <w:i/>
                        <w:sz w:val="24"/>
                        <w:szCs w:val="24"/>
                        <w:lang w:val="ru-RU"/>
                      </w:rPr>
                    </m:ctrlPr>
                  </m:sSubPr>
                  <m:e>
                    <m:r>
                      <w:rPr>
                        <w:rFonts w:ascii="Cambria Math" w:hAnsi="Cambria Math"/>
                        <w:sz w:val="24"/>
                        <w:szCs w:val="24"/>
                        <w:lang w:val="ru-RU"/>
                      </w:rPr>
                      <m:t>B</m:t>
                    </m:r>
                  </m:e>
                  <m:sub>
                    <m:r>
                      <w:rPr>
                        <w:rFonts w:ascii="Cambria Math" w:hAnsi="Cambria Math"/>
                        <w:sz w:val="24"/>
                        <w:szCs w:val="24"/>
                        <w:lang w:val="ru-RU"/>
                      </w:rPr>
                      <m:t>ref</m:t>
                    </m:r>
                  </m:sub>
                </m:sSub>
              </m:e>
            </m:func>
            <m:r>
              <w:rPr>
                <w:rFonts w:ascii="Cambria Math" w:hAnsi="Cambria Math"/>
                <w:sz w:val="24"/>
                <w:szCs w:val="24"/>
                <w:lang w:val="ru-RU"/>
              </w:rPr>
              <m:t xml:space="preserve">;  </m:t>
            </m:r>
            <m:sSub>
              <m:sSubPr>
                <m:ctrlPr>
                  <w:rPr>
                    <w:rFonts w:ascii="Cambria Math" w:hAnsi="Cambria Math"/>
                    <w:i/>
                    <w:sz w:val="24"/>
                    <w:szCs w:val="24"/>
                    <w:lang w:val="ru-RU"/>
                  </w:rPr>
                </m:ctrlPr>
              </m:sSubPr>
              <m:e>
                <m:r>
                  <w:rPr>
                    <w:rFonts w:ascii="Cambria Math" w:hAnsi="Cambria Math"/>
                    <w:sz w:val="24"/>
                    <w:szCs w:val="24"/>
                    <w:lang w:val="ru-RU"/>
                  </w:rPr>
                  <m:t>P</m:t>
                </m:r>
              </m:e>
              <m:sub>
                <m:r>
                  <w:rPr>
                    <w:rFonts w:ascii="Cambria Math" w:hAnsi="Cambria Math"/>
                    <w:sz w:val="24"/>
                    <w:szCs w:val="24"/>
                    <w:lang w:val="ru-RU"/>
                  </w:rPr>
                  <m:t>max</m:t>
                </m:r>
              </m:sub>
            </m:sSub>
          </m:e>
        </m:d>
      </m:oMath>
      <w:r w:rsidR="00593891" w:rsidRPr="00BA38CD">
        <w:rPr>
          <w:sz w:val="24"/>
          <w:szCs w:val="24"/>
          <w:lang w:val="ru-RU"/>
        </w:rPr>
        <w:t>.</w:t>
      </w:r>
    </w:p>
    <w:p w14:paraId="1DC5A5B6" w14:textId="77777777" w:rsidR="0082678D" w:rsidRPr="00BA38CD" w:rsidRDefault="0082678D" w:rsidP="0082678D">
      <w:pPr>
        <w:ind w:left="1440"/>
        <w:rPr>
          <w:sz w:val="24"/>
          <w:szCs w:val="24"/>
          <w:lang w:val="ru-RU"/>
        </w:rPr>
      </w:pPr>
      <w:r w:rsidRPr="00BA38CD">
        <w:rPr>
          <w:sz w:val="24"/>
          <w:szCs w:val="24"/>
          <w:lang w:val="ru-RU"/>
        </w:rPr>
        <w:t xml:space="preserve">Если </w:t>
      </w:r>
      <m:oMath>
        <m:r>
          <w:rPr>
            <w:rFonts w:ascii="Cambria Math" w:hAnsi="Cambria Math"/>
            <w:sz w:val="24"/>
            <w:szCs w:val="24"/>
            <w:lang w:val="ru-RU"/>
          </w:rPr>
          <m:t xml:space="preserve">B&lt; </m:t>
        </m:r>
        <m:sSub>
          <m:sSubPr>
            <m:ctrlPr>
              <w:rPr>
                <w:rFonts w:ascii="Cambria Math" w:hAnsi="Cambria Math"/>
                <w:i/>
                <w:sz w:val="24"/>
                <w:szCs w:val="24"/>
                <w:lang w:val="ru-RU"/>
              </w:rPr>
            </m:ctrlPr>
          </m:sSubPr>
          <m:e>
            <m:r>
              <w:rPr>
                <w:rFonts w:ascii="Cambria Math" w:hAnsi="Cambria Math"/>
                <w:sz w:val="24"/>
                <w:szCs w:val="24"/>
                <w:lang w:val="ru-RU"/>
              </w:rPr>
              <m:t>B</m:t>
            </m:r>
          </m:e>
          <m:sub>
            <m:r>
              <w:rPr>
                <w:rFonts w:ascii="Cambria Math" w:hAnsi="Cambria Math"/>
                <w:sz w:val="24"/>
                <w:szCs w:val="24"/>
                <w:lang w:val="ru-RU"/>
              </w:rPr>
              <m:t>ref</m:t>
            </m:r>
          </m:sub>
        </m:sSub>
      </m:oMath>
      <w:r w:rsidRPr="00BA38CD">
        <w:rPr>
          <w:sz w:val="24"/>
          <w:szCs w:val="24"/>
          <w:lang w:val="ru-RU"/>
        </w:rPr>
        <w:t>, то</w:t>
      </w:r>
    </w:p>
    <w:p w14:paraId="4272E666" w14:textId="548D30CB" w:rsidR="0082678D" w:rsidRPr="00BA38CD" w:rsidRDefault="0082678D" w:rsidP="0082678D">
      <w:pPr>
        <w:ind w:left="1440"/>
        <w:rPr>
          <w:sz w:val="24"/>
          <w:szCs w:val="24"/>
          <w:lang w:val="ru-RU"/>
        </w:rPr>
      </w:pPr>
      <w:r w:rsidRPr="00BA38CD">
        <w:rPr>
          <w:sz w:val="24"/>
          <w:szCs w:val="24"/>
          <w:lang w:val="ru-RU"/>
        </w:rPr>
        <w:tab/>
      </w:r>
      <w:r w:rsidRPr="00BA38CD">
        <w:rPr>
          <w:sz w:val="24"/>
          <w:szCs w:val="24"/>
          <w:lang w:val="ru-RU"/>
        </w:rPr>
        <w:tab/>
      </w:r>
      <m:oMath>
        <m:sSub>
          <m:sSubPr>
            <m:ctrlPr>
              <w:rPr>
                <w:rFonts w:ascii="Cambria Math" w:hAnsi="Cambria Math"/>
                <w:i/>
                <w:sz w:val="24"/>
                <w:szCs w:val="24"/>
                <w:lang w:val="ru-RU"/>
              </w:rPr>
            </m:ctrlPr>
          </m:sSubPr>
          <m:e>
            <m:r>
              <w:rPr>
                <w:rFonts w:ascii="Cambria Math" w:hAnsi="Cambria Math"/>
                <w:sz w:val="24"/>
                <w:szCs w:val="24"/>
                <w:lang w:val="ru-RU"/>
              </w:rPr>
              <m:t>P</m:t>
            </m:r>
          </m:e>
          <m:sub>
            <m:r>
              <w:rPr>
                <w:rFonts w:ascii="Cambria Math" w:hAnsi="Cambria Math"/>
                <w:sz w:val="24"/>
                <w:szCs w:val="24"/>
                <w:lang w:val="ru-RU"/>
              </w:rPr>
              <m:t>used</m:t>
            </m:r>
          </m:sub>
        </m:sSub>
        <m:r>
          <w:rPr>
            <w:rFonts w:ascii="Cambria Math" w:hAnsi="Cambria Math"/>
            <w:sz w:val="24"/>
            <w:szCs w:val="24"/>
            <w:lang w:val="ru-RU"/>
          </w:rPr>
          <m:t>=</m:t>
        </m:r>
        <m:sSub>
          <m:sSubPr>
            <m:ctrlPr>
              <w:rPr>
                <w:rFonts w:ascii="Cambria Math" w:hAnsi="Cambria Math"/>
                <w:i/>
                <w:sz w:val="24"/>
                <w:szCs w:val="24"/>
                <w:lang w:val="ru-RU"/>
              </w:rPr>
            </m:ctrlPr>
          </m:sSubPr>
          <m:e>
            <m:r>
              <w:rPr>
                <w:rFonts w:ascii="Cambria Math" w:hAnsi="Cambria Math"/>
                <w:sz w:val="24"/>
                <w:szCs w:val="24"/>
                <w:lang w:val="ru-RU"/>
              </w:rPr>
              <m:t>P</m:t>
            </m:r>
          </m:e>
          <m:sub>
            <m:r>
              <w:rPr>
                <w:rFonts w:ascii="Cambria Math" w:hAnsi="Cambria Math"/>
                <w:sz w:val="24"/>
                <w:szCs w:val="24"/>
                <w:lang w:val="ru-RU"/>
              </w:rPr>
              <m:t>max</m:t>
            </m:r>
          </m:sub>
        </m:sSub>
      </m:oMath>
      <w:r w:rsidR="00BF5D4A" w:rsidRPr="00BA38CD">
        <w:rPr>
          <w:sz w:val="24"/>
          <w:szCs w:val="24"/>
          <w:lang w:val="ru-RU"/>
        </w:rPr>
        <w:t>.</w:t>
      </w:r>
    </w:p>
    <w:p w14:paraId="3941CC57" w14:textId="77777777" w:rsidR="0082678D" w:rsidRPr="00BA38CD" w:rsidRDefault="0082678D" w:rsidP="00BF5D4A">
      <w:pPr>
        <w:pStyle w:val="enumlev1"/>
        <w:spacing w:before="240"/>
        <w:rPr>
          <w:b/>
          <w:bCs/>
          <w:sz w:val="24"/>
          <w:szCs w:val="24"/>
          <w:lang w:val="ru-RU"/>
        </w:rPr>
      </w:pPr>
      <w:r w:rsidRPr="00BA38CD">
        <w:rPr>
          <w:sz w:val="24"/>
          <w:szCs w:val="24"/>
          <w:lang w:val="ru-RU"/>
        </w:rPr>
        <w:tab/>
      </w:r>
      <w:r w:rsidRPr="00BA38CD">
        <w:rPr>
          <w:b/>
          <w:bCs/>
          <w:sz w:val="24"/>
          <w:szCs w:val="24"/>
          <w:lang w:val="ru-RU"/>
        </w:rPr>
        <w:t xml:space="preserve">В случае </w:t>
      </w:r>
      <m:oMath>
        <m:sSub>
          <m:sSubPr>
            <m:ctrlPr>
              <w:rPr>
                <w:rFonts w:ascii="Cambria Math" w:hAnsi="Cambria Math"/>
                <w:i/>
                <w:sz w:val="24"/>
                <w:szCs w:val="24"/>
                <w:lang w:val="ru-RU"/>
              </w:rPr>
            </m:ctrlPr>
          </m:sSubPr>
          <m:e>
            <m:r>
              <w:rPr>
                <w:rFonts w:ascii="Cambria Math" w:hAnsi="Cambria Math"/>
                <w:sz w:val="24"/>
                <w:szCs w:val="24"/>
                <w:lang w:val="ru-RU"/>
              </w:rPr>
              <m:t>B</m:t>
            </m:r>
          </m:e>
          <m:sub>
            <m:r>
              <w:rPr>
                <w:rFonts w:ascii="Cambria Math" w:hAnsi="Cambria Math"/>
                <w:sz w:val="24"/>
                <w:szCs w:val="24"/>
                <w:lang w:val="ru-RU"/>
              </w:rPr>
              <m:t>avg</m:t>
            </m:r>
          </m:sub>
        </m:sSub>
        <m:r>
          <w:rPr>
            <w:rFonts w:ascii="Cambria Math" w:hAnsi="Cambria Math"/>
            <w:sz w:val="24"/>
            <w:szCs w:val="24"/>
            <w:lang w:val="ru-RU"/>
          </w:rPr>
          <m:t xml:space="preserve">&gt; </m:t>
        </m:r>
        <m:sSub>
          <m:sSubPr>
            <m:ctrlPr>
              <w:rPr>
                <w:rFonts w:ascii="Cambria Math" w:hAnsi="Cambria Math"/>
                <w:i/>
                <w:sz w:val="24"/>
                <w:szCs w:val="24"/>
                <w:lang w:val="ru-RU"/>
              </w:rPr>
            </m:ctrlPr>
          </m:sSubPr>
          <m:e>
            <m:r>
              <w:rPr>
                <w:rFonts w:ascii="Cambria Math" w:hAnsi="Cambria Math"/>
                <w:sz w:val="24"/>
                <w:szCs w:val="24"/>
                <w:lang w:val="ru-RU"/>
              </w:rPr>
              <m:t>B</m:t>
            </m:r>
          </m:e>
          <m:sub>
            <m:r>
              <w:rPr>
                <w:rFonts w:ascii="Cambria Math" w:hAnsi="Cambria Math"/>
                <w:sz w:val="24"/>
                <w:szCs w:val="24"/>
                <w:lang w:val="ru-RU"/>
              </w:rPr>
              <m:t>ref</m:t>
            </m:r>
          </m:sub>
        </m:sSub>
      </m:oMath>
      <w:r w:rsidRPr="00BA38CD">
        <w:rPr>
          <w:sz w:val="24"/>
          <w:szCs w:val="24"/>
          <w:lang w:val="ru-RU"/>
        </w:rPr>
        <w:t xml:space="preserve"> </w:t>
      </w:r>
      <w:r w:rsidRPr="00BA38CD">
        <w:rPr>
          <w:b/>
          <w:bCs/>
          <w:sz w:val="24"/>
          <w:szCs w:val="24"/>
          <w:lang w:val="ru-RU"/>
        </w:rPr>
        <w:t>(в настоящее время случаев нет)</w:t>
      </w:r>
      <w:r w:rsidRPr="00BA38CD">
        <w:rPr>
          <w:sz w:val="24"/>
          <w:szCs w:val="24"/>
          <w:lang w:val="ru-RU"/>
        </w:rPr>
        <w:t>:</w:t>
      </w:r>
    </w:p>
    <w:p w14:paraId="2C490537" w14:textId="2BFEECF5" w:rsidR="0082678D" w:rsidRPr="00BA38CD" w:rsidRDefault="0082678D" w:rsidP="0082678D">
      <w:pPr>
        <w:ind w:left="1440"/>
        <w:rPr>
          <w:sz w:val="24"/>
          <w:szCs w:val="24"/>
          <w:lang w:val="ru-RU"/>
        </w:rPr>
      </w:pPr>
      <w:r w:rsidRPr="00BA38CD">
        <w:rPr>
          <w:sz w:val="24"/>
          <w:szCs w:val="24"/>
          <w:lang w:val="ru-RU"/>
        </w:rPr>
        <w:t xml:space="preserve">Если </w:t>
      </w:r>
      <m:oMath>
        <m:r>
          <w:rPr>
            <w:rFonts w:ascii="Cambria Math" w:hAnsi="Cambria Math"/>
            <w:sz w:val="24"/>
            <w:szCs w:val="24"/>
            <w:lang w:val="ru-RU"/>
          </w:rPr>
          <m:t xml:space="preserve">B≥ </m:t>
        </m:r>
        <m:sSub>
          <m:sSubPr>
            <m:ctrlPr>
              <w:rPr>
                <w:rFonts w:ascii="Cambria Math" w:hAnsi="Cambria Math"/>
                <w:i/>
                <w:sz w:val="24"/>
                <w:szCs w:val="24"/>
                <w:lang w:val="ru-RU"/>
              </w:rPr>
            </m:ctrlPr>
          </m:sSubPr>
          <m:e>
            <m:r>
              <w:rPr>
                <w:rFonts w:ascii="Cambria Math" w:hAnsi="Cambria Math"/>
                <w:sz w:val="24"/>
                <w:szCs w:val="24"/>
                <w:lang w:val="ru-RU"/>
              </w:rPr>
              <m:t>B</m:t>
            </m:r>
          </m:e>
          <m:sub>
            <m:r>
              <w:rPr>
                <w:rFonts w:ascii="Cambria Math" w:hAnsi="Cambria Math"/>
                <w:sz w:val="24"/>
                <w:szCs w:val="24"/>
                <w:lang w:val="ru-RU"/>
              </w:rPr>
              <m:t>ref</m:t>
            </m:r>
          </m:sub>
        </m:sSub>
      </m:oMath>
      <w:r w:rsidRPr="00BA38CD">
        <w:rPr>
          <w:sz w:val="24"/>
          <w:szCs w:val="24"/>
          <w:lang w:val="ru-RU"/>
        </w:rPr>
        <w:t>, то</w:t>
      </w:r>
    </w:p>
    <w:p w14:paraId="0859E022" w14:textId="4D2589AF" w:rsidR="0082678D" w:rsidRPr="00BA38CD" w:rsidRDefault="0082678D" w:rsidP="0082678D">
      <w:pPr>
        <w:ind w:left="1440"/>
        <w:rPr>
          <w:sz w:val="24"/>
          <w:szCs w:val="24"/>
          <w:lang w:val="ru-RU"/>
        </w:rPr>
      </w:pPr>
      <w:r w:rsidRPr="00BA38CD">
        <w:rPr>
          <w:sz w:val="24"/>
          <w:szCs w:val="24"/>
          <w:lang w:val="ru-RU"/>
        </w:rPr>
        <w:tab/>
      </w:r>
      <w:r w:rsidRPr="00BA38CD">
        <w:rPr>
          <w:sz w:val="24"/>
          <w:szCs w:val="24"/>
          <w:lang w:val="ru-RU"/>
        </w:rPr>
        <w:tab/>
      </w:r>
      <m:oMath>
        <m:sSub>
          <m:sSubPr>
            <m:ctrlPr>
              <w:rPr>
                <w:rFonts w:ascii="Cambria Math" w:hAnsi="Cambria Math"/>
                <w:i/>
                <w:sz w:val="24"/>
                <w:szCs w:val="24"/>
                <w:lang w:val="ru-RU"/>
              </w:rPr>
            </m:ctrlPr>
          </m:sSubPr>
          <m:e>
            <m:r>
              <w:rPr>
                <w:rFonts w:ascii="Cambria Math" w:hAnsi="Cambria Math"/>
                <w:sz w:val="24"/>
                <w:szCs w:val="24"/>
                <w:lang w:val="ru-RU"/>
              </w:rPr>
              <m:t>P</m:t>
            </m:r>
          </m:e>
          <m:sub>
            <m:r>
              <w:rPr>
                <w:rFonts w:ascii="Cambria Math" w:hAnsi="Cambria Math"/>
                <w:sz w:val="24"/>
                <w:szCs w:val="24"/>
                <w:lang w:val="ru-RU"/>
              </w:rPr>
              <m:t>used</m:t>
            </m:r>
          </m:sub>
        </m:sSub>
        <m:r>
          <w:rPr>
            <w:rFonts w:ascii="Cambria Math" w:hAnsi="Cambria Math"/>
            <w:sz w:val="24"/>
            <w:szCs w:val="24"/>
            <w:lang w:val="ru-RU"/>
          </w:rPr>
          <m:t>=</m:t>
        </m:r>
        <m:sSub>
          <m:sSubPr>
            <m:ctrlPr>
              <w:rPr>
                <w:rFonts w:ascii="Cambria Math" w:hAnsi="Cambria Math"/>
                <w:i/>
                <w:sz w:val="24"/>
                <w:szCs w:val="24"/>
                <w:lang w:val="ru-RU"/>
              </w:rPr>
            </m:ctrlPr>
          </m:sSubPr>
          <m:e>
            <m:r>
              <w:rPr>
                <w:rFonts w:ascii="Cambria Math" w:hAnsi="Cambria Math"/>
                <w:sz w:val="24"/>
                <w:szCs w:val="24"/>
                <w:lang w:val="ru-RU"/>
              </w:rPr>
              <m:t>PSD</m:t>
            </m:r>
          </m:e>
          <m:sub>
            <m:r>
              <w:rPr>
                <w:rFonts w:ascii="Cambria Math" w:hAnsi="Cambria Math"/>
                <w:sz w:val="24"/>
                <w:szCs w:val="24"/>
                <w:lang w:val="ru-RU"/>
              </w:rPr>
              <m:t>max</m:t>
            </m:r>
          </m:sub>
        </m:sSub>
        <m:r>
          <w:rPr>
            <w:rFonts w:ascii="Cambria Math" w:hAnsi="Cambria Math"/>
            <w:sz w:val="24"/>
            <w:szCs w:val="24"/>
            <w:lang w:val="ru-RU"/>
          </w:rPr>
          <m:t xml:space="preserve">+10 </m:t>
        </m:r>
        <m:func>
          <m:funcPr>
            <m:ctrlPr>
              <w:rPr>
                <w:rFonts w:ascii="Cambria Math" w:hAnsi="Cambria Math"/>
                <w:i/>
                <w:sz w:val="24"/>
                <w:szCs w:val="24"/>
                <w:lang w:val="ru-RU"/>
              </w:rPr>
            </m:ctrlPr>
          </m:funcPr>
          <m:fName>
            <m:r>
              <m:rPr>
                <m:sty m:val="p"/>
              </m:rPr>
              <w:rPr>
                <w:rFonts w:ascii="Cambria Math" w:hAnsi="Cambria Math"/>
                <w:sz w:val="24"/>
                <w:szCs w:val="24"/>
                <w:lang w:val="ru-RU"/>
              </w:rPr>
              <m:t>log</m:t>
            </m:r>
          </m:fName>
          <m:e>
            <m:sSub>
              <m:sSubPr>
                <m:ctrlPr>
                  <w:rPr>
                    <w:rFonts w:ascii="Cambria Math" w:hAnsi="Cambria Math"/>
                    <w:i/>
                    <w:sz w:val="24"/>
                    <w:szCs w:val="24"/>
                    <w:lang w:val="ru-RU"/>
                  </w:rPr>
                </m:ctrlPr>
              </m:sSubPr>
              <m:e>
                <m:r>
                  <w:rPr>
                    <w:rFonts w:ascii="Cambria Math" w:hAnsi="Cambria Math"/>
                    <w:sz w:val="24"/>
                    <w:szCs w:val="24"/>
                    <w:lang w:val="ru-RU"/>
                  </w:rPr>
                  <m:t>B</m:t>
                </m:r>
              </m:e>
              <m:sub>
                <m:r>
                  <w:rPr>
                    <w:rFonts w:ascii="Cambria Math" w:hAnsi="Cambria Math"/>
                    <w:sz w:val="24"/>
                    <w:szCs w:val="24"/>
                    <w:lang w:val="ru-RU"/>
                  </w:rPr>
                  <m:t>ref</m:t>
                </m:r>
              </m:sub>
            </m:sSub>
          </m:e>
        </m:func>
      </m:oMath>
      <w:r w:rsidR="00593891" w:rsidRPr="00BA38CD">
        <w:rPr>
          <w:sz w:val="24"/>
          <w:szCs w:val="24"/>
          <w:lang w:val="ru-RU"/>
        </w:rPr>
        <w:t>.</w:t>
      </w:r>
    </w:p>
    <w:p w14:paraId="7AF820F6" w14:textId="77777777" w:rsidR="0082678D" w:rsidRPr="00BA38CD" w:rsidRDefault="0082678D" w:rsidP="0082678D">
      <w:pPr>
        <w:ind w:left="1440"/>
        <w:rPr>
          <w:sz w:val="24"/>
          <w:szCs w:val="24"/>
          <w:lang w:val="ru-RU"/>
        </w:rPr>
      </w:pPr>
      <w:r w:rsidRPr="00BA38CD">
        <w:rPr>
          <w:sz w:val="24"/>
          <w:szCs w:val="24"/>
          <w:lang w:val="ru-RU"/>
        </w:rPr>
        <w:t xml:space="preserve">Если </w:t>
      </w:r>
      <m:oMath>
        <m:r>
          <w:rPr>
            <w:rFonts w:ascii="Cambria Math" w:hAnsi="Cambria Math"/>
            <w:sz w:val="24"/>
            <w:szCs w:val="24"/>
            <w:lang w:val="ru-RU"/>
          </w:rPr>
          <m:t xml:space="preserve">B&lt; </m:t>
        </m:r>
        <m:sSub>
          <m:sSubPr>
            <m:ctrlPr>
              <w:rPr>
                <w:rFonts w:ascii="Cambria Math" w:hAnsi="Cambria Math"/>
                <w:i/>
                <w:sz w:val="24"/>
                <w:szCs w:val="24"/>
                <w:lang w:val="ru-RU"/>
              </w:rPr>
            </m:ctrlPr>
          </m:sSubPr>
          <m:e>
            <m:r>
              <w:rPr>
                <w:rFonts w:ascii="Cambria Math" w:hAnsi="Cambria Math"/>
                <w:sz w:val="24"/>
                <w:szCs w:val="24"/>
                <w:lang w:val="ru-RU"/>
              </w:rPr>
              <m:t>B</m:t>
            </m:r>
          </m:e>
          <m:sub>
            <m:r>
              <w:rPr>
                <w:rFonts w:ascii="Cambria Math" w:hAnsi="Cambria Math"/>
                <w:sz w:val="24"/>
                <w:szCs w:val="24"/>
                <w:lang w:val="ru-RU"/>
              </w:rPr>
              <m:t>ref</m:t>
            </m:r>
          </m:sub>
        </m:sSub>
      </m:oMath>
      <w:r w:rsidRPr="00BA38CD">
        <w:rPr>
          <w:sz w:val="24"/>
          <w:szCs w:val="24"/>
          <w:lang w:val="ru-RU"/>
        </w:rPr>
        <w:t>, то</w:t>
      </w:r>
    </w:p>
    <w:p w14:paraId="1C156871" w14:textId="4795C924" w:rsidR="0082678D" w:rsidRPr="00BA38CD" w:rsidRDefault="0082678D" w:rsidP="0082678D">
      <w:pPr>
        <w:ind w:left="1440"/>
        <w:rPr>
          <w:sz w:val="24"/>
          <w:szCs w:val="24"/>
          <w:lang w:val="ru-RU"/>
        </w:rPr>
      </w:pPr>
      <w:r w:rsidRPr="00BA38CD">
        <w:rPr>
          <w:sz w:val="24"/>
          <w:szCs w:val="24"/>
          <w:lang w:val="ru-RU"/>
        </w:rPr>
        <w:tab/>
      </w:r>
      <w:r w:rsidRPr="00BA38CD">
        <w:rPr>
          <w:sz w:val="24"/>
          <w:szCs w:val="24"/>
          <w:lang w:val="ru-RU"/>
        </w:rPr>
        <w:tab/>
      </w:r>
      <m:oMath>
        <m:sSub>
          <m:sSubPr>
            <m:ctrlPr>
              <w:rPr>
                <w:rFonts w:ascii="Cambria Math" w:hAnsi="Cambria Math"/>
                <w:i/>
                <w:sz w:val="24"/>
                <w:szCs w:val="24"/>
                <w:lang w:val="ru-RU"/>
              </w:rPr>
            </m:ctrlPr>
          </m:sSubPr>
          <m:e>
            <m:r>
              <w:rPr>
                <w:rFonts w:ascii="Cambria Math" w:hAnsi="Cambria Math"/>
                <w:sz w:val="24"/>
                <w:szCs w:val="24"/>
                <w:lang w:val="ru-RU"/>
              </w:rPr>
              <m:t>P</m:t>
            </m:r>
          </m:e>
          <m:sub>
            <m:r>
              <w:rPr>
                <w:rFonts w:ascii="Cambria Math" w:hAnsi="Cambria Math"/>
                <w:sz w:val="24"/>
                <w:szCs w:val="24"/>
                <w:lang w:val="ru-RU"/>
              </w:rPr>
              <m:t>used</m:t>
            </m:r>
          </m:sub>
        </m:sSub>
        <m:r>
          <w:rPr>
            <w:rFonts w:ascii="Cambria Math" w:hAnsi="Cambria Math"/>
            <w:sz w:val="24"/>
            <w:szCs w:val="24"/>
            <w:lang w:val="ru-RU"/>
          </w:rPr>
          <m:t>=</m:t>
        </m:r>
        <m:sSub>
          <m:sSubPr>
            <m:ctrlPr>
              <w:rPr>
                <w:rFonts w:ascii="Cambria Math" w:hAnsi="Cambria Math"/>
                <w:i/>
                <w:sz w:val="24"/>
                <w:szCs w:val="24"/>
                <w:lang w:val="ru-RU"/>
              </w:rPr>
            </m:ctrlPr>
          </m:sSubPr>
          <m:e>
            <m:r>
              <w:rPr>
                <w:rFonts w:ascii="Cambria Math" w:hAnsi="Cambria Math"/>
                <w:sz w:val="24"/>
                <w:szCs w:val="24"/>
                <w:lang w:val="ru-RU"/>
              </w:rPr>
              <m:t>P</m:t>
            </m:r>
          </m:e>
          <m:sub>
            <m:r>
              <w:rPr>
                <w:rFonts w:ascii="Cambria Math" w:hAnsi="Cambria Math"/>
                <w:sz w:val="24"/>
                <w:szCs w:val="24"/>
                <w:lang w:val="ru-RU"/>
              </w:rPr>
              <m:t>max</m:t>
            </m:r>
          </m:sub>
        </m:sSub>
      </m:oMath>
      <w:r w:rsidR="00BF5D4A" w:rsidRPr="00BA38CD">
        <w:rPr>
          <w:sz w:val="24"/>
          <w:szCs w:val="24"/>
          <w:lang w:val="ru-RU"/>
        </w:rPr>
        <w:t>.</w:t>
      </w:r>
    </w:p>
    <w:p w14:paraId="02356D9E" w14:textId="5BFB7D52" w:rsidR="0082678D" w:rsidRPr="00BA38CD" w:rsidRDefault="00CC2E09" w:rsidP="00CC2E09">
      <w:pPr>
        <w:spacing w:before="720"/>
        <w:jc w:val="center"/>
        <w:rPr>
          <w:sz w:val="24"/>
          <w:szCs w:val="24"/>
          <w:lang w:val="ru-RU"/>
        </w:rPr>
      </w:pPr>
      <w:r w:rsidRPr="00BA38CD">
        <w:rPr>
          <w:sz w:val="24"/>
          <w:szCs w:val="24"/>
          <w:lang w:val="ru-RU"/>
        </w:rPr>
        <w:t>______________</w:t>
      </w:r>
    </w:p>
    <w:sectPr w:rsidR="0082678D" w:rsidRPr="00BA38CD" w:rsidSect="005F19C5">
      <w:headerReference w:type="even" r:id="rId12"/>
      <w:headerReference w:type="default" r:id="rId13"/>
      <w:headerReference w:type="first" r:id="rId14"/>
      <w:footerReference w:type="first" r:id="rId15"/>
      <w:pgSz w:w="11907" w:h="16834" w:code="9"/>
      <w:pgMar w:top="1418" w:right="1134" w:bottom="1418"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7D4BE" w14:textId="77777777" w:rsidR="006F78ED" w:rsidRDefault="006F78ED">
      <w:r>
        <w:separator/>
      </w:r>
    </w:p>
  </w:endnote>
  <w:endnote w:type="continuationSeparator" w:id="0">
    <w:p w14:paraId="2660789F" w14:textId="77777777" w:rsidR="006F78ED" w:rsidRDefault="006F7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CC14C" w14:textId="63A39E06" w:rsidR="00FA1A79" w:rsidRPr="003C48C0" w:rsidRDefault="00752994" w:rsidP="003C48C0">
    <w:pPr>
      <w:tabs>
        <w:tab w:val="clear" w:pos="794"/>
        <w:tab w:val="clear" w:pos="1191"/>
        <w:tab w:val="clear" w:pos="1588"/>
        <w:tab w:val="clear" w:pos="1985"/>
      </w:tabs>
      <w:overflowPunct/>
      <w:autoSpaceDE/>
      <w:autoSpaceDN/>
      <w:adjustRightInd/>
      <w:ind w:left="-397" w:right="-397"/>
      <w:jc w:val="center"/>
      <w:textAlignment w:val="auto"/>
      <w:rPr>
        <w:rFonts w:eastAsiaTheme="minorEastAsia"/>
        <w:color w:val="3E8EDE"/>
        <w:sz w:val="18"/>
        <w:szCs w:val="18"/>
        <w:u w:val="single"/>
        <w:lang w:val="fr-CH"/>
      </w:rPr>
    </w:pPr>
    <w:r w:rsidRPr="00780C0B">
      <w:rPr>
        <w:rFonts w:eastAsiaTheme="minorEastAsia"/>
        <w:color w:val="3E8EDE"/>
        <w:sz w:val="18"/>
        <w:szCs w:val="18"/>
        <w:lang w:val="fr-CH"/>
      </w:rPr>
      <w:t>International Telecommunication Union • Place des Nations, CH</w:t>
    </w:r>
    <w:r w:rsidRPr="00780C0B">
      <w:rPr>
        <w:rFonts w:eastAsiaTheme="minorEastAsia"/>
        <w:color w:val="3E8EDE"/>
        <w:sz w:val="18"/>
        <w:szCs w:val="18"/>
        <w:lang w:val="fr-CH"/>
      </w:rPr>
      <w:noBreakHyphen/>
      <w:t xml:space="preserve">1211 Geneva 20, Switzerland </w:t>
    </w:r>
    <w:r w:rsidRPr="00780C0B">
      <w:rPr>
        <w:rFonts w:eastAsiaTheme="minorEastAsia"/>
        <w:color w:val="3E8EDE"/>
        <w:sz w:val="18"/>
        <w:szCs w:val="18"/>
        <w:lang w:val="fr-CH"/>
      </w:rPr>
      <w:br/>
    </w:r>
    <w:r w:rsidRPr="00780C0B">
      <w:rPr>
        <w:rFonts w:eastAsiaTheme="minorEastAsia"/>
        <w:color w:val="3E8EDE"/>
        <w:sz w:val="18"/>
        <w:szCs w:val="18"/>
      </w:rPr>
      <w:t>Тел</w:t>
    </w:r>
    <w:r w:rsidRPr="00161CAD">
      <w:rPr>
        <w:rFonts w:eastAsiaTheme="minorEastAsia"/>
        <w:color w:val="3E8EDE"/>
        <w:sz w:val="18"/>
        <w:szCs w:val="18"/>
        <w:lang w:val="fr-CH"/>
      </w:rPr>
      <w:t>.</w:t>
    </w:r>
    <w:r w:rsidRPr="00780C0B">
      <w:rPr>
        <w:rFonts w:eastAsiaTheme="minorEastAsia"/>
        <w:color w:val="3E8EDE"/>
        <w:sz w:val="18"/>
        <w:szCs w:val="18"/>
        <w:lang w:val="fr-CH"/>
      </w:rPr>
      <w:t xml:space="preserve">: +41 22 730 5111 </w:t>
    </w:r>
    <w:r w:rsidRPr="00161CAD">
      <w:rPr>
        <w:color w:val="3E8EDE"/>
        <w:sz w:val="18"/>
        <w:szCs w:val="18"/>
        <w:lang w:val="fr-CH"/>
      </w:rPr>
      <w:t>•</w:t>
    </w:r>
    <w:r>
      <w:rPr>
        <w:rFonts w:eastAsiaTheme="minorEastAsia"/>
        <w:color w:val="3E8EDE"/>
        <w:sz w:val="18"/>
        <w:szCs w:val="18"/>
        <w:lang w:val="fr-CH"/>
      </w:rPr>
      <w:t xml:space="preserve"> </w:t>
    </w:r>
    <w:r w:rsidRPr="000421CA">
      <w:rPr>
        <w:color w:val="3E8EDE"/>
        <w:sz w:val="18"/>
        <w:szCs w:val="18"/>
      </w:rPr>
      <w:t>Эл</w:t>
    </w:r>
    <w:r w:rsidRPr="00161CAD">
      <w:rPr>
        <w:color w:val="3E8EDE"/>
        <w:sz w:val="18"/>
        <w:szCs w:val="18"/>
        <w:lang w:val="fr-CH"/>
      </w:rPr>
      <w:t xml:space="preserve">. </w:t>
    </w:r>
    <w:r w:rsidRPr="000421CA">
      <w:rPr>
        <w:color w:val="3E8EDE"/>
        <w:sz w:val="18"/>
        <w:szCs w:val="18"/>
      </w:rPr>
      <w:t>почта</w:t>
    </w:r>
    <w:r w:rsidRPr="00161CAD">
      <w:rPr>
        <w:color w:val="3E8EDE"/>
        <w:sz w:val="18"/>
        <w:szCs w:val="18"/>
        <w:lang w:val="fr-CH"/>
      </w:rPr>
      <w:t>:</w:t>
    </w:r>
    <w:r w:rsidRPr="000421CA">
      <w:rPr>
        <w:rFonts w:eastAsiaTheme="minorEastAsia"/>
        <w:sz w:val="18"/>
        <w:szCs w:val="18"/>
        <w:lang w:val="fr-CH"/>
      </w:rPr>
      <w:t xml:space="preserve"> </w:t>
    </w:r>
    <w:hyperlink r:id="rId1" w:history="1">
      <w:r w:rsidRPr="0047188F">
        <w:rPr>
          <w:rFonts w:eastAsiaTheme="minorEastAsia"/>
          <w:color w:val="3E8EDE"/>
          <w:sz w:val="18"/>
          <w:szCs w:val="18"/>
          <w:u w:val="single"/>
          <w:lang w:val="fr-CH"/>
        </w:rPr>
        <w:t>itumail@itu.int</w:t>
      </w:r>
    </w:hyperlink>
    <w:r w:rsidRPr="0047188F">
      <w:rPr>
        <w:rFonts w:eastAsiaTheme="minorEastAsia"/>
        <w:color w:val="3E8EDE"/>
        <w:sz w:val="18"/>
        <w:szCs w:val="18"/>
        <w:lang w:val="fr-CH"/>
      </w:rPr>
      <w:t xml:space="preserve"> </w:t>
    </w:r>
    <w:r w:rsidRPr="00780C0B">
      <w:rPr>
        <w:rFonts w:eastAsiaTheme="minorEastAsia"/>
        <w:color w:val="3E8EDE"/>
        <w:sz w:val="18"/>
        <w:szCs w:val="18"/>
        <w:lang w:val="fr-CH"/>
      </w:rPr>
      <w:t xml:space="preserve">• </w:t>
    </w:r>
    <w:r w:rsidRPr="00780C0B">
      <w:rPr>
        <w:rFonts w:eastAsiaTheme="minorEastAsia"/>
        <w:color w:val="3E8EDE"/>
        <w:sz w:val="18"/>
        <w:szCs w:val="18"/>
      </w:rPr>
      <w:t>Факс</w:t>
    </w:r>
    <w:r w:rsidRPr="00780C0B">
      <w:rPr>
        <w:rFonts w:eastAsiaTheme="minorEastAsia"/>
        <w:color w:val="3E8EDE"/>
        <w:sz w:val="18"/>
        <w:szCs w:val="18"/>
        <w:lang w:val="fr-CH"/>
      </w:rPr>
      <w:t>: +41 22 733 7256</w:t>
    </w:r>
    <w:r>
      <w:rPr>
        <w:rFonts w:eastAsiaTheme="minorEastAsia"/>
        <w:color w:val="3E8EDE"/>
        <w:sz w:val="18"/>
        <w:szCs w:val="18"/>
        <w:lang w:val="fr-CH"/>
      </w:rPr>
      <w:t xml:space="preserve"> </w:t>
    </w:r>
    <w:r w:rsidRPr="00161CAD">
      <w:rPr>
        <w:color w:val="3E8EDE"/>
        <w:sz w:val="18"/>
        <w:szCs w:val="18"/>
        <w:lang w:val="fr-CH"/>
      </w:rPr>
      <w:t xml:space="preserve">• </w:t>
    </w:r>
    <w:hyperlink r:id="rId2" w:history="1">
      <w:r w:rsidRPr="0047188F">
        <w:rPr>
          <w:rFonts w:eastAsiaTheme="minorEastAsia"/>
          <w:color w:val="3E8EDE"/>
          <w:sz w:val="18"/>
          <w:szCs w:val="18"/>
          <w:u w:val="single"/>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E76AC" w14:textId="77777777" w:rsidR="006F78ED" w:rsidRDefault="006F78ED">
      <w:r>
        <w:t>____________________</w:t>
      </w:r>
    </w:p>
  </w:footnote>
  <w:footnote w:type="continuationSeparator" w:id="0">
    <w:p w14:paraId="0AFA73BA" w14:textId="77777777" w:rsidR="006F78ED" w:rsidRDefault="006F7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BB991" w14:textId="63C97498" w:rsidR="00FA1A79" w:rsidRPr="00490DF9" w:rsidRDefault="00FA1A79" w:rsidP="009740FC">
    <w:pPr>
      <w:pStyle w:val="Header"/>
      <w:tabs>
        <w:tab w:val="clear" w:pos="4820"/>
      </w:tabs>
      <w:jc w:val="center"/>
      <w:rPr>
        <w:sz w:val="18"/>
        <w:szCs w:val="18"/>
      </w:rPr>
    </w:pPr>
    <w:r w:rsidRPr="00B65478">
      <w:rPr>
        <w:sz w:val="18"/>
        <w:szCs w:val="18"/>
        <w:lang w:val="ru-RU"/>
      </w:rPr>
      <w:t>-</w:t>
    </w:r>
    <w:r w:rsidRPr="00B65478">
      <w:rPr>
        <w:sz w:val="18"/>
        <w:szCs w:val="18"/>
      </w:rPr>
      <w:t xml:space="preserve"> </w:t>
    </w:r>
    <w:r w:rsidRPr="00B65478">
      <w:rPr>
        <w:rStyle w:val="PageNumber"/>
        <w:sz w:val="18"/>
        <w:szCs w:val="18"/>
      </w:rPr>
      <w:fldChar w:fldCharType="begin"/>
    </w:r>
    <w:r w:rsidRPr="00B65478">
      <w:rPr>
        <w:rStyle w:val="PageNumber"/>
        <w:sz w:val="18"/>
        <w:szCs w:val="18"/>
      </w:rPr>
      <w:instrText xml:space="preserve"> PAGE </w:instrText>
    </w:r>
    <w:r w:rsidRPr="00B65478">
      <w:rPr>
        <w:rStyle w:val="PageNumber"/>
        <w:sz w:val="18"/>
        <w:szCs w:val="18"/>
      </w:rPr>
      <w:fldChar w:fldCharType="separate"/>
    </w:r>
    <w:r w:rsidR="008C6BEF">
      <w:rPr>
        <w:rStyle w:val="PageNumber"/>
        <w:noProof/>
        <w:sz w:val="18"/>
        <w:szCs w:val="18"/>
      </w:rPr>
      <w:t>2</w:t>
    </w:r>
    <w:r w:rsidRPr="00B65478">
      <w:rPr>
        <w:rStyle w:val="PageNumber"/>
        <w:sz w:val="18"/>
        <w:szCs w:val="18"/>
      </w:rPr>
      <w:fldChar w:fldCharType="end"/>
    </w:r>
    <w:r w:rsidRPr="00B65478">
      <w:rPr>
        <w:rStyle w:val="PageNumber"/>
        <w:sz w:val="18"/>
        <w:szCs w:val="18"/>
      </w:rPr>
      <w:t xml:space="preserve"> </w:t>
    </w:r>
    <w:r w:rsidRPr="00B65478">
      <w:rPr>
        <w:rStyle w:val="PageNumber"/>
        <w:sz w:val="18"/>
        <w:szCs w:val="18"/>
        <w:lang w:val="ru-RU"/>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84879" w14:textId="477FC304" w:rsidR="00FA1A79" w:rsidRPr="00C578BB" w:rsidRDefault="00FA1A79" w:rsidP="00C578BB">
    <w:pPr>
      <w:pStyle w:val="Header"/>
      <w:tabs>
        <w:tab w:val="clear" w:pos="4820"/>
      </w:tabs>
      <w:jc w:val="center"/>
      <w:rPr>
        <w:sz w:val="18"/>
        <w:szCs w:val="18"/>
      </w:rPr>
    </w:pPr>
    <w:r w:rsidRPr="00B65478">
      <w:rPr>
        <w:sz w:val="18"/>
        <w:szCs w:val="18"/>
        <w:lang w:val="ru-RU"/>
      </w:rPr>
      <w:t>-</w:t>
    </w:r>
    <w:r w:rsidRPr="00B65478">
      <w:rPr>
        <w:sz w:val="18"/>
        <w:szCs w:val="18"/>
      </w:rPr>
      <w:t xml:space="preserve"> </w:t>
    </w:r>
    <w:r w:rsidRPr="00B65478">
      <w:rPr>
        <w:rStyle w:val="PageNumber"/>
        <w:sz w:val="18"/>
        <w:szCs w:val="18"/>
      </w:rPr>
      <w:fldChar w:fldCharType="begin"/>
    </w:r>
    <w:r w:rsidRPr="00B65478">
      <w:rPr>
        <w:rStyle w:val="PageNumber"/>
        <w:sz w:val="18"/>
        <w:szCs w:val="18"/>
      </w:rPr>
      <w:instrText xml:space="preserve"> PAGE </w:instrText>
    </w:r>
    <w:r w:rsidRPr="00B65478">
      <w:rPr>
        <w:rStyle w:val="PageNumber"/>
        <w:sz w:val="18"/>
        <w:szCs w:val="18"/>
      </w:rPr>
      <w:fldChar w:fldCharType="separate"/>
    </w:r>
    <w:r w:rsidR="008C6BEF">
      <w:rPr>
        <w:rStyle w:val="PageNumber"/>
        <w:noProof/>
        <w:sz w:val="18"/>
        <w:szCs w:val="18"/>
      </w:rPr>
      <w:t>5</w:t>
    </w:r>
    <w:r w:rsidRPr="00B65478">
      <w:rPr>
        <w:rStyle w:val="PageNumber"/>
        <w:sz w:val="18"/>
        <w:szCs w:val="18"/>
      </w:rPr>
      <w:fldChar w:fldCharType="end"/>
    </w:r>
    <w:r w:rsidRPr="00B65478">
      <w:rPr>
        <w:rStyle w:val="PageNumber"/>
        <w:sz w:val="18"/>
        <w:szCs w:val="18"/>
      </w:rPr>
      <w:t xml:space="preserve"> </w:t>
    </w:r>
    <w:r w:rsidRPr="00B65478">
      <w:rPr>
        <w:rStyle w:val="PageNumber"/>
        <w:sz w:val="18"/>
        <w:szCs w:val="18"/>
        <w:lang w:val="ru-RU"/>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8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9"/>
    </w:tblGrid>
    <w:tr w:rsidR="00C92AE4" w14:paraId="2C4A66E2" w14:textId="77777777" w:rsidTr="0082678D">
      <w:trPr>
        <w:jc w:val="center"/>
      </w:trPr>
      <w:tc>
        <w:tcPr>
          <w:tcW w:w="9889" w:type="dxa"/>
          <w:vAlign w:val="center"/>
        </w:tcPr>
        <w:p w14:paraId="53778C33" w14:textId="3CF4C133" w:rsidR="00C92AE4" w:rsidRDefault="00C92AE4" w:rsidP="00C92AE4">
          <w:pPr>
            <w:pStyle w:val="Header"/>
            <w:tabs>
              <w:tab w:val="clear" w:pos="794"/>
              <w:tab w:val="clear" w:pos="4820"/>
            </w:tabs>
            <w:spacing w:line="360" w:lineRule="auto"/>
            <w:jc w:val="center"/>
          </w:pPr>
          <w:r w:rsidRPr="008E52B1">
            <w:rPr>
              <w:noProof/>
              <w:color w:val="3399FF"/>
            </w:rPr>
            <w:drawing>
              <wp:inline distT="0" distB="0" distL="0" distR="0" wp14:anchorId="0BE8402C" wp14:editId="67F2A156">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759374"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838200" cy="838200"/>
                        </a:xfrm>
                        <a:prstGeom prst="rect">
                          <a:avLst/>
                        </a:prstGeom>
                        <a:noFill/>
                        <a:ln>
                          <a:noFill/>
                        </a:ln>
                      </pic:spPr>
                    </pic:pic>
                  </a:graphicData>
                </a:graphic>
              </wp:inline>
            </w:drawing>
          </w:r>
        </w:p>
      </w:tc>
    </w:tr>
  </w:tbl>
  <w:p w14:paraId="3D59A439" w14:textId="77777777" w:rsidR="00FA1A79" w:rsidRPr="00EA15B3" w:rsidRDefault="00FA1A79" w:rsidP="00CC2E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F2A009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3EE8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EE89C2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C5AE1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3BA03A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BCA5A0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CDE982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504A6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CF447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2B216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05AC3ECA"/>
    <w:multiLevelType w:val="hybridMultilevel"/>
    <w:tmpl w:val="782489BE"/>
    <w:lvl w:ilvl="0" w:tplc="51D83494">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4FB02F4"/>
    <w:multiLevelType w:val="hybridMultilevel"/>
    <w:tmpl w:val="0C963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6736137"/>
    <w:multiLevelType w:val="hybridMultilevel"/>
    <w:tmpl w:val="933A9142"/>
    <w:lvl w:ilvl="0" w:tplc="5B10E36E">
      <w:start w:val="2"/>
      <w:numFmt w:val="bullet"/>
      <w:lvlText w:val="–"/>
      <w:lvlJc w:val="left"/>
      <w:pPr>
        <w:ind w:left="502" w:hanging="360"/>
      </w:pPr>
      <w:rPr>
        <w:rFonts w:ascii="Calibri" w:eastAsia="Times New Roman" w:hAnsi="Calibri" w:cs="Calibri"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7" w15:restartNumberingAfterBreak="0">
    <w:nsid w:val="1E6D7A6F"/>
    <w:multiLevelType w:val="hybridMultilevel"/>
    <w:tmpl w:val="9172708A"/>
    <w:lvl w:ilvl="0" w:tplc="E6C48648">
      <w:start w:val="1"/>
      <w:numFmt w:val="bullet"/>
      <w:lvlText w:val="-"/>
      <w:lvlJc w:val="left"/>
      <w:pPr>
        <w:tabs>
          <w:tab w:val="num" w:pos="720"/>
        </w:tabs>
        <w:ind w:left="720" w:hanging="360"/>
      </w:pPr>
      <w:rPr>
        <w:rFonts w:ascii="Times New Roman" w:hAnsi="Times New Roman" w:hint="default"/>
      </w:rPr>
    </w:lvl>
    <w:lvl w:ilvl="1" w:tplc="DC08D752" w:tentative="1">
      <w:start w:val="1"/>
      <w:numFmt w:val="bullet"/>
      <w:lvlText w:val="-"/>
      <w:lvlJc w:val="left"/>
      <w:pPr>
        <w:tabs>
          <w:tab w:val="num" w:pos="1440"/>
        </w:tabs>
        <w:ind w:left="1440" w:hanging="360"/>
      </w:pPr>
      <w:rPr>
        <w:rFonts w:ascii="Times New Roman" w:hAnsi="Times New Roman" w:hint="default"/>
      </w:rPr>
    </w:lvl>
    <w:lvl w:ilvl="2" w:tplc="008678C8" w:tentative="1">
      <w:start w:val="1"/>
      <w:numFmt w:val="bullet"/>
      <w:lvlText w:val="-"/>
      <w:lvlJc w:val="left"/>
      <w:pPr>
        <w:tabs>
          <w:tab w:val="num" w:pos="2160"/>
        </w:tabs>
        <w:ind w:left="2160" w:hanging="360"/>
      </w:pPr>
      <w:rPr>
        <w:rFonts w:ascii="Times New Roman" w:hAnsi="Times New Roman" w:hint="default"/>
      </w:rPr>
    </w:lvl>
    <w:lvl w:ilvl="3" w:tplc="1B8C29C6" w:tentative="1">
      <w:start w:val="1"/>
      <w:numFmt w:val="bullet"/>
      <w:lvlText w:val="-"/>
      <w:lvlJc w:val="left"/>
      <w:pPr>
        <w:tabs>
          <w:tab w:val="num" w:pos="2880"/>
        </w:tabs>
        <w:ind w:left="2880" w:hanging="360"/>
      </w:pPr>
      <w:rPr>
        <w:rFonts w:ascii="Times New Roman" w:hAnsi="Times New Roman" w:hint="default"/>
      </w:rPr>
    </w:lvl>
    <w:lvl w:ilvl="4" w:tplc="F71203F0" w:tentative="1">
      <w:start w:val="1"/>
      <w:numFmt w:val="bullet"/>
      <w:lvlText w:val="-"/>
      <w:lvlJc w:val="left"/>
      <w:pPr>
        <w:tabs>
          <w:tab w:val="num" w:pos="3600"/>
        </w:tabs>
        <w:ind w:left="3600" w:hanging="360"/>
      </w:pPr>
      <w:rPr>
        <w:rFonts w:ascii="Times New Roman" w:hAnsi="Times New Roman" w:hint="default"/>
      </w:rPr>
    </w:lvl>
    <w:lvl w:ilvl="5" w:tplc="51D2505C" w:tentative="1">
      <w:start w:val="1"/>
      <w:numFmt w:val="bullet"/>
      <w:lvlText w:val="-"/>
      <w:lvlJc w:val="left"/>
      <w:pPr>
        <w:tabs>
          <w:tab w:val="num" w:pos="4320"/>
        </w:tabs>
        <w:ind w:left="4320" w:hanging="360"/>
      </w:pPr>
      <w:rPr>
        <w:rFonts w:ascii="Times New Roman" w:hAnsi="Times New Roman" w:hint="default"/>
      </w:rPr>
    </w:lvl>
    <w:lvl w:ilvl="6" w:tplc="35AEC1A0" w:tentative="1">
      <w:start w:val="1"/>
      <w:numFmt w:val="bullet"/>
      <w:lvlText w:val="-"/>
      <w:lvlJc w:val="left"/>
      <w:pPr>
        <w:tabs>
          <w:tab w:val="num" w:pos="5040"/>
        </w:tabs>
        <w:ind w:left="5040" w:hanging="360"/>
      </w:pPr>
      <w:rPr>
        <w:rFonts w:ascii="Times New Roman" w:hAnsi="Times New Roman" w:hint="default"/>
      </w:rPr>
    </w:lvl>
    <w:lvl w:ilvl="7" w:tplc="BEF2CD54" w:tentative="1">
      <w:start w:val="1"/>
      <w:numFmt w:val="bullet"/>
      <w:lvlText w:val="-"/>
      <w:lvlJc w:val="left"/>
      <w:pPr>
        <w:tabs>
          <w:tab w:val="num" w:pos="5760"/>
        </w:tabs>
        <w:ind w:left="5760" w:hanging="360"/>
      </w:pPr>
      <w:rPr>
        <w:rFonts w:ascii="Times New Roman" w:hAnsi="Times New Roman" w:hint="default"/>
      </w:rPr>
    </w:lvl>
    <w:lvl w:ilvl="8" w:tplc="8B7CB10E"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1FEE1A2F"/>
    <w:multiLevelType w:val="hybridMultilevel"/>
    <w:tmpl w:val="E6B8D7D4"/>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22A70F03"/>
    <w:multiLevelType w:val="hybridMultilevel"/>
    <w:tmpl w:val="387A0C56"/>
    <w:lvl w:ilvl="0" w:tplc="FFFFFFFF">
      <w:start w:val="1"/>
      <w:numFmt w:val="bullet"/>
      <w:lvlText w:val=""/>
      <w:legacy w:legacy="1" w:legacySpace="0" w:legacyIndent="283"/>
      <w:lvlJc w:val="left"/>
      <w:pPr>
        <w:ind w:left="850" w:hanging="283"/>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691317C"/>
    <w:multiLevelType w:val="hybridMultilevel"/>
    <w:tmpl w:val="4EEC403E"/>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21"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22" w15:restartNumberingAfterBreak="0">
    <w:nsid w:val="488964B1"/>
    <w:multiLevelType w:val="hybridMultilevel"/>
    <w:tmpl w:val="796A5A2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A252960"/>
    <w:multiLevelType w:val="hybridMultilevel"/>
    <w:tmpl w:val="F502EE0E"/>
    <w:lvl w:ilvl="0" w:tplc="9FCAACA6">
      <w:start w:val="1"/>
      <w:numFmt w:val="decimal"/>
      <w:lvlText w:val="%1"/>
      <w:lvlJc w:val="left"/>
      <w:pPr>
        <w:ind w:left="1150" w:hanging="7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5" w15:restartNumberingAfterBreak="0">
    <w:nsid w:val="553B7016"/>
    <w:multiLevelType w:val="hybridMultilevel"/>
    <w:tmpl w:val="611E1CC0"/>
    <w:lvl w:ilvl="0" w:tplc="04090001">
      <w:start w:val="1"/>
      <w:numFmt w:val="bullet"/>
      <w:lvlText w:val=""/>
      <w:lvlJc w:val="left"/>
      <w:pPr>
        <w:tabs>
          <w:tab w:val="num" w:pos="720"/>
        </w:tabs>
        <w:ind w:left="720" w:hanging="360"/>
      </w:pPr>
      <w:rPr>
        <w:rFonts w:ascii="Symbol" w:hAnsi="Symbol" w:hint="default"/>
      </w:rPr>
    </w:lvl>
    <w:lvl w:ilvl="1" w:tplc="842270BA">
      <w:start w:val="9"/>
      <w:numFmt w:val="bullet"/>
      <w:lvlText w:val="-"/>
      <w:lvlJc w:val="left"/>
      <w:pPr>
        <w:tabs>
          <w:tab w:val="num" w:pos="9999"/>
        </w:tabs>
        <w:ind w:left="9999" w:hanging="360"/>
      </w:pPr>
      <w:rPr>
        <w:rFonts w:ascii="Times New Roman" w:eastAsia="SimSu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980039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09885933">
    <w:abstractNumId w:val="24"/>
  </w:num>
  <w:num w:numId="3" w16cid:durableId="2008513470">
    <w:abstractNumId w:val="16"/>
  </w:num>
  <w:num w:numId="4" w16cid:durableId="561714197">
    <w:abstractNumId w:val="19"/>
  </w:num>
  <w:num w:numId="5" w16cid:durableId="1210847509">
    <w:abstractNumId w:val="25"/>
  </w:num>
  <w:num w:numId="6" w16cid:durableId="177814716">
    <w:abstractNumId w:val="18"/>
  </w:num>
  <w:num w:numId="7" w16cid:durableId="1519125607">
    <w:abstractNumId w:val="20"/>
  </w:num>
  <w:num w:numId="8" w16cid:durableId="1424108664">
    <w:abstractNumId w:val="9"/>
  </w:num>
  <w:num w:numId="9" w16cid:durableId="1149635164">
    <w:abstractNumId w:val="7"/>
  </w:num>
  <w:num w:numId="10" w16cid:durableId="1426076521">
    <w:abstractNumId w:val="6"/>
  </w:num>
  <w:num w:numId="11" w16cid:durableId="4284573">
    <w:abstractNumId w:val="5"/>
  </w:num>
  <w:num w:numId="12" w16cid:durableId="2114782090">
    <w:abstractNumId w:val="4"/>
  </w:num>
  <w:num w:numId="13" w16cid:durableId="909729870">
    <w:abstractNumId w:val="8"/>
  </w:num>
  <w:num w:numId="14" w16cid:durableId="1027871713">
    <w:abstractNumId w:val="3"/>
  </w:num>
  <w:num w:numId="15" w16cid:durableId="1826124124">
    <w:abstractNumId w:val="2"/>
  </w:num>
  <w:num w:numId="16" w16cid:durableId="1436291008">
    <w:abstractNumId w:val="1"/>
  </w:num>
  <w:num w:numId="17" w16cid:durableId="650713267">
    <w:abstractNumId w:val="0"/>
  </w:num>
  <w:num w:numId="18" w16cid:durableId="899637367">
    <w:abstractNumId w:val="15"/>
  </w:num>
  <w:num w:numId="19" w16cid:durableId="1326007495">
    <w:abstractNumId w:val="22"/>
  </w:num>
  <w:num w:numId="20" w16cid:durableId="677999009">
    <w:abstractNumId w:val="14"/>
  </w:num>
  <w:num w:numId="21" w16cid:durableId="1264338507">
    <w:abstractNumId w:val="17"/>
  </w:num>
  <w:num w:numId="22" w16cid:durableId="19138784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mirrorMargins/>
  <w:activeWritingStyle w:appName="MSWord" w:lang="ru-RU" w:vendorID="64" w:dllVersion="6" w:nlCheck="1" w:checkStyle="0"/>
  <w:activeWritingStyle w:appName="MSWord" w:lang="en-GB" w:vendorID="64" w:dllVersion="6" w:nlCheck="1" w:checkStyle="1"/>
  <w:activeWritingStyle w:appName="MSWord" w:lang="en-US" w:vendorID="64" w:dllVersion="6" w:nlCheck="1" w:checkStyle="1"/>
  <w:activeWritingStyle w:appName="MSWord" w:lang="fr-CH" w:vendorID="64" w:dllVersion="6" w:nlCheck="1" w:checkStyle="0"/>
  <w:activeWritingStyle w:appName="MSWord" w:lang="fr-CH" w:vendorID="64" w:dllVersion="0" w:nlCheck="1" w:checkStyle="0"/>
  <w:activeWritingStyle w:appName="MSWord" w:lang="ru-RU"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ru-RU" w:vendorID="64" w:dllVersion="4096" w:nlCheck="1" w:checkStyle="0"/>
  <w:activeWritingStyle w:appName="MSWord" w:lang="en-GB" w:vendorID="64" w:dllVersion="4096" w:nlCheck="1" w:checkStyle="0"/>
  <w:activeWritingStyle w:appName="MSWord" w:lang="fr-FR" w:vendorID="64" w:dllVersion="6" w:nlCheck="1" w:checkStyle="0"/>
  <w:proofState w:spelling="clean" w:grammar="clean"/>
  <w:attachedTemplate r:id="rId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B65478"/>
    <w:rsid w:val="00006A31"/>
    <w:rsid w:val="00006C82"/>
    <w:rsid w:val="0000783C"/>
    <w:rsid w:val="00010071"/>
    <w:rsid w:val="00010E30"/>
    <w:rsid w:val="00014EFC"/>
    <w:rsid w:val="00015C76"/>
    <w:rsid w:val="00022C0B"/>
    <w:rsid w:val="00026CF8"/>
    <w:rsid w:val="00030BD7"/>
    <w:rsid w:val="000319F2"/>
    <w:rsid w:val="00031E64"/>
    <w:rsid w:val="00033A61"/>
    <w:rsid w:val="00034340"/>
    <w:rsid w:val="00035CB3"/>
    <w:rsid w:val="00045A8D"/>
    <w:rsid w:val="00050688"/>
    <w:rsid w:val="0005167A"/>
    <w:rsid w:val="0005392A"/>
    <w:rsid w:val="0005393D"/>
    <w:rsid w:val="00054E5D"/>
    <w:rsid w:val="00060B33"/>
    <w:rsid w:val="00061B21"/>
    <w:rsid w:val="00063CA4"/>
    <w:rsid w:val="00067D37"/>
    <w:rsid w:val="00070258"/>
    <w:rsid w:val="0007323C"/>
    <w:rsid w:val="00074FCA"/>
    <w:rsid w:val="00084DB9"/>
    <w:rsid w:val="00085282"/>
    <w:rsid w:val="00086D03"/>
    <w:rsid w:val="000873BD"/>
    <w:rsid w:val="00094853"/>
    <w:rsid w:val="000A096A"/>
    <w:rsid w:val="000A332A"/>
    <w:rsid w:val="000A375E"/>
    <w:rsid w:val="000A7051"/>
    <w:rsid w:val="000B0AF6"/>
    <w:rsid w:val="000B0E9B"/>
    <w:rsid w:val="000B175C"/>
    <w:rsid w:val="000B2CAE"/>
    <w:rsid w:val="000C03C7"/>
    <w:rsid w:val="000C173C"/>
    <w:rsid w:val="000C2AD0"/>
    <w:rsid w:val="000C2C3F"/>
    <w:rsid w:val="000D04E1"/>
    <w:rsid w:val="000D20B9"/>
    <w:rsid w:val="000E2A4A"/>
    <w:rsid w:val="000E336C"/>
    <w:rsid w:val="000E3DEE"/>
    <w:rsid w:val="000E7057"/>
    <w:rsid w:val="000E7531"/>
    <w:rsid w:val="000F6953"/>
    <w:rsid w:val="00100B72"/>
    <w:rsid w:val="00101AA8"/>
    <w:rsid w:val="00101F7D"/>
    <w:rsid w:val="00103C76"/>
    <w:rsid w:val="0010629E"/>
    <w:rsid w:val="00110EE4"/>
    <w:rsid w:val="0011265F"/>
    <w:rsid w:val="00113032"/>
    <w:rsid w:val="00113FC1"/>
    <w:rsid w:val="001152EF"/>
    <w:rsid w:val="00117282"/>
    <w:rsid w:val="00117389"/>
    <w:rsid w:val="00120BAE"/>
    <w:rsid w:val="00121C2D"/>
    <w:rsid w:val="001242E3"/>
    <w:rsid w:val="00124EDF"/>
    <w:rsid w:val="00126736"/>
    <w:rsid w:val="00134404"/>
    <w:rsid w:val="00134AAA"/>
    <w:rsid w:val="00136BB1"/>
    <w:rsid w:val="00144DFB"/>
    <w:rsid w:val="00146713"/>
    <w:rsid w:val="00156955"/>
    <w:rsid w:val="00156BB1"/>
    <w:rsid w:val="001605D7"/>
    <w:rsid w:val="001610C1"/>
    <w:rsid w:val="00161CAD"/>
    <w:rsid w:val="001641ED"/>
    <w:rsid w:val="0016500D"/>
    <w:rsid w:val="00165207"/>
    <w:rsid w:val="001652C9"/>
    <w:rsid w:val="001670DE"/>
    <w:rsid w:val="00171288"/>
    <w:rsid w:val="00172D70"/>
    <w:rsid w:val="00174730"/>
    <w:rsid w:val="00180AE8"/>
    <w:rsid w:val="00187CA3"/>
    <w:rsid w:val="001910A9"/>
    <w:rsid w:val="00191F31"/>
    <w:rsid w:val="001943C9"/>
    <w:rsid w:val="00196710"/>
    <w:rsid w:val="00196770"/>
    <w:rsid w:val="00197324"/>
    <w:rsid w:val="001A14E2"/>
    <w:rsid w:val="001A23B9"/>
    <w:rsid w:val="001A2CA2"/>
    <w:rsid w:val="001A7B94"/>
    <w:rsid w:val="001B2EDB"/>
    <w:rsid w:val="001B351B"/>
    <w:rsid w:val="001B42C9"/>
    <w:rsid w:val="001C06DB"/>
    <w:rsid w:val="001C324A"/>
    <w:rsid w:val="001C6971"/>
    <w:rsid w:val="001C79F8"/>
    <w:rsid w:val="001C7BAD"/>
    <w:rsid w:val="001D2785"/>
    <w:rsid w:val="001D7070"/>
    <w:rsid w:val="001D70D9"/>
    <w:rsid w:val="001E564F"/>
    <w:rsid w:val="001F2170"/>
    <w:rsid w:val="001F3948"/>
    <w:rsid w:val="001F5A49"/>
    <w:rsid w:val="00201097"/>
    <w:rsid w:val="00201A98"/>
    <w:rsid w:val="00201B6E"/>
    <w:rsid w:val="0021415D"/>
    <w:rsid w:val="00216CC4"/>
    <w:rsid w:val="00217B68"/>
    <w:rsid w:val="002302B3"/>
    <w:rsid w:val="00230C66"/>
    <w:rsid w:val="00230CB5"/>
    <w:rsid w:val="00234BB5"/>
    <w:rsid w:val="00234FD3"/>
    <w:rsid w:val="00235A29"/>
    <w:rsid w:val="002407BE"/>
    <w:rsid w:val="00241526"/>
    <w:rsid w:val="00243335"/>
    <w:rsid w:val="002443A2"/>
    <w:rsid w:val="0024656D"/>
    <w:rsid w:val="00250621"/>
    <w:rsid w:val="00263EFB"/>
    <w:rsid w:val="00266E74"/>
    <w:rsid w:val="00266EF6"/>
    <w:rsid w:val="00271EA4"/>
    <w:rsid w:val="002821A8"/>
    <w:rsid w:val="00283C3B"/>
    <w:rsid w:val="002861E6"/>
    <w:rsid w:val="0028755F"/>
    <w:rsid w:val="00287D18"/>
    <w:rsid w:val="00292C9A"/>
    <w:rsid w:val="0029467F"/>
    <w:rsid w:val="002A2618"/>
    <w:rsid w:val="002A3232"/>
    <w:rsid w:val="002A5DD7"/>
    <w:rsid w:val="002B0CAC"/>
    <w:rsid w:val="002B49D4"/>
    <w:rsid w:val="002B72AE"/>
    <w:rsid w:val="002B75AB"/>
    <w:rsid w:val="002D2935"/>
    <w:rsid w:val="002D3D93"/>
    <w:rsid w:val="002D5A15"/>
    <w:rsid w:val="002D5BDD"/>
    <w:rsid w:val="002D6077"/>
    <w:rsid w:val="002D796A"/>
    <w:rsid w:val="002E2750"/>
    <w:rsid w:val="002E3D27"/>
    <w:rsid w:val="002E59AA"/>
    <w:rsid w:val="002F0890"/>
    <w:rsid w:val="002F098B"/>
    <w:rsid w:val="002F1DB2"/>
    <w:rsid w:val="002F2531"/>
    <w:rsid w:val="002F3708"/>
    <w:rsid w:val="002F4967"/>
    <w:rsid w:val="002F5183"/>
    <w:rsid w:val="00302123"/>
    <w:rsid w:val="00302F51"/>
    <w:rsid w:val="00304613"/>
    <w:rsid w:val="00307372"/>
    <w:rsid w:val="00307AD2"/>
    <w:rsid w:val="003108EF"/>
    <w:rsid w:val="00314482"/>
    <w:rsid w:val="00316935"/>
    <w:rsid w:val="00316E1A"/>
    <w:rsid w:val="003203B2"/>
    <w:rsid w:val="00320817"/>
    <w:rsid w:val="00323599"/>
    <w:rsid w:val="003266ED"/>
    <w:rsid w:val="00326C68"/>
    <w:rsid w:val="00333E60"/>
    <w:rsid w:val="003370B8"/>
    <w:rsid w:val="0034132F"/>
    <w:rsid w:val="0034340F"/>
    <w:rsid w:val="00343B78"/>
    <w:rsid w:val="00345986"/>
    <w:rsid w:val="00345D38"/>
    <w:rsid w:val="003475B3"/>
    <w:rsid w:val="00352097"/>
    <w:rsid w:val="00353DE6"/>
    <w:rsid w:val="00355A4A"/>
    <w:rsid w:val="00355B2B"/>
    <w:rsid w:val="00361883"/>
    <w:rsid w:val="00364A9D"/>
    <w:rsid w:val="003666FF"/>
    <w:rsid w:val="0037309C"/>
    <w:rsid w:val="003739CA"/>
    <w:rsid w:val="00380A6E"/>
    <w:rsid w:val="00382F4A"/>
    <w:rsid w:val="003836D4"/>
    <w:rsid w:val="00393D40"/>
    <w:rsid w:val="0039480A"/>
    <w:rsid w:val="00394ACE"/>
    <w:rsid w:val="003A1F49"/>
    <w:rsid w:val="003A55ED"/>
    <w:rsid w:val="003A5ACD"/>
    <w:rsid w:val="003A5D52"/>
    <w:rsid w:val="003A63F4"/>
    <w:rsid w:val="003B2BDA"/>
    <w:rsid w:val="003B45C1"/>
    <w:rsid w:val="003B53AE"/>
    <w:rsid w:val="003B55EC"/>
    <w:rsid w:val="003C1214"/>
    <w:rsid w:val="003C2EA7"/>
    <w:rsid w:val="003C423D"/>
    <w:rsid w:val="003C4471"/>
    <w:rsid w:val="003C48C0"/>
    <w:rsid w:val="003C54DA"/>
    <w:rsid w:val="003C7D41"/>
    <w:rsid w:val="003D0284"/>
    <w:rsid w:val="003D1AE3"/>
    <w:rsid w:val="003D279B"/>
    <w:rsid w:val="003D4A69"/>
    <w:rsid w:val="003D5025"/>
    <w:rsid w:val="003D695A"/>
    <w:rsid w:val="003E504F"/>
    <w:rsid w:val="003E62D5"/>
    <w:rsid w:val="003E78D6"/>
    <w:rsid w:val="003F45A9"/>
    <w:rsid w:val="003F5A9D"/>
    <w:rsid w:val="00400573"/>
    <w:rsid w:val="004007A3"/>
    <w:rsid w:val="00403FA9"/>
    <w:rsid w:val="00406D71"/>
    <w:rsid w:val="004107BC"/>
    <w:rsid w:val="0041609D"/>
    <w:rsid w:val="00422F7E"/>
    <w:rsid w:val="00423B90"/>
    <w:rsid w:val="00423D84"/>
    <w:rsid w:val="00423FBD"/>
    <w:rsid w:val="004268A2"/>
    <w:rsid w:val="00431351"/>
    <w:rsid w:val="004326DB"/>
    <w:rsid w:val="00434B0E"/>
    <w:rsid w:val="0043682E"/>
    <w:rsid w:val="00437262"/>
    <w:rsid w:val="004448C2"/>
    <w:rsid w:val="00447ECB"/>
    <w:rsid w:val="004520AD"/>
    <w:rsid w:val="00454E7A"/>
    <w:rsid w:val="004576E8"/>
    <w:rsid w:val="0046219E"/>
    <w:rsid w:val="004623F7"/>
    <w:rsid w:val="004713A0"/>
    <w:rsid w:val="00472F44"/>
    <w:rsid w:val="0047305B"/>
    <w:rsid w:val="00480F51"/>
    <w:rsid w:val="00481124"/>
    <w:rsid w:val="004815EB"/>
    <w:rsid w:val="004828E5"/>
    <w:rsid w:val="00483DBE"/>
    <w:rsid w:val="00484121"/>
    <w:rsid w:val="004857A4"/>
    <w:rsid w:val="00487569"/>
    <w:rsid w:val="00490DF9"/>
    <w:rsid w:val="004967EE"/>
    <w:rsid w:val="00496864"/>
    <w:rsid w:val="00496920"/>
    <w:rsid w:val="004A0410"/>
    <w:rsid w:val="004A05CE"/>
    <w:rsid w:val="004A4496"/>
    <w:rsid w:val="004A4B79"/>
    <w:rsid w:val="004B06F5"/>
    <w:rsid w:val="004B11AB"/>
    <w:rsid w:val="004B4941"/>
    <w:rsid w:val="004B7C9A"/>
    <w:rsid w:val="004C417D"/>
    <w:rsid w:val="004C6779"/>
    <w:rsid w:val="004D3043"/>
    <w:rsid w:val="004D5463"/>
    <w:rsid w:val="004D733B"/>
    <w:rsid w:val="004E0DC4"/>
    <w:rsid w:val="004E0FB5"/>
    <w:rsid w:val="004E43BB"/>
    <w:rsid w:val="004E460D"/>
    <w:rsid w:val="004F178E"/>
    <w:rsid w:val="004F17B2"/>
    <w:rsid w:val="004F2B1B"/>
    <w:rsid w:val="004F4543"/>
    <w:rsid w:val="004F57BB"/>
    <w:rsid w:val="004F760A"/>
    <w:rsid w:val="00501586"/>
    <w:rsid w:val="00505309"/>
    <w:rsid w:val="0050789B"/>
    <w:rsid w:val="00510B16"/>
    <w:rsid w:val="00513F00"/>
    <w:rsid w:val="00514F73"/>
    <w:rsid w:val="00515AE4"/>
    <w:rsid w:val="00521CF4"/>
    <w:rsid w:val="005224A1"/>
    <w:rsid w:val="00524C28"/>
    <w:rsid w:val="00525D73"/>
    <w:rsid w:val="00532048"/>
    <w:rsid w:val="005325DF"/>
    <w:rsid w:val="00533372"/>
    <w:rsid w:val="00534372"/>
    <w:rsid w:val="00537677"/>
    <w:rsid w:val="00543DF8"/>
    <w:rsid w:val="00546101"/>
    <w:rsid w:val="00550423"/>
    <w:rsid w:val="00553DD7"/>
    <w:rsid w:val="005574F8"/>
    <w:rsid w:val="00557A4F"/>
    <w:rsid w:val="005603AF"/>
    <w:rsid w:val="005638CF"/>
    <w:rsid w:val="00563E6D"/>
    <w:rsid w:val="00565549"/>
    <w:rsid w:val="0056741E"/>
    <w:rsid w:val="0057325A"/>
    <w:rsid w:val="0057469A"/>
    <w:rsid w:val="00577BD1"/>
    <w:rsid w:val="00580814"/>
    <w:rsid w:val="00580EAC"/>
    <w:rsid w:val="00582D38"/>
    <w:rsid w:val="00583903"/>
    <w:rsid w:val="00583A0B"/>
    <w:rsid w:val="00587AA9"/>
    <w:rsid w:val="00592C0C"/>
    <w:rsid w:val="00593891"/>
    <w:rsid w:val="00596846"/>
    <w:rsid w:val="00597DE0"/>
    <w:rsid w:val="005A03A3"/>
    <w:rsid w:val="005A2A8D"/>
    <w:rsid w:val="005A2B92"/>
    <w:rsid w:val="005A3F66"/>
    <w:rsid w:val="005A79E9"/>
    <w:rsid w:val="005B214C"/>
    <w:rsid w:val="005B4CDA"/>
    <w:rsid w:val="005B68E6"/>
    <w:rsid w:val="005B7062"/>
    <w:rsid w:val="005B7AC4"/>
    <w:rsid w:val="005C1E27"/>
    <w:rsid w:val="005C21D7"/>
    <w:rsid w:val="005C3EE2"/>
    <w:rsid w:val="005D2234"/>
    <w:rsid w:val="005D2BF5"/>
    <w:rsid w:val="005D3669"/>
    <w:rsid w:val="005D57BE"/>
    <w:rsid w:val="005D7B97"/>
    <w:rsid w:val="005E5EB3"/>
    <w:rsid w:val="005F1590"/>
    <w:rsid w:val="005F19C5"/>
    <w:rsid w:val="005F323C"/>
    <w:rsid w:val="005F3CB6"/>
    <w:rsid w:val="005F58A0"/>
    <w:rsid w:val="005F5BB1"/>
    <w:rsid w:val="005F657C"/>
    <w:rsid w:val="00600B03"/>
    <w:rsid w:val="00602D53"/>
    <w:rsid w:val="0060431F"/>
    <w:rsid w:val="006047E5"/>
    <w:rsid w:val="006108BB"/>
    <w:rsid w:val="006108C4"/>
    <w:rsid w:val="00610D58"/>
    <w:rsid w:val="006147FE"/>
    <w:rsid w:val="006246D8"/>
    <w:rsid w:val="00626098"/>
    <w:rsid w:val="0062667B"/>
    <w:rsid w:val="00633767"/>
    <w:rsid w:val="0064371D"/>
    <w:rsid w:val="00644CA2"/>
    <w:rsid w:val="00646C7E"/>
    <w:rsid w:val="00647002"/>
    <w:rsid w:val="00650543"/>
    <w:rsid w:val="00650B2A"/>
    <w:rsid w:val="00651777"/>
    <w:rsid w:val="00653F94"/>
    <w:rsid w:val="006550F8"/>
    <w:rsid w:val="00666B47"/>
    <w:rsid w:val="00671E63"/>
    <w:rsid w:val="0067303A"/>
    <w:rsid w:val="006749AE"/>
    <w:rsid w:val="006829F3"/>
    <w:rsid w:val="00685674"/>
    <w:rsid w:val="006A518B"/>
    <w:rsid w:val="006B0432"/>
    <w:rsid w:val="006B0590"/>
    <w:rsid w:val="006B0CD0"/>
    <w:rsid w:val="006B3ED7"/>
    <w:rsid w:val="006B49DA"/>
    <w:rsid w:val="006C07F4"/>
    <w:rsid w:val="006C53F8"/>
    <w:rsid w:val="006C7CDE"/>
    <w:rsid w:val="006D08AB"/>
    <w:rsid w:val="006D0D7B"/>
    <w:rsid w:val="006D157D"/>
    <w:rsid w:val="006E5B0A"/>
    <w:rsid w:val="006F2EA6"/>
    <w:rsid w:val="006F78ED"/>
    <w:rsid w:val="006F7BAB"/>
    <w:rsid w:val="007007E8"/>
    <w:rsid w:val="00702ADC"/>
    <w:rsid w:val="00715C35"/>
    <w:rsid w:val="0071677F"/>
    <w:rsid w:val="00716E8E"/>
    <w:rsid w:val="007234B1"/>
    <w:rsid w:val="00723D08"/>
    <w:rsid w:val="0072520B"/>
    <w:rsid w:val="00725FDA"/>
    <w:rsid w:val="00727816"/>
    <w:rsid w:val="00730B9A"/>
    <w:rsid w:val="00732BD9"/>
    <w:rsid w:val="00737577"/>
    <w:rsid w:val="00743549"/>
    <w:rsid w:val="0074726C"/>
    <w:rsid w:val="00750185"/>
    <w:rsid w:val="00750CFA"/>
    <w:rsid w:val="00751310"/>
    <w:rsid w:val="00752994"/>
    <w:rsid w:val="007553DA"/>
    <w:rsid w:val="00760E61"/>
    <w:rsid w:val="0076375D"/>
    <w:rsid w:val="007639E1"/>
    <w:rsid w:val="00765920"/>
    <w:rsid w:val="00765AD8"/>
    <w:rsid w:val="00774D58"/>
    <w:rsid w:val="00775DB8"/>
    <w:rsid w:val="00777060"/>
    <w:rsid w:val="00781A32"/>
    <w:rsid w:val="00782354"/>
    <w:rsid w:val="007830BC"/>
    <w:rsid w:val="00783B31"/>
    <w:rsid w:val="00785CFD"/>
    <w:rsid w:val="007917C8"/>
    <w:rsid w:val="007921A7"/>
    <w:rsid w:val="00793C0E"/>
    <w:rsid w:val="00794C69"/>
    <w:rsid w:val="007963D6"/>
    <w:rsid w:val="007A30C1"/>
    <w:rsid w:val="007A592A"/>
    <w:rsid w:val="007B3DB1"/>
    <w:rsid w:val="007B751F"/>
    <w:rsid w:val="007B7BCE"/>
    <w:rsid w:val="007C33D7"/>
    <w:rsid w:val="007D183E"/>
    <w:rsid w:val="007D3A1D"/>
    <w:rsid w:val="007D43D0"/>
    <w:rsid w:val="007D7012"/>
    <w:rsid w:val="007E1833"/>
    <w:rsid w:val="007E30D2"/>
    <w:rsid w:val="007E3F13"/>
    <w:rsid w:val="007F05C4"/>
    <w:rsid w:val="007F20B5"/>
    <w:rsid w:val="007F72ED"/>
    <w:rsid w:val="007F751A"/>
    <w:rsid w:val="00800012"/>
    <w:rsid w:val="0080261F"/>
    <w:rsid w:val="00802B34"/>
    <w:rsid w:val="00803BA6"/>
    <w:rsid w:val="00806160"/>
    <w:rsid w:val="00807C4B"/>
    <w:rsid w:val="00810075"/>
    <w:rsid w:val="008143A4"/>
    <w:rsid w:val="0081513E"/>
    <w:rsid w:val="0082678D"/>
    <w:rsid w:val="00831384"/>
    <w:rsid w:val="00850210"/>
    <w:rsid w:val="00854131"/>
    <w:rsid w:val="008546A1"/>
    <w:rsid w:val="0085652D"/>
    <w:rsid w:val="00857DCA"/>
    <w:rsid w:val="0086645A"/>
    <w:rsid w:val="00866699"/>
    <w:rsid w:val="00867D88"/>
    <w:rsid w:val="008741C6"/>
    <w:rsid w:val="00875719"/>
    <w:rsid w:val="0087694B"/>
    <w:rsid w:val="00880F4D"/>
    <w:rsid w:val="0088447C"/>
    <w:rsid w:val="008854DA"/>
    <w:rsid w:val="00891FD1"/>
    <w:rsid w:val="00892218"/>
    <w:rsid w:val="00896A42"/>
    <w:rsid w:val="008A5EFC"/>
    <w:rsid w:val="008A6101"/>
    <w:rsid w:val="008B192F"/>
    <w:rsid w:val="008B2463"/>
    <w:rsid w:val="008B35A3"/>
    <w:rsid w:val="008B37E1"/>
    <w:rsid w:val="008B45F8"/>
    <w:rsid w:val="008C072B"/>
    <w:rsid w:val="008C2E74"/>
    <w:rsid w:val="008C41FE"/>
    <w:rsid w:val="008C6BEF"/>
    <w:rsid w:val="008D2448"/>
    <w:rsid w:val="008D5409"/>
    <w:rsid w:val="008E006D"/>
    <w:rsid w:val="008E38B4"/>
    <w:rsid w:val="008E5366"/>
    <w:rsid w:val="008E6ED4"/>
    <w:rsid w:val="008F037B"/>
    <w:rsid w:val="008F0809"/>
    <w:rsid w:val="008F3E96"/>
    <w:rsid w:val="008F4F21"/>
    <w:rsid w:val="009008AC"/>
    <w:rsid w:val="00904D4A"/>
    <w:rsid w:val="009076D7"/>
    <w:rsid w:val="00913206"/>
    <w:rsid w:val="009151BA"/>
    <w:rsid w:val="009170A7"/>
    <w:rsid w:val="009206CD"/>
    <w:rsid w:val="00920DE1"/>
    <w:rsid w:val="00923F9C"/>
    <w:rsid w:val="00925023"/>
    <w:rsid w:val="009277BC"/>
    <w:rsid w:val="00927D57"/>
    <w:rsid w:val="0093000D"/>
    <w:rsid w:val="00931A51"/>
    <w:rsid w:val="00934357"/>
    <w:rsid w:val="00941AB9"/>
    <w:rsid w:val="00945284"/>
    <w:rsid w:val="009461FD"/>
    <w:rsid w:val="00947185"/>
    <w:rsid w:val="009518B3"/>
    <w:rsid w:val="0095207D"/>
    <w:rsid w:val="00955C31"/>
    <w:rsid w:val="00963D9D"/>
    <w:rsid w:val="0096462F"/>
    <w:rsid w:val="00971F3D"/>
    <w:rsid w:val="00972384"/>
    <w:rsid w:val="009740FC"/>
    <w:rsid w:val="00975EBF"/>
    <w:rsid w:val="0098013E"/>
    <w:rsid w:val="00980A1C"/>
    <w:rsid w:val="00981B54"/>
    <w:rsid w:val="009842C3"/>
    <w:rsid w:val="009862D5"/>
    <w:rsid w:val="00991A67"/>
    <w:rsid w:val="009A009A"/>
    <w:rsid w:val="009A6BB6"/>
    <w:rsid w:val="009B2684"/>
    <w:rsid w:val="009B3F43"/>
    <w:rsid w:val="009B418F"/>
    <w:rsid w:val="009B5CFA"/>
    <w:rsid w:val="009B6DB9"/>
    <w:rsid w:val="009C161F"/>
    <w:rsid w:val="009C2B7F"/>
    <w:rsid w:val="009C56B4"/>
    <w:rsid w:val="009C67EE"/>
    <w:rsid w:val="009D363D"/>
    <w:rsid w:val="009D3F56"/>
    <w:rsid w:val="009D51A2"/>
    <w:rsid w:val="009D58D3"/>
    <w:rsid w:val="009D5F5C"/>
    <w:rsid w:val="009D6FDE"/>
    <w:rsid w:val="009D7C3B"/>
    <w:rsid w:val="009E04A8"/>
    <w:rsid w:val="009E1BAB"/>
    <w:rsid w:val="009E38D4"/>
    <w:rsid w:val="009E3EE1"/>
    <w:rsid w:val="009E4AEC"/>
    <w:rsid w:val="009E52C4"/>
    <w:rsid w:val="009E5BD8"/>
    <w:rsid w:val="009E681E"/>
    <w:rsid w:val="009E6E9B"/>
    <w:rsid w:val="009F0691"/>
    <w:rsid w:val="009F143D"/>
    <w:rsid w:val="009F1F35"/>
    <w:rsid w:val="009F594C"/>
    <w:rsid w:val="00A00959"/>
    <w:rsid w:val="00A00D81"/>
    <w:rsid w:val="00A0556D"/>
    <w:rsid w:val="00A067E9"/>
    <w:rsid w:val="00A119E6"/>
    <w:rsid w:val="00A11C07"/>
    <w:rsid w:val="00A1385B"/>
    <w:rsid w:val="00A20FBC"/>
    <w:rsid w:val="00A21D93"/>
    <w:rsid w:val="00A22E99"/>
    <w:rsid w:val="00A2694C"/>
    <w:rsid w:val="00A31370"/>
    <w:rsid w:val="00A34D6F"/>
    <w:rsid w:val="00A355E0"/>
    <w:rsid w:val="00A35B78"/>
    <w:rsid w:val="00A372F6"/>
    <w:rsid w:val="00A37F17"/>
    <w:rsid w:val="00A40615"/>
    <w:rsid w:val="00A40A37"/>
    <w:rsid w:val="00A41F91"/>
    <w:rsid w:val="00A421BF"/>
    <w:rsid w:val="00A47E4C"/>
    <w:rsid w:val="00A5060A"/>
    <w:rsid w:val="00A507D8"/>
    <w:rsid w:val="00A5159B"/>
    <w:rsid w:val="00A62203"/>
    <w:rsid w:val="00A63355"/>
    <w:rsid w:val="00A64393"/>
    <w:rsid w:val="00A645A8"/>
    <w:rsid w:val="00A65166"/>
    <w:rsid w:val="00A663A4"/>
    <w:rsid w:val="00A66586"/>
    <w:rsid w:val="00A70155"/>
    <w:rsid w:val="00A7596D"/>
    <w:rsid w:val="00A775E9"/>
    <w:rsid w:val="00A81B25"/>
    <w:rsid w:val="00A83F3F"/>
    <w:rsid w:val="00A85A5A"/>
    <w:rsid w:val="00A85F05"/>
    <w:rsid w:val="00A91734"/>
    <w:rsid w:val="00A928C0"/>
    <w:rsid w:val="00A935EB"/>
    <w:rsid w:val="00A93C77"/>
    <w:rsid w:val="00A93F09"/>
    <w:rsid w:val="00A963DF"/>
    <w:rsid w:val="00A9781D"/>
    <w:rsid w:val="00AA1AA3"/>
    <w:rsid w:val="00AA3C2E"/>
    <w:rsid w:val="00AA5872"/>
    <w:rsid w:val="00AA6CD0"/>
    <w:rsid w:val="00AB4460"/>
    <w:rsid w:val="00AB57C1"/>
    <w:rsid w:val="00AC0C22"/>
    <w:rsid w:val="00AC1513"/>
    <w:rsid w:val="00AC2C87"/>
    <w:rsid w:val="00AC3896"/>
    <w:rsid w:val="00AC44D6"/>
    <w:rsid w:val="00AD2CF2"/>
    <w:rsid w:val="00AD3C22"/>
    <w:rsid w:val="00AE02B9"/>
    <w:rsid w:val="00AE2D88"/>
    <w:rsid w:val="00AE4BC3"/>
    <w:rsid w:val="00AE6F6F"/>
    <w:rsid w:val="00AF0D67"/>
    <w:rsid w:val="00AF1B0E"/>
    <w:rsid w:val="00AF31E9"/>
    <w:rsid w:val="00AF3325"/>
    <w:rsid w:val="00AF34D9"/>
    <w:rsid w:val="00AF70DA"/>
    <w:rsid w:val="00B00547"/>
    <w:rsid w:val="00B010D1"/>
    <w:rsid w:val="00B019D3"/>
    <w:rsid w:val="00B02BDE"/>
    <w:rsid w:val="00B07F3C"/>
    <w:rsid w:val="00B12875"/>
    <w:rsid w:val="00B14019"/>
    <w:rsid w:val="00B1427A"/>
    <w:rsid w:val="00B16386"/>
    <w:rsid w:val="00B21DC8"/>
    <w:rsid w:val="00B22FA6"/>
    <w:rsid w:val="00B315F2"/>
    <w:rsid w:val="00B34346"/>
    <w:rsid w:val="00B34CF9"/>
    <w:rsid w:val="00B36B05"/>
    <w:rsid w:val="00B37559"/>
    <w:rsid w:val="00B4054B"/>
    <w:rsid w:val="00B46C64"/>
    <w:rsid w:val="00B47721"/>
    <w:rsid w:val="00B579B0"/>
    <w:rsid w:val="00B57D11"/>
    <w:rsid w:val="00B602E4"/>
    <w:rsid w:val="00B649D7"/>
    <w:rsid w:val="00B65478"/>
    <w:rsid w:val="00B664F2"/>
    <w:rsid w:val="00B709F1"/>
    <w:rsid w:val="00B733F2"/>
    <w:rsid w:val="00B77561"/>
    <w:rsid w:val="00B817C3"/>
    <w:rsid w:val="00B81C2F"/>
    <w:rsid w:val="00B850CF"/>
    <w:rsid w:val="00B86620"/>
    <w:rsid w:val="00B87C79"/>
    <w:rsid w:val="00B90743"/>
    <w:rsid w:val="00B90C45"/>
    <w:rsid w:val="00B9301C"/>
    <w:rsid w:val="00B933BE"/>
    <w:rsid w:val="00BA38CD"/>
    <w:rsid w:val="00BB4127"/>
    <w:rsid w:val="00BB7B88"/>
    <w:rsid w:val="00BC3C81"/>
    <w:rsid w:val="00BC68C3"/>
    <w:rsid w:val="00BC78CD"/>
    <w:rsid w:val="00BD1315"/>
    <w:rsid w:val="00BD4B9D"/>
    <w:rsid w:val="00BD6738"/>
    <w:rsid w:val="00BD7E5E"/>
    <w:rsid w:val="00BE4291"/>
    <w:rsid w:val="00BE63DB"/>
    <w:rsid w:val="00BE6574"/>
    <w:rsid w:val="00BF0AAF"/>
    <w:rsid w:val="00BF1C4A"/>
    <w:rsid w:val="00BF1F24"/>
    <w:rsid w:val="00BF3318"/>
    <w:rsid w:val="00BF5D4A"/>
    <w:rsid w:val="00BF5FBD"/>
    <w:rsid w:val="00BF70FF"/>
    <w:rsid w:val="00C023A0"/>
    <w:rsid w:val="00C03B3C"/>
    <w:rsid w:val="00C041BA"/>
    <w:rsid w:val="00C05ADF"/>
    <w:rsid w:val="00C06076"/>
    <w:rsid w:val="00C07319"/>
    <w:rsid w:val="00C16FD2"/>
    <w:rsid w:val="00C23078"/>
    <w:rsid w:val="00C25BB0"/>
    <w:rsid w:val="00C278CE"/>
    <w:rsid w:val="00C31F40"/>
    <w:rsid w:val="00C32A7F"/>
    <w:rsid w:val="00C36DC5"/>
    <w:rsid w:val="00C41900"/>
    <w:rsid w:val="00C4395E"/>
    <w:rsid w:val="00C45A95"/>
    <w:rsid w:val="00C47BB1"/>
    <w:rsid w:val="00C47FFD"/>
    <w:rsid w:val="00C505A1"/>
    <w:rsid w:val="00C51E92"/>
    <w:rsid w:val="00C54420"/>
    <w:rsid w:val="00C56510"/>
    <w:rsid w:val="00C578BB"/>
    <w:rsid w:val="00C57E2C"/>
    <w:rsid w:val="00C608B7"/>
    <w:rsid w:val="00C64CE2"/>
    <w:rsid w:val="00C66B90"/>
    <w:rsid w:val="00C66F24"/>
    <w:rsid w:val="00C73997"/>
    <w:rsid w:val="00C75D0A"/>
    <w:rsid w:val="00C76D7F"/>
    <w:rsid w:val="00C77CF9"/>
    <w:rsid w:val="00C813AA"/>
    <w:rsid w:val="00C9291E"/>
    <w:rsid w:val="00C92AE4"/>
    <w:rsid w:val="00CA3F44"/>
    <w:rsid w:val="00CA4E58"/>
    <w:rsid w:val="00CB3771"/>
    <w:rsid w:val="00CB44BF"/>
    <w:rsid w:val="00CB469D"/>
    <w:rsid w:val="00CB5153"/>
    <w:rsid w:val="00CC152D"/>
    <w:rsid w:val="00CC1AF6"/>
    <w:rsid w:val="00CC2E09"/>
    <w:rsid w:val="00CC2F51"/>
    <w:rsid w:val="00CC4CEF"/>
    <w:rsid w:val="00CC7FB3"/>
    <w:rsid w:val="00CD2925"/>
    <w:rsid w:val="00CD5A46"/>
    <w:rsid w:val="00CE076A"/>
    <w:rsid w:val="00CE463D"/>
    <w:rsid w:val="00CE56CA"/>
    <w:rsid w:val="00CE63D6"/>
    <w:rsid w:val="00CF5626"/>
    <w:rsid w:val="00CF5857"/>
    <w:rsid w:val="00D00447"/>
    <w:rsid w:val="00D006F4"/>
    <w:rsid w:val="00D00E37"/>
    <w:rsid w:val="00D06D65"/>
    <w:rsid w:val="00D10BA0"/>
    <w:rsid w:val="00D14D17"/>
    <w:rsid w:val="00D20615"/>
    <w:rsid w:val="00D21694"/>
    <w:rsid w:val="00D21F84"/>
    <w:rsid w:val="00D24EB5"/>
    <w:rsid w:val="00D263A2"/>
    <w:rsid w:val="00D27BB4"/>
    <w:rsid w:val="00D307B2"/>
    <w:rsid w:val="00D30DF2"/>
    <w:rsid w:val="00D3295F"/>
    <w:rsid w:val="00D35AB9"/>
    <w:rsid w:val="00D36CBB"/>
    <w:rsid w:val="00D41571"/>
    <w:rsid w:val="00D416A0"/>
    <w:rsid w:val="00D42E2D"/>
    <w:rsid w:val="00D433D1"/>
    <w:rsid w:val="00D43E6D"/>
    <w:rsid w:val="00D44DFF"/>
    <w:rsid w:val="00D47672"/>
    <w:rsid w:val="00D511AE"/>
    <w:rsid w:val="00D5123C"/>
    <w:rsid w:val="00D51AD5"/>
    <w:rsid w:val="00D52F2D"/>
    <w:rsid w:val="00D545B6"/>
    <w:rsid w:val="00D55560"/>
    <w:rsid w:val="00D60782"/>
    <w:rsid w:val="00D61C5A"/>
    <w:rsid w:val="00D6790C"/>
    <w:rsid w:val="00D73277"/>
    <w:rsid w:val="00D76586"/>
    <w:rsid w:val="00D82657"/>
    <w:rsid w:val="00D84345"/>
    <w:rsid w:val="00D87E20"/>
    <w:rsid w:val="00D90767"/>
    <w:rsid w:val="00D92488"/>
    <w:rsid w:val="00D92B90"/>
    <w:rsid w:val="00D93A14"/>
    <w:rsid w:val="00DA4037"/>
    <w:rsid w:val="00DB704A"/>
    <w:rsid w:val="00DC35AB"/>
    <w:rsid w:val="00DC3E69"/>
    <w:rsid w:val="00DC4FDC"/>
    <w:rsid w:val="00DC732C"/>
    <w:rsid w:val="00DD038C"/>
    <w:rsid w:val="00DE1E19"/>
    <w:rsid w:val="00DE215A"/>
    <w:rsid w:val="00DE66A5"/>
    <w:rsid w:val="00DF1701"/>
    <w:rsid w:val="00DF2B50"/>
    <w:rsid w:val="00DF3304"/>
    <w:rsid w:val="00E01059"/>
    <w:rsid w:val="00E0244E"/>
    <w:rsid w:val="00E0255A"/>
    <w:rsid w:val="00E04C86"/>
    <w:rsid w:val="00E11A5F"/>
    <w:rsid w:val="00E15578"/>
    <w:rsid w:val="00E17344"/>
    <w:rsid w:val="00E20F30"/>
    <w:rsid w:val="00E2189C"/>
    <w:rsid w:val="00E2464B"/>
    <w:rsid w:val="00E24E50"/>
    <w:rsid w:val="00E25BB1"/>
    <w:rsid w:val="00E273BB"/>
    <w:rsid w:val="00E27BBA"/>
    <w:rsid w:val="00E30D94"/>
    <w:rsid w:val="00E30E3F"/>
    <w:rsid w:val="00E35E8F"/>
    <w:rsid w:val="00E428AB"/>
    <w:rsid w:val="00E43188"/>
    <w:rsid w:val="00E438E8"/>
    <w:rsid w:val="00E453A3"/>
    <w:rsid w:val="00E506ED"/>
    <w:rsid w:val="00E50C9B"/>
    <w:rsid w:val="00E520E2"/>
    <w:rsid w:val="00E530C4"/>
    <w:rsid w:val="00E530EA"/>
    <w:rsid w:val="00E53DCE"/>
    <w:rsid w:val="00E55996"/>
    <w:rsid w:val="00E57EA4"/>
    <w:rsid w:val="00E64254"/>
    <w:rsid w:val="00E644A8"/>
    <w:rsid w:val="00E66B2E"/>
    <w:rsid w:val="00E673EA"/>
    <w:rsid w:val="00E67928"/>
    <w:rsid w:val="00E70FB5"/>
    <w:rsid w:val="00E7416F"/>
    <w:rsid w:val="00E82393"/>
    <w:rsid w:val="00E84C8F"/>
    <w:rsid w:val="00E84DB2"/>
    <w:rsid w:val="00E852CD"/>
    <w:rsid w:val="00E915AF"/>
    <w:rsid w:val="00E91731"/>
    <w:rsid w:val="00E9175C"/>
    <w:rsid w:val="00E9301A"/>
    <w:rsid w:val="00E9302B"/>
    <w:rsid w:val="00E932ED"/>
    <w:rsid w:val="00E96415"/>
    <w:rsid w:val="00E96722"/>
    <w:rsid w:val="00EA11AE"/>
    <w:rsid w:val="00EA15B3"/>
    <w:rsid w:val="00EA183D"/>
    <w:rsid w:val="00EA5A01"/>
    <w:rsid w:val="00EB2358"/>
    <w:rsid w:val="00EB3EB8"/>
    <w:rsid w:val="00EB60F9"/>
    <w:rsid w:val="00EB72A8"/>
    <w:rsid w:val="00EB7B0E"/>
    <w:rsid w:val="00EC00EF"/>
    <w:rsid w:val="00EC02FE"/>
    <w:rsid w:val="00EC4A96"/>
    <w:rsid w:val="00EE03A0"/>
    <w:rsid w:val="00EE1389"/>
    <w:rsid w:val="00EE2A4A"/>
    <w:rsid w:val="00EE3D5B"/>
    <w:rsid w:val="00EE56DB"/>
    <w:rsid w:val="00F11740"/>
    <w:rsid w:val="00F26672"/>
    <w:rsid w:val="00F26D33"/>
    <w:rsid w:val="00F424BF"/>
    <w:rsid w:val="00F44FC3"/>
    <w:rsid w:val="00F46107"/>
    <w:rsid w:val="00F468C5"/>
    <w:rsid w:val="00F52D7D"/>
    <w:rsid w:val="00F52F39"/>
    <w:rsid w:val="00F60FBF"/>
    <w:rsid w:val="00F6184F"/>
    <w:rsid w:val="00F8073C"/>
    <w:rsid w:val="00F8310E"/>
    <w:rsid w:val="00F86EDF"/>
    <w:rsid w:val="00F86F4D"/>
    <w:rsid w:val="00F914DD"/>
    <w:rsid w:val="00F945F7"/>
    <w:rsid w:val="00F973C0"/>
    <w:rsid w:val="00FA1149"/>
    <w:rsid w:val="00FA1A79"/>
    <w:rsid w:val="00FA2358"/>
    <w:rsid w:val="00FA6F8F"/>
    <w:rsid w:val="00FB2101"/>
    <w:rsid w:val="00FB22AB"/>
    <w:rsid w:val="00FB2592"/>
    <w:rsid w:val="00FB2810"/>
    <w:rsid w:val="00FB7A2C"/>
    <w:rsid w:val="00FC2947"/>
    <w:rsid w:val="00FC35C1"/>
    <w:rsid w:val="00FD49F4"/>
    <w:rsid w:val="00FD673D"/>
    <w:rsid w:val="00FE0818"/>
    <w:rsid w:val="00FE1E08"/>
    <w:rsid w:val="00FE3EB1"/>
    <w:rsid w:val="00FE5D0D"/>
    <w:rsid w:val="00FE64E4"/>
    <w:rsid w:val="00FE6FB1"/>
    <w:rsid w:val="00FF297B"/>
    <w:rsid w:val="00FF33EF"/>
    <w:rsid w:val="00FF4ADE"/>
    <w:rsid w:val="00FF4CC5"/>
    <w:rsid w:val="00FF679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2EC8EC"/>
  <w15:docId w15:val="{97759A03-3E09-414E-B44A-F6D84DDB3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2101"/>
    <w:pPr>
      <w:tabs>
        <w:tab w:val="left" w:pos="794"/>
        <w:tab w:val="left" w:pos="1191"/>
        <w:tab w:val="left" w:pos="1588"/>
        <w:tab w:val="left" w:pos="1985"/>
      </w:tabs>
      <w:overflowPunct w:val="0"/>
      <w:autoSpaceDE w:val="0"/>
      <w:autoSpaceDN w:val="0"/>
      <w:adjustRightInd w:val="0"/>
      <w:spacing w:before="120"/>
      <w:textAlignment w:val="baseline"/>
    </w:pPr>
    <w:rPr>
      <w:sz w:val="22"/>
      <w:szCs w:val="22"/>
      <w:lang w:val="en-US" w:eastAsia="en-US"/>
    </w:rPr>
  </w:style>
  <w:style w:type="paragraph" w:styleId="Heading1">
    <w:name w:val="heading 1"/>
    <w:basedOn w:val="Normal"/>
    <w:next w:val="Normal"/>
    <w:qFormat/>
    <w:rsid w:val="00124EDF"/>
    <w:pPr>
      <w:keepNext/>
      <w:keepLines/>
      <w:spacing w:before="480"/>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qFormat/>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link w:val="FootnoteTextChar"/>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pPr>
  </w:style>
  <w:style w:type="paragraph" w:styleId="Index1">
    <w:name w:val="index 1"/>
    <w:basedOn w:val="Normal"/>
    <w:next w:val="Normal"/>
    <w:semiHidden/>
    <w:rsid w:val="004326DB"/>
  </w:style>
  <w:style w:type="paragraph" w:customStyle="1" w:styleId="Formal">
    <w:name w:val="Formal"/>
    <w:basedOn w:val="ASN1"/>
    <w:rsid w:val="004326DB"/>
    <w:rPr>
      <w:b w:val="0"/>
    </w:rPr>
  </w:style>
  <w:style w:type="paragraph" w:customStyle="1" w:styleId="AnnexTitle">
    <w:name w:val="Annex_Title"/>
    <w:basedOn w:val="Normal"/>
    <w:next w:val="Normalaftertitle"/>
    <w:rsid w:val="004B06F5"/>
    <w:pPr>
      <w:keepNext/>
      <w:keepLines/>
      <w:spacing w:before="240" w:after="280"/>
      <w:jc w:val="center"/>
    </w:pPr>
    <w:rPr>
      <w:b/>
      <w:sz w:val="26"/>
    </w:rPr>
  </w:style>
  <w:style w:type="paragraph" w:customStyle="1" w:styleId="AppendixNoTitle">
    <w:name w:val="Appendix_NoTitle"/>
    <w:basedOn w:val="Annex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pPr>
    <w:rPr>
      <w:sz w:val="18"/>
    </w:rPr>
  </w:style>
  <w:style w:type="paragraph" w:customStyle="1" w:styleId="Figure">
    <w:name w:val="Figure"/>
    <w:basedOn w:val="Normal"/>
    <w:next w:val="FigureNoTitle"/>
    <w:rsid w:val="004326DB"/>
    <w:pPr>
      <w:keepNext/>
      <w:keepLines/>
      <w:spacing w:before="240" w:after="120"/>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pPr>
    <w:rPr>
      <w:b/>
    </w:rPr>
  </w:style>
  <w:style w:type="paragraph" w:customStyle="1" w:styleId="Headingb">
    <w:name w:val="Heading_b"/>
    <w:basedOn w:val="Normal"/>
    <w:next w:val="Normal"/>
    <w:qFormat/>
    <w:rsid w:val="004326DB"/>
    <w:pPr>
      <w:keepNext/>
      <w:spacing w:before="240"/>
      <w:ind w:left="794" w:hanging="794"/>
    </w:pPr>
    <w:rPr>
      <w:b/>
    </w:rPr>
  </w:style>
  <w:style w:type="paragraph" w:customStyle="1" w:styleId="Headingi">
    <w:name w:val="Heading_i"/>
    <w:basedOn w:val="Normal"/>
    <w:next w:val="Normal"/>
    <w:rsid w:val="004326DB"/>
    <w:pPr>
      <w:keepNext/>
      <w:spacing w:before="240"/>
    </w:pPr>
    <w:rPr>
      <w:i/>
    </w:rPr>
  </w:style>
  <w:style w:type="paragraph" w:styleId="Index2">
    <w:name w:val="index 2"/>
    <w:basedOn w:val="Normal"/>
    <w:next w:val="Normal"/>
    <w:semiHidden/>
    <w:rsid w:val="004326DB"/>
    <w:pPr>
      <w:ind w:left="284"/>
    </w:pPr>
  </w:style>
  <w:style w:type="paragraph" w:styleId="Index3">
    <w:name w:val="index 3"/>
    <w:basedOn w:val="Normal"/>
    <w:next w:val="Normal"/>
    <w:semiHidden/>
    <w:rsid w:val="004326DB"/>
    <w:pPr>
      <w:ind w:left="567"/>
    </w:pPr>
  </w:style>
  <w:style w:type="paragraph" w:customStyle="1" w:styleId="PartNo">
    <w:name w:val="Part_No"/>
    <w:basedOn w:val="Normal"/>
    <w:next w:val="Partref"/>
    <w:rsid w:val="00A22E99"/>
    <w:pPr>
      <w:keepNext/>
      <w:keepLines/>
      <w:spacing w:before="480" w:after="80"/>
      <w:jc w:val="center"/>
    </w:pPr>
    <w:rPr>
      <w:caps/>
      <w:sz w:val="26"/>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A22E99"/>
    <w:pPr>
      <w:keepNext/>
      <w:keepLines/>
      <w:spacing w:before="240" w:after="280" w:line="320" w:lineRule="exact"/>
      <w:jc w:val="center"/>
    </w:pPr>
    <w:rPr>
      <w:b/>
      <w:sz w:val="26"/>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pPr>
    <w:rPr>
      <w:b/>
      <w:sz w:val="28"/>
    </w:rPr>
  </w:style>
  <w:style w:type="paragraph" w:customStyle="1" w:styleId="Rectitle">
    <w:name w:val="Rec_title"/>
    <w:basedOn w:val="Normal"/>
    <w:next w:val="Normalaftertitle"/>
    <w:rsid w:val="004326DB"/>
    <w:pPr>
      <w:keepNext/>
      <w:keepLines/>
      <w:spacing w:before="360"/>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link w:val="CommentTextChar"/>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ind w:left="794"/>
    </w:pPr>
  </w:style>
  <w:style w:type="paragraph" w:customStyle="1" w:styleId="Origin">
    <w:name w:val="Origin"/>
    <w:basedOn w:val="Normal"/>
    <w:rsid w:val="00EA15B3"/>
    <w:pPr>
      <w:spacing w:before="600" w:line="312" w:lineRule="auto"/>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Normalaftertitle0">
    <w:name w:val="Normal after title"/>
    <w:basedOn w:val="Normal"/>
    <w:next w:val="Normal"/>
    <w:link w:val="NormalaftertitleChar"/>
    <w:rsid w:val="00B65478"/>
    <w:pPr>
      <w:tabs>
        <w:tab w:val="clear" w:pos="794"/>
        <w:tab w:val="clear" w:pos="1191"/>
        <w:tab w:val="clear" w:pos="1588"/>
        <w:tab w:val="clear" w:pos="1985"/>
        <w:tab w:val="left" w:pos="1134"/>
        <w:tab w:val="left" w:pos="1871"/>
        <w:tab w:val="left" w:pos="2268"/>
      </w:tabs>
      <w:spacing w:before="280"/>
    </w:pPr>
    <w:rPr>
      <w:rFonts w:cs="Times New Roman"/>
      <w:szCs w:val="20"/>
      <w:lang w:val="en-GB"/>
    </w:rPr>
  </w:style>
  <w:style w:type="paragraph" w:customStyle="1" w:styleId="AnnexNo">
    <w:name w:val="Annex_No"/>
    <w:basedOn w:val="Normal"/>
    <w:next w:val="Normal"/>
    <w:rsid w:val="00B65478"/>
    <w:pPr>
      <w:keepNext/>
      <w:keepLines/>
      <w:tabs>
        <w:tab w:val="clear" w:pos="794"/>
        <w:tab w:val="clear" w:pos="1191"/>
        <w:tab w:val="clear" w:pos="1588"/>
        <w:tab w:val="clear" w:pos="1985"/>
        <w:tab w:val="left" w:pos="1134"/>
        <w:tab w:val="left" w:pos="1871"/>
        <w:tab w:val="left" w:pos="2268"/>
      </w:tabs>
      <w:spacing w:before="480" w:after="80"/>
      <w:jc w:val="center"/>
    </w:pPr>
    <w:rPr>
      <w:rFonts w:cs="Times New Roman"/>
      <w:caps/>
      <w:sz w:val="26"/>
      <w:szCs w:val="20"/>
      <w:lang w:val="en-GB"/>
    </w:rPr>
  </w:style>
  <w:style w:type="character" w:customStyle="1" w:styleId="NormalaftertitleChar">
    <w:name w:val="Normal after title Char"/>
    <w:basedOn w:val="DefaultParagraphFont"/>
    <w:link w:val="Normalaftertitle0"/>
    <w:locked/>
    <w:rsid w:val="00B65478"/>
    <w:rPr>
      <w:rFonts w:cs="Times New Roman"/>
      <w:sz w:val="22"/>
      <w:lang w:val="en-GB" w:eastAsia="en-US"/>
    </w:rPr>
  </w:style>
  <w:style w:type="paragraph" w:customStyle="1" w:styleId="Reasons">
    <w:name w:val="Reasons"/>
    <w:basedOn w:val="Normal"/>
    <w:qFormat/>
    <w:rsid w:val="00B65478"/>
    <w:pPr>
      <w:tabs>
        <w:tab w:val="clear" w:pos="794"/>
        <w:tab w:val="clear" w:pos="1191"/>
        <w:tab w:val="clear" w:pos="1588"/>
        <w:tab w:val="clear" w:pos="1985"/>
      </w:tabs>
      <w:overflowPunct/>
      <w:autoSpaceDE/>
      <w:autoSpaceDN/>
      <w:adjustRightInd/>
      <w:spacing w:before="0"/>
      <w:textAlignment w:val="auto"/>
    </w:pPr>
    <w:rPr>
      <w:rFonts w:ascii="Times New Roman" w:hAnsi="Times New Roman" w:cs="Times New Roman"/>
      <w:sz w:val="24"/>
      <w:szCs w:val="20"/>
    </w:rPr>
  </w:style>
  <w:style w:type="character" w:styleId="FollowedHyperlink">
    <w:name w:val="FollowedHyperlink"/>
    <w:basedOn w:val="DefaultParagraphFont"/>
    <w:rsid w:val="00E9175C"/>
    <w:rPr>
      <w:color w:val="800080" w:themeColor="followedHyperlink"/>
      <w:u w:val="single"/>
    </w:rPr>
  </w:style>
  <w:style w:type="table" w:styleId="TableGrid">
    <w:name w:val="Table Grid"/>
    <w:basedOn w:val="TableNormal"/>
    <w:rsid w:val="003C48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29">
    <w:name w:val="style129"/>
    <w:basedOn w:val="DefaultParagraphFont"/>
    <w:uiPriority w:val="99"/>
    <w:rsid w:val="009D58D3"/>
    <w:rPr>
      <w:rFonts w:cs="Times New Roman"/>
    </w:rPr>
  </w:style>
  <w:style w:type="character" w:customStyle="1" w:styleId="Artref">
    <w:name w:val="Art_ref"/>
    <w:basedOn w:val="DefaultParagraphFont"/>
    <w:rsid w:val="00777060"/>
  </w:style>
  <w:style w:type="paragraph" w:styleId="BodyText">
    <w:name w:val="Body Text"/>
    <w:basedOn w:val="Normal"/>
    <w:link w:val="BodyTextChar"/>
    <w:rsid w:val="005C1E27"/>
    <w:pPr>
      <w:tabs>
        <w:tab w:val="clear" w:pos="794"/>
        <w:tab w:val="clear" w:pos="1191"/>
        <w:tab w:val="clear" w:pos="1588"/>
        <w:tab w:val="clear" w:pos="1985"/>
      </w:tabs>
      <w:overflowPunct/>
      <w:autoSpaceDE/>
      <w:autoSpaceDN/>
      <w:adjustRightInd/>
      <w:spacing w:before="0"/>
      <w:textAlignment w:val="auto"/>
    </w:pPr>
    <w:rPr>
      <w:rFonts w:ascii="Times New Roman" w:hAnsi="Times New Roman" w:cs="Times New Roman"/>
      <w:sz w:val="24"/>
      <w:szCs w:val="24"/>
    </w:rPr>
  </w:style>
  <w:style w:type="character" w:customStyle="1" w:styleId="BodyTextChar">
    <w:name w:val="Body Text Char"/>
    <w:basedOn w:val="DefaultParagraphFont"/>
    <w:link w:val="BodyText"/>
    <w:rsid w:val="005C1E27"/>
    <w:rPr>
      <w:rFonts w:ascii="Times New Roman" w:hAnsi="Times New Roman" w:cs="Times New Roman"/>
      <w:sz w:val="24"/>
      <w:szCs w:val="24"/>
      <w:lang w:val="en-US" w:eastAsia="en-US"/>
    </w:rPr>
  </w:style>
  <w:style w:type="character" w:customStyle="1" w:styleId="Artdef">
    <w:name w:val="Art_def"/>
    <w:basedOn w:val="DefaultParagraphFont"/>
    <w:rsid w:val="005C1E27"/>
    <w:rPr>
      <w:rFonts w:ascii="Times New Roman" w:hAnsi="Times New Roman"/>
      <w:b/>
    </w:rPr>
  </w:style>
  <w:style w:type="paragraph" w:customStyle="1" w:styleId="AnnexNotitle">
    <w:name w:val="Annex_No &amp; title"/>
    <w:basedOn w:val="Normal"/>
    <w:next w:val="Normal"/>
    <w:uiPriority w:val="99"/>
    <w:rsid w:val="005C1E27"/>
    <w:pPr>
      <w:keepNext/>
      <w:keepLines/>
      <w:spacing w:before="480"/>
      <w:jc w:val="center"/>
    </w:pPr>
    <w:rPr>
      <w:rFonts w:ascii="Times New Roman" w:hAnsi="Times New Roman" w:cs="Times New Roman"/>
      <w:b/>
      <w:sz w:val="28"/>
      <w:szCs w:val="20"/>
      <w:lang w:val="en-GB"/>
    </w:rPr>
  </w:style>
  <w:style w:type="character" w:customStyle="1" w:styleId="TabletextChar">
    <w:name w:val="Table_text Char"/>
    <w:basedOn w:val="DefaultParagraphFont"/>
    <w:link w:val="Tabletext"/>
    <w:locked/>
    <w:rsid w:val="005C1E27"/>
    <w:rPr>
      <w:szCs w:val="22"/>
      <w:lang w:val="en-US" w:eastAsia="en-US"/>
    </w:rPr>
  </w:style>
  <w:style w:type="character" w:customStyle="1" w:styleId="HeaderChar">
    <w:name w:val="Header Char"/>
    <w:basedOn w:val="DefaultParagraphFont"/>
    <w:link w:val="Header"/>
    <w:rsid w:val="00C578BB"/>
    <w:rPr>
      <w:sz w:val="22"/>
      <w:szCs w:val="22"/>
      <w:lang w:val="en-US" w:eastAsia="en-US"/>
    </w:rPr>
  </w:style>
  <w:style w:type="character" w:customStyle="1" w:styleId="CommentTextChar">
    <w:name w:val="Comment Text Char"/>
    <w:basedOn w:val="DefaultParagraphFont"/>
    <w:link w:val="CommentText"/>
    <w:semiHidden/>
    <w:rsid w:val="00A47E4C"/>
    <w:rPr>
      <w:szCs w:val="22"/>
      <w:lang w:val="en-US" w:eastAsia="en-US"/>
    </w:rPr>
  </w:style>
  <w:style w:type="paragraph" w:customStyle="1" w:styleId="Message">
    <w:name w:val="Message"/>
    <w:rsid w:val="00803BA6"/>
    <w:pPr>
      <w:overflowPunct w:val="0"/>
      <w:autoSpaceDE w:val="0"/>
      <w:autoSpaceDN w:val="0"/>
      <w:adjustRightInd w:val="0"/>
      <w:spacing w:before="240" w:line="300" w:lineRule="exact"/>
      <w:ind w:left="794" w:right="794"/>
      <w:textAlignment w:val="baseline"/>
    </w:pPr>
    <w:rPr>
      <w:rFonts w:ascii="Arial" w:hAnsi="Arial" w:cs="Times New Roman"/>
      <w:sz w:val="22"/>
      <w:lang w:val="en-US" w:eastAsia="en-US"/>
    </w:rPr>
  </w:style>
  <w:style w:type="paragraph" w:styleId="ListParagraph">
    <w:name w:val="List Paragraph"/>
    <w:basedOn w:val="Normal"/>
    <w:uiPriority w:val="34"/>
    <w:qFormat/>
    <w:rsid w:val="00803BA6"/>
    <w:pPr>
      <w:tabs>
        <w:tab w:val="clear" w:pos="794"/>
        <w:tab w:val="clear" w:pos="1191"/>
        <w:tab w:val="clear" w:pos="1588"/>
        <w:tab w:val="clear" w:pos="1985"/>
      </w:tabs>
      <w:adjustRightInd/>
      <w:ind w:left="720"/>
      <w:contextualSpacing/>
      <w:textAlignment w:val="auto"/>
    </w:pPr>
    <w:rPr>
      <w:rFonts w:ascii="Times New Roman" w:eastAsiaTheme="minorHAnsi" w:hAnsi="Times New Roman" w:cs="Times New Roman"/>
      <w:sz w:val="24"/>
      <w:szCs w:val="24"/>
      <w:lang w:val="en-GB"/>
    </w:rPr>
  </w:style>
  <w:style w:type="character" w:customStyle="1" w:styleId="FootnoteTextChar">
    <w:name w:val="Footnote Text Char"/>
    <w:basedOn w:val="DefaultParagraphFont"/>
    <w:link w:val="FootnoteText"/>
    <w:semiHidden/>
    <w:rsid w:val="00A935EB"/>
    <w:rPr>
      <w:szCs w:val="22"/>
      <w:lang w:val="en-US" w:eastAsia="en-US"/>
    </w:rPr>
  </w:style>
  <w:style w:type="character" w:customStyle="1" w:styleId="UnresolvedMention1">
    <w:name w:val="Unresolved Mention1"/>
    <w:basedOn w:val="DefaultParagraphFont"/>
    <w:uiPriority w:val="99"/>
    <w:semiHidden/>
    <w:unhideWhenUsed/>
    <w:rsid w:val="00A935EB"/>
    <w:rPr>
      <w:color w:val="605E5C"/>
      <w:shd w:val="clear" w:color="auto" w:fill="E1DFDD"/>
    </w:rPr>
  </w:style>
  <w:style w:type="paragraph" w:styleId="EnvelopeReturn">
    <w:name w:val="envelope return"/>
    <w:basedOn w:val="Normal"/>
    <w:unhideWhenUsed/>
    <w:rsid w:val="00FB2101"/>
    <w:pPr>
      <w:spacing w:before="0"/>
    </w:pPr>
    <w:rPr>
      <w:rFonts w:asciiTheme="majorHAnsi" w:eastAsiaTheme="majorEastAsia" w:hAnsiTheme="majorHAnsi" w:cstheme="majorBidi"/>
      <w:sz w:val="20"/>
      <w:szCs w:val="20"/>
    </w:rPr>
  </w:style>
  <w:style w:type="character" w:customStyle="1" w:styleId="FooterChar">
    <w:name w:val="Footer Char"/>
    <w:basedOn w:val="DefaultParagraphFont"/>
    <w:link w:val="Footer"/>
    <w:rsid w:val="00FB2101"/>
    <w:rPr>
      <w:sz w:val="22"/>
      <w:szCs w:val="22"/>
      <w:lang w:val="en-US" w:eastAsia="en-US"/>
    </w:rPr>
  </w:style>
  <w:style w:type="character" w:styleId="UnresolvedMention">
    <w:name w:val="Unresolved Mention"/>
    <w:basedOn w:val="DefaultParagraphFont"/>
    <w:uiPriority w:val="99"/>
    <w:semiHidden/>
    <w:unhideWhenUsed/>
    <w:rsid w:val="00AC2C87"/>
    <w:rPr>
      <w:color w:val="605E5C"/>
      <w:shd w:val="clear" w:color="auto" w:fill="E1DFDD"/>
    </w:rPr>
  </w:style>
  <w:style w:type="paragraph" w:styleId="CommentSubject">
    <w:name w:val="annotation subject"/>
    <w:basedOn w:val="CommentText"/>
    <w:next w:val="CommentText"/>
    <w:link w:val="CommentSubjectChar"/>
    <w:semiHidden/>
    <w:unhideWhenUsed/>
    <w:rsid w:val="000A332A"/>
    <w:rPr>
      <w:b/>
      <w:bCs/>
      <w:szCs w:val="20"/>
    </w:rPr>
  </w:style>
  <w:style w:type="character" w:customStyle="1" w:styleId="CommentSubjectChar">
    <w:name w:val="Comment Subject Char"/>
    <w:basedOn w:val="CommentTextChar"/>
    <w:link w:val="CommentSubject"/>
    <w:semiHidden/>
    <w:rsid w:val="000A332A"/>
    <w:rPr>
      <w:b/>
      <w:bCs/>
      <w:szCs w:val="22"/>
      <w:lang w:val="en-US" w:eastAsia="en-US"/>
    </w:rPr>
  </w:style>
  <w:style w:type="paragraph" w:customStyle="1" w:styleId="Annextitle0">
    <w:name w:val="Annex_title"/>
    <w:basedOn w:val="Normal"/>
    <w:next w:val="Normal"/>
    <w:rsid w:val="0082678D"/>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cs="Times New Roman"/>
      <w:b/>
      <w:sz w:val="2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15-WRC15-C-0004/en"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rsas@itu.in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brmail@itu.int" TargetMode="External"/><Relationship Id="rId4" Type="http://schemas.openxmlformats.org/officeDocument/2006/relationships/settings" Target="settings.xml"/><Relationship Id="rId9" Type="http://schemas.openxmlformats.org/officeDocument/2006/relationships/hyperlink" Target="https://www.itu.int/en/ITU-R/space/support/Pages/e-Examination-guide.aspx"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loletk\Application%20Data\Microsoft\Templates\POOL%20R%20-%20ITU\PR_New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C95E7C05A6D4489B041EF3356A73BBF"/>
        <w:category>
          <w:name w:val="General"/>
          <w:gallery w:val="placeholder"/>
        </w:category>
        <w:types>
          <w:type w:val="bbPlcHdr"/>
        </w:types>
        <w:behaviors>
          <w:behavior w:val="content"/>
        </w:behaviors>
        <w:guid w:val="{D875A44C-DB22-4EDB-A2F5-12673D827A8F}"/>
      </w:docPartPr>
      <w:docPartBody>
        <w:p w:rsidR="008C7821" w:rsidRDefault="008C7821">
          <w:pPr>
            <w:pStyle w:val="2C95E7C05A6D4489B041EF3356A73BBF"/>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7821"/>
    <w:rsid w:val="00034CF1"/>
    <w:rsid w:val="001E1D57"/>
    <w:rsid w:val="002D2DDD"/>
    <w:rsid w:val="00364CF4"/>
    <w:rsid w:val="003D7BC7"/>
    <w:rsid w:val="004610A2"/>
    <w:rsid w:val="00707B8D"/>
    <w:rsid w:val="0077567C"/>
    <w:rsid w:val="008C7821"/>
    <w:rsid w:val="00964CCA"/>
    <w:rsid w:val="00F50EE4"/>
    <w:rsid w:val="00F64E87"/>
    <w:rsid w:val="00FB3719"/>
    <w:rsid w:val="00FF473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C95E7C05A6D4489B041EF3356A73BBF">
    <w:name w:val="2C95E7C05A6D4489B041EF3356A73B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291B5D-BAFF-4240-AC92-221A0C422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PR_NewBRcirc.dotx</Template>
  <TotalTime>5</TotalTime>
  <Pages>5</Pages>
  <Words>1129</Words>
  <Characters>8160</Characters>
  <Application>Microsoft Office Word</Application>
  <DocSecurity>0</DocSecurity>
  <Lines>68</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9271</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Maloletkova, Svetlana</dc:creator>
  <cp:lastModifiedBy>Panoussopoulos, Sonia</cp:lastModifiedBy>
  <cp:revision>5</cp:revision>
  <cp:lastPrinted>2016-11-30T06:19:00Z</cp:lastPrinted>
  <dcterms:created xsi:type="dcterms:W3CDTF">2024-04-04T06:17:00Z</dcterms:created>
  <dcterms:modified xsi:type="dcterms:W3CDTF">2024-04-08T07:20:00Z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