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3D20DEBA" w14:textId="77777777" w:rsidTr="00306452">
        <w:trPr>
          <w:jc w:val="center"/>
        </w:trPr>
        <w:tc>
          <w:tcPr>
            <w:tcW w:w="9889" w:type="dxa"/>
            <w:gridSpan w:val="3"/>
            <w:shd w:val="clear" w:color="auto" w:fill="auto"/>
          </w:tcPr>
          <w:p w14:paraId="769972CF" w14:textId="77777777"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14:paraId="77D663A2" w14:textId="77777777" w:rsidR="00E53DCE" w:rsidRDefault="00E53DCE" w:rsidP="006160CB">
            <w:pPr>
              <w:spacing w:before="0"/>
              <w:jc w:val="left"/>
              <w:rPr>
                <w:rFonts w:cstheme="minorHAnsi"/>
                <w:b/>
                <w:bCs/>
                <w:color w:val="808080"/>
                <w:sz w:val="28"/>
                <w:szCs w:val="28"/>
                <w:lang w:val="en-GB"/>
              </w:rPr>
            </w:pPr>
          </w:p>
          <w:p w14:paraId="76B9488A" w14:textId="77777777" w:rsidR="00E53DCE" w:rsidRPr="00AF70DA" w:rsidRDefault="00E53DCE" w:rsidP="006160CB">
            <w:pPr>
              <w:spacing w:before="0"/>
              <w:jc w:val="left"/>
              <w:rPr>
                <w:rFonts w:cs="Times New Roman Bold"/>
                <w:b/>
                <w:bCs/>
                <w:color w:val="808080"/>
                <w:sz w:val="28"/>
                <w:szCs w:val="28"/>
                <w:lang w:val="en-GB"/>
              </w:rPr>
            </w:pPr>
          </w:p>
        </w:tc>
      </w:tr>
      <w:tr w:rsidR="00E53DCE" w:rsidRPr="0033029C" w14:paraId="2DCA6E71" w14:textId="77777777" w:rsidTr="00306452">
        <w:trPr>
          <w:jc w:val="center"/>
        </w:trPr>
        <w:tc>
          <w:tcPr>
            <w:tcW w:w="7054" w:type="dxa"/>
            <w:gridSpan w:val="2"/>
            <w:shd w:val="clear" w:color="auto" w:fill="auto"/>
          </w:tcPr>
          <w:p w14:paraId="310D6481" w14:textId="77777777" w:rsidR="00E53DCE" w:rsidRPr="001B3D4D" w:rsidRDefault="00A96D3A" w:rsidP="006160CB">
            <w:pPr>
              <w:spacing w:before="0"/>
              <w:jc w:val="left"/>
              <w:rPr>
                <w:szCs w:val="24"/>
                <w:lang w:val="es-ES"/>
              </w:rPr>
            </w:pPr>
            <w:r w:rsidRPr="001B3D4D">
              <w:rPr>
                <w:szCs w:val="24"/>
                <w:lang w:val="es-ES"/>
              </w:rPr>
              <w:t>Circular Administrativa</w:t>
            </w:r>
            <w:r w:rsidR="001B3D4D" w:rsidRPr="001B3D4D">
              <w:rPr>
                <w:szCs w:val="24"/>
                <w:lang w:val="es-ES"/>
              </w:rPr>
              <w:t>/</w:t>
            </w:r>
            <w:r w:rsidR="001B3D4D" w:rsidRPr="0075124D">
              <w:rPr>
                <w:lang w:val="es-ES_tradnl"/>
              </w:rPr>
              <w:t>Carta Circular</w:t>
            </w:r>
          </w:p>
          <w:p w14:paraId="69D58805" w14:textId="71BBED1E" w:rsidR="00E53DCE" w:rsidRPr="001B3D4D" w:rsidRDefault="001B3D4D" w:rsidP="006160CB">
            <w:pPr>
              <w:spacing w:before="0"/>
              <w:jc w:val="left"/>
              <w:rPr>
                <w:b/>
                <w:bCs/>
                <w:szCs w:val="24"/>
                <w:lang w:val="es-ES"/>
              </w:rPr>
            </w:pPr>
            <w:r w:rsidRPr="001B3D4D">
              <w:rPr>
                <w:b/>
                <w:bCs/>
                <w:szCs w:val="24"/>
                <w:lang w:val="es-ES"/>
              </w:rPr>
              <w:t>CR</w:t>
            </w:r>
            <w:r w:rsidR="00194671">
              <w:rPr>
                <w:b/>
                <w:bCs/>
                <w:szCs w:val="24"/>
                <w:lang w:val="es-ES"/>
              </w:rPr>
              <w:t>/503</w:t>
            </w:r>
          </w:p>
        </w:tc>
        <w:tc>
          <w:tcPr>
            <w:tcW w:w="2835" w:type="dxa"/>
            <w:shd w:val="clear" w:color="auto" w:fill="auto"/>
          </w:tcPr>
          <w:p w14:paraId="3FD01BE1" w14:textId="1B5D33B9" w:rsidR="00E53DCE" w:rsidRPr="002B7EE0" w:rsidRDefault="00194671" w:rsidP="006160CB">
            <w:pPr>
              <w:spacing w:before="0"/>
              <w:jc w:val="right"/>
              <w:rPr>
                <w:szCs w:val="24"/>
                <w:lang w:val="fr-FR"/>
              </w:rPr>
            </w:pPr>
            <w:r>
              <w:rPr>
                <w:bCs/>
                <w:szCs w:val="24"/>
                <w:lang w:val="fr-FR"/>
              </w:rPr>
              <w:t xml:space="preserve">8 de </w:t>
            </w:r>
            <w:proofErr w:type="spellStart"/>
            <w:r>
              <w:rPr>
                <w:bCs/>
                <w:szCs w:val="24"/>
                <w:lang w:val="fr-FR"/>
              </w:rPr>
              <w:t>abril</w:t>
            </w:r>
            <w:proofErr w:type="spellEnd"/>
            <w:r w:rsidR="00A96D3A" w:rsidRPr="002B7EE0">
              <w:rPr>
                <w:bCs/>
                <w:szCs w:val="24"/>
                <w:lang w:val="fr-FR"/>
              </w:rPr>
              <w:t xml:space="preserve"> de 20</w:t>
            </w:r>
            <w:r w:rsidR="002B7EE0" w:rsidRPr="002B7EE0">
              <w:rPr>
                <w:bCs/>
                <w:szCs w:val="24"/>
                <w:lang w:val="fr-FR"/>
              </w:rPr>
              <w:t>2</w:t>
            </w:r>
            <w:r w:rsidR="00553364">
              <w:rPr>
                <w:bCs/>
                <w:szCs w:val="24"/>
                <w:lang w:val="fr-FR"/>
              </w:rPr>
              <w:t>4</w:t>
            </w:r>
          </w:p>
        </w:tc>
      </w:tr>
      <w:tr w:rsidR="00E53DCE" w:rsidRPr="0033029C" w14:paraId="56562AD9" w14:textId="77777777" w:rsidTr="00306452">
        <w:trPr>
          <w:jc w:val="center"/>
        </w:trPr>
        <w:tc>
          <w:tcPr>
            <w:tcW w:w="9889" w:type="dxa"/>
            <w:gridSpan w:val="3"/>
            <w:shd w:val="clear" w:color="auto" w:fill="auto"/>
          </w:tcPr>
          <w:p w14:paraId="49FBA783" w14:textId="77777777" w:rsidR="00E53DCE" w:rsidRPr="0033029C" w:rsidRDefault="00E53DCE" w:rsidP="006160CB">
            <w:pPr>
              <w:spacing w:before="0"/>
              <w:jc w:val="left"/>
              <w:rPr>
                <w:rFonts w:cs="Arial"/>
                <w:szCs w:val="24"/>
                <w:lang w:val="en-GB"/>
              </w:rPr>
            </w:pPr>
          </w:p>
        </w:tc>
      </w:tr>
      <w:tr w:rsidR="00E53DCE" w:rsidRPr="0033029C" w14:paraId="762456CA" w14:textId="77777777" w:rsidTr="00306452">
        <w:trPr>
          <w:jc w:val="center"/>
        </w:trPr>
        <w:tc>
          <w:tcPr>
            <w:tcW w:w="9889" w:type="dxa"/>
            <w:gridSpan w:val="3"/>
            <w:shd w:val="clear" w:color="auto" w:fill="auto"/>
          </w:tcPr>
          <w:p w14:paraId="42B6B401" w14:textId="77777777" w:rsidR="00E53DCE" w:rsidRPr="0033029C" w:rsidRDefault="00E53DCE" w:rsidP="006160CB">
            <w:pPr>
              <w:spacing w:before="0"/>
              <w:jc w:val="left"/>
              <w:rPr>
                <w:szCs w:val="24"/>
              </w:rPr>
            </w:pPr>
          </w:p>
        </w:tc>
      </w:tr>
      <w:tr w:rsidR="00E53DCE" w:rsidRPr="0043603F" w14:paraId="4BAE9C44" w14:textId="77777777" w:rsidTr="00306452">
        <w:trPr>
          <w:jc w:val="center"/>
        </w:trPr>
        <w:tc>
          <w:tcPr>
            <w:tcW w:w="9889" w:type="dxa"/>
            <w:gridSpan w:val="3"/>
            <w:shd w:val="clear" w:color="auto" w:fill="auto"/>
          </w:tcPr>
          <w:p w14:paraId="6B2267B6" w14:textId="77777777" w:rsidR="00E53DCE" w:rsidRPr="0033029C" w:rsidRDefault="00FE4822" w:rsidP="006160CB">
            <w:pPr>
              <w:spacing w:before="0"/>
              <w:jc w:val="left"/>
              <w:rPr>
                <w:b/>
                <w:bCs/>
                <w:szCs w:val="24"/>
                <w:lang w:val="es-ES"/>
              </w:rPr>
            </w:pPr>
            <w:r w:rsidRPr="0033029C">
              <w:rPr>
                <w:b/>
                <w:szCs w:val="24"/>
                <w:lang w:val="es-ES"/>
              </w:rPr>
              <w:t>A las Administraciones de los Estados Miembros de la UIT</w:t>
            </w:r>
          </w:p>
          <w:p w14:paraId="21F1935A" w14:textId="77777777" w:rsidR="00E53DCE" w:rsidRPr="0033029C" w:rsidRDefault="00E53DCE" w:rsidP="006160CB">
            <w:pPr>
              <w:spacing w:before="0"/>
              <w:jc w:val="left"/>
              <w:rPr>
                <w:b/>
                <w:bCs/>
                <w:szCs w:val="24"/>
                <w:lang w:val="es-ES"/>
              </w:rPr>
            </w:pPr>
          </w:p>
        </w:tc>
      </w:tr>
      <w:tr w:rsidR="00E53DCE" w:rsidRPr="0043603F" w14:paraId="180CDAFD" w14:textId="77777777" w:rsidTr="00306452">
        <w:trPr>
          <w:jc w:val="center"/>
        </w:trPr>
        <w:tc>
          <w:tcPr>
            <w:tcW w:w="9889" w:type="dxa"/>
            <w:gridSpan w:val="3"/>
            <w:shd w:val="clear" w:color="auto" w:fill="auto"/>
          </w:tcPr>
          <w:p w14:paraId="04ADBBDE" w14:textId="77777777" w:rsidR="00E53DCE" w:rsidRPr="0033029C" w:rsidRDefault="00E53DCE" w:rsidP="006160CB">
            <w:pPr>
              <w:spacing w:before="0"/>
              <w:jc w:val="left"/>
              <w:rPr>
                <w:szCs w:val="24"/>
                <w:lang w:val="es-ES"/>
              </w:rPr>
            </w:pPr>
          </w:p>
        </w:tc>
      </w:tr>
      <w:tr w:rsidR="00E53DCE" w:rsidRPr="0043603F" w14:paraId="06E9A2B7" w14:textId="77777777" w:rsidTr="00306452">
        <w:trPr>
          <w:jc w:val="center"/>
        </w:trPr>
        <w:tc>
          <w:tcPr>
            <w:tcW w:w="9889" w:type="dxa"/>
            <w:gridSpan w:val="3"/>
            <w:shd w:val="clear" w:color="auto" w:fill="auto"/>
          </w:tcPr>
          <w:p w14:paraId="4039DD3F" w14:textId="77777777" w:rsidR="00E53DCE" w:rsidRPr="0033029C" w:rsidRDefault="00E53DCE" w:rsidP="006160CB">
            <w:pPr>
              <w:spacing w:before="0"/>
              <w:jc w:val="left"/>
              <w:rPr>
                <w:szCs w:val="24"/>
                <w:lang w:val="es-ES"/>
              </w:rPr>
            </w:pPr>
          </w:p>
        </w:tc>
      </w:tr>
      <w:tr w:rsidR="00E53DCE" w:rsidRPr="004F5EB9" w14:paraId="021316CA" w14:textId="77777777" w:rsidTr="00306452">
        <w:trPr>
          <w:jc w:val="center"/>
        </w:trPr>
        <w:tc>
          <w:tcPr>
            <w:tcW w:w="1526" w:type="dxa"/>
            <w:shd w:val="clear" w:color="auto" w:fill="auto"/>
          </w:tcPr>
          <w:p w14:paraId="4C13FE60" w14:textId="77777777" w:rsidR="00E53DCE" w:rsidRPr="0033029C" w:rsidRDefault="00311970" w:rsidP="006160CB">
            <w:pPr>
              <w:tabs>
                <w:tab w:val="clear" w:pos="1588"/>
                <w:tab w:val="left" w:pos="1560"/>
              </w:tabs>
              <w:spacing w:before="0"/>
              <w:jc w:val="left"/>
              <w:rPr>
                <w:szCs w:val="24"/>
              </w:rPr>
            </w:pPr>
            <w:proofErr w:type="spellStart"/>
            <w:r>
              <w:rPr>
                <w:szCs w:val="24"/>
              </w:rPr>
              <w:t>Asunto</w:t>
            </w:r>
            <w:proofErr w:type="spellEnd"/>
            <w:r w:rsidRPr="0033029C">
              <w:rPr>
                <w:szCs w:val="24"/>
              </w:rPr>
              <w:t>:</w:t>
            </w:r>
          </w:p>
        </w:tc>
        <w:tc>
          <w:tcPr>
            <w:tcW w:w="8363" w:type="dxa"/>
            <w:gridSpan w:val="2"/>
            <w:vMerge w:val="restart"/>
            <w:shd w:val="clear" w:color="auto" w:fill="auto"/>
          </w:tcPr>
          <w:p w14:paraId="3612960C" w14:textId="53B0A340" w:rsidR="00E53DCE" w:rsidRPr="00194671" w:rsidRDefault="00194671" w:rsidP="003E06F6">
            <w:pPr>
              <w:tabs>
                <w:tab w:val="clear" w:pos="1588"/>
                <w:tab w:val="left" w:pos="1560"/>
              </w:tabs>
              <w:spacing w:before="0" w:after="360"/>
              <w:rPr>
                <w:b/>
                <w:bCs/>
                <w:szCs w:val="24"/>
                <w:lang w:val="es-ES"/>
              </w:rPr>
            </w:pPr>
            <w:r w:rsidRPr="00194671">
              <w:rPr>
                <w:b/>
                <w:bCs/>
                <w:szCs w:val="24"/>
                <w:lang w:val="es-ES"/>
              </w:rPr>
              <w:t>Utilización de la potencia transmitida definida en función del ancho de banda promedio de conformidad con la Recomendación UIT-R SF.675 para calcular la densidad de flujo de potencia y los límites de potencia isótropa radiada equivalente en el marco de los Artículos 5, 21 y 22 del Reglamento de Radiocomunicaciones</w:t>
            </w:r>
          </w:p>
        </w:tc>
      </w:tr>
      <w:tr w:rsidR="00E53DCE" w:rsidRPr="004F5EB9" w14:paraId="4081CB4E" w14:textId="77777777" w:rsidTr="00306452">
        <w:trPr>
          <w:jc w:val="center"/>
        </w:trPr>
        <w:tc>
          <w:tcPr>
            <w:tcW w:w="1526" w:type="dxa"/>
            <w:shd w:val="clear" w:color="auto" w:fill="auto"/>
          </w:tcPr>
          <w:p w14:paraId="315E015A" w14:textId="77777777" w:rsidR="00E53DCE" w:rsidRPr="00194671"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14:paraId="7E66957D" w14:textId="77777777" w:rsidR="00E53DCE" w:rsidRPr="00194671" w:rsidRDefault="00E53DCE" w:rsidP="006160CB">
            <w:pPr>
              <w:tabs>
                <w:tab w:val="clear" w:pos="1588"/>
                <w:tab w:val="left" w:pos="1560"/>
              </w:tabs>
              <w:spacing w:before="0"/>
              <w:rPr>
                <w:b/>
                <w:bCs/>
                <w:szCs w:val="24"/>
                <w:lang w:val="es-ES"/>
              </w:rPr>
            </w:pPr>
          </w:p>
        </w:tc>
      </w:tr>
      <w:tr w:rsidR="00E53DCE" w:rsidRPr="004F5EB9" w14:paraId="449BD3D4" w14:textId="77777777" w:rsidTr="00306452">
        <w:trPr>
          <w:jc w:val="center"/>
        </w:trPr>
        <w:tc>
          <w:tcPr>
            <w:tcW w:w="1526" w:type="dxa"/>
            <w:shd w:val="clear" w:color="auto" w:fill="auto"/>
          </w:tcPr>
          <w:p w14:paraId="4E614295" w14:textId="77777777" w:rsidR="00E53DCE" w:rsidRPr="00194671"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14:paraId="04442067" w14:textId="77777777" w:rsidR="00E53DCE" w:rsidRPr="00194671" w:rsidRDefault="00E53DCE" w:rsidP="006160CB">
            <w:pPr>
              <w:tabs>
                <w:tab w:val="clear" w:pos="1588"/>
                <w:tab w:val="left" w:pos="1560"/>
              </w:tabs>
              <w:spacing w:before="0"/>
              <w:rPr>
                <w:b/>
                <w:bCs/>
                <w:szCs w:val="24"/>
                <w:lang w:val="es-ES"/>
              </w:rPr>
            </w:pPr>
          </w:p>
        </w:tc>
      </w:tr>
    </w:tbl>
    <w:p w14:paraId="6384BFF7" w14:textId="77777777" w:rsidR="00194671" w:rsidRPr="00194671" w:rsidRDefault="00194671" w:rsidP="0045533B">
      <w:pPr>
        <w:rPr>
          <w:rFonts w:eastAsia="SimSun"/>
          <w:lang w:val="es-ES_tradnl"/>
        </w:rPr>
      </w:pPr>
      <w:r w:rsidRPr="00194671">
        <w:rPr>
          <w:rFonts w:eastAsia="SimSun"/>
          <w:lang w:val="es-ES_tradnl"/>
        </w:rPr>
        <w:t xml:space="preserve">En la Nota 2 a los Cuadros A, B, C y D del Anexo 2 al Apéndice </w:t>
      </w:r>
      <w:r w:rsidRPr="00194671">
        <w:rPr>
          <w:rFonts w:eastAsia="SimSun"/>
          <w:b/>
          <w:bCs/>
          <w:lang w:val="es-ES_tradnl"/>
        </w:rPr>
        <w:t xml:space="preserve">4 </w:t>
      </w:r>
      <w:r w:rsidRPr="00194671">
        <w:rPr>
          <w:rFonts w:eastAsia="SimSun"/>
          <w:lang w:val="es-ES_tradnl"/>
        </w:rPr>
        <w:t>del Reglamento de Radiocomunicaciones (RR), modificado por la CMR-12, se preconiza el uso de la versión más reciente de la Recomendación UIT-R SF.675 para calcular la densidad espectral de potencia máxima de las portadoras. Con miras a determinar la densidad espectral de potencia máxima de distintos tipos de portadoras, se recomienda considerar el máximo número posible de portadoras en un ancho de banda promedio determinado. La densidad de potencia máxima se promedia en los peores 4 kHz de las portadoras por debajo de 15 GHz y el peor 1 MHz de las portadoras a 15 GHz o frecuencias superiores.</w:t>
      </w:r>
    </w:p>
    <w:p w14:paraId="76C55E17" w14:textId="77777777" w:rsidR="00194671" w:rsidRPr="00194671" w:rsidRDefault="00194671" w:rsidP="0045533B">
      <w:pPr>
        <w:rPr>
          <w:rFonts w:eastAsia="SimSun"/>
          <w:lang w:val="es-ES_tradnl"/>
        </w:rPr>
      </w:pPr>
      <w:r w:rsidRPr="00194671">
        <w:rPr>
          <w:rFonts w:eastAsia="SimSun"/>
          <w:lang w:val="es-ES_tradnl"/>
        </w:rPr>
        <w:t xml:space="preserve">Es importante que las Administraciones se atengan a esta Nota cuando faciliten los elementos de datos del Apéndice </w:t>
      </w:r>
      <w:r w:rsidRPr="00194671">
        <w:rPr>
          <w:rFonts w:eastAsia="SimSun"/>
          <w:b/>
          <w:bCs/>
          <w:lang w:val="es-ES_tradnl"/>
        </w:rPr>
        <w:t>4</w:t>
      </w:r>
      <w:r w:rsidRPr="00194671">
        <w:rPr>
          <w:rFonts w:eastAsia="SimSun"/>
          <w:lang w:val="es-ES_tradnl"/>
        </w:rPr>
        <w:t xml:space="preserve"> del RR, para que los exámenes de los límites de potencia conduzcan a conclusiones favorables conforme a lo dispuesto en el Reglamento de Radiocomunicaciones.</w:t>
      </w:r>
    </w:p>
    <w:p w14:paraId="0CB77FC3" w14:textId="77777777" w:rsidR="00194671" w:rsidRPr="00194671" w:rsidRDefault="00194671" w:rsidP="0045533B">
      <w:pPr>
        <w:rPr>
          <w:rFonts w:eastAsia="SimSun"/>
          <w:lang w:val="es-ES_tradnl"/>
        </w:rPr>
      </w:pPr>
      <w:r w:rsidRPr="00194671">
        <w:rPr>
          <w:rFonts w:eastAsia="SimSun"/>
          <w:lang w:val="es-ES_tradnl"/>
        </w:rPr>
        <w:t>En relación con este requisito, la Oficina observó que, para un gran número de emisiones comunicadas cuyo ancho de banda necesario era inferior al ancho de banda promedio, la densidad de potencia máxima se basaba en una sola portadora que ocupaba el ancho de banda promedio. Ese postulado contrasta con los sistemas reales en cuyo marco podría preverse el funcionamiento de múltiples portadoras, sobre todo si se considera que el ancho de banda del grupo de asignaciones de frecuencias supera con creces el ancho de banda necesario de una emisión en los casos mencionados.</w:t>
      </w:r>
    </w:p>
    <w:p w14:paraId="76AD026D" w14:textId="6EF8EF86" w:rsidR="00194671" w:rsidRPr="00194671" w:rsidRDefault="00194671" w:rsidP="0045533B">
      <w:pPr>
        <w:rPr>
          <w:rFonts w:eastAsiaTheme="minorEastAsia"/>
          <w:szCs w:val="24"/>
          <w:lang w:val="es-ES_tradnl"/>
        </w:rPr>
      </w:pPr>
      <w:r w:rsidRPr="00194671">
        <w:rPr>
          <w:rFonts w:eastAsiaTheme="minorEastAsia"/>
          <w:szCs w:val="24"/>
          <w:lang w:val="es-ES_tradnl"/>
        </w:rPr>
        <w:t xml:space="preserve">En el Informe del </w:t>
      </w:r>
      <w:proofErr w:type="gramStart"/>
      <w:r w:rsidRPr="00194671">
        <w:rPr>
          <w:rFonts w:eastAsiaTheme="minorEastAsia"/>
          <w:szCs w:val="24"/>
          <w:lang w:val="es-ES_tradnl"/>
        </w:rPr>
        <w:t>Director</w:t>
      </w:r>
      <w:proofErr w:type="gramEnd"/>
      <w:r w:rsidRPr="00194671">
        <w:rPr>
          <w:rFonts w:eastAsiaTheme="minorEastAsia"/>
          <w:szCs w:val="24"/>
          <w:lang w:val="es-ES_tradnl"/>
        </w:rPr>
        <w:t xml:space="preserve"> (véase el §</w:t>
      </w:r>
      <w:r w:rsidR="0045533B">
        <w:rPr>
          <w:rFonts w:eastAsiaTheme="minorEastAsia"/>
          <w:szCs w:val="24"/>
          <w:lang w:val="es-ES_tradnl"/>
        </w:rPr>
        <w:t> </w:t>
      </w:r>
      <w:r w:rsidRPr="00194671">
        <w:rPr>
          <w:rFonts w:eastAsiaTheme="minorEastAsia"/>
          <w:szCs w:val="24"/>
          <w:lang w:val="es-ES_tradnl"/>
        </w:rPr>
        <w:t>3.2.5.2.2 de la Revisión</w:t>
      </w:r>
      <w:r w:rsidR="0045533B">
        <w:rPr>
          <w:rFonts w:eastAsiaTheme="minorEastAsia"/>
          <w:szCs w:val="24"/>
          <w:lang w:val="es-ES_tradnl"/>
        </w:rPr>
        <w:t> </w:t>
      </w:r>
      <w:r w:rsidRPr="00194671">
        <w:rPr>
          <w:rFonts w:eastAsiaTheme="minorEastAsia"/>
          <w:szCs w:val="24"/>
          <w:lang w:val="es-ES_tradnl"/>
        </w:rPr>
        <w:t xml:space="preserve">1 al </w:t>
      </w:r>
      <w:proofErr w:type="spellStart"/>
      <w:r w:rsidRPr="00194671">
        <w:rPr>
          <w:rFonts w:eastAsiaTheme="minorEastAsia"/>
          <w:szCs w:val="24"/>
          <w:lang w:val="es-ES_tradnl"/>
        </w:rPr>
        <w:t>Addéndum</w:t>
      </w:r>
      <w:proofErr w:type="spellEnd"/>
      <w:r w:rsidR="0045533B">
        <w:rPr>
          <w:rFonts w:eastAsiaTheme="minorEastAsia"/>
          <w:szCs w:val="24"/>
          <w:lang w:val="es-ES_tradnl"/>
        </w:rPr>
        <w:t> </w:t>
      </w:r>
      <w:r w:rsidRPr="00194671">
        <w:rPr>
          <w:rFonts w:eastAsiaTheme="minorEastAsia"/>
          <w:szCs w:val="24"/>
          <w:lang w:val="es-ES_tradnl"/>
        </w:rPr>
        <w:t>2 al Documento</w:t>
      </w:r>
      <w:r w:rsidR="0045533B">
        <w:rPr>
          <w:rFonts w:eastAsiaTheme="minorEastAsia"/>
          <w:szCs w:val="24"/>
          <w:lang w:val="es-ES_tradnl"/>
        </w:rPr>
        <w:t xml:space="preserve"> </w:t>
      </w:r>
      <w:hyperlink r:id="rId8" w:history="1">
        <w:r w:rsidRPr="00194671">
          <w:rPr>
            <w:rFonts w:eastAsiaTheme="minorEastAsia" w:cstheme="minorHAnsi"/>
            <w:color w:val="0000FF"/>
            <w:szCs w:val="24"/>
            <w:u w:val="single"/>
            <w:lang w:val="es-ES_tradnl"/>
          </w:rPr>
          <w:t>CMR</w:t>
        </w:r>
        <w:r w:rsidR="0045533B">
          <w:rPr>
            <w:rFonts w:eastAsiaTheme="minorEastAsia" w:cstheme="minorHAnsi"/>
            <w:color w:val="0000FF"/>
            <w:szCs w:val="24"/>
            <w:u w:val="single"/>
            <w:lang w:val="es-ES_tradnl"/>
          </w:rPr>
          <w:noBreakHyphen/>
        </w:r>
        <w:r w:rsidRPr="00194671">
          <w:rPr>
            <w:rFonts w:eastAsiaTheme="minorEastAsia" w:cstheme="minorHAnsi"/>
            <w:color w:val="0000FF"/>
            <w:szCs w:val="24"/>
            <w:u w:val="single"/>
            <w:lang w:val="es-ES_tradnl"/>
          </w:rPr>
          <w:t>15/4</w:t>
        </w:r>
      </w:hyperlink>
      <w:r w:rsidRPr="00194671">
        <w:rPr>
          <w:rFonts w:eastAsiaTheme="minorEastAsia"/>
          <w:szCs w:val="24"/>
          <w:lang w:val="es-ES_tradnl"/>
        </w:rPr>
        <w:t xml:space="preserve">), la Oficina de Radiocomunicaciones indicó a la CMR-15 </w:t>
      </w:r>
      <w:r w:rsidRPr="00194671">
        <w:rPr>
          <w:rFonts w:eastAsia="SimSun"/>
          <w:szCs w:val="24"/>
          <w:lang w:val="es-ES_tradnl"/>
        </w:rPr>
        <w:t xml:space="preserve">que las Administraciones debían utilizar la Recomendación UIT-R SF.675 para calcular la densidad espectral de potencia máxima </w:t>
      </w:r>
      <w:r w:rsidRPr="00194671">
        <w:rPr>
          <w:rFonts w:eastAsiaTheme="minorEastAsia"/>
          <w:szCs w:val="24"/>
          <w:lang w:val="es-ES_tradnl"/>
        </w:rPr>
        <w:t xml:space="preserve">y presentar los datos conforme a lo previsto en el Apéndice </w:t>
      </w:r>
      <w:r w:rsidRPr="00194671">
        <w:rPr>
          <w:rFonts w:eastAsiaTheme="minorEastAsia"/>
          <w:b/>
          <w:bCs/>
          <w:szCs w:val="24"/>
          <w:lang w:val="es-ES_tradnl"/>
        </w:rPr>
        <w:t xml:space="preserve">4 </w:t>
      </w:r>
      <w:r w:rsidRPr="00194671">
        <w:rPr>
          <w:rFonts w:eastAsiaTheme="minorEastAsia"/>
          <w:szCs w:val="24"/>
          <w:lang w:val="es-ES_tradnl"/>
        </w:rPr>
        <w:t>del RR.</w:t>
      </w:r>
    </w:p>
    <w:p w14:paraId="6642FE57" w14:textId="77777777" w:rsidR="00194671" w:rsidRPr="00194671" w:rsidRDefault="00194671" w:rsidP="0045533B">
      <w:pPr>
        <w:rPr>
          <w:rFonts w:eastAsiaTheme="minorEastAsia"/>
          <w:szCs w:val="24"/>
          <w:lang w:val="es-ES_tradnl"/>
        </w:rPr>
      </w:pPr>
      <w:r w:rsidRPr="00194671">
        <w:rPr>
          <w:rFonts w:eastAsiaTheme="minorEastAsia"/>
          <w:color w:val="000000"/>
          <w:szCs w:val="24"/>
          <w:lang w:val="es-ES_tradnl"/>
        </w:rPr>
        <w:t xml:space="preserve">La CMR-15 propuso que </w:t>
      </w:r>
      <w:r w:rsidRPr="00194671">
        <w:rPr>
          <w:rFonts w:eastAsia="SimSun"/>
          <w:szCs w:val="24"/>
          <w:lang w:val="es-ES_tradnl"/>
        </w:rPr>
        <w:t>esta</w:t>
      </w:r>
      <w:r w:rsidRPr="00194671">
        <w:rPr>
          <w:rFonts w:eastAsiaTheme="minorEastAsia"/>
          <w:color w:val="000000"/>
          <w:szCs w:val="24"/>
          <w:lang w:val="es-ES_tradnl"/>
        </w:rPr>
        <w:t xml:space="preserve"> cuestión específica se sometiera a la consideración de la Comisión de Estudio del UIT-R competente.</w:t>
      </w:r>
    </w:p>
    <w:p w14:paraId="33243B6E" w14:textId="77777777" w:rsidR="00194671" w:rsidRPr="00194671" w:rsidRDefault="00194671" w:rsidP="0045533B">
      <w:pPr>
        <w:rPr>
          <w:rFonts w:eastAsia="SimSun"/>
          <w:szCs w:val="24"/>
          <w:lang w:val="es-ES_tradnl"/>
        </w:rPr>
      </w:pPr>
      <w:r w:rsidRPr="00194671">
        <w:rPr>
          <w:rFonts w:eastAsia="SimSun"/>
          <w:szCs w:val="24"/>
          <w:lang w:val="es-ES_tradnl"/>
        </w:rPr>
        <w:t>Durante los ciclos de estudios del UIT-R comprendidos entre 2015 y 2023, la Oficina presentó contribuciones a este respecto, en las que facilitó explicaciones en la materia e informes sobre la marcha de las labores de los Grupos de Trabajo de las Comisiones de Estudio 4 y 7 del UIT-R.</w:t>
      </w:r>
    </w:p>
    <w:p w14:paraId="37E38724" w14:textId="5BE212AC" w:rsidR="00194671" w:rsidRPr="00194671" w:rsidRDefault="00194671" w:rsidP="0045533B">
      <w:pPr>
        <w:rPr>
          <w:rFonts w:eastAsiaTheme="minorEastAsia"/>
          <w:szCs w:val="24"/>
          <w:lang w:val="es-ES_tradnl"/>
        </w:rPr>
      </w:pPr>
      <w:r w:rsidRPr="00194671">
        <w:rPr>
          <w:rFonts w:eastAsia="SimSun"/>
          <w:szCs w:val="24"/>
          <w:lang w:val="es-ES_tradnl"/>
        </w:rPr>
        <w:lastRenderedPageBreak/>
        <w:t>Al mismo tiempo, la Oficina tomó medidas adicionales a fin de armonizar</w:t>
      </w:r>
      <w:r w:rsidRPr="00194671">
        <w:rPr>
          <w:rFonts w:eastAsiaTheme="minorEastAsia"/>
          <w:szCs w:val="24"/>
          <w:lang w:val="es-ES_tradnl"/>
        </w:rPr>
        <w:t xml:space="preserve"> </w:t>
      </w:r>
      <w:r w:rsidRPr="00194671">
        <w:rPr>
          <w:rFonts w:eastAsia="SimSun"/>
          <w:szCs w:val="24"/>
          <w:lang w:val="es-ES_tradnl"/>
        </w:rPr>
        <w:t xml:space="preserve">paulatinamente el </w:t>
      </w:r>
      <w:r w:rsidRPr="00194671">
        <w:rPr>
          <w:rFonts w:eastAsiaTheme="minorEastAsia"/>
          <w:szCs w:val="24"/>
          <w:lang w:val="es-ES_tradnl"/>
        </w:rPr>
        <w:t>método de cálculo de la densidad de flujo de potencia (</w:t>
      </w:r>
      <w:proofErr w:type="spellStart"/>
      <w:r w:rsidRPr="00194671">
        <w:rPr>
          <w:rFonts w:eastAsiaTheme="minorEastAsia"/>
          <w:szCs w:val="24"/>
          <w:lang w:val="es-ES_tradnl"/>
        </w:rPr>
        <w:t>dfp</w:t>
      </w:r>
      <w:proofErr w:type="spellEnd"/>
      <w:r w:rsidRPr="00194671">
        <w:rPr>
          <w:rFonts w:eastAsiaTheme="minorEastAsia"/>
          <w:szCs w:val="24"/>
          <w:lang w:val="es-ES_tradnl"/>
        </w:rPr>
        <w:t>) con el método que utiliza la definición de potencia máxima acorde a la Recomendación UIT-R SF.675. Esas medidas se detallan a continuación.</w:t>
      </w:r>
    </w:p>
    <w:p w14:paraId="2EC44B7E" w14:textId="77777777" w:rsidR="00194671" w:rsidRPr="00194671" w:rsidRDefault="00194671" w:rsidP="0045533B">
      <w:pPr>
        <w:pStyle w:val="Headingb"/>
        <w:rPr>
          <w:rFonts w:eastAsiaTheme="minorEastAsia"/>
          <w:szCs w:val="24"/>
          <w:lang w:val="es-ES"/>
        </w:rPr>
      </w:pPr>
      <w:r w:rsidRPr="00194671">
        <w:rPr>
          <w:rFonts w:eastAsiaTheme="minorEastAsia"/>
          <w:lang w:val="es-ES"/>
        </w:rPr>
        <w:t xml:space="preserve">Implementación de normas de validación en </w:t>
      </w:r>
      <w:proofErr w:type="spellStart"/>
      <w:r w:rsidRPr="00194671">
        <w:rPr>
          <w:rFonts w:eastAsiaTheme="minorEastAsia"/>
          <w:lang w:val="es-ES"/>
        </w:rPr>
        <w:t>Space</w:t>
      </w:r>
      <w:proofErr w:type="spellEnd"/>
      <w:r w:rsidRPr="00194671">
        <w:rPr>
          <w:rFonts w:eastAsiaTheme="minorEastAsia"/>
          <w:lang w:val="es-ES"/>
        </w:rPr>
        <w:t xml:space="preserve"> </w:t>
      </w:r>
      <w:proofErr w:type="spellStart"/>
      <w:r w:rsidRPr="00194671">
        <w:rPr>
          <w:rFonts w:eastAsiaTheme="minorEastAsia"/>
          <w:lang w:val="es-ES"/>
        </w:rPr>
        <w:t>Validation</w:t>
      </w:r>
      <w:proofErr w:type="spellEnd"/>
    </w:p>
    <w:p w14:paraId="3B90EB54" w14:textId="77777777" w:rsidR="00194671" w:rsidRPr="00194671" w:rsidRDefault="00194671" w:rsidP="0045533B">
      <w:pPr>
        <w:rPr>
          <w:rFonts w:eastAsiaTheme="minorEastAsia"/>
          <w:szCs w:val="24"/>
          <w:lang w:val="es-ES_tradnl"/>
        </w:rPr>
      </w:pPr>
      <w:r w:rsidRPr="00194671">
        <w:rPr>
          <w:rFonts w:eastAsiaTheme="minorEastAsia"/>
          <w:szCs w:val="24"/>
          <w:lang w:val="es-ES_tradnl"/>
        </w:rPr>
        <w:t xml:space="preserve">Se introdujeron nuevas normas de validación en el software </w:t>
      </w:r>
      <w:proofErr w:type="spellStart"/>
      <w:r w:rsidRPr="00194671">
        <w:rPr>
          <w:rFonts w:eastAsiaTheme="minorEastAsia"/>
          <w:szCs w:val="24"/>
          <w:lang w:val="es-ES_tradnl"/>
        </w:rPr>
        <w:t>Space</w:t>
      </w:r>
      <w:proofErr w:type="spellEnd"/>
      <w:r w:rsidRPr="00194671">
        <w:rPr>
          <w:rFonts w:eastAsiaTheme="minorEastAsia"/>
          <w:szCs w:val="24"/>
          <w:lang w:val="es-ES_tradnl"/>
        </w:rPr>
        <w:t xml:space="preserve"> </w:t>
      </w:r>
      <w:proofErr w:type="spellStart"/>
      <w:r w:rsidRPr="00194671">
        <w:rPr>
          <w:rFonts w:eastAsiaTheme="minorEastAsia"/>
          <w:szCs w:val="24"/>
          <w:lang w:val="es-ES_tradnl"/>
        </w:rPr>
        <w:t>Validation</w:t>
      </w:r>
      <w:proofErr w:type="spellEnd"/>
      <w:r w:rsidRPr="00194671">
        <w:rPr>
          <w:rFonts w:eastAsiaTheme="minorEastAsia"/>
          <w:szCs w:val="24"/>
          <w:lang w:val="es-ES_tradnl"/>
        </w:rPr>
        <w:t xml:space="preserve"> (v.8.0.5),</w:t>
      </w:r>
      <w:r w:rsidRPr="00194671">
        <w:rPr>
          <w:rFonts w:eastAsiaTheme="minorEastAsia"/>
          <w:sz w:val="22"/>
          <w:lang w:val="es-ES"/>
        </w:rPr>
        <w:t xml:space="preserve"> </w:t>
      </w:r>
      <w:r w:rsidRPr="00194671">
        <w:rPr>
          <w:rFonts w:eastAsiaTheme="minorEastAsia"/>
          <w:szCs w:val="24"/>
          <w:lang w:val="es-ES_tradnl"/>
        </w:rPr>
        <w:t>que posteriormente se transfirieron al software</w:t>
      </w:r>
      <w:r w:rsidRPr="00194671">
        <w:rPr>
          <w:rFonts w:eastAsiaTheme="minorEastAsia"/>
          <w:sz w:val="22"/>
          <w:lang w:val="es-ES"/>
        </w:rPr>
        <w:t xml:space="preserve"> </w:t>
      </w:r>
      <w:r w:rsidRPr="00194671">
        <w:rPr>
          <w:rFonts w:eastAsiaTheme="minorEastAsia"/>
          <w:szCs w:val="24"/>
          <w:lang w:val="es-ES_tradnl"/>
        </w:rPr>
        <w:t xml:space="preserve">BRSIS </w:t>
      </w:r>
      <w:proofErr w:type="spellStart"/>
      <w:r w:rsidRPr="00194671">
        <w:rPr>
          <w:rFonts w:eastAsiaTheme="minorEastAsia"/>
          <w:szCs w:val="24"/>
          <w:lang w:val="es-ES_tradnl"/>
        </w:rPr>
        <w:t>Validation</w:t>
      </w:r>
      <w:proofErr w:type="spellEnd"/>
      <w:r w:rsidRPr="00194671">
        <w:rPr>
          <w:rFonts w:eastAsiaTheme="minorEastAsia"/>
          <w:szCs w:val="24"/>
          <w:lang w:val="es-ES_tradnl"/>
        </w:rPr>
        <w:t xml:space="preserve"> y que preveían la emisión de alertas a los usuarios en el </w:t>
      </w:r>
      <w:r w:rsidRPr="00194671">
        <w:rPr>
          <w:rFonts w:eastAsia="SimSun"/>
          <w:szCs w:val="24"/>
          <w:lang w:val="es-ES_tradnl"/>
        </w:rPr>
        <w:t>momento</w:t>
      </w:r>
      <w:r w:rsidRPr="00194671">
        <w:rPr>
          <w:rFonts w:eastAsiaTheme="minorEastAsia"/>
          <w:szCs w:val="24"/>
          <w:lang w:val="es-ES_tradnl"/>
        </w:rPr>
        <w:t xml:space="preserve"> en que se detectase una incoherencia entre la potencia de cresta definida y la densidad espectral de potencia al preparar los formularios de notificación para la presentación de una solicitud de coordinación o una notificación. Estas nuevas normas de validación se publicaron en la BR IFIC 2842 (04.04.2017).</w:t>
      </w:r>
    </w:p>
    <w:p w14:paraId="41A0C517" w14:textId="77777777" w:rsidR="00194671" w:rsidRPr="00194671" w:rsidRDefault="00194671" w:rsidP="0045533B">
      <w:pPr>
        <w:rPr>
          <w:rFonts w:eastAsiaTheme="minorEastAsia"/>
          <w:b/>
          <w:bCs/>
          <w:szCs w:val="24"/>
          <w:lang w:val="es-ES_tradnl"/>
        </w:rPr>
      </w:pPr>
      <w:r w:rsidRPr="00194671">
        <w:rPr>
          <w:rFonts w:eastAsiaTheme="minorEastAsia"/>
          <w:szCs w:val="24"/>
          <w:lang w:val="es-ES_tradnl"/>
        </w:rPr>
        <w:t xml:space="preserve">El objetivo de dichas comprobaciones es ayudar a las Administraciones y recordarles que han de utilizar la versión más </w:t>
      </w:r>
      <w:r w:rsidRPr="00194671">
        <w:rPr>
          <w:rFonts w:eastAsia="SimSun"/>
          <w:szCs w:val="24"/>
          <w:lang w:val="es-ES_tradnl"/>
        </w:rPr>
        <w:t>reciente</w:t>
      </w:r>
      <w:r w:rsidRPr="00194671">
        <w:rPr>
          <w:rFonts w:eastAsiaTheme="minorEastAsia"/>
          <w:szCs w:val="24"/>
          <w:lang w:val="es-ES_tradnl"/>
        </w:rPr>
        <w:t xml:space="preserve"> de la Recomendación UIT-R SF.675 para calcular la densidad de potencia máxima.</w:t>
      </w:r>
    </w:p>
    <w:p w14:paraId="4FB5D973" w14:textId="77777777" w:rsidR="00194671" w:rsidRPr="00194671" w:rsidRDefault="00194671" w:rsidP="0045533B">
      <w:pPr>
        <w:rPr>
          <w:rFonts w:eastAsiaTheme="minorEastAsia"/>
          <w:szCs w:val="24"/>
          <w:lang w:val="es-ES_tradnl"/>
        </w:rPr>
      </w:pPr>
      <w:r w:rsidRPr="00194671">
        <w:rPr>
          <w:rFonts w:eastAsiaTheme="minorEastAsia"/>
          <w:szCs w:val="24"/>
          <w:lang w:val="es-ES_tradnl"/>
        </w:rPr>
        <w:t xml:space="preserve">Habida cuenta de que las nuevas normas de </w:t>
      </w:r>
      <w:proofErr w:type="spellStart"/>
      <w:r w:rsidRPr="00194671">
        <w:rPr>
          <w:rFonts w:eastAsiaTheme="minorEastAsia"/>
          <w:szCs w:val="24"/>
          <w:lang w:val="es-ES_tradnl"/>
        </w:rPr>
        <w:t>Space</w:t>
      </w:r>
      <w:proofErr w:type="spellEnd"/>
      <w:r w:rsidRPr="00194671">
        <w:rPr>
          <w:rFonts w:eastAsiaTheme="minorEastAsia"/>
          <w:szCs w:val="24"/>
          <w:lang w:val="es-ES_tradnl"/>
        </w:rPr>
        <w:t xml:space="preserve"> </w:t>
      </w:r>
      <w:proofErr w:type="spellStart"/>
      <w:r w:rsidRPr="00194671">
        <w:rPr>
          <w:rFonts w:eastAsiaTheme="minorEastAsia"/>
          <w:szCs w:val="24"/>
          <w:lang w:val="es-ES_tradnl"/>
        </w:rPr>
        <w:t>Validation</w:t>
      </w:r>
      <w:proofErr w:type="spellEnd"/>
      <w:r w:rsidRPr="00194671">
        <w:rPr>
          <w:rFonts w:eastAsiaTheme="minorEastAsia"/>
          <w:szCs w:val="24"/>
          <w:lang w:val="es-ES_tradnl"/>
        </w:rPr>
        <w:t xml:space="preserve"> llevan en vigor casi 7 años, las Administraciones debería </w:t>
      </w:r>
      <w:r w:rsidRPr="00194671">
        <w:rPr>
          <w:rFonts w:eastAsia="SimSun"/>
          <w:szCs w:val="24"/>
          <w:lang w:val="es-ES_tradnl"/>
        </w:rPr>
        <w:t>estar</w:t>
      </w:r>
      <w:r w:rsidRPr="00194671">
        <w:rPr>
          <w:rFonts w:eastAsiaTheme="minorEastAsia"/>
          <w:szCs w:val="24"/>
          <w:lang w:val="es-ES_tradnl"/>
        </w:rPr>
        <w:t xml:space="preserve"> familiarizadas con el requisito de utilización de la Recomendación UIT-R SF.675 para calcular la densidad de potencia máxima.</w:t>
      </w:r>
    </w:p>
    <w:p w14:paraId="0E63DF4E" w14:textId="77777777" w:rsidR="00194671" w:rsidRPr="00194671" w:rsidRDefault="00194671" w:rsidP="0045533B">
      <w:pPr>
        <w:pStyle w:val="Headingb"/>
        <w:rPr>
          <w:rFonts w:eastAsiaTheme="minorEastAsia"/>
          <w:szCs w:val="24"/>
          <w:lang w:val="es-ES_tradnl"/>
        </w:rPr>
      </w:pPr>
      <w:bookmarkStart w:id="0" w:name="_Toc143072407"/>
      <w:r w:rsidRPr="00194671">
        <w:rPr>
          <w:rFonts w:eastAsiaTheme="minorEastAsia"/>
          <w:szCs w:val="24"/>
          <w:lang w:val="es-ES_tradnl"/>
        </w:rPr>
        <w:t xml:space="preserve">Nueva versión del </w:t>
      </w:r>
      <w:r w:rsidRPr="00194671">
        <w:rPr>
          <w:rFonts w:eastAsiaTheme="minorEastAsia"/>
          <w:lang w:val="es-ES"/>
        </w:rPr>
        <w:t>software</w:t>
      </w:r>
      <w:r w:rsidRPr="00194671">
        <w:rPr>
          <w:rFonts w:eastAsiaTheme="minorEastAsia"/>
          <w:szCs w:val="24"/>
          <w:lang w:val="es-ES_tradnl"/>
        </w:rPr>
        <w:t xml:space="preserve"> GIBC</w:t>
      </w:r>
      <w:bookmarkEnd w:id="0"/>
    </w:p>
    <w:p w14:paraId="287A749A" w14:textId="77777777" w:rsidR="00194671" w:rsidRPr="00194671" w:rsidRDefault="00194671" w:rsidP="0045533B">
      <w:pPr>
        <w:rPr>
          <w:rFonts w:eastAsia="SimSun"/>
          <w:szCs w:val="24"/>
          <w:lang w:val="es-ES_tradnl"/>
        </w:rPr>
      </w:pPr>
      <w:r w:rsidRPr="00194671">
        <w:rPr>
          <w:rFonts w:eastAsiaTheme="minorEastAsia"/>
          <w:szCs w:val="24"/>
          <w:lang w:val="es-ES_tradnl"/>
        </w:rPr>
        <w:t xml:space="preserve">En la BR IFIC 2985 de fecha 29.11.2022, se publicó una nueva versión del software GIBC (v9.1), que aplica un nuevo método de </w:t>
      </w:r>
      <w:r w:rsidRPr="00194671">
        <w:rPr>
          <w:rFonts w:eastAsia="SimSun"/>
          <w:szCs w:val="24"/>
          <w:lang w:val="es-ES_tradnl"/>
        </w:rPr>
        <w:t>cálculo acorde a la Recomendación UIT-R SF.675. En concreto, se añadió una opción en los módulos GIBC PFD/EIRP GSO y GIBC PFD/EIRP NGSO para calcular la potencia transmitida a tenor de la Recomendación UIT-R SF.675.</w:t>
      </w:r>
    </w:p>
    <w:p w14:paraId="7CD7F36F" w14:textId="6DC4C8D5" w:rsidR="00194671" w:rsidRPr="00194671" w:rsidRDefault="00194671" w:rsidP="0045533B">
      <w:pPr>
        <w:rPr>
          <w:rFonts w:eastAsia="SimSun"/>
          <w:szCs w:val="24"/>
          <w:lang w:val="es-ES_tradnl"/>
        </w:rPr>
      </w:pPr>
      <w:r w:rsidRPr="00194671">
        <w:rPr>
          <w:rFonts w:eastAsia="SimSun"/>
          <w:szCs w:val="24"/>
          <w:lang w:val="es-ES_tradnl"/>
        </w:rPr>
        <w:t>En el Anexo 1 se detallan los pasos del nuevo método de cálculo acorde a la Recomendación UIT</w:t>
      </w:r>
      <w:r w:rsidR="00716E24">
        <w:rPr>
          <w:rFonts w:eastAsia="SimSun"/>
          <w:szCs w:val="24"/>
          <w:lang w:val="es-ES_tradnl"/>
        </w:rPr>
        <w:noBreakHyphen/>
      </w:r>
      <w:r w:rsidRPr="00194671">
        <w:rPr>
          <w:rFonts w:eastAsia="SimSun"/>
          <w:szCs w:val="24"/>
          <w:lang w:val="es-ES_tradnl"/>
        </w:rPr>
        <w:t>R</w:t>
      </w:r>
      <w:r w:rsidR="00716E24">
        <w:rPr>
          <w:rFonts w:eastAsia="SimSun"/>
          <w:szCs w:val="24"/>
          <w:lang w:val="es-ES_tradnl"/>
        </w:rPr>
        <w:t> </w:t>
      </w:r>
      <w:r w:rsidRPr="00194671">
        <w:rPr>
          <w:rFonts w:eastAsia="SimSun"/>
          <w:szCs w:val="24"/>
          <w:lang w:val="es-ES_tradnl"/>
        </w:rPr>
        <w:t>SF.675.</w:t>
      </w:r>
    </w:p>
    <w:p w14:paraId="03A2F213" w14:textId="77777777" w:rsidR="00194671" w:rsidRPr="00194671" w:rsidRDefault="00194671" w:rsidP="0045533B">
      <w:pPr>
        <w:rPr>
          <w:rFonts w:eastAsiaTheme="minorEastAsia"/>
          <w:szCs w:val="24"/>
          <w:lang w:val="es-ES_tradnl"/>
        </w:rPr>
      </w:pPr>
      <w:r w:rsidRPr="00194671">
        <w:rPr>
          <w:rFonts w:eastAsia="SimSun"/>
          <w:szCs w:val="24"/>
          <w:lang w:val="es-ES_tradnl"/>
        </w:rPr>
        <w:t xml:space="preserve">Gracias a esta opción adicional, las Administraciones pueden verificar el cumplimiento de los límites de </w:t>
      </w:r>
      <w:proofErr w:type="spellStart"/>
      <w:r w:rsidRPr="00194671">
        <w:rPr>
          <w:rFonts w:eastAsia="SimSun"/>
          <w:szCs w:val="24"/>
          <w:lang w:val="es-ES_tradnl"/>
        </w:rPr>
        <w:t>dfp</w:t>
      </w:r>
      <w:proofErr w:type="spellEnd"/>
      <w:r w:rsidRPr="00194671">
        <w:rPr>
          <w:rFonts w:eastAsia="SimSun"/>
          <w:szCs w:val="24"/>
          <w:lang w:val="es-ES_tradnl"/>
        </w:rPr>
        <w:t xml:space="preserve"> y potencia isótropa radiada equivalente (</w:t>
      </w:r>
      <w:proofErr w:type="spellStart"/>
      <w:r w:rsidRPr="00194671">
        <w:rPr>
          <w:rFonts w:eastAsia="SimSun"/>
          <w:szCs w:val="24"/>
          <w:lang w:val="es-ES_tradnl"/>
        </w:rPr>
        <w:t>p.i.r.e</w:t>
      </w:r>
      <w:proofErr w:type="spellEnd"/>
      <w:r w:rsidRPr="00194671">
        <w:rPr>
          <w:rFonts w:eastAsia="SimSun"/>
          <w:szCs w:val="24"/>
          <w:lang w:val="es-ES_tradnl"/>
        </w:rPr>
        <w:t xml:space="preserve">.) de los Artículos </w:t>
      </w:r>
      <w:r w:rsidRPr="00194671">
        <w:rPr>
          <w:rFonts w:eastAsia="SimSun"/>
          <w:b/>
          <w:bCs/>
          <w:szCs w:val="24"/>
          <w:lang w:val="es-ES_tradnl"/>
        </w:rPr>
        <w:t>5</w:t>
      </w:r>
      <w:r w:rsidRPr="00194671">
        <w:rPr>
          <w:rFonts w:eastAsia="SimSun"/>
          <w:szCs w:val="24"/>
          <w:lang w:val="es-ES_tradnl"/>
        </w:rPr>
        <w:t xml:space="preserve">, </w:t>
      </w:r>
      <w:r w:rsidRPr="00194671">
        <w:rPr>
          <w:rFonts w:eastAsia="SimSun"/>
          <w:b/>
          <w:bCs/>
          <w:szCs w:val="24"/>
          <w:lang w:val="es-ES_tradnl"/>
        </w:rPr>
        <w:t>21</w:t>
      </w:r>
      <w:r w:rsidRPr="00194671">
        <w:rPr>
          <w:rFonts w:eastAsia="SimSun"/>
          <w:szCs w:val="24"/>
          <w:lang w:val="es-ES_tradnl"/>
        </w:rPr>
        <w:t xml:space="preserve"> y </w:t>
      </w:r>
      <w:r w:rsidRPr="00194671">
        <w:rPr>
          <w:rFonts w:eastAsia="SimSun"/>
          <w:b/>
          <w:bCs/>
          <w:szCs w:val="24"/>
          <w:lang w:val="es-ES_tradnl"/>
        </w:rPr>
        <w:t>22</w:t>
      </w:r>
      <w:r w:rsidRPr="00194671">
        <w:rPr>
          <w:rFonts w:eastAsia="SimSun"/>
          <w:szCs w:val="24"/>
          <w:lang w:val="es-ES_tradnl"/>
        </w:rPr>
        <w:t xml:space="preserve"> del RR utilizando un método de cálculo basado</w:t>
      </w:r>
      <w:r w:rsidRPr="00194671">
        <w:rPr>
          <w:rFonts w:eastAsiaTheme="minorEastAsia"/>
          <w:szCs w:val="24"/>
          <w:lang w:val="es-ES"/>
        </w:rPr>
        <w:t xml:space="preserve"> en la derivación </w:t>
      </w:r>
      <w:r w:rsidRPr="00194671">
        <w:rPr>
          <w:rFonts w:eastAsiaTheme="minorEastAsia"/>
          <w:szCs w:val="24"/>
          <w:lang w:val="es-ES_tradnl"/>
        </w:rPr>
        <w:t>del valor de potencia máxima conforme a la Recomendación UIT-R SF.675.</w:t>
      </w:r>
    </w:p>
    <w:p w14:paraId="1D2D630D" w14:textId="31597802" w:rsidR="00194671" w:rsidRPr="00194671" w:rsidRDefault="00194671" w:rsidP="0045533B">
      <w:pPr>
        <w:pStyle w:val="Headingb"/>
        <w:rPr>
          <w:rFonts w:eastAsiaTheme="minorEastAsia"/>
          <w:bCs/>
          <w:szCs w:val="24"/>
          <w:lang w:val="es-ES_tradnl"/>
        </w:rPr>
      </w:pPr>
      <w:bookmarkStart w:id="1" w:name="_Toc143072408"/>
      <w:r w:rsidRPr="00194671">
        <w:rPr>
          <w:rFonts w:eastAsiaTheme="minorEastAsia"/>
          <w:bCs/>
          <w:szCs w:val="24"/>
          <w:lang w:val="es-ES_tradnl"/>
        </w:rPr>
        <w:t xml:space="preserve">Introducción de la </w:t>
      </w:r>
      <w:r w:rsidRPr="00194671">
        <w:rPr>
          <w:rFonts w:eastAsiaTheme="minorEastAsia"/>
          <w:lang w:val="es-ES"/>
        </w:rPr>
        <w:t>herramienta</w:t>
      </w:r>
      <w:r w:rsidRPr="00194671">
        <w:rPr>
          <w:rFonts w:eastAsiaTheme="minorEastAsia"/>
          <w:bCs/>
          <w:szCs w:val="24"/>
          <w:lang w:val="es-ES_tradnl"/>
        </w:rPr>
        <w:t xml:space="preserve"> de examen en línea e-</w:t>
      </w:r>
      <w:proofErr w:type="spellStart"/>
      <w:r w:rsidRPr="00194671">
        <w:rPr>
          <w:rFonts w:eastAsiaTheme="minorEastAsia"/>
          <w:bCs/>
          <w:szCs w:val="24"/>
          <w:lang w:val="es-ES_tradnl"/>
        </w:rPr>
        <w:t>Examination</w:t>
      </w:r>
      <w:bookmarkEnd w:id="1"/>
      <w:proofErr w:type="spellEnd"/>
    </w:p>
    <w:p w14:paraId="713D9A46" w14:textId="371415F8" w:rsidR="00194671" w:rsidRPr="00194671" w:rsidRDefault="00194671" w:rsidP="0045533B">
      <w:pPr>
        <w:rPr>
          <w:rFonts w:eastAsia="SimSun"/>
          <w:szCs w:val="24"/>
          <w:lang w:val="es-ES_tradnl"/>
        </w:rPr>
      </w:pPr>
      <w:r w:rsidRPr="00194671">
        <w:rPr>
          <w:rFonts w:eastAsiaTheme="minorEastAsia"/>
          <w:szCs w:val="24"/>
          <w:lang w:val="es-ES_tradnl"/>
        </w:rPr>
        <w:t>La nueva herramienta de examen en línea e-</w:t>
      </w:r>
      <w:proofErr w:type="spellStart"/>
      <w:r w:rsidRPr="00194671">
        <w:rPr>
          <w:rFonts w:eastAsiaTheme="minorEastAsia"/>
          <w:szCs w:val="24"/>
          <w:lang w:val="es-ES_tradnl"/>
        </w:rPr>
        <w:t>Examination</w:t>
      </w:r>
      <w:proofErr w:type="spellEnd"/>
      <w:r w:rsidRPr="00194671">
        <w:rPr>
          <w:rFonts w:eastAsiaTheme="minorEastAsia"/>
          <w:szCs w:val="24"/>
          <w:lang w:val="es-ES_tradnl"/>
        </w:rPr>
        <w:t xml:space="preserve"> se incluyó en la plataforma en línea e</w:t>
      </w:r>
      <w:r w:rsidR="00716E24">
        <w:rPr>
          <w:rFonts w:eastAsiaTheme="minorEastAsia"/>
          <w:szCs w:val="24"/>
          <w:lang w:val="es-ES_tradnl"/>
        </w:rPr>
        <w:noBreakHyphen/>
      </w:r>
      <w:proofErr w:type="spellStart"/>
      <w:r w:rsidRPr="00194671">
        <w:rPr>
          <w:rFonts w:eastAsiaTheme="minorEastAsia"/>
          <w:szCs w:val="24"/>
          <w:lang w:val="es-ES_tradnl"/>
        </w:rPr>
        <w:t>Submission</w:t>
      </w:r>
      <w:proofErr w:type="spellEnd"/>
      <w:r w:rsidRPr="00194671">
        <w:rPr>
          <w:rFonts w:eastAsiaTheme="minorEastAsia"/>
          <w:szCs w:val="24"/>
          <w:lang w:val="es-ES_tradnl"/>
        </w:rPr>
        <w:t xml:space="preserve"> el 1 de octubre de 2023, a fin de ayudar a los usuarios a comprobar si las redes de satélites o estaciones terrenas que habían subido a la plataforma cumplían los límites de </w:t>
      </w:r>
      <w:proofErr w:type="spellStart"/>
      <w:r w:rsidRPr="00194671">
        <w:rPr>
          <w:rFonts w:eastAsiaTheme="minorEastAsia"/>
          <w:szCs w:val="24"/>
          <w:lang w:val="es-ES_tradnl"/>
        </w:rPr>
        <w:t>dfp</w:t>
      </w:r>
      <w:proofErr w:type="spellEnd"/>
      <w:r w:rsidRPr="00194671">
        <w:rPr>
          <w:rFonts w:eastAsiaTheme="minorEastAsia"/>
          <w:szCs w:val="24"/>
          <w:lang w:val="es-ES_tradnl"/>
        </w:rPr>
        <w:t xml:space="preserve"> y </w:t>
      </w:r>
      <w:proofErr w:type="spellStart"/>
      <w:r w:rsidRPr="00194671">
        <w:rPr>
          <w:rFonts w:eastAsiaTheme="minorEastAsia"/>
          <w:szCs w:val="24"/>
          <w:lang w:val="es-ES_tradnl"/>
        </w:rPr>
        <w:t>p.i.r.e</w:t>
      </w:r>
      <w:proofErr w:type="spellEnd"/>
      <w:r w:rsidRPr="00194671">
        <w:rPr>
          <w:rFonts w:eastAsiaTheme="minorEastAsia"/>
          <w:szCs w:val="24"/>
          <w:lang w:val="es-ES_tradnl"/>
        </w:rPr>
        <w:t xml:space="preserve">. especificados en el </w:t>
      </w:r>
      <w:r w:rsidRPr="00194671">
        <w:rPr>
          <w:rFonts w:eastAsia="SimSun"/>
          <w:szCs w:val="24"/>
          <w:lang w:val="es-ES_tradnl"/>
        </w:rPr>
        <w:t>Reglamento de Radiocomunicaciones.</w:t>
      </w:r>
    </w:p>
    <w:p w14:paraId="6354643E" w14:textId="77777777" w:rsidR="00194671" w:rsidRPr="00194671" w:rsidRDefault="00194671" w:rsidP="0045533B">
      <w:pPr>
        <w:rPr>
          <w:rFonts w:eastAsia="SimSun"/>
          <w:szCs w:val="24"/>
          <w:lang w:val="es-ES_tradnl"/>
        </w:rPr>
      </w:pPr>
      <w:r w:rsidRPr="00194671">
        <w:rPr>
          <w:rFonts w:eastAsia="SimSun"/>
          <w:szCs w:val="24"/>
          <w:lang w:val="es-ES_tradnl"/>
        </w:rPr>
        <w:t xml:space="preserve">Para todos los cálculos de los límites de </w:t>
      </w:r>
      <w:proofErr w:type="spellStart"/>
      <w:r w:rsidRPr="00194671">
        <w:rPr>
          <w:rFonts w:eastAsia="SimSun"/>
          <w:szCs w:val="24"/>
          <w:lang w:val="es-ES_tradnl"/>
        </w:rPr>
        <w:t>dfp</w:t>
      </w:r>
      <w:proofErr w:type="spellEnd"/>
      <w:r w:rsidRPr="00194671">
        <w:rPr>
          <w:rFonts w:eastAsia="SimSun"/>
          <w:szCs w:val="24"/>
          <w:lang w:val="es-ES_tradnl"/>
        </w:rPr>
        <w:t xml:space="preserve"> y </w:t>
      </w:r>
      <w:proofErr w:type="spellStart"/>
      <w:r w:rsidRPr="00194671">
        <w:rPr>
          <w:rFonts w:eastAsia="SimSun"/>
          <w:szCs w:val="24"/>
          <w:lang w:val="es-ES_tradnl"/>
        </w:rPr>
        <w:t>p.i.r.e</w:t>
      </w:r>
      <w:proofErr w:type="spellEnd"/>
      <w:r w:rsidRPr="00194671">
        <w:rPr>
          <w:rFonts w:eastAsia="SimSun"/>
          <w:szCs w:val="24"/>
          <w:lang w:val="es-ES_tradnl"/>
        </w:rPr>
        <w:t xml:space="preserve">. realizados en </w:t>
      </w:r>
      <w:proofErr w:type="spellStart"/>
      <w:r w:rsidRPr="00194671">
        <w:rPr>
          <w:rFonts w:eastAsia="SimSun"/>
          <w:szCs w:val="24"/>
          <w:lang w:val="es-ES_tradnl"/>
        </w:rPr>
        <w:t>e</w:t>
      </w:r>
      <w:proofErr w:type="spellEnd"/>
      <w:r w:rsidRPr="00194671">
        <w:rPr>
          <w:rFonts w:eastAsia="SimSun"/>
          <w:szCs w:val="24"/>
          <w:lang w:val="es-ES_tradnl"/>
        </w:rPr>
        <w:t>-</w:t>
      </w:r>
      <w:proofErr w:type="spellStart"/>
      <w:r w:rsidRPr="00194671">
        <w:rPr>
          <w:rFonts w:eastAsia="SimSun"/>
          <w:szCs w:val="24"/>
          <w:lang w:val="es-ES_tradnl"/>
        </w:rPr>
        <w:t>Examination</w:t>
      </w:r>
      <w:proofErr w:type="spellEnd"/>
      <w:r w:rsidRPr="00194671">
        <w:rPr>
          <w:rFonts w:eastAsia="SimSun"/>
          <w:szCs w:val="24"/>
          <w:lang w:val="es-ES_tradnl"/>
        </w:rPr>
        <w:t xml:space="preserve"> se utiliza, por defecto, el método de cálculo basado en la derivación del valor de potencia máxima conforme a la Recomendación UIT-R SF.675.</w:t>
      </w:r>
    </w:p>
    <w:p w14:paraId="37967F42" w14:textId="77777777" w:rsidR="00194671" w:rsidRPr="00194671" w:rsidRDefault="00194671" w:rsidP="0045533B">
      <w:pPr>
        <w:rPr>
          <w:rFonts w:eastAsiaTheme="minorEastAsia"/>
          <w:szCs w:val="24"/>
          <w:lang w:val="es-ES_tradnl"/>
        </w:rPr>
      </w:pPr>
      <w:r w:rsidRPr="00194671">
        <w:rPr>
          <w:rFonts w:eastAsia="SimSun"/>
          <w:szCs w:val="24"/>
          <w:lang w:val="es-ES_tradnl"/>
        </w:rPr>
        <w:t>Aunque los resultados de e-</w:t>
      </w:r>
      <w:proofErr w:type="spellStart"/>
      <w:r w:rsidRPr="00194671">
        <w:rPr>
          <w:rFonts w:eastAsia="SimSun"/>
          <w:szCs w:val="24"/>
          <w:lang w:val="es-ES_tradnl"/>
        </w:rPr>
        <w:t>Examination</w:t>
      </w:r>
      <w:proofErr w:type="spellEnd"/>
      <w:r w:rsidRPr="00194671">
        <w:rPr>
          <w:rFonts w:eastAsia="SimSun"/>
          <w:szCs w:val="24"/>
          <w:lang w:val="es-ES_tradnl"/>
        </w:rPr>
        <w:t xml:space="preserve"> no tienen sino fines informativos y la Oficina es la encargada de establecer las conclusiones reglamentarias definitivas durante su examen en virtud del número </w:t>
      </w:r>
      <w:r w:rsidRPr="00194671">
        <w:rPr>
          <w:rFonts w:eastAsia="SimSun"/>
          <w:b/>
          <w:bCs/>
          <w:szCs w:val="24"/>
          <w:lang w:val="es-ES_tradnl"/>
        </w:rPr>
        <w:t>9.35/11.31</w:t>
      </w:r>
      <w:r w:rsidRPr="00194671">
        <w:rPr>
          <w:rFonts w:eastAsia="SimSun"/>
          <w:szCs w:val="24"/>
          <w:lang w:val="es-ES_tradnl"/>
        </w:rPr>
        <w:t xml:space="preserve"> del Reglamento de Radiocomunicaciones, las Administraciones pueden utilizar la información adicional</w:t>
      </w:r>
      <w:r w:rsidRPr="00194671">
        <w:rPr>
          <w:rFonts w:eastAsiaTheme="minorEastAsia"/>
          <w:szCs w:val="24"/>
          <w:lang w:val="es-ES_tradnl"/>
        </w:rPr>
        <w:t xml:space="preserve"> proporcionada por dicha herramienta para revisar las características de sus asignaciones de frecuencias y reducir al mínimo el riesgo de recibir conclusiones desfavorables durante los exámenes de la Oficina.</w:t>
      </w:r>
    </w:p>
    <w:p w14:paraId="239CCD90" w14:textId="601684C7" w:rsidR="00194671" w:rsidRPr="00194671" w:rsidRDefault="00194671" w:rsidP="0045533B">
      <w:pPr>
        <w:rPr>
          <w:rFonts w:eastAsiaTheme="minorEastAsia"/>
          <w:szCs w:val="24"/>
          <w:lang w:val="es-ES_tradnl"/>
        </w:rPr>
      </w:pPr>
      <w:r w:rsidRPr="00194671">
        <w:rPr>
          <w:rFonts w:eastAsiaTheme="minorEastAsia"/>
          <w:szCs w:val="24"/>
          <w:lang w:val="es-ES_tradnl"/>
        </w:rPr>
        <w:t>En la siguiente dirección, encontrará información detallada y directrices sobre la herramienta e</w:t>
      </w:r>
      <w:r w:rsidR="00C87E56">
        <w:rPr>
          <w:rFonts w:eastAsiaTheme="minorEastAsia"/>
          <w:szCs w:val="24"/>
          <w:lang w:val="es-ES_tradnl"/>
        </w:rPr>
        <w:noBreakHyphen/>
      </w:r>
      <w:proofErr w:type="spellStart"/>
      <w:r w:rsidRPr="00194671">
        <w:rPr>
          <w:rFonts w:eastAsiaTheme="minorEastAsia"/>
          <w:szCs w:val="24"/>
          <w:lang w:val="es-ES_tradnl"/>
        </w:rPr>
        <w:t>Examination</w:t>
      </w:r>
      <w:proofErr w:type="spellEnd"/>
      <w:r w:rsidRPr="00194671">
        <w:rPr>
          <w:rFonts w:eastAsiaTheme="minorEastAsia"/>
          <w:szCs w:val="24"/>
          <w:lang w:val="es-ES_tradnl"/>
        </w:rPr>
        <w:t>:</w:t>
      </w:r>
    </w:p>
    <w:p w14:paraId="5186C4D5" w14:textId="77777777" w:rsidR="00194671" w:rsidRPr="00194671" w:rsidRDefault="004F5EB9" w:rsidP="00716E24">
      <w:pPr>
        <w:rPr>
          <w:rFonts w:eastAsiaTheme="minorEastAsia"/>
          <w:color w:val="0000FF"/>
          <w:szCs w:val="24"/>
          <w:u w:val="single"/>
          <w:lang w:val="es-ES_tradnl"/>
        </w:rPr>
      </w:pPr>
      <w:hyperlink r:id="rId9" w:history="1">
        <w:r w:rsidR="00194671" w:rsidRPr="00194671">
          <w:rPr>
            <w:rFonts w:eastAsiaTheme="minorEastAsia"/>
            <w:color w:val="0000FF"/>
            <w:szCs w:val="24"/>
            <w:u w:val="single"/>
            <w:lang w:val="es-ES_tradnl"/>
          </w:rPr>
          <w:t>https://www.itu.int/en/ITU-R/space/support/Pages/e-Examination-guide.aspx</w:t>
        </w:r>
      </w:hyperlink>
    </w:p>
    <w:p w14:paraId="3A3A1012" w14:textId="5BE280CE" w:rsidR="00194671" w:rsidRPr="00194671" w:rsidRDefault="00194671" w:rsidP="00C87E56">
      <w:pPr>
        <w:pStyle w:val="Headingb"/>
        <w:rPr>
          <w:rFonts w:eastAsiaTheme="minorEastAsia"/>
          <w:lang w:val="es-ES_tradnl"/>
        </w:rPr>
      </w:pPr>
      <w:r w:rsidRPr="00194671">
        <w:rPr>
          <w:rFonts w:eastAsiaTheme="minorEastAsia"/>
          <w:lang w:val="es-ES_tradnl"/>
        </w:rPr>
        <w:lastRenderedPageBreak/>
        <w:t xml:space="preserve">Fecha </w:t>
      </w:r>
      <w:r w:rsidRPr="0039655E">
        <w:rPr>
          <w:lang w:val="es-ES"/>
        </w:rPr>
        <w:t>efectiva</w:t>
      </w:r>
      <w:r w:rsidRPr="00194671">
        <w:rPr>
          <w:rFonts w:eastAsiaTheme="minorEastAsia"/>
          <w:lang w:val="es-ES_tradnl"/>
        </w:rPr>
        <w:t xml:space="preserve"> de aplicación del método de cálculo acorde a la Recomendación</w:t>
      </w:r>
      <w:r w:rsidR="00C87E56">
        <w:rPr>
          <w:rFonts w:eastAsiaTheme="minorEastAsia"/>
          <w:lang w:val="es-ES_tradnl"/>
        </w:rPr>
        <w:t xml:space="preserve"> </w:t>
      </w:r>
      <w:r w:rsidRPr="00194671">
        <w:rPr>
          <w:rFonts w:eastAsiaTheme="minorEastAsia"/>
          <w:lang w:val="es-ES_tradnl"/>
        </w:rPr>
        <w:t>UIT-R SF.675</w:t>
      </w:r>
    </w:p>
    <w:p w14:paraId="60876392" w14:textId="77777777" w:rsidR="00194671" w:rsidRPr="00194671" w:rsidRDefault="00194671" w:rsidP="0045533B">
      <w:pPr>
        <w:rPr>
          <w:rFonts w:eastAsia="SimSun"/>
          <w:szCs w:val="24"/>
          <w:lang w:val="es-ES_tradnl"/>
        </w:rPr>
      </w:pPr>
      <w:r w:rsidRPr="00194671">
        <w:rPr>
          <w:rFonts w:eastAsiaTheme="minorEastAsia"/>
          <w:szCs w:val="24"/>
          <w:lang w:val="es-ES_tradnl"/>
        </w:rPr>
        <w:t xml:space="preserve">Una vez adoptadas las medidas </w:t>
      </w:r>
      <w:r w:rsidRPr="00194671">
        <w:rPr>
          <w:rFonts w:eastAsiaTheme="minorEastAsia"/>
          <w:i/>
          <w:iCs/>
          <w:szCs w:val="24"/>
          <w:lang w:val="es-ES_tradnl"/>
        </w:rPr>
        <w:t xml:space="preserve">supra </w:t>
      </w:r>
      <w:r w:rsidRPr="00194671">
        <w:rPr>
          <w:rFonts w:eastAsiaTheme="minorEastAsia"/>
          <w:szCs w:val="24"/>
          <w:lang w:val="es-ES_tradnl"/>
        </w:rPr>
        <w:t xml:space="preserve">a fin de implementar paulatinamente el nuevo método de cálculo acorde a la </w:t>
      </w:r>
      <w:r w:rsidRPr="00194671">
        <w:rPr>
          <w:rFonts w:eastAsia="SimSun"/>
          <w:szCs w:val="24"/>
          <w:lang w:val="es-ES_tradnl"/>
        </w:rPr>
        <w:t>Recomendación UIT-R SF.675, la Oficina comenzará a aplicar este nuevo método a todas las asignaciones de frecuencias que reciba a partir del 1 de mayo de 2024.</w:t>
      </w:r>
    </w:p>
    <w:p w14:paraId="4503BA7F" w14:textId="77777777" w:rsidR="00194671" w:rsidRPr="00194671" w:rsidRDefault="00194671" w:rsidP="0045533B">
      <w:pPr>
        <w:rPr>
          <w:rFonts w:eastAsia="SimSun"/>
          <w:szCs w:val="24"/>
          <w:lang w:val="es-ES_tradnl"/>
        </w:rPr>
      </w:pPr>
      <w:r w:rsidRPr="00194671">
        <w:rPr>
          <w:rFonts w:eastAsia="SimSun"/>
          <w:szCs w:val="24"/>
          <w:lang w:val="es-ES_tradnl"/>
        </w:rPr>
        <w:t>El mismo método se aplicará a las asignaciones de frecuencias sujetas a coordinación que se reciban para notificación a partir del 1 de mayo de 2024, incluso aunque las asignaciones en cuestión se hayan presentado para coordinación antes de esa fecha.</w:t>
      </w:r>
    </w:p>
    <w:p w14:paraId="3B16678A" w14:textId="77777777" w:rsidR="00194671" w:rsidRPr="00194671" w:rsidRDefault="00194671" w:rsidP="0045533B">
      <w:pPr>
        <w:rPr>
          <w:rFonts w:asciiTheme="minorHAnsi" w:eastAsia="SimSun" w:hAnsiTheme="minorHAnsi" w:cstheme="minorHAnsi"/>
          <w:szCs w:val="24"/>
          <w:lang w:val="es-ES_tradnl" w:eastAsia="zh-CN"/>
        </w:rPr>
      </w:pPr>
      <w:r w:rsidRPr="00194671">
        <w:rPr>
          <w:rFonts w:eastAsia="SimSun"/>
          <w:szCs w:val="24"/>
          <w:lang w:val="es-ES_tradnl"/>
        </w:rPr>
        <w:t>El examen reglamentario</w:t>
      </w:r>
      <w:r w:rsidRPr="00194671">
        <w:rPr>
          <w:rFonts w:asciiTheme="minorHAnsi" w:eastAsia="SimSun" w:hAnsiTheme="minorHAnsi" w:cstheme="minorHAnsi"/>
          <w:szCs w:val="24"/>
          <w:lang w:val="es-ES_tradnl" w:eastAsia="zh-CN"/>
        </w:rPr>
        <w:t xml:space="preserve"> de todas las asignaciones de frecuencias recibidas antes del 1 de mayo de 2024 se llevará a cabo utilizando el tradicional método del Anexo 1.</w:t>
      </w:r>
    </w:p>
    <w:p w14:paraId="658EE4F5" w14:textId="77777777" w:rsidR="00194671" w:rsidRPr="00194671" w:rsidRDefault="00194671" w:rsidP="00C87E56">
      <w:pPr>
        <w:pStyle w:val="Headingb"/>
        <w:rPr>
          <w:rFonts w:eastAsiaTheme="minorEastAsia"/>
          <w:lang w:val="es-ES_tradnl"/>
        </w:rPr>
      </w:pPr>
      <w:r w:rsidRPr="00194671">
        <w:rPr>
          <w:rFonts w:eastAsiaTheme="minorEastAsia"/>
          <w:lang w:val="es-ES_tradnl"/>
        </w:rPr>
        <w:t xml:space="preserve">Asistencia y </w:t>
      </w:r>
      <w:r w:rsidRPr="00194671">
        <w:rPr>
          <w:rFonts w:eastAsiaTheme="minorEastAsia"/>
          <w:lang w:val="es-ES"/>
        </w:rPr>
        <w:t>contacto</w:t>
      </w:r>
    </w:p>
    <w:p w14:paraId="35F28450" w14:textId="35CC59A9" w:rsidR="00194671" w:rsidRPr="00194671" w:rsidRDefault="00194671" w:rsidP="0045533B">
      <w:pPr>
        <w:rPr>
          <w:rFonts w:eastAsia="SimSun"/>
          <w:szCs w:val="24"/>
          <w:lang w:val="es-ES_tradnl"/>
        </w:rPr>
      </w:pPr>
      <w:r w:rsidRPr="00194671">
        <w:rPr>
          <w:rFonts w:eastAsiaTheme="minorEastAsia"/>
          <w:szCs w:val="24"/>
          <w:lang w:val="es-ES_tradnl"/>
        </w:rPr>
        <w:t xml:space="preserve">La Oficina queda a su </w:t>
      </w:r>
      <w:r w:rsidRPr="00194671">
        <w:rPr>
          <w:rFonts w:eastAsia="SimSun"/>
          <w:szCs w:val="24"/>
          <w:lang w:val="es-ES_tradnl"/>
        </w:rPr>
        <w:t xml:space="preserve">disposición, a través de la dirección </w:t>
      </w:r>
      <w:hyperlink r:id="rId10" w:history="1">
        <w:r w:rsidR="00C87E56" w:rsidRPr="00194671">
          <w:rPr>
            <w:rStyle w:val="Hyperlink"/>
            <w:rFonts w:eastAsia="SimSun"/>
            <w:szCs w:val="24"/>
            <w:lang w:val="es-ES_tradnl"/>
          </w:rPr>
          <w:t>brmail@itu.in</w:t>
        </w:r>
        <w:r w:rsidR="00C87E56" w:rsidRPr="00185B59">
          <w:rPr>
            <w:rStyle w:val="Hyperlink"/>
            <w:rFonts w:eastAsia="SimSun"/>
            <w:szCs w:val="24"/>
            <w:lang w:val="es-ES_tradnl"/>
          </w:rPr>
          <w:t xml:space="preserve">t </w:t>
        </w:r>
      </w:hyperlink>
      <w:r w:rsidRPr="00194671">
        <w:rPr>
          <w:rFonts w:eastAsia="SimSun"/>
          <w:szCs w:val="24"/>
          <w:lang w:val="es-ES_tradnl"/>
        </w:rPr>
        <w:t>para cualquier aclaración o asistencia que pueda necesitar respecto de los asuntos tratados en la presente Carta Circular.</w:t>
      </w:r>
    </w:p>
    <w:p w14:paraId="33CACDD3" w14:textId="77777777" w:rsidR="00194671" w:rsidRPr="00194671" w:rsidRDefault="00194671" w:rsidP="0045533B">
      <w:pPr>
        <w:rPr>
          <w:rFonts w:asciiTheme="minorHAnsi" w:eastAsiaTheme="minorEastAsia" w:hAnsiTheme="minorHAnsi" w:cstheme="majorBidi"/>
          <w:szCs w:val="24"/>
          <w:lang w:val="es-ES_tradnl"/>
        </w:rPr>
      </w:pPr>
      <w:r w:rsidRPr="00194671">
        <w:rPr>
          <w:rFonts w:eastAsia="SimSun"/>
          <w:szCs w:val="24"/>
          <w:lang w:val="es-ES_tradnl"/>
        </w:rPr>
        <w:t>Para toda cuestión rela</w:t>
      </w:r>
      <w:r w:rsidRPr="00194671">
        <w:rPr>
          <w:rFonts w:asciiTheme="minorHAnsi" w:eastAsiaTheme="minorEastAsia" w:hAnsiTheme="minorHAnsi" w:cstheme="majorBidi"/>
          <w:szCs w:val="24"/>
          <w:lang w:val="es-ES_tradnl"/>
        </w:rPr>
        <w:t xml:space="preserve">cionada con el software GIBC, le rogamos se dirija a </w:t>
      </w:r>
      <w:r w:rsidRPr="00194671">
        <w:rPr>
          <w:rFonts w:eastAsiaTheme="minorEastAsia"/>
          <w:color w:val="0000FF"/>
          <w:szCs w:val="24"/>
          <w:u w:val="single"/>
          <w:lang w:val="es-ES_tradnl"/>
        </w:rPr>
        <w:t>brsas@itu.int</w:t>
      </w:r>
      <w:r w:rsidRPr="00194671">
        <w:rPr>
          <w:rFonts w:eastAsiaTheme="minorEastAsia"/>
          <w:szCs w:val="24"/>
          <w:lang w:val="es-ES_tradnl"/>
        </w:rPr>
        <w:t>.</w:t>
      </w:r>
    </w:p>
    <w:p w14:paraId="54B1A236" w14:textId="032618CE" w:rsidR="00194671" w:rsidRPr="00194671" w:rsidRDefault="00194671" w:rsidP="0043603F">
      <w:pPr>
        <w:spacing w:before="1200"/>
        <w:jc w:val="left"/>
        <w:rPr>
          <w:rFonts w:eastAsiaTheme="majorEastAsia"/>
          <w:lang w:val="es-ES_tradnl"/>
        </w:rPr>
      </w:pPr>
      <w:r w:rsidRPr="00194671">
        <w:rPr>
          <w:rFonts w:eastAsiaTheme="majorEastAsia"/>
          <w:lang w:val="es-ES_tradnl"/>
        </w:rPr>
        <w:t>Mario Maniewicz</w:t>
      </w:r>
      <w:r w:rsidR="00716E24">
        <w:rPr>
          <w:rFonts w:eastAsiaTheme="majorEastAsia"/>
          <w:lang w:val="es-ES_tradnl"/>
        </w:rPr>
        <w:br/>
      </w:r>
      <w:proofErr w:type="gramStart"/>
      <w:r w:rsidRPr="00194671">
        <w:rPr>
          <w:rFonts w:eastAsiaTheme="majorEastAsia"/>
          <w:lang w:val="es-ES_tradnl"/>
        </w:rPr>
        <w:t>Director</w:t>
      </w:r>
      <w:proofErr w:type="gramEnd"/>
    </w:p>
    <w:p w14:paraId="4383B3B5" w14:textId="77777777" w:rsidR="00194671" w:rsidRPr="00194671" w:rsidRDefault="00194671" w:rsidP="0043603F">
      <w:pPr>
        <w:tabs>
          <w:tab w:val="clear" w:pos="794"/>
          <w:tab w:val="clear" w:pos="1191"/>
          <w:tab w:val="clear" w:pos="1588"/>
          <w:tab w:val="clear" w:pos="1985"/>
          <w:tab w:val="left" w:pos="0"/>
        </w:tabs>
        <w:spacing w:before="2400" w:line="240" w:lineRule="auto"/>
        <w:jc w:val="lowKashida"/>
        <w:rPr>
          <w:rFonts w:asciiTheme="minorHAnsi" w:eastAsiaTheme="majorEastAsia" w:hAnsiTheme="minorHAnsi" w:cstheme="minorHAnsi"/>
          <w:szCs w:val="24"/>
          <w:lang w:val="es-ES_tradnl"/>
        </w:rPr>
      </w:pPr>
      <w:r w:rsidRPr="00194671">
        <w:rPr>
          <w:rFonts w:asciiTheme="minorHAnsi" w:eastAsiaTheme="majorEastAsia" w:hAnsiTheme="minorHAnsi" w:cstheme="minorHAnsi"/>
          <w:szCs w:val="24"/>
          <w:lang w:val="es-ES_tradnl"/>
        </w:rPr>
        <w:t>Adjunto: Anexo 1</w:t>
      </w:r>
    </w:p>
    <w:p w14:paraId="16B320C0" w14:textId="77777777" w:rsidR="00194671" w:rsidRPr="00194671" w:rsidRDefault="00194671" w:rsidP="0043603F">
      <w:pPr>
        <w:keepLines/>
        <w:tabs>
          <w:tab w:val="clear" w:pos="794"/>
          <w:tab w:val="clear" w:pos="1191"/>
          <w:tab w:val="clear" w:pos="1588"/>
          <w:tab w:val="clear" w:pos="1985"/>
          <w:tab w:val="right" w:pos="9639"/>
        </w:tabs>
        <w:spacing w:before="3120" w:after="120"/>
        <w:jc w:val="lowKashida"/>
        <w:rPr>
          <w:rFonts w:asciiTheme="minorHAnsi" w:eastAsiaTheme="majorEastAsia" w:hAnsiTheme="minorHAnsi" w:cstheme="minorHAnsi"/>
          <w:b/>
          <w:bCs/>
          <w:sz w:val="18"/>
          <w:szCs w:val="18"/>
          <w:u w:val="single"/>
          <w:lang w:val="es-ES_tradnl"/>
        </w:rPr>
      </w:pPr>
      <w:r w:rsidRPr="00194671">
        <w:rPr>
          <w:rFonts w:asciiTheme="minorHAnsi" w:eastAsiaTheme="majorEastAsia" w:hAnsiTheme="minorHAnsi" w:cstheme="minorHAnsi"/>
          <w:b/>
          <w:bCs/>
          <w:sz w:val="18"/>
          <w:szCs w:val="18"/>
          <w:u w:val="single"/>
          <w:lang w:val="es-ES_tradnl"/>
        </w:rPr>
        <w:t>Distribución:</w:t>
      </w:r>
    </w:p>
    <w:p w14:paraId="70FC16C0" w14:textId="77777777" w:rsidR="00194671" w:rsidRPr="00194671" w:rsidRDefault="00194671" w:rsidP="00194671">
      <w:pPr>
        <w:numPr>
          <w:ilvl w:val="0"/>
          <w:numId w:val="3"/>
        </w:numPr>
        <w:tabs>
          <w:tab w:val="clear" w:pos="794"/>
          <w:tab w:val="clear" w:pos="1191"/>
          <w:tab w:val="clear" w:pos="1588"/>
          <w:tab w:val="clear" w:pos="1985"/>
        </w:tabs>
        <w:spacing w:before="100" w:beforeAutospacing="1" w:line="240" w:lineRule="auto"/>
        <w:ind w:left="284" w:hanging="284"/>
        <w:jc w:val="lowKashida"/>
        <w:rPr>
          <w:rFonts w:asciiTheme="minorHAnsi" w:eastAsiaTheme="majorEastAsia" w:hAnsiTheme="minorHAnsi" w:cstheme="minorHAnsi"/>
          <w:sz w:val="18"/>
          <w:szCs w:val="18"/>
          <w:lang w:val="es-ES_tradnl"/>
        </w:rPr>
      </w:pPr>
      <w:r w:rsidRPr="00194671">
        <w:rPr>
          <w:rFonts w:asciiTheme="minorHAnsi" w:eastAsiaTheme="majorEastAsia" w:hAnsiTheme="minorHAnsi" w:cstheme="minorHAnsi"/>
          <w:sz w:val="18"/>
          <w:szCs w:val="18"/>
          <w:lang w:val="es-ES_tradnl"/>
        </w:rPr>
        <w:t>Administraciones de los Estados Miembros de la UIT</w:t>
      </w:r>
    </w:p>
    <w:p w14:paraId="1201BC03" w14:textId="77777777" w:rsidR="00194671" w:rsidRPr="00194671" w:rsidRDefault="00194671" w:rsidP="00194671">
      <w:pPr>
        <w:numPr>
          <w:ilvl w:val="0"/>
          <w:numId w:val="3"/>
        </w:numPr>
        <w:tabs>
          <w:tab w:val="clear" w:pos="794"/>
          <w:tab w:val="clear" w:pos="1191"/>
          <w:tab w:val="clear" w:pos="1588"/>
          <w:tab w:val="clear" w:pos="1985"/>
          <w:tab w:val="left" w:pos="0"/>
          <w:tab w:val="left" w:pos="900"/>
        </w:tabs>
        <w:spacing w:before="0" w:beforeAutospacing="1" w:after="120" w:line="240" w:lineRule="auto"/>
        <w:ind w:left="284" w:hanging="284"/>
        <w:jc w:val="lowKashida"/>
        <w:rPr>
          <w:sz w:val="18"/>
          <w:szCs w:val="18"/>
          <w:lang w:val="es-ES_tradnl"/>
        </w:rPr>
      </w:pPr>
      <w:r w:rsidRPr="00194671">
        <w:rPr>
          <w:rFonts w:asciiTheme="minorHAnsi" w:eastAsiaTheme="majorEastAsia" w:hAnsiTheme="minorHAnsi" w:cstheme="minorHAnsi"/>
          <w:sz w:val="18"/>
          <w:szCs w:val="18"/>
          <w:lang w:val="es-ES_tradnl"/>
        </w:rPr>
        <w:t>Miembros de la Junta del Reglamento de Radiocomunicaciones</w:t>
      </w:r>
    </w:p>
    <w:p w14:paraId="67968718" w14:textId="77777777" w:rsidR="00194671" w:rsidRPr="00194671" w:rsidRDefault="00194671" w:rsidP="00194671">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Theme="majorEastAsia" w:hAnsiTheme="minorHAnsi" w:cstheme="minorHAnsi"/>
          <w:sz w:val="18"/>
          <w:szCs w:val="18"/>
          <w:lang w:val="es-ES_tradnl"/>
        </w:rPr>
      </w:pPr>
      <w:r w:rsidRPr="00194671">
        <w:rPr>
          <w:rFonts w:asciiTheme="minorHAnsi" w:eastAsiaTheme="majorEastAsia" w:hAnsiTheme="minorHAnsi" w:cstheme="minorHAnsi"/>
          <w:sz w:val="18"/>
          <w:szCs w:val="18"/>
          <w:lang w:val="es-ES_tradnl"/>
        </w:rPr>
        <w:br w:type="page"/>
      </w:r>
    </w:p>
    <w:p w14:paraId="1415E3C4" w14:textId="345A4554" w:rsidR="00194671" w:rsidRPr="00194671" w:rsidRDefault="00194671" w:rsidP="00716E24">
      <w:pPr>
        <w:pStyle w:val="AnnexNoTitle"/>
        <w:rPr>
          <w:lang w:val="es-ES_tradnl"/>
        </w:rPr>
      </w:pPr>
      <w:r w:rsidRPr="003E06F6">
        <w:rPr>
          <w:sz w:val="28"/>
          <w:szCs w:val="28"/>
          <w:lang w:val="es-ES_tradnl"/>
        </w:rPr>
        <w:lastRenderedPageBreak/>
        <w:t>ANEXO 1</w:t>
      </w:r>
      <w:r w:rsidR="00716E24">
        <w:rPr>
          <w:lang w:val="es-ES_tradnl"/>
        </w:rPr>
        <w:br/>
      </w:r>
      <w:r w:rsidR="00716E24">
        <w:rPr>
          <w:lang w:val="es-ES_tradnl"/>
        </w:rPr>
        <w:br/>
      </w:r>
      <w:r w:rsidRPr="004F5EB9">
        <w:rPr>
          <w:sz w:val="28"/>
          <w:szCs w:val="28"/>
          <w:lang w:val="es-ES_tradnl"/>
        </w:rPr>
        <w:t>Método para derivar los valores de potencia de transmisión conforme</w:t>
      </w:r>
      <w:r w:rsidR="00716E24" w:rsidRPr="004F5EB9">
        <w:rPr>
          <w:sz w:val="28"/>
          <w:szCs w:val="28"/>
          <w:lang w:val="es-ES_tradnl"/>
        </w:rPr>
        <w:br/>
      </w:r>
      <w:r w:rsidRPr="004F5EB9">
        <w:rPr>
          <w:sz w:val="28"/>
          <w:szCs w:val="28"/>
          <w:lang w:val="es-ES_tradnl"/>
        </w:rPr>
        <w:t>a la Recomendación UIT-R SF.675</w:t>
      </w:r>
    </w:p>
    <w:p w14:paraId="26CF97FE" w14:textId="77777777" w:rsidR="00194671" w:rsidRPr="00194671" w:rsidRDefault="00194671" w:rsidP="0045533B">
      <w:pPr>
        <w:pStyle w:val="Headingb"/>
        <w:rPr>
          <w:rFonts w:eastAsiaTheme="minorEastAsia"/>
          <w:szCs w:val="24"/>
          <w:lang w:val="es-ES_tradnl"/>
        </w:rPr>
      </w:pPr>
      <w:r w:rsidRPr="00194671">
        <w:rPr>
          <w:rFonts w:eastAsiaTheme="minorEastAsia"/>
          <w:lang w:val="es-ES"/>
        </w:rPr>
        <w:t>Introducción</w:t>
      </w:r>
    </w:p>
    <w:p w14:paraId="0506B12F" w14:textId="77777777" w:rsidR="00194671" w:rsidRPr="00194671" w:rsidRDefault="00194671" w:rsidP="0045533B">
      <w:pPr>
        <w:rPr>
          <w:rFonts w:eastAsiaTheme="minorEastAsia"/>
          <w:szCs w:val="24"/>
          <w:lang w:val="es-ES_tradnl"/>
        </w:rPr>
      </w:pPr>
      <w:r w:rsidRPr="00194671">
        <w:rPr>
          <w:rFonts w:eastAsiaTheme="minorEastAsia"/>
          <w:szCs w:val="24"/>
          <w:lang w:val="es-ES_tradnl"/>
        </w:rPr>
        <w:t xml:space="preserve">El método que figura a continuación permite derivar los valores de potencia de transmisión de conformidad </w:t>
      </w:r>
      <w:r w:rsidRPr="00194671">
        <w:rPr>
          <w:rFonts w:asciiTheme="minorHAnsi" w:eastAsiaTheme="minorEastAsia" w:hAnsiTheme="minorHAnsi" w:cstheme="minorHAnsi"/>
          <w:szCs w:val="24"/>
          <w:lang w:val="es-ES_tradnl"/>
        </w:rPr>
        <w:t>con la Recomendación UIT-R SF.675, partiendo d</w:t>
      </w:r>
      <w:r w:rsidRPr="00194671">
        <w:rPr>
          <w:rFonts w:eastAsiaTheme="minorEastAsia"/>
          <w:szCs w:val="24"/>
          <w:lang w:val="es-ES_tradnl"/>
        </w:rPr>
        <w:t>el ancho de banda de referencia y las características de la emisión.</w:t>
      </w:r>
    </w:p>
    <w:p w14:paraId="6CC81D9B" w14:textId="77777777" w:rsidR="00194671" w:rsidRPr="00194671" w:rsidRDefault="00194671" w:rsidP="0045533B">
      <w:pPr>
        <w:pStyle w:val="Headingb"/>
        <w:rPr>
          <w:rFonts w:eastAsiaTheme="minorEastAsia"/>
          <w:szCs w:val="24"/>
          <w:lang w:val="es-ES_tradnl"/>
        </w:rPr>
      </w:pPr>
      <w:r w:rsidRPr="00194671">
        <w:rPr>
          <w:rFonts w:eastAsiaTheme="minorEastAsia"/>
          <w:lang w:val="es-ES"/>
        </w:rPr>
        <w:t>Requisitos</w:t>
      </w:r>
    </w:p>
    <w:p w14:paraId="5424B2BA" w14:textId="77777777" w:rsidR="00194671" w:rsidRPr="00194671" w:rsidRDefault="00194671" w:rsidP="00C87E56">
      <w:pPr>
        <w:spacing w:after="120"/>
        <w:rPr>
          <w:rFonts w:eastAsiaTheme="minorEastAsia"/>
          <w:szCs w:val="24"/>
          <w:lang w:val="es-ES_tradnl"/>
        </w:rPr>
      </w:pPr>
      <w:r w:rsidRPr="00194671">
        <w:rPr>
          <w:rFonts w:eastAsiaTheme="minorEastAsia"/>
          <w:szCs w:val="24"/>
          <w:lang w:val="es-ES_tradnl"/>
        </w:rPr>
        <w:t xml:space="preserve">Los siguientes </w:t>
      </w:r>
      <w:r w:rsidRPr="00194671">
        <w:rPr>
          <w:rFonts w:eastAsia="SimSun"/>
          <w:szCs w:val="24"/>
          <w:lang w:val="es-ES_tradnl"/>
        </w:rPr>
        <w:t>elementos</w:t>
      </w:r>
      <w:r w:rsidRPr="00194671">
        <w:rPr>
          <w:rFonts w:eastAsiaTheme="minorEastAsia"/>
          <w:szCs w:val="24"/>
          <w:lang w:val="es-ES_tradnl"/>
        </w:rPr>
        <w:t xml:space="preserve"> se utilizan para las descripciones del presente Anexo.</w:t>
      </w:r>
    </w:p>
    <w:tbl>
      <w:tblPr>
        <w:tblStyle w:val="TableGrid1"/>
        <w:tblW w:w="9951" w:type="dxa"/>
        <w:tblLook w:val="04A0" w:firstRow="1" w:lastRow="0" w:firstColumn="1" w:lastColumn="0" w:noHBand="0" w:noVBand="1"/>
      </w:tblPr>
      <w:tblGrid>
        <w:gridCol w:w="3114"/>
        <w:gridCol w:w="2268"/>
        <w:gridCol w:w="2126"/>
        <w:gridCol w:w="2443"/>
      </w:tblGrid>
      <w:tr w:rsidR="00194671" w:rsidRPr="003E06F6" w14:paraId="3DD81A3D" w14:textId="77777777" w:rsidTr="00955369">
        <w:tc>
          <w:tcPr>
            <w:tcW w:w="3114" w:type="dxa"/>
          </w:tcPr>
          <w:p w14:paraId="7B2CFE17" w14:textId="77777777" w:rsidR="00194671" w:rsidRPr="003E06F6" w:rsidRDefault="00194671" w:rsidP="00716E24">
            <w:pPr>
              <w:pStyle w:val="Tablehead"/>
              <w:rPr>
                <w:sz w:val="24"/>
                <w:szCs w:val="24"/>
                <w:lang w:val="es-ES_tradnl"/>
              </w:rPr>
            </w:pPr>
            <w:r w:rsidRPr="003E06F6">
              <w:rPr>
                <w:sz w:val="24"/>
                <w:szCs w:val="24"/>
                <w:lang w:val="es-ES_tradnl"/>
              </w:rPr>
              <w:t>Parámetro</w:t>
            </w:r>
          </w:p>
        </w:tc>
        <w:tc>
          <w:tcPr>
            <w:tcW w:w="2268" w:type="dxa"/>
          </w:tcPr>
          <w:p w14:paraId="081CA1A2" w14:textId="26FA45B6" w:rsidR="00194671" w:rsidRPr="003E06F6" w:rsidRDefault="00194671" w:rsidP="00716E24">
            <w:pPr>
              <w:pStyle w:val="Tablehead"/>
              <w:rPr>
                <w:sz w:val="24"/>
                <w:szCs w:val="24"/>
                <w:lang w:val="es-ES_tradnl"/>
              </w:rPr>
            </w:pPr>
            <w:r w:rsidRPr="003E06F6">
              <w:rPr>
                <w:sz w:val="24"/>
                <w:szCs w:val="24"/>
                <w:lang w:val="es-ES_tradnl"/>
              </w:rPr>
              <w:t>Elemento del Apéndice</w:t>
            </w:r>
            <w:r w:rsidR="00C87E56" w:rsidRPr="003E06F6">
              <w:rPr>
                <w:sz w:val="24"/>
                <w:szCs w:val="24"/>
                <w:lang w:val="es-ES_tradnl"/>
              </w:rPr>
              <w:t> </w:t>
            </w:r>
            <w:r w:rsidRPr="003E06F6">
              <w:rPr>
                <w:sz w:val="24"/>
                <w:szCs w:val="24"/>
                <w:lang w:val="es-ES_tradnl"/>
              </w:rPr>
              <w:t>4 del RR</w:t>
            </w:r>
          </w:p>
        </w:tc>
        <w:tc>
          <w:tcPr>
            <w:tcW w:w="2126" w:type="dxa"/>
          </w:tcPr>
          <w:p w14:paraId="4D717F45" w14:textId="4457C0A3" w:rsidR="00194671" w:rsidRPr="003E06F6" w:rsidRDefault="00194671" w:rsidP="00716E24">
            <w:pPr>
              <w:pStyle w:val="Tablehead"/>
              <w:rPr>
                <w:sz w:val="24"/>
                <w:szCs w:val="24"/>
                <w:lang w:val="es-ES_tradnl"/>
              </w:rPr>
            </w:pPr>
            <w:r w:rsidRPr="003E06F6">
              <w:rPr>
                <w:sz w:val="24"/>
                <w:szCs w:val="24"/>
                <w:lang w:val="es-ES_tradnl"/>
              </w:rPr>
              <w:t>Nombre del campo en la base de datos SNS según se define en el Prefacio de la BR</w:t>
            </w:r>
            <w:r w:rsidR="00C87E56" w:rsidRPr="003E06F6">
              <w:rPr>
                <w:sz w:val="24"/>
                <w:szCs w:val="24"/>
                <w:lang w:val="es-ES_tradnl"/>
              </w:rPr>
              <w:t> </w:t>
            </w:r>
            <w:r w:rsidRPr="003E06F6">
              <w:rPr>
                <w:sz w:val="24"/>
                <w:szCs w:val="24"/>
                <w:lang w:val="es-ES_tradnl"/>
              </w:rPr>
              <w:t>IFIC (Servicios espaciales)</w:t>
            </w:r>
          </w:p>
        </w:tc>
        <w:tc>
          <w:tcPr>
            <w:tcW w:w="2443" w:type="dxa"/>
          </w:tcPr>
          <w:p w14:paraId="162C557B" w14:textId="77777777" w:rsidR="00194671" w:rsidRPr="003E06F6" w:rsidRDefault="00194671" w:rsidP="00716E24">
            <w:pPr>
              <w:pStyle w:val="Tablehead"/>
              <w:rPr>
                <w:sz w:val="24"/>
                <w:szCs w:val="24"/>
                <w:lang w:val="es-ES_tradnl"/>
              </w:rPr>
            </w:pPr>
            <w:r w:rsidRPr="003E06F6">
              <w:rPr>
                <w:sz w:val="24"/>
                <w:szCs w:val="24"/>
                <w:lang w:val="es-ES_tradnl"/>
              </w:rPr>
              <w:t>Notación en las fórmulas</w:t>
            </w:r>
          </w:p>
        </w:tc>
      </w:tr>
      <w:tr w:rsidR="00194671" w:rsidRPr="003E06F6" w14:paraId="6A8F7D25" w14:textId="77777777" w:rsidTr="00955369">
        <w:tc>
          <w:tcPr>
            <w:tcW w:w="3114" w:type="dxa"/>
          </w:tcPr>
          <w:p w14:paraId="267365BC" w14:textId="77777777" w:rsidR="00194671" w:rsidRPr="003E06F6" w:rsidRDefault="00194671" w:rsidP="00716E24">
            <w:pPr>
              <w:pStyle w:val="Tabletext"/>
              <w:rPr>
                <w:sz w:val="24"/>
                <w:szCs w:val="24"/>
                <w:lang w:val="es-ES_tradnl"/>
              </w:rPr>
            </w:pPr>
            <w:r w:rsidRPr="003E06F6">
              <w:rPr>
                <w:sz w:val="24"/>
                <w:szCs w:val="24"/>
                <w:lang w:val="es-ES_tradnl"/>
              </w:rPr>
              <w:t xml:space="preserve">Máxima densidad espectral de potencia de emisión, </w:t>
            </w:r>
            <w:proofErr w:type="spellStart"/>
            <w:r w:rsidRPr="003E06F6">
              <w:rPr>
                <w:sz w:val="24"/>
                <w:szCs w:val="24"/>
                <w:lang w:val="es-ES_tradnl"/>
              </w:rPr>
              <w:t>dBW</w:t>
            </w:r>
            <w:proofErr w:type="spellEnd"/>
            <w:r w:rsidRPr="003E06F6">
              <w:rPr>
                <w:sz w:val="24"/>
                <w:szCs w:val="24"/>
                <w:lang w:val="es-ES_tradnl"/>
              </w:rPr>
              <w:t>/Hz</w:t>
            </w:r>
          </w:p>
        </w:tc>
        <w:tc>
          <w:tcPr>
            <w:tcW w:w="2268" w:type="dxa"/>
          </w:tcPr>
          <w:p w14:paraId="3412B364" w14:textId="77777777" w:rsidR="00194671" w:rsidRPr="003E06F6" w:rsidRDefault="00194671" w:rsidP="00C87E56">
            <w:pPr>
              <w:pStyle w:val="Tabletext"/>
              <w:jc w:val="center"/>
              <w:rPr>
                <w:sz w:val="24"/>
                <w:szCs w:val="24"/>
                <w:lang w:val="es-ES_tradnl"/>
              </w:rPr>
            </w:pPr>
            <w:r w:rsidRPr="003E06F6">
              <w:rPr>
                <w:sz w:val="24"/>
                <w:szCs w:val="24"/>
                <w:lang w:val="es-ES_tradnl"/>
              </w:rPr>
              <w:t>C.</w:t>
            </w:r>
            <w:proofErr w:type="gramStart"/>
            <w:r w:rsidRPr="003E06F6">
              <w:rPr>
                <w:sz w:val="24"/>
                <w:szCs w:val="24"/>
                <w:lang w:val="es-ES_tradnl"/>
              </w:rPr>
              <w:t>8.b.3.b</w:t>
            </w:r>
            <w:proofErr w:type="gramEnd"/>
          </w:p>
        </w:tc>
        <w:tc>
          <w:tcPr>
            <w:tcW w:w="2126" w:type="dxa"/>
          </w:tcPr>
          <w:p w14:paraId="4C78D1DA" w14:textId="77777777" w:rsidR="00194671" w:rsidRPr="003E06F6" w:rsidRDefault="00194671" w:rsidP="00C87E56">
            <w:pPr>
              <w:pStyle w:val="Tabletext"/>
              <w:jc w:val="center"/>
              <w:rPr>
                <w:i/>
                <w:iCs/>
                <w:sz w:val="24"/>
                <w:szCs w:val="24"/>
                <w:lang w:val="es-ES_tradnl"/>
              </w:rPr>
            </w:pPr>
            <w:proofErr w:type="spellStart"/>
            <w:r w:rsidRPr="003E06F6">
              <w:rPr>
                <w:i/>
                <w:iCs/>
                <w:sz w:val="24"/>
                <w:szCs w:val="24"/>
                <w:lang w:val="es-ES_tradnl"/>
              </w:rPr>
              <w:t>pwr_ds_max</w:t>
            </w:r>
            <w:proofErr w:type="spellEnd"/>
          </w:p>
        </w:tc>
        <w:tc>
          <w:tcPr>
            <w:tcW w:w="2443" w:type="dxa"/>
          </w:tcPr>
          <w:p w14:paraId="52177FD2" w14:textId="77777777" w:rsidR="00194671" w:rsidRPr="003E06F6" w:rsidRDefault="0043603F" w:rsidP="00C87E56">
            <w:pPr>
              <w:pStyle w:val="Tabletext"/>
              <w:jc w:val="center"/>
              <w:rPr>
                <w:sz w:val="24"/>
                <w:szCs w:val="24"/>
                <w:lang w:val="es-ES_tradnl"/>
              </w:rPr>
            </w:pPr>
            <m:oMathPara>
              <m:oMath>
                <m:sSub>
                  <m:sSubPr>
                    <m:ctrlPr>
                      <w:rPr>
                        <w:rFonts w:ascii="Cambria Math" w:hAnsi="Cambria Math"/>
                        <w:i/>
                        <w:sz w:val="24"/>
                        <w:szCs w:val="24"/>
                        <w:lang w:val="es-ES_tradnl"/>
                      </w:rPr>
                    </m:ctrlPr>
                  </m:sSubPr>
                  <m:e>
                    <m:r>
                      <w:rPr>
                        <w:rFonts w:ascii="Cambria Math" w:hAnsi="Cambria Math"/>
                        <w:sz w:val="24"/>
                        <w:szCs w:val="24"/>
                        <w:lang w:val="es-ES_tradnl"/>
                      </w:rPr>
                      <m:t>PSD</m:t>
                    </m:r>
                  </m:e>
                  <m:sub>
                    <m:r>
                      <w:rPr>
                        <w:rFonts w:ascii="Cambria Math" w:hAnsi="Cambria Math"/>
                        <w:sz w:val="24"/>
                        <w:szCs w:val="24"/>
                        <w:lang w:val="es-ES_tradnl"/>
                      </w:rPr>
                      <m:t>max</m:t>
                    </m:r>
                  </m:sub>
                </m:sSub>
              </m:oMath>
            </m:oMathPara>
          </w:p>
        </w:tc>
      </w:tr>
      <w:tr w:rsidR="00194671" w:rsidRPr="003E06F6" w14:paraId="1E5B97B2" w14:textId="77777777" w:rsidTr="00955369">
        <w:tc>
          <w:tcPr>
            <w:tcW w:w="3114" w:type="dxa"/>
          </w:tcPr>
          <w:p w14:paraId="1DC0D6D3" w14:textId="77777777" w:rsidR="00194671" w:rsidRPr="003E06F6" w:rsidRDefault="00194671" w:rsidP="00716E24">
            <w:pPr>
              <w:pStyle w:val="Tabletext"/>
              <w:rPr>
                <w:sz w:val="24"/>
                <w:szCs w:val="24"/>
                <w:lang w:val="es-ES_tradnl"/>
              </w:rPr>
            </w:pPr>
            <w:r w:rsidRPr="003E06F6">
              <w:rPr>
                <w:sz w:val="24"/>
                <w:szCs w:val="24"/>
                <w:lang w:val="es-ES_tradnl"/>
              </w:rPr>
              <w:t xml:space="preserve">Máxima potencia de cresta de emisión, </w:t>
            </w:r>
            <w:proofErr w:type="spellStart"/>
            <w:r w:rsidRPr="003E06F6">
              <w:rPr>
                <w:sz w:val="24"/>
                <w:szCs w:val="24"/>
                <w:lang w:val="es-ES_tradnl"/>
              </w:rPr>
              <w:t>dBW</w:t>
            </w:r>
            <w:proofErr w:type="spellEnd"/>
          </w:p>
        </w:tc>
        <w:tc>
          <w:tcPr>
            <w:tcW w:w="2268" w:type="dxa"/>
          </w:tcPr>
          <w:p w14:paraId="09FE2317" w14:textId="77777777" w:rsidR="00194671" w:rsidRPr="003E06F6" w:rsidRDefault="00194671" w:rsidP="00C87E56">
            <w:pPr>
              <w:pStyle w:val="Tabletext"/>
              <w:jc w:val="center"/>
              <w:rPr>
                <w:sz w:val="24"/>
                <w:szCs w:val="24"/>
                <w:lang w:val="es-ES_tradnl"/>
              </w:rPr>
            </w:pPr>
            <w:r w:rsidRPr="003E06F6">
              <w:rPr>
                <w:sz w:val="24"/>
                <w:szCs w:val="24"/>
                <w:lang w:val="es-ES_tradnl"/>
              </w:rPr>
              <w:t>C.8.b.3.a</w:t>
            </w:r>
          </w:p>
        </w:tc>
        <w:tc>
          <w:tcPr>
            <w:tcW w:w="2126" w:type="dxa"/>
          </w:tcPr>
          <w:p w14:paraId="7594D2F0" w14:textId="77777777" w:rsidR="00194671" w:rsidRPr="003E06F6" w:rsidRDefault="00194671" w:rsidP="00C87E56">
            <w:pPr>
              <w:pStyle w:val="Tabletext"/>
              <w:jc w:val="center"/>
              <w:rPr>
                <w:i/>
                <w:iCs/>
                <w:sz w:val="24"/>
                <w:szCs w:val="24"/>
                <w:lang w:val="es-ES_tradnl"/>
              </w:rPr>
            </w:pPr>
            <w:proofErr w:type="spellStart"/>
            <w:r w:rsidRPr="003E06F6">
              <w:rPr>
                <w:i/>
                <w:iCs/>
                <w:sz w:val="24"/>
                <w:szCs w:val="24"/>
                <w:lang w:val="es-ES_tradnl"/>
              </w:rPr>
              <w:t>pep_max</w:t>
            </w:r>
            <w:proofErr w:type="spellEnd"/>
          </w:p>
        </w:tc>
        <w:tc>
          <w:tcPr>
            <w:tcW w:w="2443" w:type="dxa"/>
          </w:tcPr>
          <w:p w14:paraId="696D3A1F" w14:textId="77777777" w:rsidR="00194671" w:rsidRPr="003E06F6" w:rsidRDefault="0043603F" w:rsidP="00C87E56">
            <w:pPr>
              <w:pStyle w:val="Tabletext"/>
              <w:jc w:val="center"/>
              <w:rPr>
                <w:sz w:val="24"/>
                <w:szCs w:val="24"/>
                <w:lang w:val="es-ES_tradnl"/>
              </w:rPr>
            </w:pPr>
            <m:oMathPara>
              <m:oMath>
                <m:sSub>
                  <m:sSubPr>
                    <m:ctrlPr>
                      <w:rPr>
                        <w:rFonts w:ascii="Cambria Math" w:hAnsi="Cambria Math"/>
                        <w:i/>
                        <w:sz w:val="24"/>
                        <w:szCs w:val="24"/>
                        <w:lang w:val="es-ES_tradnl"/>
                      </w:rPr>
                    </m:ctrlPr>
                  </m:sSubPr>
                  <m:e>
                    <m:r>
                      <w:rPr>
                        <w:rFonts w:ascii="Cambria Math" w:hAnsi="Cambria Math"/>
                        <w:sz w:val="24"/>
                        <w:szCs w:val="24"/>
                        <w:lang w:val="es-ES_tradnl"/>
                      </w:rPr>
                      <m:t>P</m:t>
                    </m:r>
                  </m:e>
                  <m:sub>
                    <m:r>
                      <w:rPr>
                        <w:rFonts w:ascii="Cambria Math" w:hAnsi="Cambria Math"/>
                        <w:sz w:val="24"/>
                        <w:szCs w:val="24"/>
                        <w:lang w:val="es-ES_tradnl"/>
                      </w:rPr>
                      <m:t>max</m:t>
                    </m:r>
                  </m:sub>
                </m:sSub>
              </m:oMath>
            </m:oMathPara>
          </w:p>
        </w:tc>
      </w:tr>
      <w:tr w:rsidR="00194671" w:rsidRPr="003E06F6" w14:paraId="724D6160" w14:textId="77777777" w:rsidTr="00955369">
        <w:tc>
          <w:tcPr>
            <w:tcW w:w="3114" w:type="dxa"/>
          </w:tcPr>
          <w:p w14:paraId="3AD758BD" w14:textId="33F4D0C6" w:rsidR="00194671" w:rsidRPr="003E06F6" w:rsidRDefault="00194671" w:rsidP="00716E24">
            <w:pPr>
              <w:pStyle w:val="Tabletext"/>
              <w:rPr>
                <w:sz w:val="24"/>
                <w:szCs w:val="24"/>
                <w:lang w:val="es-ES_tradnl"/>
              </w:rPr>
            </w:pPr>
            <w:r w:rsidRPr="003E06F6">
              <w:rPr>
                <w:sz w:val="24"/>
                <w:szCs w:val="24"/>
                <w:lang w:val="es-ES_tradnl"/>
              </w:rPr>
              <w:t>Ancho de banda de referencia (4</w:t>
            </w:r>
            <w:r w:rsidR="00C87E56" w:rsidRPr="003E06F6">
              <w:rPr>
                <w:sz w:val="24"/>
                <w:szCs w:val="24"/>
                <w:lang w:val="es-ES_tradnl"/>
              </w:rPr>
              <w:t> </w:t>
            </w:r>
            <w:r w:rsidRPr="003E06F6">
              <w:rPr>
                <w:sz w:val="24"/>
                <w:szCs w:val="24"/>
                <w:lang w:val="es-ES_tradnl"/>
              </w:rPr>
              <w:t>kHz, 1 MHz, etc.)</w:t>
            </w:r>
          </w:p>
          <w:p w14:paraId="727412AA" w14:textId="77777777" w:rsidR="00194671" w:rsidRPr="003E06F6" w:rsidRDefault="00194671" w:rsidP="00716E24">
            <w:pPr>
              <w:pStyle w:val="Tabletext"/>
              <w:rPr>
                <w:sz w:val="24"/>
                <w:szCs w:val="24"/>
                <w:lang w:val="es-ES_tradnl"/>
              </w:rPr>
            </w:pPr>
            <w:r w:rsidRPr="003E06F6">
              <w:rPr>
                <w:sz w:val="24"/>
                <w:szCs w:val="24"/>
                <w:lang w:val="es-ES_tradnl"/>
              </w:rPr>
              <w:t>Se refiere al ancho de banda de referencia según lo dispuesto en el Reglamento de Radiocomunicaciones</w:t>
            </w:r>
          </w:p>
        </w:tc>
        <w:tc>
          <w:tcPr>
            <w:tcW w:w="2268" w:type="dxa"/>
          </w:tcPr>
          <w:p w14:paraId="69FCF2F3" w14:textId="27243B84" w:rsidR="00194671" w:rsidRPr="003E06F6" w:rsidRDefault="00C87E56" w:rsidP="00C87E56">
            <w:pPr>
              <w:pStyle w:val="Tabletext"/>
              <w:jc w:val="center"/>
              <w:rPr>
                <w:sz w:val="24"/>
                <w:szCs w:val="24"/>
                <w:lang w:val="es-ES_tradnl"/>
              </w:rPr>
            </w:pPr>
            <w:r w:rsidRPr="003E06F6">
              <w:rPr>
                <w:sz w:val="24"/>
                <w:szCs w:val="24"/>
                <w:lang w:val="es-ES_tradnl"/>
              </w:rPr>
              <w:t>‒</w:t>
            </w:r>
          </w:p>
        </w:tc>
        <w:tc>
          <w:tcPr>
            <w:tcW w:w="2126" w:type="dxa"/>
          </w:tcPr>
          <w:p w14:paraId="28014366" w14:textId="5C7BCE4D" w:rsidR="00194671" w:rsidRPr="003E06F6" w:rsidRDefault="00C87E56" w:rsidP="00C87E56">
            <w:pPr>
              <w:pStyle w:val="Tabletext"/>
              <w:jc w:val="center"/>
              <w:rPr>
                <w:sz w:val="24"/>
                <w:szCs w:val="24"/>
                <w:lang w:val="es-ES_tradnl"/>
              </w:rPr>
            </w:pPr>
            <w:r w:rsidRPr="003E06F6">
              <w:rPr>
                <w:sz w:val="24"/>
                <w:szCs w:val="24"/>
                <w:lang w:val="es-ES_tradnl"/>
              </w:rPr>
              <w:t>‒</w:t>
            </w:r>
          </w:p>
        </w:tc>
        <w:tc>
          <w:tcPr>
            <w:tcW w:w="2443" w:type="dxa"/>
          </w:tcPr>
          <w:p w14:paraId="538361D7" w14:textId="77777777" w:rsidR="00194671" w:rsidRPr="003E06F6" w:rsidRDefault="0043603F" w:rsidP="00C87E56">
            <w:pPr>
              <w:pStyle w:val="Tabletext"/>
              <w:jc w:val="center"/>
              <w:rPr>
                <w:sz w:val="24"/>
                <w:szCs w:val="24"/>
                <w:lang w:val="es-ES_tradnl"/>
              </w:rPr>
            </w:pPr>
            <m:oMathPara>
              <m:oMath>
                <m:sSub>
                  <m:sSubPr>
                    <m:ctrlPr>
                      <w:rPr>
                        <w:rFonts w:ascii="Cambria Math" w:hAnsi="Cambria Math"/>
                        <w:i/>
                        <w:sz w:val="24"/>
                        <w:szCs w:val="24"/>
                        <w:lang w:val="es-ES_tradnl"/>
                      </w:rPr>
                    </m:ctrlPr>
                  </m:sSubPr>
                  <m:e>
                    <m:r>
                      <w:rPr>
                        <w:rFonts w:ascii="Cambria Math" w:hAnsi="Cambria Math"/>
                        <w:sz w:val="24"/>
                        <w:szCs w:val="24"/>
                        <w:lang w:val="es-ES_tradnl"/>
                      </w:rPr>
                      <m:t>B</m:t>
                    </m:r>
                  </m:e>
                  <m:sub>
                    <m:r>
                      <w:rPr>
                        <w:rFonts w:ascii="Cambria Math" w:hAnsi="Cambria Math"/>
                        <w:sz w:val="24"/>
                        <w:szCs w:val="24"/>
                        <w:lang w:val="es-ES_tradnl"/>
                      </w:rPr>
                      <m:t>ref</m:t>
                    </m:r>
                  </m:sub>
                </m:sSub>
              </m:oMath>
            </m:oMathPara>
          </w:p>
        </w:tc>
      </w:tr>
      <w:tr w:rsidR="00194671" w:rsidRPr="003E06F6" w14:paraId="71B48057" w14:textId="77777777" w:rsidTr="00955369">
        <w:tc>
          <w:tcPr>
            <w:tcW w:w="3114" w:type="dxa"/>
          </w:tcPr>
          <w:p w14:paraId="1D9D8BC6" w14:textId="77777777" w:rsidR="00194671" w:rsidRPr="003E06F6" w:rsidRDefault="00194671" w:rsidP="00716E24">
            <w:pPr>
              <w:pStyle w:val="Tabletext"/>
              <w:rPr>
                <w:sz w:val="24"/>
                <w:szCs w:val="24"/>
                <w:lang w:val="es-ES_tradnl"/>
              </w:rPr>
            </w:pPr>
            <w:r w:rsidRPr="003E06F6">
              <w:rPr>
                <w:sz w:val="24"/>
                <w:szCs w:val="24"/>
                <w:lang w:val="es-ES_tradnl"/>
              </w:rPr>
              <w:t>Ancho de banda de emisión (Hz)</w:t>
            </w:r>
          </w:p>
        </w:tc>
        <w:tc>
          <w:tcPr>
            <w:tcW w:w="2268" w:type="dxa"/>
          </w:tcPr>
          <w:p w14:paraId="0C27E836" w14:textId="3CEDE2C3" w:rsidR="00194671" w:rsidRPr="003E06F6" w:rsidRDefault="00194671" w:rsidP="007D27C2">
            <w:pPr>
              <w:pStyle w:val="Tabletext"/>
              <w:jc w:val="center"/>
              <w:rPr>
                <w:sz w:val="24"/>
                <w:szCs w:val="24"/>
                <w:lang w:val="es-ES_tradnl"/>
              </w:rPr>
            </w:pPr>
            <w:r w:rsidRPr="003E06F6">
              <w:rPr>
                <w:sz w:val="24"/>
                <w:szCs w:val="24"/>
                <w:lang w:val="es-ES_tradnl"/>
              </w:rPr>
              <w:t>Derivado de</w:t>
            </w:r>
            <w:r w:rsidR="007D27C2" w:rsidRPr="003E06F6">
              <w:rPr>
                <w:sz w:val="24"/>
                <w:szCs w:val="24"/>
                <w:lang w:val="es-ES_tradnl"/>
              </w:rPr>
              <w:t xml:space="preserve"> </w:t>
            </w:r>
            <w:r w:rsidRPr="003E06F6">
              <w:rPr>
                <w:sz w:val="24"/>
                <w:szCs w:val="24"/>
                <w:lang w:val="es-ES_tradnl"/>
              </w:rPr>
              <w:t>C.7.a</w:t>
            </w:r>
          </w:p>
        </w:tc>
        <w:tc>
          <w:tcPr>
            <w:tcW w:w="2126" w:type="dxa"/>
          </w:tcPr>
          <w:p w14:paraId="21A80E08" w14:textId="4DDE33D2" w:rsidR="00194671" w:rsidRPr="003E06F6" w:rsidRDefault="00194671" w:rsidP="007D27C2">
            <w:pPr>
              <w:pStyle w:val="Tabletext"/>
              <w:jc w:val="center"/>
              <w:rPr>
                <w:i/>
                <w:iCs/>
                <w:sz w:val="24"/>
                <w:szCs w:val="24"/>
                <w:lang w:val="es-ES_tradnl"/>
              </w:rPr>
            </w:pPr>
            <w:r w:rsidRPr="003E06F6">
              <w:rPr>
                <w:sz w:val="24"/>
                <w:szCs w:val="24"/>
                <w:lang w:val="es-ES_tradnl"/>
              </w:rPr>
              <w:t>Derivado de</w:t>
            </w:r>
            <w:r w:rsidR="007D27C2" w:rsidRPr="003E06F6">
              <w:rPr>
                <w:sz w:val="24"/>
                <w:szCs w:val="24"/>
                <w:lang w:val="es-ES_tradnl"/>
              </w:rPr>
              <w:t xml:space="preserve"> </w:t>
            </w:r>
            <w:proofErr w:type="spellStart"/>
            <w:r w:rsidRPr="003E06F6">
              <w:rPr>
                <w:i/>
                <w:iCs/>
                <w:sz w:val="24"/>
                <w:szCs w:val="24"/>
                <w:lang w:val="es-ES_tradnl"/>
              </w:rPr>
              <w:t>diseño_emi</w:t>
            </w:r>
            <w:proofErr w:type="spellEnd"/>
          </w:p>
        </w:tc>
        <w:tc>
          <w:tcPr>
            <w:tcW w:w="2443" w:type="dxa"/>
          </w:tcPr>
          <w:p w14:paraId="472F03E0" w14:textId="77777777" w:rsidR="00194671" w:rsidRPr="003E06F6" w:rsidRDefault="00194671" w:rsidP="00C87E56">
            <w:pPr>
              <w:pStyle w:val="Tabletext"/>
              <w:jc w:val="center"/>
              <w:rPr>
                <w:sz w:val="24"/>
                <w:szCs w:val="24"/>
                <w:lang w:val="es-ES_tradnl"/>
              </w:rPr>
            </w:pPr>
            <m:oMathPara>
              <m:oMath>
                <m:r>
                  <w:rPr>
                    <w:rFonts w:ascii="Cambria Math" w:hAnsi="Cambria Math"/>
                    <w:sz w:val="24"/>
                    <w:szCs w:val="24"/>
                    <w:lang w:val="es-ES_tradnl"/>
                  </w:rPr>
                  <m:t>B</m:t>
                </m:r>
              </m:oMath>
            </m:oMathPara>
          </w:p>
        </w:tc>
      </w:tr>
      <w:tr w:rsidR="00C87E56" w:rsidRPr="003E06F6" w14:paraId="6C6D831F" w14:textId="77777777" w:rsidTr="00955369">
        <w:tc>
          <w:tcPr>
            <w:tcW w:w="3114" w:type="dxa"/>
          </w:tcPr>
          <w:p w14:paraId="34AC6CE3" w14:textId="77777777" w:rsidR="00C87E56" w:rsidRPr="003E06F6" w:rsidRDefault="00C87E56" w:rsidP="00C87E56">
            <w:pPr>
              <w:pStyle w:val="Tabletext"/>
              <w:rPr>
                <w:sz w:val="24"/>
                <w:szCs w:val="24"/>
                <w:lang w:val="es-ES_tradnl"/>
              </w:rPr>
            </w:pPr>
            <w:r w:rsidRPr="003E06F6">
              <w:rPr>
                <w:sz w:val="24"/>
                <w:szCs w:val="24"/>
                <w:lang w:val="es-ES_tradnl"/>
              </w:rPr>
              <w:t>Ancho de banda promedio (Hz)</w:t>
            </w:r>
          </w:p>
          <w:p w14:paraId="55DA0DDD" w14:textId="1290E312" w:rsidR="00C87E56" w:rsidRPr="003E06F6" w:rsidRDefault="00C87E56" w:rsidP="00C87E56">
            <w:pPr>
              <w:pStyle w:val="Tabletext"/>
              <w:rPr>
                <w:sz w:val="24"/>
                <w:szCs w:val="24"/>
                <w:lang w:val="es-ES_tradnl"/>
              </w:rPr>
            </w:pPr>
            <w:r w:rsidRPr="003E06F6">
              <w:rPr>
                <w:sz w:val="24"/>
                <w:szCs w:val="24"/>
                <w:lang w:val="es-ES_tradnl"/>
              </w:rPr>
              <w:t>Definido en la Nota 2 a los Cuadros A, B, C y D del Anexo 2 al Apéndice </w:t>
            </w:r>
            <w:r w:rsidRPr="003E06F6">
              <w:rPr>
                <w:b/>
                <w:bCs/>
                <w:sz w:val="24"/>
                <w:szCs w:val="24"/>
                <w:lang w:val="es-ES_tradnl"/>
              </w:rPr>
              <w:t>4</w:t>
            </w:r>
          </w:p>
        </w:tc>
        <w:tc>
          <w:tcPr>
            <w:tcW w:w="2268" w:type="dxa"/>
          </w:tcPr>
          <w:p w14:paraId="2952C97A" w14:textId="0EF0619D" w:rsidR="00C87E56" w:rsidRPr="003E06F6" w:rsidRDefault="00C87E56" w:rsidP="00C87E56">
            <w:pPr>
              <w:pStyle w:val="Tabletext"/>
              <w:jc w:val="center"/>
              <w:rPr>
                <w:sz w:val="24"/>
                <w:szCs w:val="24"/>
                <w:lang w:val="es-ES_tradnl"/>
              </w:rPr>
            </w:pPr>
            <w:r w:rsidRPr="003E06F6">
              <w:rPr>
                <w:sz w:val="24"/>
                <w:szCs w:val="24"/>
              </w:rPr>
              <w:t>‒</w:t>
            </w:r>
          </w:p>
        </w:tc>
        <w:tc>
          <w:tcPr>
            <w:tcW w:w="2126" w:type="dxa"/>
          </w:tcPr>
          <w:p w14:paraId="68082044" w14:textId="253621E6" w:rsidR="00C87E56" w:rsidRPr="003E06F6" w:rsidRDefault="00C87E56" w:rsidP="00C87E56">
            <w:pPr>
              <w:pStyle w:val="Tabletext"/>
              <w:jc w:val="center"/>
              <w:rPr>
                <w:sz w:val="24"/>
                <w:szCs w:val="24"/>
                <w:lang w:val="es-ES_tradnl"/>
              </w:rPr>
            </w:pPr>
            <w:r w:rsidRPr="003E06F6">
              <w:rPr>
                <w:sz w:val="24"/>
                <w:szCs w:val="24"/>
              </w:rPr>
              <w:t>‒</w:t>
            </w:r>
          </w:p>
        </w:tc>
        <w:tc>
          <w:tcPr>
            <w:tcW w:w="2443" w:type="dxa"/>
          </w:tcPr>
          <w:p w14:paraId="1ACAAD78" w14:textId="77777777" w:rsidR="00C87E56" w:rsidRPr="003E06F6" w:rsidRDefault="0043603F" w:rsidP="00C87E56">
            <w:pPr>
              <w:pStyle w:val="Tabletext"/>
              <w:jc w:val="center"/>
              <w:rPr>
                <w:i/>
                <w:sz w:val="24"/>
                <w:szCs w:val="24"/>
                <w:lang w:val="es-ES_tradnl"/>
              </w:rPr>
            </w:pPr>
            <m:oMathPara>
              <m:oMath>
                <m:sSub>
                  <m:sSubPr>
                    <m:ctrlPr>
                      <w:rPr>
                        <w:rFonts w:ascii="Cambria Math" w:hAnsi="Cambria Math"/>
                        <w:i/>
                        <w:sz w:val="24"/>
                        <w:szCs w:val="24"/>
                        <w:lang w:val="es-ES_tradnl"/>
                      </w:rPr>
                    </m:ctrlPr>
                  </m:sSubPr>
                  <m:e>
                    <m:r>
                      <w:rPr>
                        <w:rFonts w:ascii="Cambria Math" w:hAnsi="Cambria Math"/>
                        <w:sz w:val="24"/>
                        <w:szCs w:val="24"/>
                        <w:lang w:val="es-ES_tradnl"/>
                      </w:rPr>
                      <m:t>B</m:t>
                    </m:r>
                  </m:e>
                  <m:sub>
                    <m:r>
                      <w:rPr>
                        <w:rFonts w:ascii="Cambria Math" w:hAnsi="Cambria Math"/>
                        <w:sz w:val="24"/>
                        <w:szCs w:val="24"/>
                        <w:lang w:val="es-ES_tradnl"/>
                      </w:rPr>
                      <m:t>avg</m:t>
                    </m:r>
                  </m:sub>
                </m:sSub>
              </m:oMath>
            </m:oMathPara>
          </w:p>
        </w:tc>
      </w:tr>
      <w:tr w:rsidR="00C87E56" w:rsidRPr="003E06F6" w14:paraId="128EE5D9" w14:textId="77777777" w:rsidTr="00955369">
        <w:tc>
          <w:tcPr>
            <w:tcW w:w="3114" w:type="dxa"/>
          </w:tcPr>
          <w:p w14:paraId="404C34BF" w14:textId="77777777" w:rsidR="00C87E56" w:rsidRPr="003E06F6" w:rsidRDefault="00C87E56" w:rsidP="00C87E56">
            <w:pPr>
              <w:pStyle w:val="Tabletext"/>
              <w:rPr>
                <w:sz w:val="24"/>
                <w:szCs w:val="24"/>
                <w:lang w:val="es-ES_tradnl"/>
              </w:rPr>
            </w:pPr>
            <w:r w:rsidRPr="003E06F6">
              <w:rPr>
                <w:sz w:val="24"/>
                <w:szCs w:val="24"/>
                <w:lang w:val="es-ES_tradnl"/>
              </w:rPr>
              <w:t xml:space="preserve">Potencia transmitida que se utilizará en los cálculos, </w:t>
            </w:r>
            <w:proofErr w:type="spellStart"/>
            <w:r w:rsidRPr="003E06F6">
              <w:rPr>
                <w:sz w:val="24"/>
                <w:szCs w:val="24"/>
                <w:lang w:val="es-ES_tradnl"/>
              </w:rPr>
              <w:t>dBW</w:t>
            </w:r>
            <w:proofErr w:type="spellEnd"/>
            <w:r w:rsidRPr="003E06F6">
              <w:rPr>
                <w:sz w:val="24"/>
                <w:szCs w:val="24"/>
                <w:lang w:val="es-ES_tradnl"/>
              </w:rPr>
              <w:t xml:space="preserve"> (</w:t>
            </w:r>
            <m:oMath>
              <m:sSub>
                <m:sSubPr>
                  <m:ctrlPr>
                    <w:rPr>
                      <w:rFonts w:ascii="Cambria Math" w:hAnsi="Cambria Math"/>
                      <w:i/>
                      <w:sz w:val="24"/>
                      <w:szCs w:val="24"/>
                      <w:lang w:val="es-ES_tradnl"/>
                    </w:rPr>
                  </m:ctrlPr>
                </m:sSubPr>
                <m:e>
                  <m:r>
                    <w:rPr>
                      <w:rFonts w:ascii="Cambria Math" w:hAnsi="Cambria Math"/>
                      <w:sz w:val="24"/>
                      <w:szCs w:val="24"/>
                      <w:lang w:val="es-ES_tradnl"/>
                    </w:rPr>
                    <m:t>B</m:t>
                  </m:r>
                </m:e>
                <m:sub>
                  <m:r>
                    <w:rPr>
                      <w:rFonts w:ascii="Cambria Math" w:hAnsi="Cambria Math"/>
                      <w:sz w:val="24"/>
                      <w:szCs w:val="24"/>
                      <w:lang w:val="es-ES_tradnl"/>
                    </w:rPr>
                    <m:t>ref</m:t>
                  </m:r>
                </m:sub>
              </m:sSub>
            </m:oMath>
            <w:r w:rsidRPr="003E06F6">
              <w:rPr>
                <w:sz w:val="24"/>
                <w:szCs w:val="24"/>
                <w:lang w:val="es-ES_tradnl"/>
              </w:rPr>
              <w:t>)</w:t>
            </w:r>
          </w:p>
        </w:tc>
        <w:tc>
          <w:tcPr>
            <w:tcW w:w="2268" w:type="dxa"/>
          </w:tcPr>
          <w:p w14:paraId="46906039" w14:textId="6A9D5E7B" w:rsidR="00C87E56" w:rsidRPr="003E06F6" w:rsidRDefault="00C87E56" w:rsidP="00C87E56">
            <w:pPr>
              <w:pStyle w:val="Tabletext"/>
              <w:jc w:val="center"/>
              <w:rPr>
                <w:sz w:val="24"/>
                <w:szCs w:val="24"/>
                <w:lang w:val="es-ES_tradnl"/>
              </w:rPr>
            </w:pPr>
            <w:r w:rsidRPr="003E06F6">
              <w:rPr>
                <w:sz w:val="24"/>
                <w:szCs w:val="24"/>
              </w:rPr>
              <w:t>‒</w:t>
            </w:r>
          </w:p>
        </w:tc>
        <w:tc>
          <w:tcPr>
            <w:tcW w:w="2126" w:type="dxa"/>
          </w:tcPr>
          <w:p w14:paraId="2BC84692" w14:textId="4AEDAFDE" w:rsidR="00C87E56" w:rsidRPr="003E06F6" w:rsidRDefault="00C87E56" w:rsidP="00C87E56">
            <w:pPr>
              <w:pStyle w:val="Tabletext"/>
              <w:jc w:val="center"/>
              <w:rPr>
                <w:sz w:val="24"/>
                <w:szCs w:val="24"/>
                <w:lang w:val="es-ES_tradnl"/>
              </w:rPr>
            </w:pPr>
            <w:r w:rsidRPr="003E06F6">
              <w:rPr>
                <w:sz w:val="24"/>
                <w:szCs w:val="24"/>
              </w:rPr>
              <w:t>‒</w:t>
            </w:r>
          </w:p>
        </w:tc>
        <w:tc>
          <w:tcPr>
            <w:tcW w:w="2443" w:type="dxa"/>
          </w:tcPr>
          <w:p w14:paraId="3D481D0A" w14:textId="77777777" w:rsidR="00C87E56" w:rsidRPr="003E06F6" w:rsidRDefault="0043603F" w:rsidP="00C87E56">
            <w:pPr>
              <w:pStyle w:val="Tabletext"/>
              <w:jc w:val="center"/>
              <w:rPr>
                <w:sz w:val="24"/>
                <w:szCs w:val="24"/>
                <w:lang w:val="es-ES_tradnl"/>
              </w:rPr>
            </w:pPr>
            <m:oMathPara>
              <m:oMath>
                <m:sSub>
                  <m:sSubPr>
                    <m:ctrlPr>
                      <w:rPr>
                        <w:rFonts w:ascii="Cambria Math" w:hAnsi="Cambria Math"/>
                        <w:i/>
                        <w:sz w:val="24"/>
                        <w:szCs w:val="24"/>
                        <w:lang w:val="es-ES_tradnl"/>
                      </w:rPr>
                    </m:ctrlPr>
                  </m:sSubPr>
                  <m:e>
                    <m:r>
                      <w:rPr>
                        <w:rFonts w:ascii="Cambria Math" w:hAnsi="Cambria Math"/>
                        <w:sz w:val="24"/>
                        <w:szCs w:val="24"/>
                        <w:lang w:val="es-ES_tradnl"/>
                      </w:rPr>
                      <m:t>P</m:t>
                    </m:r>
                  </m:e>
                  <m:sub>
                    <m:r>
                      <w:rPr>
                        <w:rFonts w:ascii="Cambria Math" w:hAnsi="Cambria Math"/>
                        <w:sz w:val="24"/>
                        <w:szCs w:val="24"/>
                        <w:lang w:val="es-ES_tradnl"/>
                      </w:rPr>
                      <m:t>used</m:t>
                    </m:r>
                  </m:sub>
                </m:sSub>
              </m:oMath>
            </m:oMathPara>
          </w:p>
        </w:tc>
      </w:tr>
    </w:tbl>
    <w:p w14:paraId="2E5EF731" w14:textId="77777777" w:rsidR="00812A33" w:rsidRPr="00194671" w:rsidRDefault="00812A33" w:rsidP="003E06F6">
      <w:pPr>
        <w:pStyle w:val="Headingb"/>
        <w:spacing w:before="120"/>
        <w:rPr>
          <w:rFonts w:eastAsiaTheme="minorEastAsia"/>
          <w:szCs w:val="24"/>
          <w:lang w:val="es-ES_tradnl"/>
        </w:rPr>
      </w:pPr>
      <w:r w:rsidRPr="00194671">
        <w:rPr>
          <w:rFonts w:eastAsiaTheme="minorEastAsia"/>
          <w:lang w:val="es-ES"/>
        </w:rPr>
        <w:t>Procedimiento</w:t>
      </w:r>
    </w:p>
    <w:p w14:paraId="0C3DCC46" w14:textId="77777777" w:rsidR="00812A33" w:rsidRPr="00194671" w:rsidRDefault="00812A33" w:rsidP="00812A33">
      <w:pPr>
        <w:pStyle w:val="enumlev1"/>
        <w:rPr>
          <w:rFonts w:eastAsiaTheme="minorEastAsia"/>
          <w:lang w:val="es-ES_tradnl"/>
        </w:rPr>
      </w:pPr>
      <w:r>
        <w:rPr>
          <w:rFonts w:eastAsiaTheme="minorEastAsia"/>
          <w:lang w:val="es-ES_tradnl"/>
        </w:rPr>
        <w:t>1</w:t>
      </w:r>
      <w:r>
        <w:rPr>
          <w:rFonts w:eastAsiaTheme="minorEastAsia"/>
          <w:lang w:val="es-ES_tradnl"/>
        </w:rPr>
        <w:tab/>
      </w:r>
      <w:proofErr w:type="gramStart"/>
      <w:r w:rsidRPr="00194671">
        <w:rPr>
          <w:rFonts w:eastAsiaTheme="minorEastAsia"/>
          <w:lang w:val="es-ES_tradnl"/>
        </w:rPr>
        <w:t>Hallar</w:t>
      </w:r>
      <w:proofErr w:type="gramEnd"/>
      <w:r w:rsidRPr="00194671">
        <w:rPr>
          <w:rFonts w:eastAsiaTheme="minorEastAsia"/>
          <w:lang w:val="es-ES_tradnl"/>
        </w:rPr>
        <w:t xml:space="preserve"> el ancho de banda promedio (</w:t>
      </w:r>
      <m:oMath>
        <m:sSub>
          <m:sSubPr>
            <m:ctrlPr>
              <w:rPr>
                <w:rFonts w:ascii="Cambria Math" w:eastAsiaTheme="minorEastAsia" w:hAnsi="Cambria Math"/>
                <w:i/>
                <w:lang w:val="es-ES_tradnl"/>
              </w:rPr>
            </m:ctrlPr>
          </m:sSubPr>
          <m:e>
            <m:r>
              <w:rPr>
                <w:rFonts w:ascii="Cambria Math" w:eastAsiaTheme="minorEastAsia" w:hAnsi="Cambria Math"/>
                <w:lang w:val="es-ES_tradnl"/>
              </w:rPr>
              <m:t>B</m:t>
            </m:r>
          </m:e>
          <m:sub>
            <m:r>
              <w:rPr>
                <w:rFonts w:ascii="Cambria Math" w:eastAsiaTheme="minorEastAsia" w:hAnsi="Cambria Math"/>
                <w:lang w:val="es-ES_tradnl"/>
              </w:rPr>
              <m:t>avg</m:t>
            </m:r>
          </m:sub>
        </m:sSub>
      </m:oMath>
      <w:r w:rsidRPr="00194671">
        <w:rPr>
          <w:rFonts w:eastAsiaTheme="minorEastAsia"/>
          <w:lang w:val="es-ES_tradnl"/>
        </w:rPr>
        <w:t>).</w:t>
      </w:r>
    </w:p>
    <w:p w14:paraId="39D2591F" w14:textId="77777777" w:rsidR="00812A33" w:rsidRPr="00194671" w:rsidRDefault="00812A33" w:rsidP="00812A33">
      <w:pPr>
        <w:pStyle w:val="enumlev1"/>
        <w:rPr>
          <w:rFonts w:eastAsiaTheme="minorEastAsia"/>
          <w:szCs w:val="24"/>
          <w:lang w:val="es-ES_tradnl"/>
        </w:rPr>
      </w:pPr>
      <w:r w:rsidRPr="00194671">
        <w:rPr>
          <w:rFonts w:eastAsiaTheme="minorEastAsia"/>
          <w:szCs w:val="24"/>
          <w:lang w:val="es-ES_tradnl"/>
        </w:rPr>
        <w:tab/>
        <w:t xml:space="preserve">Si la frecuencia central de la asignación de frecuencias es inferior a 15 GHz, </w:t>
      </w:r>
      <m:oMath>
        <m:sSub>
          <m:sSubPr>
            <m:ctrlPr>
              <w:rPr>
                <w:rFonts w:ascii="Cambria Math" w:eastAsiaTheme="minorEastAsia" w:hAnsi="Cambria Math"/>
                <w:i/>
                <w:szCs w:val="24"/>
                <w:lang w:val="es-ES_tradnl"/>
              </w:rPr>
            </m:ctrlPr>
          </m:sSubPr>
          <m:e>
            <m:r>
              <w:rPr>
                <w:rFonts w:ascii="Cambria Math" w:eastAsiaTheme="minorEastAsia" w:hAnsi="Cambria Math"/>
                <w:szCs w:val="24"/>
                <w:lang w:val="es-ES_tradnl"/>
              </w:rPr>
              <m:t>B</m:t>
            </m:r>
          </m:e>
          <m:sub>
            <m:r>
              <w:rPr>
                <w:rFonts w:ascii="Cambria Math" w:eastAsiaTheme="minorEastAsia" w:hAnsi="Cambria Math"/>
                <w:szCs w:val="24"/>
                <w:lang w:val="es-ES_tradnl"/>
              </w:rPr>
              <m:t>avg</m:t>
            </m:r>
          </m:sub>
        </m:sSub>
        <m:r>
          <w:rPr>
            <w:rFonts w:ascii="Cambria Math" w:eastAsiaTheme="minorEastAsia" w:hAnsi="Cambria Math"/>
            <w:szCs w:val="24"/>
            <w:lang w:val="es-ES_tradnl"/>
          </w:rPr>
          <m:t>=4 kHz</m:t>
        </m:r>
      </m:oMath>
    </w:p>
    <w:p w14:paraId="55B1BCDF" w14:textId="77777777" w:rsidR="00812A33" w:rsidRPr="00194671" w:rsidRDefault="00812A33" w:rsidP="00812A33">
      <w:pPr>
        <w:pStyle w:val="enumlev1"/>
        <w:rPr>
          <w:rFonts w:eastAsiaTheme="minorEastAsia"/>
          <w:szCs w:val="24"/>
          <w:lang w:val="es-ES_tradnl"/>
        </w:rPr>
      </w:pPr>
      <w:r w:rsidRPr="00194671">
        <w:rPr>
          <w:rFonts w:eastAsiaTheme="minorEastAsia"/>
          <w:szCs w:val="24"/>
          <w:lang w:val="es-ES_tradnl"/>
        </w:rPr>
        <w:tab/>
        <w:t xml:space="preserve">De lo contrario, </w:t>
      </w:r>
      <m:oMath>
        <m:sSub>
          <m:sSubPr>
            <m:ctrlPr>
              <w:rPr>
                <w:rFonts w:ascii="Cambria Math" w:eastAsiaTheme="minorEastAsia" w:hAnsi="Cambria Math"/>
                <w:i/>
                <w:szCs w:val="24"/>
                <w:lang w:val="es-ES_tradnl"/>
              </w:rPr>
            </m:ctrlPr>
          </m:sSubPr>
          <m:e>
            <m:r>
              <w:rPr>
                <w:rFonts w:ascii="Cambria Math" w:eastAsiaTheme="minorEastAsia" w:hAnsi="Cambria Math"/>
                <w:szCs w:val="24"/>
                <w:lang w:val="es-ES_tradnl"/>
              </w:rPr>
              <m:t>B</m:t>
            </m:r>
          </m:e>
          <m:sub>
            <m:r>
              <w:rPr>
                <w:rFonts w:ascii="Cambria Math" w:eastAsiaTheme="minorEastAsia" w:hAnsi="Cambria Math"/>
                <w:szCs w:val="24"/>
                <w:lang w:val="es-ES_tradnl"/>
              </w:rPr>
              <m:t>avg</m:t>
            </m:r>
          </m:sub>
        </m:sSub>
        <m:r>
          <w:rPr>
            <w:rFonts w:ascii="Cambria Math" w:eastAsiaTheme="minorEastAsia" w:hAnsi="Cambria Math"/>
            <w:szCs w:val="24"/>
            <w:lang w:val="es-ES_tradnl"/>
          </w:rPr>
          <m:t>=1 MHz</m:t>
        </m:r>
      </m:oMath>
    </w:p>
    <w:p w14:paraId="1EA7A336" w14:textId="77777777" w:rsidR="00812A33" w:rsidRPr="00194671" w:rsidRDefault="00812A33" w:rsidP="00812A33">
      <w:pPr>
        <w:pStyle w:val="enumlev1"/>
        <w:rPr>
          <w:rFonts w:eastAsiaTheme="minorEastAsia"/>
          <w:lang w:val="es-ES_tradnl"/>
        </w:rPr>
      </w:pPr>
      <w:r w:rsidRPr="00716E24">
        <w:rPr>
          <w:lang w:val="es-ES"/>
        </w:rPr>
        <w:lastRenderedPageBreak/>
        <w:t>2</w:t>
      </w:r>
      <w:r w:rsidRPr="00716E24">
        <w:rPr>
          <w:lang w:val="es-ES"/>
        </w:rPr>
        <w:tab/>
      </w:r>
      <w:proofErr w:type="gramStart"/>
      <w:r w:rsidRPr="00716E24">
        <w:rPr>
          <w:lang w:val="es-ES"/>
        </w:rPr>
        <w:t>Calcular</w:t>
      </w:r>
      <w:proofErr w:type="gramEnd"/>
      <w:r w:rsidRPr="00194671">
        <w:rPr>
          <w:rFonts w:eastAsiaTheme="minorEastAsia"/>
          <w:lang w:val="es-ES_tradnl"/>
        </w:rPr>
        <w:t xml:space="preserve"> la potencia transmitida </w:t>
      </w:r>
      <m:oMath>
        <m:sSub>
          <m:sSubPr>
            <m:ctrlPr>
              <w:rPr>
                <w:rFonts w:ascii="Cambria Math" w:eastAsiaTheme="minorEastAsia" w:hAnsi="Cambria Math"/>
                <w:i/>
                <w:lang w:val="es-ES_tradnl"/>
              </w:rPr>
            </m:ctrlPr>
          </m:sSubPr>
          <m:e>
            <m:r>
              <w:rPr>
                <w:rFonts w:ascii="Cambria Math" w:eastAsiaTheme="minorEastAsia" w:hAnsi="Cambria Math"/>
                <w:lang w:val="es-ES_tradnl"/>
              </w:rPr>
              <m:t>P</m:t>
            </m:r>
          </m:e>
          <m:sub>
            <m:r>
              <w:rPr>
                <w:rFonts w:ascii="Cambria Math" w:eastAsiaTheme="minorEastAsia" w:hAnsi="Cambria Math"/>
                <w:lang w:val="es-ES_tradnl"/>
              </w:rPr>
              <m:t>used</m:t>
            </m:r>
          </m:sub>
        </m:sSub>
        <m:r>
          <w:rPr>
            <w:rFonts w:ascii="Cambria Math" w:eastAsiaTheme="minorEastAsia" w:hAnsi="Cambria Math"/>
            <w:lang w:val="es-ES_tradnl"/>
          </w:rPr>
          <m:t xml:space="preserve"> en </m:t>
        </m:r>
        <m:sSub>
          <m:sSubPr>
            <m:ctrlPr>
              <w:rPr>
                <w:rFonts w:ascii="Cambria Math" w:eastAsiaTheme="minorEastAsia" w:hAnsi="Cambria Math"/>
                <w:i/>
                <w:lang w:val="es-ES_tradnl"/>
              </w:rPr>
            </m:ctrlPr>
          </m:sSubPr>
          <m:e>
            <m:r>
              <w:rPr>
                <w:rFonts w:ascii="Cambria Math" w:eastAsiaTheme="minorEastAsia" w:hAnsi="Cambria Math"/>
                <w:lang w:val="es-ES_tradnl"/>
              </w:rPr>
              <m:t>B</m:t>
            </m:r>
          </m:e>
          <m:sub>
            <m:r>
              <w:rPr>
                <w:rFonts w:ascii="Cambria Math" w:eastAsiaTheme="minorEastAsia" w:hAnsi="Cambria Math"/>
                <w:lang w:val="es-ES_tradnl"/>
              </w:rPr>
              <m:t>ref</m:t>
            </m:r>
          </m:sub>
        </m:sSub>
      </m:oMath>
    </w:p>
    <w:p w14:paraId="202D0D2F" w14:textId="77777777" w:rsidR="00812A33" w:rsidRDefault="00812A33" w:rsidP="00812A33">
      <w:pPr>
        <w:pStyle w:val="enumlev1"/>
        <w:rPr>
          <w:rFonts w:eastAsiaTheme="minorEastAsia"/>
          <w:b/>
          <w:bCs/>
          <w:szCs w:val="24"/>
          <w:lang w:val="es-ES_tradnl"/>
        </w:rPr>
      </w:pPr>
      <w:r w:rsidRPr="00194671">
        <w:rPr>
          <w:rFonts w:eastAsiaTheme="minorEastAsia"/>
          <w:b/>
          <w:bCs/>
          <w:szCs w:val="24"/>
          <w:lang w:val="es-ES_tradnl"/>
        </w:rPr>
        <w:tab/>
        <w:t xml:space="preserve">Para </w:t>
      </w:r>
      <m:oMath>
        <m:sSub>
          <m:sSubPr>
            <m:ctrlPr>
              <w:rPr>
                <w:rFonts w:ascii="Cambria Math" w:eastAsiaTheme="minorEastAsia" w:hAnsi="Cambria Math"/>
                <w:i/>
                <w:szCs w:val="24"/>
                <w:lang w:val="es-ES_tradnl"/>
              </w:rPr>
            </m:ctrlPr>
          </m:sSubPr>
          <m:e>
            <m:r>
              <w:rPr>
                <w:rFonts w:ascii="Cambria Math" w:eastAsiaTheme="minorEastAsia" w:hAnsi="Cambria Math"/>
                <w:szCs w:val="24"/>
                <w:lang w:val="es-ES_tradnl"/>
              </w:rPr>
              <m:t>B</m:t>
            </m:r>
          </m:e>
          <m:sub>
            <m:r>
              <w:rPr>
                <w:rFonts w:ascii="Cambria Math" w:eastAsiaTheme="minorEastAsia" w:hAnsi="Cambria Math"/>
                <w:szCs w:val="24"/>
                <w:lang w:val="es-ES_tradnl"/>
              </w:rPr>
              <m:t>avg</m:t>
            </m:r>
          </m:sub>
        </m:sSub>
        <m:r>
          <w:rPr>
            <w:rFonts w:ascii="Cambria Math" w:eastAsiaTheme="minorEastAsia" w:hAnsi="Cambria Math"/>
            <w:szCs w:val="24"/>
            <w:lang w:val="es-ES_tradnl"/>
          </w:rPr>
          <m:t xml:space="preserve">= </m:t>
        </m:r>
        <m:sSub>
          <m:sSubPr>
            <m:ctrlPr>
              <w:rPr>
                <w:rFonts w:ascii="Cambria Math" w:eastAsiaTheme="minorEastAsia" w:hAnsi="Cambria Math"/>
                <w:i/>
                <w:szCs w:val="24"/>
                <w:lang w:val="es-ES_tradnl"/>
              </w:rPr>
            </m:ctrlPr>
          </m:sSubPr>
          <m:e>
            <m:r>
              <w:rPr>
                <w:rFonts w:ascii="Cambria Math" w:eastAsiaTheme="minorEastAsia" w:hAnsi="Cambria Math"/>
                <w:szCs w:val="24"/>
                <w:lang w:val="es-ES_tradnl"/>
              </w:rPr>
              <m:t>B</m:t>
            </m:r>
          </m:e>
          <m:sub>
            <m:r>
              <w:rPr>
                <w:rFonts w:ascii="Cambria Math" w:eastAsiaTheme="minorEastAsia" w:hAnsi="Cambria Math"/>
                <w:szCs w:val="24"/>
                <w:lang w:val="es-ES_tradnl"/>
              </w:rPr>
              <m:t>ref</m:t>
            </m:r>
          </m:sub>
        </m:sSub>
      </m:oMath>
      <w:r w:rsidRPr="00194671">
        <w:rPr>
          <w:rFonts w:eastAsiaTheme="minorEastAsia"/>
          <w:b/>
          <w:bCs/>
          <w:szCs w:val="24"/>
          <w:lang w:val="es-ES_tradnl"/>
        </w:rPr>
        <w:t xml:space="preserve"> (medida adicional de conformidad con la Recomendación UIT</w:t>
      </w:r>
      <w:r>
        <w:rPr>
          <w:rFonts w:eastAsiaTheme="minorEastAsia"/>
          <w:b/>
          <w:bCs/>
          <w:szCs w:val="24"/>
          <w:lang w:val="es-ES_tradnl"/>
        </w:rPr>
        <w:noBreakHyphen/>
      </w:r>
      <w:r w:rsidRPr="00194671">
        <w:rPr>
          <w:rFonts w:eastAsiaTheme="minorEastAsia"/>
          <w:b/>
          <w:bCs/>
          <w:szCs w:val="24"/>
          <w:lang w:val="es-ES_tradnl"/>
        </w:rPr>
        <w:t>R</w:t>
      </w:r>
      <w:r>
        <w:rPr>
          <w:rFonts w:eastAsiaTheme="minorEastAsia"/>
          <w:b/>
          <w:bCs/>
          <w:szCs w:val="24"/>
          <w:lang w:val="es-ES_tradnl"/>
        </w:rPr>
        <w:t> </w:t>
      </w:r>
      <w:r w:rsidRPr="00194671">
        <w:rPr>
          <w:rFonts w:eastAsiaTheme="minorEastAsia"/>
          <w:b/>
          <w:bCs/>
          <w:szCs w:val="24"/>
          <w:lang w:val="es-ES_tradnl"/>
        </w:rPr>
        <w:t>SF.675):</w:t>
      </w:r>
    </w:p>
    <w:p w14:paraId="40BEBFE8" w14:textId="77777777" w:rsidR="003E06F6" w:rsidRPr="00194671" w:rsidRDefault="003E06F6" w:rsidP="00812A33">
      <w:pPr>
        <w:pStyle w:val="enumlev1"/>
        <w:rPr>
          <w:rFonts w:eastAsiaTheme="minorEastAsia"/>
          <w:b/>
          <w:bCs/>
          <w:szCs w:val="24"/>
          <w:lang w:val="es-ES_tradnl"/>
        </w:rPr>
      </w:pPr>
    </w:p>
    <w:p w14:paraId="7B5F913F" w14:textId="5F1DC500" w:rsidR="003E06F6" w:rsidRDefault="0043603F" w:rsidP="00812A33">
      <w:pPr>
        <w:spacing w:before="160" w:after="160"/>
        <w:ind w:left="1440"/>
        <w:jc w:val="center"/>
        <w:rPr>
          <w:rFonts w:eastAsiaTheme="minorEastAsia"/>
          <w:szCs w:val="24"/>
          <w:lang w:val="es-ES_tradnl"/>
        </w:rPr>
      </w:pPr>
      <m:oMathPara>
        <m:oMath>
          <m:sSub>
            <m:sSubPr>
              <m:ctrlPr>
                <w:rPr>
                  <w:rFonts w:ascii="Cambria Math" w:eastAsiaTheme="minorEastAsia" w:hAnsi="Cambria Math"/>
                  <w:i/>
                  <w:szCs w:val="24"/>
                  <w:lang w:val="es-ES_tradnl"/>
                </w:rPr>
              </m:ctrlPr>
            </m:sSubPr>
            <m:e>
              <m:r>
                <w:rPr>
                  <w:rFonts w:ascii="Cambria Math" w:eastAsiaTheme="minorEastAsia" w:hAnsi="Cambria Math"/>
                  <w:szCs w:val="24"/>
                  <w:lang w:val="es-ES_tradnl"/>
                </w:rPr>
                <m:t>P</m:t>
              </m:r>
            </m:e>
            <m:sub>
              <m:r>
                <w:rPr>
                  <w:rFonts w:ascii="Cambria Math" w:eastAsiaTheme="minorEastAsia" w:hAnsi="Cambria Math"/>
                  <w:szCs w:val="24"/>
                  <w:lang w:val="es-ES_tradnl"/>
                </w:rPr>
                <m:t>used</m:t>
              </m:r>
            </m:sub>
          </m:sSub>
          <m:r>
            <w:rPr>
              <w:rFonts w:ascii="Cambria Math" w:eastAsiaTheme="minorEastAsia" w:hAnsi="Cambria Math"/>
              <w:szCs w:val="24"/>
              <w:lang w:val="es-ES_tradnl"/>
            </w:rPr>
            <m:t>=</m:t>
          </m:r>
          <m:sSub>
            <m:sSubPr>
              <m:ctrlPr>
                <w:rPr>
                  <w:rFonts w:ascii="Cambria Math" w:eastAsiaTheme="minorEastAsia" w:hAnsi="Cambria Math"/>
                  <w:i/>
                  <w:szCs w:val="24"/>
                  <w:lang w:val="es-ES_tradnl"/>
                </w:rPr>
              </m:ctrlPr>
            </m:sSubPr>
            <m:e>
              <m:r>
                <w:rPr>
                  <w:rFonts w:ascii="Cambria Math" w:eastAsiaTheme="minorEastAsia" w:hAnsi="Cambria Math"/>
                  <w:szCs w:val="24"/>
                  <w:lang w:val="es-ES_tradnl"/>
                </w:rPr>
                <m:t>PSD</m:t>
              </m:r>
            </m:e>
            <m:sub>
              <m:r>
                <w:rPr>
                  <w:rFonts w:ascii="Cambria Math" w:eastAsiaTheme="minorEastAsia" w:hAnsi="Cambria Math"/>
                  <w:szCs w:val="24"/>
                  <w:lang w:val="es-ES_tradnl"/>
                </w:rPr>
                <m:t>max</m:t>
              </m:r>
            </m:sub>
          </m:sSub>
          <m:r>
            <w:rPr>
              <w:rFonts w:ascii="Cambria Math" w:eastAsiaTheme="minorEastAsia" w:hAnsi="Cambria Math"/>
              <w:szCs w:val="24"/>
              <w:lang w:val="es-ES_tradnl"/>
            </w:rPr>
            <m:t xml:space="preserve">+10 </m:t>
          </m:r>
          <m:func>
            <m:funcPr>
              <m:ctrlPr>
                <w:rPr>
                  <w:rFonts w:ascii="Cambria Math" w:eastAsiaTheme="minorEastAsia" w:hAnsi="Cambria Math"/>
                  <w:i/>
                  <w:szCs w:val="24"/>
                  <w:lang w:val="es-ES_tradnl"/>
                </w:rPr>
              </m:ctrlPr>
            </m:funcPr>
            <m:fName>
              <m:r>
                <m:rPr>
                  <m:sty m:val="p"/>
                </m:rPr>
                <w:rPr>
                  <w:rFonts w:ascii="Cambria Math" w:eastAsiaTheme="minorEastAsia" w:hAnsi="Cambria Math"/>
                  <w:szCs w:val="24"/>
                  <w:lang w:val="es-ES_tradnl"/>
                </w:rPr>
                <m:t>log</m:t>
              </m:r>
            </m:fName>
            <m:e>
              <m:sSub>
                <m:sSubPr>
                  <m:ctrlPr>
                    <w:rPr>
                      <w:rFonts w:ascii="Cambria Math" w:eastAsiaTheme="minorEastAsia" w:hAnsi="Cambria Math"/>
                      <w:i/>
                      <w:szCs w:val="24"/>
                      <w:lang w:val="es-ES_tradnl"/>
                    </w:rPr>
                  </m:ctrlPr>
                </m:sSubPr>
                <m:e>
                  <m:r>
                    <w:rPr>
                      <w:rFonts w:ascii="Cambria Math" w:eastAsiaTheme="minorEastAsia" w:hAnsi="Cambria Math"/>
                      <w:szCs w:val="24"/>
                      <w:lang w:val="es-ES_tradnl"/>
                    </w:rPr>
                    <m:t>B</m:t>
                  </m:r>
                </m:e>
                <m:sub>
                  <m:r>
                    <w:rPr>
                      <w:rFonts w:ascii="Cambria Math" w:eastAsiaTheme="minorEastAsia" w:hAnsi="Cambria Math"/>
                      <w:szCs w:val="24"/>
                      <w:lang w:val="es-ES_tradnl"/>
                    </w:rPr>
                    <m:t>ref</m:t>
                  </m:r>
                </m:sub>
              </m:sSub>
            </m:e>
          </m:func>
        </m:oMath>
      </m:oMathPara>
    </w:p>
    <w:p w14:paraId="62FEAC1D" w14:textId="77777777" w:rsidR="00812A33" w:rsidRPr="00194671" w:rsidRDefault="00812A33" w:rsidP="00812A33">
      <w:pPr>
        <w:spacing w:before="160" w:after="160"/>
        <w:ind w:left="1440"/>
        <w:jc w:val="center"/>
        <w:rPr>
          <w:rFonts w:eastAsiaTheme="minorEastAsia"/>
          <w:szCs w:val="24"/>
          <w:lang w:val="es-ES_tradnl"/>
        </w:rPr>
      </w:pPr>
    </w:p>
    <w:p w14:paraId="1C54218A" w14:textId="77777777" w:rsidR="00812A33" w:rsidRPr="00194671" w:rsidRDefault="00812A33" w:rsidP="00812A33">
      <w:pPr>
        <w:pStyle w:val="enumlev1"/>
        <w:rPr>
          <w:rFonts w:eastAsiaTheme="minorEastAsia"/>
          <w:b/>
          <w:bCs/>
          <w:szCs w:val="24"/>
          <w:lang w:val="es-ES_tradnl"/>
        </w:rPr>
      </w:pPr>
      <w:r w:rsidRPr="00194671">
        <w:rPr>
          <w:rFonts w:eastAsiaTheme="minorEastAsia"/>
          <w:b/>
          <w:bCs/>
          <w:szCs w:val="24"/>
          <w:lang w:val="es-ES_tradnl"/>
        </w:rPr>
        <w:tab/>
        <w:t xml:space="preserve">Para </w:t>
      </w:r>
      <m:oMath>
        <m:sSub>
          <m:sSubPr>
            <m:ctrlPr>
              <w:rPr>
                <w:rFonts w:ascii="Cambria Math" w:eastAsiaTheme="minorEastAsia" w:hAnsi="Cambria Math"/>
                <w:i/>
                <w:szCs w:val="24"/>
                <w:lang w:val="es-ES_tradnl"/>
              </w:rPr>
            </m:ctrlPr>
          </m:sSubPr>
          <m:e>
            <m:r>
              <w:rPr>
                <w:rFonts w:ascii="Cambria Math" w:eastAsiaTheme="minorEastAsia" w:hAnsi="Cambria Math"/>
                <w:szCs w:val="24"/>
                <w:lang w:val="es-ES_tradnl"/>
              </w:rPr>
              <m:t>B</m:t>
            </m:r>
          </m:e>
          <m:sub>
            <m:r>
              <w:rPr>
                <w:rFonts w:ascii="Cambria Math" w:eastAsiaTheme="minorEastAsia" w:hAnsi="Cambria Math"/>
                <w:szCs w:val="24"/>
                <w:lang w:val="es-ES_tradnl"/>
              </w:rPr>
              <m:t>avg</m:t>
            </m:r>
          </m:sub>
        </m:sSub>
        <m:r>
          <w:rPr>
            <w:rFonts w:ascii="Cambria Math" w:eastAsiaTheme="minorEastAsia" w:hAnsi="Cambria Math"/>
            <w:szCs w:val="24"/>
            <w:lang w:val="es-ES_tradnl"/>
          </w:rPr>
          <m:t xml:space="preserve">&lt; </m:t>
        </m:r>
        <m:sSub>
          <m:sSubPr>
            <m:ctrlPr>
              <w:rPr>
                <w:rFonts w:ascii="Cambria Math" w:eastAsiaTheme="minorEastAsia" w:hAnsi="Cambria Math"/>
                <w:i/>
                <w:szCs w:val="24"/>
                <w:lang w:val="es-ES_tradnl"/>
              </w:rPr>
            </m:ctrlPr>
          </m:sSubPr>
          <m:e>
            <m:r>
              <w:rPr>
                <w:rFonts w:ascii="Cambria Math" w:eastAsiaTheme="minorEastAsia" w:hAnsi="Cambria Math"/>
                <w:szCs w:val="24"/>
                <w:lang w:val="es-ES_tradnl"/>
              </w:rPr>
              <m:t>B</m:t>
            </m:r>
          </m:e>
          <m:sub>
            <m:r>
              <w:rPr>
                <w:rFonts w:ascii="Cambria Math" w:eastAsiaTheme="minorEastAsia" w:hAnsi="Cambria Math"/>
                <w:szCs w:val="24"/>
                <w:lang w:val="es-ES_tradnl"/>
              </w:rPr>
              <m:t>ref</m:t>
            </m:r>
          </m:sub>
        </m:sSub>
      </m:oMath>
      <w:r w:rsidRPr="00194671">
        <w:rPr>
          <w:rFonts w:eastAsiaTheme="minorEastAsia"/>
          <w:b/>
          <w:bCs/>
          <w:szCs w:val="24"/>
          <w:lang w:val="es-ES_tradnl"/>
        </w:rPr>
        <w:t xml:space="preserve"> (método tradicional, aplicado anteriormente):</w:t>
      </w:r>
    </w:p>
    <w:p w14:paraId="62976427" w14:textId="77777777" w:rsidR="00812A33" w:rsidRPr="00194671" w:rsidRDefault="00812A33" w:rsidP="00812A33">
      <w:pPr>
        <w:spacing w:before="160"/>
        <w:ind w:left="1440"/>
        <w:rPr>
          <w:rFonts w:eastAsiaTheme="minorEastAsia"/>
          <w:szCs w:val="24"/>
          <w:lang w:val="es-ES_tradnl"/>
        </w:rPr>
      </w:pPr>
      <w:r w:rsidRPr="00194671">
        <w:rPr>
          <w:rFonts w:eastAsiaTheme="minorEastAsia"/>
          <w:szCs w:val="24"/>
          <w:lang w:val="es-ES_tradnl"/>
        </w:rPr>
        <w:t xml:space="preserve">Si </w:t>
      </w:r>
      <m:oMath>
        <m:r>
          <w:rPr>
            <w:rFonts w:ascii="Cambria Math" w:eastAsiaTheme="minorEastAsia" w:hAnsi="Cambria Math"/>
            <w:szCs w:val="24"/>
            <w:lang w:val="es-ES_tradnl"/>
          </w:rPr>
          <m:t xml:space="preserve">B≥ </m:t>
        </m:r>
        <m:sSub>
          <m:sSubPr>
            <m:ctrlPr>
              <w:rPr>
                <w:rFonts w:ascii="Cambria Math" w:eastAsiaTheme="minorEastAsia" w:hAnsi="Cambria Math"/>
                <w:i/>
                <w:szCs w:val="24"/>
                <w:lang w:val="es-ES_tradnl"/>
              </w:rPr>
            </m:ctrlPr>
          </m:sSubPr>
          <m:e>
            <m:r>
              <w:rPr>
                <w:rFonts w:ascii="Cambria Math" w:eastAsiaTheme="minorEastAsia" w:hAnsi="Cambria Math"/>
                <w:szCs w:val="24"/>
                <w:lang w:val="es-ES_tradnl"/>
              </w:rPr>
              <m:t>B</m:t>
            </m:r>
          </m:e>
          <m:sub>
            <m:r>
              <w:rPr>
                <w:rFonts w:ascii="Cambria Math" w:eastAsiaTheme="minorEastAsia" w:hAnsi="Cambria Math"/>
                <w:szCs w:val="24"/>
                <w:lang w:val="es-ES_tradnl"/>
              </w:rPr>
              <m:t>ref</m:t>
            </m:r>
          </m:sub>
        </m:sSub>
      </m:oMath>
      <w:r w:rsidRPr="00194671">
        <w:rPr>
          <w:rFonts w:eastAsiaTheme="minorEastAsia"/>
          <w:szCs w:val="24"/>
          <w:lang w:val="es-ES_tradnl"/>
        </w:rPr>
        <w:t xml:space="preserve"> entonces</w:t>
      </w:r>
    </w:p>
    <w:p w14:paraId="64EA0EC6" w14:textId="77777777" w:rsidR="00812A33" w:rsidRPr="00194671" w:rsidRDefault="00812A33" w:rsidP="00812A33">
      <w:pPr>
        <w:spacing w:before="160"/>
        <w:ind w:left="1440"/>
        <w:rPr>
          <w:rFonts w:eastAsiaTheme="minorEastAsia"/>
          <w:szCs w:val="24"/>
          <w:lang w:val="es-ES_tradnl"/>
        </w:rPr>
      </w:pPr>
      <w:r w:rsidRPr="00194671">
        <w:rPr>
          <w:rFonts w:eastAsiaTheme="minorEastAsia"/>
          <w:szCs w:val="24"/>
          <w:lang w:val="es-ES_tradnl"/>
        </w:rPr>
        <w:tab/>
      </w:r>
      <w:r w:rsidRPr="00194671">
        <w:rPr>
          <w:rFonts w:eastAsiaTheme="minorEastAsia"/>
          <w:szCs w:val="24"/>
          <w:lang w:val="es-ES_tradnl"/>
        </w:rPr>
        <w:tab/>
      </w:r>
      <m:oMath>
        <m:sSub>
          <m:sSubPr>
            <m:ctrlPr>
              <w:rPr>
                <w:rFonts w:ascii="Cambria Math" w:eastAsiaTheme="minorEastAsia" w:hAnsi="Cambria Math"/>
                <w:i/>
                <w:szCs w:val="24"/>
                <w:lang w:val="es-ES_tradnl"/>
              </w:rPr>
            </m:ctrlPr>
          </m:sSubPr>
          <m:e>
            <m:r>
              <w:rPr>
                <w:rFonts w:ascii="Cambria Math" w:eastAsiaTheme="minorEastAsia" w:hAnsi="Cambria Math"/>
                <w:szCs w:val="24"/>
                <w:lang w:val="es-ES_tradnl"/>
              </w:rPr>
              <m:t>P</m:t>
            </m:r>
          </m:e>
          <m:sub>
            <m:r>
              <w:rPr>
                <w:rFonts w:ascii="Cambria Math" w:eastAsiaTheme="minorEastAsia" w:hAnsi="Cambria Math"/>
                <w:szCs w:val="24"/>
                <w:lang w:val="es-ES_tradnl"/>
              </w:rPr>
              <m:t>used</m:t>
            </m:r>
          </m:sub>
        </m:sSub>
        <m:r>
          <w:rPr>
            <w:rFonts w:ascii="Cambria Math" w:eastAsiaTheme="minorEastAsia" w:hAnsi="Cambria Math"/>
            <w:szCs w:val="24"/>
            <w:lang w:val="es-ES_tradnl"/>
          </w:rPr>
          <m:t>=Min</m:t>
        </m:r>
        <m:d>
          <m:dPr>
            <m:ctrlPr>
              <w:rPr>
                <w:rFonts w:ascii="Cambria Math" w:eastAsiaTheme="minorEastAsia" w:hAnsi="Cambria Math"/>
                <w:i/>
                <w:szCs w:val="24"/>
                <w:lang w:val="es-ES_tradnl"/>
              </w:rPr>
            </m:ctrlPr>
          </m:dPr>
          <m:e>
            <m:sSub>
              <m:sSubPr>
                <m:ctrlPr>
                  <w:rPr>
                    <w:rFonts w:ascii="Cambria Math" w:eastAsiaTheme="minorEastAsia" w:hAnsi="Cambria Math"/>
                    <w:i/>
                    <w:szCs w:val="24"/>
                    <w:lang w:val="es-ES_tradnl"/>
                  </w:rPr>
                </m:ctrlPr>
              </m:sSubPr>
              <m:e>
                <m:r>
                  <w:rPr>
                    <w:rFonts w:ascii="Cambria Math" w:eastAsiaTheme="minorEastAsia" w:hAnsi="Cambria Math"/>
                    <w:szCs w:val="24"/>
                    <w:lang w:val="es-ES_tradnl"/>
                  </w:rPr>
                  <m:t>PSD</m:t>
                </m:r>
              </m:e>
              <m:sub>
                <m:r>
                  <w:rPr>
                    <w:rFonts w:ascii="Cambria Math" w:eastAsiaTheme="minorEastAsia" w:hAnsi="Cambria Math"/>
                    <w:szCs w:val="24"/>
                    <w:lang w:val="es-ES_tradnl"/>
                  </w:rPr>
                  <m:t>max</m:t>
                </m:r>
              </m:sub>
            </m:sSub>
            <m:r>
              <w:rPr>
                <w:rFonts w:ascii="Cambria Math" w:eastAsiaTheme="minorEastAsia" w:hAnsi="Cambria Math"/>
                <w:szCs w:val="24"/>
                <w:lang w:val="es-ES_tradnl"/>
              </w:rPr>
              <m:t xml:space="preserve">+10 </m:t>
            </m:r>
            <m:func>
              <m:funcPr>
                <m:ctrlPr>
                  <w:rPr>
                    <w:rFonts w:ascii="Cambria Math" w:eastAsiaTheme="minorEastAsia" w:hAnsi="Cambria Math"/>
                    <w:i/>
                    <w:szCs w:val="24"/>
                    <w:lang w:val="es-ES_tradnl"/>
                  </w:rPr>
                </m:ctrlPr>
              </m:funcPr>
              <m:fName>
                <m:r>
                  <m:rPr>
                    <m:sty m:val="p"/>
                  </m:rPr>
                  <w:rPr>
                    <w:rFonts w:ascii="Cambria Math" w:eastAsiaTheme="minorEastAsia" w:hAnsi="Cambria Math"/>
                    <w:szCs w:val="24"/>
                    <w:lang w:val="es-ES_tradnl"/>
                  </w:rPr>
                  <m:t>log</m:t>
                </m:r>
              </m:fName>
              <m:e>
                <m:sSub>
                  <m:sSubPr>
                    <m:ctrlPr>
                      <w:rPr>
                        <w:rFonts w:ascii="Cambria Math" w:eastAsiaTheme="minorEastAsia" w:hAnsi="Cambria Math"/>
                        <w:i/>
                        <w:szCs w:val="24"/>
                        <w:lang w:val="es-ES_tradnl"/>
                      </w:rPr>
                    </m:ctrlPr>
                  </m:sSubPr>
                  <m:e>
                    <m:r>
                      <w:rPr>
                        <w:rFonts w:ascii="Cambria Math" w:eastAsiaTheme="minorEastAsia" w:hAnsi="Cambria Math"/>
                        <w:szCs w:val="24"/>
                        <w:lang w:val="es-ES_tradnl"/>
                      </w:rPr>
                      <m:t>B</m:t>
                    </m:r>
                  </m:e>
                  <m:sub>
                    <m:r>
                      <w:rPr>
                        <w:rFonts w:ascii="Cambria Math" w:eastAsiaTheme="minorEastAsia" w:hAnsi="Cambria Math"/>
                        <w:szCs w:val="24"/>
                        <w:lang w:val="es-ES_tradnl"/>
                      </w:rPr>
                      <m:t>ref</m:t>
                    </m:r>
                  </m:sub>
                </m:sSub>
              </m:e>
            </m:func>
            <m:r>
              <w:rPr>
                <w:rFonts w:ascii="Cambria Math" w:eastAsiaTheme="minorEastAsia" w:hAnsi="Cambria Math"/>
                <w:szCs w:val="24"/>
                <w:lang w:val="es-ES_tradnl"/>
              </w:rPr>
              <m:t xml:space="preserve">;  </m:t>
            </m:r>
            <m:sSub>
              <m:sSubPr>
                <m:ctrlPr>
                  <w:rPr>
                    <w:rFonts w:ascii="Cambria Math" w:eastAsiaTheme="minorEastAsia" w:hAnsi="Cambria Math"/>
                    <w:i/>
                    <w:szCs w:val="24"/>
                    <w:lang w:val="es-ES_tradnl"/>
                  </w:rPr>
                </m:ctrlPr>
              </m:sSubPr>
              <m:e>
                <m:r>
                  <w:rPr>
                    <w:rFonts w:ascii="Cambria Math" w:eastAsiaTheme="minorEastAsia" w:hAnsi="Cambria Math"/>
                    <w:szCs w:val="24"/>
                    <w:lang w:val="es-ES_tradnl"/>
                  </w:rPr>
                  <m:t>P</m:t>
                </m:r>
              </m:e>
              <m:sub>
                <m:r>
                  <w:rPr>
                    <w:rFonts w:ascii="Cambria Math" w:eastAsiaTheme="minorEastAsia" w:hAnsi="Cambria Math"/>
                    <w:szCs w:val="24"/>
                    <w:lang w:val="es-ES_tradnl"/>
                  </w:rPr>
                  <m:t>max</m:t>
                </m:r>
              </m:sub>
            </m:sSub>
          </m:e>
        </m:d>
      </m:oMath>
    </w:p>
    <w:p w14:paraId="02459D45" w14:textId="77777777" w:rsidR="00812A33" w:rsidRPr="00194671" w:rsidRDefault="00812A33" w:rsidP="00812A33">
      <w:pPr>
        <w:spacing w:before="160"/>
        <w:ind w:left="1440"/>
        <w:rPr>
          <w:rFonts w:eastAsiaTheme="minorEastAsia"/>
          <w:szCs w:val="24"/>
          <w:lang w:val="es-ES_tradnl"/>
        </w:rPr>
      </w:pPr>
      <w:r w:rsidRPr="00194671">
        <w:rPr>
          <w:rFonts w:eastAsiaTheme="minorEastAsia"/>
          <w:szCs w:val="24"/>
          <w:lang w:val="es-ES_tradnl"/>
        </w:rPr>
        <w:t xml:space="preserve">Si </w:t>
      </w:r>
      <m:oMath>
        <m:r>
          <w:rPr>
            <w:rFonts w:ascii="Cambria Math" w:eastAsiaTheme="minorEastAsia" w:hAnsi="Cambria Math"/>
            <w:szCs w:val="24"/>
            <w:lang w:val="es-ES_tradnl"/>
          </w:rPr>
          <m:t xml:space="preserve">B&lt; </m:t>
        </m:r>
        <m:sSub>
          <m:sSubPr>
            <m:ctrlPr>
              <w:rPr>
                <w:rFonts w:ascii="Cambria Math" w:eastAsiaTheme="minorEastAsia" w:hAnsi="Cambria Math"/>
                <w:i/>
                <w:szCs w:val="24"/>
                <w:lang w:val="es-ES_tradnl"/>
              </w:rPr>
            </m:ctrlPr>
          </m:sSubPr>
          <m:e>
            <m:r>
              <w:rPr>
                <w:rFonts w:ascii="Cambria Math" w:eastAsiaTheme="minorEastAsia" w:hAnsi="Cambria Math"/>
                <w:szCs w:val="24"/>
                <w:lang w:val="es-ES_tradnl"/>
              </w:rPr>
              <m:t>B</m:t>
            </m:r>
          </m:e>
          <m:sub>
            <m:r>
              <w:rPr>
                <w:rFonts w:ascii="Cambria Math" w:eastAsiaTheme="minorEastAsia" w:hAnsi="Cambria Math"/>
                <w:szCs w:val="24"/>
                <w:lang w:val="es-ES_tradnl"/>
              </w:rPr>
              <m:t>ref</m:t>
            </m:r>
          </m:sub>
        </m:sSub>
      </m:oMath>
      <w:r w:rsidRPr="00194671">
        <w:rPr>
          <w:rFonts w:eastAsiaTheme="minorEastAsia"/>
          <w:szCs w:val="24"/>
          <w:lang w:val="es-ES_tradnl"/>
        </w:rPr>
        <w:t xml:space="preserve"> entonces</w:t>
      </w:r>
    </w:p>
    <w:p w14:paraId="43AF23A7" w14:textId="77777777" w:rsidR="00812A33" w:rsidRDefault="00812A33" w:rsidP="00812A33">
      <w:pPr>
        <w:spacing w:before="160"/>
        <w:ind w:left="1440"/>
        <w:rPr>
          <w:rFonts w:eastAsiaTheme="minorEastAsia"/>
          <w:szCs w:val="24"/>
          <w:lang w:val="es-ES_tradnl"/>
        </w:rPr>
      </w:pPr>
      <w:r w:rsidRPr="00194671">
        <w:rPr>
          <w:rFonts w:eastAsiaTheme="minorEastAsia"/>
          <w:szCs w:val="24"/>
          <w:lang w:val="es-ES_tradnl"/>
        </w:rPr>
        <w:tab/>
      </w:r>
      <w:r w:rsidRPr="00194671">
        <w:rPr>
          <w:rFonts w:eastAsiaTheme="minorEastAsia"/>
          <w:szCs w:val="24"/>
          <w:lang w:val="es-ES_tradnl"/>
        </w:rPr>
        <w:tab/>
      </w:r>
      <m:oMath>
        <m:sSub>
          <m:sSubPr>
            <m:ctrlPr>
              <w:rPr>
                <w:rFonts w:ascii="Cambria Math" w:eastAsiaTheme="minorEastAsia" w:hAnsi="Cambria Math"/>
                <w:i/>
                <w:szCs w:val="24"/>
                <w:lang w:val="es-ES_tradnl"/>
              </w:rPr>
            </m:ctrlPr>
          </m:sSubPr>
          <m:e>
            <m:r>
              <w:rPr>
                <w:rFonts w:ascii="Cambria Math" w:eastAsiaTheme="minorEastAsia" w:hAnsi="Cambria Math"/>
                <w:szCs w:val="24"/>
                <w:lang w:val="es-ES_tradnl"/>
              </w:rPr>
              <m:t>P</m:t>
            </m:r>
          </m:e>
          <m:sub>
            <m:r>
              <w:rPr>
                <w:rFonts w:ascii="Cambria Math" w:eastAsiaTheme="minorEastAsia" w:hAnsi="Cambria Math"/>
                <w:szCs w:val="24"/>
                <w:lang w:val="es-ES_tradnl"/>
              </w:rPr>
              <m:t>used</m:t>
            </m:r>
          </m:sub>
        </m:sSub>
        <m:r>
          <w:rPr>
            <w:rFonts w:ascii="Cambria Math" w:eastAsiaTheme="minorEastAsia" w:hAnsi="Cambria Math"/>
            <w:szCs w:val="24"/>
            <w:lang w:val="es-ES_tradnl"/>
          </w:rPr>
          <m:t>=</m:t>
        </m:r>
        <m:sSub>
          <m:sSubPr>
            <m:ctrlPr>
              <w:rPr>
                <w:rFonts w:ascii="Cambria Math" w:eastAsiaTheme="minorEastAsia" w:hAnsi="Cambria Math"/>
                <w:i/>
                <w:szCs w:val="24"/>
                <w:lang w:val="es-ES_tradnl"/>
              </w:rPr>
            </m:ctrlPr>
          </m:sSubPr>
          <m:e>
            <m:r>
              <w:rPr>
                <w:rFonts w:ascii="Cambria Math" w:eastAsiaTheme="minorEastAsia" w:hAnsi="Cambria Math"/>
                <w:szCs w:val="24"/>
                <w:lang w:val="es-ES_tradnl"/>
              </w:rPr>
              <m:t>P</m:t>
            </m:r>
          </m:e>
          <m:sub>
            <m:r>
              <w:rPr>
                <w:rFonts w:ascii="Cambria Math" w:eastAsiaTheme="minorEastAsia" w:hAnsi="Cambria Math"/>
                <w:szCs w:val="24"/>
                <w:lang w:val="es-ES_tradnl"/>
              </w:rPr>
              <m:t>max</m:t>
            </m:r>
          </m:sub>
        </m:sSub>
      </m:oMath>
    </w:p>
    <w:p w14:paraId="38EBD92A" w14:textId="77777777" w:rsidR="003E06F6" w:rsidRPr="00194671" w:rsidRDefault="003E06F6" w:rsidP="00812A33">
      <w:pPr>
        <w:spacing w:before="160"/>
        <w:ind w:left="1440"/>
        <w:rPr>
          <w:rFonts w:eastAsiaTheme="minorEastAsia"/>
          <w:szCs w:val="24"/>
          <w:lang w:val="es-ES_tradnl"/>
        </w:rPr>
      </w:pPr>
    </w:p>
    <w:p w14:paraId="30F7915E" w14:textId="175BDE82" w:rsidR="00812A33" w:rsidRPr="00194671" w:rsidRDefault="00812A33" w:rsidP="00812A33">
      <w:pPr>
        <w:pStyle w:val="enumlev1"/>
        <w:rPr>
          <w:rFonts w:eastAsiaTheme="minorEastAsia"/>
          <w:b/>
          <w:bCs/>
          <w:szCs w:val="24"/>
          <w:lang w:val="es-ES_tradnl"/>
        </w:rPr>
      </w:pPr>
      <w:r w:rsidRPr="00194671">
        <w:rPr>
          <w:rFonts w:eastAsiaTheme="minorEastAsia"/>
          <w:b/>
          <w:bCs/>
          <w:szCs w:val="24"/>
          <w:lang w:val="es-ES_tradnl"/>
        </w:rPr>
        <w:tab/>
        <w:t xml:space="preserve">Para </w:t>
      </w:r>
      <m:oMath>
        <m:sSub>
          <m:sSubPr>
            <m:ctrlPr>
              <w:rPr>
                <w:rFonts w:ascii="Cambria Math" w:eastAsiaTheme="minorEastAsia" w:hAnsi="Cambria Math"/>
                <w:i/>
                <w:szCs w:val="24"/>
                <w:lang w:val="es-ES_tradnl"/>
              </w:rPr>
            </m:ctrlPr>
          </m:sSubPr>
          <m:e>
            <m:r>
              <w:rPr>
                <w:rFonts w:ascii="Cambria Math" w:eastAsiaTheme="minorEastAsia" w:hAnsi="Cambria Math"/>
                <w:szCs w:val="24"/>
                <w:lang w:val="es-ES_tradnl"/>
              </w:rPr>
              <m:t>B</m:t>
            </m:r>
          </m:e>
          <m:sub>
            <m:r>
              <w:rPr>
                <w:rFonts w:ascii="Cambria Math" w:eastAsiaTheme="minorEastAsia" w:hAnsi="Cambria Math"/>
                <w:szCs w:val="24"/>
                <w:lang w:val="es-ES_tradnl"/>
              </w:rPr>
              <m:t>avg</m:t>
            </m:r>
          </m:sub>
        </m:sSub>
        <m:r>
          <w:rPr>
            <w:rFonts w:ascii="Cambria Math" w:eastAsiaTheme="minorEastAsia" w:hAnsi="Cambria Math"/>
            <w:szCs w:val="24"/>
            <w:lang w:val="es-ES_tradnl"/>
          </w:rPr>
          <m:t xml:space="preserve">&gt; </m:t>
        </m:r>
        <m:sSub>
          <m:sSubPr>
            <m:ctrlPr>
              <w:rPr>
                <w:rFonts w:ascii="Cambria Math" w:eastAsiaTheme="minorEastAsia" w:hAnsi="Cambria Math"/>
                <w:i/>
                <w:szCs w:val="24"/>
                <w:lang w:val="es-ES_tradnl"/>
              </w:rPr>
            </m:ctrlPr>
          </m:sSubPr>
          <m:e>
            <m:r>
              <w:rPr>
                <w:rFonts w:ascii="Cambria Math" w:eastAsiaTheme="minorEastAsia" w:hAnsi="Cambria Math"/>
                <w:szCs w:val="24"/>
                <w:lang w:val="es-ES_tradnl"/>
              </w:rPr>
              <m:t>B</m:t>
            </m:r>
          </m:e>
          <m:sub>
            <m:r>
              <w:rPr>
                <w:rFonts w:ascii="Cambria Math" w:eastAsiaTheme="minorEastAsia" w:hAnsi="Cambria Math"/>
                <w:szCs w:val="24"/>
                <w:lang w:val="es-ES_tradnl"/>
              </w:rPr>
              <m:t>ref</m:t>
            </m:r>
          </m:sub>
        </m:sSub>
      </m:oMath>
      <w:r w:rsidRPr="00194671">
        <w:rPr>
          <w:rFonts w:eastAsiaTheme="minorEastAsia"/>
          <w:b/>
          <w:bCs/>
          <w:szCs w:val="24"/>
          <w:lang w:val="es-ES_tradnl"/>
        </w:rPr>
        <w:t xml:space="preserve"> (todavía no se ha dado ningún caso):</w:t>
      </w:r>
    </w:p>
    <w:p w14:paraId="24908982" w14:textId="77777777" w:rsidR="00812A33" w:rsidRPr="00194671" w:rsidRDefault="00812A33" w:rsidP="00812A33">
      <w:pPr>
        <w:spacing w:before="160"/>
        <w:ind w:left="1440"/>
        <w:rPr>
          <w:rFonts w:eastAsiaTheme="minorEastAsia"/>
          <w:szCs w:val="24"/>
          <w:lang w:val="es-ES_tradnl"/>
        </w:rPr>
      </w:pPr>
      <w:r w:rsidRPr="00194671">
        <w:rPr>
          <w:rFonts w:eastAsiaTheme="minorEastAsia"/>
          <w:b/>
          <w:bCs/>
          <w:szCs w:val="24"/>
          <w:lang w:val="es-ES_tradnl"/>
        </w:rPr>
        <w:tab/>
      </w:r>
      <w:r w:rsidRPr="00194671">
        <w:rPr>
          <w:rFonts w:eastAsiaTheme="minorEastAsia"/>
          <w:szCs w:val="24"/>
          <w:lang w:val="es-ES_tradnl"/>
        </w:rPr>
        <w:t xml:space="preserve">Si </w:t>
      </w:r>
      <m:oMath>
        <m:r>
          <w:rPr>
            <w:rFonts w:ascii="Cambria Math" w:eastAsiaTheme="minorEastAsia" w:hAnsi="Cambria Math"/>
            <w:szCs w:val="24"/>
            <w:lang w:val="es-ES_tradnl"/>
          </w:rPr>
          <m:t xml:space="preserve">B≥ </m:t>
        </m:r>
        <m:sSub>
          <m:sSubPr>
            <m:ctrlPr>
              <w:rPr>
                <w:rFonts w:ascii="Cambria Math" w:eastAsiaTheme="minorEastAsia" w:hAnsi="Cambria Math"/>
                <w:i/>
                <w:szCs w:val="24"/>
                <w:lang w:val="es-ES_tradnl"/>
              </w:rPr>
            </m:ctrlPr>
          </m:sSubPr>
          <m:e>
            <m:r>
              <w:rPr>
                <w:rFonts w:ascii="Cambria Math" w:eastAsiaTheme="minorEastAsia" w:hAnsi="Cambria Math"/>
                <w:szCs w:val="24"/>
                <w:lang w:val="es-ES_tradnl"/>
              </w:rPr>
              <m:t>B</m:t>
            </m:r>
          </m:e>
          <m:sub>
            <m:r>
              <w:rPr>
                <w:rFonts w:ascii="Cambria Math" w:eastAsiaTheme="minorEastAsia" w:hAnsi="Cambria Math"/>
                <w:szCs w:val="24"/>
                <w:lang w:val="es-ES_tradnl"/>
              </w:rPr>
              <m:t>ref</m:t>
            </m:r>
          </m:sub>
        </m:sSub>
      </m:oMath>
      <w:r w:rsidRPr="00194671">
        <w:rPr>
          <w:rFonts w:eastAsiaTheme="minorEastAsia"/>
          <w:szCs w:val="24"/>
          <w:lang w:val="es-ES_tradnl"/>
        </w:rPr>
        <w:t xml:space="preserve"> entonces</w:t>
      </w:r>
    </w:p>
    <w:p w14:paraId="57F80935" w14:textId="77777777" w:rsidR="00812A33" w:rsidRPr="00194671" w:rsidRDefault="00812A33" w:rsidP="00812A33">
      <w:pPr>
        <w:spacing w:before="160"/>
        <w:ind w:left="1440"/>
        <w:rPr>
          <w:rFonts w:eastAsiaTheme="minorEastAsia"/>
          <w:szCs w:val="24"/>
          <w:lang w:val="es-ES_tradnl"/>
        </w:rPr>
      </w:pPr>
      <w:r w:rsidRPr="00194671">
        <w:rPr>
          <w:rFonts w:eastAsiaTheme="minorEastAsia"/>
          <w:szCs w:val="24"/>
          <w:lang w:val="es-ES_tradnl"/>
        </w:rPr>
        <w:tab/>
      </w:r>
      <w:r w:rsidRPr="00194671">
        <w:rPr>
          <w:rFonts w:eastAsiaTheme="minorEastAsia"/>
          <w:szCs w:val="24"/>
          <w:lang w:val="es-ES_tradnl"/>
        </w:rPr>
        <w:tab/>
      </w:r>
      <m:oMath>
        <m:sSub>
          <m:sSubPr>
            <m:ctrlPr>
              <w:rPr>
                <w:rFonts w:ascii="Cambria Math" w:eastAsiaTheme="minorEastAsia" w:hAnsi="Cambria Math"/>
                <w:i/>
                <w:szCs w:val="24"/>
                <w:lang w:val="es-ES_tradnl"/>
              </w:rPr>
            </m:ctrlPr>
          </m:sSubPr>
          <m:e>
            <m:r>
              <w:rPr>
                <w:rFonts w:ascii="Cambria Math" w:eastAsiaTheme="minorEastAsia" w:hAnsi="Cambria Math"/>
                <w:szCs w:val="24"/>
                <w:lang w:val="es-ES_tradnl"/>
              </w:rPr>
              <m:t>P</m:t>
            </m:r>
          </m:e>
          <m:sub>
            <m:r>
              <w:rPr>
                <w:rFonts w:ascii="Cambria Math" w:eastAsiaTheme="minorEastAsia" w:hAnsi="Cambria Math"/>
                <w:szCs w:val="24"/>
                <w:lang w:val="es-ES_tradnl"/>
              </w:rPr>
              <m:t>used</m:t>
            </m:r>
          </m:sub>
        </m:sSub>
        <m:r>
          <w:rPr>
            <w:rFonts w:ascii="Cambria Math" w:eastAsiaTheme="minorEastAsia" w:hAnsi="Cambria Math"/>
            <w:szCs w:val="24"/>
            <w:lang w:val="es-ES_tradnl"/>
          </w:rPr>
          <m:t>=</m:t>
        </m:r>
        <m:sSub>
          <m:sSubPr>
            <m:ctrlPr>
              <w:rPr>
                <w:rFonts w:ascii="Cambria Math" w:eastAsiaTheme="minorEastAsia" w:hAnsi="Cambria Math"/>
                <w:i/>
                <w:szCs w:val="24"/>
                <w:lang w:val="es-ES_tradnl"/>
              </w:rPr>
            </m:ctrlPr>
          </m:sSubPr>
          <m:e>
            <m:r>
              <w:rPr>
                <w:rFonts w:ascii="Cambria Math" w:eastAsiaTheme="minorEastAsia" w:hAnsi="Cambria Math"/>
                <w:szCs w:val="24"/>
                <w:lang w:val="es-ES_tradnl"/>
              </w:rPr>
              <m:t>PSD</m:t>
            </m:r>
          </m:e>
          <m:sub>
            <m:r>
              <w:rPr>
                <w:rFonts w:ascii="Cambria Math" w:eastAsiaTheme="minorEastAsia" w:hAnsi="Cambria Math"/>
                <w:szCs w:val="24"/>
                <w:lang w:val="es-ES_tradnl"/>
              </w:rPr>
              <m:t>max</m:t>
            </m:r>
          </m:sub>
        </m:sSub>
        <m:r>
          <w:rPr>
            <w:rFonts w:ascii="Cambria Math" w:eastAsiaTheme="minorEastAsia" w:hAnsi="Cambria Math"/>
            <w:szCs w:val="24"/>
            <w:lang w:val="es-ES_tradnl"/>
          </w:rPr>
          <m:t xml:space="preserve">+10 </m:t>
        </m:r>
        <m:func>
          <m:funcPr>
            <m:ctrlPr>
              <w:rPr>
                <w:rFonts w:ascii="Cambria Math" w:eastAsiaTheme="minorEastAsia" w:hAnsi="Cambria Math"/>
                <w:i/>
                <w:szCs w:val="24"/>
                <w:lang w:val="es-ES_tradnl"/>
              </w:rPr>
            </m:ctrlPr>
          </m:funcPr>
          <m:fName>
            <m:r>
              <m:rPr>
                <m:sty m:val="p"/>
              </m:rPr>
              <w:rPr>
                <w:rFonts w:ascii="Cambria Math" w:eastAsiaTheme="minorEastAsia" w:hAnsi="Cambria Math"/>
                <w:szCs w:val="24"/>
                <w:lang w:val="es-ES_tradnl"/>
              </w:rPr>
              <m:t>log</m:t>
            </m:r>
          </m:fName>
          <m:e>
            <m:sSub>
              <m:sSubPr>
                <m:ctrlPr>
                  <w:rPr>
                    <w:rFonts w:ascii="Cambria Math" w:eastAsiaTheme="minorEastAsia" w:hAnsi="Cambria Math"/>
                    <w:i/>
                    <w:szCs w:val="24"/>
                    <w:lang w:val="es-ES_tradnl"/>
                  </w:rPr>
                </m:ctrlPr>
              </m:sSubPr>
              <m:e>
                <m:r>
                  <w:rPr>
                    <w:rFonts w:ascii="Cambria Math" w:eastAsiaTheme="minorEastAsia" w:hAnsi="Cambria Math"/>
                    <w:szCs w:val="24"/>
                    <w:lang w:val="es-ES_tradnl"/>
                  </w:rPr>
                  <m:t>B</m:t>
                </m:r>
              </m:e>
              <m:sub>
                <m:r>
                  <w:rPr>
                    <w:rFonts w:ascii="Cambria Math" w:eastAsiaTheme="minorEastAsia" w:hAnsi="Cambria Math"/>
                    <w:szCs w:val="24"/>
                    <w:lang w:val="es-ES_tradnl"/>
                  </w:rPr>
                  <m:t>ref</m:t>
                </m:r>
              </m:sub>
            </m:sSub>
          </m:e>
        </m:func>
      </m:oMath>
    </w:p>
    <w:p w14:paraId="61860CF2" w14:textId="77777777" w:rsidR="00812A33" w:rsidRPr="00194671" w:rsidRDefault="00812A33" w:rsidP="00812A33">
      <w:pPr>
        <w:spacing w:before="160"/>
        <w:ind w:left="1440"/>
        <w:rPr>
          <w:rFonts w:eastAsiaTheme="minorEastAsia"/>
          <w:szCs w:val="24"/>
          <w:lang w:val="es-ES_tradnl"/>
        </w:rPr>
      </w:pPr>
      <w:r w:rsidRPr="00194671">
        <w:rPr>
          <w:rFonts w:eastAsiaTheme="minorEastAsia"/>
          <w:szCs w:val="24"/>
          <w:lang w:val="es-ES_tradnl"/>
        </w:rPr>
        <w:t xml:space="preserve">Si </w:t>
      </w:r>
      <m:oMath>
        <m:r>
          <w:rPr>
            <w:rFonts w:ascii="Cambria Math" w:eastAsiaTheme="minorEastAsia" w:hAnsi="Cambria Math"/>
            <w:szCs w:val="24"/>
            <w:lang w:val="es-ES_tradnl"/>
          </w:rPr>
          <m:t xml:space="preserve">B&lt; </m:t>
        </m:r>
        <m:sSub>
          <m:sSubPr>
            <m:ctrlPr>
              <w:rPr>
                <w:rFonts w:ascii="Cambria Math" w:eastAsiaTheme="minorEastAsia" w:hAnsi="Cambria Math"/>
                <w:i/>
                <w:szCs w:val="24"/>
                <w:lang w:val="es-ES_tradnl"/>
              </w:rPr>
            </m:ctrlPr>
          </m:sSubPr>
          <m:e>
            <m:r>
              <w:rPr>
                <w:rFonts w:ascii="Cambria Math" w:eastAsiaTheme="minorEastAsia" w:hAnsi="Cambria Math"/>
                <w:szCs w:val="24"/>
                <w:lang w:val="es-ES_tradnl"/>
              </w:rPr>
              <m:t>B</m:t>
            </m:r>
          </m:e>
          <m:sub>
            <m:r>
              <w:rPr>
                <w:rFonts w:ascii="Cambria Math" w:eastAsiaTheme="minorEastAsia" w:hAnsi="Cambria Math"/>
                <w:szCs w:val="24"/>
                <w:lang w:val="es-ES_tradnl"/>
              </w:rPr>
              <m:t>ref</m:t>
            </m:r>
          </m:sub>
        </m:sSub>
      </m:oMath>
      <w:r w:rsidRPr="00194671">
        <w:rPr>
          <w:rFonts w:eastAsiaTheme="minorEastAsia"/>
          <w:szCs w:val="24"/>
          <w:lang w:val="es-ES_tradnl"/>
        </w:rPr>
        <w:t xml:space="preserve"> entonces</w:t>
      </w:r>
    </w:p>
    <w:p w14:paraId="55E42384" w14:textId="6EAB7FD2" w:rsidR="00812A33" w:rsidRPr="00194671" w:rsidRDefault="00812A33" w:rsidP="00812A33">
      <w:pPr>
        <w:rPr>
          <w:rFonts w:eastAsiaTheme="minorEastAsia"/>
          <w:lang w:val="es-ES_tradnl"/>
        </w:rPr>
      </w:pPr>
      <w:r w:rsidRPr="00194671">
        <w:rPr>
          <w:rFonts w:eastAsiaTheme="minorEastAsia"/>
          <w:szCs w:val="24"/>
          <w:lang w:val="es-ES_tradnl"/>
        </w:rPr>
        <w:tab/>
      </w:r>
      <w:r w:rsidRPr="00194671">
        <w:rPr>
          <w:rFonts w:eastAsiaTheme="minorEastAsia"/>
          <w:szCs w:val="24"/>
          <w:lang w:val="es-ES_tradnl"/>
        </w:rPr>
        <w:tab/>
      </w:r>
      <m:oMath>
        <m:sSub>
          <m:sSubPr>
            <m:ctrlPr>
              <w:rPr>
                <w:rFonts w:ascii="Cambria Math" w:eastAsiaTheme="minorEastAsia" w:hAnsi="Cambria Math"/>
                <w:i/>
                <w:szCs w:val="24"/>
                <w:lang w:val="es-ES_tradnl"/>
              </w:rPr>
            </m:ctrlPr>
          </m:sSubPr>
          <m:e>
            <m:r>
              <w:rPr>
                <w:rFonts w:ascii="Cambria Math" w:eastAsiaTheme="minorEastAsia" w:hAnsi="Cambria Math"/>
                <w:szCs w:val="24"/>
                <w:lang w:val="es-ES_tradnl"/>
              </w:rPr>
              <m:t>P</m:t>
            </m:r>
          </m:e>
          <m:sub>
            <m:r>
              <w:rPr>
                <w:rFonts w:ascii="Cambria Math" w:eastAsiaTheme="minorEastAsia" w:hAnsi="Cambria Math"/>
                <w:szCs w:val="24"/>
                <w:lang w:val="es-ES_tradnl"/>
              </w:rPr>
              <m:t>used</m:t>
            </m:r>
          </m:sub>
        </m:sSub>
        <m:r>
          <w:rPr>
            <w:rFonts w:ascii="Cambria Math" w:eastAsiaTheme="minorEastAsia" w:hAnsi="Cambria Math"/>
            <w:szCs w:val="24"/>
            <w:lang w:val="es-ES_tradnl"/>
          </w:rPr>
          <m:t>=</m:t>
        </m:r>
        <m:sSub>
          <m:sSubPr>
            <m:ctrlPr>
              <w:rPr>
                <w:rFonts w:ascii="Cambria Math" w:eastAsiaTheme="minorEastAsia" w:hAnsi="Cambria Math"/>
                <w:i/>
                <w:szCs w:val="24"/>
                <w:lang w:val="es-ES_tradnl"/>
              </w:rPr>
            </m:ctrlPr>
          </m:sSubPr>
          <m:e>
            <m:r>
              <w:rPr>
                <w:rFonts w:ascii="Cambria Math" w:eastAsiaTheme="minorEastAsia" w:hAnsi="Cambria Math"/>
                <w:szCs w:val="24"/>
                <w:lang w:val="es-ES_tradnl"/>
              </w:rPr>
              <m:t>P</m:t>
            </m:r>
          </m:e>
          <m:sub>
            <m:r>
              <w:rPr>
                <w:rFonts w:ascii="Cambria Math" w:eastAsiaTheme="minorEastAsia" w:hAnsi="Cambria Math"/>
                <w:szCs w:val="24"/>
                <w:lang w:val="es-ES_tradnl"/>
              </w:rPr>
              <m:t>max</m:t>
            </m:r>
          </m:sub>
        </m:sSub>
      </m:oMath>
    </w:p>
    <w:sectPr w:rsidR="00812A33" w:rsidRPr="00194671" w:rsidSect="00132DD2">
      <w:headerReference w:type="even" r:id="rId11"/>
      <w:headerReference w:type="default" r:id="rId12"/>
      <w:headerReference w:type="first" r:id="rId13"/>
      <w:footerReference w:type="first" r:id="rId14"/>
      <w:pgSz w:w="11907" w:h="16834" w:code="9"/>
      <w:pgMar w:top="1134" w:right="1134" w:bottom="993" w:left="1134" w:header="567"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EEF2B" w14:textId="77777777" w:rsidR="002B7EE0" w:rsidRDefault="002B7EE0">
      <w:r>
        <w:separator/>
      </w:r>
    </w:p>
  </w:endnote>
  <w:endnote w:type="continuationSeparator" w:id="0">
    <w:p w14:paraId="77A46DFC" w14:textId="77777777" w:rsidR="002B7EE0" w:rsidRDefault="002B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2B5DD" w14:textId="0B9C89CE" w:rsidR="005370F0" w:rsidRPr="003B370E" w:rsidRDefault="00CF7B6D" w:rsidP="00132DD2">
    <w:pPr>
      <w:pStyle w:val="Footer"/>
      <w:spacing w:before="0" w:line="240" w:lineRule="auto"/>
      <w:jc w:val="center"/>
      <w:rPr>
        <w:sz w:val="19"/>
        <w:szCs w:val="19"/>
        <w:lang w:val="es-ES"/>
      </w:rPr>
    </w:pPr>
    <w:r w:rsidRPr="00353E34">
      <w:rPr>
        <w:color w:val="4F81BD" w:themeColor="accent1"/>
        <w:sz w:val="19"/>
        <w:szCs w:val="19"/>
        <w:lang w:val="es-ES"/>
      </w:rPr>
      <w:t>Unión Internacional de Telecomunicaciones • Place des Nations, CH-1211 Ginebra 20, Suiza</w:t>
    </w:r>
    <w:r w:rsidRPr="00353E34">
      <w:rPr>
        <w:color w:val="4F81BD" w:themeColor="accent1"/>
        <w:sz w:val="19"/>
        <w:szCs w:val="19"/>
        <w:lang w:val="es-ES"/>
      </w:rPr>
      <w:br/>
      <w:t xml:space="preserve">Tel.: +41 22 730 5111 • Correo-e: </w:t>
    </w:r>
    <w:hyperlink r:id="rId1" w:history="1">
      <w:r w:rsidR="00353E34" w:rsidRPr="000B33D5">
        <w:rPr>
          <w:rStyle w:val="Hyperlink"/>
          <w:sz w:val="19"/>
          <w:szCs w:val="19"/>
          <w:lang w:val="es-ES"/>
        </w:rPr>
        <w:t>brmail@itu.int</w:t>
      </w:r>
    </w:hyperlink>
    <w:r w:rsidRPr="00353E34">
      <w:rPr>
        <w:color w:val="4F81BD" w:themeColor="accent1"/>
        <w:sz w:val="19"/>
        <w:szCs w:val="19"/>
        <w:lang w:val="es-ES"/>
      </w:rPr>
      <w:t xml:space="preserve"> </w:t>
    </w:r>
    <w:r w:rsidRPr="00353E34">
      <w:rPr>
        <w:color w:val="4F81BD"/>
        <w:sz w:val="19"/>
        <w:szCs w:val="19"/>
        <w:lang w:val="es-ES"/>
      </w:rPr>
      <w:t xml:space="preserve">• Fax: +41 22 733 7256 • </w:t>
    </w:r>
    <w:hyperlink r:id="rId2" w:history="1">
      <w:r w:rsidRPr="00353E34">
        <w:rPr>
          <w:rStyle w:val="Hyperlink"/>
          <w:sz w:val="19"/>
          <w:szCs w:val="19"/>
          <w:lang w:val="es-E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51E98" w14:textId="77777777" w:rsidR="002B7EE0" w:rsidRDefault="002B7EE0">
      <w:r>
        <w:t>____________________</w:t>
      </w:r>
    </w:p>
  </w:footnote>
  <w:footnote w:type="continuationSeparator" w:id="0">
    <w:p w14:paraId="1E70CB41" w14:textId="77777777" w:rsidR="002B7EE0" w:rsidRDefault="002B7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AE91" w14:textId="7319837C" w:rsidR="00E915AF" w:rsidRPr="00D239B4" w:rsidRDefault="00D97EF5" w:rsidP="007D27C2">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535FEF">
      <w:rPr>
        <w:rStyle w:val="PageNumber"/>
        <w:noProof/>
        <w:sz w:val="18"/>
        <w:szCs w:val="16"/>
      </w:rPr>
      <w:t>2</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A1DC5" w14:textId="0FF60600" w:rsidR="00E915AF" w:rsidRPr="007D27C2" w:rsidRDefault="007D27C2" w:rsidP="007D27C2">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sz w:val="18"/>
        <w:szCs w:val="16"/>
      </w:rPr>
      <w:t>4</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99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2"/>
      <w:gridCol w:w="5131"/>
    </w:tblGrid>
    <w:tr w:rsidR="001B3D4D" w14:paraId="17DCC20F" w14:textId="77777777" w:rsidTr="002B7EE0">
      <w:tc>
        <w:tcPr>
          <w:tcW w:w="9862" w:type="dxa"/>
          <w:tcMar>
            <w:left w:w="0" w:type="dxa"/>
          </w:tcMar>
        </w:tcPr>
        <w:p w14:paraId="0EDA5A65" w14:textId="77777777" w:rsidR="001B3D4D" w:rsidRDefault="002B7EE0" w:rsidP="002B7EE0">
          <w:pPr>
            <w:pStyle w:val="FirstFooter"/>
            <w:spacing w:line="240" w:lineRule="auto"/>
            <w:ind w:left="-397" w:right="-397"/>
            <w:jc w:val="center"/>
          </w:pPr>
          <w:r>
            <w:rPr>
              <w:noProof/>
              <w:lang w:val="en-GB" w:eastAsia="en-GB"/>
            </w:rPr>
            <w:drawing>
              <wp:inline distT="0" distB="0" distL="0" distR="0" wp14:anchorId="654BBB77" wp14:editId="2563B30D">
                <wp:extent cx="765175" cy="765175"/>
                <wp:effectExtent l="0" t="0" r="0" b="0"/>
                <wp:docPr id="1350946514" name="Picture 1350946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69CA7AFA" w14:textId="77777777" w:rsidR="001B3D4D" w:rsidRDefault="001B3D4D" w:rsidP="001B3D4D">
          <w:pPr>
            <w:pStyle w:val="Header"/>
            <w:spacing w:before="240" w:line="360" w:lineRule="auto"/>
            <w:jc w:val="right"/>
          </w:pPr>
        </w:p>
      </w:tc>
    </w:tr>
  </w:tbl>
  <w:p w14:paraId="0B0D68E2"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5AC3ECA"/>
    <w:multiLevelType w:val="hybridMultilevel"/>
    <w:tmpl w:val="782489BE"/>
    <w:lvl w:ilvl="0" w:tplc="51D8349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A252960"/>
    <w:multiLevelType w:val="hybridMultilevel"/>
    <w:tmpl w:val="F502EE0E"/>
    <w:lvl w:ilvl="0" w:tplc="9FCAACA6">
      <w:start w:val="1"/>
      <w:numFmt w:val="decimal"/>
      <w:lvlText w:val="%1"/>
      <w:lvlJc w:val="left"/>
      <w:pPr>
        <w:ind w:left="1150" w:hanging="7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0518091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789161">
    <w:abstractNumId w:val="7"/>
  </w:num>
  <w:num w:numId="3" w16cid:durableId="676273205">
    <w:abstractNumId w:val="4"/>
  </w:num>
  <w:num w:numId="4" w16cid:durableId="16779242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mirrorMargins/>
  <w:activeWritingStyle w:appName="MSWord" w:lang="fr-CH" w:vendorID="64" w:dllVersion="6"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B7EE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2DD2"/>
    <w:rsid w:val="00134404"/>
    <w:rsid w:val="00134A8E"/>
    <w:rsid w:val="00144DFB"/>
    <w:rsid w:val="00187CA3"/>
    <w:rsid w:val="00194671"/>
    <w:rsid w:val="00195EB7"/>
    <w:rsid w:val="00196710"/>
    <w:rsid w:val="00196770"/>
    <w:rsid w:val="00197324"/>
    <w:rsid w:val="001B351B"/>
    <w:rsid w:val="001B3D4D"/>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7BE7"/>
    <w:rsid w:val="00266E74"/>
    <w:rsid w:val="00283C3B"/>
    <w:rsid w:val="002861E6"/>
    <w:rsid w:val="00287D18"/>
    <w:rsid w:val="002A2618"/>
    <w:rsid w:val="002A5DD7"/>
    <w:rsid w:val="002B0CAC"/>
    <w:rsid w:val="002B7EE0"/>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53E34"/>
    <w:rsid w:val="003666FF"/>
    <w:rsid w:val="0037309C"/>
    <w:rsid w:val="00380A6E"/>
    <w:rsid w:val="003836D4"/>
    <w:rsid w:val="0039655E"/>
    <w:rsid w:val="003974CD"/>
    <w:rsid w:val="003A1F49"/>
    <w:rsid w:val="003A55ED"/>
    <w:rsid w:val="003A5D52"/>
    <w:rsid w:val="003B2BDA"/>
    <w:rsid w:val="003B370E"/>
    <w:rsid w:val="003B55EC"/>
    <w:rsid w:val="003C2EA7"/>
    <w:rsid w:val="003C4471"/>
    <w:rsid w:val="003C7D41"/>
    <w:rsid w:val="003D4A69"/>
    <w:rsid w:val="003E06F6"/>
    <w:rsid w:val="003E504F"/>
    <w:rsid w:val="003E78D6"/>
    <w:rsid w:val="003F0E9F"/>
    <w:rsid w:val="00400573"/>
    <w:rsid w:val="004007A3"/>
    <w:rsid w:val="00406D71"/>
    <w:rsid w:val="004326DB"/>
    <w:rsid w:val="0043603F"/>
    <w:rsid w:val="0043682E"/>
    <w:rsid w:val="00447ECB"/>
    <w:rsid w:val="0045533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4F5EB9"/>
    <w:rsid w:val="00505309"/>
    <w:rsid w:val="0050789B"/>
    <w:rsid w:val="005224A1"/>
    <w:rsid w:val="00534372"/>
    <w:rsid w:val="00535FEF"/>
    <w:rsid w:val="005370F0"/>
    <w:rsid w:val="00543DF8"/>
    <w:rsid w:val="00546101"/>
    <w:rsid w:val="00553364"/>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16E24"/>
    <w:rsid w:val="007234B1"/>
    <w:rsid w:val="00723D08"/>
    <w:rsid w:val="00725FDA"/>
    <w:rsid w:val="00727816"/>
    <w:rsid w:val="00730B9A"/>
    <w:rsid w:val="00750CFA"/>
    <w:rsid w:val="007553DA"/>
    <w:rsid w:val="00775DB8"/>
    <w:rsid w:val="00782354"/>
    <w:rsid w:val="007921A7"/>
    <w:rsid w:val="007B3C0C"/>
    <w:rsid w:val="007B3DB1"/>
    <w:rsid w:val="007D183E"/>
    <w:rsid w:val="007D27C2"/>
    <w:rsid w:val="007D43D0"/>
    <w:rsid w:val="007E1833"/>
    <w:rsid w:val="007E3F13"/>
    <w:rsid w:val="007F751A"/>
    <w:rsid w:val="00800012"/>
    <w:rsid w:val="0080261F"/>
    <w:rsid w:val="00805A02"/>
    <w:rsid w:val="00806160"/>
    <w:rsid w:val="00812A33"/>
    <w:rsid w:val="008143A4"/>
    <w:rsid w:val="0081513E"/>
    <w:rsid w:val="00854131"/>
    <w:rsid w:val="0085652D"/>
    <w:rsid w:val="0087694B"/>
    <w:rsid w:val="00880F4D"/>
    <w:rsid w:val="008B35A3"/>
    <w:rsid w:val="008B37E1"/>
    <w:rsid w:val="008B45F8"/>
    <w:rsid w:val="008C2E74"/>
    <w:rsid w:val="008D5409"/>
    <w:rsid w:val="008D6955"/>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34CF9"/>
    <w:rsid w:val="00B37559"/>
    <w:rsid w:val="00B4054B"/>
    <w:rsid w:val="00B570DD"/>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7E56"/>
    <w:rsid w:val="00C9291E"/>
    <w:rsid w:val="00CA3F44"/>
    <w:rsid w:val="00CA4E58"/>
    <w:rsid w:val="00CB3771"/>
    <w:rsid w:val="00CB44BF"/>
    <w:rsid w:val="00CB5153"/>
    <w:rsid w:val="00CE076A"/>
    <w:rsid w:val="00CE463D"/>
    <w:rsid w:val="00CF7B6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330C465"/>
  <w15:docId w15:val="{540A99F6-8275-4534-8B63-70D0CB54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70E"/>
    <w:pPr>
      <w:tabs>
        <w:tab w:val="left" w:pos="794"/>
        <w:tab w:val="left" w:pos="1191"/>
        <w:tab w:val="left" w:pos="1588"/>
        <w:tab w:val="left" w:pos="1985"/>
      </w:tabs>
      <w:overflowPunct w:val="0"/>
      <w:autoSpaceDE w:val="0"/>
      <w:autoSpaceDN w:val="0"/>
      <w:adjustRightInd w:val="0"/>
      <w:spacing w:before="12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character" w:styleId="UnresolvedMention">
    <w:name w:val="Unresolved Mention"/>
    <w:basedOn w:val="DefaultParagraphFont"/>
    <w:uiPriority w:val="99"/>
    <w:semiHidden/>
    <w:unhideWhenUsed/>
    <w:rsid w:val="00353E34"/>
    <w:rPr>
      <w:color w:val="605E5C"/>
      <w:shd w:val="clear" w:color="auto" w:fill="E1DFDD"/>
    </w:rPr>
  </w:style>
  <w:style w:type="table" w:customStyle="1" w:styleId="TableGrid1">
    <w:name w:val="Table Grid1"/>
    <w:basedOn w:val="TableNormal"/>
    <w:next w:val="TableGrid"/>
    <w:rsid w:val="0019467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7D27C2"/>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WRC15-C-0004/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rmail@itu.int%20" TargetMode="External"/><Relationship Id="rId4" Type="http://schemas.openxmlformats.org/officeDocument/2006/relationships/settings" Target="settings.xml"/><Relationship Id="rId9" Type="http://schemas.openxmlformats.org/officeDocument/2006/relationships/hyperlink" Target="https://www.itu.int/en/ITU-R/space/support/Pages/e-Examination-guide.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br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2387C-DC9E-461E-8AFA-8ECF22AA9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Pages>
  <Words>1475</Words>
  <Characters>8327</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9783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8</cp:revision>
  <cp:lastPrinted>2013-03-08T10:15:00Z</cp:lastPrinted>
  <dcterms:created xsi:type="dcterms:W3CDTF">2024-04-02T12:59:00Z</dcterms:created>
  <dcterms:modified xsi:type="dcterms:W3CDTF">2024-04-08T07:24:00Z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