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06B4F" w14:textId="77777777" w:rsidR="009E6EBB" w:rsidRPr="008C3ECA" w:rsidRDefault="009E6EBB" w:rsidP="009E6EBB">
      <w:pPr>
        <w:spacing w:before="0"/>
        <w:jc w:val="left"/>
        <w:rPr>
          <w:rFonts w:cstheme="minorHAnsi"/>
          <w:b/>
          <w:bCs/>
          <w:color w:val="808080"/>
          <w:sz w:val="28"/>
          <w:szCs w:val="28"/>
          <w:lang w:val="en-GB"/>
        </w:rPr>
      </w:pPr>
      <w:r w:rsidRPr="008C3ECA">
        <w:rPr>
          <w:rFonts w:cstheme="minorHAnsi"/>
          <w:b/>
          <w:bCs/>
          <w:color w:val="808080"/>
          <w:sz w:val="28"/>
          <w:szCs w:val="28"/>
          <w:lang w:val="en-GB"/>
        </w:rPr>
        <w:t>Radiocommunication Bureau (BR)</w:t>
      </w:r>
    </w:p>
    <w:p w14:paraId="734186D8" w14:textId="77777777" w:rsidR="009E6EBB" w:rsidRDefault="009E6EBB"/>
    <w:tbl>
      <w:tblPr>
        <w:tblW w:w="9781" w:type="dxa"/>
        <w:tblLayout w:type="fixed"/>
        <w:tblLook w:val="04A0" w:firstRow="1" w:lastRow="0" w:firstColumn="1" w:lastColumn="0" w:noHBand="0" w:noVBand="1"/>
      </w:tblPr>
      <w:tblGrid>
        <w:gridCol w:w="1526"/>
        <w:gridCol w:w="5386"/>
        <w:gridCol w:w="2869"/>
      </w:tblGrid>
      <w:tr w:rsidR="00295CF8" w:rsidRPr="00140767" w14:paraId="1B864158" w14:textId="77777777" w:rsidTr="00A2062E">
        <w:tc>
          <w:tcPr>
            <w:tcW w:w="6912" w:type="dxa"/>
            <w:gridSpan w:val="2"/>
            <w:shd w:val="clear" w:color="auto" w:fill="auto"/>
          </w:tcPr>
          <w:p w14:paraId="33DF01CF" w14:textId="77777777" w:rsidR="009E6EBB" w:rsidRPr="006554AB" w:rsidRDefault="009E6EBB" w:rsidP="00AC05B1">
            <w:pPr>
              <w:spacing w:before="0"/>
              <w:jc w:val="left"/>
              <w:rPr>
                <w:sz w:val="24"/>
                <w:szCs w:val="24"/>
                <w:lang w:val="en-GB"/>
              </w:rPr>
            </w:pPr>
            <w:r w:rsidRPr="006554AB">
              <w:rPr>
                <w:sz w:val="24"/>
                <w:szCs w:val="24"/>
                <w:lang w:val="en-GB"/>
              </w:rPr>
              <w:t>Circular Letter</w:t>
            </w:r>
          </w:p>
          <w:p w14:paraId="0D552710" w14:textId="0164536B" w:rsidR="009E6EBB" w:rsidRPr="00295CF8" w:rsidRDefault="009E6EBB" w:rsidP="00696EEE">
            <w:pPr>
              <w:spacing w:before="0"/>
              <w:jc w:val="left"/>
              <w:rPr>
                <w:b/>
                <w:bCs/>
                <w:szCs w:val="24"/>
                <w:lang w:val="en-GB"/>
              </w:rPr>
            </w:pPr>
            <w:r w:rsidRPr="00140767">
              <w:rPr>
                <w:b/>
                <w:bCs/>
                <w:sz w:val="24"/>
                <w:szCs w:val="24"/>
                <w:lang w:val="en-GB"/>
              </w:rPr>
              <w:t>CR/</w:t>
            </w:r>
            <w:r w:rsidR="00441AD7">
              <w:rPr>
                <w:b/>
                <w:bCs/>
                <w:sz w:val="24"/>
                <w:szCs w:val="24"/>
                <w:lang w:val="en-GB"/>
              </w:rPr>
              <w:t>504</w:t>
            </w:r>
          </w:p>
        </w:tc>
        <w:tc>
          <w:tcPr>
            <w:tcW w:w="2869" w:type="dxa"/>
            <w:shd w:val="clear" w:color="auto" w:fill="auto"/>
          </w:tcPr>
          <w:p w14:paraId="16C84185" w14:textId="2C30118E" w:rsidR="009E6EBB" w:rsidRPr="00140767" w:rsidRDefault="00140767" w:rsidP="00C07806">
            <w:pPr>
              <w:spacing w:before="0"/>
              <w:jc w:val="right"/>
              <w:rPr>
                <w:szCs w:val="24"/>
                <w:lang w:val="en-GB"/>
              </w:rPr>
            </w:pPr>
            <w:r w:rsidRPr="00140767">
              <w:rPr>
                <w:sz w:val="24"/>
                <w:szCs w:val="28"/>
                <w:lang w:val="en-GB"/>
              </w:rPr>
              <w:t>17</w:t>
            </w:r>
            <w:r w:rsidR="004B58FC" w:rsidRPr="00140767">
              <w:rPr>
                <w:sz w:val="24"/>
                <w:szCs w:val="28"/>
                <w:lang w:val="en-GB"/>
              </w:rPr>
              <w:t xml:space="preserve"> </w:t>
            </w:r>
            <w:r w:rsidR="00B15950" w:rsidRPr="00140767">
              <w:rPr>
                <w:sz w:val="24"/>
                <w:szCs w:val="28"/>
                <w:lang w:val="en-GB"/>
              </w:rPr>
              <w:t>April</w:t>
            </w:r>
            <w:r w:rsidR="00591708" w:rsidRPr="00140767">
              <w:rPr>
                <w:sz w:val="24"/>
                <w:szCs w:val="28"/>
                <w:lang w:val="en-GB"/>
              </w:rPr>
              <w:t xml:space="preserve"> </w:t>
            </w:r>
            <w:r w:rsidR="00066E5D" w:rsidRPr="00140767">
              <w:rPr>
                <w:sz w:val="24"/>
                <w:szCs w:val="28"/>
                <w:lang w:val="en-GB"/>
              </w:rPr>
              <w:t>202</w:t>
            </w:r>
            <w:r w:rsidR="000F66B1" w:rsidRPr="00140767">
              <w:rPr>
                <w:sz w:val="24"/>
                <w:szCs w:val="28"/>
                <w:lang w:val="en-GB"/>
              </w:rPr>
              <w:t>4</w:t>
            </w:r>
          </w:p>
        </w:tc>
      </w:tr>
      <w:tr w:rsidR="009E6EBB" w:rsidRPr="000D79FA" w14:paraId="0466C98C" w14:textId="77777777" w:rsidTr="00A2062E">
        <w:tc>
          <w:tcPr>
            <w:tcW w:w="9781" w:type="dxa"/>
            <w:gridSpan w:val="3"/>
            <w:shd w:val="clear" w:color="auto" w:fill="auto"/>
          </w:tcPr>
          <w:p w14:paraId="08857F06" w14:textId="77777777" w:rsidR="009E6EBB" w:rsidRPr="000D79FA" w:rsidRDefault="009E6EBB" w:rsidP="00A2671E">
            <w:pPr>
              <w:tabs>
                <w:tab w:val="left" w:pos="4428"/>
              </w:tabs>
              <w:spacing w:before="0"/>
              <w:jc w:val="left"/>
              <w:rPr>
                <w:rFonts w:cs="Arial"/>
                <w:sz w:val="24"/>
                <w:szCs w:val="24"/>
                <w:lang w:val="en-GB"/>
              </w:rPr>
            </w:pPr>
          </w:p>
        </w:tc>
      </w:tr>
      <w:tr w:rsidR="009E6EBB" w:rsidRPr="000D79FA" w14:paraId="45500DD5" w14:textId="77777777" w:rsidTr="00A2062E">
        <w:tc>
          <w:tcPr>
            <w:tcW w:w="9781" w:type="dxa"/>
            <w:gridSpan w:val="3"/>
            <w:shd w:val="clear" w:color="auto" w:fill="auto"/>
          </w:tcPr>
          <w:p w14:paraId="764EB475" w14:textId="7E2691B0" w:rsidR="00A15F66" w:rsidRPr="0024202A" w:rsidRDefault="00A15F66" w:rsidP="00066E5D">
            <w:pPr>
              <w:tabs>
                <w:tab w:val="left" w:pos="1310"/>
              </w:tabs>
              <w:spacing w:line="240" w:lineRule="auto"/>
              <w:rPr>
                <w:rFonts w:eastAsia="Times New Roman"/>
                <w:b/>
                <w:bCs/>
                <w:sz w:val="24"/>
                <w:szCs w:val="24"/>
              </w:rPr>
            </w:pPr>
            <w:r>
              <w:rPr>
                <w:rFonts w:eastAsia="Times New Roman"/>
                <w:b/>
                <w:bCs/>
                <w:sz w:val="24"/>
                <w:szCs w:val="24"/>
              </w:rPr>
              <w:t xml:space="preserve">To the </w:t>
            </w:r>
            <w:r w:rsidRPr="0024202A">
              <w:rPr>
                <w:rFonts w:eastAsia="Times New Roman"/>
                <w:b/>
                <w:bCs/>
                <w:sz w:val="24"/>
                <w:szCs w:val="24"/>
              </w:rPr>
              <w:t>Administrations of ITU Member States</w:t>
            </w:r>
          </w:p>
          <w:p w14:paraId="446DD9F9" w14:textId="77777777" w:rsidR="009E6EBB" w:rsidRPr="000D79FA" w:rsidRDefault="009E6EBB" w:rsidP="00AC05B1">
            <w:pPr>
              <w:spacing w:before="0"/>
              <w:jc w:val="left"/>
              <w:rPr>
                <w:b/>
                <w:bCs/>
                <w:sz w:val="24"/>
                <w:szCs w:val="24"/>
                <w:lang w:val="en-GB"/>
              </w:rPr>
            </w:pPr>
          </w:p>
        </w:tc>
      </w:tr>
      <w:tr w:rsidR="009E6EBB" w:rsidRPr="000D79FA" w14:paraId="582F5A55" w14:textId="77777777" w:rsidTr="00A2062E">
        <w:tc>
          <w:tcPr>
            <w:tcW w:w="9781" w:type="dxa"/>
            <w:gridSpan w:val="3"/>
            <w:shd w:val="clear" w:color="auto" w:fill="auto"/>
          </w:tcPr>
          <w:p w14:paraId="2B2F7F32" w14:textId="77777777" w:rsidR="009E6EBB" w:rsidRPr="000D79FA" w:rsidRDefault="009E6EBB" w:rsidP="00AC05B1">
            <w:pPr>
              <w:spacing w:before="0"/>
              <w:jc w:val="left"/>
              <w:rPr>
                <w:sz w:val="24"/>
                <w:szCs w:val="24"/>
                <w:lang w:val="en-GB"/>
              </w:rPr>
            </w:pPr>
          </w:p>
        </w:tc>
      </w:tr>
      <w:tr w:rsidR="009E6EBB" w:rsidRPr="000D79FA" w14:paraId="1BBE8555" w14:textId="77777777" w:rsidTr="00A2062E">
        <w:tc>
          <w:tcPr>
            <w:tcW w:w="9781" w:type="dxa"/>
            <w:gridSpan w:val="3"/>
            <w:shd w:val="clear" w:color="auto" w:fill="auto"/>
          </w:tcPr>
          <w:p w14:paraId="2BA95F6C" w14:textId="77777777" w:rsidR="009E6EBB" w:rsidRPr="000D79FA" w:rsidRDefault="009E6EBB" w:rsidP="00AC05B1">
            <w:pPr>
              <w:spacing w:before="0"/>
              <w:jc w:val="left"/>
              <w:rPr>
                <w:sz w:val="24"/>
                <w:szCs w:val="24"/>
                <w:lang w:val="en-GB"/>
              </w:rPr>
            </w:pPr>
          </w:p>
        </w:tc>
      </w:tr>
      <w:tr w:rsidR="00A2062E" w:rsidRPr="000D79FA" w14:paraId="6D299DCB" w14:textId="77777777" w:rsidTr="00A2062E">
        <w:tc>
          <w:tcPr>
            <w:tcW w:w="1526" w:type="dxa"/>
            <w:shd w:val="clear" w:color="auto" w:fill="auto"/>
          </w:tcPr>
          <w:p w14:paraId="770DD236" w14:textId="77777777" w:rsidR="00A2062E" w:rsidRPr="000D79FA" w:rsidRDefault="00A2062E" w:rsidP="00A2062E">
            <w:pPr>
              <w:spacing w:before="0"/>
              <w:jc w:val="left"/>
              <w:rPr>
                <w:sz w:val="24"/>
                <w:szCs w:val="24"/>
                <w:lang w:val="en-GB"/>
              </w:rPr>
            </w:pPr>
            <w:r w:rsidRPr="000D79FA">
              <w:rPr>
                <w:sz w:val="24"/>
                <w:szCs w:val="24"/>
                <w:lang w:val="en-GB"/>
              </w:rPr>
              <w:t>Subject:</w:t>
            </w:r>
          </w:p>
        </w:tc>
        <w:tc>
          <w:tcPr>
            <w:tcW w:w="8255" w:type="dxa"/>
            <w:gridSpan w:val="2"/>
            <w:vMerge w:val="restart"/>
            <w:shd w:val="clear" w:color="auto" w:fill="auto"/>
          </w:tcPr>
          <w:p w14:paraId="11A9E4B3" w14:textId="15C72810" w:rsidR="00A2062E" w:rsidRPr="00363AB4" w:rsidRDefault="00A2062E" w:rsidP="00A2062E">
            <w:pPr>
              <w:tabs>
                <w:tab w:val="clear" w:pos="794"/>
                <w:tab w:val="clear" w:pos="1191"/>
                <w:tab w:val="clear" w:pos="1588"/>
                <w:tab w:val="clear" w:pos="1985"/>
              </w:tabs>
              <w:spacing w:before="0"/>
              <w:ind w:left="1440" w:hanging="1440"/>
              <w:rPr>
                <w:b/>
                <w:bCs/>
                <w:sz w:val="24"/>
                <w:szCs w:val="24"/>
              </w:rPr>
            </w:pPr>
            <w:r w:rsidRPr="00363AB4">
              <w:rPr>
                <w:b/>
                <w:bCs/>
                <w:sz w:val="24"/>
                <w:szCs w:val="24"/>
              </w:rPr>
              <w:t>WRC-</w:t>
            </w:r>
            <w:r w:rsidR="000F66B1">
              <w:rPr>
                <w:b/>
                <w:bCs/>
                <w:sz w:val="24"/>
                <w:szCs w:val="24"/>
              </w:rPr>
              <w:t>23</w:t>
            </w:r>
            <w:r w:rsidRPr="00363AB4">
              <w:rPr>
                <w:b/>
                <w:bCs/>
                <w:sz w:val="24"/>
                <w:szCs w:val="24"/>
              </w:rPr>
              <w:t xml:space="preserve"> decisions included in the Minutes of Plenary </w:t>
            </w:r>
            <w:proofErr w:type="gramStart"/>
            <w:r w:rsidRPr="00363AB4">
              <w:rPr>
                <w:b/>
                <w:bCs/>
                <w:sz w:val="24"/>
                <w:szCs w:val="24"/>
              </w:rPr>
              <w:t>meetings</w:t>
            </w:r>
            <w:proofErr w:type="gramEnd"/>
            <w:r w:rsidRPr="00363AB4">
              <w:rPr>
                <w:b/>
                <w:bCs/>
                <w:sz w:val="24"/>
                <w:szCs w:val="24"/>
              </w:rPr>
              <w:t xml:space="preserve"> </w:t>
            </w:r>
          </w:p>
          <w:p w14:paraId="684654A1" w14:textId="613D8F28" w:rsidR="00A2062E" w:rsidRPr="002A6CEE" w:rsidRDefault="00A2062E" w:rsidP="00A2062E">
            <w:pPr>
              <w:tabs>
                <w:tab w:val="left" w:pos="6690"/>
              </w:tabs>
              <w:spacing w:before="0"/>
              <w:rPr>
                <w:rFonts w:eastAsia="Times New Roman"/>
                <w:b/>
                <w:bCs/>
                <w:sz w:val="24"/>
                <w:szCs w:val="24"/>
                <w:lang w:val="en-GB"/>
              </w:rPr>
            </w:pPr>
          </w:p>
        </w:tc>
      </w:tr>
      <w:tr w:rsidR="009E6EBB" w:rsidRPr="000D79FA" w14:paraId="5B23A838" w14:textId="77777777" w:rsidTr="00A2062E">
        <w:tc>
          <w:tcPr>
            <w:tcW w:w="1526" w:type="dxa"/>
            <w:shd w:val="clear" w:color="auto" w:fill="auto"/>
          </w:tcPr>
          <w:p w14:paraId="709777DE" w14:textId="77777777" w:rsidR="009E6EBB" w:rsidRPr="000D79FA" w:rsidRDefault="009E6EBB" w:rsidP="00AC05B1">
            <w:pPr>
              <w:spacing w:before="0"/>
              <w:jc w:val="left"/>
              <w:rPr>
                <w:b/>
                <w:bCs/>
                <w:sz w:val="24"/>
                <w:szCs w:val="24"/>
                <w:lang w:val="en-GB"/>
              </w:rPr>
            </w:pPr>
          </w:p>
        </w:tc>
        <w:tc>
          <w:tcPr>
            <w:tcW w:w="8255" w:type="dxa"/>
            <w:gridSpan w:val="2"/>
            <w:vMerge/>
            <w:shd w:val="clear" w:color="auto" w:fill="auto"/>
          </w:tcPr>
          <w:p w14:paraId="7DDE7B0D" w14:textId="77777777" w:rsidR="009E6EBB" w:rsidRPr="000D79FA" w:rsidRDefault="009E6EBB" w:rsidP="00AC05B1">
            <w:pPr>
              <w:spacing w:before="0"/>
              <w:rPr>
                <w:b/>
                <w:bCs/>
                <w:sz w:val="24"/>
                <w:szCs w:val="24"/>
                <w:lang w:val="en-GB"/>
              </w:rPr>
            </w:pPr>
          </w:p>
        </w:tc>
      </w:tr>
    </w:tbl>
    <w:p w14:paraId="74E3AF09" w14:textId="77777777" w:rsidR="00066E5D" w:rsidRDefault="00066E5D" w:rsidP="0070656B">
      <w:pPr>
        <w:tabs>
          <w:tab w:val="clear" w:pos="794"/>
          <w:tab w:val="clear" w:pos="1191"/>
          <w:tab w:val="clear" w:pos="1588"/>
          <w:tab w:val="clear" w:pos="1985"/>
        </w:tabs>
        <w:overflowPunct/>
        <w:spacing w:before="120" w:after="360" w:line="240" w:lineRule="auto"/>
        <w:textAlignment w:val="auto"/>
        <w:rPr>
          <w:rFonts w:asciiTheme="minorHAnsi" w:eastAsia="SimSun" w:hAnsiTheme="minorHAnsi" w:cstheme="minorHAnsi"/>
          <w:sz w:val="24"/>
          <w:szCs w:val="24"/>
          <w:lang w:eastAsia="zh-CN"/>
        </w:rPr>
      </w:pPr>
    </w:p>
    <w:p w14:paraId="597D5654" w14:textId="3B642606" w:rsidR="00A2062E" w:rsidRPr="00363AB4" w:rsidRDefault="00A2062E" w:rsidP="00A2062E">
      <w:pPr>
        <w:pStyle w:val="NoSpacing"/>
        <w:tabs>
          <w:tab w:val="clear" w:pos="794"/>
          <w:tab w:val="left" w:pos="709"/>
        </w:tabs>
        <w:spacing w:before="240"/>
        <w:jc w:val="both"/>
        <w:rPr>
          <w:rFonts w:ascii="Calibri" w:hAnsi="Calibri"/>
          <w:szCs w:val="24"/>
          <w:lang w:val="en-US"/>
        </w:rPr>
      </w:pPr>
      <w:r w:rsidRPr="00363AB4">
        <w:rPr>
          <w:rFonts w:ascii="Calibri" w:hAnsi="Calibri"/>
          <w:szCs w:val="24"/>
          <w:lang w:val="en-US"/>
        </w:rPr>
        <w:t xml:space="preserve">The World Radiocommunication </w:t>
      </w:r>
      <w:r w:rsidRPr="00FB4A3D">
        <w:rPr>
          <w:rFonts w:ascii="Calibri" w:hAnsi="Calibri"/>
          <w:szCs w:val="24"/>
          <w:lang w:val="en-US"/>
        </w:rPr>
        <w:t xml:space="preserve">Conference, </w:t>
      </w:r>
      <w:r w:rsidR="00FB4A3D" w:rsidRPr="00FB4A3D">
        <w:rPr>
          <w:rFonts w:ascii="Calibri" w:hAnsi="Calibri"/>
          <w:szCs w:val="24"/>
          <w:lang w:val="en-US"/>
        </w:rPr>
        <w:t>Dubai</w:t>
      </w:r>
      <w:r w:rsidRPr="00FB4A3D">
        <w:rPr>
          <w:rFonts w:ascii="Calibri" w:hAnsi="Calibri"/>
          <w:szCs w:val="24"/>
          <w:lang w:val="en-US"/>
        </w:rPr>
        <w:t>, 20</w:t>
      </w:r>
      <w:r w:rsidR="00FB4A3D" w:rsidRPr="00FB4A3D">
        <w:rPr>
          <w:rFonts w:ascii="Calibri" w:hAnsi="Calibri"/>
          <w:szCs w:val="24"/>
          <w:lang w:val="en-US"/>
        </w:rPr>
        <w:t>23</w:t>
      </w:r>
      <w:r w:rsidRPr="00FB4A3D">
        <w:rPr>
          <w:rFonts w:ascii="Calibri" w:hAnsi="Calibri"/>
          <w:szCs w:val="24"/>
          <w:lang w:val="en-US"/>
        </w:rPr>
        <w:t>, (WRC-</w:t>
      </w:r>
      <w:r w:rsidR="00FB4A3D" w:rsidRPr="00FB4A3D">
        <w:rPr>
          <w:rFonts w:ascii="Calibri" w:hAnsi="Calibri"/>
          <w:szCs w:val="24"/>
          <w:lang w:val="en-US"/>
        </w:rPr>
        <w:t>23</w:t>
      </w:r>
      <w:r w:rsidRPr="00FB4A3D">
        <w:rPr>
          <w:rFonts w:ascii="Calibri" w:hAnsi="Calibri"/>
          <w:szCs w:val="24"/>
          <w:lang w:val="en-US"/>
        </w:rPr>
        <w:t>), in</w:t>
      </w:r>
      <w:r w:rsidRPr="00363AB4">
        <w:rPr>
          <w:rFonts w:ascii="Calibri" w:hAnsi="Calibri"/>
          <w:szCs w:val="24"/>
          <w:lang w:val="en-US"/>
        </w:rPr>
        <w:t xml:space="preserve"> adopting a partial revision of the Radio Regulations, took </w:t>
      </w:r>
      <w:proofErr w:type="gramStart"/>
      <w:r w:rsidRPr="00363AB4">
        <w:rPr>
          <w:rFonts w:ascii="Calibri" w:hAnsi="Calibri"/>
          <w:szCs w:val="24"/>
          <w:lang w:val="en-US"/>
        </w:rPr>
        <w:t>a number of</w:t>
      </w:r>
      <w:proofErr w:type="gramEnd"/>
      <w:r w:rsidRPr="00363AB4">
        <w:rPr>
          <w:rFonts w:ascii="Calibri" w:hAnsi="Calibri"/>
          <w:szCs w:val="24"/>
          <w:lang w:val="en-US"/>
        </w:rPr>
        <w:t xml:space="preserve"> decisions which do not appear in the Conference Final Acts, but are reflected </w:t>
      </w:r>
      <w:r>
        <w:rPr>
          <w:rFonts w:ascii="Calibri" w:hAnsi="Calibri"/>
          <w:szCs w:val="24"/>
          <w:lang w:val="en-US"/>
        </w:rPr>
        <w:t xml:space="preserve">in </w:t>
      </w:r>
      <w:r w:rsidRPr="00363AB4">
        <w:rPr>
          <w:rFonts w:ascii="Calibri" w:hAnsi="Calibri"/>
          <w:szCs w:val="24"/>
          <w:lang w:val="en-US"/>
        </w:rPr>
        <w:t>the minutes of WRC-</w:t>
      </w:r>
      <w:r w:rsidR="00FB4A3D">
        <w:rPr>
          <w:rFonts w:ascii="Calibri" w:hAnsi="Calibri"/>
          <w:szCs w:val="24"/>
          <w:lang w:val="en-US"/>
        </w:rPr>
        <w:t>23</w:t>
      </w:r>
      <w:r w:rsidRPr="00363AB4">
        <w:rPr>
          <w:rFonts w:ascii="Calibri" w:hAnsi="Calibri"/>
          <w:szCs w:val="24"/>
          <w:lang w:val="en-US"/>
        </w:rPr>
        <w:t xml:space="preserve"> Plenary meetings. The </w:t>
      </w:r>
      <w:r>
        <w:rPr>
          <w:rFonts w:ascii="Calibri" w:hAnsi="Calibri"/>
          <w:szCs w:val="24"/>
          <w:lang w:val="en-US"/>
        </w:rPr>
        <w:t>purpose of this Circular Letter</w:t>
      </w:r>
      <w:r w:rsidRPr="00363AB4">
        <w:rPr>
          <w:rFonts w:ascii="Calibri" w:hAnsi="Calibri"/>
          <w:szCs w:val="24"/>
          <w:lang w:val="en-US"/>
        </w:rPr>
        <w:t xml:space="preserve"> is to gather and bring these decisions to the attention of administrations.</w:t>
      </w:r>
    </w:p>
    <w:p w14:paraId="3865C8BB" w14:textId="0A1364DA" w:rsidR="00A2062E" w:rsidRPr="00363AB4" w:rsidRDefault="00A2062E" w:rsidP="00A2062E">
      <w:pPr>
        <w:pStyle w:val="NoSpacing"/>
        <w:tabs>
          <w:tab w:val="clear" w:pos="794"/>
          <w:tab w:val="left" w:pos="709"/>
        </w:tabs>
        <w:spacing w:before="240"/>
        <w:jc w:val="both"/>
        <w:rPr>
          <w:rFonts w:ascii="Calibri" w:hAnsi="Calibri"/>
          <w:szCs w:val="24"/>
          <w:lang w:val="en-US"/>
        </w:rPr>
      </w:pPr>
      <w:r>
        <w:rPr>
          <w:rFonts w:ascii="Calibri" w:hAnsi="Calibri"/>
          <w:szCs w:val="24"/>
          <w:lang w:val="en-US"/>
        </w:rPr>
        <w:t>The Annex to this Circular Letter contains the compilation of</w:t>
      </w:r>
      <w:r w:rsidRPr="00363AB4">
        <w:rPr>
          <w:rFonts w:ascii="Calibri" w:hAnsi="Calibri"/>
          <w:szCs w:val="24"/>
          <w:lang w:val="en-US"/>
        </w:rPr>
        <w:t xml:space="preserve"> the text</w:t>
      </w:r>
      <w:r>
        <w:rPr>
          <w:rFonts w:ascii="Calibri" w:hAnsi="Calibri"/>
          <w:szCs w:val="24"/>
          <w:lang w:val="en-US"/>
        </w:rPr>
        <w:t>s</w:t>
      </w:r>
      <w:r w:rsidRPr="00363AB4">
        <w:rPr>
          <w:rFonts w:ascii="Calibri" w:hAnsi="Calibri"/>
          <w:szCs w:val="24"/>
          <w:lang w:val="en-US"/>
        </w:rPr>
        <w:t xml:space="preserve"> of these decisions, along with the references to the corresponding paragraphs in the documents containing the minu</w:t>
      </w:r>
      <w:r>
        <w:rPr>
          <w:rFonts w:ascii="Calibri" w:hAnsi="Calibri"/>
          <w:szCs w:val="24"/>
          <w:lang w:val="en-US"/>
        </w:rPr>
        <w:t>tes of WRC-</w:t>
      </w:r>
      <w:r w:rsidR="000F66B1">
        <w:rPr>
          <w:rFonts w:ascii="Calibri" w:hAnsi="Calibri"/>
          <w:szCs w:val="24"/>
          <w:lang w:val="en-US"/>
        </w:rPr>
        <w:t>23</w:t>
      </w:r>
      <w:r>
        <w:rPr>
          <w:rFonts w:ascii="Calibri" w:hAnsi="Calibri"/>
          <w:szCs w:val="24"/>
          <w:lang w:val="en-US"/>
        </w:rPr>
        <w:t xml:space="preserve"> Plenary Meetings and to the documents for which agreement or endorsement of the Plenary was sought.</w:t>
      </w:r>
    </w:p>
    <w:p w14:paraId="33D27D35" w14:textId="15FD5242" w:rsidR="00A2062E" w:rsidRPr="00363AB4" w:rsidRDefault="00A2062E" w:rsidP="00A2062E">
      <w:pPr>
        <w:tabs>
          <w:tab w:val="clear" w:pos="794"/>
          <w:tab w:val="clear" w:pos="1191"/>
          <w:tab w:val="clear" w:pos="1588"/>
          <w:tab w:val="clear" w:pos="1985"/>
        </w:tabs>
        <w:overflowPunct/>
        <w:autoSpaceDE/>
        <w:autoSpaceDN/>
        <w:adjustRightInd/>
        <w:spacing w:before="240" w:line="240" w:lineRule="auto"/>
        <w:textAlignment w:val="auto"/>
        <w:rPr>
          <w:rFonts w:cstheme="majorBidi"/>
          <w:sz w:val="24"/>
          <w:szCs w:val="24"/>
        </w:rPr>
      </w:pPr>
      <w:r w:rsidRPr="00363AB4">
        <w:rPr>
          <w:rFonts w:cstheme="majorBidi"/>
          <w:sz w:val="24"/>
          <w:szCs w:val="24"/>
        </w:rPr>
        <w:t xml:space="preserve">The </w:t>
      </w:r>
      <w:r>
        <w:rPr>
          <w:rFonts w:cstheme="majorBidi"/>
          <w:sz w:val="24"/>
          <w:szCs w:val="24"/>
        </w:rPr>
        <w:t xml:space="preserve">Radiocommunication </w:t>
      </w:r>
      <w:r w:rsidRPr="00363AB4">
        <w:rPr>
          <w:rFonts w:cstheme="majorBidi"/>
          <w:sz w:val="24"/>
          <w:szCs w:val="24"/>
        </w:rPr>
        <w:t xml:space="preserve">Bureau remains at the disposal of your </w:t>
      </w:r>
      <w:r w:rsidR="003E6061">
        <w:rPr>
          <w:rFonts w:cstheme="majorBidi"/>
          <w:sz w:val="24"/>
          <w:szCs w:val="24"/>
        </w:rPr>
        <w:t>A</w:t>
      </w:r>
      <w:r w:rsidRPr="00363AB4">
        <w:rPr>
          <w:rFonts w:cstheme="majorBidi"/>
          <w:sz w:val="24"/>
          <w:szCs w:val="24"/>
        </w:rPr>
        <w:t>dminist</w:t>
      </w:r>
      <w:r>
        <w:rPr>
          <w:rFonts w:cstheme="majorBidi"/>
          <w:sz w:val="24"/>
          <w:szCs w:val="24"/>
        </w:rPr>
        <w:t>ration for any clarification it</w:t>
      </w:r>
      <w:r w:rsidRPr="00363AB4">
        <w:rPr>
          <w:rFonts w:cstheme="majorBidi"/>
          <w:sz w:val="24"/>
          <w:szCs w:val="24"/>
        </w:rPr>
        <w:t xml:space="preserve"> may require with respect to the subjects covered in this Circular Letter.</w:t>
      </w:r>
    </w:p>
    <w:p w14:paraId="2D1A3AD7" w14:textId="77777777" w:rsidR="00A2062E" w:rsidRDefault="00A2062E" w:rsidP="00A2062E">
      <w:pPr>
        <w:pStyle w:val="NoSpacing"/>
        <w:spacing w:before="120"/>
        <w:jc w:val="both"/>
        <w:rPr>
          <w:rFonts w:asciiTheme="majorBidi" w:hAnsiTheme="majorBidi" w:cstheme="majorBidi"/>
          <w:szCs w:val="24"/>
          <w:lang w:val="en-US"/>
        </w:rPr>
      </w:pPr>
    </w:p>
    <w:p w14:paraId="5612CB73" w14:textId="500BFCA7" w:rsidR="00066E5D" w:rsidRPr="00963D0B" w:rsidRDefault="00066E5D" w:rsidP="00963D0B">
      <w:pPr>
        <w:spacing w:before="120" w:after="240" w:line="240" w:lineRule="auto"/>
        <w:rPr>
          <w:rFonts w:asciiTheme="minorHAnsi" w:eastAsia="SimSun" w:hAnsiTheme="minorHAnsi" w:cstheme="minorHAnsi"/>
          <w:sz w:val="24"/>
          <w:szCs w:val="24"/>
          <w:lang w:val="en-GB"/>
        </w:rPr>
      </w:pPr>
    </w:p>
    <w:p w14:paraId="7092B070" w14:textId="77777777" w:rsidR="00066E5D" w:rsidRPr="00066E5D" w:rsidRDefault="00066E5D" w:rsidP="002A6CEE">
      <w:pPr>
        <w:tabs>
          <w:tab w:val="clear" w:pos="794"/>
          <w:tab w:val="clear" w:pos="1191"/>
          <w:tab w:val="clear" w:pos="1588"/>
        </w:tabs>
        <w:spacing w:before="0" w:line="240" w:lineRule="auto"/>
        <w:jc w:val="lowKashida"/>
        <w:rPr>
          <w:rFonts w:asciiTheme="minorHAnsi" w:eastAsiaTheme="majorEastAsia" w:hAnsiTheme="minorHAnsi" w:cstheme="minorHAnsi"/>
          <w:sz w:val="24"/>
          <w:szCs w:val="24"/>
        </w:rPr>
      </w:pPr>
      <w:r w:rsidRPr="00066E5D">
        <w:rPr>
          <w:rFonts w:asciiTheme="minorHAnsi" w:eastAsiaTheme="majorEastAsia" w:hAnsiTheme="minorHAnsi" w:cstheme="minorHAnsi"/>
          <w:sz w:val="24"/>
          <w:szCs w:val="24"/>
        </w:rPr>
        <w:t>Mario Maniewicz</w:t>
      </w:r>
    </w:p>
    <w:p w14:paraId="4687B2AC" w14:textId="77777777" w:rsidR="00066E5D" w:rsidRPr="00066E5D" w:rsidRDefault="00066E5D" w:rsidP="002A6CEE">
      <w:pPr>
        <w:tabs>
          <w:tab w:val="clear" w:pos="794"/>
          <w:tab w:val="clear" w:pos="1191"/>
          <w:tab w:val="clear" w:pos="1588"/>
        </w:tabs>
        <w:spacing w:before="0" w:line="240" w:lineRule="auto"/>
        <w:jc w:val="lowKashida"/>
        <w:rPr>
          <w:rFonts w:asciiTheme="minorHAnsi" w:eastAsiaTheme="majorEastAsia" w:hAnsiTheme="minorHAnsi" w:cstheme="minorHAnsi"/>
          <w:sz w:val="24"/>
          <w:szCs w:val="24"/>
        </w:rPr>
      </w:pPr>
      <w:r w:rsidRPr="00066E5D">
        <w:rPr>
          <w:rFonts w:asciiTheme="minorHAnsi" w:eastAsiaTheme="majorEastAsia" w:hAnsiTheme="minorHAnsi" w:cstheme="minorHAnsi"/>
          <w:sz w:val="24"/>
          <w:szCs w:val="24"/>
        </w:rPr>
        <w:t>Director</w:t>
      </w:r>
    </w:p>
    <w:p w14:paraId="5EDE4AC5" w14:textId="77777777" w:rsidR="00066E5D" w:rsidRDefault="00066E5D" w:rsidP="002A6CEE">
      <w:pPr>
        <w:tabs>
          <w:tab w:val="clear" w:pos="794"/>
          <w:tab w:val="clear" w:pos="1191"/>
          <w:tab w:val="clear" w:pos="1588"/>
        </w:tabs>
        <w:spacing w:before="0" w:line="240" w:lineRule="auto"/>
        <w:jc w:val="lowKashida"/>
        <w:rPr>
          <w:rFonts w:asciiTheme="minorHAnsi" w:eastAsiaTheme="majorEastAsia" w:hAnsiTheme="minorHAnsi" w:cstheme="minorHAnsi"/>
          <w:sz w:val="24"/>
          <w:szCs w:val="24"/>
        </w:rPr>
      </w:pPr>
    </w:p>
    <w:p w14:paraId="7938F683" w14:textId="77777777" w:rsidR="002A6CEE" w:rsidRDefault="002A6CEE" w:rsidP="002A6CEE">
      <w:pPr>
        <w:tabs>
          <w:tab w:val="clear" w:pos="794"/>
          <w:tab w:val="clear" w:pos="1191"/>
          <w:tab w:val="clear" w:pos="1588"/>
        </w:tabs>
        <w:spacing w:before="0" w:line="240" w:lineRule="auto"/>
        <w:jc w:val="lowKashida"/>
        <w:rPr>
          <w:rFonts w:asciiTheme="minorHAnsi" w:eastAsiaTheme="majorEastAsia" w:hAnsiTheme="minorHAnsi" w:cstheme="minorHAnsi"/>
          <w:sz w:val="24"/>
          <w:szCs w:val="24"/>
        </w:rPr>
      </w:pPr>
    </w:p>
    <w:p w14:paraId="1955F6F4" w14:textId="77777777" w:rsidR="002A6CEE" w:rsidRDefault="002A6CEE" w:rsidP="002A6CEE">
      <w:pPr>
        <w:tabs>
          <w:tab w:val="clear" w:pos="794"/>
          <w:tab w:val="clear" w:pos="1191"/>
          <w:tab w:val="clear" w:pos="1588"/>
        </w:tabs>
        <w:spacing w:before="0" w:line="240" w:lineRule="auto"/>
        <w:jc w:val="lowKashida"/>
        <w:rPr>
          <w:rFonts w:asciiTheme="minorHAnsi" w:eastAsiaTheme="majorEastAsia" w:hAnsiTheme="minorHAnsi" w:cstheme="minorHAnsi"/>
          <w:sz w:val="24"/>
          <w:szCs w:val="24"/>
        </w:rPr>
      </w:pPr>
    </w:p>
    <w:p w14:paraId="5997D9EF" w14:textId="77777777" w:rsidR="0070656B" w:rsidRDefault="0070656B" w:rsidP="002A6CEE">
      <w:pPr>
        <w:tabs>
          <w:tab w:val="clear" w:pos="794"/>
          <w:tab w:val="clear" w:pos="1191"/>
          <w:tab w:val="clear" w:pos="1588"/>
        </w:tabs>
        <w:spacing w:before="0" w:line="240" w:lineRule="auto"/>
        <w:jc w:val="lowKashida"/>
        <w:rPr>
          <w:rFonts w:asciiTheme="minorHAnsi" w:eastAsiaTheme="majorEastAsia" w:hAnsiTheme="minorHAnsi" w:cstheme="minorHAnsi"/>
          <w:sz w:val="24"/>
          <w:szCs w:val="24"/>
        </w:rPr>
      </w:pPr>
    </w:p>
    <w:p w14:paraId="7C342BE6" w14:textId="77777777" w:rsidR="0070656B" w:rsidRDefault="0070656B" w:rsidP="002A6CEE">
      <w:pPr>
        <w:tabs>
          <w:tab w:val="clear" w:pos="794"/>
          <w:tab w:val="clear" w:pos="1191"/>
          <w:tab w:val="clear" w:pos="1588"/>
        </w:tabs>
        <w:spacing w:before="0" w:line="240" w:lineRule="auto"/>
        <w:jc w:val="lowKashida"/>
        <w:rPr>
          <w:rFonts w:asciiTheme="minorHAnsi" w:eastAsiaTheme="majorEastAsia" w:hAnsiTheme="minorHAnsi" w:cstheme="minorHAnsi"/>
          <w:sz w:val="24"/>
          <w:szCs w:val="24"/>
        </w:rPr>
      </w:pPr>
    </w:p>
    <w:p w14:paraId="788512DC" w14:textId="77777777" w:rsidR="0070656B" w:rsidRPr="00066E5D" w:rsidRDefault="0070656B" w:rsidP="002A6CEE">
      <w:pPr>
        <w:tabs>
          <w:tab w:val="clear" w:pos="794"/>
          <w:tab w:val="clear" w:pos="1191"/>
          <w:tab w:val="clear" w:pos="1588"/>
        </w:tabs>
        <w:spacing w:before="0" w:line="240" w:lineRule="auto"/>
        <w:jc w:val="lowKashida"/>
        <w:rPr>
          <w:rFonts w:asciiTheme="minorHAnsi" w:eastAsiaTheme="majorEastAsia" w:hAnsiTheme="minorHAnsi" w:cstheme="minorHAnsi"/>
          <w:sz w:val="24"/>
          <w:szCs w:val="24"/>
        </w:rPr>
      </w:pPr>
    </w:p>
    <w:p w14:paraId="19D6258D" w14:textId="4D122676" w:rsidR="002A6CEE" w:rsidRPr="00A2062E" w:rsidRDefault="00066E5D" w:rsidP="00A2062E">
      <w:pPr>
        <w:spacing w:before="0" w:line="240" w:lineRule="auto"/>
        <w:jc w:val="left"/>
        <w:rPr>
          <w:rFonts w:asciiTheme="minorHAnsi" w:eastAsia="SimSun" w:hAnsiTheme="minorHAnsi" w:cstheme="minorHAnsi"/>
          <w:sz w:val="24"/>
          <w:szCs w:val="24"/>
        </w:rPr>
      </w:pPr>
      <w:r w:rsidRPr="00066E5D">
        <w:rPr>
          <w:rFonts w:asciiTheme="minorHAnsi" w:eastAsiaTheme="majorEastAsia" w:hAnsiTheme="minorHAnsi" w:cstheme="minorHAnsi"/>
          <w:sz w:val="24"/>
          <w:szCs w:val="24"/>
        </w:rPr>
        <w:t>Annex</w:t>
      </w:r>
      <w:r w:rsidR="00023A87">
        <w:rPr>
          <w:rFonts w:asciiTheme="minorHAnsi" w:eastAsia="SimSun" w:hAnsiTheme="minorHAnsi" w:cstheme="minorHAnsi"/>
          <w:sz w:val="24"/>
          <w:szCs w:val="24"/>
        </w:rPr>
        <w:t>:</w:t>
      </w:r>
      <w:r w:rsidR="00A2062E">
        <w:rPr>
          <w:rFonts w:asciiTheme="minorHAnsi" w:eastAsia="SimSun" w:hAnsiTheme="minorHAnsi" w:cstheme="minorHAnsi"/>
          <w:sz w:val="24"/>
          <w:szCs w:val="24"/>
        </w:rPr>
        <w:t xml:space="preserve"> 1</w:t>
      </w:r>
    </w:p>
    <w:p w14:paraId="476B3ECE" w14:textId="77777777" w:rsidR="002A6CEE" w:rsidRDefault="002A6CEE" w:rsidP="002A6CEE">
      <w:pPr>
        <w:keepLines/>
        <w:tabs>
          <w:tab w:val="clear" w:pos="794"/>
          <w:tab w:val="clear" w:pos="1191"/>
          <w:tab w:val="clear" w:pos="1588"/>
          <w:tab w:val="right" w:pos="9639"/>
        </w:tabs>
        <w:spacing w:before="0" w:line="240" w:lineRule="auto"/>
        <w:jc w:val="lowKashida"/>
        <w:rPr>
          <w:rFonts w:asciiTheme="minorHAnsi" w:eastAsiaTheme="majorEastAsia" w:hAnsiTheme="minorHAnsi" w:cstheme="minorHAnsi"/>
          <w:sz w:val="24"/>
          <w:szCs w:val="24"/>
        </w:rPr>
      </w:pPr>
    </w:p>
    <w:p w14:paraId="78554198" w14:textId="77777777" w:rsidR="002A6CEE" w:rsidRPr="00066E5D" w:rsidRDefault="002A6CEE" w:rsidP="002A6CEE">
      <w:pPr>
        <w:keepLines/>
        <w:tabs>
          <w:tab w:val="clear" w:pos="794"/>
          <w:tab w:val="clear" w:pos="1191"/>
          <w:tab w:val="clear" w:pos="1588"/>
          <w:tab w:val="right" w:pos="9639"/>
        </w:tabs>
        <w:spacing w:before="0" w:line="240" w:lineRule="auto"/>
        <w:jc w:val="lowKashida"/>
        <w:rPr>
          <w:rFonts w:asciiTheme="minorHAnsi" w:eastAsiaTheme="majorEastAsia" w:hAnsiTheme="minorHAnsi" w:cstheme="minorHAnsi"/>
          <w:sz w:val="24"/>
          <w:szCs w:val="24"/>
        </w:rPr>
      </w:pPr>
    </w:p>
    <w:p w14:paraId="71F9F0C0" w14:textId="77777777" w:rsidR="00066E5D" w:rsidRPr="00023A87" w:rsidRDefault="00066E5D" w:rsidP="002A6CEE">
      <w:pPr>
        <w:pStyle w:val="toc0"/>
        <w:tabs>
          <w:tab w:val="left" w:pos="1985"/>
        </w:tabs>
        <w:spacing w:before="0" w:after="120"/>
        <w:jc w:val="lowKashida"/>
        <w:rPr>
          <w:rFonts w:asciiTheme="minorHAnsi" w:eastAsiaTheme="majorEastAsia" w:hAnsiTheme="minorHAnsi" w:cstheme="minorHAnsi"/>
          <w:bCs/>
          <w:sz w:val="18"/>
          <w:szCs w:val="18"/>
          <w:u w:val="single"/>
        </w:rPr>
      </w:pPr>
      <w:r w:rsidRPr="00023A87">
        <w:rPr>
          <w:rFonts w:asciiTheme="minorHAnsi" w:eastAsiaTheme="majorEastAsia" w:hAnsiTheme="minorHAnsi" w:cstheme="minorHAnsi"/>
          <w:bCs/>
          <w:sz w:val="18"/>
          <w:szCs w:val="18"/>
          <w:u w:val="single"/>
        </w:rPr>
        <w:t>Distribution:</w:t>
      </w:r>
    </w:p>
    <w:p w14:paraId="1C95ED6A" w14:textId="77777777" w:rsidR="00066E5D" w:rsidRPr="00023A87" w:rsidRDefault="00066E5D" w:rsidP="002A6CEE">
      <w:pPr>
        <w:pStyle w:val="enumlev1"/>
        <w:numPr>
          <w:ilvl w:val="0"/>
          <w:numId w:val="10"/>
        </w:numPr>
        <w:tabs>
          <w:tab w:val="clear" w:pos="794"/>
          <w:tab w:val="clear" w:pos="1191"/>
          <w:tab w:val="clear" w:pos="1588"/>
        </w:tabs>
        <w:spacing w:before="0"/>
        <w:ind w:left="0" w:hanging="142"/>
        <w:jc w:val="lowKashida"/>
        <w:rPr>
          <w:rFonts w:asciiTheme="minorHAnsi" w:eastAsiaTheme="majorEastAsia" w:hAnsiTheme="minorHAnsi" w:cstheme="minorHAnsi"/>
          <w:sz w:val="18"/>
          <w:szCs w:val="18"/>
        </w:rPr>
      </w:pPr>
      <w:r w:rsidRPr="00023A87">
        <w:rPr>
          <w:rFonts w:asciiTheme="minorHAnsi" w:eastAsiaTheme="majorEastAsia" w:hAnsiTheme="minorHAnsi" w:cstheme="minorHAnsi"/>
          <w:sz w:val="18"/>
          <w:szCs w:val="18"/>
        </w:rPr>
        <w:t>Administrations of ITU Member States</w:t>
      </w:r>
    </w:p>
    <w:p w14:paraId="3EC1B222" w14:textId="288B6704" w:rsidR="00066E5D" w:rsidRDefault="00066E5D" w:rsidP="002A6CEE">
      <w:pPr>
        <w:pStyle w:val="enumlev1"/>
        <w:numPr>
          <w:ilvl w:val="0"/>
          <w:numId w:val="10"/>
        </w:numPr>
        <w:tabs>
          <w:tab w:val="clear" w:pos="794"/>
          <w:tab w:val="clear" w:pos="1191"/>
          <w:tab w:val="clear" w:pos="1588"/>
        </w:tabs>
        <w:spacing w:before="0"/>
        <w:ind w:left="0" w:hanging="142"/>
        <w:jc w:val="lowKashida"/>
        <w:rPr>
          <w:rFonts w:asciiTheme="minorHAnsi" w:eastAsiaTheme="majorEastAsia" w:hAnsiTheme="minorHAnsi" w:cstheme="minorHAnsi"/>
          <w:sz w:val="18"/>
          <w:szCs w:val="18"/>
        </w:rPr>
      </w:pPr>
      <w:r w:rsidRPr="00023A87">
        <w:rPr>
          <w:rFonts w:asciiTheme="minorHAnsi" w:eastAsiaTheme="majorEastAsia" w:hAnsiTheme="minorHAnsi" w:cstheme="minorHAnsi"/>
          <w:sz w:val="18"/>
          <w:szCs w:val="18"/>
        </w:rPr>
        <w:t>Members of the Radio Regulations Board</w:t>
      </w:r>
    </w:p>
    <w:p w14:paraId="11BB8F87" w14:textId="77777777" w:rsidR="005E5C01" w:rsidRDefault="005E5C01" w:rsidP="002A6CEE">
      <w:pPr>
        <w:pStyle w:val="enumlev1"/>
        <w:numPr>
          <w:ilvl w:val="0"/>
          <w:numId w:val="10"/>
        </w:numPr>
        <w:tabs>
          <w:tab w:val="clear" w:pos="794"/>
          <w:tab w:val="clear" w:pos="1191"/>
          <w:tab w:val="clear" w:pos="1588"/>
        </w:tabs>
        <w:spacing w:before="0"/>
        <w:ind w:left="0" w:hanging="142"/>
        <w:jc w:val="lowKashida"/>
        <w:rPr>
          <w:rFonts w:asciiTheme="minorHAnsi" w:eastAsiaTheme="majorEastAsia" w:hAnsiTheme="minorHAnsi" w:cstheme="minorHAnsi"/>
          <w:sz w:val="18"/>
          <w:szCs w:val="18"/>
        </w:rPr>
        <w:sectPr w:rsidR="005E5C01" w:rsidSect="005E2B5D">
          <w:headerReference w:type="even" r:id="rId8"/>
          <w:headerReference w:type="default" r:id="rId9"/>
          <w:headerReference w:type="first" r:id="rId10"/>
          <w:footerReference w:type="first" r:id="rId11"/>
          <w:pgSz w:w="11907" w:h="16834" w:code="9"/>
          <w:pgMar w:top="1134" w:right="992" w:bottom="900" w:left="1134" w:header="567" w:footer="214" w:gutter="0"/>
          <w:cols w:space="720"/>
          <w:titlePg/>
          <w:docGrid w:linePitch="299"/>
        </w:sectPr>
      </w:pPr>
    </w:p>
    <w:p w14:paraId="06FBDDC5" w14:textId="077795D4" w:rsidR="005E5C01" w:rsidRPr="00023A87" w:rsidRDefault="005E5C01" w:rsidP="005E5C01">
      <w:pPr>
        <w:pStyle w:val="enumlev1"/>
        <w:tabs>
          <w:tab w:val="clear" w:pos="794"/>
          <w:tab w:val="clear" w:pos="1191"/>
          <w:tab w:val="clear" w:pos="1588"/>
        </w:tabs>
        <w:spacing w:before="0"/>
        <w:ind w:left="0" w:firstLine="0"/>
        <w:jc w:val="lowKashida"/>
        <w:rPr>
          <w:rFonts w:asciiTheme="minorHAnsi" w:eastAsiaTheme="majorEastAsia" w:hAnsiTheme="minorHAnsi" w:cstheme="minorHAnsi"/>
          <w:sz w:val="18"/>
          <w:szCs w:val="18"/>
        </w:rPr>
      </w:pPr>
    </w:p>
    <w:p w14:paraId="06AF803E" w14:textId="77777777" w:rsidR="008C42C7" w:rsidRPr="00B20114" w:rsidRDefault="008C42C7" w:rsidP="008C42C7">
      <w:pPr>
        <w:jc w:val="center"/>
        <w:rPr>
          <w:b/>
          <w:bCs/>
          <w:iCs/>
          <w:color w:val="000000" w:themeColor="text1"/>
        </w:rPr>
      </w:pPr>
      <w:bookmarkStart w:id="0" w:name="_Hlk33787312"/>
      <w:r w:rsidRPr="00B20114">
        <w:rPr>
          <w:b/>
          <w:bCs/>
          <w:iCs/>
          <w:color w:val="000000" w:themeColor="text1"/>
        </w:rPr>
        <w:t>ANNEX</w:t>
      </w:r>
    </w:p>
    <w:p w14:paraId="15D78FAF" w14:textId="77777777" w:rsidR="008C42C7" w:rsidRPr="00B20114" w:rsidRDefault="008C42C7" w:rsidP="008C42C7">
      <w:pPr>
        <w:rPr>
          <w:bCs/>
          <w:i/>
          <w:iCs/>
          <w:color w:val="FF0000"/>
        </w:rPr>
      </w:pPr>
    </w:p>
    <w:tbl>
      <w:tblPr>
        <w:tblStyle w:val="TableGrid"/>
        <w:tblW w:w="14283" w:type="dxa"/>
        <w:tblLayout w:type="fixed"/>
        <w:tblLook w:val="04A0" w:firstRow="1" w:lastRow="0" w:firstColumn="1" w:lastColumn="0" w:noHBand="0" w:noVBand="1"/>
      </w:tblPr>
      <w:tblGrid>
        <w:gridCol w:w="1838"/>
        <w:gridCol w:w="1733"/>
        <w:gridCol w:w="10712"/>
      </w:tblGrid>
      <w:tr w:rsidR="008C42C7" w:rsidRPr="00B20114" w14:paraId="053AB7C9" w14:textId="77777777" w:rsidTr="004D7F4E">
        <w:trPr>
          <w:cantSplit/>
          <w:trHeight w:val="1139"/>
          <w:tblHeader/>
        </w:trPr>
        <w:tc>
          <w:tcPr>
            <w:tcW w:w="1838" w:type="dxa"/>
          </w:tcPr>
          <w:p w14:paraId="09AFF928" w14:textId="77777777" w:rsidR="008C42C7" w:rsidRPr="00527F8E" w:rsidRDefault="008C42C7" w:rsidP="00443F9D">
            <w:pPr>
              <w:jc w:val="center"/>
              <w:rPr>
                <w:b/>
              </w:rPr>
            </w:pPr>
            <w:r w:rsidRPr="00527F8E">
              <w:rPr>
                <w:b/>
              </w:rPr>
              <w:t>Source document (Minutes of the Plenary)</w:t>
            </w:r>
          </w:p>
        </w:tc>
        <w:tc>
          <w:tcPr>
            <w:tcW w:w="1733" w:type="dxa"/>
          </w:tcPr>
          <w:p w14:paraId="3EF61912" w14:textId="77777777" w:rsidR="008C42C7" w:rsidRPr="00527F8E" w:rsidRDefault="008C42C7" w:rsidP="00443F9D">
            <w:pPr>
              <w:jc w:val="center"/>
              <w:rPr>
                <w:b/>
              </w:rPr>
            </w:pPr>
            <w:r w:rsidRPr="00527F8E">
              <w:rPr>
                <w:b/>
              </w:rPr>
              <w:t>Background of the Plenary decision</w:t>
            </w:r>
          </w:p>
        </w:tc>
        <w:tc>
          <w:tcPr>
            <w:tcW w:w="10712" w:type="dxa"/>
          </w:tcPr>
          <w:p w14:paraId="022CA175" w14:textId="77777777" w:rsidR="008C42C7" w:rsidRPr="00B20114" w:rsidRDefault="008C42C7" w:rsidP="00443F9D">
            <w:pPr>
              <w:jc w:val="center"/>
              <w:rPr>
                <w:b/>
              </w:rPr>
            </w:pPr>
            <w:r w:rsidRPr="00B20114">
              <w:rPr>
                <w:b/>
              </w:rPr>
              <w:t>Plenary decision and associated text</w:t>
            </w:r>
          </w:p>
        </w:tc>
      </w:tr>
      <w:tr w:rsidR="004D7F4E" w:rsidRPr="00B20114" w14:paraId="54357769" w14:textId="77777777" w:rsidTr="00CE6D50">
        <w:trPr>
          <w:trHeight w:val="1139"/>
        </w:trPr>
        <w:tc>
          <w:tcPr>
            <w:tcW w:w="1838" w:type="dxa"/>
          </w:tcPr>
          <w:p w14:paraId="06419A29" w14:textId="05819553" w:rsidR="004D7F4E" w:rsidRPr="00527F8E" w:rsidRDefault="004D7F4E" w:rsidP="004D7F4E">
            <w:pPr>
              <w:jc w:val="left"/>
              <w:rPr>
                <w:b/>
              </w:rPr>
            </w:pPr>
            <w:r w:rsidRPr="004D7F4E">
              <w:rPr>
                <w:b/>
                <w:lang w:val="en-GB"/>
              </w:rPr>
              <w:t xml:space="preserve">Document </w:t>
            </w:r>
            <w:r w:rsidRPr="004D7F4E">
              <w:rPr>
                <w:rFonts w:eastAsia="Times New Roman"/>
                <w:b/>
                <w:lang w:val="en-GB"/>
              </w:rPr>
              <w:t xml:space="preserve"> </w:t>
            </w:r>
            <w:hyperlink r:id="rId12" w:history="1">
              <w:r w:rsidRPr="004D7F4E">
                <w:rPr>
                  <w:rStyle w:val="Hyperlink"/>
                  <w:rFonts w:eastAsia="Times New Roman"/>
                  <w:b/>
                  <w:lang w:val="en-GB"/>
                </w:rPr>
                <w:t>CMR</w:t>
              </w:r>
              <w:r w:rsidRPr="004D7F4E">
                <w:rPr>
                  <w:rStyle w:val="Hyperlink"/>
                  <w:b/>
                  <w:lang w:val="en-GB"/>
                </w:rPr>
                <w:t>23/52</w:t>
              </w:r>
              <w:r w:rsidRPr="004D7F4E">
                <w:rPr>
                  <w:rStyle w:val="Hyperlink"/>
                  <w:b/>
                </w:rPr>
                <w:t>3</w:t>
              </w:r>
            </w:hyperlink>
            <w:r w:rsidRPr="004D7F4E">
              <w:rPr>
                <w:b/>
                <w:lang w:val="en-GB"/>
              </w:rPr>
              <w:t xml:space="preserve"> – Minutes of the Eighth Plenary meeting</w:t>
            </w:r>
          </w:p>
        </w:tc>
        <w:tc>
          <w:tcPr>
            <w:tcW w:w="1733" w:type="dxa"/>
          </w:tcPr>
          <w:p w14:paraId="574A4B25" w14:textId="77777777" w:rsidR="004D7F4E" w:rsidRPr="004D7F4E" w:rsidRDefault="004D7F4E" w:rsidP="004D7F4E">
            <w:pPr>
              <w:spacing w:before="120" w:after="120" w:line="240" w:lineRule="auto"/>
              <w:rPr>
                <w:b/>
              </w:rPr>
            </w:pPr>
            <w:r w:rsidRPr="004D7F4E">
              <w:rPr>
                <w:b/>
              </w:rPr>
              <w:t xml:space="preserve">Document </w:t>
            </w:r>
            <w:hyperlink r:id="rId13" w:history="1">
              <w:r w:rsidRPr="004D7F4E">
                <w:rPr>
                  <w:rStyle w:val="Hyperlink"/>
                  <w:b/>
                </w:rPr>
                <w:t>50</w:t>
              </w:r>
            </w:hyperlink>
          </w:p>
          <w:p w14:paraId="5831BAE8" w14:textId="77777777" w:rsidR="004D7F4E" w:rsidRPr="004D7F4E" w:rsidRDefault="004D7F4E" w:rsidP="004D7F4E">
            <w:pPr>
              <w:spacing w:before="120" w:after="120" w:line="240" w:lineRule="auto"/>
              <w:rPr>
                <w:b/>
              </w:rPr>
            </w:pPr>
            <w:r w:rsidRPr="004D7F4E">
              <w:rPr>
                <w:b/>
              </w:rPr>
              <w:t>§§ 11.1 and 11.2</w:t>
            </w:r>
          </w:p>
          <w:p w14:paraId="1DC3BEC2" w14:textId="06DC48C7" w:rsidR="004D7F4E" w:rsidRPr="00527F8E" w:rsidRDefault="004D7F4E" w:rsidP="004D7F4E">
            <w:pPr>
              <w:jc w:val="left"/>
              <w:rPr>
                <w:rFonts w:cs="Times"/>
                <w:b/>
              </w:rPr>
            </w:pPr>
            <w:r w:rsidRPr="004D7F4E">
              <w:rPr>
                <w:b/>
              </w:rPr>
              <w:t xml:space="preserve">Approval of Document </w:t>
            </w:r>
            <w:hyperlink r:id="rId14" w:history="1">
              <w:r w:rsidRPr="004D7F4E">
                <w:rPr>
                  <w:rStyle w:val="Hyperlink"/>
                  <w:b/>
                </w:rPr>
                <w:t>442</w:t>
              </w:r>
            </w:hyperlink>
            <w:r w:rsidRPr="004D7F4E">
              <w:rPr>
                <w:rStyle w:val="Hyperlink"/>
                <w:b/>
              </w:rPr>
              <w:t>;</w:t>
            </w:r>
          </w:p>
        </w:tc>
        <w:tc>
          <w:tcPr>
            <w:tcW w:w="10712" w:type="dxa"/>
          </w:tcPr>
          <w:p w14:paraId="4BE09C63" w14:textId="77777777" w:rsidR="004D7F4E" w:rsidRPr="004D7F4E" w:rsidRDefault="004D7F4E" w:rsidP="004D7F4E">
            <w:pPr>
              <w:pStyle w:val="Headingb"/>
              <w:keepNext w:val="0"/>
              <w:widowControl w:val="0"/>
              <w:rPr>
                <w:lang w:val="en-GB"/>
              </w:rPr>
            </w:pPr>
            <w:bookmarkStart w:id="1" w:name="_Toc139959637"/>
            <w:r w:rsidRPr="004D7F4E">
              <w:rPr>
                <w:lang w:val="en-GB"/>
              </w:rPr>
              <w:t>Issues related to the implementation of Resolution 559 (WRC</w:t>
            </w:r>
            <w:r w:rsidRPr="004D7F4E">
              <w:rPr>
                <w:lang w:val="en-GB"/>
              </w:rPr>
              <w:noBreakHyphen/>
              <w:t>19)</w:t>
            </w:r>
            <w:bookmarkEnd w:id="1"/>
          </w:p>
          <w:p w14:paraId="02DC4E3F" w14:textId="77777777" w:rsidR="004D7F4E" w:rsidRPr="004D7F4E" w:rsidRDefault="004D7F4E" w:rsidP="004D7F4E">
            <w:pPr>
              <w:widowControl w:val="0"/>
              <w:rPr>
                <w:spacing w:val="-2"/>
              </w:rPr>
            </w:pPr>
            <w:r w:rsidRPr="004D7F4E">
              <w:rPr>
                <w:spacing w:val="-2"/>
              </w:rPr>
              <w:t>WRC</w:t>
            </w:r>
            <w:r w:rsidRPr="004D7F4E">
              <w:rPr>
                <w:spacing w:val="-2"/>
              </w:rPr>
              <w:noBreakHyphen/>
              <w:t>23 considered section 4.2 “Issues related to the implementation of Resolution </w:t>
            </w:r>
            <w:r w:rsidRPr="004D7F4E">
              <w:rPr>
                <w:b/>
                <w:bCs/>
                <w:spacing w:val="-2"/>
              </w:rPr>
              <w:t>559 (WRC</w:t>
            </w:r>
            <w:r w:rsidRPr="004D7F4E">
              <w:rPr>
                <w:b/>
                <w:bCs/>
                <w:spacing w:val="-2"/>
              </w:rPr>
              <w:noBreakHyphen/>
              <w:t>19)</w:t>
            </w:r>
            <w:r w:rsidRPr="004D7F4E">
              <w:rPr>
                <w:spacing w:val="-2"/>
              </w:rPr>
              <w:t xml:space="preserve">” of the Report of the Radio Regulations Board to </w:t>
            </w:r>
            <w:bookmarkStart w:id="2" w:name="_Hlk153063757"/>
            <w:r w:rsidRPr="004D7F4E">
              <w:rPr>
                <w:spacing w:val="-2"/>
              </w:rPr>
              <w:t>WRC</w:t>
            </w:r>
            <w:r w:rsidRPr="004D7F4E">
              <w:rPr>
                <w:spacing w:val="-2"/>
              </w:rPr>
              <w:noBreakHyphen/>
              <w:t xml:space="preserve">23 </w:t>
            </w:r>
            <w:bookmarkEnd w:id="2"/>
            <w:r w:rsidRPr="004D7F4E">
              <w:rPr>
                <w:spacing w:val="-2"/>
              </w:rPr>
              <w:t>on Resolution </w:t>
            </w:r>
            <w:r w:rsidRPr="004D7F4E">
              <w:rPr>
                <w:b/>
                <w:bCs/>
                <w:spacing w:val="-2"/>
              </w:rPr>
              <w:t>80 (Rev.WRC</w:t>
            </w:r>
            <w:r w:rsidRPr="004D7F4E">
              <w:rPr>
                <w:b/>
                <w:bCs/>
                <w:spacing w:val="-2"/>
              </w:rPr>
              <w:noBreakHyphen/>
              <w:t>07)</w:t>
            </w:r>
            <w:r w:rsidRPr="004D7F4E">
              <w:rPr>
                <w:spacing w:val="-2"/>
              </w:rPr>
              <w:t>. This section detailed the extensive efforts undertaken by the Radio Regulations Board, the 45 administrations that made submissions under Resolution 559, the administrations whose networks were potentially affected by these Resolution 559 submissions, ITU</w:t>
            </w:r>
            <w:r w:rsidRPr="004D7F4E">
              <w:rPr>
                <w:spacing w:val="-2"/>
              </w:rPr>
              <w:noBreakHyphen/>
              <w:t xml:space="preserve">R Working Party 4A and the Radiocommunication Bureau, </w:t>
            </w:r>
            <w:proofErr w:type="gramStart"/>
            <w:r w:rsidRPr="004D7F4E">
              <w:rPr>
                <w:spacing w:val="-2"/>
              </w:rPr>
              <w:t>in order to</w:t>
            </w:r>
            <w:proofErr w:type="gramEnd"/>
            <w:r w:rsidRPr="004D7F4E">
              <w:rPr>
                <w:spacing w:val="-2"/>
              </w:rPr>
              <w:t xml:space="preserve"> reach a point where the Resolution 559 Part B submissions from 41 administrations had successfully been published.</w:t>
            </w:r>
          </w:p>
          <w:p w14:paraId="58B276EA" w14:textId="77777777" w:rsidR="004D7F4E" w:rsidRPr="004D7F4E" w:rsidRDefault="004D7F4E" w:rsidP="004D7F4E">
            <w:pPr>
              <w:widowControl w:val="0"/>
              <w:rPr>
                <w:spacing w:val="-2"/>
              </w:rPr>
            </w:pPr>
            <w:r w:rsidRPr="004D7F4E">
              <w:rPr>
                <w:spacing w:val="-2"/>
              </w:rPr>
              <w:t>In concluding this section of the report, the Board invited WRC</w:t>
            </w:r>
            <w:r w:rsidRPr="004D7F4E">
              <w:rPr>
                <w:spacing w:val="-2"/>
              </w:rPr>
              <w:noBreakHyphen/>
              <w:t>23 to endorse a list of measures adopted by the Board and implemented by the Bureau for the application of Resolution </w:t>
            </w:r>
            <w:r w:rsidRPr="004D7F4E">
              <w:rPr>
                <w:b/>
                <w:bCs/>
                <w:spacing w:val="-2"/>
              </w:rPr>
              <w:t>559 (WRC</w:t>
            </w:r>
            <w:r w:rsidRPr="004D7F4E">
              <w:rPr>
                <w:b/>
                <w:bCs/>
                <w:spacing w:val="-2"/>
              </w:rPr>
              <w:noBreakHyphen/>
              <w:t>19)</w:t>
            </w:r>
            <w:r w:rsidRPr="004D7F4E">
              <w:rPr>
                <w:spacing w:val="-2"/>
              </w:rPr>
              <w:t>. WRC</w:t>
            </w:r>
            <w:r w:rsidRPr="004D7F4E">
              <w:rPr>
                <w:spacing w:val="-2"/>
              </w:rPr>
              <w:noBreakHyphen/>
              <w:t>23 overwhelmingly accepted this invitation and endorsed these measures. Consequently, the entry into the List of RR Appendices </w:t>
            </w:r>
            <w:r w:rsidRPr="004D7F4E">
              <w:rPr>
                <w:b/>
                <w:bCs/>
                <w:spacing w:val="-2"/>
              </w:rPr>
              <w:t>30</w:t>
            </w:r>
            <w:r w:rsidRPr="004D7F4E">
              <w:rPr>
                <w:spacing w:val="-2"/>
              </w:rPr>
              <w:t xml:space="preserve"> and </w:t>
            </w:r>
            <w:r w:rsidRPr="004D7F4E">
              <w:rPr>
                <w:b/>
                <w:bCs/>
                <w:spacing w:val="-2"/>
              </w:rPr>
              <w:t>30A</w:t>
            </w:r>
            <w:r w:rsidRPr="004D7F4E">
              <w:rPr>
                <w:spacing w:val="-2"/>
              </w:rPr>
              <w:t xml:space="preserve"> of the assignments contained in those Resolution 559 Part B submissions, as published in the relevant Special Sections, has been confirmed.</w:t>
            </w:r>
          </w:p>
          <w:p w14:paraId="5188D968" w14:textId="77777777" w:rsidR="004D7F4E" w:rsidRPr="004D7F4E" w:rsidRDefault="004D7F4E" w:rsidP="004D7F4E">
            <w:pPr>
              <w:widowControl w:val="0"/>
              <w:rPr>
                <w:spacing w:val="-2"/>
              </w:rPr>
            </w:pPr>
            <w:r w:rsidRPr="004D7F4E">
              <w:rPr>
                <w:spacing w:val="-2"/>
              </w:rPr>
              <w:t>In addition, WRC</w:t>
            </w:r>
            <w:r w:rsidRPr="004D7F4E">
              <w:rPr>
                <w:spacing w:val="-2"/>
              </w:rPr>
              <w:noBreakHyphen/>
              <w:t>23 endorsed the Board’s invitation to urge</w:t>
            </w:r>
            <w:r w:rsidRPr="004D7F4E">
              <w:rPr>
                <w:i/>
                <w:iCs/>
                <w:spacing w:val="-2"/>
              </w:rPr>
              <w:t xml:space="preserve"> </w:t>
            </w:r>
            <w:r w:rsidRPr="004D7F4E">
              <w:rPr>
                <w:spacing w:val="-2"/>
              </w:rPr>
              <w:t xml:space="preserve">administrations with Part A submissions received before 22 May 2020 to make all efforts to accommodate Resolution 559 submissions and to </w:t>
            </w:r>
            <w:proofErr w:type="gramStart"/>
            <w:r w:rsidRPr="004D7F4E">
              <w:rPr>
                <w:spacing w:val="-2"/>
              </w:rPr>
              <w:t>take into account</w:t>
            </w:r>
            <w:proofErr w:type="gramEnd"/>
            <w:r w:rsidRPr="004D7F4E">
              <w:rPr>
                <w:spacing w:val="-2"/>
              </w:rPr>
              <w:t xml:space="preserve"> the results of the Bureau’s review when preparing their Part B submissions.</w:t>
            </w:r>
          </w:p>
          <w:p w14:paraId="0A0958EE" w14:textId="77777777" w:rsidR="004D7F4E" w:rsidRPr="004D7F4E" w:rsidRDefault="004D7F4E" w:rsidP="004D7F4E">
            <w:pPr>
              <w:widowControl w:val="0"/>
            </w:pPr>
            <w:r w:rsidRPr="004D7F4E">
              <w:t>Finally, the Board invited WRC</w:t>
            </w:r>
            <w:r w:rsidRPr="004D7F4E">
              <w:noBreakHyphen/>
              <w:t xml:space="preserve">23 to encourage administrations to cooperate and consider approaches such as those outlined in § 4.2.15 of the report </w:t>
            </w:r>
            <w:proofErr w:type="gramStart"/>
            <w:r w:rsidRPr="004D7F4E">
              <w:t>in order to</w:t>
            </w:r>
            <w:proofErr w:type="gramEnd"/>
            <w:r w:rsidRPr="004D7F4E">
              <w:t xml:space="preserve"> complete all of the remaining coordination cases. WRC</w:t>
            </w:r>
            <w:r w:rsidRPr="004D7F4E">
              <w:noBreakHyphen/>
              <w:t>23 also endorsed that invitation and so encourages administrations.”</w:t>
            </w:r>
          </w:p>
          <w:p w14:paraId="23A55663" w14:textId="77777777" w:rsidR="004D7F4E" w:rsidRPr="004D7F4E" w:rsidRDefault="004D7F4E" w:rsidP="004D7F4E">
            <w:pPr>
              <w:widowControl w:val="0"/>
            </w:pPr>
          </w:p>
          <w:p w14:paraId="18EFE916" w14:textId="77777777" w:rsidR="004D7F4E" w:rsidRPr="004D7F4E" w:rsidRDefault="004D7F4E" w:rsidP="004D7F4E">
            <w:pPr>
              <w:pStyle w:val="Headingb"/>
              <w:keepNext w:val="0"/>
              <w:widowControl w:val="0"/>
              <w:tabs>
                <w:tab w:val="clear" w:pos="794"/>
                <w:tab w:val="left" w:pos="0"/>
              </w:tabs>
              <w:spacing w:before="120" w:after="120"/>
              <w:ind w:left="14" w:hanging="14"/>
              <w:rPr>
                <w:b w:val="0"/>
                <w:bCs/>
              </w:rPr>
            </w:pPr>
            <w:r w:rsidRPr="004D7F4E">
              <w:rPr>
                <w:b w:val="0"/>
                <w:bCs/>
                <w:i/>
                <w:iCs/>
                <w:spacing w:val="-2"/>
              </w:rPr>
              <w:t>Note from the Radiocommunication Bureau:</w:t>
            </w:r>
            <w:r w:rsidRPr="004D7F4E">
              <w:rPr>
                <w:b w:val="0"/>
                <w:bCs/>
                <w:spacing w:val="-2"/>
              </w:rPr>
              <w:t xml:space="preserve"> Below are the relevant parts of the Report of the Radio Regulations Board to WRC</w:t>
            </w:r>
            <w:r w:rsidRPr="004D7F4E">
              <w:rPr>
                <w:b w:val="0"/>
                <w:bCs/>
                <w:spacing w:val="-2"/>
              </w:rPr>
              <w:noBreakHyphen/>
              <w:t>23 on Resolution </w:t>
            </w:r>
            <w:r w:rsidRPr="004D7F4E">
              <w:rPr>
                <w:spacing w:val="-2"/>
              </w:rPr>
              <w:t>80 (Rev.WRC</w:t>
            </w:r>
            <w:r w:rsidRPr="004D7F4E">
              <w:rPr>
                <w:spacing w:val="-2"/>
              </w:rPr>
              <w:noBreakHyphen/>
              <w:t xml:space="preserve">07) </w:t>
            </w:r>
            <w:r w:rsidRPr="004D7F4E">
              <w:rPr>
                <w:b w:val="0"/>
                <w:bCs/>
                <w:spacing w:val="-2"/>
              </w:rPr>
              <w:t xml:space="preserve">(Document </w:t>
            </w:r>
            <w:hyperlink r:id="rId15" w:history="1">
              <w:r w:rsidRPr="004D7F4E">
                <w:rPr>
                  <w:rStyle w:val="Hyperlink"/>
                  <w:spacing w:val="-2"/>
                </w:rPr>
                <w:t>50</w:t>
              </w:r>
            </w:hyperlink>
            <w:r w:rsidRPr="004D7F4E">
              <w:rPr>
                <w:b w:val="0"/>
                <w:bCs/>
                <w:spacing w:val="-2"/>
              </w:rPr>
              <w:t>).</w:t>
            </w:r>
          </w:p>
          <w:p w14:paraId="46CDB1A8" w14:textId="77777777" w:rsidR="004D7F4E" w:rsidRPr="004D7F4E" w:rsidRDefault="004D7F4E" w:rsidP="004D7F4E">
            <w:pPr>
              <w:pStyle w:val="Headingb"/>
              <w:keepNext w:val="0"/>
              <w:widowControl w:val="0"/>
              <w:tabs>
                <w:tab w:val="clear" w:pos="794"/>
                <w:tab w:val="left" w:pos="0"/>
              </w:tabs>
              <w:spacing w:before="120" w:after="120"/>
              <w:ind w:left="14" w:hanging="14"/>
            </w:pPr>
            <w:r w:rsidRPr="004D7F4E">
              <w:rPr>
                <w:b w:val="0"/>
              </w:rPr>
              <w:lastRenderedPageBreak/>
              <w:t>“</w:t>
            </w:r>
            <w:r w:rsidRPr="004D7F4E">
              <w:t>…</w:t>
            </w:r>
          </w:p>
          <w:p w14:paraId="5C254A81" w14:textId="77777777" w:rsidR="004D7F4E" w:rsidRPr="004D7F4E" w:rsidRDefault="004D7F4E" w:rsidP="004D7F4E">
            <w:pPr>
              <w:widowControl w:val="0"/>
              <w:rPr>
                <w:lang w:eastAsia="zh-CN"/>
              </w:rPr>
            </w:pPr>
            <w:r w:rsidRPr="004D7F4E">
              <w:rPr>
                <w:lang w:eastAsia="zh-CN"/>
              </w:rPr>
              <w:t>4.2.15</w:t>
            </w:r>
            <w:r w:rsidRPr="004D7F4E">
              <w:rPr>
                <w:lang w:eastAsia="zh-CN"/>
              </w:rPr>
              <w:tab/>
              <w:t xml:space="preserve">The Board also considered the following proposals from a group of administrations for three measures to facilitate the conclusion of pending coordination of Part B submissions forming part of the implementation of Resolution </w:t>
            </w:r>
            <w:r w:rsidRPr="004D7F4E">
              <w:rPr>
                <w:b/>
                <w:bCs/>
                <w:lang w:eastAsia="zh-CN"/>
              </w:rPr>
              <w:t>559 (WRC-19)</w:t>
            </w:r>
            <w:r w:rsidRPr="004D7F4E">
              <w:rPr>
                <w:lang w:eastAsia="zh-CN"/>
              </w:rPr>
              <w:t>:</w:t>
            </w:r>
          </w:p>
          <w:p w14:paraId="1DA813DA" w14:textId="77777777" w:rsidR="004D7F4E" w:rsidRPr="004D7F4E" w:rsidRDefault="004D7F4E" w:rsidP="004D7F4E">
            <w:pPr>
              <w:pStyle w:val="enumlev1"/>
              <w:widowControl w:val="0"/>
              <w:rPr>
                <w:rFonts w:eastAsia="Calibri"/>
              </w:rPr>
            </w:pPr>
            <w:r w:rsidRPr="004D7F4E">
              <w:t>a)</w:t>
            </w:r>
            <w:r w:rsidRPr="004D7F4E">
              <w:tab/>
              <w:t xml:space="preserve">Under 4.1.1 b) of Appendix </w:t>
            </w:r>
            <w:r w:rsidRPr="004D7F4E">
              <w:rPr>
                <w:b/>
                <w:bCs/>
              </w:rPr>
              <w:t xml:space="preserve">30, </w:t>
            </w:r>
            <w:bookmarkStart w:id="3" w:name="_Hlk132884893"/>
            <w:r w:rsidRPr="004D7F4E">
              <w:t xml:space="preserve">the </w:t>
            </w:r>
            <w:r w:rsidRPr="004D7F4E">
              <w:rPr>
                <w:rFonts w:eastAsia="Calibri"/>
              </w:rPr>
              <w:t xml:space="preserve">coordination between a Res. </w:t>
            </w:r>
            <w:r w:rsidRPr="004D7F4E">
              <w:rPr>
                <w:rFonts w:eastAsia="Calibri"/>
                <w:b/>
                <w:bCs/>
              </w:rPr>
              <w:t>559</w:t>
            </w:r>
            <w:r w:rsidRPr="004D7F4E">
              <w:rPr>
                <w:rFonts w:eastAsia="Calibri"/>
              </w:rPr>
              <w:t xml:space="preserve"> submission and an additional use network in </w:t>
            </w:r>
            <w:proofErr w:type="gramStart"/>
            <w:r w:rsidRPr="004D7F4E">
              <w:rPr>
                <w:rFonts w:eastAsia="Calibri"/>
              </w:rPr>
              <w:t>Regions</w:t>
            </w:r>
            <w:proofErr w:type="gramEnd"/>
            <w:r w:rsidRPr="004D7F4E">
              <w:rPr>
                <w:rFonts w:eastAsia="Calibri"/>
              </w:rPr>
              <w:t xml:space="preserve"> 1 and 3 would be deemed completed if their nominal orbital separation was equal to or greater than six degrees. </w:t>
            </w:r>
            <w:proofErr w:type="gramStart"/>
            <w:r w:rsidRPr="004D7F4E">
              <w:rPr>
                <w:rFonts w:eastAsia="Calibri"/>
              </w:rPr>
              <w:t>In order to</w:t>
            </w:r>
            <w:proofErr w:type="gramEnd"/>
            <w:r w:rsidRPr="004D7F4E">
              <w:rPr>
                <w:rFonts w:eastAsia="Calibri"/>
              </w:rPr>
              <w:t xml:space="preserve"> preserve the same level of protection for such cases of those Regions 1 and 3 additional use frequency assignments from incoming Article 4 submissions, the reference situation of those Regions 1 and 3 additional use frequency assignments would not be updated when the Res. </w:t>
            </w:r>
            <w:r w:rsidRPr="004D7F4E">
              <w:rPr>
                <w:rFonts w:eastAsia="Calibri"/>
                <w:b/>
                <w:bCs/>
              </w:rPr>
              <w:t>559</w:t>
            </w:r>
            <w:r w:rsidRPr="004D7F4E">
              <w:rPr>
                <w:rFonts w:eastAsia="Calibri"/>
              </w:rPr>
              <w:t xml:space="preserve"> frequency assignments in the List are included in the Plans.</w:t>
            </w:r>
            <w:bookmarkEnd w:id="3"/>
          </w:p>
          <w:p w14:paraId="540E55A1" w14:textId="77777777" w:rsidR="004D7F4E" w:rsidRPr="004D7F4E" w:rsidRDefault="004D7F4E" w:rsidP="004D7F4E">
            <w:pPr>
              <w:pStyle w:val="enumlev1"/>
              <w:widowControl w:val="0"/>
            </w:pPr>
            <w:r w:rsidRPr="004D7F4E">
              <w:t>b)</w:t>
            </w:r>
            <w:r w:rsidRPr="004D7F4E">
              <w:tab/>
              <w:t xml:space="preserve">Under 4.1.1 e) of Appendix </w:t>
            </w:r>
            <w:r w:rsidRPr="004D7F4E">
              <w:rPr>
                <w:b/>
                <w:bCs/>
              </w:rPr>
              <w:t>30</w:t>
            </w:r>
            <w:r w:rsidRPr="004D7F4E">
              <w:t xml:space="preserve">, the coordination between a Res. </w:t>
            </w:r>
            <w:r w:rsidRPr="004D7F4E">
              <w:rPr>
                <w:b/>
                <w:bCs/>
              </w:rPr>
              <w:t>559</w:t>
            </w:r>
            <w:r w:rsidRPr="004D7F4E">
              <w:t xml:space="preserve"> submission and a non-planned FSS satellite network in </w:t>
            </w:r>
            <w:proofErr w:type="gramStart"/>
            <w:r w:rsidRPr="004D7F4E">
              <w:t>Regions</w:t>
            </w:r>
            <w:proofErr w:type="gramEnd"/>
            <w:r w:rsidRPr="004D7F4E">
              <w:t xml:space="preserve"> 2 or 3 would be deemed completed if their nominal orbital separation was equal to or greater than six degrees;</w:t>
            </w:r>
          </w:p>
          <w:p w14:paraId="44F7ED9C" w14:textId="77777777" w:rsidR="004D7F4E" w:rsidRPr="004D7F4E" w:rsidRDefault="004D7F4E" w:rsidP="004D7F4E">
            <w:pPr>
              <w:widowControl w:val="0"/>
            </w:pPr>
            <w:r w:rsidRPr="004D7F4E">
              <w:rPr>
                <w:lang w:eastAsia="zh-CN"/>
              </w:rPr>
              <w:t>c)</w:t>
            </w:r>
            <w:r w:rsidRPr="004D7F4E">
              <w:rPr>
                <w:lang w:eastAsia="zh-CN"/>
              </w:rPr>
              <w:tab/>
            </w:r>
            <w:r w:rsidRPr="004D7F4E">
              <w:t xml:space="preserve">Under 4.1.1 e) of Appendix </w:t>
            </w:r>
            <w:r w:rsidRPr="004D7F4E">
              <w:rPr>
                <w:b/>
                <w:bCs/>
              </w:rPr>
              <w:t>30</w:t>
            </w:r>
            <w:r w:rsidRPr="004D7F4E">
              <w:t xml:space="preserve">, for the coordination of a Res. </w:t>
            </w:r>
            <w:r w:rsidRPr="004D7F4E">
              <w:rPr>
                <w:b/>
                <w:bCs/>
              </w:rPr>
              <w:t>559</w:t>
            </w:r>
            <w:r w:rsidRPr="004D7F4E">
              <w:t xml:space="preserve"> submission in respect of a non-planned FSS satellite network in </w:t>
            </w:r>
            <w:proofErr w:type="gramStart"/>
            <w:r w:rsidRPr="004D7F4E">
              <w:t>Regions</w:t>
            </w:r>
            <w:proofErr w:type="gramEnd"/>
            <w:r w:rsidRPr="004D7F4E">
              <w:t xml:space="preserve"> 2 or 3, the service area of the non-planned satellite network to be considered would be the one submitted that was situated on land and was within the – 3 dB antenna gain contour of that non-planned satellite network.</w:t>
            </w:r>
          </w:p>
          <w:p w14:paraId="766357A1" w14:textId="77777777" w:rsidR="004D7F4E" w:rsidRPr="004D7F4E" w:rsidRDefault="004D7F4E" w:rsidP="004D7F4E">
            <w:pPr>
              <w:widowControl w:val="0"/>
              <w:rPr>
                <w:lang w:eastAsia="zh-CN"/>
              </w:rPr>
            </w:pPr>
            <w:r w:rsidRPr="004D7F4E">
              <w:t>…</w:t>
            </w:r>
          </w:p>
          <w:p w14:paraId="5C25B326" w14:textId="77777777" w:rsidR="004D7F4E" w:rsidRPr="004D7F4E" w:rsidRDefault="004D7F4E" w:rsidP="004D7F4E">
            <w:pPr>
              <w:widowControl w:val="0"/>
            </w:pPr>
            <w:r w:rsidRPr="004D7F4E">
              <w:rPr>
                <w:lang w:eastAsia="zh-CN"/>
              </w:rPr>
              <w:t>4.2.23</w:t>
            </w:r>
            <w:r w:rsidRPr="004D7F4E">
              <w:rPr>
                <w:lang w:eastAsia="zh-CN"/>
              </w:rPr>
              <w:tab/>
              <w:t>The Board adopted several additional decisions that should be considered and endorsed by WRC-23.</w:t>
            </w:r>
          </w:p>
          <w:p w14:paraId="2D5695CB" w14:textId="77777777" w:rsidR="004D7F4E" w:rsidRPr="004D7F4E" w:rsidRDefault="004D7F4E" w:rsidP="004D7F4E">
            <w:pPr>
              <w:widowControl w:val="0"/>
              <w:rPr>
                <w:b/>
                <w:bCs/>
              </w:rPr>
            </w:pPr>
            <w:r w:rsidRPr="004D7F4E">
              <w:rPr>
                <w:b/>
                <w:bCs/>
              </w:rPr>
              <w:t>WRC-23 is invited to endorse the following measures adopted by the Board and the Bureau to implement Resolution 559 (WRC-19):</w:t>
            </w:r>
          </w:p>
          <w:p w14:paraId="6DBD502E" w14:textId="77777777" w:rsidR="004D7F4E" w:rsidRPr="004D7F4E" w:rsidRDefault="004D7F4E" w:rsidP="004D7F4E">
            <w:pPr>
              <w:pStyle w:val="enumlev1"/>
              <w:widowControl w:val="0"/>
              <w:ind w:left="567" w:hanging="567"/>
            </w:pPr>
            <w:r w:rsidRPr="004D7F4E">
              <w:rPr>
                <w:lang w:val="ru-RU"/>
              </w:rPr>
              <w:t>•</w:t>
            </w:r>
            <w:r w:rsidRPr="004D7F4E">
              <w:rPr>
                <w:lang w:val="ru-RU"/>
              </w:rPr>
              <w:tab/>
            </w:r>
            <w:r w:rsidRPr="004D7F4E">
              <w:t xml:space="preserve">the Bureau shall accept test points outside national territories in Part A submissions under Resolution </w:t>
            </w:r>
            <w:r w:rsidRPr="004D7F4E">
              <w:rPr>
                <w:b/>
              </w:rPr>
              <w:t>559 (WRC-19)</w:t>
            </w:r>
            <w:r w:rsidRPr="004D7F4E">
              <w:t xml:space="preserve"> received before 22 May 2020 if they are the same as those found in the Appendices </w:t>
            </w:r>
            <w:r w:rsidRPr="004D7F4E">
              <w:rPr>
                <w:b/>
              </w:rPr>
              <w:t>30</w:t>
            </w:r>
            <w:r w:rsidRPr="004D7F4E">
              <w:t xml:space="preserve"> and </w:t>
            </w:r>
            <w:r w:rsidRPr="004D7F4E">
              <w:rPr>
                <w:b/>
              </w:rPr>
              <w:t>30A</w:t>
            </w:r>
            <w:r w:rsidRPr="004D7F4E">
              <w:t xml:space="preserve"> Plan frequency assignments and if a minimal ellipse cannot be generated over the entire territory of the submitting administration solely from test points on its national territory, noting that WRC-2000 approved the use of these points;</w:t>
            </w:r>
          </w:p>
          <w:p w14:paraId="12B9E0D6" w14:textId="77777777" w:rsidR="004D7F4E" w:rsidRPr="004D7F4E" w:rsidRDefault="004D7F4E" w:rsidP="004D7F4E">
            <w:pPr>
              <w:pStyle w:val="enumlev1"/>
              <w:widowControl w:val="0"/>
              <w:ind w:left="567" w:hanging="567"/>
              <w:rPr>
                <w:lang w:eastAsia="zh-CN"/>
              </w:rPr>
            </w:pPr>
            <w:r w:rsidRPr="004D7F4E">
              <w:rPr>
                <w:lang w:val="ru-RU"/>
              </w:rPr>
              <w:lastRenderedPageBreak/>
              <w:t>•</w:t>
            </w:r>
            <w:r w:rsidRPr="004D7F4E">
              <w:rPr>
                <w:lang w:val="ru-RU"/>
              </w:rPr>
              <w:tab/>
              <w:t xml:space="preserve">the Bureau </w:t>
            </w:r>
            <w:proofErr w:type="spellStart"/>
            <w:r w:rsidRPr="004D7F4E">
              <w:rPr>
                <w:lang w:val="ru-RU"/>
              </w:rPr>
              <w:t>shall</w:t>
            </w:r>
            <w:proofErr w:type="spellEnd"/>
            <w:r w:rsidRPr="004D7F4E">
              <w:rPr>
                <w:lang w:val="ru-RU"/>
              </w:rPr>
              <w:t xml:space="preserve"> </w:t>
            </w:r>
            <w:proofErr w:type="spellStart"/>
            <w:r w:rsidRPr="004D7F4E">
              <w:rPr>
                <w:lang w:val="ru-RU"/>
              </w:rPr>
              <w:t>not</w:t>
            </w:r>
            <w:proofErr w:type="spellEnd"/>
            <w:r w:rsidRPr="004D7F4E">
              <w:rPr>
                <w:lang w:val="ru-RU"/>
              </w:rPr>
              <w:t xml:space="preserve"> </w:t>
            </w:r>
            <w:proofErr w:type="spellStart"/>
            <w:r w:rsidRPr="004D7F4E">
              <w:rPr>
                <w:lang w:val="ru-RU"/>
              </w:rPr>
              <w:t>update</w:t>
            </w:r>
            <w:proofErr w:type="spellEnd"/>
            <w:r w:rsidRPr="004D7F4E">
              <w:rPr>
                <w:lang w:val="ru-RU"/>
              </w:rPr>
              <w:t xml:space="preserve"> the EPM of </w:t>
            </w:r>
            <w:proofErr w:type="spellStart"/>
            <w:r w:rsidRPr="004D7F4E">
              <w:rPr>
                <w:lang w:val="ru-RU"/>
              </w:rPr>
              <w:t>these</w:t>
            </w:r>
            <w:proofErr w:type="spellEnd"/>
            <w:r w:rsidRPr="004D7F4E">
              <w:rPr>
                <w:lang w:val="ru-RU"/>
              </w:rPr>
              <w:t xml:space="preserve"> Res. 559 </w:t>
            </w:r>
            <w:proofErr w:type="spellStart"/>
            <w:r w:rsidRPr="004D7F4E">
              <w:rPr>
                <w:lang w:val="ru-RU"/>
              </w:rPr>
              <w:t>submissions</w:t>
            </w:r>
            <w:proofErr w:type="spellEnd"/>
            <w:r w:rsidRPr="004D7F4E">
              <w:rPr>
                <w:lang w:val="ru-RU"/>
              </w:rPr>
              <w:t xml:space="preserve"> at the </w:t>
            </w:r>
            <w:proofErr w:type="spellStart"/>
            <w:r w:rsidRPr="004D7F4E">
              <w:rPr>
                <w:lang w:val="ru-RU"/>
              </w:rPr>
              <w:t>time</w:t>
            </w:r>
            <w:proofErr w:type="spellEnd"/>
            <w:r w:rsidRPr="004D7F4E">
              <w:rPr>
                <w:lang w:val="ru-RU"/>
              </w:rPr>
              <w:t xml:space="preserve"> </w:t>
            </w:r>
            <w:proofErr w:type="spellStart"/>
            <w:r w:rsidRPr="004D7F4E">
              <w:rPr>
                <w:lang w:val="ru-RU"/>
              </w:rPr>
              <w:t>any</w:t>
            </w:r>
            <w:proofErr w:type="spellEnd"/>
            <w:r w:rsidRPr="004D7F4E">
              <w:rPr>
                <w:lang w:val="ru-RU"/>
              </w:rPr>
              <w:t xml:space="preserve"> of the </w:t>
            </w:r>
            <w:proofErr w:type="spellStart"/>
            <w:r w:rsidRPr="004D7F4E">
              <w:rPr>
                <w:lang w:val="ru-RU"/>
              </w:rPr>
              <w:t>Part</w:t>
            </w:r>
            <w:proofErr w:type="spellEnd"/>
            <w:r w:rsidRPr="004D7F4E">
              <w:rPr>
                <w:lang w:val="ru-RU"/>
              </w:rPr>
              <w:t xml:space="preserve"> B </w:t>
            </w:r>
            <w:proofErr w:type="spellStart"/>
            <w:r w:rsidRPr="004D7F4E">
              <w:rPr>
                <w:lang w:val="ru-RU"/>
              </w:rPr>
              <w:t>submissions</w:t>
            </w:r>
            <w:proofErr w:type="spellEnd"/>
            <w:r w:rsidRPr="004D7F4E">
              <w:rPr>
                <w:lang w:val="ru-RU"/>
              </w:rPr>
              <w:t xml:space="preserve"> </w:t>
            </w:r>
            <w:proofErr w:type="spellStart"/>
            <w:r w:rsidRPr="004D7F4E">
              <w:rPr>
                <w:lang w:val="ru-RU"/>
              </w:rPr>
              <w:t>received</w:t>
            </w:r>
            <w:proofErr w:type="spellEnd"/>
            <w:r w:rsidRPr="004D7F4E">
              <w:rPr>
                <w:lang w:val="ru-RU"/>
              </w:rPr>
              <w:t xml:space="preserve"> </w:t>
            </w:r>
            <w:proofErr w:type="spellStart"/>
            <w:r w:rsidRPr="004D7F4E">
              <w:rPr>
                <w:lang w:val="ru-RU"/>
              </w:rPr>
              <w:t>after</w:t>
            </w:r>
            <w:proofErr w:type="spellEnd"/>
            <w:r w:rsidRPr="004D7F4E">
              <w:rPr>
                <w:lang w:val="ru-RU"/>
              </w:rPr>
              <w:t xml:space="preserve"> 21 </w:t>
            </w:r>
            <w:proofErr w:type="spellStart"/>
            <w:r w:rsidRPr="004D7F4E">
              <w:rPr>
                <w:lang w:val="ru-RU"/>
              </w:rPr>
              <w:t>January</w:t>
            </w:r>
            <w:proofErr w:type="spellEnd"/>
            <w:r w:rsidRPr="004D7F4E">
              <w:rPr>
                <w:lang w:val="ru-RU"/>
              </w:rPr>
              <w:t xml:space="preserve"> 2020 </w:t>
            </w:r>
            <w:proofErr w:type="spellStart"/>
            <w:r w:rsidRPr="004D7F4E">
              <w:rPr>
                <w:lang w:val="ru-RU"/>
              </w:rPr>
              <w:t>that</w:t>
            </w:r>
            <w:proofErr w:type="spellEnd"/>
            <w:r w:rsidRPr="004D7F4E">
              <w:rPr>
                <w:lang w:val="ru-RU"/>
              </w:rPr>
              <w:t xml:space="preserve"> </w:t>
            </w:r>
            <w:proofErr w:type="spellStart"/>
            <w:r w:rsidRPr="004D7F4E">
              <w:rPr>
                <w:lang w:val="ru-RU"/>
              </w:rPr>
              <w:t>are</w:t>
            </w:r>
            <w:proofErr w:type="spellEnd"/>
            <w:r w:rsidRPr="004D7F4E">
              <w:rPr>
                <w:lang w:val="ru-RU"/>
              </w:rPr>
              <w:t xml:space="preserve"> </w:t>
            </w:r>
            <w:proofErr w:type="spellStart"/>
            <w:r w:rsidRPr="004D7F4E">
              <w:rPr>
                <w:lang w:val="ru-RU"/>
              </w:rPr>
              <w:t>associated</w:t>
            </w:r>
            <w:proofErr w:type="spellEnd"/>
            <w:r w:rsidRPr="004D7F4E">
              <w:rPr>
                <w:lang w:val="ru-RU"/>
              </w:rPr>
              <w:t xml:space="preserve"> </w:t>
            </w:r>
            <w:proofErr w:type="spellStart"/>
            <w:r w:rsidRPr="004D7F4E">
              <w:rPr>
                <w:lang w:val="ru-RU"/>
              </w:rPr>
              <w:t>with</w:t>
            </w:r>
            <w:proofErr w:type="spellEnd"/>
            <w:r w:rsidRPr="004D7F4E">
              <w:rPr>
                <w:lang w:val="ru-RU"/>
              </w:rPr>
              <w:t xml:space="preserve"> </w:t>
            </w:r>
            <w:proofErr w:type="spellStart"/>
            <w:r w:rsidRPr="004D7F4E">
              <w:rPr>
                <w:lang w:val="ru-RU"/>
              </w:rPr>
              <w:t>Part</w:t>
            </w:r>
            <w:proofErr w:type="spellEnd"/>
            <w:r w:rsidRPr="004D7F4E">
              <w:rPr>
                <w:lang w:val="ru-RU"/>
              </w:rPr>
              <w:t xml:space="preserve"> A </w:t>
            </w:r>
            <w:proofErr w:type="spellStart"/>
            <w:r w:rsidRPr="004D7F4E">
              <w:rPr>
                <w:lang w:val="ru-RU"/>
              </w:rPr>
              <w:t>submissions</w:t>
            </w:r>
            <w:proofErr w:type="spellEnd"/>
            <w:r w:rsidRPr="004D7F4E">
              <w:rPr>
                <w:lang w:val="ru-RU"/>
              </w:rPr>
              <w:t xml:space="preserve"> </w:t>
            </w:r>
            <w:proofErr w:type="spellStart"/>
            <w:r w:rsidRPr="004D7F4E">
              <w:rPr>
                <w:lang w:val="ru-RU"/>
              </w:rPr>
              <w:t>received</w:t>
            </w:r>
            <w:proofErr w:type="spellEnd"/>
            <w:r w:rsidRPr="004D7F4E">
              <w:rPr>
                <w:lang w:val="ru-RU"/>
              </w:rPr>
              <w:t xml:space="preserve"> </w:t>
            </w:r>
            <w:proofErr w:type="spellStart"/>
            <w:r w:rsidRPr="004D7F4E">
              <w:rPr>
                <w:lang w:val="ru-RU"/>
              </w:rPr>
              <w:t>before</w:t>
            </w:r>
            <w:proofErr w:type="spellEnd"/>
            <w:r w:rsidRPr="004D7F4E">
              <w:rPr>
                <w:lang w:val="ru-RU"/>
              </w:rPr>
              <w:t xml:space="preserve"> 22 May 2020 </w:t>
            </w:r>
            <w:proofErr w:type="spellStart"/>
            <w:r w:rsidRPr="004D7F4E">
              <w:rPr>
                <w:lang w:val="ru-RU"/>
              </w:rPr>
              <w:t>enter</w:t>
            </w:r>
            <w:proofErr w:type="spellEnd"/>
            <w:r w:rsidRPr="004D7F4E">
              <w:rPr>
                <w:lang w:val="ru-RU"/>
              </w:rPr>
              <w:t xml:space="preserve"> the List, </w:t>
            </w:r>
            <w:proofErr w:type="spellStart"/>
            <w:r w:rsidRPr="004D7F4E">
              <w:rPr>
                <w:lang w:val="ru-RU"/>
              </w:rPr>
              <w:t>if</w:t>
            </w:r>
            <w:proofErr w:type="spellEnd"/>
            <w:r w:rsidRPr="004D7F4E">
              <w:rPr>
                <w:lang w:val="ru-RU"/>
              </w:rPr>
              <w:t xml:space="preserve"> the EPM of </w:t>
            </w:r>
            <w:proofErr w:type="spellStart"/>
            <w:r w:rsidRPr="004D7F4E">
              <w:rPr>
                <w:lang w:val="ru-RU"/>
              </w:rPr>
              <w:t>these</w:t>
            </w:r>
            <w:proofErr w:type="spellEnd"/>
            <w:r w:rsidRPr="004D7F4E">
              <w:rPr>
                <w:lang w:val="ru-RU"/>
              </w:rPr>
              <w:t xml:space="preserve"> Res. 559 </w:t>
            </w:r>
            <w:proofErr w:type="spellStart"/>
            <w:r w:rsidRPr="004D7F4E">
              <w:rPr>
                <w:lang w:val="ru-RU"/>
              </w:rPr>
              <w:t>submissions</w:t>
            </w:r>
            <w:proofErr w:type="spellEnd"/>
            <w:r w:rsidRPr="004D7F4E">
              <w:rPr>
                <w:lang w:val="ru-RU"/>
              </w:rPr>
              <w:t xml:space="preserve"> </w:t>
            </w:r>
            <w:proofErr w:type="spellStart"/>
            <w:r w:rsidRPr="004D7F4E">
              <w:rPr>
                <w:lang w:val="ru-RU"/>
              </w:rPr>
              <w:t>are</w:t>
            </w:r>
            <w:proofErr w:type="spellEnd"/>
            <w:r w:rsidRPr="004D7F4E">
              <w:rPr>
                <w:lang w:val="ru-RU"/>
              </w:rPr>
              <w:t xml:space="preserve"> </w:t>
            </w:r>
            <w:proofErr w:type="spellStart"/>
            <w:r w:rsidRPr="004D7F4E">
              <w:rPr>
                <w:lang w:val="ru-RU"/>
              </w:rPr>
              <w:t>degraded</w:t>
            </w:r>
            <w:proofErr w:type="spellEnd"/>
            <w:r w:rsidRPr="004D7F4E">
              <w:rPr>
                <w:lang w:val="ru-RU"/>
              </w:rPr>
              <w:t xml:space="preserve"> </w:t>
            </w:r>
            <w:proofErr w:type="spellStart"/>
            <w:r w:rsidRPr="004D7F4E">
              <w:rPr>
                <w:lang w:val="ru-RU"/>
              </w:rPr>
              <w:t>by</w:t>
            </w:r>
            <w:proofErr w:type="spellEnd"/>
            <w:r w:rsidRPr="004D7F4E">
              <w:rPr>
                <w:lang w:val="ru-RU"/>
              </w:rPr>
              <w:t xml:space="preserve"> </w:t>
            </w:r>
            <w:proofErr w:type="spellStart"/>
            <w:r w:rsidRPr="004D7F4E">
              <w:rPr>
                <w:lang w:val="ru-RU"/>
              </w:rPr>
              <w:t>more</w:t>
            </w:r>
            <w:proofErr w:type="spellEnd"/>
            <w:r w:rsidRPr="004D7F4E">
              <w:rPr>
                <w:lang w:val="ru-RU"/>
              </w:rPr>
              <w:t xml:space="preserve"> </w:t>
            </w:r>
            <w:proofErr w:type="spellStart"/>
            <w:r w:rsidRPr="004D7F4E">
              <w:rPr>
                <w:lang w:val="ru-RU"/>
              </w:rPr>
              <w:t>than</w:t>
            </w:r>
            <w:proofErr w:type="spellEnd"/>
            <w:r w:rsidRPr="004D7F4E">
              <w:rPr>
                <w:lang w:val="ru-RU"/>
              </w:rPr>
              <w:t xml:space="preserve"> 0.45 </w:t>
            </w:r>
            <w:proofErr w:type="spellStart"/>
            <w:r w:rsidRPr="004D7F4E">
              <w:rPr>
                <w:lang w:val="ru-RU"/>
              </w:rPr>
              <w:t>dB</w:t>
            </w:r>
            <w:proofErr w:type="spellEnd"/>
            <w:r w:rsidRPr="004D7F4E">
              <w:rPr>
                <w:lang w:val="ru-RU"/>
              </w:rPr>
              <w:t xml:space="preserve"> </w:t>
            </w:r>
            <w:proofErr w:type="spellStart"/>
            <w:r w:rsidRPr="004D7F4E">
              <w:rPr>
                <w:lang w:val="ru-RU"/>
              </w:rPr>
              <w:t>below</w:t>
            </w:r>
            <w:proofErr w:type="spellEnd"/>
            <w:r w:rsidRPr="004D7F4E">
              <w:rPr>
                <w:lang w:val="ru-RU"/>
              </w:rPr>
              <w:t xml:space="preserve"> 0 </w:t>
            </w:r>
            <w:proofErr w:type="spellStart"/>
            <w:r w:rsidRPr="004D7F4E">
              <w:rPr>
                <w:lang w:val="ru-RU"/>
              </w:rPr>
              <w:t>dB</w:t>
            </w:r>
            <w:proofErr w:type="spellEnd"/>
            <w:r w:rsidRPr="004D7F4E">
              <w:rPr>
                <w:lang w:val="ru-RU"/>
              </w:rPr>
              <w:t xml:space="preserve">, </w:t>
            </w:r>
            <w:proofErr w:type="spellStart"/>
            <w:r w:rsidRPr="004D7F4E">
              <w:rPr>
                <w:lang w:val="ru-RU"/>
              </w:rPr>
              <w:t>or</w:t>
            </w:r>
            <w:proofErr w:type="spellEnd"/>
            <w:r w:rsidRPr="004D7F4E">
              <w:rPr>
                <w:lang w:val="ru-RU"/>
              </w:rPr>
              <w:t xml:space="preserve"> </w:t>
            </w:r>
            <w:proofErr w:type="spellStart"/>
            <w:r w:rsidRPr="004D7F4E">
              <w:rPr>
                <w:lang w:val="ru-RU"/>
              </w:rPr>
              <w:t>if</w:t>
            </w:r>
            <w:proofErr w:type="spellEnd"/>
            <w:r w:rsidRPr="004D7F4E">
              <w:rPr>
                <w:lang w:val="ru-RU"/>
              </w:rPr>
              <w:t xml:space="preserve"> </w:t>
            </w:r>
            <w:proofErr w:type="spellStart"/>
            <w:r w:rsidRPr="004D7F4E">
              <w:rPr>
                <w:lang w:val="ru-RU"/>
              </w:rPr>
              <w:t>already</w:t>
            </w:r>
            <w:proofErr w:type="spellEnd"/>
            <w:r w:rsidRPr="004D7F4E">
              <w:rPr>
                <w:lang w:val="ru-RU"/>
              </w:rPr>
              <w:t xml:space="preserve"> </w:t>
            </w:r>
            <w:proofErr w:type="spellStart"/>
            <w:r w:rsidRPr="004D7F4E">
              <w:rPr>
                <w:lang w:val="ru-RU"/>
              </w:rPr>
              <w:t>negative</w:t>
            </w:r>
            <w:proofErr w:type="spellEnd"/>
            <w:r w:rsidRPr="004D7F4E">
              <w:rPr>
                <w:lang w:val="ru-RU"/>
              </w:rPr>
              <w:t xml:space="preserve">, </w:t>
            </w:r>
            <w:proofErr w:type="spellStart"/>
            <w:r w:rsidRPr="004D7F4E">
              <w:rPr>
                <w:lang w:val="ru-RU"/>
              </w:rPr>
              <w:t>by</w:t>
            </w:r>
            <w:proofErr w:type="spellEnd"/>
            <w:r w:rsidRPr="004D7F4E">
              <w:rPr>
                <w:lang w:val="ru-RU"/>
              </w:rPr>
              <w:t xml:space="preserve"> </w:t>
            </w:r>
            <w:proofErr w:type="spellStart"/>
            <w:r w:rsidRPr="004D7F4E">
              <w:rPr>
                <w:lang w:val="ru-RU"/>
              </w:rPr>
              <w:t>more</w:t>
            </w:r>
            <w:proofErr w:type="spellEnd"/>
            <w:r w:rsidRPr="004D7F4E">
              <w:rPr>
                <w:lang w:val="ru-RU"/>
              </w:rPr>
              <w:t xml:space="preserve"> </w:t>
            </w:r>
            <w:proofErr w:type="spellStart"/>
            <w:r w:rsidRPr="004D7F4E">
              <w:rPr>
                <w:lang w:val="ru-RU"/>
              </w:rPr>
              <w:t>than</w:t>
            </w:r>
            <w:proofErr w:type="spellEnd"/>
            <w:r w:rsidRPr="004D7F4E">
              <w:rPr>
                <w:lang w:val="ru-RU"/>
              </w:rPr>
              <w:t xml:space="preserve"> 0.45 </w:t>
            </w:r>
            <w:proofErr w:type="spellStart"/>
            <w:r w:rsidRPr="004D7F4E">
              <w:rPr>
                <w:lang w:val="ru-RU"/>
              </w:rPr>
              <w:t>dB</w:t>
            </w:r>
            <w:proofErr w:type="spellEnd"/>
            <w:r w:rsidRPr="004D7F4E">
              <w:rPr>
                <w:lang w:val="ru-RU"/>
              </w:rPr>
              <w:t xml:space="preserve"> </w:t>
            </w:r>
            <w:proofErr w:type="spellStart"/>
            <w:r w:rsidRPr="004D7F4E">
              <w:rPr>
                <w:lang w:val="ru-RU"/>
              </w:rPr>
              <w:t>below</w:t>
            </w:r>
            <w:proofErr w:type="spellEnd"/>
            <w:r w:rsidRPr="004D7F4E">
              <w:rPr>
                <w:lang w:val="ru-RU"/>
              </w:rPr>
              <w:t xml:space="preserve"> </w:t>
            </w:r>
            <w:proofErr w:type="spellStart"/>
            <w:r w:rsidRPr="004D7F4E">
              <w:rPr>
                <w:lang w:val="ru-RU"/>
              </w:rPr>
              <w:t>that</w:t>
            </w:r>
            <w:proofErr w:type="spellEnd"/>
            <w:r w:rsidRPr="004D7F4E">
              <w:rPr>
                <w:lang w:val="ru-RU"/>
              </w:rPr>
              <w:t xml:space="preserve"> </w:t>
            </w:r>
            <w:proofErr w:type="spellStart"/>
            <w:r w:rsidRPr="004D7F4E">
              <w:rPr>
                <w:lang w:val="ru-RU"/>
              </w:rPr>
              <w:t>value</w:t>
            </w:r>
            <w:proofErr w:type="spellEnd"/>
            <w:r w:rsidRPr="004D7F4E">
              <w:rPr>
                <w:lang w:val="ru-RU"/>
              </w:rPr>
              <w:t>;</w:t>
            </w:r>
          </w:p>
          <w:p w14:paraId="7FF32969" w14:textId="77777777" w:rsidR="004D7F4E" w:rsidRPr="004D7F4E" w:rsidRDefault="004D7F4E" w:rsidP="004D7F4E">
            <w:pPr>
              <w:pStyle w:val="enumlev1"/>
              <w:widowControl w:val="0"/>
              <w:ind w:left="567" w:hanging="567"/>
              <w:rPr>
                <w:lang w:eastAsia="zh-CN"/>
              </w:rPr>
            </w:pPr>
            <w:r w:rsidRPr="004D7F4E">
              <w:rPr>
                <w:lang w:val="ru-RU"/>
              </w:rPr>
              <w:t>•</w:t>
            </w:r>
            <w:r w:rsidRPr="004D7F4E">
              <w:rPr>
                <w:lang w:val="ru-RU"/>
              </w:rPr>
              <w:tab/>
              <w:t xml:space="preserve">With </w:t>
            </w:r>
            <w:proofErr w:type="spellStart"/>
            <w:r w:rsidRPr="004D7F4E">
              <w:rPr>
                <w:lang w:val="ru-RU"/>
              </w:rPr>
              <w:t>respect</w:t>
            </w:r>
            <w:proofErr w:type="spellEnd"/>
            <w:r w:rsidRPr="004D7F4E">
              <w:rPr>
                <w:lang w:val="ru-RU"/>
              </w:rPr>
              <w:t xml:space="preserve"> to </w:t>
            </w:r>
            <w:proofErr w:type="spellStart"/>
            <w:r w:rsidRPr="004D7F4E">
              <w:rPr>
                <w:lang w:val="ru-RU"/>
              </w:rPr>
              <w:t>coordination</w:t>
            </w:r>
            <w:proofErr w:type="spellEnd"/>
            <w:r w:rsidRPr="004D7F4E">
              <w:rPr>
                <w:lang w:val="ru-RU"/>
              </w:rPr>
              <w:t xml:space="preserve"> </w:t>
            </w:r>
            <w:proofErr w:type="spellStart"/>
            <w:r w:rsidRPr="004D7F4E">
              <w:rPr>
                <w:lang w:val="ru-RU"/>
              </w:rPr>
              <w:t>with</w:t>
            </w:r>
            <w:proofErr w:type="spellEnd"/>
            <w:r w:rsidRPr="004D7F4E">
              <w:rPr>
                <w:lang w:val="ru-RU"/>
              </w:rPr>
              <w:t xml:space="preserve"> </w:t>
            </w:r>
            <w:proofErr w:type="spellStart"/>
            <w:r w:rsidRPr="004D7F4E">
              <w:rPr>
                <w:lang w:val="ru-RU"/>
              </w:rPr>
              <w:t>frequency</w:t>
            </w:r>
            <w:proofErr w:type="spellEnd"/>
            <w:r w:rsidRPr="004D7F4E">
              <w:rPr>
                <w:lang w:val="ru-RU"/>
              </w:rPr>
              <w:t xml:space="preserve"> </w:t>
            </w:r>
            <w:proofErr w:type="spellStart"/>
            <w:r w:rsidRPr="004D7F4E">
              <w:rPr>
                <w:lang w:val="ru-RU"/>
              </w:rPr>
              <w:t>assignments</w:t>
            </w:r>
            <w:proofErr w:type="spellEnd"/>
            <w:r w:rsidRPr="004D7F4E">
              <w:rPr>
                <w:lang w:val="ru-RU"/>
              </w:rPr>
              <w:t xml:space="preserve"> in the </w:t>
            </w:r>
            <w:proofErr w:type="spellStart"/>
            <w:r w:rsidRPr="004D7F4E">
              <w:rPr>
                <w:lang w:val="ru-RU"/>
              </w:rPr>
              <w:t>Regions</w:t>
            </w:r>
            <w:proofErr w:type="spellEnd"/>
            <w:r w:rsidRPr="004D7F4E">
              <w:rPr>
                <w:lang w:val="ru-RU"/>
              </w:rPr>
              <w:t xml:space="preserve"> 1 and 3 Plan:</w:t>
            </w:r>
          </w:p>
          <w:p w14:paraId="2E889FC6" w14:textId="77777777" w:rsidR="004D7F4E" w:rsidRPr="004D7F4E" w:rsidRDefault="004D7F4E" w:rsidP="004D7F4E">
            <w:pPr>
              <w:widowControl w:val="0"/>
              <w:ind w:left="567"/>
            </w:pPr>
            <w:r w:rsidRPr="004D7F4E">
              <w:t>1)</w:t>
            </w:r>
            <w:r w:rsidRPr="004D7F4E">
              <w:tab/>
              <w:t xml:space="preserve">When the EPM of an affected Plan frequency assignment becomes positive </w:t>
            </w:r>
            <w:proofErr w:type="gramStart"/>
            <w:r w:rsidRPr="004D7F4E">
              <w:t>as a result of</w:t>
            </w:r>
            <w:proofErr w:type="gramEnd"/>
            <w:r w:rsidRPr="004D7F4E">
              <w:t xml:space="preserve"> cancellation of a frequency assignment in the List, the Bureau shall determine if that affected Plan frequency assignment is still affected by the concerned Res. </w:t>
            </w:r>
            <w:r w:rsidRPr="004D7F4E">
              <w:rPr>
                <w:b/>
                <w:bCs/>
              </w:rPr>
              <w:t>559</w:t>
            </w:r>
            <w:r w:rsidRPr="004D7F4E">
              <w:t xml:space="preserve"> submission. In case the Bureau reaches a </w:t>
            </w:r>
            <w:proofErr w:type="spellStart"/>
            <w:r w:rsidRPr="004D7F4E">
              <w:t>favourable</w:t>
            </w:r>
            <w:proofErr w:type="spellEnd"/>
            <w:r w:rsidRPr="004D7F4E">
              <w:t xml:space="preserve"> finding, coordination between the concerned Res. </w:t>
            </w:r>
            <w:r w:rsidRPr="004D7F4E">
              <w:rPr>
                <w:b/>
                <w:bCs/>
              </w:rPr>
              <w:t>559</w:t>
            </w:r>
            <w:r w:rsidRPr="004D7F4E">
              <w:t xml:space="preserve"> submission and the affected Plan frequency assignment is no longer required on the condition that the Part B of the concerned Res. </w:t>
            </w:r>
            <w:r w:rsidRPr="004D7F4E">
              <w:rPr>
                <w:b/>
                <w:bCs/>
              </w:rPr>
              <w:t>559</w:t>
            </w:r>
            <w:r w:rsidRPr="004D7F4E">
              <w:t xml:space="preserve"> submission is within the envelope of its Part A. The Bureau shall inform both administrations of its conclusions. </w:t>
            </w:r>
          </w:p>
          <w:p w14:paraId="4A6647DF" w14:textId="77777777" w:rsidR="004D7F4E" w:rsidRPr="004D7F4E" w:rsidRDefault="004D7F4E" w:rsidP="004D7F4E">
            <w:pPr>
              <w:widowControl w:val="0"/>
              <w:ind w:left="567"/>
            </w:pPr>
            <w:r w:rsidRPr="004D7F4E">
              <w:t>2)</w:t>
            </w:r>
            <w:r w:rsidRPr="004D7F4E">
              <w:tab/>
              <w:t xml:space="preserve">In case a coordination agreement has not been obtained or an affected administration does not want the EPM of its Plan frequency assignment be updated, the Bureau could accept the Part B submission of the relevant Res. </w:t>
            </w:r>
            <w:r w:rsidRPr="004D7F4E">
              <w:rPr>
                <w:b/>
                <w:bCs/>
              </w:rPr>
              <w:t>559</w:t>
            </w:r>
            <w:r w:rsidRPr="004D7F4E">
              <w:t xml:space="preserve"> submission. As such, when the concerned Res. </w:t>
            </w:r>
            <w:r w:rsidRPr="004D7F4E">
              <w:rPr>
                <w:b/>
                <w:bCs/>
              </w:rPr>
              <w:t>559</w:t>
            </w:r>
            <w:r w:rsidRPr="004D7F4E">
              <w:t xml:space="preserve"> submission enters the List, the Bureau would insert a note indicating that an agreement shall be reached before the concerned frequency assignment is brought into use under Article 5 of Appendices </w:t>
            </w:r>
            <w:r w:rsidRPr="004D7F4E">
              <w:rPr>
                <w:b/>
                <w:bCs/>
              </w:rPr>
              <w:t>30/30A</w:t>
            </w:r>
            <w:r w:rsidRPr="004D7F4E">
              <w:t xml:space="preserve">. In such case, the interference from the relevant Res. </w:t>
            </w:r>
            <w:r w:rsidRPr="004D7F4E">
              <w:rPr>
                <w:b/>
                <w:bCs/>
              </w:rPr>
              <w:t>559</w:t>
            </w:r>
            <w:r w:rsidRPr="004D7F4E">
              <w:t xml:space="preserve"> submission would not be </w:t>
            </w:r>
            <w:proofErr w:type="gramStart"/>
            <w:r w:rsidRPr="004D7F4E">
              <w:t>taken into account</w:t>
            </w:r>
            <w:proofErr w:type="gramEnd"/>
            <w:r w:rsidRPr="004D7F4E">
              <w:t xml:space="preserve"> in updating the EPM of concerned Plan frequency assignments.</w:t>
            </w:r>
          </w:p>
          <w:p w14:paraId="50E000CA" w14:textId="77777777" w:rsidR="004D7F4E" w:rsidRPr="004D7F4E" w:rsidRDefault="004D7F4E" w:rsidP="004D7F4E">
            <w:pPr>
              <w:widowControl w:val="0"/>
              <w:ind w:left="567"/>
            </w:pPr>
            <w:r w:rsidRPr="004D7F4E">
              <w:t>3)</w:t>
            </w:r>
            <w:r w:rsidRPr="004D7F4E">
              <w:tab/>
              <w:t xml:space="preserve">For cases where the space-to-Earth single-entry carrier-to-interference ratio is greater than 21 dB and the Earth-to-space single-entry carrier-to- interference ratio is greater than 30 dB, Res. 559 submissions and the corresponding Regions 1 and 3 Plan frequency assignments are considered compatible. </w:t>
            </w:r>
            <w:proofErr w:type="gramStart"/>
            <w:r w:rsidRPr="004D7F4E">
              <w:t>In order to</w:t>
            </w:r>
            <w:proofErr w:type="gramEnd"/>
            <w:r w:rsidRPr="004D7F4E">
              <w:t xml:space="preserve"> preserve the same level of protection for such compatible cases of those Regions 1 and 3 Plan frequency assignments from incoming Article 4 submissions, the reference situation of those Regions 1 and 3 Plan frequency assignments shall not be updated when the Res. 559 frequency assignments in the List are included in the Plans.</w:t>
            </w:r>
          </w:p>
          <w:p w14:paraId="3C8B29DD" w14:textId="77777777" w:rsidR="004D7F4E" w:rsidRPr="004D7F4E" w:rsidRDefault="004D7F4E" w:rsidP="004D7F4E">
            <w:pPr>
              <w:pStyle w:val="enumlev1"/>
              <w:widowControl w:val="0"/>
              <w:numPr>
                <w:ilvl w:val="0"/>
                <w:numId w:val="17"/>
              </w:numPr>
              <w:rPr>
                <w:lang w:val="ru-RU"/>
              </w:rPr>
            </w:pPr>
            <w:r w:rsidRPr="004D7F4E">
              <w:rPr>
                <w:lang w:val="ru-RU"/>
              </w:rPr>
              <w:t xml:space="preserve">With </w:t>
            </w:r>
            <w:proofErr w:type="spellStart"/>
            <w:r w:rsidRPr="004D7F4E">
              <w:rPr>
                <w:lang w:val="ru-RU"/>
              </w:rPr>
              <w:t>respect</w:t>
            </w:r>
            <w:proofErr w:type="spellEnd"/>
            <w:r w:rsidRPr="004D7F4E">
              <w:rPr>
                <w:lang w:val="ru-RU"/>
              </w:rPr>
              <w:t xml:space="preserve"> to </w:t>
            </w:r>
            <w:proofErr w:type="spellStart"/>
            <w:r w:rsidRPr="004D7F4E">
              <w:rPr>
                <w:lang w:val="ru-RU"/>
              </w:rPr>
              <w:t>coordination</w:t>
            </w:r>
            <w:proofErr w:type="spellEnd"/>
            <w:r w:rsidRPr="004D7F4E">
              <w:rPr>
                <w:lang w:val="ru-RU"/>
              </w:rPr>
              <w:t xml:space="preserve"> </w:t>
            </w:r>
            <w:proofErr w:type="spellStart"/>
            <w:r w:rsidRPr="004D7F4E">
              <w:rPr>
                <w:lang w:val="ru-RU"/>
              </w:rPr>
              <w:t>with</w:t>
            </w:r>
            <w:proofErr w:type="spellEnd"/>
            <w:r w:rsidRPr="004D7F4E">
              <w:rPr>
                <w:lang w:val="ru-RU"/>
              </w:rPr>
              <w:t xml:space="preserve"> </w:t>
            </w:r>
            <w:proofErr w:type="spellStart"/>
            <w:r w:rsidRPr="004D7F4E">
              <w:rPr>
                <w:lang w:val="ru-RU"/>
              </w:rPr>
              <w:t>frequency</w:t>
            </w:r>
            <w:proofErr w:type="spellEnd"/>
            <w:r w:rsidRPr="004D7F4E">
              <w:rPr>
                <w:lang w:val="ru-RU"/>
              </w:rPr>
              <w:t xml:space="preserve"> </w:t>
            </w:r>
            <w:proofErr w:type="spellStart"/>
            <w:r w:rsidRPr="004D7F4E">
              <w:rPr>
                <w:lang w:val="ru-RU"/>
              </w:rPr>
              <w:t>assignments</w:t>
            </w:r>
            <w:proofErr w:type="spellEnd"/>
            <w:r w:rsidRPr="004D7F4E">
              <w:rPr>
                <w:lang w:val="ru-RU"/>
              </w:rPr>
              <w:t xml:space="preserve"> in the </w:t>
            </w:r>
            <w:proofErr w:type="spellStart"/>
            <w:r w:rsidRPr="004D7F4E">
              <w:rPr>
                <w:lang w:val="ru-RU"/>
              </w:rPr>
              <w:t>original</w:t>
            </w:r>
            <w:proofErr w:type="spellEnd"/>
            <w:r w:rsidRPr="004D7F4E">
              <w:rPr>
                <w:lang w:val="ru-RU"/>
              </w:rPr>
              <w:t xml:space="preserve"> </w:t>
            </w:r>
            <w:proofErr w:type="spellStart"/>
            <w:r w:rsidRPr="004D7F4E">
              <w:rPr>
                <w:lang w:val="ru-RU"/>
              </w:rPr>
              <w:t>Region</w:t>
            </w:r>
            <w:proofErr w:type="spellEnd"/>
            <w:r w:rsidRPr="004D7F4E">
              <w:rPr>
                <w:lang w:val="ru-RU"/>
              </w:rPr>
              <w:t xml:space="preserve"> 2 Plan </w:t>
            </w:r>
            <w:proofErr w:type="spellStart"/>
            <w:r w:rsidRPr="004D7F4E">
              <w:rPr>
                <w:lang w:val="ru-RU"/>
              </w:rPr>
              <w:t>or</w:t>
            </w:r>
            <w:proofErr w:type="spellEnd"/>
            <w:r w:rsidRPr="004D7F4E">
              <w:rPr>
                <w:lang w:val="ru-RU"/>
              </w:rPr>
              <w:t xml:space="preserve"> </w:t>
            </w:r>
            <w:proofErr w:type="spellStart"/>
            <w:r w:rsidRPr="004D7F4E">
              <w:rPr>
                <w:lang w:val="ru-RU"/>
              </w:rPr>
              <w:t>pending</w:t>
            </w:r>
            <w:proofErr w:type="spellEnd"/>
            <w:r w:rsidRPr="004D7F4E">
              <w:rPr>
                <w:lang w:val="ru-RU"/>
              </w:rPr>
              <w:t xml:space="preserve"> </w:t>
            </w:r>
            <w:proofErr w:type="spellStart"/>
            <w:r w:rsidRPr="004D7F4E">
              <w:rPr>
                <w:lang w:val="ru-RU"/>
              </w:rPr>
              <w:t>Article</w:t>
            </w:r>
            <w:proofErr w:type="spellEnd"/>
            <w:r w:rsidRPr="004D7F4E">
              <w:rPr>
                <w:lang w:val="ru-RU"/>
              </w:rPr>
              <w:t xml:space="preserve"> 4 </w:t>
            </w:r>
            <w:proofErr w:type="spellStart"/>
            <w:r w:rsidRPr="004D7F4E">
              <w:rPr>
                <w:lang w:val="ru-RU"/>
              </w:rPr>
              <w:t>satellite</w:t>
            </w:r>
            <w:proofErr w:type="spellEnd"/>
            <w:r w:rsidRPr="004D7F4E">
              <w:rPr>
                <w:lang w:val="ru-RU"/>
              </w:rPr>
              <w:t xml:space="preserve"> </w:t>
            </w:r>
            <w:proofErr w:type="spellStart"/>
            <w:r w:rsidRPr="004D7F4E">
              <w:rPr>
                <w:lang w:val="ru-RU"/>
              </w:rPr>
              <w:t>networks</w:t>
            </w:r>
            <w:proofErr w:type="spellEnd"/>
            <w:r w:rsidRPr="004D7F4E">
              <w:rPr>
                <w:lang w:val="ru-RU"/>
              </w:rPr>
              <w:t xml:space="preserve"> in </w:t>
            </w:r>
            <w:proofErr w:type="spellStart"/>
            <w:r w:rsidRPr="004D7F4E">
              <w:rPr>
                <w:lang w:val="ru-RU"/>
              </w:rPr>
              <w:t>Region</w:t>
            </w:r>
            <w:proofErr w:type="spellEnd"/>
            <w:r w:rsidRPr="004D7F4E">
              <w:rPr>
                <w:lang w:val="ru-RU"/>
              </w:rPr>
              <w:t xml:space="preserve"> 2:</w:t>
            </w:r>
          </w:p>
          <w:p w14:paraId="41D1CD04" w14:textId="77777777" w:rsidR="004D7F4E" w:rsidRPr="004D7F4E" w:rsidRDefault="004D7F4E" w:rsidP="004D7F4E">
            <w:pPr>
              <w:widowControl w:val="0"/>
              <w:ind w:left="567"/>
            </w:pPr>
            <w:r w:rsidRPr="004D7F4E">
              <w:t>1)</w:t>
            </w:r>
            <w:r w:rsidRPr="004D7F4E">
              <w:tab/>
              <w:t xml:space="preserve">In case a coordination agreement has not been obtained, the Bureau could accept the Part B submission of the relevant Res. </w:t>
            </w:r>
            <w:r w:rsidRPr="004D7F4E">
              <w:rPr>
                <w:b/>
                <w:bCs/>
              </w:rPr>
              <w:t>559</w:t>
            </w:r>
            <w:r w:rsidRPr="004D7F4E">
              <w:t xml:space="preserve"> submission. As such, when the concerned Res. </w:t>
            </w:r>
            <w:r w:rsidRPr="004D7F4E">
              <w:rPr>
                <w:b/>
                <w:bCs/>
              </w:rPr>
              <w:t>559</w:t>
            </w:r>
            <w:r w:rsidRPr="004D7F4E">
              <w:t xml:space="preserve"> submission enters the List, the Bureau </w:t>
            </w:r>
            <w:r w:rsidRPr="004D7F4E">
              <w:lastRenderedPageBreak/>
              <w:t xml:space="preserve">would insert a note indicating that an agreement shall be reached before the concerned frequency assignment is brought into use under Article 5 of Appendices </w:t>
            </w:r>
            <w:r w:rsidRPr="004D7F4E">
              <w:rPr>
                <w:b/>
                <w:bCs/>
              </w:rPr>
              <w:t>30/30A</w:t>
            </w:r>
            <w:r w:rsidRPr="004D7F4E">
              <w:t>.</w:t>
            </w:r>
          </w:p>
          <w:p w14:paraId="28B2E21B" w14:textId="77777777" w:rsidR="004D7F4E" w:rsidRPr="004D7F4E" w:rsidRDefault="004D7F4E" w:rsidP="004D7F4E">
            <w:pPr>
              <w:widowControl w:val="0"/>
              <w:ind w:left="567"/>
            </w:pPr>
            <w:r w:rsidRPr="004D7F4E">
              <w:t>2)</w:t>
            </w:r>
            <w:r w:rsidRPr="004D7F4E">
              <w:tab/>
              <w:t xml:space="preserve">Moreover, an affected administration could consider reducing the receiving sensitivity of its </w:t>
            </w:r>
            <w:proofErr w:type="gramStart"/>
            <w:r w:rsidRPr="004D7F4E">
              <w:t>Article</w:t>
            </w:r>
            <w:proofErr w:type="gramEnd"/>
            <w:r w:rsidRPr="004D7F4E">
              <w:t xml:space="preserve"> 4 satellite network when communicating the Part B in order to accommodate the Res. </w:t>
            </w:r>
            <w:r w:rsidRPr="004D7F4E">
              <w:rPr>
                <w:b/>
                <w:bCs/>
              </w:rPr>
              <w:t>559</w:t>
            </w:r>
            <w:r w:rsidRPr="004D7F4E">
              <w:t xml:space="preserve"> submissions.</w:t>
            </w:r>
          </w:p>
          <w:p w14:paraId="7198DC81" w14:textId="77777777" w:rsidR="004D7F4E" w:rsidRPr="004D7F4E" w:rsidRDefault="004D7F4E" w:rsidP="004D7F4E">
            <w:pPr>
              <w:widowControl w:val="0"/>
              <w:ind w:left="567"/>
            </w:pPr>
            <w:r w:rsidRPr="004D7F4E">
              <w:t>3)</w:t>
            </w:r>
            <w:r w:rsidRPr="004D7F4E">
              <w:tab/>
              <w:t xml:space="preserve">In case of continuing disagreement, whenever an affected Article 4 satellite network enters the Region 2 Plan, the Bureau should review the coordination requirement. Should the examination result show that the Article 4 network is no longer affected, coordination between the concerned Res. </w:t>
            </w:r>
            <w:r w:rsidRPr="004D7F4E">
              <w:rPr>
                <w:b/>
                <w:bCs/>
              </w:rPr>
              <w:t>559</w:t>
            </w:r>
            <w:r w:rsidRPr="004D7F4E">
              <w:t xml:space="preserve"> submission and the affected Article 4 network is no longer required and the Bureau will inform both administrations of its conclusions.</w:t>
            </w:r>
          </w:p>
          <w:p w14:paraId="105031A2" w14:textId="77777777" w:rsidR="004D7F4E" w:rsidRPr="004D7F4E" w:rsidRDefault="004D7F4E" w:rsidP="004D7F4E">
            <w:pPr>
              <w:pStyle w:val="enumlev1"/>
              <w:widowControl w:val="0"/>
              <w:numPr>
                <w:ilvl w:val="0"/>
                <w:numId w:val="17"/>
              </w:numPr>
              <w:rPr>
                <w:lang w:eastAsia="zh-CN"/>
              </w:rPr>
            </w:pPr>
            <w:r w:rsidRPr="004D7F4E">
              <w:rPr>
                <w:lang w:val="ru-RU"/>
              </w:rPr>
              <w:t xml:space="preserve">With </w:t>
            </w:r>
            <w:proofErr w:type="spellStart"/>
            <w:r w:rsidRPr="004D7F4E">
              <w:rPr>
                <w:lang w:val="ru-RU"/>
              </w:rPr>
              <w:t>respect</w:t>
            </w:r>
            <w:proofErr w:type="spellEnd"/>
            <w:r w:rsidRPr="004D7F4E">
              <w:rPr>
                <w:lang w:val="ru-RU"/>
              </w:rPr>
              <w:t xml:space="preserve"> to </w:t>
            </w:r>
            <w:proofErr w:type="spellStart"/>
            <w:r w:rsidRPr="004D7F4E">
              <w:rPr>
                <w:lang w:val="ru-RU"/>
              </w:rPr>
              <w:t>coordination</w:t>
            </w:r>
            <w:proofErr w:type="spellEnd"/>
            <w:r w:rsidRPr="004D7F4E">
              <w:rPr>
                <w:lang w:val="ru-RU"/>
              </w:rPr>
              <w:t xml:space="preserve"> </w:t>
            </w:r>
            <w:proofErr w:type="spellStart"/>
            <w:r w:rsidRPr="004D7F4E">
              <w:rPr>
                <w:lang w:val="ru-RU"/>
              </w:rPr>
              <w:t>with</w:t>
            </w:r>
            <w:proofErr w:type="spellEnd"/>
            <w:r w:rsidRPr="004D7F4E">
              <w:rPr>
                <w:lang w:val="ru-RU"/>
              </w:rPr>
              <w:t xml:space="preserve"> </w:t>
            </w:r>
            <w:proofErr w:type="spellStart"/>
            <w:r w:rsidRPr="004D7F4E">
              <w:rPr>
                <w:lang w:val="ru-RU"/>
              </w:rPr>
              <w:t>frequency</w:t>
            </w:r>
            <w:proofErr w:type="spellEnd"/>
            <w:r w:rsidRPr="004D7F4E">
              <w:rPr>
                <w:lang w:val="ru-RU"/>
              </w:rPr>
              <w:t xml:space="preserve"> </w:t>
            </w:r>
            <w:proofErr w:type="spellStart"/>
            <w:r w:rsidRPr="004D7F4E">
              <w:rPr>
                <w:lang w:val="ru-RU"/>
              </w:rPr>
              <w:t>assignments</w:t>
            </w:r>
            <w:proofErr w:type="spellEnd"/>
            <w:r w:rsidRPr="004D7F4E">
              <w:rPr>
                <w:lang w:val="ru-RU"/>
              </w:rPr>
              <w:t xml:space="preserve"> in the List </w:t>
            </w:r>
            <w:proofErr w:type="spellStart"/>
            <w:r w:rsidRPr="004D7F4E">
              <w:rPr>
                <w:lang w:val="ru-RU"/>
              </w:rPr>
              <w:t>or</w:t>
            </w:r>
            <w:proofErr w:type="spellEnd"/>
            <w:r w:rsidRPr="004D7F4E">
              <w:rPr>
                <w:lang w:val="ru-RU"/>
              </w:rPr>
              <w:t xml:space="preserve"> of </w:t>
            </w:r>
            <w:proofErr w:type="spellStart"/>
            <w:r w:rsidRPr="004D7F4E">
              <w:rPr>
                <w:lang w:val="ru-RU"/>
              </w:rPr>
              <w:t>pending</w:t>
            </w:r>
            <w:proofErr w:type="spellEnd"/>
            <w:r w:rsidRPr="004D7F4E">
              <w:rPr>
                <w:lang w:val="ru-RU"/>
              </w:rPr>
              <w:t xml:space="preserve"> </w:t>
            </w:r>
            <w:proofErr w:type="spellStart"/>
            <w:r w:rsidRPr="004D7F4E">
              <w:rPr>
                <w:lang w:val="ru-RU"/>
              </w:rPr>
              <w:t>Article</w:t>
            </w:r>
            <w:proofErr w:type="spellEnd"/>
            <w:r w:rsidRPr="004D7F4E">
              <w:rPr>
                <w:lang w:val="ru-RU"/>
              </w:rPr>
              <w:t xml:space="preserve"> 4 </w:t>
            </w:r>
            <w:proofErr w:type="spellStart"/>
            <w:r w:rsidRPr="004D7F4E">
              <w:rPr>
                <w:lang w:val="ru-RU"/>
              </w:rPr>
              <w:t>satellite</w:t>
            </w:r>
            <w:proofErr w:type="spellEnd"/>
            <w:r w:rsidRPr="004D7F4E">
              <w:rPr>
                <w:lang w:val="ru-RU"/>
              </w:rPr>
              <w:t xml:space="preserve"> </w:t>
            </w:r>
            <w:proofErr w:type="spellStart"/>
            <w:r w:rsidRPr="004D7F4E">
              <w:rPr>
                <w:lang w:val="ru-RU"/>
              </w:rPr>
              <w:t>networks</w:t>
            </w:r>
            <w:proofErr w:type="spellEnd"/>
            <w:r w:rsidRPr="004D7F4E">
              <w:rPr>
                <w:lang w:val="ru-RU"/>
              </w:rPr>
              <w:t xml:space="preserve"> in </w:t>
            </w:r>
            <w:proofErr w:type="spellStart"/>
            <w:r w:rsidRPr="004D7F4E">
              <w:rPr>
                <w:lang w:val="ru-RU"/>
              </w:rPr>
              <w:t>Regions</w:t>
            </w:r>
            <w:proofErr w:type="spellEnd"/>
            <w:r w:rsidRPr="004D7F4E">
              <w:rPr>
                <w:lang w:val="ru-RU"/>
              </w:rPr>
              <w:t xml:space="preserve"> 1 and 3:</w:t>
            </w:r>
          </w:p>
          <w:p w14:paraId="6F8CD590" w14:textId="77777777" w:rsidR="004D7F4E" w:rsidRPr="004D7F4E" w:rsidRDefault="004D7F4E" w:rsidP="004D7F4E">
            <w:pPr>
              <w:widowControl w:val="0"/>
              <w:ind w:left="567"/>
              <w:rPr>
                <w:lang w:eastAsia="zh-CN"/>
              </w:rPr>
            </w:pPr>
            <w:r w:rsidRPr="004D7F4E">
              <w:rPr>
                <w:lang w:eastAsia="zh-CN"/>
              </w:rPr>
              <w:t>1)</w:t>
            </w:r>
            <w:r w:rsidRPr="004D7F4E">
              <w:rPr>
                <w:lang w:eastAsia="zh-CN"/>
              </w:rPr>
              <w:tab/>
              <w:t xml:space="preserve">Upon receipt of the coordination proposals, the affected administrations are urged to reply timely to the requesting </w:t>
            </w:r>
            <w:r w:rsidRPr="004D7F4E">
              <w:t xml:space="preserve">Res. </w:t>
            </w:r>
            <w:r w:rsidRPr="004D7F4E">
              <w:rPr>
                <w:b/>
                <w:bCs/>
              </w:rPr>
              <w:t>559</w:t>
            </w:r>
            <w:r w:rsidRPr="004D7F4E">
              <w:t xml:space="preserve"> </w:t>
            </w:r>
            <w:r w:rsidRPr="004D7F4E">
              <w:rPr>
                <w:lang w:eastAsia="zh-CN"/>
              </w:rPr>
              <w:t xml:space="preserve">administrations and </w:t>
            </w:r>
            <w:proofErr w:type="spellStart"/>
            <w:r w:rsidRPr="004D7F4E">
              <w:rPr>
                <w:lang w:eastAsia="zh-CN"/>
              </w:rPr>
              <w:t>endeavour</w:t>
            </w:r>
            <w:proofErr w:type="spellEnd"/>
            <w:r w:rsidRPr="004D7F4E">
              <w:rPr>
                <w:lang w:eastAsia="zh-CN"/>
              </w:rPr>
              <w:t xml:space="preserve"> to accommodate the </w:t>
            </w:r>
            <w:r w:rsidRPr="004D7F4E">
              <w:t xml:space="preserve">Res. </w:t>
            </w:r>
            <w:r w:rsidRPr="004D7F4E">
              <w:rPr>
                <w:b/>
                <w:bCs/>
              </w:rPr>
              <w:t>559</w:t>
            </w:r>
            <w:r w:rsidRPr="004D7F4E">
              <w:t xml:space="preserve"> </w:t>
            </w:r>
            <w:r w:rsidRPr="004D7F4E">
              <w:rPr>
                <w:lang w:eastAsia="zh-CN"/>
              </w:rPr>
              <w:t>submissions.</w:t>
            </w:r>
          </w:p>
          <w:p w14:paraId="08E9DA9F" w14:textId="77777777" w:rsidR="004D7F4E" w:rsidRPr="004D7F4E" w:rsidRDefault="004D7F4E" w:rsidP="004D7F4E">
            <w:pPr>
              <w:widowControl w:val="0"/>
              <w:ind w:left="567"/>
              <w:rPr>
                <w:lang w:eastAsia="zh-CN"/>
              </w:rPr>
            </w:pPr>
            <w:r w:rsidRPr="004D7F4E">
              <w:rPr>
                <w:lang w:eastAsia="zh-CN"/>
              </w:rPr>
              <w:t>2)</w:t>
            </w:r>
            <w:r w:rsidRPr="004D7F4E">
              <w:rPr>
                <w:lang w:eastAsia="zh-CN"/>
              </w:rPr>
              <w:tab/>
              <w:t>In case of continuing disagreement, the Bureau should apply the course of action prescribed in footnote 7</w:t>
            </w:r>
            <w:r w:rsidRPr="004D7F4E">
              <w:rPr>
                <w:i/>
                <w:iCs/>
                <w:lang w:eastAsia="zh-CN"/>
              </w:rPr>
              <w:t>bis</w:t>
            </w:r>
            <w:r w:rsidRPr="004D7F4E">
              <w:rPr>
                <w:lang w:eastAsia="zh-CN"/>
              </w:rPr>
              <w:t xml:space="preserve"> of Article 4 of Appendix </w:t>
            </w:r>
            <w:r w:rsidRPr="004D7F4E">
              <w:rPr>
                <w:b/>
                <w:bCs/>
                <w:lang w:eastAsia="zh-CN"/>
              </w:rPr>
              <w:t>30</w:t>
            </w:r>
            <w:r w:rsidRPr="004D7F4E">
              <w:rPr>
                <w:lang w:eastAsia="zh-CN"/>
              </w:rPr>
              <w:t xml:space="preserve"> and footnote 9</w:t>
            </w:r>
            <w:r w:rsidRPr="004D7F4E">
              <w:rPr>
                <w:i/>
                <w:iCs/>
                <w:lang w:eastAsia="zh-CN"/>
              </w:rPr>
              <w:t>bis</w:t>
            </w:r>
            <w:r w:rsidRPr="004D7F4E">
              <w:rPr>
                <w:lang w:eastAsia="zh-CN"/>
              </w:rPr>
              <w:t xml:space="preserve"> of Article 4 of Appendix </w:t>
            </w:r>
            <w:r w:rsidRPr="004D7F4E">
              <w:rPr>
                <w:b/>
                <w:bCs/>
                <w:lang w:eastAsia="zh-CN"/>
              </w:rPr>
              <w:t>30A</w:t>
            </w:r>
            <w:r w:rsidRPr="004D7F4E">
              <w:rPr>
                <w:lang w:eastAsia="zh-CN"/>
              </w:rPr>
              <w:t xml:space="preserve">, as appropriate, whenever an affected Article 4 network for additional use enters the List. Should the Bureau reach a </w:t>
            </w:r>
            <w:proofErr w:type="spellStart"/>
            <w:r w:rsidRPr="004D7F4E">
              <w:rPr>
                <w:lang w:eastAsia="zh-CN"/>
              </w:rPr>
              <w:t>favourable</w:t>
            </w:r>
            <w:proofErr w:type="spellEnd"/>
            <w:r w:rsidRPr="004D7F4E">
              <w:rPr>
                <w:lang w:eastAsia="zh-CN"/>
              </w:rPr>
              <w:t xml:space="preserve"> finding, coordination between the concerned </w:t>
            </w:r>
            <w:r w:rsidRPr="004D7F4E">
              <w:t xml:space="preserve">Res. </w:t>
            </w:r>
            <w:r w:rsidRPr="004D7F4E">
              <w:rPr>
                <w:b/>
                <w:bCs/>
              </w:rPr>
              <w:t>559</w:t>
            </w:r>
            <w:r w:rsidRPr="004D7F4E">
              <w:t xml:space="preserve"> </w:t>
            </w:r>
            <w:r w:rsidRPr="004D7F4E">
              <w:rPr>
                <w:lang w:eastAsia="zh-CN"/>
              </w:rPr>
              <w:t xml:space="preserve">submission and the affected Article 4 </w:t>
            </w:r>
            <w:r w:rsidRPr="004D7F4E">
              <w:t xml:space="preserve">frequency </w:t>
            </w:r>
            <w:r w:rsidRPr="004D7F4E">
              <w:rPr>
                <w:lang w:eastAsia="zh-CN"/>
              </w:rPr>
              <w:t>assignment is no longer required and the Bureau will inform both administrations of its conclusions.</w:t>
            </w:r>
          </w:p>
          <w:p w14:paraId="0E74A90E" w14:textId="77777777" w:rsidR="004D7F4E" w:rsidRPr="004D7F4E" w:rsidRDefault="004D7F4E" w:rsidP="004D7F4E">
            <w:pPr>
              <w:widowControl w:val="0"/>
              <w:ind w:left="567" w:hanging="567"/>
              <w:rPr>
                <w:lang w:val="ru-RU"/>
              </w:rPr>
            </w:pPr>
            <w:r w:rsidRPr="004D7F4E">
              <w:rPr>
                <w:lang w:val="ru-RU"/>
              </w:rPr>
              <w:t>•</w:t>
            </w:r>
            <w:r w:rsidRPr="004D7F4E">
              <w:rPr>
                <w:lang w:val="ru-RU"/>
              </w:rPr>
              <w:tab/>
              <w:t xml:space="preserve">With </w:t>
            </w:r>
            <w:proofErr w:type="spellStart"/>
            <w:r w:rsidRPr="004D7F4E">
              <w:rPr>
                <w:lang w:val="ru-RU"/>
              </w:rPr>
              <w:t>respect</w:t>
            </w:r>
            <w:proofErr w:type="spellEnd"/>
            <w:r w:rsidRPr="004D7F4E">
              <w:rPr>
                <w:lang w:val="ru-RU"/>
              </w:rPr>
              <w:t xml:space="preserve"> to </w:t>
            </w:r>
            <w:proofErr w:type="spellStart"/>
            <w:r w:rsidRPr="004D7F4E">
              <w:rPr>
                <w:lang w:val="ru-RU"/>
              </w:rPr>
              <w:t>coordination</w:t>
            </w:r>
            <w:proofErr w:type="spellEnd"/>
            <w:r w:rsidRPr="004D7F4E">
              <w:rPr>
                <w:lang w:val="ru-RU"/>
              </w:rPr>
              <w:t xml:space="preserve"> </w:t>
            </w:r>
            <w:proofErr w:type="spellStart"/>
            <w:r w:rsidRPr="004D7F4E">
              <w:rPr>
                <w:lang w:val="ru-RU"/>
              </w:rPr>
              <w:t>with</w:t>
            </w:r>
            <w:proofErr w:type="spellEnd"/>
            <w:r w:rsidRPr="004D7F4E">
              <w:rPr>
                <w:lang w:val="ru-RU"/>
              </w:rPr>
              <w:t xml:space="preserve"> </w:t>
            </w:r>
            <w:proofErr w:type="spellStart"/>
            <w:r w:rsidRPr="004D7F4E">
              <w:rPr>
                <w:lang w:val="ru-RU"/>
              </w:rPr>
              <w:t>frequency</w:t>
            </w:r>
            <w:proofErr w:type="spellEnd"/>
            <w:r w:rsidRPr="004D7F4E">
              <w:rPr>
                <w:lang w:val="ru-RU"/>
              </w:rPr>
              <w:t xml:space="preserve"> </w:t>
            </w:r>
            <w:proofErr w:type="spellStart"/>
            <w:r w:rsidRPr="004D7F4E">
              <w:rPr>
                <w:lang w:val="ru-RU"/>
              </w:rPr>
              <w:t>assignments</w:t>
            </w:r>
            <w:proofErr w:type="spellEnd"/>
            <w:r w:rsidRPr="004D7F4E">
              <w:rPr>
                <w:lang w:val="ru-RU"/>
              </w:rPr>
              <w:t xml:space="preserve"> in </w:t>
            </w:r>
            <w:proofErr w:type="spellStart"/>
            <w:r w:rsidRPr="004D7F4E">
              <w:rPr>
                <w:lang w:val="ru-RU"/>
              </w:rPr>
              <w:t>non-planned</w:t>
            </w:r>
            <w:proofErr w:type="spellEnd"/>
            <w:r w:rsidRPr="004D7F4E">
              <w:rPr>
                <w:lang w:val="ru-RU"/>
              </w:rPr>
              <w:t xml:space="preserve"> </w:t>
            </w:r>
            <w:proofErr w:type="spellStart"/>
            <w:r w:rsidRPr="004D7F4E">
              <w:rPr>
                <w:lang w:val="ru-RU"/>
              </w:rPr>
              <w:t>services</w:t>
            </w:r>
            <w:proofErr w:type="spellEnd"/>
            <w:r w:rsidRPr="004D7F4E">
              <w:rPr>
                <w:lang w:val="ru-RU"/>
              </w:rPr>
              <w:t xml:space="preserve"> and of </w:t>
            </w:r>
            <w:proofErr w:type="spellStart"/>
            <w:r w:rsidRPr="004D7F4E">
              <w:rPr>
                <w:lang w:val="ru-RU"/>
              </w:rPr>
              <w:t>Article</w:t>
            </w:r>
            <w:proofErr w:type="spellEnd"/>
            <w:r w:rsidRPr="004D7F4E">
              <w:rPr>
                <w:lang w:val="ru-RU"/>
              </w:rPr>
              <w:t xml:space="preserve"> 2A </w:t>
            </w:r>
            <w:proofErr w:type="spellStart"/>
            <w:r w:rsidRPr="004D7F4E">
              <w:rPr>
                <w:lang w:val="ru-RU"/>
              </w:rPr>
              <w:t>satellite</w:t>
            </w:r>
            <w:proofErr w:type="spellEnd"/>
            <w:r w:rsidRPr="004D7F4E">
              <w:rPr>
                <w:lang w:val="ru-RU"/>
              </w:rPr>
              <w:t xml:space="preserve"> </w:t>
            </w:r>
            <w:proofErr w:type="spellStart"/>
            <w:r w:rsidRPr="004D7F4E">
              <w:rPr>
                <w:lang w:val="ru-RU"/>
              </w:rPr>
              <w:t>networks</w:t>
            </w:r>
            <w:proofErr w:type="spellEnd"/>
            <w:r w:rsidRPr="004D7F4E">
              <w:rPr>
                <w:lang w:val="ru-RU"/>
              </w:rPr>
              <w:t>:</w:t>
            </w:r>
          </w:p>
          <w:p w14:paraId="2C8646C5" w14:textId="77777777" w:rsidR="004D7F4E" w:rsidRPr="004D7F4E" w:rsidRDefault="004D7F4E" w:rsidP="004D7F4E">
            <w:pPr>
              <w:widowControl w:val="0"/>
              <w:ind w:left="567"/>
            </w:pPr>
            <w:r w:rsidRPr="004D7F4E">
              <w:rPr>
                <w:lang w:eastAsia="zh-CN"/>
              </w:rPr>
              <w:t>1)</w:t>
            </w:r>
            <w:r w:rsidRPr="004D7F4E">
              <w:rPr>
                <w:lang w:eastAsia="zh-CN"/>
              </w:rPr>
              <w:tab/>
              <w:t xml:space="preserve">Upon receipt of the coordination proposals, the affected administrations are urged to reply timely to the requesting </w:t>
            </w:r>
            <w:r w:rsidRPr="004D7F4E">
              <w:t xml:space="preserve">Res. </w:t>
            </w:r>
            <w:r w:rsidRPr="004D7F4E">
              <w:rPr>
                <w:b/>
                <w:bCs/>
              </w:rPr>
              <w:t>559</w:t>
            </w:r>
            <w:r w:rsidRPr="004D7F4E">
              <w:t xml:space="preserve"> </w:t>
            </w:r>
            <w:r w:rsidRPr="004D7F4E">
              <w:rPr>
                <w:lang w:eastAsia="zh-CN"/>
              </w:rPr>
              <w:t xml:space="preserve">administrations and </w:t>
            </w:r>
            <w:proofErr w:type="spellStart"/>
            <w:r w:rsidRPr="004D7F4E">
              <w:rPr>
                <w:lang w:eastAsia="zh-CN"/>
              </w:rPr>
              <w:t>endeavour</w:t>
            </w:r>
            <w:proofErr w:type="spellEnd"/>
            <w:r w:rsidRPr="004D7F4E">
              <w:rPr>
                <w:lang w:eastAsia="zh-CN"/>
              </w:rPr>
              <w:t xml:space="preserve"> to accommodate the </w:t>
            </w:r>
            <w:r w:rsidRPr="004D7F4E">
              <w:t xml:space="preserve">Res. </w:t>
            </w:r>
            <w:r w:rsidRPr="004D7F4E">
              <w:rPr>
                <w:b/>
                <w:bCs/>
              </w:rPr>
              <w:t>559</w:t>
            </w:r>
            <w:r w:rsidRPr="004D7F4E">
              <w:t xml:space="preserve"> </w:t>
            </w:r>
            <w:r w:rsidRPr="004D7F4E">
              <w:rPr>
                <w:lang w:eastAsia="zh-CN"/>
              </w:rPr>
              <w:t>submissions.</w:t>
            </w:r>
          </w:p>
          <w:p w14:paraId="3655AE63" w14:textId="77777777" w:rsidR="004D7F4E" w:rsidRPr="004D7F4E" w:rsidRDefault="004D7F4E" w:rsidP="004D7F4E">
            <w:pPr>
              <w:widowControl w:val="0"/>
              <w:ind w:left="567"/>
              <w:rPr>
                <w:lang w:eastAsia="zh-CN"/>
              </w:rPr>
            </w:pPr>
            <w:r w:rsidRPr="004D7F4E">
              <w:t>2)</w:t>
            </w:r>
            <w:r w:rsidRPr="004D7F4E">
              <w:tab/>
              <w:t xml:space="preserve">In case of continuing disagreement, </w:t>
            </w:r>
            <w:r w:rsidRPr="004D7F4E">
              <w:rPr>
                <w:lang w:eastAsia="zh-CN"/>
              </w:rPr>
              <w:t xml:space="preserve">whenever an affected non-planned satellite network or Article 2A satellite network is recorded in the Master Register, the Bureau shall review the coordination requirement using the recorded characteristics. Should the Bureau reach a </w:t>
            </w:r>
            <w:proofErr w:type="spellStart"/>
            <w:r w:rsidRPr="004D7F4E">
              <w:rPr>
                <w:lang w:eastAsia="zh-CN"/>
              </w:rPr>
              <w:t>favourable</w:t>
            </w:r>
            <w:proofErr w:type="spellEnd"/>
            <w:r w:rsidRPr="004D7F4E">
              <w:rPr>
                <w:lang w:eastAsia="zh-CN"/>
              </w:rPr>
              <w:t xml:space="preserve"> finding, coordination between the concerned </w:t>
            </w:r>
            <w:r w:rsidRPr="004D7F4E">
              <w:t xml:space="preserve">Res. </w:t>
            </w:r>
            <w:r w:rsidRPr="004D7F4E">
              <w:rPr>
                <w:b/>
                <w:bCs/>
              </w:rPr>
              <w:t>559</w:t>
            </w:r>
            <w:r w:rsidRPr="004D7F4E">
              <w:t xml:space="preserve"> </w:t>
            </w:r>
            <w:r w:rsidRPr="004D7F4E">
              <w:rPr>
                <w:lang w:eastAsia="zh-CN"/>
              </w:rPr>
              <w:t xml:space="preserve">submission and the affected non-plan network or Article 2A network is no longer required and the </w:t>
            </w:r>
            <w:r w:rsidRPr="004D7F4E">
              <w:rPr>
                <w:lang w:eastAsia="zh-CN"/>
              </w:rPr>
              <w:lastRenderedPageBreak/>
              <w:t>Bureau will inform both administrations of its conclusions.</w:t>
            </w:r>
          </w:p>
          <w:p w14:paraId="100FD5FF" w14:textId="77777777" w:rsidR="004D7F4E" w:rsidRPr="004D7F4E" w:rsidRDefault="004D7F4E" w:rsidP="004D7F4E">
            <w:pPr>
              <w:widowControl w:val="0"/>
              <w:ind w:left="567" w:hanging="567"/>
            </w:pPr>
            <w:r w:rsidRPr="004D7F4E">
              <w:rPr>
                <w:lang w:val="ru-RU"/>
              </w:rPr>
              <w:t>•</w:t>
            </w:r>
            <w:r w:rsidRPr="004D7F4E">
              <w:rPr>
                <w:lang w:val="ru-RU"/>
              </w:rPr>
              <w:tab/>
            </w:r>
            <w:r w:rsidRPr="004D7F4E">
              <w:t xml:space="preserve">When examining Part B of submissions made in accordance with Resolution </w:t>
            </w:r>
            <w:r w:rsidRPr="004D7F4E">
              <w:rPr>
                <w:b/>
                <w:bCs/>
              </w:rPr>
              <w:t>559 (WRC-19)</w:t>
            </w:r>
            <w:r w:rsidRPr="004D7F4E">
              <w:t xml:space="preserve"> in respect of BSS frequency </w:t>
            </w:r>
            <w:proofErr w:type="spellStart"/>
            <w:r w:rsidRPr="004D7F4E">
              <w:rPr>
                <w:lang w:val="ru-RU"/>
              </w:rPr>
              <w:t>assignments</w:t>
            </w:r>
            <w:proofErr w:type="spellEnd"/>
            <w:r w:rsidRPr="004D7F4E">
              <w:t xml:space="preserve"> for additional uses in Regions 1 and 3, the affected test point of the additional use that is located inside the territory of the notifying administration of a submission under Resolution </w:t>
            </w:r>
            <w:r w:rsidRPr="004D7F4E">
              <w:rPr>
                <w:b/>
                <w:bCs/>
              </w:rPr>
              <w:t>559 (WRC-19)</w:t>
            </w:r>
            <w:r w:rsidRPr="004D7F4E">
              <w:t xml:space="preserve"> should not be considered in formulating a finding:</w:t>
            </w:r>
          </w:p>
          <w:p w14:paraId="4A915CCC" w14:textId="77777777" w:rsidR="004D7F4E" w:rsidRPr="004D7F4E" w:rsidRDefault="004D7F4E" w:rsidP="004D7F4E">
            <w:pPr>
              <w:widowControl w:val="0"/>
              <w:ind w:left="567"/>
              <w:rPr>
                <w:lang w:eastAsia="it-IT"/>
              </w:rPr>
            </w:pPr>
            <w:r w:rsidRPr="004D7F4E">
              <w:rPr>
                <w:lang w:eastAsia="it-IT"/>
              </w:rPr>
              <w:t>1)</w:t>
            </w:r>
            <w:r w:rsidRPr="004D7F4E">
              <w:rPr>
                <w:lang w:eastAsia="it-IT"/>
              </w:rPr>
              <w:tab/>
              <w:t xml:space="preserve">When the notifying administration of the Res. </w:t>
            </w:r>
            <w:r w:rsidRPr="004D7F4E">
              <w:rPr>
                <w:b/>
                <w:bCs/>
                <w:lang w:eastAsia="it-IT"/>
              </w:rPr>
              <w:t>559</w:t>
            </w:r>
            <w:r w:rsidRPr="004D7F4E">
              <w:rPr>
                <w:lang w:eastAsia="it-IT"/>
              </w:rPr>
              <w:t xml:space="preserve"> submission explicitly indicates in the cover letter of its Part B submission that the reference situation of certain networks should not be updated because an agreement was obtained with the notifying administration(s) of those networks, the Bureau will not update the reference situation of the networks concerned, when entering frequency assignments of a Res. </w:t>
            </w:r>
            <w:r w:rsidRPr="004D7F4E">
              <w:rPr>
                <w:b/>
                <w:bCs/>
                <w:lang w:eastAsia="it-IT"/>
              </w:rPr>
              <w:t>559</w:t>
            </w:r>
            <w:r w:rsidRPr="004D7F4E">
              <w:rPr>
                <w:lang w:eastAsia="it-IT"/>
              </w:rPr>
              <w:t xml:space="preserve"> submission in the </w:t>
            </w:r>
            <w:proofErr w:type="gramStart"/>
            <w:r w:rsidRPr="004D7F4E">
              <w:rPr>
                <w:lang w:eastAsia="it-IT"/>
              </w:rPr>
              <w:t>List;</w:t>
            </w:r>
            <w:proofErr w:type="gramEnd"/>
          </w:p>
          <w:p w14:paraId="45A1CAB0" w14:textId="77777777" w:rsidR="004D7F4E" w:rsidRPr="004D7F4E" w:rsidRDefault="004D7F4E" w:rsidP="004D7F4E">
            <w:pPr>
              <w:pStyle w:val="enumlev1"/>
              <w:widowControl w:val="0"/>
              <w:ind w:left="567" w:hanging="567"/>
              <w:rPr>
                <w:lang w:eastAsia="it-IT"/>
              </w:rPr>
            </w:pPr>
            <w:r w:rsidRPr="004D7F4E">
              <w:rPr>
                <w:lang w:val="ru-RU"/>
              </w:rPr>
              <w:t>•</w:t>
            </w:r>
            <w:r w:rsidRPr="004D7F4E">
              <w:rPr>
                <w:lang w:val="ru-RU" w:eastAsia="it-IT"/>
              </w:rPr>
              <w:tab/>
            </w:r>
            <w:r w:rsidRPr="004D7F4E">
              <w:rPr>
                <w:lang w:eastAsia="it-IT"/>
              </w:rPr>
              <w:t xml:space="preserve">When the Bureau is explicitly informed by the notifying administration of a Res. </w:t>
            </w:r>
            <w:r w:rsidRPr="004D7F4E">
              <w:rPr>
                <w:b/>
                <w:bCs/>
                <w:lang w:eastAsia="it-IT"/>
              </w:rPr>
              <w:t>559</w:t>
            </w:r>
            <w:r w:rsidRPr="004D7F4E">
              <w:rPr>
                <w:lang w:eastAsia="it-IT"/>
              </w:rPr>
              <w:t xml:space="preserve"> submission that an agreement was reached with any other administration in order to ignore test points that are located on the territory of the latter administration and that will be degraded by the incoming Res. </w:t>
            </w:r>
            <w:r w:rsidRPr="004D7F4E">
              <w:rPr>
                <w:b/>
                <w:bCs/>
                <w:lang w:eastAsia="it-IT"/>
              </w:rPr>
              <w:t>559</w:t>
            </w:r>
            <w:r w:rsidRPr="004D7F4E">
              <w:rPr>
                <w:lang w:eastAsia="it-IT"/>
              </w:rPr>
              <w:t xml:space="preserve"> submission, the Bureau will ignore those degraded test points in the examination of Part B of the Res. </w:t>
            </w:r>
            <w:r w:rsidRPr="004D7F4E">
              <w:rPr>
                <w:b/>
                <w:bCs/>
                <w:lang w:eastAsia="it-IT"/>
              </w:rPr>
              <w:t>559</w:t>
            </w:r>
            <w:r w:rsidRPr="004D7F4E">
              <w:rPr>
                <w:lang w:eastAsia="it-IT"/>
              </w:rPr>
              <w:t xml:space="preserve"> submission. Such an agreement can also be provided by the other administration, but it </w:t>
            </w:r>
            <w:proofErr w:type="gramStart"/>
            <w:r w:rsidRPr="004D7F4E">
              <w:rPr>
                <w:lang w:eastAsia="it-IT"/>
              </w:rPr>
              <w:t>has to</w:t>
            </w:r>
            <w:proofErr w:type="gramEnd"/>
            <w:r w:rsidRPr="004D7F4E">
              <w:rPr>
                <w:lang w:eastAsia="it-IT"/>
              </w:rPr>
              <w:t xml:space="preserve"> be communicated to the Bureau at the latest before the start of the formal examination of the Part B submission.</w:t>
            </w:r>
          </w:p>
          <w:p w14:paraId="6AE98DD6" w14:textId="77777777" w:rsidR="004D7F4E" w:rsidRPr="004D7F4E" w:rsidRDefault="004D7F4E" w:rsidP="004D7F4E">
            <w:pPr>
              <w:widowControl w:val="0"/>
              <w:rPr>
                <w:b/>
                <w:bCs/>
              </w:rPr>
            </w:pPr>
            <w:r w:rsidRPr="004D7F4E">
              <w:rPr>
                <w:b/>
                <w:bCs/>
              </w:rPr>
              <w:t>WRC-23 is further invited</w:t>
            </w:r>
            <w:r w:rsidRPr="004D7F4E">
              <w:rPr>
                <w:b/>
                <w:bCs/>
                <w:i/>
                <w:iCs/>
              </w:rPr>
              <w:t xml:space="preserve"> </w:t>
            </w:r>
            <w:r w:rsidRPr="004D7F4E">
              <w:rPr>
                <w:b/>
                <w:bCs/>
              </w:rPr>
              <w:t>to urge</w:t>
            </w:r>
            <w:r w:rsidRPr="004D7F4E">
              <w:rPr>
                <w:b/>
                <w:bCs/>
                <w:i/>
                <w:iCs/>
              </w:rPr>
              <w:t xml:space="preserve"> </w:t>
            </w:r>
            <w:r w:rsidRPr="004D7F4E">
              <w:rPr>
                <w:b/>
                <w:bCs/>
              </w:rPr>
              <w:t xml:space="preserve">administrations with Part A submissions received before 22 May 2020 to make all efforts to accommodate Res. 559 submissions and to </w:t>
            </w:r>
            <w:proofErr w:type="gramStart"/>
            <w:r w:rsidRPr="004D7F4E">
              <w:rPr>
                <w:b/>
                <w:bCs/>
              </w:rPr>
              <w:t>take into account</w:t>
            </w:r>
            <w:proofErr w:type="gramEnd"/>
            <w:r w:rsidRPr="004D7F4E">
              <w:rPr>
                <w:b/>
                <w:bCs/>
              </w:rPr>
              <w:t xml:space="preserve"> the results of the Bureau’s review when preparing their Part B submissions.</w:t>
            </w:r>
            <w:r w:rsidRPr="004D7F4E">
              <w:rPr>
                <w:b/>
                <w:bCs/>
                <w:highlight w:val="yellow"/>
              </w:rPr>
              <w:t xml:space="preserve"> </w:t>
            </w:r>
          </w:p>
          <w:p w14:paraId="1CF34B06" w14:textId="77777777" w:rsidR="004D7F4E" w:rsidRPr="004D7F4E" w:rsidRDefault="004D7F4E" w:rsidP="004D7F4E">
            <w:pPr>
              <w:pStyle w:val="Headingb"/>
              <w:keepNext w:val="0"/>
              <w:widowControl w:val="0"/>
              <w:tabs>
                <w:tab w:val="clear" w:pos="794"/>
                <w:tab w:val="left" w:pos="0"/>
              </w:tabs>
              <w:spacing w:before="120" w:after="120"/>
              <w:ind w:left="14" w:hanging="14"/>
              <w:rPr>
                <w:b w:val="0"/>
              </w:rPr>
            </w:pPr>
            <w:r w:rsidRPr="004D7F4E">
              <w:rPr>
                <w:bCs/>
              </w:rPr>
              <w:t xml:space="preserve">WRC-23 is also invited to encourage administrations to cooperate and consider approaches such as those outlined in § 4.2.15 </w:t>
            </w:r>
            <w:proofErr w:type="gramStart"/>
            <w:r w:rsidRPr="004D7F4E">
              <w:rPr>
                <w:bCs/>
              </w:rPr>
              <w:t>in order to</w:t>
            </w:r>
            <w:proofErr w:type="gramEnd"/>
            <w:r w:rsidRPr="004D7F4E">
              <w:rPr>
                <w:bCs/>
              </w:rPr>
              <w:t xml:space="preserve"> complete all of the remaining coordination cases.</w:t>
            </w:r>
          </w:p>
          <w:p w14:paraId="7979E43A" w14:textId="3C91D775" w:rsidR="004D7F4E" w:rsidRPr="00AA58CF" w:rsidRDefault="004D7F4E" w:rsidP="004D7F4E">
            <w:r w:rsidRPr="004D7F4E">
              <w:t>…”</w:t>
            </w:r>
          </w:p>
        </w:tc>
      </w:tr>
      <w:tr w:rsidR="004D7F4E" w:rsidRPr="00B20114" w14:paraId="77780272" w14:textId="77777777" w:rsidTr="00CE6D50">
        <w:trPr>
          <w:trHeight w:val="1139"/>
        </w:trPr>
        <w:tc>
          <w:tcPr>
            <w:tcW w:w="1838" w:type="dxa"/>
          </w:tcPr>
          <w:p w14:paraId="072606AF" w14:textId="62ED671E" w:rsidR="004D7F4E" w:rsidRPr="00527F8E" w:rsidRDefault="004D7F4E" w:rsidP="004D7F4E">
            <w:pPr>
              <w:jc w:val="left"/>
              <w:rPr>
                <w:b/>
              </w:rPr>
            </w:pPr>
            <w:r w:rsidRPr="00527F8E">
              <w:rPr>
                <w:b/>
              </w:rPr>
              <w:lastRenderedPageBreak/>
              <w:t xml:space="preserve">Document </w:t>
            </w:r>
            <w:hyperlink r:id="rId16" w:history="1">
              <w:r w:rsidRPr="00527F8E">
                <w:rPr>
                  <w:rStyle w:val="Hyperlink"/>
                  <w:rFonts w:asciiTheme="minorHAnsi" w:eastAsia="Times New Roman" w:hAnsiTheme="minorHAnsi" w:cstheme="minorHAnsi"/>
                  <w:b/>
                  <w:bCs/>
                </w:rPr>
                <w:t xml:space="preserve"> CMR</w:t>
              </w:r>
              <w:r w:rsidRPr="00527F8E">
                <w:rPr>
                  <w:rStyle w:val="Hyperlink"/>
                  <w:rFonts w:asciiTheme="minorHAnsi" w:hAnsiTheme="minorHAnsi" w:cstheme="minorHAnsi"/>
                  <w:b/>
                  <w:bCs/>
                </w:rPr>
                <w:t>23/523</w:t>
              </w:r>
            </w:hyperlink>
            <w:r w:rsidRPr="00527F8E">
              <w:rPr>
                <w:b/>
              </w:rPr>
              <w:t xml:space="preserve"> – Minutes of the eighth Plenary meeting</w:t>
            </w:r>
          </w:p>
        </w:tc>
        <w:tc>
          <w:tcPr>
            <w:tcW w:w="1733" w:type="dxa"/>
          </w:tcPr>
          <w:p w14:paraId="4899DB57" w14:textId="77777777" w:rsidR="004D7F4E" w:rsidRPr="00527F8E" w:rsidRDefault="004D7F4E" w:rsidP="004D7F4E">
            <w:pPr>
              <w:jc w:val="left"/>
              <w:rPr>
                <w:rFonts w:cs="Times"/>
                <w:b/>
              </w:rPr>
            </w:pPr>
            <w:r w:rsidRPr="00527F8E">
              <w:rPr>
                <w:rFonts w:cs="Times"/>
                <w:b/>
              </w:rPr>
              <w:t>§§18.1 and 18.2</w:t>
            </w:r>
          </w:p>
          <w:p w14:paraId="58DB2A8F" w14:textId="51807298" w:rsidR="004D7F4E" w:rsidRPr="00527F8E" w:rsidRDefault="004D7F4E" w:rsidP="004D7F4E">
            <w:pPr>
              <w:jc w:val="left"/>
              <w:rPr>
                <w:rFonts w:cs="Times"/>
                <w:b/>
              </w:rPr>
            </w:pPr>
            <w:r w:rsidRPr="00527F8E">
              <w:rPr>
                <w:rFonts w:cs="Times"/>
                <w:b/>
              </w:rPr>
              <w:t xml:space="preserve">Approval of Document </w:t>
            </w:r>
            <w:hyperlink r:id="rId17" w:history="1">
              <w:r w:rsidRPr="00527F8E">
                <w:rPr>
                  <w:rStyle w:val="Hyperlink"/>
                  <w:rFonts w:cs="Times"/>
                  <w:b/>
                </w:rPr>
                <w:t>409</w:t>
              </w:r>
            </w:hyperlink>
            <w:r w:rsidRPr="00527F8E">
              <w:rPr>
                <w:sz w:val="18"/>
                <w:szCs w:val="18"/>
              </w:rPr>
              <w:t xml:space="preserve"> </w:t>
            </w:r>
          </w:p>
        </w:tc>
        <w:tc>
          <w:tcPr>
            <w:tcW w:w="10712" w:type="dxa"/>
          </w:tcPr>
          <w:p w14:paraId="6AFC989F" w14:textId="47B910D4" w:rsidR="004D7F4E" w:rsidRPr="00661552" w:rsidRDefault="004D7F4E" w:rsidP="004D7F4E">
            <w:pPr>
              <w:tabs>
                <w:tab w:val="left" w:pos="1134"/>
                <w:tab w:val="left" w:pos="1871"/>
                <w:tab w:val="left" w:pos="2268"/>
              </w:tabs>
              <w:rPr>
                <w:lang w:val="en-CA"/>
              </w:rPr>
            </w:pPr>
            <w:r w:rsidRPr="00AA58CF">
              <w:t xml:space="preserve">In the application of footnotes RR Nos. </w:t>
            </w:r>
            <w:r w:rsidRPr="00AA58CF">
              <w:rPr>
                <w:b/>
                <w:bCs/>
              </w:rPr>
              <w:t>5.434</w:t>
            </w:r>
            <w:r w:rsidRPr="00AA58CF">
              <w:t xml:space="preserve"> and </w:t>
            </w:r>
            <w:r w:rsidRPr="00AA58CF">
              <w:rPr>
                <w:b/>
                <w:bCs/>
              </w:rPr>
              <w:t>5.435B</w:t>
            </w:r>
            <w:r w:rsidRPr="00AA58CF">
              <w:t xml:space="preserve"> </w:t>
            </w:r>
            <w:r w:rsidRPr="00C97933">
              <w:rPr>
                <w:b/>
                <w:bCs/>
              </w:rPr>
              <w:t>[5.36A12]</w:t>
            </w:r>
            <w:r w:rsidRPr="00C97933">
              <w:t>,</w:t>
            </w:r>
            <w:r w:rsidRPr="00AA58CF">
              <w:t xml:space="preserve"> the term “</w:t>
            </w:r>
            <w:proofErr w:type="spellStart"/>
            <w:r w:rsidRPr="00AA58CF">
              <w:t>neighbouring</w:t>
            </w:r>
            <w:proofErr w:type="spellEnd"/>
            <w:r w:rsidRPr="00AA58CF">
              <w:t xml:space="preserve"> countries” includes those countries of </w:t>
            </w:r>
            <w:proofErr w:type="gramStart"/>
            <w:r w:rsidRPr="00AA58CF">
              <w:t>Region</w:t>
            </w:r>
            <w:proofErr w:type="gramEnd"/>
            <w:r w:rsidRPr="00AA58CF">
              <w:t xml:space="preserve"> 1 which are </w:t>
            </w:r>
            <w:proofErr w:type="spellStart"/>
            <w:r w:rsidRPr="00AA58CF">
              <w:t>neighbouring</w:t>
            </w:r>
            <w:proofErr w:type="spellEnd"/>
            <w:r w:rsidRPr="00AA58CF">
              <w:t xml:space="preserve"> Region 2.</w:t>
            </w:r>
          </w:p>
        </w:tc>
      </w:tr>
      <w:tr w:rsidR="004D7F4E" w:rsidRPr="00B20114" w14:paraId="26B69DC1" w14:textId="77777777" w:rsidTr="00CE6D50">
        <w:trPr>
          <w:trHeight w:val="1139"/>
        </w:trPr>
        <w:tc>
          <w:tcPr>
            <w:tcW w:w="1838" w:type="dxa"/>
          </w:tcPr>
          <w:p w14:paraId="30055671" w14:textId="46245A85" w:rsidR="004D7F4E" w:rsidRPr="00527F8E" w:rsidRDefault="004D7F4E" w:rsidP="004D7F4E">
            <w:pPr>
              <w:jc w:val="left"/>
              <w:rPr>
                <w:b/>
              </w:rPr>
            </w:pPr>
            <w:r w:rsidRPr="00527F8E">
              <w:rPr>
                <w:b/>
              </w:rPr>
              <w:lastRenderedPageBreak/>
              <w:t xml:space="preserve">Document </w:t>
            </w:r>
            <w:hyperlink r:id="rId18" w:history="1">
              <w:r w:rsidRPr="00527F8E">
                <w:rPr>
                  <w:rFonts w:eastAsia="Calibri" w:cs="Times"/>
                  <w:b/>
                  <w:color w:val="0563C1"/>
                  <w:kern w:val="2"/>
                  <w:u w:val="single"/>
                  <w:lang w:val="en-GB"/>
                  <w14:ligatures w14:val="standardContextual"/>
                </w:rPr>
                <w:t>CMR23/524</w:t>
              </w:r>
            </w:hyperlink>
            <w:r>
              <w:rPr>
                <w:rFonts w:eastAsia="Calibri" w:cs="Times"/>
                <w:b/>
                <w:color w:val="0563C1"/>
                <w:kern w:val="2"/>
                <w:u w:val="single"/>
                <w:lang w:val="en-GB"/>
                <w14:ligatures w14:val="standardContextual"/>
              </w:rPr>
              <w:t xml:space="preserve"> </w:t>
            </w:r>
            <w:r w:rsidRPr="00527F8E">
              <w:rPr>
                <w:b/>
              </w:rPr>
              <w:t>– Minutes of the ninth Plenary meeting</w:t>
            </w:r>
          </w:p>
        </w:tc>
        <w:tc>
          <w:tcPr>
            <w:tcW w:w="1733" w:type="dxa"/>
          </w:tcPr>
          <w:p w14:paraId="7BB17655" w14:textId="77777777" w:rsidR="004D7F4E" w:rsidRPr="00527F8E" w:rsidRDefault="004D7F4E" w:rsidP="004D7F4E">
            <w:pPr>
              <w:jc w:val="left"/>
              <w:rPr>
                <w:rFonts w:cs="Times"/>
                <w:b/>
              </w:rPr>
            </w:pPr>
            <w:r w:rsidRPr="00527F8E">
              <w:rPr>
                <w:rFonts w:cs="Times"/>
                <w:b/>
              </w:rPr>
              <w:t xml:space="preserve">§§ 3.1 and 3.2 </w:t>
            </w:r>
          </w:p>
          <w:p w14:paraId="57D1EE50" w14:textId="62159FCD" w:rsidR="004D7F4E" w:rsidRPr="00527F8E" w:rsidRDefault="004D7F4E" w:rsidP="004D7F4E">
            <w:pPr>
              <w:jc w:val="left"/>
              <w:rPr>
                <w:rFonts w:cs="Times"/>
                <w:b/>
              </w:rPr>
            </w:pPr>
            <w:r w:rsidRPr="00527F8E">
              <w:rPr>
                <w:rFonts w:cs="Times"/>
                <w:b/>
              </w:rPr>
              <w:t xml:space="preserve">Approval of Document </w:t>
            </w:r>
            <w:hyperlink r:id="rId19" w:history="1">
              <w:r w:rsidRPr="00527F8E">
                <w:rPr>
                  <w:rStyle w:val="Hyperlink"/>
                  <w:rFonts w:cs="Times"/>
                  <w:b/>
                </w:rPr>
                <w:t>436</w:t>
              </w:r>
            </w:hyperlink>
          </w:p>
        </w:tc>
        <w:tc>
          <w:tcPr>
            <w:tcW w:w="10712" w:type="dxa"/>
          </w:tcPr>
          <w:p w14:paraId="72A05E4D" w14:textId="77777777" w:rsidR="004D7F4E" w:rsidRPr="00697EE0" w:rsidRDefault="004D7F4E" w:rsidP="004D7F4E">
            <w:pPr>
              <w:tabs>
                <w:tab w:val="left" w:pos="1134"/>
                <w:tab w:val="left" w:pos="1871"/>
                <w:tab w:val="left" w:pos="2268"/>
              </w:tabs>
              <w:rPr>
                <w:lang w:val="en-CA"/>
              </w:rPr>
            </w:pPr>
            <w:r w:rsidRPr="00661552">
              <w:rPr>
                <w:lang w:val="en-CA"/>
              </w:rPr>
              <w:t xml:space="preserve">At </w:t>
            </w:r>
            <w:r>
              <w:rPr>
                <w:lang w:val="en-CA"/>
              </w:rPr>
              <w:t>the</w:t>
            </w:r>
            <w:r w:rsidRPr="00661552">
              <w:rPr>
                <w:lang w:val="en-CA"/>
              </w:rPr>
              <w:t xml:space="preserve"> </w:t>
            </w:r>
            <w:r>
              <w:rPr>
                <w:lang w:val="en-CA"/>
              </w:rPr>
              <w:t>ninth</w:t>
            </w:r>
            <w:r w:rsidRPr="00661552">
              <w:rPr>
                <w:lang w:val="en-CA"/>
              </w:rPr>
              <w:t xml:space="preserve"> </w:t>
            </w:r>
            <w:r>
              <w:rPr>
                <w:lang w:val="en-CA"/>
              </w:rPr>
              <w:t>p</w:t>
            </w:r>
            <w:r w:rsidRPr="00661552">
              <w:rPr>
                <w:lang w:val="en-CA"/>
              </w:rPr>
              <w:t>lenary meeting</w:t>
            </w:r>
            <w:r>
              <w:rPr>
                <w:lang w:val="en-CA"/>
              </w:rPr>
              <w:t>,</w:t>
            </w:r>
            <w:r w:rsidRPr="00661552">
              <w:rPr>
                <w:lang w:val="en-CA"/>
              </w:rPr>
              <w:t xml:space="preserve"> in response to WRC-23 </w:t>
            </w:r>
            <w:r>
              <w:rPr>
                <w:lang w:val="en-CA"/>
              </w:rPr>
              <w:t>Agenda Item</w:t>
            </w:r>
            <w:r w:rsidRPr="00661552">
              <w:rPr>
                <w:lang w:val="en-CA"/>
              </w:rPr>
              <w:t xml:space="preserve"> 1.8, it was decided to suspend any further action on Resolution </w:t>
            </w:r>
            <w:r w:rsidRPr="008C1BA6">
              <w:rPr>
                <w:b/>
                <w:bCs/>
                <w:lang w:val="en-CA"/>
              </w:rPr>
              <w:t>155 (Rev.WRC-19)</w:t>
            </w:r>
            <w:r w:rsidRPr="00661552">
              <w:rPr>
                <w:lang w:val="en-CA"/>
              </w:rPr>
              <w:t xml:space="preserve"> until decided by a future competent WRC. To this effect, a new item has been agreed by this conference to study, as a matter of urgency, necessary measures to facilitate the operation of earth stations on board unmanned aircraft used for control and non-payload communication operated in non-segregated airspace using satellite links by the aeronautical mobile satellite (route) service (AMS(R)S) in suitable frequency bands in order to decide on the appropriate course of action to be taken for WRC-31</w:t>
            </w:r>
            <w:r>
              <w:rPr>
                <w:lang w:val="en-CA"/>
              </w:rPr>
              <w:t>.</w:t>
            </w:r>
          </w:p>
          <w:p w14:paraId="2BB054EC" w14:textId="0D4EA038" w:rsidR="004D7F4E" w:rsidRPr="00AA58CF" w:rsidRDefault="004D7F4E" w:rsidP="004D7F4E">
            <w:pPr>
              <w:tabs>
                <w:tab w:val="left" w:pos="1134"/>
                <w:tab w:val="left" w:pos="1871"/>
                <w:tab w:val="left" w:pos="2268"/>
              </w:tabs>
            </w:pPr>
            <w:r w:rsidRPr="00697EE0">
              <w:rPr>
                <w:lang w:val="en-CA"/>
              </w:rPr>
              <w:t>WRC-23 instructs ITU-R to take necessary actions to implement this decision. Administrations are invited to contribute on the matter.</w:t>
            </w:r>
          </w:p>
        </w:tc>
      </w:tr>
      <w:tr w:rsidR="004D7F4E" w:rsidRPr="00B20114" w14:paraId="17A86613" w14:textId="77777777" w:rsidTr="00CE6D50">
        <w:trPr>
          <w:trHeight w:val="1139"/>
        </w:trPr>
        <w:tc>
          <w:tcPr>
            <w:tcW w:w="1838" w:type="dxa"/>
          </w:tcPr>
          <w:p w14:paraId="63906A1B" w14:textId="75D01821" w:rsidR="004D7F4E" w:rsidRPr="006D7045" w:rsidRDefault="004D7F4E" w:rsidP="004D7F4E">
            <w:pPr>
              <w:jc w:val="left"/>
              <w:rPr>
                <w:b/>
              </w:rPr>
            </w:pPr>
            <w:r w:rsidRPr="006D7045">
              <w:rPr>
                <w:b/>
                <w:lang w:val="en-GB"/>
              </w:rPr>
              <w:t xml:space="preserve">Document </w:t>
            </w:r>
            <w:hyperlink r:id="rId20" w:history="1">
              <w:r w:rsidRPr="006D7045">
                <w:rPr>
                  <w:rStyle w:val="Hyperlink"/>
                  <w:rFonts w:eastAsia="Calibri"/>
                  <w:b/>
                  <w:kern w:val="2"/>
                  <w:lang w:val="en-GB"/>
                  <w14:ligatures w14:val="standardContextual"/>
                </w:rPr>
                <w:t>CMR23/525</w:t>
              </w:r>
            </w:hyperlink>
            <w:r w:rsidRPr="006D7045">
              <w:rPr>
                <w:rFonts w:eastAsia="Calibri"/>
                <w:b/>
                <w:color w:val="0563C1"/>
                <w:kern w:val="2"/>
                <w:u w:val="single"/>
                <w:lang w:val="en-GB"/>
                <w14:ligatures w14:val="standardContextual"/>
              </w:rPr>
              <w:t xml:space="preserve"> </w:t>
            </w:r>
            <w:r w:rsidRPr="006D7045">
              <w:rPr>
                <w:b/>
                <w:lang w:val="en-GB"/>
              </w:rPr>
              <w:t>– Minutes of the Tenth Plenary meeting</w:t>
            </w:r>
          </w:p>
        </w:tc>
        <w:tc>
          <w:tcPr>
            <w:tcW w:w="1733" w:type="dxa"/>
          </w:tcPr>
          <w:p w14:paraId="4B3AB26F" w14:textId="77777777" w:rsidR="004D7F4E" w:rsidRPr="006D7045" w:rsidRDefault="004D7F4E" w:rsidP="004D7F4E">
            <w:pPr>
              <w:spacing w:before="120" w:after="120" w:line="240" w:lineRule="auto"/>
              <w:rPr>
                <w:b/>
              </w:rPr>
            </w:pPr>
            <w:r w:rsidRPr="006D7045">
              <w:rPr>
                <w:b/>
              </w:rPr>
              <w:t xml:space="preserve">§§ 3.1 and 3.2 </w:t>
            </w:r>
          </w:p>
          <w:p w14:paraId="36436FF7" w14:textId="25DC1D53" w:rsidR="004D7F4E" w:rsidRPr="006D7045" w:rsidRDefault="004D7F4E" w:rsidP="004D7F4E">
            <w:pPr>
              <w:jc w:val="left"/>
              <w:rPr>
                <w:b/>
              </w:rPr>
            </w:pPr>
            <w:r w:rsidRPr="006D7045">
              <w:rPr>
                <w:b/>
              </w:rPr>
              <w:t xml:space="preserve">Approval of Document </w:t>
            </w:r>
            <w:hyperlink r:id="rId21" w:history="1">
              <w:r w:rsidRPr="006D7045">
                <w:rPr>
                  <w:rStyle w:val="Hyperlink"/>
                  <w:b/>
                </w:rPr>
                <w:t>485</w:t>
              </w:r>
            </w:hyperlink>
          </w:p>
        </w:tc>
        <w:tc>
          <w:tcPr>
            <w:tcW w:w="10712" w:type="dxa"/>
          </w:tcPr>
          <w:p w14:paraId="085DBA32" w14:textId="77777777" w:rsidR="004D7F4E" w:rsidRPr="006D7045" w:rsidRDefault="004D7F4E" w:rsidP="004D7F4E">
            <w:pPr>
              <w:spacing w:before="120" w:after="120" w:line="240" w:lineRule="auto"/>
              <w:rPr>
                <w:b/>
                <w:bCs/>
                <w:lang w:val="en-GB"/>
              </w:rPr>
            </w:pPr>
            <w:r w:rsidRPr="006D7045">
              <w:rPr>
                <w:b/>
                <w:bCs/>
                <w:lang w:val="en-GB"/>
              </w:rPr>
              <w:t xml:space="preserve">Request from China to retain frequency assignments for CHINASAT-D-163E in the </w:t>
            </w:r>
            <w:proofErr w:type="gramStart"/>
            <w:r w:rsidRPr="006D7045">
              <w:rPr>
                <w:b/>
                <w:bCs/>
                <w:lang w:val="en-GB"/>
              </w:rPr>
              <w:t>MIFR</w:t>
            </w:r>
            <w:proofErr w:type="gramEnd"/>
          </w:p>
          <w:p w14:paraId="0EBCB6C1" w14:textId="77777777" w:rsidR="004D7F4E" w:rsidRPr="006D7045" w:rsidRDefault="004D7F4E" w:rsidP="004D7F4E">
            <w:pPr>
              <w:spacing w:before="120" w:after="120" w:line="240" w:lineRule="auto"/>
              <w:rPr>
                <w:bCs/>
                <w:lang w:val="en-GB"/>
              </w:rPr>
            </w:pPr>
            <w:r w:rsidRPr="006D7045">
              <w:rPr>
                <w:bCs/>
                <w:lang w:val="en-GB"/>
              </w:rPr>
              <w:t>WRC</w:t>
            </w:r>
            <w:r w:rsidRPr="006D7045">
              <w:rPr>
                <w:bCs/>
                <w:lang w:val="en-GB"/>
              </w:rPr>
              <w:noBreakHyphen/>
              <w:t>23 received a request from China to retain certain specific frequency assignments for the CHINASAT-D-163E satellite network in the Master International Frequency Register (MIFR). This details of case were considered by the Radio Regulations Board (Board) at its 88</w:t>
            </w:r>
            <w:r w:rsidRPr="006D7045">
              <w:rPr>
                <w:bCs/>
                <w:vertAlign w:val="superscript"/>
                <w:lang w:val="en-GB"/>
              </w:rPr>
              <w:t>th</w:t>
            </w:r>
            <w:r w:rsidRPr="006D7045">
              <w:rPr>
                <w:bCs/>
                <w:lang w:val="en-GB"/>
              </w:rPr>
              <w:t xml:space="preserve"> meeting and from the information provided, the Board considered that the Bureau had acted correctly in the application of RR Nos. </w:t>
            </w:r>
            <w:r w:rsidRPr="006D7045">
              <w:rPr>
                <w:b/>
                <w:lang w:val="en-GB"/>
              </w:rPr>
              <w:t>11.44</w:t>
            </w:r>
            <w:r w:rsidRPr="006D7045">
              <w:rPr>
                <w:bCs/>
                <w:lang w:val="en-GB"/>
              </w:rPr>
              <w:t xml:space="preserve">, </w:t>
            </w:r>
            <w:r w:rsidRPr="006D7045">
              <w:rPr>
                <w:b/>
                <w:lang w:val="en-GB"/>
              </w:rPr>
              <w:t>11.44B</w:t>
            </w:r>
            <w:r w:rsidRPr="006D7045">
              <w:rPr>
                <w:bCs/>
                <w:lang w:val="en-GB"/>
              </w:rPr>
              <w:t xml:space="preserve"> and </w:t>
            </w:r>
            <w:r w:rsidRPr="006D7045">
              <w:rPr>
                <w:b/>
                <w:lang w:val="en-GB"/>
              </w:rPr>
              <w:t>11.44B.2</w:t>
            </w:r>
            <w:r w:rsidRPr="006D7045">
              <w:rPr>
                <w:bCs/>
                <w:lang w:val="en-GB"/>
              </w:rPr>
              <w:t>, that the Administration of China had not acted in conformity with RR No. </w:t>
            </w:r>
            <w:r w:rsidRPr="006D7045">
              <w:rPr>
                <w:b/>
                <w:lang w:val="en-GB"/>
              </w:rPr>
              <w:t>11.44B.2</w:t>
            </w:r>
            <w:r w:rsidRPr="006D7045">
              <w:rPr>
                <w:bCs/>
                <w:lang w:val="en-GB"/>
              </w:rPr>
              <w:t xml:space="preserve"> and that the reinstatement of frequency assignments that did not comply with RR No. </w:t>
            </w:r>
            <w:r w:rsidRPr="006D7045">
              <w:rPr>
                <w:b/>
                <w:lang w:val="en-GB"/>
              </w:rPr>
              <w:t>11.44B.2</w:t>
            </w:r>
            <w:r w:rsidRPr="006D7045">
              <w:rPr>
                <w:bCs/>
                <w:lang w:val="en-GB"/>
              </w:rPr>
              <w:t xml:space="preserve"> would be contrary to the WRC-15 decision and the provisions of the Radio Regulations. Consequently, the Board concluded that it could not accede to the request from the Administration of China and instructed the Bureau to suppress the frequency assignments to the CHINASAT-D-163E satellite network from the MIFR, except for the frequency assignments to the CHINASAT-D-163E satellite network in the frequency bands 3 400-4 200 MHz, 5 850-6 725 MHz, 12.250-12.750 GHz and 14.000-14.500 GHz, for which the suppression was to be deferred until the end of WRC-23.</w:t>
            </w:r>
          </w:p>
          <w:p w14:paraId="78BBD27E" w14:textId="77777777" w:rsidR="004D7F4E" w:rsidRPr="006D7045" w:rsidRDefault="004D7F4E" w:rsidP="004D7F4E">
            <w:pPr>
              <w:spacing w:before="120" w:after="120" w:line="240" w:lineRule="auto"/>
            </w:pPr>
            <w:r w:rsidRPr="006D7045">
              <w:t>Document 485 was</w:t>
            </w:r>
            <w:r w:rsidRPr="006D7045">
              <w:rPr>
                <w:b/>
                <w:bCs/>
              </w:rPr>
              <w:t xml:space="preserve"> approved</w:t>
            </w:r>
            <w:r w:rsidRPr="006D7045">
              <w:t>.</w:t>
            </w:r>
          </w:p>
          <w:p w14:paraId="58871772" w14:textId="77777777" w:rsidR="004D7F4E" w:rsidRPr="006D7045" w:rsidRDefault="004D7F4E" w:rsidP="004D7F4E">
            <w:pPr>
              <w:ind w:left="720"/>
            </w:pPr>
            <w:r w:rsidRPr="006D7045">
              <w:t xml:space="preserve">“…  </w:t>
            </w:r>
          </w:p>
          <w:p w14:paraId="519B4B00" w14:textId="77777777" w:rsidR="004D7F4E" w:rsidRPr="006D7045" w:rsidRDefault="004D7F4E" w:rsidP="004D7F4E">
            <w:pPr>
              <w:ind w:left="720"/>
              <w:rPr>
                <w:lang w:val="en-GB" w:eastAsia="en-GB"/>
              </w:rPr>
            </w:pPr>
            <w:r w:rsidRPr="006D7045">
              <w:t xml:space="preserve">From the input proposal to this </w:t>
            </w:r>
            <w:proofErr w:type="gramStart"/>
            <w:r w:rsidRPr="006D7045">
              <w:t>WRC</w:t>
            </w:r>
            <w:proofErr w:type="gramEnd"/>
            <w:r w:rsidRPr="006D7045">
              <w:t xml:space="preserve"> it was recognized that d</w:t>
            </w:r>
            <w:r w:rsidRPr="006D7045">
              <w:rPr>
                <w:lang w:eastAsia="zh-CN"/>
              </w:rPr>
              <w:t>uring the 7-year period of the CHINASAT-D-163E</w:t>
            </w:r>
            <w:r w:rsidRPr="006D7045">
              <w:t xml:space="preserve"> (163° E) </w:t>
            </w:r>
            <w:r w:rsidRPr="006D7045">
              <w:rPr>
                <w:lang w:eastAsia="zh-CN"/>
              </w:rPr>
              <w:t xml:space="preserve">satellite network, </w:t>
            </w:r>
            <w:r w:rsidRPr="006D7045">
              <w:t>China</w:t>
            </w:r>
            <w:r w:rsidRPr="006D7045">
              <w:rPr>
                <w:lang w:eastAsia="zh-CN"/>
              </w:rPr>
              <w:t xml:space="preserve"> submitted information required for advance publication, coordination and notification and the Resolution </w:t>
            </w:r>
            <w:r w:rsidRPr="006D7045">
              <w:rPr>
                <w:b/>
                <w:bCs/>
                <w:lang w:eastAsia="zh-CN"/>
              </w:rPr>
              <w:t>49 (Rev.WRC</w:t>
            </w:r>
            <w:r w:rsidRPr="006D7045">
              <w:rPr>
                <w:b/>
                <w:bCs/>
                <w:lang w:eastAsia="zh-CN"/>
              </w:rPr>
              <w:noBreakHyphen/>
              <w:t xml:space="preserve">19) </w:t>
            </w:r>
            <w:r w:rsidRPr="006D7045">
              <w:rPr>
                <w:lang w:eastAsia="zh-CN"/>
              </w:rPr>
              <w:t xml:space="preserve">information. Within 30 days after the relevant satellites had been </w:t>
            </w:r>
            <w:r w:rsidRPr="006D7045">
              <w:t>in orbit for a continuous period of 90 days</w:t>
            </w:r>
            <w:r w:rsidRPr="006D7045">
              <w:rPr>
                <w:lang w:eastAsia="zh-CN"/>
              </w:rPr>
              <w:t>, the information regarding the bringing into use of the frequency assignments and the Resolution </w:t>
            </w:r>
            <w:r w:rsidRPr="006D7045">
              <w:rPr>
                <w:b/>
                <w:bCs/>
                <w:lang w:eastAsia="zh-CN"/>
              </w:rPr>
              <w:t>40</w:t>
            </w:r>
            <w:r w:rsidRPr="006D7045">
              <w:rPr>
                <w:lang w:eastAsia="zh-CN"/>
              </w:rPr>
              <w:t xml:space="preserve"> </w:t>
            </w:r>
            <w:r w:rsidRPr="006D7045">
              <w:rPr>
                <w:b/>
                <w:bCs/>
                <w:lang w:eastAsia="zh-CN"/>
              </w:rPr>
              <w:t>(Rev.WRC</w:t>
            </w:r>
            <w:r w:rsidRPr="006D7045">
              <w:rPr>
                <w:b/>
                <w:bCs/>
                <w:lang w:eastAsia="zh-CN"/>
              </w:rPr>
              <w:noBreakHyphen/>
              <w:t xml:space="preserve">19) </w:t>
            </w:r>
            <w:r w:rsidRPr="006D7045">
              <w:rPr>
                <w:lang w:eastAsia="zh-CN"/>
              </w:rPr>
              <w:t xml:space="preserve">information </w:t>
            </w:r>
            <w:r w:rsidRPr="006D7045">
              <w:t xml:space="preserve">was notified, </w:t>
            </w:r>
            <w:r w:rsidRPr="006D7045">
              <w:rPr>
                <w:lang w:eastAsia="zh-CN"/>
              </w:rPr>
              <w:t xml:space="preserve">in a timely manner. </w:t>
            </w:r>
            <w:r w:rsidRPr="006D7045">
              <w:rPr>
                <w:lang w:eastAsia="zh-CN"/>
              </w:rPr>
              <w:lastRenderedPageBreak/>
              <w:t xml:space="preserve">However, </w:t>
            </w:r>
            <w:r w:rsidRPr="006D7045">
              <w:t xml:space="preserve">considering that an in-orbit malfunction had occurred requiring the APSTAR-6 satellite to be deorbited a few months before the notification information was submitted, the Board concluded that the suppression of relevant frequency assignments to the </w:t>
            </w:r>
            <w:r w:rsidRPr="006D7045">
              <w:rPr>
                <w:lang w:eastAsia="zh-CN"/>
              </w:rPr>
              <w:t xml:space="preserve">CHINASAT-D-163E </w:t>
            </w:r>
            <w:r w:rsidRPr="006D7045">
              <w:t>satellite network was to be deferred until the end of WRC</w:t>
            </w:r>
            <w:r w:rsidRPr="006D7045">
              <w:noBreakHyphen/>
              <w:t>23.</w:t>
            </w:r>
          </w:p>
          <w:p w14:paraId="4D992FFE" w14:textId="77777777" w:rsidR="004D7F4E" w:rsidRPr="006D7045" w:rsidRDefault="004D7F4E" w:rsidP="004D7F4E">
            <w:pPr>
              <w:ind w:left="720"/>
            </w:pPr>
            <w:r w:rsidRPr="006D7045">
              <w:t>In considering this request, WRC-23 considered that the Board had acted correctly at its 88</w:t>
            </w:r>
            <w:r w:rsidRPr="006D7045">
              <w:rPr>
                <w:vertAlign w:val="superscript"/>
              </w:rPr>
              <w:t>th</w:t>
            </w:r>
            <w:r w:rsidRPr="006D7045">
              <w:t xml:space="preserve"> meeting. In addition, it was recognized that China has made great efforts to complete the required coordination for the satellite networks at 163° E and successfully reached coordination agreements with a number of administrations,</w:t>
            </w:r>
            <w:r w:rsidRPr="006D7045">
              <w:rPr>
                <w:lang w:eastAsia="zh-CN"/>
              </w:rPr>
              <w:t xml:space="preserve"> </w:t>
            </w:r>
            <w:r w:rsidRPr="006D7045">
              <w:t>especially with key satellite networks adjacent to the 163° E orbital slot</w:t>
            </w:r>
            <w:r w:rsidRPr="006D7045">
              <w:rPr>
                <w:lang w:eastAsia="zh-CN"/>
              </w:rPr>
              <w:t xml:space="preserve">, </w:t>
            </w:r>
            <w:r w:rsidRPr="006D7045">
              <w:t>such as satellite networks of the Administrations of Japan, at 162° E, and Australia, at 164° E, with only one degree of orbital separation.</w:t>
            </w:r>
            <w:r w:rsidRPr="006D7045">
              <w:rPr>
                <w:lang w:eastAsia="zh-CN"/>
              </w:rPr>
              <w:t xml:space="preserve"> In addition, it was noted that the </w:t>
            </w:r>
            <w:r w:rsidRPr="006D7045">
              <w:t xml:space="preserve">CHINASAT 19 satellite was successfully launched on </w:t>
            </w:r>
            <w:r w:rsidRPr="006D7045">
              <w:rPr>
                <w:lang w:eastAsia="zh-CN"/>
              </w:rPr>
              <w:t xml:space="preserve">5 November 2022 </w:t>
            </w:r>
            <w:r w:rsidRPr="006D7045">
              <w:t xml:space="preserve">and located around 163° E on </w:t>
            </w:r>
            <w:r w:rsidRPr="006D7045">
              <w:rPr>
                <w:lang w:eastAsia="zh-CN"/>
              </w:rPr>
              <w:t>12 November</w:t>
            </w:r>
            <w:r w:rsidRPr="006D7045">
              <w:t xml:space="preserve">. </w:t>
            </w:r>
            <w:r w:rsidRPr="006D7045">
              <w:rPr>
                <w:lang w:eastAsia="zh-CN"/>
              </w:rPr>
              <w:t xml:space="preserve">The characteristics of the frequency assignments to the CHINASAT-D-163E satellite network have been updated, compared with those already recorded in the Master Register at </w:t>
            </w:r>
            <w:r w:rsidRPr="006D7045">
              <w:t>163° E</w:t>
            </w:r>
            <w:r w:rsidRPr="006D7045">
              <w:rPr>
                <w:lang w:eastAsia="zh-CN"/>
              </w:rPr>
              <w:t>, in order to adapt to and support the next-generation broadband communications satellite CHINASAT 19, and t</w:t>
            </w:r>
            <w:r w:rsidRPr="006D7045">
              <w:t xml:space="preserve">he satellite has been </w:t>
            </w:r>
            <w:r w:rsidRPr="006D7045">
              <w:rPr>
                <w:lang w:eastAsia="zh-CN"/>
              </w:rPr>
              <w:t>in operation after completing in-orbit testing and</w:t>
            </w:r>
            <w:r w:rsidRPr="006D7045">
              <w:t xml:space="preserve"> no difficulties have been indicated by any other administration in respect of coordination or interference with the operation of this satellite.</w:t>
            </w:r>
          </w:p>
          <w:p w14:paraId="08D2F9D2" w14:textId="77777777" w:rsidR="004D7F4E" w:rsidRPr="006D7045" w:rsidRDefault="004D7F4E" w:rsidP="004D7F4E">
            <w:pPr>
              <w:ind w:left="720"/>
              <w:rPr>
                <w:lang w:eastAsia="zh-CN"/>
              </w:rPr>
            </w:pPr>
            <w:r w:rsidRPr="006D7045">
              <w:rPr>
                <w:lang w:eastAsia="zh-CN"/>
              </w:rPr>
              <w:t>Australia raised the issue that some of Australia’s networks may be affected, however, in discussions with China these matters were resolved to the satisfaction of both parties.</w:t>
            </w:r>
          </w:p>
          <w:p w14:paraId="20C698E6" w14:textId="77777777" w:rsidR="004D7F4E" w:rsidRPr="006D7045" w:rsidRDefault="004D7F4E" w:rsidP="004D7F4E">
            <w:pPr>
              <w:ind w:left="720"/>
              <w:rPr>
                <w:lang w:eastAsia="zh-CN"/>
              </w:rPr>
            </w:pPr>
            <w:r w:rsidRPr="006D7045">
              <w:rPr>
                <w:lang w:eastAsia="zh-CN"/>
              </w:rPr>
              <w:t>Other administrations reviewed the matter and expressed support for retention in the MIFR of the CHINASAT-D-163E satellite network.</w:t>
            </w:r>
          </w:p>
          <w:p w14:paraId="542B2E9F" w14:textId="7DE47E73" w:rsidR="004D7F4E" w:rsidRPr="006D7045" w:rsidRDefault="004D7F4E" w:rsidP="004D7F4E">
            <w:pPr>
              <w:tabs>
                <w:tab w:val="left" w:pos="1134"/>
                <w:tab w:val="left" w:pos="1871"/>
                <w:tab w:val="left" w:pos="2268"/>
              </w:tabs>
              <w:ind w:left="720"/>
              <w:rPr>
                <w:lang w:val="en-CA"/>
              </w:rPr>
            </w:pPr>
            <w:r w:rsidRPr="006D7045">
              <w:t xml:space="preserve">Considering </w:t>
            </w:r>
            <w:proofErr w:type="gramStart"/>
            <w:r w:rsidRPr="006D7045">
              <w:t>all of</w:t>
            </w:r>
            <w:proofErr w:type="gramEnd"/>
            <w:r w:rsidRPr="006D7045">
              <w:t xml:space="preserve"> this information, WRC</w:t>
            </w:r>
            <w:r w:rsidRPr="006D7045">
              <w:noBreakHyphen/>
              <w:t xml:space="preserve">23 agreed to the request from China to retain in the MIFR the </w:t>
            </w:r>
            <w:r w:rsidRPr="006D7045">
              <w:rPr>
                <w:lang w:eastAsia="zh-CN"/>
              </w:rPr>
              <w:t>frequency assignments to the CHINASAT-D-163E satellite network in the frequency bands 3 400-4 200 MHz, 5 850-6 725 MHz, 12.25-12.75 GHz and 14-14.5 GHz.</w:t>
            </w:r>
            <w:r w:rsidRPr="006D7045">
              <w:rPr>
                <w:bCs/>
                <w:lang w:val="en-GB"/>
              </w:rPr>
              <w:t>”</w:t>
            </w:r>
          </w:p>
        </w:tc>
      </w:tr>
      <w:tr w:rsidR="004D7F4E" w:rsidRPr="00B20114" w14:paraId="74E9347B" w14:textId="77777777" w:rsidTr="00CE6D50">
        <w:trPr>
          <w:trHeight w:val="1139"/>
        </w:trPr>
        <w:tc>
          <w:tcPr>
            <w:tcW w:w="1838" w:type="dxa"/>
          </w:tcPr>
          <w:p w14:paraId="636207F1" w14:textId="759185AB" w:rsidR="004D7F4E" w:rsidRPr="006D7045" w:rsidRDefault="004D7F4E" w:rsidP="004D7F4E">
            <w:pPr>
              <w:jc w:val="left"/>
              <w:rPr>
                <w:b/>
                <w:lang w:val="en-GB"/>
              </w:rPr>
            </w:pPr>
            <w:r w:rsidRPr="006D7045">
              <w:rPr>
                <w:b/>
                <w:lang w:val="en-GB"/>
              </w:rPr>
              <w:lastRenderedPageBreak/>
              <w:t xml:space="preserve">Document </w:t>
            </w:r>
            <w:hyperlink r:id="rId22" w:history="1">
              <w:r w:rsidRPr="006D7045">
                <w:rPr>
                  <w:rStyle w:val="Hyperlink"/>
                  <w:rFonts w:eastAsia="Times New Roman"/>
                  <w:b/>
                  <w:lang w:val="en-GB"/>
                </w:rPr>
                <w:t xml:space="preserve"> CMR</w:t>
              </w:r>
              <w:r w:rsidRPr="006D7045">
                <w:rPr>
                  <w:rStyle w:val="Hyperlink"/>
                  <w:b/>
                  <w:lang w:val="en-GB"/>
                </w:rPr>
                <w:t>23/526</w:t>
              </w:r>
            </w:hyperlink>
            <w:r w:rsidRPr="006D7045">
              <w:rPr>
                <w:b/>
                <w:lang w:val="en-GB"/>
              </w:rPr>
              <w:t xml:space="preserve"> – Minutes of the </w:t>
            </w:r>
            <w:r w:rsidRPr="006D7045">
              <w:rPr>
                <w:b/>
                <w:lang w:val="en-GB"/>
              </w:rPr>
              <w:lastRenderedPageBreak/>
              <w:t>Eleventh Plenary meeting</w:t>
            </w:r>
          </w:p>
        </w:tc>
        <w:tc>
          <w:tcPr>
            <w:tcW w:w="1733" w:type="dxa"/>
          </w:tcPr>
          <w:p w14:paraId="6AC1EB07" w14:textId="77777777" w:rsidR="004D7F4E" w:rsidRPr="006D7045" w:rsidRDefault="004D7F4E" w:rsidP="004D7F4E">
            <w:pPr>
              <w:spacing w:before="120" w:after="120" w:line="240" w:lineRule="auto"/>
              <w:rPr>
                <w:b/>
              </w:rPr>
            </w:pPr>
            <w:r w:rsidRPr="006D7045">
              <w:rPr>
                <w:b/>
              </w:rPr>
              <w:lastRenderedPageBreak/>
              <w:t>§§ 2.1 and 2.2</w:t>
            </w:r>
          </w:p>
          <w:p w14:paraId="42D7A289" w14:textId="2C6259C4" w:rsidR="004D7F4E" w:rsidRPr="006D7045" w:rsidRDefault="004D7F4E" w:rsidP="004D7F4E">
            <w:pPr>
              <w:spacing w:before="120" w:after="120" w:line="240" w:lineRule="auto"/>
              <w:rPr>
                <w:b/>
              </w:rPr>
            </w:pPr>
            <w:r w:rsidRPr="006D7045">
              <w:rPr>
                <w:b/>
              </w:rPr>
              <w:t xml:space="preserve">Approval of Document </w:t>
            </w:r>
            <w:hyperlink r:id="rId23" w:history="1">
              <w:r w:rsidRPr="006D7045">
                <w:rPr>
                  <w:rStyle w:val="Hyperlink"/>
                  <w:b/>
                </w:rPr>
                <w:t>497</w:t>
              </w:r>
            </w:hyperlink>
          </w:p>
        </w:tc>
        <w:tc>
          <w:tcPr>
            <w:tcW w:w="10712" w:type="dxa"/>
          </w:tcPr>
          <w:p w14:paraId="541A6F19" w14:textId="77777777" w:rsidR="004D7F4E" w:rsidRPr="006D7045" w:rsidRDefault="004D7F4E" w:rsidP="004D7F4E">
            <w:pPr>
              <w:rPr>
                <w:b/>
                <w:bCs/>
              </w:rPr>
            </w:pPr>
            <w:r w:rsidRPr="006D7045">
              <w:rPr>
                <w:b/>
                <w:bCs/>
              </w:rPr>
              <w:t>Best practices for ITU-R studies relevant to WRC agenda items</w:t>
            </w:r>
          </w:p>
          <w:p w14:paraId="1524E315" w14:textId="77777777" w:rsidR="004D7F4E" w:rsidRPr="006D7045" w:rsidRDefault="004D7F4E" w:rsidP="004D7F4E">
            <w:pPr>
              <w:pStyle w:val="Headingb"/>
              <w:spacing w:before="120" w:after="120"/>
              <w:ind w:left="14" w:hanging="14"/>
              <w:rPr>
                <w:b w:val="0"/>
                <w:bCs/>
              </w:rPr>
            </w:pPr>
            <w:r w:rsidRPr="006D7045">
              <w:rPr>
                <w:b w:val="0"/>
                <w:bCs/>
              </w:rPr>
              <w:lastRenderedPageBreak/>
              <w:t xml:space="preserve">WRC-23 </w:t>
            </w:r>
            <w:r w:rsidRPr="006D7045">
              <w:rPr>
                <w:b w:val="0"/>
                <w:bCs/>
                <w:i/>
                <w:iCs/>
              </w:rPr>
              <w:t>considered</w:t>
            </w:r>
            <w:r w:rsidRPr="006D7045">
              <w:rPr>
                <w:b w:val="0"/>
                <w:bCs/>
              </w:rPr>
              <w:t>:</w:t>
            </w:r>
          </w:p>
          <w:p w14:paraId="43285DAB" w14:textId="77777777" w:rsidR="004D7F4E" w:rsidRPr="006D7045" w:rsidRDefault="004D7F4E" w:rsidP="004D7F4E">
            <w:pPr>
              <w:pStyle w:val="Headingb"/>
              <w:spacing w:before="120" w:after="120"/>
              <w:ind w:left="14" w:hanging="14"/>
              <w:rPr>
                <w:b w:val="0"/>
                <w:bCs/>
              </w:rPr>
            </w:pPr>
            <w:r w:rsidRPr="006D7045">
              <w:rPr>
                <w:b w:val="0"/>
                <w:bCs/>
              </w:rPr>
              <w:t>a)</w:t>
            </w:r>
            <w:r w:rsidRPr="006D7045">
              <w:rPr>
                <w:b w:val="0"/>
                <w:bCs/>
              </w:rPr>
              <w:tab/>
              <w:t xml:space="preserve">that it is necessary to have agreed sharing and compatibility assumptions, protection criteria, sharing scenarios and methodology process at an early stage of ITU Radiocommunication Sector (ITU-R) studies relevant to world radiocommunication conference (WRC) agenda items in order to initiate such ITU-R </w:t>
            </w:r>
            <w:proofErr w:type="gramStart"/>
            <w:r w:rsidRPr="006D7045">
              <w:rPr>
                <w:b w:val="0"/>
                <w:bCs/>
              </w:rPr>
              <w:t>studies;</w:t>
            </w:r>
            <w:proofErr w:type="gramEnd"/>
          </w:p>
          <w:p w14:paraId="7E9E3612" w14:textId="77777777" w:rsidR="004D7F4E" w:rsidRPr="006D7045" w:rsidRDefault="004D7F4E" w:rsidP="004D7F4E">
            <w:pPr>
              <w:pStyle w:val="Headingb"/>
              <w:spacing w:before="120" w:after="120"/>
              <w:ind w:left="14" w:hanging="14"/>
              <w:rPr>
                <w:b w:val="0"/>
                <w:bCs/>
              </w:rPr>
            </w:pPr>
            <w:r w:rsidRPr="006D7045">
              <w:rPr>
                <w:b w:val="0"/>
                <w:bCs/>
              </w:rPr>
              <w:t>b)</w:t>
            </w:r>
            <w:r w:rsidRPr="006D7045">
              <w:rPr>
                <w:b w:val="0"/>
                <w:bCs/>
              </w:rPr>
              <w:tab/>
              <w:t xml:space="preserve">that ITU-R studies on sharing and compatibility relevant to WRC agenda items using different assumptions and input parameters may lead to divergent </w:t>
            </w:r>
            <w:proofErr w:type="gramStart"/>
            <w:r w:rsidRPr="006D7045">
              <w:rPr>
                <w:b w:val="0"/>
                <w:bCs/>
              </w:rPr>
              <w:t>results;</w:t>
            </w:r>
            <w:proofErr w:type="gramEnd"/>
          </w:p>
          <w:p w14:paraId="168D3F49" w14:textId="77777777" w:rsidR="004D7F4E" w:rsidRPr="006D7045" w:rsidRDefault="004D7F4E" w:rsidP="004D7F4E">
            <w:pPr>
              <w:pStyle w:val="Headingb"/>
              <w:spacing w:before="120" w:after="120"/>
              <w:ind w:left="14" w:hanging="14"/>
              <w:rPr>
                <w:b w:val="0"/>
                <w:bCs/>
              </w:rPr>
            </w:pPr>
            <w:r w:rsidRPr="006D7045">
              <w:rPr>
                <w:b w:val="0"/>
                <w:bCs/>
              </w:rPr>
              <w:t>c)</w:t>
            </w:r>
            <w:r w:rsidRPr="006D7045">
              <w:rPr>
                <w:b w:val="0"/>
                <w:bCs/>
              </w:rPr>
              <w:tab/>
              <w:t xml:space="preserve">that it is difficult or impractical for ITU-R working parties or task groups responsible for preparing the ITU-R studies relevant to WRC agenda items to properly reflect results of such studies in regard to methods to satisfy the agenda items of </w:t>
            </w:r>
            <w:proofErr w:type="gramStart"/>
            <w:r w:rsidRPr="006D7045">
              <w:rPr>
                <w:b w:val="0"/>
                <w:bCs/>
              </w:rPr>
              <w:t>WRCs;</w:t>
            </w:r>
            <w:proofErr w:type="gramEnd"/>
          </w:p>
          <w:p w14:paraId="43C198FA" w14:textId="77777777" w:rsidR="004D7F4E" w:rsidRPr="006D7045" w:rsidRDefault="004D7F4E" w:rsidP="004D7F4E">
            <w:pPr>
              <w:pStyle w:val="Headingb"/>
              <w:spacing w:before="120" w:after="120"/>
              <w:ind w:left="14" w:hanging="14"/>
              <w:rPr>
                <w:b w:val="0"/>
                <w:bCs/>
              </w:rPr>
            </w:pPr>
            <w:r w:rsidRPr="006D7045">
              <w:rPr>
                <w:b w:val="0"/>
                <w:bCs/>
              </w:rPr>
              <w:t>d)</w:t>
            </w:r>
            <w:r w:rsidRPr="006D7045">
              <w:rPr>
                <w:b w:val="0"/>
                <w:bCs/>
              </w:rPr>
              <w:tab/>
              <w:t xml:space="preserve">that it is beneficial to </w:t>
            </w:r>
            <w:proofErr w:type="gramStart"/>
            <w:r w:rsidRPr="006D7045">
              <w:rPr>
                <w:b w:val="0"/>
                <w:bCs/>
              </w:rPr>
              <w:t>take into account</w:t>
            </w:r>
            <w:proofErr w:type="gramEnd"/>
            <w:r w:rsidRPr="006D7045">
              <w:rPr>
                <w:b w:val="0"/>
                <w:bCs/>
              </w:rPr>
              <w:t xml:space="preserve"> any sharing and compatibility studies carried out in previous cycles, to avoid repeating studies previously performed,</w:t>
            </w:r>
          </w:p>
          <w:p w14:paraId="75169744" w14:textId="77777777" w:rsidR="004D7F4E" w:rsidRPr="006D7045" w:rsidRDefault="004D7F4E" w:rsidP="004D7F4E">
            <w:pPr>
              <w:pStyle w:val="Headingb"/>
              <w:spacing w:before="120" w:after="120"/>
              <w:ind w:left="734" w:hanging="14"/>
              <w:rPr>
                <w:b w:val="0"/>
                <w:bCs/>
                <w:i/>
                <w:iCs/>
              </w:rPr>
            </w:pPr>
            <w:r w:rsidRPr="006D7045">
              <w:rPr>
                <w:b w:val="0"/>
                <w:bCs/>
                <w:i/>
                <w:iCs/>
              </w:rPr>
              <w:t xml:space="preserve">and decided to instruct the Director of the Radiocommunication Bureau </w:t>
            </w:r>
          </w:p>
          <w:p w14:paraId="7EB613D8" w14:textId="77777777" w:rsidR="004D7F4E" w:rsidRPr="006D7045" w:rsidRDefault="004D7F4E" w:rsidP="004D7F4E">
            <w:pPr>
              <w:pStyle w:val="Headingb"/>
              <w:spacing w:before="120" w:after="120"/>
              <w:ind w:left="14" w:hanging="14"/>
              <w:rPr>
                <w:b w:val="0"/>
                <w:bCs/>
              </w:rPr>
            </w:pPr>
            <w:r w:rsidRPr="006D7045">
              <w:rPr>
                <w:b w:val="0"/>
                <w:bCs/>
              </w:rPr>
              <w:t>to bring the following best practices to the attention of the first session of the Conference Preparatory Meeting (CPM), ITU-R working parties that are either responsible for or contributing to studies relevant to WRC agenda items, and the next Radiocommunication Assembly for its work on Resolution ITU-R 2:</w:t>
            </w:r>
          </w:p>
          <w:p w14:paraId="2A244752" w14:textId="77777777" w:rsidR="004D7F4E" w:rsidRPr="006D7045" w:rsidRDefault="004D7F4E" w:rsidP="004D7F4E">
            <w:pPr>
              <w:pStyle w:val="Headingb"/>
              <w:spacing w:before="120" w:after="120"/>
              <w:ind w:left="14" w:hanging="14"/>
              <w:rPr>
                <w:b w:val="0"/>
                <w:bCs/>
              </w:rPr>
            </w:pPr>
            <w:r w:rsidRPr="006D7045">
              <w:rPr>
                <w:b w:val="0"/>
                <w:bCs/>
              </w:rPr>
              <w:t>1</w:t>
            </w:r>
            <w:r w:rsidRPr="006D7045">
              <w:rPr>
                <w:b w:val="0"/>
                <w:bCs/>
              </w:rPr>
              <w:tab/>
              <w:t xml:space="preserve">to define (by the CPM or responsible group, as appropriate) the date by which ITU-R contributing groups should provide technical and operational characteristics and any associated protection criteria needed relevant to </w:t>
            </w:r>
            <w:r w:rsidRPr="006D7045">
              <w:rPr>
                <w:b w:val="0"/>
                <w:bCs/>
              </w:rPr>
              <w:lastRenderedPageBreak/>
              <w:t xml:space="preserve">their incumbent services to be used for sharing and compatibility studies requested by resolves parts of supporting resolutions of a WRC agenda item at their initial meetings of the WRC study </w:t>
            </w:r>
            <w:proofErr w:type="gramStart"/>
            <w:r w:rsidRPr="006D7045">
              <w:rPr>
                <w:b w:val="0"/>
                <w:bCs/>
              </w:rPr>
              <w:t>cycle;</w:t>
            </w:r>
            <w:proofErr w:type="gramEnd"/>
          </w:p>
          <w:p w14:paraId="4CD0E663" w14:textId="77777777" w:rsidR="004D7F4E" w:rsidRPr="006D7045" w:rsidRDefault="004D7F4E" w:rsidP="004D7F4E">
            <w:pPr>
              <w:pStyle w:val="Headingb"/>
              <w:spacing w:before="120" w:after="120"/>
              <w:ind w:left="14" w:hanging="14"/>
              <w:rPr>
                <w:b w:val="0"/>
                <w:bCs/>
              </w:rPr>
            </w:pPr>
            <w:r w:rsidRPr="006D7045">
              <w:rPr>
                <w:b w:val="0"/>
                <w:bCs/>
              </w:rPr>
              <w:t>2</w:t>
            </w:r>
            <w:r w:rsidRPr="006D7045">
              <w:rPr>
                <w:b w:val="0"/>
                <w:bCs/>
              </w:rPr>
              <w:tab/>
              <w:t xml:space="preserve">to define the date by which the responsible ITU-R group should agree on a methodology for conducting sharing studies defining the input parameters and modelling scenarios to be </w:t>
            </w:r>
            <w:proofErr w:type="gramStart"/>
            <w:r w:rsidRPr="006D7045">
              <w:rPr>
                <w:b w:val="0"/>
                <w:bCs/>
              </w:rPr>
              <w:t>utilized;</w:t>
            </w:r>
            <w:proofErr w:type="gramEnd"/>
          </w:p>
          <w:p w14:paraId="05233664" w14:textId="77777777" w:rsidR="004D7F4E" w:rsidRPr="006D7045" w:rsidRDefault="004D7F4E" w:rsidP="004D7F4E">
            <w:pPr>
              <w:pStyle w:val="Headingb"/>
              <w:spacing w:before="120" w:after="120"/>
              <w:ind w:left="14" w:hanging="14"/>
              <w:rPr>
                <w:b w:val="0"/>
                <w:bCs/>
              </w:rPr>
            </w:pPr>
            <w:r w:rsidRPr="006D7045">
              <w:rPr>
                <w:b w:val="0"/>
                <w:bCs/>
              </w:rPr>
              <w:t>3</w:t>
            </w:r>
            <w:r w:rsidRPr="006D7045">
              <w:rPr>
                <w:b w:val="0"/>
                <w:bCs/>
              </w:rPr>
              <w:tab/>
              <w:t xml:space="preserve">to set to the fullest extent possible within the responsible ITU-R group the criteria, assumptions, sharing methodologies and simulation processes to be used for sharing and compatibility </w:t>
            </w:r>
            <w:proofErr w:type="gramStart"/>
            <w:r w:rsidRPr="006D7045">
              <w:rPr>
                <w:b w:val="0"/>
                <w:bCs/>
              </w:rPr>
              <w:t>studies;</w:t>
            </w:r>
            <w:proofErr w:type="gramEnd"/>
          </w:p>
          <w:p w14:paraId="32EA4650" w14:textId="77777777" w:rsidR="004D7F4E" w:rsidRPr="006D7045" w:rsidRDefault="004D7F4E" w:rsidP="004D7F4E">
            <w:pPr>
              <w:pStyle w:val="Headingb"/>
              <w:spacing w:before="120" w:after="120"/>
              <w:ind w:left="14" w:hanging="14"/>
              <w:rPr>
                <w:b w:val="0"/>
                <w:bCs/>
              </w:rPr>
            </w:pPr>
            <w:r w:rsidRPr="006D7045">
              <w:rPr>
                <w:b w:val="0"/>
                <w:bCs/>
              </w:rPr>
              <w:t>4</w:t>
            </w:r>
            <w:r w:rsidRPr="006D7045">
              <w:rPr>
                <w:b w:val="0"/>
                <w:bCs/>
              </w:rPr>
              <w:tab/>
              <w:t xml:space="preserve">to ensure that the ITU-R studies relevant to WRC agenda items are based on ITU-R Recommendations in force, input contributions and real-world measurements where feasible, evaluate realistic sharing scenarios and use real-system values and refer to best </w:t>
            </w:r>
            <w:proofErr w:type="gramStart"/>
            <w:r w:rsidRPr="006D7045">
              <w:rPr>
                <w:b w:val="0"/>
                <w:bCs/>
              </w:rPr>
              <w:t>practices;</w:t>
            </w:r>
            <w:proofErr w:type="gramEnd"/>
          </w:p>
          <w:p w14:paraId="65833084" w14:textId="60983670" w:rsidR="004D7F4E" w:rsidRPr="006D7045" w:rsidRDefault="004D7F4E" w:rsidP="004D7F4E">
            <w:pPr>
              <w:spacing w:before="120" w:after="120" w:line="240" w:lineRule="auto"/>
              <w:rPr>
                <w:b/>
                <w:bCs/>
                <w:lang w:val="en-GB"/>
              </w:rPr>
            </w:pPr>
            <w:r w:rsidRPr="006D7045">
              <w:rPr>
                <w:bCs/>
              </w:rPr>
              <w:t>5</w:t>
            </w:r>
            <w:r w:rsidRPr="006D7045">
              <w:rPr>
                <w:bCs/>
              </w:rPr>
              <w:tab/>
              <w:t xml:space="preserve">to respect the established deadlines, to the extent possible, </w:t>
            </w:r>
            <w:proofErr w:type="gramStart"/>
            <w:r w:rsidRPr="006D7045">
              <w:rPr>
                <w:bCs/>
              </w:rPr>
              <w:t>in order to</w:t>
            </w:r>
            <w:proofErr w:type="gramEnd"/>
            <w:r w:rsidRPr="006D7045">
              <w:rPr>
                <w:bCs/>
              </w:rPr>
              <w:t xml:space="preserve"> facilitate the development of sharing and compatibility studies relevant to WRC agenda items, given the need to have sufficient time to perform studies using agreed parameters and methodology.</w:t>
            </w:r>
          </w:p>
        </w:tc>
      </w:tr>
      <w:tr w:rsidR="004D7F4E" w:rsidRPr="00B20114" w14:paraId="2C04B3E9" w14:textId="77777777" w:rsidTr="00CE6D50">
        <w:trPr>
          <w:trHeight w:val="1139"/>
        </w:trPr>
        <w:tc>
          <w:tcPr>
            <w:tcW w:w="1838" w:type="dxa"/>
          </w:tcPr>
          <w:p w14:paraId="0910A8D1" w14:textId="0AAAFF90" w:rsidR="004D7F4E" w:rsidRPr="006D7045" w:rsidRDefault="004D7F4E" w:rsidP="004D7F4E">
            <w:pPr>
              <w:jc w:val="left"/>
              <w:rPr>
                <w:b/>
                <w:lang w:val="en-GB"/>
              </w:rPr>
            </w:pPr>
            <w:r w:rsidRPr="006D7045">
              <w:rPr>
                <w:b/>
                <w:lang w:val="en-GB"/>
              </w:rPr>
              <w:lastRenderedPageBreak/>
              <w:t xml:space="preserve">Document </w:t>
            </w:r>
            <w:hyperlink r:id="rId24" w:history="1">
              <w:r w:rsidRPr="006D7045">
                <w:rPr>
                  <w:rStyle w:val="Hyperlink"/>
                  <w:rFonts w:eastAsia="Times New Roman"/>
                  <w:b/>
                  <w:lang w:val="en-GB"/>
                </w:rPr>
                <w:t xml:space="preserve"> CMR</w:t>
              </w:r>
              <w:r w:rsidRPr="006D7045">
                <w:rPr>
                  <w:rStyle w:val="Hyperlink"/>
                  <w:b/>
                  <w:lang w:val="en-GB"/>
                </w:rPr>
                <w:t>23/526</w:t>
              </w:r>
            </w:hyperlink>
            <w:r w:rsidRPr="006D7045">
              <w:rPr>
                <w:b/>
                <w:lang w:val="en-GB"/>
              </w:rPr>
              <w:t xml:space="preserve"> – Minutes of the Eleventh Plenary meeting</w:t>
            </w:r>
          </w:p>
        </w:tc>
        <w:tc>
          <w:tcPr>
            <w:tcW w:w="1733" w:type="dxa"/>
          </w:tcPr>
          <w:p w14:paraId="5D1ADCDA" w14:textId="77777777" w:rsidR="004D7F4E" w:rsidRPr="006D7045" w:rsidRDefault="004D7F4E" w:rsidP="004D7F4E">
            <w:pPr>
              <w:spacing w:before="120" w:after="120" w:line="240" w:lineRule="auto"/>
              <w:rPr>
                <w:b/>
              </w:rPr>
            </w:pPr>
            <w:r w:rsidRPr="006D7045">
              <w:rPr>
                <w:b/>
              </w:rPr>
              <w:t>§§ 2.1 and 2.2</w:t>
            </w:r>
          </w:p>
          <w:p w14:paraId="5F28FCD7" w14:textId="6A97711B" w:rsidR="004D7F4E" w:rsidRPr="006D7045" w:rsidRDefault="004D7F4E" w:rsidP="004D7F4E">
            <w:pPr>
              <w:spacing w:before="120" w:after="120" w:line="240" w:lineRule="auto"/>
              <w:rPr>
                <w:b/>
              </w:rPr>
            </w:pPr>
            <w:r w:rsidRPr="006D7045">
              <w:rPr>
                <w:b/>
              </w:rPr>
              <w:t xml:space="preserve">Approval of Document </w:t>
            </w:r>
            <w:hyperlink r:id="rId25" w:history="1">
              <w:r w:rsidRPr="006D7045">
                <w:rPr>
                  <w:rStyle w:val="Hyperlink"/>
                  <w:b/>
                </w:rPr>
                <w:t>497</w:t>
              </w:r>
            </w:hyperlink>
          </w:p>
        </w:tc>
        <w:tc>
          <w:tcPr>
            <w:tcW w:w="10712" w:type="dxa"/>
          </w:tcPr>
          <w:p w14:paraId="4EDB17D0" w14:textId="77777777" w:rsidR="004D7F4E" w:rsidRPr="006D7045" w:rsidRDefault="004D7F4E" w:rsidP="004D7F4E">
            <w:pPr>
              <w:rPr>
                <w:b/>
                <w:bCs/>
              </w:rPr>
            </w:pPr>
            <w:r w:rsidRPr="006D7045">
              <w:rPr>
                <w:b/>
                <w:bCs/>
              </w:rPr>
              <w:t>Implementation of RA-23 Resolution ITU-R 74</w:t>
            </w:r>
          </w:p>
          <w:p w14:paraId="4278B6AC" w14:textId="462D5BD5" w:rsidR="004D7F4E" w:rsidRPr="006D7045" w:rsidRDefault="004D7F4E" w:rsidP="004D7F4E">
            <w:pPr>
              <w:rPr>
                <w:b/>
                <w:bCs/>
              </w:rPr>
            </w:pPr>
            <w:r w:rsidRPr="006D7045">
              <w:rPr>
                <w:bCs/>
                <w:lang w:val="en-GB"/>
              </w:rPr>
              <w:t>WRC-23 invites Member States to actively participate in the implementation of Resolution ITU</w:t>
            </w:r>
            <w:r w:rsidRPr="006D7045">
              <w:rPr>
                <w:bCs/>
                <w:lang w:val="en-GB"/>
              </w:rPr>
              <w:noBreakHyphen/>
              <w:t xml:space="preserve">R 74 (RA-23) by submitting contributions to concerned ITU-R study groups and supporting associated technical activities to ensure the rational, equitable, </w:t>
            </w:r>
            <w:proofErr w:type="gramStart"/>
            <w:r w:rsidRPr="006D7045">
              <w:rPr>
                <w:bCs/>
                <w:lang w:val="en-GB"/>
              </w:rPr>
              <w:t>efficient</w:t>
            </w:r>
            <w:proofErr w:type="gramEnd"/>
            <w:r w:rsidRPr="006D7045">
              <w:rPr>
                <w:bCs/>
                <w:lang w:val="en-GB"/>
              </w:rPr>
              <w:t xml:space="preserve"> and economical use of the radio-frequency spectrum and associated orbit resources, with a focus on non-GSO satellite systems including the compatibility among systems.</w:t>
            </w:r>
          </w:p>
        </w:tc>
      </w:tr>
      <w:tr w:rsidR="004D7F4E" w:rsidRPr="00B20114" w14:paraId="267ACD68" w14:textId="77777777" w:rsidTr="00CE6D50">
        <w:trPr>
          <w:trHeight w:val="1139"/>
        </w:trPr>
        <w:tc>
          <w:tcPr>
            <w:tcW w:w="1838" w:type="dxa"/>
          </w:tcPr>
          <w:p w14:paraId="39D3F81F" w14:textId="69C1CAB6" w:rsidR="004D7F4E" w:rsidRPr="006D7045" w:rsidRDefault="004D7F4E" w:rsidP="004D7F4E">
            <w:pPr>
              <w:jc w:val="left"/>
              <w:rPr>
                <w:b/>
                <w:lang w:val="en-GB"/>
              </w:rPr>
            </w:pPr>
            <w:r w:rsidRPr="006D7045">
              <w:rPr>
                <w:b/>
                <w:lang w:val="en-GB"/>
              </w:rPr>
              <w:t xml:space="preserve">Document </w:t>
            </w:r>
            <w:hyperlink r:id="rId26" w:history="1">
              <w:r w:rsidRPr="006D7045">
                <w:rPr>
                  <w:rStyle w:val="Hyperlink"/>
                  <w:rFonts w:eastAsia="Times New Roman"/>
                  <w:b/>
                  <w:lang w:val="en-GB"/>
                </w:rPr>
                <w:t xml:space="preserve"> CMR</w:t>
              </w:r>
              <w:r w:rsidRPr="006D7045">
                <w:rPr>
                  <w:rStyle w:val="Hyperlink"/>
                  <w:b/>
                  <w:lang w:val="en-GB"/>
                </w:rPr>
                <w:t>23/526</w:t>
              </w:r>
            </w:hyperlink>
            <w:r w:rsidRPr="006D7045">
              <w:rPr>
                <w:b/>
                <w:lang w:val="en-GB"/>
              </w:rPr>
              <w:t xml:space="preserve"> – Minutes of the Eleventh Plenary meeting</w:t>
            </w:r>
          </w:p>
        </w:tc>
        <w:tc>
          <w:tcPr>
            <w:tcW w:w="1733" w:type="dxa"/>
          </w:tcPr>
          <w:p w14:paraId="4A8A86E7" w14:textId="77777777" w:rsidR="004D7F4E" w:rsidRPr="006D7045" w:rsidRDefault="004D7F4E" w:rsidP="004D7F4E">
            <w:pPr>
              <w:spacing w:before="120" w:after="120" w:line="240" w:lineRule="auto"/>
              <w:rPr>
                <w:b/>
              </w:rPr>
            </w:pPr>
            <w:r w:rsidRPr="006D7045">
              <w:rPr>
                <w:b/>
              </w:rPr>
              <w:t>§§ 2.1 and 2.2</w:t>
            </w:r>
          </w:p>
          <w:p w14:paraId="13E28486" w14:textId="3F661D24" w:rsidR="004D7F4E" w:rsidRPr="006D7045" w:rsidRDefault="004D7F4E" w:rsidP="004D7F4E">
            <w:pPr>
              <w:spacing w:before="120" w:after="120" w:line="240" w:lineRule="auto"/>
              <w:rPr>
                <w:b/>
              </w:rPr>
            </w:pPr>
            <w:r w:rsidRPr="006D7045">
              <w:rPr>
                <w:b/>
              </w:rPr>
              <w:t xml:space="preserve">Approval of Document </w:t>
            </w:r>
            <w:hyperlink r:id="rId27" w:history="1">
              <w:r w:rsidRPr="006D7045">
                <w:rPr>
                  <w:rStyle w:val="Hyperlink"/>
                  <w:b/>
                </w:rPr>
                <w:t>497</w:t>
              </w:r>
            </w:hyperlink>
          </w:p>
        </w:tc>
        <w:tc>
          <w:tcPr>
            <w:tcW w:w="10712" w:type="dxa"/>
          </w:tcPr>
          <w:p w14:paraId="4B78C405" w14:textId="77777777" w:rsidR="004D7F4E" w:rsidRPr="006D7045" w:rsidRDefault="004D7F4E" w:rsidP="004D7F4E">
            <w:pPr>
              <w:rPr>
                <w:b/>
                <w:bCs/>
              </w:rPr>
            </w:pPr>
            <w:r w:rsidRPr="006D7045">
              <w:rPr>
                <w:b/>
                <w:bCs/>
              </w:rPr>
              <w:t xml:space="preserve">Technical studies on </w:t>
            </w:r>
            <w:proofErr w:type="spellStart"/>
            <w:r w:rsidRPr="006D7045">
              <w:rPr>
                <w:b/>
                <w:bCs/>
              </w:rPr>
              <w:t>epfd</w:t>
            </w:r>
            <w:proofErr w:type="spellEnd"/>
            <w:r w:rsidRPr="006D7045">
              <w:rPr>
                <w:b/>
                <w:bCs/>
              </w:rPr>
              <w:t xml:space="preserve"> limits for the continued protection of GSO FSS and BSS networks</w:t>
            </w:r>
          </w:p>
          <w:p w14:paraId="7402B230" w14:textId="7304DAC4" w:rsidR="004D7F4E" w:rsidRPr="006D7045" w:rsidRDefault="004D7F4E" w:rsidP="004D7F4E">
            <w:pPr>
              <w:rPr>
                <w:b/>
                <w:bCs/>
              </w:rPr>
            </w:pPr>
            <w:r w:rsidRPr="006D7045">
              <w:rPr>
                <w:bCs/>
              </w:rPr>
              <w:t xml:space="preserve">WRC-23 invites ITU-R to conduct technical studies on the </w:t>
            </w:r>
            <w:proofErr w:type="spellStart"/>
            <w:r w:rsidRPr="006D7045">
              <w:rPr>
                <w:bCs/>
              </w:rPr>
              <w:t>epfd</w:t>
            </w:r>
            <w:proofErr w:type="spellEnd"/>
            <w:r w:rsidRPr="006D7045">
              <w:rPr>
                <w:bCs/>
              </w:rPr>
              <w:t xml:space="preserve"> limits in Article </w:t>
            </w:r>
            <w:r w:rsidRPr="006D7045">
              <w:rPr>
                <w:b/>
              </w:rPr>
              <w:t>22</w:t>
            </w:r>
            <w:r w:rsidRPr="006D7045">
              <w:rPr>
                <w:bCs/>
              </w:rPr>
              <w:t xml:space="preserve">, including the </w:t>
            </w:r>
            <w:proofErr w:type="spellStart"/>
            <w:r w:rsidRPr="006D7045">
              <w:rPr>
                <w:bCs/>
              </w:rPr>
              <w:t>epfd</w:t>
            </w:r>
            <w:proofErr w:type="spellEnd"/>
            <w:r w:rsidRPr="006D7045">
              <w:rPr>
                <w:bCs/>
              </w:rPr>
              <w:t xml:space="preserve"> limits referred to in No. </w:t>
            </w:r>
            <w:r w:rsidRPr="006D7045">
              <w:rPr>
                <w:b/>
              </w:rPr>
              <w:t>22.5K</w:t>
            </w:r>
            <w:r w:rsidRPr="006D7045">
              <w:rPr>
                <w:bCs/>
              </w:rPr>
              <w:t xml:space="preserve">, </w:t>
            </w:r>
            <w:proofErr w:type="gramStart"/>
            <w:r w:rsidRPr="006D7045">
              <w:rPr>
                <w:bCs/>
              </w:rPr>
              <w:t>in order to</w:t>
            </w:r>
            <w:proofErr w:type="gramEnd"/>
            <w:r w:rsidRPr="006D7045">
              <w:rPr>
                <w:bCs/>
              </w:rPr>
              <w:t xml:space="preserve"> ensure the continued protection of GSO FSS and BSS networks, and to inform WRC-27 of the results of the studies, without any regulatory consequences. This work should not be submitted under Agenda Item 9.1.</w:t>
            </w:r>
          </w:p>
        </w:tc>
      </w:tr>
      <w:tr w:rsidR="004D7F4E" w:rsidRPr="00B20114" w14:paraId="0D75B39D" w14:textId="77777777" w:rsidTr="00CE6D50">
        <w:trPr>
          <w:trHeight w:val="1139"/>
        </w:trPr>
        <w:tc>
          <w:tcPr>
            <w:tcW w:w="1838" w:type="dxa"/>
          </w:tcPr>
          <w:p w14:paraId="2D14D714" w14:textId="0C4E7E79" w:rsidR="004D7F4E" w:rsidRPr="00527F8E" w:rsidRDefault="004D7F4E" w:rsidP="004D7F4E">
            <w:pPr>
              <w:jc w:val="left"/>
              <w:rPr>
                <w:b/>
              </w:rPr>
            </w:pPr>
            <w:r w:rsidRPr="00527F8E">
              <w:rPr>
                <w:b/>
              </w:rPr>
              <w:lastRenderedPageBreak/>
              <w:t xml:space="preserve">Document </w:t>
            </w:r>
            <w:hyperlink r:id="rId28" w:history="1">
              <w:r w:rsidRPr="00527F8E">
                <w:rPr>
                  <w:rFonts w:eastAsia="Calibri" w:cs="Times"/>
                  <w:b/>
                  <w:bCs/>
                  <w:color w:val="0563C1"/>
                  <w:kern w:val="2"/>
                  <w:u w:val="single"/>
                  <w:lang w:val="en-GB"/>
                  <w14:ligatures w14:val="standardContextual"/>
                </w:rPr>
                <w:t>CMR2</w:t>
              </w:r>
              <w:r w:rsidRPr="00527F8E">
                <w:rPr>
                  <w:rFonts w:eastAsia="Calibri" w:cs="Times New Roman"/>
                  <w:b/>
                  <w:bCs/>
                  <w:color w:val="0563C1"/>
                  <w:kern w:val="2"/>
                  <w:u w:val="single"/>
                  <w:lang w:val="en-GB"/>
                  <w14:ligatures w14:val="standardContextual"/>
                </w:rPr>
                <w:t>3</w:t>
              </w:r>
              <w:r w:rsidRPr="00527F8E">
                <w:rPr>
                  <w:rFonts w:eastAsia="Calibri" w:cs="Times"/>
                  <w:b/>
                  <w:bCs/>
                  <w:color w:val="0563C1"/>
                  <w:kern w:val="2"/>
                  <w:u w:val="single"/>
                  <w:lang w:val="en-GB"/>
                  <w14:ligatures w14:val="standardContextual"/>
                </w:rPr>
                <w:t>/527</w:t>
              </w:r>
            </w:hyperlink>
            <w:r>
              <w:rPr>
                <w:rFonts w:eastAsia="Calibri" w:cs="Times"/>
                <w:b/>
                <w:bCs/>
                <w:color w:val="0563C1"/>
                <w:kern w:val="2"/>
                <w:u w:val="single"/>
                <w:lang w:val="en-GB"/>
                <w14:ligatures w14:val="standardContextual"/>
              </w:rPr>
              <w:t xml:space="preserve"> </w:t>
            </w:r>
            <w:r w:rsidRPr="00527F8E">
              <w:rPr>
                <w:b/>
              </w:rPr>
              <w:t>– Minutes of the twelfth Plenary meeting</w:t>
            </w:r>
          </w:p>
        </w:tc>
        <w:tc>
          <w:tcPr>
            <w:tcW w:w="1733" w:type="dxa"/>
          </w:tcPr>
          <w:p w14:paraId="2B50C90D" w14:textId="77777777" w:rsidR="004D7F4E" w:rsidRPr="00527F8E" w:rsidRDefault="004D7F4E" w:rsidP="004D7F4E">
            <w:pPr>
              <w:jc w:val="left"/>
              <w:rPr>
                <w:rFonts w:cs="Times"/>
                <w:b/>
              </w:rPr>
            </w:pPr>
            <w:r w:rsidRPr="00527F8E">
              <w:rPr>
                <w:rFonts w:cs="Times"/>
                <w:b/>
              </w:rPr>
              <w:t xml:space="preserve">§§ 2.1 and 2.2 </w:t>
            </w:r>
          </w:p>
          <w:p w14:paraId="7B965C2D" w14:textId="519193B7" w:rsidR="004D7F4E" w:rsidRPr="00527F8E" w:rsidRDefault="004D7F4E" w:rsidP="004D7F4E">
            <w:pPr>
              <w:jc w:val="left"/>
              <w:rPr>
                <w:rFonts w:cs="Times"/>
                <w:b/>
              </w:rPr>
            </w:pPr>
            <w:r w:rsidRPr="00527F8E">
              <w:rPr>
                <w:rFonts w:cs="Times"/>
                <w:b/>
              </w:rPr>
              <w:t xml:space="preserve">Approval of Document </w:t>
            </w:r>
            <w:hyperlink r:id="rId29" w:history="1">
              <w:r w:rsidRPr="00527F8E">
                <w:rPr>
                  <w:rStyle w:val="Hyperlink"/>
                  <w:rFonts w:cs="Times"/>
                  <w:b/>
                </w:rPr>
                <w:t>476</w:t>
              </w:r>
            </w:hyperlink>
          </w:p>
        </w:tc>
        <w:tc>
          <w:tcPr>
            <w:tcW w:w="10712" w:type="dxa"/>
          </w:tcPr>
          <w:p w14:paraId="0C17F098" w14:textId="2B0142D1" w:rsidR="004D7F4E" w:rsidRPr="006D098C" w:rsidRDefault="004D7F4E" w:rsidP="004D7F4E">
            <w:r w:rsidRPr="00B11AA9">
              <w:rPr>
                <w:szCs w:val="24"/>
                <w:lang w:val="en-CA"/>
              </w:rPr>
              <w:t xml:space="preserve">In the application of footnotes RR Nos. </w:t>
            </w:r>
            <w:r w:rsidRPr="00B11AA9">
              <w:rPr>
                <w:b/>
                <w:bCs/>
                <w:szCs w:val="24"/>
                <w:lang w:val="en-CA"/>
              </w:rPr>
              <w:t xml:space="preserve">5.429G </w:t>
            </w:r>
            <w:r w:rsidRPr="00C97933">
              <w:rPr>
                <w:b/>
                <w:bCs/>
                <w:szCs w:val="24"/>
                <w:lang w:val="en-CA"/>
              </w:rPr>
              <w:t>[5.A12]</w:t>
            </w:r>
            <w:r w:rsidRPr="00C97933">
              <w:rPr>
                <w:szCs w:val="24"/>
                <w:lang w:val="en-CA"/>
              </w:rPr>
              <w:t>,</w:t>
            </w:r>
            <w:r w:rsidRPr="00B11AA9">
              <w:rPr>
                <w:szCs w:val="24"/>
                <w:lang w:val="en-CA"/>
              </w:rPr>
              <w:t xml:space="preserve"> </w:t>
            </w:r>
            <w:r w:rsidRPr="00B11AA9">
              <w:rPr>
                <w:b/>
                <w:bCs/>
                <w:szCs w:val="24"/>
                <w:lang w:val="en-CA"/>
              </w:rPr>
              <w:t>5.429D</w:t>
            </w:r>
            <w:r w:rsidRPr="00B11AA9">
              <w:rPr>
                <w:szCs w:val="24"/>
                <w:lang w:val="en-CA"/>
              </w:rPr>
              <w:t xml:space="preserve">, RR No. </w:t>
            </w:r>
            <w:r w:rsidRPr="00B11AA9">
              <w:rPr>
                <w:b/>
                <w:bCs/>
                <w:szCs w:val="24"/>
                <w:lang w:val="en-CA"/>
              </w:rPr>
              <w:t>4.8</w:t>
            </w:r>
            <w:r w:rsidRPr="00B11AA9">
              <w:rPr>
                <w:szCs w:val="24"/>
                <w:lang w:val="en-CA"/>
              </w:rPr>
              <w:t xml:space="preserve"> applies. The radiolocation service operating in the countries of </w:t>
            </w:r>
            <w:proofErr w:type="gramStart"/>
            <w:r w:rsidRPr="00B11AA9">
              <w:rPr>
                <w:szCs w:val="24"/>
                <w:lang w:val="en-CA"/>
              </w:rPr>
              <w:t>Region</w:t>
            </w:r>
            <w:proofErr w:type="gramEnd"/>
            <w:r w:rsidRPr="00B11AA9">
              <w:rPr>
                <w:szCs w:val="24"/>
                <w:lang w:val="en-CA"/>
              </w:rPr>
              <w:t xml:space="preserve"> 1, which are neighbouring to Region 2, has the same regulatory status in relation to the mobile service of Region 2 as the radiolocation service in Region 2. The term “neighbouring countries” mentioned in footnote RR No. </w:t>
            </w:r>
            <w:r w:rsidRPr="00B11AA9">
              <w:rPr>
                <w:b/>
                <w:bCs/>
                <w:szCs w:val="24"/>
                <w:lang w:val="en-CA"/>
              </w:rPr>
              <w:t>5.429D</w:t>
            </w:r>
            <w:r w:rsidRPr="00B11AA9">
              <w:rPr>
                <w:szCs w:val="24"/>
                <w:lang w:val="en-CA"/>
              </w:rPr>
              <w:t xml:space="preserve"> includes those countries of </w:t>
            </w:r>
            <w:proofErr w:type="gramStart"/>
            <w:r w:rsidRPr="00B11AA9">
              <w:rPr>
                <w:szCs w:val="24"/>
                <w:lang w:val="en-CA"/>
              </w:rPr>
              <w:t>Region</w:t>
            </w:r>
            <w:proofErr w:type="gramEnd"/>
            <w:r w:rsidRPr="00B11AA9">
              <w:rPr>
                <w:szCs w:val="24"/>
                <w:lang w:val="en-CA"/>
              </w:rPr>
              <w:t xml:space="preserve"> 1 which are neighbouring Region 2.</w:t>
            </w:r>
          </w:p>
        </w:tc>
      </w:tr>
      <w:tr w:rsidR="004D7F4E" w:rsidRPr="00B20114" w14:paraId="24403830" w14:textId="77777777" w:rsidTr="00CE6D50">
        <w:trPr>
          <w:trHeight w:val="1139"/>
        </w:trPr>
        <w:tc>
          <w:tcPr>
            <w:tcW w:w="1838" w:type="dxa"/>
          </w:tcPr>
          <w:p w14:paraId="4F9388BB" w14:textId="3D0AB05B" w:rsidR="004D7F4E" w:rsidRPr="00D703AA" w:rsidRDefault="004D7F4E" w:rsidP="004D7F4E">
            <w:pPr>
              <w:jc w:val="left"/>
              <w:rPr>
                <w:b/>
              </w:rPr>
            </w:pPr>
            <w:r w:rsidRPr="00D703AA">
              <w:rPr>
                <w:b/>
                <w:lang w:val="en-GB"/>
              </w:rPr>
              <w:t xml:space="preserve">Document </w:t>
            </w:r>
            <w:hyperlink r:id="rId30" w:history="1">
              <w:r w:rsidRPr="00D703AA">
                <w:rPr>
                  <w:rStyle w:val="Hyperlink"/>
                  <w:rFonts w:eastAsia="Times New Roman"/>
                  <w:b/>
                  <w:lang w:val="en-GB"/>
                </w:rPr>
                <w:t xml:space="preserve"> CMR</w:t>
              </w:r>
              <w:r w:rsidRPr="00D703AA">
                <w:rPr>
                  <w:rStyle w:val="Hyperlink"/>
                  <w:b/>
                  <w:lang w:val="en-GB"/>
                </w:rPr>
                <w:t>23/52</w:t>
              </w:r>
              <w:r w:rsidRPr="00D703AA">
                <w:rPr>
                  <w:rStyle w:val="Hyperlink"/>
                  <w:b/>
                </w:rPr>
                <w:t>8</w:t>
              </w:r>
            </w:hyperlink>
            <w:r w:rsidRPr="00D703AA">
              <w:rPr>
                <w:b/>
                <w:lang w:val="en-GB"/>
              </w:rPr>
              <w:t xml:space="preserve"> – Minutes of the Thirteenth Plenary meeting</w:t>
            </w:r>
          </w:p>
        </w:tc>
        <w:tc>
          <w:tcPr>
            <w:tcW w:w="1733" w:type="dxa"/>
          </w:tcPr>
          <w:p w14:paraId="5E1C65DA" w14:textId="77777777" w:rsidR="004D7F4E" w:rsidRPr="00D703AA" w:rsidRDefault="004D7F4E" w:rsidP="004D7F4E">
            <w:pPr>
              <w:spacing w:before="120" w:after="120" w:line="240" w:lineRule="auto"/>
              <w:rPr>
                <w:b/>
              </w:rPr>
            </w:pPr>
            <w:r w:rsidRPr="00D703AA">
              <w:rPr>
                <w:b/>
              </w:rPr>
              <w:t>§§ 5.1 and 5.2</w:t>
            </w:r>
          </w:p>
          <w:p w14:paraId="69F15901" w14:textId="027C5163" w:rsidR="004D7F4E" w:rsidRPr="00D703AA" w:rsidRDefault="004D7F4E" w:rsidP="004D7F4E">
            <w:pPr>
              <w:jc w:val="left"/>
              <w:rPr>
                <w:b/>
              </w:rPr>
            </w:pPr>
            <w:r w:rsidRPr="00D703AA">
              <w:rPr>
                <w:b/>
              </w:rPr>
              <w:t xml:space="preserve">Approval of Document </w:t>
            </w:r>
            <w:hyperlink r:id="rId31" w:history="1">
              <w:r w:rsidRPr="00D703AA">
                <w:rPr>
                  <w:rStyle w:val="Hyperlink"/>
                  <w:b/>
                </w:rPr>
                <w:t>486</w:t>
              </w:r>
            </w:hyperlink>
          </w:p>
        </w:tc>
        <w:tc>
          <w:tcPr>
            <w:tcW w:w="10712" w:type="dxa"/>
          </w:tcPr>
          <w:p w14:paraId="764AF9BC" w14:textId="77777777" w:rsidR="004D7F4E" w:rsidRPr="00D703AA" w:rsidRDefault="004D7F4E" w:rsidP="004D7F4E">
            <w:pPr>
              <w:pStyle w:val="Normalaftertitle0"/>
              <w:rPr>
                <w:rFonts w:ascii="Calibri" w:eastAsiaTheme="minorEastAsia" w:hAnsi="Calibri" w:cs="Calibri"/>
                <w:sz w:val="22"/>
                <w:szCs w:val="22"/>
                <w:lang w:val="en-US" w:eastAsia="zh-CN"/>
              </w:rPr>
            </w:pPr>
            <w:r w:rsidRPr="00D703AA">
              <w:rPr>
                <w:rFonts w:ascii="Calibri" w:eastAsiaTheme="minorEastAsia" w:hAnsi="Calibri" w:cs="Calibri"/>
                <w:b/>
                <w:bCs/>
                <w:sz w:val="22"/>
                <w:szCs w:val="22"/>
                <w:lang w:val="en-US"/>
              </w:rPr>
              <w:t>Processing of the Part B submissions for the allotments from seven new Member States</w:t>
            </w:r>
            <w:r w:rsidRPr="00D703AA">
              <w:rPr>
                <w:rFonts w:ascii="Calibri" w:eastAsiaTheme="minorEastAsia" w:hAnsi="Calibri" w:cs="Calibri"/>
                <w:sz w:val="22"/>
                <w:szCs w:val="22"/>
                <w:lang w:val="en-US" w:eastAsia="zh-CN"/>
              </w:rPr>
              <w:t>*</w:t>
            </w:r>
          </w:p>
          <w:p w14:paraId="355B9909" w14:textId="77777777" w:rsidR="004D7F4E" w:rsidRPr="00D703AA" w:rsidRDefault="004D7F4E" w:rsidP="004D7F4E">
            <w:pPr>
              <w:pStyle w:val="enumlev1"/>
            </w:pPr>
            <w:r w:rsidRPr="00D703AA">
              <w:t>1)</w:t>
            </w:r>
            <w:r w:rsidRPr="00D703AA">
              <w:tab/>
              <w:t xml:space="preserve">The frequency assignments in a Part B submission for the new allotment can be included into the RR Appendix </w:t>
            </w:r>
            <w:r w:rsidRPr="00D703AA">
              <w:rPr>
                <w:b/>
                <w:bCs/>
              </w:rPr>
              <w:t>30B</w:t>
            </w:r>
            <w:r w:rsidRPr="00D703AA">
              <w:t xml:space="preserve"> List even if a national allotment of another administration is identified as affected. </w:t>
            </w:r>
          </w:p>
          <w:p w14:paraId="160AC2DE" w14:textId="77777777" w:rsidR="004D7F4E" w:rsidRPr="00D703AA" w:rsidRDefault="004D7F4E" w:rsidP="004D7F4E">
            <w:pPr>
              <w:pStyle w:val="enumlev1"/>
            </w:pPr>
            <w:r w:rsidRPr="00D703AA">
              <w:t>2)</w:t>
            </w:r>
            <w:r w:rsidRPr="00D703AA">
              <w:tab/>
              <w:t xml:space="preserve">In updating the reference situation of the affected assignments or allotments for which a coordination agreement has been obtained, the proposed new allotments shall not be </w:t>
            </w:r>
            <w:proofErr w:type="gramStart"/>
            <w:r w:rsidRPr="00D703AA">
              <w:t>taken into account</w:t>
            </w:r>
            <w:proofErr w:type="gramEnd"/>
            <w:r w:rsidRPr="00D703AA">
              <w:t>.</w:t>
            </w:r>
          </w:p>
          <w:p w14:paraId="35E274E6" w14:textId="77777777" w:rsidR="004D7F4E" w:rsidRPr="00D703AA" w:rsidRDefault="004D7F4E" w:rsidP="004D7F4E">
            <w:pPr>
              <w:keepNext/>
              <w:keepLines/>
            </w:pPr>
            <w:r w:rsidRPr="00D703AA">
              <w:t xml:space="preserve">WRC-23 approved the entry into the FSS Plan of the seven allotments of the new Member States </w:t>
            </w:r>
            <w:proofErr w:type="gramStart"/>
            <w:r w:rsidRPr="00D703AA">
              <w:t>based on the fact that</w:t>
            </w:r>
            <w:proofErr w:type="gramEnd"/>
            <w:r w:rsidRPr="00D703AA">
              <w:t>:</w:t>
            </w:r>
          </w:p>
          <w:p w14:paraId="4BAB6283" w14:textId="77777777" w:rsidR="004D7F4E" w:rsidRPr="00D703AA" w:rsidRDefault="004D7F4E" w:rsidP="004D7F4E">
            <w:pPr>
              <w:pStyle w:val="enumlev1"/>
              <w:keepNext/>
              <w:keepLines/>
            </w:pPr>
            <w:r w:rsidRPr="00D703AA">
              <w:t>1)</w:t>
            </w:r>
            <w:r w:rsidRPr="00D703AA">
              <w:tab/>
              <w:t>The administrations requesting these new allotments have obtained agreements from all possibly affected administrations except the agreement for two allotments from the Administration of the Russian Federation.</w:t>
            </w:r>
          </w:p>
          <w:p w14:paraId="08EF15F5" w14:textId="77777777" w:rsidR="004D7F4E" w:rsidRPr="00D703AA" w:rsidRDefault="004D7F4E" w:rsidP="004D7F4E">
            <w:r w:rsidRPr="00D703AA">
              <w:t>2)</w:t>
            </w:r>
            <w:r w:rsidRPr="00D703AA">
              <w:tab/>
              <w:t>The Administration of North Macedonia and the Administration of Bosnia and Herzegovina requested the application of § </w:t>
            </w:r>
            <w:r w:rsidRPr="00D703AA">
              <w:rPr>
                <w:b/>
                <w:bCs/>
              </w:rPr>
              <w:t>6.25</w:t>
            </w:r>
            <w:r w:rsidRPr="00D703AA">
              <w:t xml:space="preserve"> of Appendix </w:t>
            </w:r>
            <w:r w:rsidRPr="00D703AA">
              <w:rPr>
                <w:b/>
                <w:bCs/>
              </w:rPr>
              <w:t>30B</w:t>
            </w:r>
            <w:r w:rsidRPr="00D703AA">
              <w:t xml:space="preserve"> with respect to the affected networks of the Administration of the Russian Federation whose agreement has not been obtained.</w:t>
            </w:r>
            <w:bookmarkStart w:id="4" w:name="_Hlk155790493"/>
          </w:p>
          <w:bookmarkEnd w:id="4"/>
          <w:p w14:paraId="572A0DBA" w14:textId="6507D50F" w:rsidR="004D7F4E" w:rsidRPr="00D703AA" w:rsidRDefault="004D7F4E" w:rsidP="004D7F4E">
            <w:pPr>
              <w:rPr>
                <w:i/>
                <w:iCs/>
              </w:rPr>
            </w:pPr>
            <w:r w:rsidRPr="00D703AA">
              <w:rPr>
                <w:i/>
                <w:iCs/>
                <w:lang w:eastAsia="zh-CN"/>
              </w:rPr>
              <w:t>*</w:t>
            </w:r>
            <w:r w:rsidRPr="00D703AA">
              <w:rPr>
                <w:i/>
                <w:iCs/>
              </w:rPr>
              <w:t>Note: The seven new ITU Member states are:</w:t>
            </w:r>
            <w:r>
              <w:rPr>
                <w:i/>
                <w:iCs/>
              </w:rPr>
              <w:t xml:space="preserve"> </w:t>
            </w:r>
            <w:r w:rsidRPr="00D703AA">
              <w:rPr>
                <w:i/>
                <w:iCs/>
              </w:rPr>
              <w:t xml:space="preserve">Bosnia and Herzegovina, Croatia (Republic of), Georgia, North Macedonia (Republic of), Moldova (Republic of), Serbia (Republic </w:t>
            </w:r>
            <w:proofErr w:type="gramStart"/>
            <w:r w:rsidRPr="00D703AA">
              <w:rPr>
                <w:i/>
                <w:iCs/>
              </w:rPr>
              <w:t>of )</w:t>
            </w:r>
            <w:proofErr w:type="gramEnd"/>
            <w:r w:rsidRPr="00D703AA">
              <w:rPr>
                <w:i/>
                <w:iCs/>
              </w:rPr>
              <w:t xml:space="preserve"> and South Sudan (Republic of).</w:t>
            </w:r>
          </w:p>
          <w:p w14:paraId="6AF06ADB" w14:textId="77777777" w:rsidR="004D7F4E" w:rsidRPr="00D703AA" w:rsidRDefault="004D7F4E" w:rsidP="004D7F4E">
            <w:pPr>
              <w:rPr>
                <w:lang w:val="en-CA"/>
              </w:rPr>
            </w:pPr>
          </w:p>
        </w:tc>
      </w:tr>
      <w:tr w:rsidR="004D7F4E" w:rsidRPr="00B20114" w14:paraId="72BCC152" w14:textId="77777777" w:rsidTr="00CE6D50">
        <w:trPr>
          <w:trHeight w:val="1139"/>
        </w:trPr>
        <w:tc>
          <w:tcPr>
            <w:tcW w:w="1838" w:type="dxa"/>
          </w:tcPr>
          <w:p w14:paraId="59445AAD" w14:textId="3BB8D730" w:rsidR="004D7F4E" w:rsidRPr="00D703AA" w:rsidRDefault="004D7F4E" w:rsidP="004D7F4E">
            <w:pPr>
              <w:jc w:val="left"/>
              <w:rPr>
                <w:b/>
              </w:rPr>
            </w:pPr>
            <w:r w:rsidRPr="00D703AA">
              <w:rPr>
                <w:b/>
                <w:lang w:val="en-GB"/>
              </w:rPr>
              <w:t xml:space="preserve">Document </w:t>
            </w:r>
            <w:hyperlink r:id="rId32" w:history="1">
              <w:r w:rsidRPr="00D703AA">
                <w:rPr>
                  <w:rStyle w:val="Hyperlink"/>
                  <w:rFonts w:eastAsia="Times New Roman"/>
                  <w:b/>
                  <w:lang w:val="en-GB"/>
                </w:rPr>
                <w:t xml:space="preserve"> CMR</w:t>
              </w:r>
              <w:r w:rsidRPr="00D703AA">
                <w:rPr>
                  <w:rStyle w:val="Hyperlink"/>
                  <w:b/>
                  <w:lang w:val="en-GB"/>
                </w:rPr>
                <w:t>23/52</w:t>
              </w:r>
              <w:r w:rsidRPr="00D703AA">
                <w:rPr>
                  <w:rStyle w:val="Hyperlink"/>
                  <w:b/>
                </w:rPr>
                <w:t>8</w:t>
              </w:r>
            </w:hyperlink>
            <w:r w:rsidRPr="00D703AA">
              <w:rPr>
                <w:b/>
                <w:lang w:val="en-GB"/>
              </w:rPr>
              <w:t xml:space="preserve"> – Minutes of the </w:t>
            </w:r>
            <w:r w:rsidRPr="00D703AA">
              <w:rPr>
                <w:b/>
                <w:lang w:val="en-GB"/>
              </w:rPr>
              <w:lastRenderedPageBreak/>
              <w:t>Thirteenth Plenary meeting</w:t>
            </w:r>
          </w:p>
        </w:tc>
        <w:tc>
          <w:tcPr>
            <w:tcW w:w="1733" w:type="dxa"/>
          </w:tcPr>
          <w:p w14:paraId="3D242B86" w14:textId="77777777" w:rsidR="004D7F4E" w:rsidRPr="00D703AA" w:rsidRDefault="004D7F4E" w:rsidP="004D7F4E">
            <w:pPr>
              <w:spacing w:before="120" w:after="120" w:line="240" w:lineRule="auto"/>
              <w:rPr>
                <w:b/>
              </w:rPr>
            </w:pPr>
            <w:r w:rsidRPr="00D703AA">
              <w:rPr>
                <w:b/>
              </w:rPr>
              <w:lastRenderedPageBreak/>
              <w:t xml:space="preserve">§§ 13.4 and 13.5 </w:t>
            </w:r>
          </w:p>
          <w:p w14:paraId="2E578D12" w14:textId="2FA67A6A" w:rsidR="004D7F4E" w:rsidRPr="00D703AA" w:rsidRDefault="004D7F4E" w:rsidP="004D7F4E">
            <w:pPr>
              <w:jc w:val="left"/>
              <w:rPr>
                <w:b/>
              </w:rPr>
            </w:pPr>
            <w:r w:rsidRPr="00D703AA">
              <w:rPr>
                <w:b/>
              </w:rPr>
              <w:t xml:space="preserve">Approval of Document </w:t>
            </w:r>
            <w:hyperlink r:id="rId33" w:history="1">
              <w:r w:rsidRPr="00D703AA">
                <w:rPr>
                  <w:rStyle w:val="Hyperlink"/>
                  <w:b/>
                </w:rPr>
                <w:t>494</w:t>
              </w:r>
            </w:hyperlink>
          </w:p>
        </w:tc>
        <w:tc>
          <w:tcPr>
            <w:tcW w:w="10712" w:type="dxa"/>
          </w:tcPr>
          <w:p w14:paraId="20B2F9F8" w14:textId="77777777" w:rsidR="004D7F4E" w:rsidRPr="00D703AA" w:rsidRDefault="004D7F4E" w:rsidP="004D7F4E">
            <w:pPr>
              <w:spacing w:before="120" w:after="120" w:line="240" w:lineRule="auto"/>
              <w:rPr>
                <w:b/>
                <w:bCs/>
              </w:rPr>
            </w:pPr>
            <w:r w:rsidRPr="00D703AA">
              <w:rPr>
                <w:b/>
                <w:bCs/>
              </w:rPr>
              <w:t xml:space="preserve">Issues related to the extension of time-limits for bringing into use or bringing back into use a frequency </w:t>
            </w:r>
            <w:proofErr w:type="gramStart"/>
            <w:r w:rsidRPr="00D703AA">
              <w:rPr>
                <w:b/>
                <w:bCs/>
              </w:rPr>
              <w:t>assignment</w:t>
            </w:r>
            <w:proofErr w:type="gramEnd"/>
          </w:p>
          <w:p w14:paraId="0D2C612F" w14:textId="77777777" w:rsidR="004D7F4E" w:rsidRPr="00D703AA" w:rsidRDefault="004D7F4E" w:rsidP="004D7F4E">
            <w:pPr>
              <w:spacing w:before="120" w:after="120" w:line="240" w:lineRule="auto"/>
            </w:pPr>
            <w:r w:rsidRPr="00D703AA">
              <w:t xml:space="preserve">WRC-23 confirms that, while each case is considered on its merits, providing the following information facilitates the consideration of a request for extension of the regulatory time-limit due to </w:t>
            </w:r>
            <w:r w:rsidRPr="00D703AA">
              <w:rPr>
                <w:i/>
                <w:iCs/>
              </w:rPr>
              <w:t>force majeure</w:t>
            </w:r>
            <w:r w:rsidRPr="00D703AA">
              <w:t xml:space="preserve"> by the Board:</w:t>
            </w:r>
          </w:p>
          <w:p w14:paraId="7A99037D" w14:textId="77777777" w:rsidR="004D7F4E" w:rsidRPr="00D703AA" w:rsidRDefault="004D7F4E" w:rsidP="004D7F4E">
            <w:pPr>
              <w:pStyle w:val="enumlev1"/>
              <w:spacing w:before="120" w:after="120" w:line="240" w:lineRule="auto"/>
              <w:ind w:left="0" w:firstLine="0"/>
              <w:rPr>
                <w:lang w:eastAsia="zh-CN"/>
              </w:rPr>
            </w:pPr>
            <w:r w:rsidRPr="00D703AA">
              <w:rPr>
                <w:lang w:eastAsia="zh-CN"/>
              </w:rPr>
              <w:lastRenderedPageBreak/>
              <w:t>–</w:t>
            </w:r>
            <w:r w:rsidRPr="00D703AA">
              <w:rPr>
                <w:lang w:eastAsia="zh-CN"/>
              </w:rPr>
              <w:tab/>
            </w:r>
            <w:r w:rsidRPr="00D703AA">
              <w:t xml:space="preserve">a summary description of the satellite to be launched, including the frequency </w:t>
            </w:r>
            <w:proofErr w:type="gramStart"/>
            <w:r w:rsidRPr="00D703AA">
              <w:t>bands;</w:t>
            </w:r>
            <w:proofErr w:type="gramEnd"/>
          </w:p>
          <w:p w14:paraId="5B27D42F" w14:textId="77777777" w:rsidR="004D7F4E" w:rsidRPr="00D703AA" w:rsidRDefault="004D7F4E" w:rsidP="004D7F4E">
            <w:pPr>
              <w:pStyle w:val="enumlev1"/>
              <w:spacing w:before="120" w:after="120" w:line="240" w:lineRule="auto"/>
              <w:ind w:left="0" w:firstLine="0"/>
              <w:rPr>
                <w:lang w:eastAsia="zh-CN"/>
              </w:rPr>
            </w:pPr>
            <w:r w:rsidRPr="00D703AA">
              <w:rPr>
                <w:lang w:eastAsia="zh-CN"/>
              </w:rPr>
              <w:t>–</w:t>
            </w:r>
            <w:r w:rsidRPr="00D703AA">
              <w:rPr>
                <w:lang w:eastAsia="zh-CN"/>
              </w:rPr>
              <w:tab/>
            </w:r>
            <w:r w:rsidRPr="00D703AA">
              <w:t xml:space="preserve">the name of the manufacturer selected to build the satellite and the contract signature </w:t>
            </w:r>
            <w:proofErr w:type="gramStart"/>
            <w:r w:rsidRPr="00D703AA">
              <w:t>date;</w:t>
            </w:r>
            <w:proofErr w:type="gramEnd"/>
          </w:p>
          <w:p w14:paraId="2203FFFE" w14:textId="77777777" w:rsidR="004D7F4E" w:rsidRPr="00D703AA" w:rsidRDefault="004D7F4E" w:rsidP="004D7F4E">
            <w:pPr>
              <w:pStyle w:val="enumlev1"/>
              <w:spacing w:before="120" w:after="120" w:line="240" w:lineRule="auto"/>
              <w:ind w:left="0" w:firstLine="0"/>
              <w:rPr>
                <w:lang w:eastAsia="zh-CN"/>
              </w:rPr>
            </w:pPr>
            <w:r w:rsidRPr="00D703AA">
              <w:rPr>
                <w:lang w:eastAsia="zh-CN"/>
              </w:rPr>
              <w:t>–</w:t>
            </w:r>
            <w:r w:rsidRPr="00D703AA">
              <w:rPr>
                <w:lang w:eastAsia="zh-CN"/>
              </w:rPr>
              <w:tab/>
            </w:r>
            <w:r w:rsidRPr="00D703AA">
              <w:t xml:space="preserve">the status of the satellite construction before the </w:t>
            </w:r>
            <w:r w:rsidRPr="00D703AA">
              <w:rPr>
                <w:i/>
                <w:iCs/>
              </w:rPr>
              <w:t>force majeure</w:t>
            </w:r>
            <w:r w:rsidRPr="00D703AA">
              <w:t xml:space="preserve"> event, including the date it began and whether it was expected to be completed prior to the initial launch </w:t>
            </w:r>
            <w:proofErr w:type="gramStart"/>
            <w:r w:rsidRPr="00D703AA">
              <w:t>window;</w:t>
            </w:r>
            <w:proofErr w:type="gramEnd"/>
          </w:p>
          <w:p w14:paraId="0E8082DA" w14:textId="77777777" w:rsidR="004D7F4E" w:rsidRPr="00D703AA" w:rsidRDefault="004D7F4E" w:rsidP="004D7F4E">
            <w:pPr>
              <w:pStyle w:val="enumlev1"/>
              <w:spacing w:before="120" w:after="120" w:line="240" w:lineRule="auto"/>
              <w:ind w:left="0" w:firstLine="0"/>
              <w:rPr>
                <w:lang w:eastAsia="zh-CN"/>
              </w:rPr>
            </w:pPr>
            <w:r w:rsidRPr="00D703AA">
              <w:rPr>
                <w:lang w:eastAsia="zh-CN"/>
              </w:rPr>
              <w:t>–</w:t>
            </w:r>
            <w:r w:rsidRPr="00D703AA">
              <w:rPr>
                <w:lang w:eastAsia="zh-CN"/>
              </w:rPr>
              <w:tab/>
            </w:r>
            <w:r w:rsidRPr="00D703AA">
              <w:t xml:space="preserve">the name of the launch service provider and the contract signature </w:t>
            </w:r>
            <w:proofErr w:type="gramStart"/>
            <w:r w:rsidRPr="00D703AA">
              <w:t>date;</w:t>
            </w:r>
            <w:proofErr w:type="gramEnd"/>
          </w:p>
          <w:p w14:paraId="732894EC" w14:textId="77777777" w:rsidR="004D7F4E" w:rsidRPr="00D703AA" w:rsidRDefault="004D7F4E" w:rsidP="004D7F4E">
            <w:pPr>
              <w:pStyle w:val="enumlev1"/>
              <w:spacing w:before="120" w:after="120" w:line="240" w:lineRule="auto"/>
              <w:ind w:left="0" w:firstLine="0"/>
              <w:rPr>
                <w:lang w:eastAsia="zh-CN"/>
              </w:rPr>
            </w:pPr>
            <w:r w:rsidRPr="00D703AA">
              <w:rPr>
                <w:lang w:eastAsia="zh-CN"/>
              </w:rPr>
              <w:t>–</w:t>
            </w:r>
            <w:r w:rsidRPr="00D703AA">
              <w:rPr>
                <w:lang w:eastAsia="zh-CN"/>
              </w:rPr>
              <w:tab/>
              <w:t xml:space="preserve">the efforts and measures taken or envisaged to avoid missing the deadline, to overcome the difficulties faced and to reduce the project timelines, if possible, with supporting evidence by the satellite manufacturer and/or launch service provider as </w:t>
            </w:r>
            <w:proofErr w:type="gramStart"/>
            <w:r w:rsidRPr="00D703AA">
              <w:rPr>
                <w:lang w:eastAsia="zh-CN"/>
              </w:rPr>
              <w:t>appropriate;</w:t>
            </w:r>
            <w:proofErr w:type="gramEnd"/>
          </w:p>
          <w:p w14:paraId="76E6169F" w14:textId="77777777" w:rsidR="004D7F4E" w:rsidRPr="00D703AA" w:rsidRDefault="004D7F4E" w:rsidP="004D7F4E">
            <w:pPr>
              <w:pStyle w:val="enumlev1"/>
              <w:spacing w:before="120" w:after="120" w:line="240" w:lineRule="auto"/>
              <w:ind w:left="0" w:firstLine="0"/>
              <w:rPr>
                <w:lang w:eastAsia="zh-CN"/>
              </w:rPr>
            </w:pPr>
            <w:r w:rsidRPr="00D703AA">
              <w:rPr>
                <w:lang w:eastAsia="zh-CN"/>
              </w:rPr>
              <w:t>–</w:t>
            </w:r>
            <w:r w:rsidRPr="00D703AA">
              <w:rPr>
                <w:lang w:eastAsia="zh-CN"/>
              </w:rPr>
              <w:tab/>
            </w:r>
            <w:r w:rsidRPr="00D703AA">
              <w:t>detailed</w:t>
            </w:r>
            <w:r w:rsidRPr="00D703AA">
              <w:rPr>
                <w:lang w:eastAsia="zh-CN"/>
              </w:rPr>
              <w:t xml:space="preserve"> rationale and assessment against all four conditions of </w:t>
            </w:r>
            <w:r w:rsidRPr="00D703AA">
              <w:rPr>
                <w:i/>
                <w:iCs/>
                <w:lang w:eastAsia="zh-CN"/>
              </w:rPr>
              <w:t>force majeure</w:t>
            </w:r>
            <w:r w:rsidRPr="00D703AA">
              <w:rPr>
                <w:lang w:eastAsia="zh-CN"/>
              </w:rPr>
              <w:t>:</w:t>
            </w:r>
          </w:p>
          <w:p w14:paraId="73FEB962" w14:textId="77777777" w:rsidR="004D7F4E" w:rsidRPr="00D703AA" w:rsidRDefault="004D7F4E" w:rsidP="004D7F4E">
            <w:pPr>
              <w:pStyle w:val="enumlev2"/>
              <w:spacing w:before="120" w:after="120" w:line="240" w:lineRule="auto"/>
              <w:ind w:left="0" w:firstLine="0"/>
              <w:rPr>
                <w:lang w:eastAsia="zh-CN"/>
              </w:rPr>
            </w:pPr>
            <w:r w:rsidRPr="00D703AA">
              <w:rPr>
                <w:lang w:eastAsia="zh-CN"/>
              </w:rPr>
              <w:t>1</w:t>
            </w:r>
            <w:r w:rsidRPr="00D703AA">
              <w:rPr>
                <w:lang w:eastAsia="zh-CN"/>
              </w:rPr>
              <w:tab/>
              <w:t xml:space="preserve">the event must be beyond the control of the </w:t>
            </w:r>
            <w:proofErr w:type="gramStart"/>
            <w:r w:rsidRPr="00D703AA">
              <w:rPr>
                <w:lang w:eastAsia="zh-CN"/>
              </w:rPr>
              <w:t>obligor;</w:t>
            </w:r>
            <w:proofErr w:type="gramEnd"/>
          </w:p>
          <w:p w14:paraId="0E1AECE6" w14:textId="77777777" w:rsidR="004D7F4E" w:rsidRPr="00D703AA" w:rsidRDefault="004D7F4E" w:rsidP="004D7F4E">
            <w:pPr>
              <w:pStyle w:val="enumlev2"/>
              <w:spacing w:before="120" w:after="120" w:line="240" w:lineRule="auto"/>
              <w:ind w:left="0" w:firstLine="0"/>
              <w:rPr>
                <w:lang w:eastAsia="zh-CN"/>
              </w:rPr>
            </w:pPr>
            <w:r w:rsidRPr="00D703AA">
              <w:rPr>
                <w:lang w:eastAsia="zh-CN"/>
              </w:rPr>
              <w:t>2</w:t>
            </w:r>
            <w:r w:rsidRPr="00D703AA">
              <w:rPr>
                <w:lang w:eastAsia="zh-CN"/>
              </w:rPr>
              <w:tab/>
              <w:t xml:space="preserve">the event constituting </w:t>
            </w:r>
            <w:r w:rsidRPr="00D703AA">
              <w:rPr>
                <w:i/>
                <w:iCs/>
                <w:lang w:eastAsia="zh-CN"/>
              </w:rPr>
              <w:t>force majeure</w:t>
            </w:r>
            <w:r w:rsidRPr="00D703AA">
              <w:rPr>
                <w:lang w:eastAsia="zh-CN"/>
              </w:rPr>
              <w:t xml:space="preserve"> must be unforeseen or, if it was foreseeable, must be inevitable or </w:t>
            </w:r>
            <w:proofErr w:type="gramStart"/>
            <w:r w:rsidRPr="00D703AA">
              <w:rPr>
                <w:lang w:eastAsia="zh-CN"/>
              </w:rPr>
              <w:t>irresistible;</w:t>
            </w:r>
            <w:proofErr w:type="gramEnd"/>
          </w:p>
          <w:p w14:paraId="39FEF69E" w14:textId="77777777" w:rsidR="004D7F4E" w:rsidRPr="00D703AA" w:rsidRDefault="004D7F4E" w:rsidP="004D7F4E">
            <w:pPr>
              <w:pStyle w:val="enumlev2"/>
              <w:spacing w:before="120" w:after="120" w:line="240" w:lineRule="auto"/>
              <w:ind w:left="0" w:firstLine="0"/>
              <w:rPr>
                <w:lang w:eastAsia="zh-CN"/>
              </w:rPr>
            </w:pPr>
            <w:r w:rsidRPr="00D703AA">
              <w:rPr>
                <w:lang w:eastAsia="zh-CN"/>
              </w:rPr>
              <w:t>3</w:t>
            </w:r>
            <w:r w:rsidRPr="00D703AA">
              <w:rPr>
                <w:lang w:eastAsia="zh-CN"/>
              </w:rPr>
              <w:tab/>
              <w:t xml:space="preserve">the event must make it impossible for the obligor to perform its </w:t>
            </w:r>
            <w:proofErr w:type="gramStart"/>
            <w:r w:rsidRPr="00D703AA">
              <w:rPr>
                <w:lang w:eastAsia="zh-CN"/>
              </w:rPr>
              <w:t>obligation;</w:t>
            </w:r>
            <w:proofErr w:type="gramEnd"/>
          </w:p>
          <w:p w14:paraId="0547D4AF" w14:textId="77777777" w:rsidR="004D7F4E" w:rsidRPr="00D703AA" w:rsidRDefault="004D7F4E" w:rsidP="004D7F4E">
            <w:pPr>
              <w:pStyle w:val="enumlev2"/>
              <w:spacing w:before="120" w:after="120" w:line="240" w:lineRule="auto"/>
              <w:ind w:left="0" w:firstLine="0"/>
              <w:rPr>
                <w:lang w:eastAsia="zh-CN"/>
              </w:rPr>
            </w:pPr>
            <w:r w:rsidRPr="00D703AA">
              <w:rPr>
                <w:lang w:eastAsia="zh-CN"/>
              </w:rPr>
              <w:t>4</w:t>
            </w:r>
            <w:r w:rsidRPr="00D703AA">
              <w:rPr>
                <w:lang w:eastAsia="zh-CN"/>
              </w:rPr>
              <w:tab/>
              <w:t xml:space="preserve">a causal effective connection must exist between the event constituting </w:t>
            </w:r>
            <w:r w:rsidRPr="00D703AA">
              <w:rPr>
                <w:i/>
                <w:iCs/>
                <w:lang w:eastAsia="zh-CN"/>
              </w:rPr>
              <w:t>force majeure</w:t>
            </w:r>
            <w:r w:rsidRPr="00D703AA">
              <w:rPr>
                <w:lang w:eastAsia="zh-CN"/>
              </w:rPr>
              <w:t xml:space="preserve"> and the failure by the obligator to fulfil the obligation.</w:t>
            </w:r>
          </w:p>
          <w:p w14:paraId="2FB6E36A" w14:textId="77777777" w:rsidR="004D7F4E" w:rsidRPr="00D703AA" w:rsidRDefault="004D7F4E" w:rsidP="004D7F4E">
            <w:pPr>
              <w:pStyle w:val="enumlev1"/>
              <w:spacing w:before="120" w:after="120" w:line="240" w:lineRule="auto"/>
              <w:ind w:left="0" w:firstLine="0"/>
              <w:rPr>
                <w:lang w:eastAsia="zh-CN"/>
              </w:rPr>
            </w:pPr>
            <w:r w:rsidRPr="00D703AA">
              <w:rPr>
                <w:lang w:eastAsia="zh-CN"/>
              </w:rPr>
              <w:t>–</w:t>
            </w:r>
            <w:r w:rsidRPr="00D703AA">
              <w:rPr>
                <w:lang w:eastAsia="zh-CN"/>
              </w:rPr>
              <w:tab/>
            </w:r>
            <w:r w:rsidRPr="00D703AA">
              <w:t xml:space="preserve">the initial and revised </w:t>
            </w:r>
            <w:r w:rsidRPr="00D703AA">
              <w:rPr>
                <w:rFonts w:eastAsia="Yu Mincho"/>
              </w:rPr>
              <w:t>project milestones for the construction, launch window, launch and orbit raising of the satellite,</w:t>
            </w:r>
            <w:r w:rsidRPr="00D703AA">
              <w:t xml:space="preserve"> as well as relocation and in-orbit testing timelines when the satellite is not directly launched in its nominal orbital position or its non-geostationary satellite </w:t>
            </w:r>
            <w:proofErr w:type="gramStart"/>
            <w:r w:rsidRPr="00D703AA">
              <w:t>orbit;</w:t>
            </w:r>
            <w:proofErr w:type="gramEnd"/>
          </w:p>
          <w:p w14:paraId="163F28EF" w14:textId="77777777" w:rsidR="004D7F4E" w:rsidRPr="00D703AA" w:rsidRDefault="004D7F4E" w:rsidP="004D7F4E">
            <w:pPr>
              <w:pStyle w:val="enumlev1"/>
              <w:spacing w:before="120" w:after="120" w:line="240" w:lineRule="auto"/>
              <w:ind w:left="0" w:firstLine="0"/>
              <w:rPr>
                <w:lang w:eastAsia="zh-CN"/>
              </w:rPr>
            </w:pPr>
            <w:r w:rsidRPr="00D703AA">
              <w:rPr>
                <w:lang w:eastAsia="zh-CN"/>
              </w:rPr>
              <w:t>–</w:t>
            </w:r>
            <w:r w:rsidRPr="00D703AA">
              <w:rPr>
                <w:lang w:eastAsia="zh-CN"/>
              </w:rPr>
              <w:tab/>
              <w:t xml:space="preserve">a detailed rationale for the length of the extension requested, including a breakdown of the nature and extent of the delay experienced so far, the additional delay projected by the manufacturer and launch service provider, and any planned </w:t>
            </w:r>
            <w:proofErr w:type="gramStart"/>
            <w:r w:rsidRPr="00D703AA">
              <w:rPr>
                <w:lang w:eastAsia="zh-CN"/>
              </w:rPr>
              <w:t>contingency;</w:t>
            </w:r>
            <w:proofErr w:type="gramEnd"/>
          </w:p>
          <w:p w14:paraId="101220FC" w14:textId="77777777" w:rsidR="004D7F4E" w:rsidRPr="00D703AA" w:rsidRDefault="004D7F4E" w:rsidP="004D7F4E">
            <w:pPr>
              <w:pStyle w:val="enumlev1"/>
              <w:spacing w:before="120" w:after="120" w:line="240" w:lineRule="auto"/>
              <w:ind w:left="0" w:firstLine="0"/>
            </w:pPr>
            <w:r w:rsidRPr="00D703AA">
              <w:rPr>
                <w:lang w:eastAsia="zh-CN"/>
              </w:rPr>
              <w:t>–</w:t>
            </w:r>
            <w:r w:rsidRPr="00D703AA">
              <w:rPr>
                <w:lang w:eastAsia="zh-CN"/>
              </w:rPr>
              <w:tab/>
            </w:r>
            <w:r w:rsidRPr="00D703AA">
              <w:t>any other relevant information and documentation.</w:t>
            </w:r>
          </w:p>
          <w:p w14:paraId="228813F4" w14:textId="77777777" w:rsidR="004D7F4E" w:rsidRPr="00D703AA" w:rsidRDefault="004D7F4E" w:rsidP="004D7F4E">
            <w:pPr>
              <w:spacing w:before="120" w:after="120" w:line="240" w:lineRule="auto"/>
            </w:pPr>
            <w:r w:rsidRPr="00D703AA">
              <w:t xml:space="preserve">WRC-23 also confirms the Board’s approach with respect to contingency periods in the determination of the length of an extension in cases of </w:t>
            </w:r>
            <w:r w:rsidRPr="00D703AA">
              <w:rPr>
                <w:i/>
                <w:iCs/>
              </w:rPr>
              <w:t>force majeure</w:t>
            </w:r>
            <w:r w:rsidRPr="00D703AA">
              <w:t>.</w:t>
            </w:r>
          </w:p>
          <w:p w14:paraId="59723827" w14:textId="77777777" w:rsidR="004D7F4E" w:rsidRPr="00D703AA" w:rsidRDefault="004D7F4E" w:rsidP="004D7F4E">
            <w:pPr>
              <w:spacing w:before="120" w:after="120" w:line="240" w:lineRule="auto"/>
              <w:rPr>
                <w:lang w:eastAsia="zh-CN"/>
              </w:rPr>
            </w:pPr>
            <w:r w:rsidRPr="00D703AA">
              <w:lastRenderedPageBreak/>
              <w:t xml:space="preserve">WRC-23 </w:t>
            </w:r>
            <w:r w:rsidRPr="00D703AA">
              <w:rPr>
                <w:lang w:eastAsia="zh-CN"/>
              </w:rPr>
              <w:t xml:space="preserve">also noted that the Board is now examining how all four conditions of </w:t>
            </w:r>
            <w:r w:rsidRPr="00D703AA">
              <w:rPr>
                <w:i/>
                <w:iCs/>
                <w:lang w:eastAsia="zh-CN"/>
              </w:rPr>
              <w:t>force majeure</w:t>
            </w:r>
            <w:r w:rsidRPr="00D703AA">
              <w:rPr>
                <w:lang w:eastAsia="zh-CN"/>
              </w:rPr>
              <w:t xml:space="preserve"> are met on a case-by-case basis when the COVID-19 pandemic is invoked as the </w:t>
            </w:r>
            <w:r w:rsidRPr="00D703AA">
              <w:rPr>
                <w:i/>
                <w:iCs/>
                <w:lang w:eastAsia="zh-CN"/>
              </w:rPr>
              <w:t>force majeure</w:t>
            </w:r>
            <w:r w:rsidRPr="00D703AA">
              <w:rPr>
                <w:lang w:eastAsia="zh-CN"/>
              </w:rPr>
              <w:t xml:space="preserve"> event.</w:t>
            </w:r>
          </w:p>
          <w:p w14:paraId="6FCBA66E" w14:textId="0DE11912" w:rsidR="004D7F4E" w:rsidRPr="00D703AA" w:rsidRDefault="004D7F4E" w:rsidP="004D7F4E">
            <w:pPr>
              <w:rPr>
                <w:lang w:val="en-CA"/>
              </w:rPr>
            </w:pPr>
            <w:r w:rsidRPr="00D703AA">
              <w:t xml:space="preserve">WRC-23 instructs the Board to reflect the above-confirmations in the </w:t>
            </w:r>
            <w:proofErr w:type="spellStart"/>
            <w:r w:rsidRPr="00D703AA">
              <w:t>RoP</w:t>
            </w:r>
            <w:proofErr w:type="spellEnd"/>
            <w:r w:rsidRPr="00D703AA">
              <w:t xml:space="preserve"> concerning the extension of the regulatory time-limit for bringing into use satellite assignments.</w:t>
            </w:r>
          </w:p>
        </w:tc>
      </w:tr>
      <w:tr w:rsidR="004D7F4E" w:rsidRPr="00B20114" w14:paraId="4C91F4A3" w14:textId="77777777" w:rsidTr="00CE6D50">
        <w:trPr>
          <w:trHeight w:val="1139"/>
        </w:trPr>
        <w:tc>
          <w:tcPr>
            <w:tcW w:w="1838" w:type="dxa"/>
          </w:tcPr>
          <w:p w14:paraId="151EF666" w14:textId="1D9147CF" w:rsidR="004D7F4E" w:rsidRPr="00D703AA" w:rsidRDefault="004D7F4E" w:rsidP="004D7F4E">
            <w:pPr>
              <w:jc w:val="left"/>
              <w:rPr>
                <w:b/>
                <w:lang w:val="en-GB"/>
              </w:rPr>
            </w:pPr>
            <w:r w:rsidRPr="00D703AA">
              <w:rPr>
                <w:b/>
                <w:lang w:val="en-GB"/>
              </w:rPr>
              <w:lastRenderedPageBreak/>
              <w:t xml:space="preserve">Document </w:t>
            </w:r>
            <w:hyperlink r:id="rId34" w:history="1">
              <w:r w:rsidRPr="00D703AA">
                <w:rPr>
                  <w:rStyle w:val="Hyperlink"/>
                  <w:rFonts w:eastAsia="Times New Roman"/>
                  <w:b/>
                  <w:lang w:val="en-GB"/>
                </w:rPr>
                <w:t xml:space="preserve"> CMR</w:t>
              </w:r>
              <w:r w:rsidRPr="00D703AA">
                <w:rPr>
                  <w:rStyle w:val="Hyperlink"/>
                  <w:b/>
                  <w:lang w:val="en-GB"/>
                </w:rPr>
                <w:t>23/52</w:t>
              </w:r>
              <w:r w:rsidRPr="00D703AA">
                <w:rPr>
                  <w:rStyle w:val="Hyperlink"/>
                  <w:b/>
                </w:rPr>
                <w:t>8</w:t>
              </w:r>
            </w:hyperlink>
            <w:r w:rsidRPr="00D703AA">
              <w:rPr>
                <w:b/>
                <w:lang w:val="en-GB"/>
              </w:rPr>
              <w:t xml:space="preserve"> – Minutes of the Thirteenth Plenary meeting</w:t>
            </w:r>
          </w:p>
        </w:tc>
        <w:tc>
          <w:tcPr>
            <w:tcW w:w="1733" w:type="dxa"/>
          </w:tcPr>
          <w:p w14:paraId="697C9CEC" w14:textId="77777777" w:rsidR="004D7F4E" w:rsidRPr="00D703AA" w:rsidRDefault="004D7F4E" w:rsidP="004D7F4E">
            <w:pPr>
              <w:spacing w:before="120" w:after="120" w:line="240" w:lineRule="auto"/>
              <w:rPr>
                <w:b/>
              </w:rPr>
            </w:pPr>
            <w:r w:rsidRPr="00D703AA">
              <w:rPr>
                <w:b/>
              </w:rPr>
              <w:t xml:space="preserve">§§ 13.6 and 13.7 </w:t>
            </w:r>
          </w:p>
          <w:p w14:paraId="5FDF7128" w14:textId="6C9D09EF" w:rsidR="004D7F4E" w:rsidRPr="00D703AA" w:rsidRDefault="004D7F4E" w:rsidP="004D7F4E">
            <w:pPr>
              <w:spacing w:before="120" w:after="120" w:line="240" w:lineRule="auto"/>
              <w:rPr>
                <w:b/>
              </w:rPr>
            </w:pPr>
            <w:r w:rsidRPr="00D703AA">
              <w:rPr>
                <w:b/>
              </w:rPr>
              <w:t xml:space="preserve">Approval of Document </w:t>
            </w:r>
            <w:hyperlink r:id="rId35" w:history="1">
              <w:r w:rsidRPr="00D703AA">
                <w:rPr>
                  <w:rStyle w:val="Hyperlink"/>
                  <w:b/>
                </w:rPr>
                <w:t>494</w:t>
              </w:r>
            </w:hyperlink>
          </w:p>
        </w:tc>
        <w:tc>
          <w:tcPr>
            <w:tcW w:w="10712" w:type="dxa"/>
          </w:tcPr>
          <w:p w14:paraId="5F930DDC" w14:textId="77777777" w:rsidR="004D7F4E" w:rsidRPr="00D703AA" w:rsidRDefault="004D7F4E" w:rsidP="004D7F4E">
            <w:pPr>
              <w:spacing w:before="120" w:after="120" w:line="240" w:lineRule="auto"/>
              <w:rPr>
                <w:lang w:eastAsia="zh-CN"/>
              </w:rPr>
            </w:pPr>
            <w:r w:rsidRPr="00D703AA">
              <w:t>WRC-23 confirms that the WRC-19 decision for the</w:t>
            </w:r>
            <w:r w:rsidRPr="00D703AA">
              <w:rPr>
                <w:lang w:eastAsia="ja-JP"/>
              </w:rPr>
              <w:t xml:space="preserve"> provision</w:t>
            </w:r>
            <w:r w:rsidRPr="00D703AA">
              <w:t xml:space="preserve"> of information as required when dealing with a request for extension of regulatory time-limits due to co-passenger delay should be revised as shown below</w:t>
            </w:r>
            <w:r w:rsidRPr="00D703AA">
              <w:rPr>
                <w:lang w:eastAsia="zh-CN"/>
              </w:rPr>
              <w:t>:</w:t>
            </w:r>
          </w:p>
          <w:p w14:paraId="27878A77" w14:textId="77777777" w:rsidR="004D7F4E" w:rsidRPr="00D703AA" w:rsidRDefault="004D7F4E" w:rsidP="004D7F4E">
            <w:pPr>
              <w:pStyle w:val="enumlev1"/>
              <w:spacing w:before="120" w:after="120" w:line="240" w:lineRule="auto"/>
              <w:ind w:left="0" w:firstLine="0"/>
            </w:pPr>
            <w:r w:rsidRPr="00D703AA">
              <w:t>–</w:t>
            </w:r>
            <w:r w:rsidRPr="00D703AA">
              <w:tab/>
              <w:t xml:space="preserve">a summary description of the satellite to be launched, including the frequency </w:t>
            </w:r>
            <w:proofErr w:type="gramStart"/>
            <w:r w:rsidRPr="00D703AA">
              <w:t>bands;</w:t>
            </w:r>
            <w:proofErr w:type="gramEnd"/>
          </w:p>
          <w:p w14:paraId="15D7AD08" w14:textId="77777777" w:rsidR="004D7F4E" w:rsidRPr="00D703AA" w:rsidRDefault="004D7F4E" w:rsidP="004D7F4E">
            <w:pPr>
              <w:pStyle w:val="enumlev1"/>
              <w:spacing w:before="120" w:after="120" w:line="240" w:lineRule="auto"/>
              <w:ind w:left="0" w:firstLine="0"/>
            </w:pPr>
            <w:r w:rsidRPr="00D703AA">
              <w:t>–</w:t>
            </w:r>
            <w:r w:rsidRPr="00D703AA">
              <w:tab/>
              <w:t xml:space="preserve">the name of the manufacturer selected to build the satellite and the contract signature </w:t>
            </w:r>
            <w:proofErr w:type="gramStart"/>
            <w:r w:rsidRPr="00D703AA">
              <w:t>date;</w:t>
            </w:r>
            <w:proofErr w:type="gramEnd"/>
          </w:p>
          <w:p w14:paraId="0E15CF6C" w14:textId="77777777" w:rsidR="004D7F4E" w:rsidRPr="00D703AA" w:rsidRDefault="004D7F4E" w:rsidP="004D7F4E">
            <w:pPr>
              <w:pStyle w:val="enumlev1"/>
              <w:spacing w:before="120" w:after="120" w:line="240" w:lineRule="auto"/>
              <w:ind w:left="0" w:firstLine="0"/>
            </w:pPr>
            <w:r w:rsidRPr="00D703AA">
              <w:t>–</w:t>
            </w:r>
            <w:r w:rsidRPr="00D703AA">
              <w:tab/>
              <w:t xml:space="preserve">the status of the satellite construction, including the date it began and whether it was expected to be completed prior to the initial launch </w:t>
            </w:r>
            <w:proofErr w:type="gramStart"/>
            <w:r w:rsidRPr="00D703AA">
              <w:t>window;</w:t>
            </w:r>
            <w:proofErr w:type="gramEnd"/>
          </w:p>
          <w:p w14:paraId="75C30898" w14:textId="77777777" w:rsidR="004D7F4E" w:rsidRPr="00D703AA" w:rsidRDefault="004D7F4E" w:rsidP="004D7F4E">
            <w:pPr>
              <w:pStyle w:val="enumlev1"/>
              <w:spacing w:before="120" w:after="120" w:line="240" w:lineRule="auto"/>
              <w:ind w:left="0" w:firstLine="0"/>
            </w:pPr>
            <w:r w:rsidRPr="00D703AA">
              <w:t>–</w:t>
            </w:r>
            <w:r w:rsidRPr="00D703AA">
              <w:tab/>
              <w:t xml:space="preserve">the name of the launch service provider and the contract signature </w:t>
            </w:r>
            <w:proofErr w:type="gramStart"/>
            <w:r w:rsidRPr="00D703AA">
              <w:t>date;</w:t>
            </w:r>
            <w:proofErr w:type="gramEnd"/>
          </w:p>
          <w:p w14:paraId="562DAF6C" w14:textId="77777777" w:rsidR="004D7F4E" w:rsidRPr="00D703AA" w:rsidRDefault="004D7F4E" w:rsidP="004D7F4E">
            <w:pPr>
              <w:pStyle w:val="enumlev1"/>
              <w:spacing w:before="120" w:after="120" w:line="240" w:lineRule="auto"/>
              <w:ind w:left="0" w:firstLine="0"/>
            </w:pPr>
            <w:r w:rsidRPr="00D703AA">
              <w:t>–</w:t>
            </w:r>
            <w:r w:rsidRPr="00D703AA">
              <w:tab/>
              <w:t xml:space="preserve">the initial and revised </w:t>
            </w:r>
            <w:r w:rsidRPr="00D703AA">
              <w:rPr>
                <w:rFonts w:eastAsia="Yu Mincho"/>
              </w:rPr>
              <w:t>project milestones for the launch window, launch and orbit raising of the satellite,</w:t>
            </w:r>
            <w:r w:rsidRPr="00D703AA">
              <w:t xml:space="preserve"> as well as relocation and in-orbit testing timelines when the satellite is not directly launched in its nominal orbital position or its non-geostationary satellite </w:t>
            </w:r>
            <w:proofErr w:type="gramStart"/>
            <w:r w:rsidRPr="00D703AA">
              <w:t>orbit;</w:t>
            </w:r>
            <w:proofErr w:type="gramEnd"/>
          </w:p>
          <w:p w14:paraId="31AF93FB" w14:textId="77777777" w:rsidR="004D7F4E" w:rsidRPr="00D703AA" w:rsidRDefault="004D7F4E" w:rsidP="004D7F4E">
            <w:pPr>
              <w:pStyle w:val="enumlev1"/>
              <w:spacing w:before="120" w:after="120" w:line="240" w:lineRule="auto"/>
              <w:ind w:left="0" w:firstLine="0"/>
            </w:pPr>
            <w:r w:rsidRPr="00D703AA">
              <w:t>–</w:t>
            </w:r>
            <w:r w:rsidRPr="00D703AA">
              <w:tab/>
              <w:t>sufficient detail to justify that the request for extension is due to co-passenger delay (e.g. a letter from the launch service provider indicating that the launch is delayed because of a delay affecting the co-passenger satellite</w:t>
            </w:r>
            <w:proofErr w:type="gramStart"/>
            <w:r w:rsidRPr="00D703AA">
              <w:t>);</w:t>
            </w:r>
            <w:proofErr w:type="gramEnd"/>
          </w:p>
          <w:p w14:paraId="37CCE48B" w14:textId="77777777" w:rsidR="004D7F4E" w:rsidRPr="00D703AA" w:rsidRDefault="004D7F4E" w:rsidP="004D7F4E">
            <w:pPr>
              <w:pStyle w:val="enumlev1"/>
              <w:spacing w:before="120" w:after="120" w:line="240" w:lineRule="auto"/>
              <w:ind w:left="0" w:firstLine="0"/>
            </w:pPr>
            <w:r w:rsidRPr="00D703AA">
              <w:t>–</w:t>
            </w:r>
            <w:r w:rsidRPr="00D703AA">
              <w:tab/>
            </w:r>
            <w:r w:rsidRPr="00D703AA">
              <w:rPr>
                <w:lang w:eastAsia="zh-CN"/>
              </w:rPr>
              <w:t xml:space="preserve">a detailed rationale for the length of the extension requested, including a breakdown of the nature and extent of the delay experienced so far, the additional delay projected by the launch service provider, and any planned contingency, </w:t>
            </w:r>
            <w:r w:rsidRPr="00D703AA">
              <w:t>and</w:t>
            </w:r>
          </w:p>
          <w:p w14:paraId="4A68729A" w14:textId="77777777" w:rsidR="004D7F4E" w:rsidRPr="00D703AA" w:rsidRDefault="004D7F4E" w:rsidP="004D7F4E">
            <w:pPr>
              <w:pStyle w:val="enumlev1"/>
              <w:spacing w:before="120" w:after="120" w:line="240" w:lineRule="auto"/>
              <w:ind w:left="0" w:firstLine="0"/>
            </w:pPr>
            <w:r w:rsidRPr="00D703AA">
              <w:t>–</w:t>
            </w:r>
            <w:r w:rsidRPr="00D703AA">
              <w:tab/>
              <w:t>any other relevant information and documentation.</w:t>
            </w:r>
          </w:p>
          <w:p w14:paraId="1A04FE06" w14:textId="24014A13" w:rsidR="004D7F4E" w:rsidRPr="00D703AA" w:rsidRDefault="004D7F4E" w:rsidP="004D7F4E">
            <w:pPr>
              <w:spacing w:before="120" w:after="120" w:line="240" w:lineRule="auto"/>
              <w:rPr>
                <w:b/>
                <w:bCs/>
              </w:rPr>
            </w:pPr>
            <w:r w:rsidRPr="00D703AA">
              <w:t xml:space="preserve">WRC-23 instructs the Board to reflect the above-confirmation in the </w:t>
            </w:r>
            <w:proofErr w:type="spellStart"/>
            <w:r w:rsidRPr="00D703AA">
              <w:t>RoP</w:t>
            </w:r>
            <w:proofErr w:type="spellEnd"/>
            <w:r w:rsidRPr="00D703AA">
              <w:t xml:space="preserve"> concerning the extension of the regulatory time-limit for bringing into use satellite assignments.</w:t>
            </w:r>
          </w:p>
        </w:tc>
      </w:tr>
      <w:tr w:rsidR="004D7F4E" w:rsidRPr="00B20114" w14:paraId="76DE49A0" w14:textId="77777777" w:rsidTr="00CE6D50">
        <w:trPr>
          <w:trHeight w:val="1139"/>
        </w:trPr>
        <w:tc>
          <w:tcPr>
            <w:tcW w:w="1838" w:type="dxa"/>
          </w:tcPr>
          <w:p w14:paraId="3CED6193" w14:textId="02205163" w:rsidR="004D7F4E" w:rsidRPr="00D703AA" w:rsidRDefault="004D7F4E" w:rsidP="004D7F4E">
            <w:pPr>
              <w:jc w:val="left"/>
              <w:rPr>
                <w:b/>
                <w:lang w:val="en-GB"/>
              </w:rPr>
            </w:pPr>
            <w:r w:rsidRPr="00D703AA">
              <w:rPr>
                <w:b/>
                <w:lang w:val="en-GB"/>
              </w:rPr>
              <w:lastRenderedPageBreak/>
              <w:t xml:space="preserve">Document </w:t>
            </w:r>
            <w:hyperlink r:id="rId36" w:history="1">
              <w:r w:rsidRPr="00D703AA">
                <w:rPr>
                  <w:rStyle w:val="Hyperlink"/>
                  <w:rFonts w:eastAsia="Times New Roman"/>
                  <w:b/>
                  <w:lang w:val="en-GB"/>
                </w:rPr>
                <w:t xml:space="preserve"> CMR</w:t>
              </w:r>
              <w:r w:rsidRPr="00D703AA">
                <w:rPr>
                  <w:rStyle w:val="Hyperlink"/>
                  <w:b/>
                  <w:lang w:val="en-GB"/>
                </w:rPr>
                <w:t>23/52</w:t>
              </w:r>
              <w:r w:rsidRPr="00D703AA">
                <w:rPr>
                  <w:rStyle w:val="Hyperlink"/>
                  <w:b/>
                </w:rPr>
                <w:t>8</w:t>
              </w:r>
            </w:hyperlink>
            <w:r w:rsidRPr="00D703AA">
              <w:rPr>
                <w:b/>
                <w:lang w:val="en-GB"/>
              </w:rPr>
              <w:t xml:space="preserve"> – Minutes of the Thirteenth Plenary meeting</w:t>
            </w:r>
          </w:p>
        </w:tc>
        <w:tc>
          <w:tcPr>
            <w:tcW w:w="1733" w:type="dxa"/>
          </w:tcPr>
          <w:p w14:paraId="79C5085C" w14:textId="2CDEE668" w:rsidR="004D7F4E" w:rsidRPr="00D703AA" w:rsidRDefault="004D7F4E" w:rsidP="004D7F4E">
            <w:pPr>
              <w:spacing w:before="120" w:after="120" w:line="240" w:lineRule="auto"/>
              <w:rPr>
                <w:b/>
              </w:rPr>
            </w:pPr>
            <w:r w:rsidRPr="00D703AA">
              <w:rPr>
                <w:b/>
              </w:rPr>
              <w:t xml:space="preserve">§§ 13.8 and 13.9 Approval of Document </w:t>
            </w:r>
            <w:hyperlink r:id="rId37" w:history="1">
              <w:r w:rsidRPr="00D703AA">
                <w:rPr>
                  <w:rStyle w:val="Hyperlink"/>
                  <w:b/>
                </w:rPr>
                <w:t>494</w:t>
              </w:r>
            </w:hyperlink>
          </w:p>
        </w:tc>
        <w:tc>
          <w:tcPr>
            <w:tcW w:w="10712" w:type="dxa"/>
          </w:tcPr>
          <w:p w14:paraId="16DEA7F6" w14:textId="7E39FA66" w:rsidR="004D7F4E" w:rsidRPr="00D703AA" w:rsidRDefault="004D7F4E" w:rsidP="004D7F4E">
            <w:pPr>
              <w:spacing w:before="120" w:after="120" w:line="240" w:lineRule="auto"/>
            </w:pPr>
            <w:r w:rsidRPr="00D703AA">
              <w:rPr>
                <w:lang w:eastAsia="zh-CN"/>
              </w:rPr>
              <w:t xml:space="preserve">WRC-23 reiterates its invitation to ITU-R to study the matter of requests for extensions of regulatory time limits from developing countries that do not qualify as cases of </w:t>
            </w:r>
            <w:r w:rsidRPr="00D703AA">
              <w:rPr>
                <w:i/>
                <w:iCs/>
                <w:lang w:eastAsia="zh-CN"/>
              </w:rPr>
              <w:t>force majeure</w:t>
            </w:r>
            <w:r w:rsidRPr="00D703AA">
              <w:rPr>
                <w:lang w:eastAsia="zh-CN"/>
              </w:rPr>
              <w:t xml:space="preserve"> or co</w:t>
            </w:r>
            <w:r w:rsidRPr="00D703AA">
              <w:rPr>
                <w:lang w:eastAsia="zh-CN"/>
              </w:rPr>
              <w:noBreakHyphen/>
              <w:t>passenger delay and to develop the specific criteria and conditions upon which the Board could consider granting an extension of the regulatory time-limit to a developing country for consideration at a future competent WRC.</w:t>
            </w:r>
          </w:p>
        </w:tc>
      </w:tr>
      <w:tr w:rsidR="004D7F4E" w:rsidRPr="00B20114" w14:paraId="3493A25C" w14:textId="77777777" w:rsidTr="00CE6D50">
        <w:trPr>
          <w:trHeight w:val="1139"/>
        </w:trPr>
        <w:tc>
          <w:tcPr>
            <w:tcW w:w="1838" w:type="dxa"/>
          </w:tcPr>
          <w:p w14:paraId="229662AF" w14:textId="28C28C21" w:rsidR="004D7F4E" w:rsidRPr="00C73C68" w:rsidRDefault="004D7F4E" w:rsidP="004D7F4E">
            <w:pPr>
              <w:jc w:val="left"/>
              <w:rPr>
                <w:b/>
                <w:lang w:val="en-GB"/>
              </w:rPr>
            </w:pPr>
            <w:r w:rsidRPr="00C73C68">
              <w:rPr>
                <w:b/>
                <w:lang w:val="en-GB"/>
              </w:rPr>
              <w:t xml:space="preserve">Document </w:t>
            </w:r>
            <w:hyperlink r:id="rId38" w:history="1">
              <w:r w:rsidRPr="00C73C68">
                <w:rPr>
                  <w:rStyle w:val="Hyperlink"/>
                  <w:rFonts w:eastAsia="Times New Roman"/>
                  <w:b/>
                  <w:lang w:val="en-GB"/>
                </w:rPr>
                <w:t xml:space="preserve"> CMR</w:t>
              </w:r>
              <w:r w:rsidRPr="00C73C68">
                <w:rPr>
                  <w:rStyle w:val="Hyperlink"/>
                  <w:b/>
                  <w:lang w:val="en-GB"/>
                </w:rPr>
                <w:t>23/52</w:t>
              </w:r>
              <w:r w:rsidRPr="00C73C68">
                <w:rPr>
                  <w:rStyle w:val="Hyperlink"/>
                  <w:b/>
                </w:rPr>
                <w:t>8</w:t>
              </w:r>
            </w:hyperlink>
            <w:r w:rsidRPr="00C73C68">
              <w:rPr>
                <w:b/>
                <w:lang w:val="en-GB"/>
              </w:rPr>
              <w:t xml:space="preserve"> – Minutes of the Thirteenth Plenary meeting</w:t>
            </w:r>
          </w:p>
        </w:tc>
        <w:tc>
          <w:tcPr>
            <w:tcW w:w="1733" w:type="dxa"/>
          </w:tcPr>
          <w:p w14:paraId="4A86A188" w14:textId="77777777" w:rsidR="004D7F4E" w:rsidRPr="00C73C68" w:rsidRDefault="004D7F4E" w:rsidP="004D7F4E">
            <w:pPr>
              <w:spacing w:before="120" w:after="120" w:line="240" w:lineRule="auto"/>
              <w:rPr>
                <w:b/>
              </w:rPr>
            </w:pPr>
            <w:r w:rsidRPr="00C73C68">
              <w:rPr>
                <w:b/>
              </w:rPr>
              <w:t>§§ 13.10 and 13.11</w:t>
            </w:r>
          </w:p>
          <w:p w14:paraId="7E548639" w14:textId="29EFCC8D" w:rsidR="004D7F4E" w:rsidRPr="00C73C68" w:rsidRDefault="004D7F4E" w:rsidP="004D7F4E">
            <w:pPr>
              <w:spacing w:before="120" w:after="120" w:line="240" w:lineRule="auto"/>
              <w:rPr>
                <w:b/>
              </w:rPr>
            </w:pPr>
            <w:r w:rsidRPr="00C73C68">
              <w:rPr>
                <w:b/>
              </w:rPr>
              <w:t xml:space="preserve">Approval of Document </w:t>
            </w:r>
            <w:hyperlink r:id="rId39" w:history="1">
              <w:r w:rsidRPr="00C73C68">
                <w:rPr>
                  <w:rStyle w:val="Hyperlink"/>
                  <w:b/>
                </w:rPr>
                <w:t>494</w:t>
              </w:r>
            </w:hyperlink>
          </w:p>
        </w:tc>
        <w:tc>
          <w:tcPr>
            <w:tcW w:w="10712" w:type="dxa"/>
          </w:tcPr>
          <w:p w14:paraId="6F871782" w14:textId="77777777" w:rsidR="004D7F4E" w:rsidRPr="00C73C68" w:rsidRDefault="004D7F4E" w:rsidP="004D7F4E">
            <w:pPr>
              <w:rPr>
                <w:b/>
                <w:bCs/>
              </w:rPr>
            </w:pPr>
            <w:r w:rsidRPr="00C73C68">
              <w:rPr>
                <w:b/>
                <w:bCs/>
              </w:rPr>
              <w:t xml:space="preserve">Issues related to the Article 7 procedure of Appendix </w:t>
            </w:r>
            <w:proofErr w:type="gramStart"/>
            <w:r w:rsidRPr="00C73C68">
              <w:rPr>
                <w:b/>
                <w:bCs/>
              </w:rPr>
              <w:t>30B</w:t>
            </w:r>
            <w:proofErr w:type="gramEnd"/>
          </w:p>
          <w:p w14:paraId="2C9DD1B6" w14:textId="77777777" w:rsidR="004D7F4E" w:rsidRPr="00C73C68" w:rsidRDefault="004D7F4E" w:rsidP="004D7F4E">
            <w:r w:rsidRPr="00C73C68">
              <w:rPr>
                <w:lang w:eastAsia="zh-CN"/>
              </w:rPr>
              <w:t>“</w:t>
            </w:r>
            <w:r w:rsidRPr="00C73C68">
              <w:t xml:space="preserve">WRC-23 urges administrations with Appendix </w:t>
            </w:r>
            <w:r w:rsidRPr="00C73C68">
              <w:rPr>
                <w:rStyle w:val="Appref"/>
                <w:b/>
                <w:bCs/>
              </w:rPr>
              <w:t>30B</w:t>
            </w:r>
            <w:r w:rsidRPr="00C73C68">
              <w:t xml:space="preserve"> Part A submissions received before 12 March 2020 to make all efforts to accommodate Article </w:t>
            </w:r>
            <w:r w:rsidRPr="00C73C68">
              <w:rPr>
                <w:b/>
                <w:bCs/>
              </w:rPr>
              <w:t>7</w:t>
            </w:r>
            <w:r w:rsidRPr="00C73C68">
              <w:t xml:space="preserve"> submissions of other administrations and to take into account the results of the analyses of the Bureau and the measures to avoid further degradation of the </w:t>
            </w:r>
            <w:r w:rsidRPr="00C73C68">
              <w:rPr>
                <w:i/>
                <w:iCs/>
              </w:rPr>
              <w:t>C</w:t>
            </w:r>
            <w:r w:rsidRPr="00C73C68">
              <w:t>/</w:t>
            </w:r>
            <w:r w:rsidRPr="00C73C68">
              <w:rPr>
                <w:i/>
                <w:iCs/>
              </w:rPr>
              <w:t>I</w:t>
            </w:r>
            <w:r w:rsidRPr="00C73C68">
              <w:t xml:space="preserve"> </w:t>
            </w:r>
            <w:proofErr w:type="gramStart"/>
            <w:r w:rsidRPr="00C73C68">
              <w:t>levels</w:t>
            </w:r>
            <w:proofErr w:type="gramEnd"/>
            <w:r w:rsidRPr="00C73C68">
              <w:t xml:space="preserve"> when preparing their Part B submissions.</w:t>
            </w:r>
          </w:p>
          <w:p w14:paraId="0BAE30D2" w14:textId="58530091" w:rsidR="004D7F4E" w:rsidRPr="00C73C68" w:rsidRDefault="004D7F4E" w:rsidP="004D7F4E">
            <w:r w:rsidRPr="00C73C68">
              <w:t xml:space="preserve">WRC-23 instructed the Bureau to contact the additional seven countries (Eritrea, Estonia, Latvia, Saint Lucia, Tajikistan, </w:t>
            </w:r>
            <w:proofErr w:type="gramStart"/>
            <w:r w:rsidRPr="00C73C68">
              <w:t>Timor-Leste</w:t>
            </w:r>
            <w:proofErr w:type="gramEnd"/>
            <w:r w:rsidRPr="00C73C68">
              <w:t xml:space="preserve"> and Turkmenistan) and the State of Palestine which still have no allotment in the Appendix </w:t>
            </w:r>
            <w:r w:rsidRPr="00C73C68">
              <w:rPr>
                <w:rStyle w:val="Appref"/>
                <w:b/>
                <w:bCs/>
              </w:rPr>
              <w:t>30B</w:t>
            </w:r>
            <w:r w:rsidRPr="00C73C68">
              <w:t xml:space="preserve"> Plan and to identify orbital resources should they wish to initiate the process under Article </w:t>
            </w:r>
            <w:r w:rsidRPr="00C73C68">
              <w:rPr>
                <w:b/>
                <w:bCs/>
              </w:rPr>
              <w:t>7</w:t>
            </w:r>
            <w:r w:rsidRPr="00C73C68">
              <w:t>.”</w:t>
            </w:r>
          </w:p>
        </w:tc>
      </w:tr>
      <w:tr w:rsidR="004D7F4E" w:rsidRPr="00B20114" w14:paraId="4D415EA2" w14:textId="77777777" w:rsidTr="00CE6D50">
        <w:trPr>
          <w:trHeight w:val="1139"/>
        </w:trPr>
        <w:tc>
          <w:tcPr>
            <w:tcW w:w="1838" w:type="dxa"/>
          </w:tcPr>
          <w:p w14:paraId="7897BC41" w14:textId="63CF1021" w:rsidR="004D7F4E" w:rsidRPr="00C73C68" w:rsidRDefault="004D7F4E" w:rsidP="004D7F4E">
            <w:pPr>
              <w:jc w:val="left"/>
              <w:rPr>
                <w:b/>
                <w:lang w:val="en-GB"/>
              </w:rPr>
            </w:pPr>
            <w:r w:rsidRPr="00C73C68">
              <w:rPr>
                <w:b/>
                <w:lang w:val="en-GB"/>
              </w:rPr>
              <w:t xml:space="preserve">Document </w:t>
            </w:r>
            <w:hyperlink r:id="rId40" w:history="1">
              <w:r w:rsidRPr="00C73C68">
                <w:rPr>
                  <w:rStyle w:val="Hyperlink"/>
                  <w:rFonts w:eastAsia="Times New Roman"/>
                  <w:b/>
                  <w:lang w:val="en-GB"/>
                </w:rPr>
                <w:t xml:space="preserve"> CMR</w:t>
              </w:r>
              <w:r w:rsidRPr="00C73C68">
                <w:rPr>
                  <w:rStyle w:val="Hyperlink"/>
                  <w:b/>
                  <w:lang w:val="en-GB"/>
                </w:rPr>
                <w:t>23/52</w:t>
              </w:r>
              <w:r w:rsidRPr="00C73C68">
                <w:rPr>
                  <w:rStyle w:val="Hyperlink"/>
                  <w:b/>
                </w:rPr>
                <w:t>8</w:t>
              </w:r>
            </w:hyperlink>
            <w:r w:rsidRPr="00C73C68">
              <w:rPr>
                <w:b/>
                <w:lang w:val="en-GB"/>
              </w:rPr>
              <w:t xml:space="preserve"> – Minutes of the Thirteenth Plenary meeting</w:t>
            </w:r>
          </w:p>
        </w:tc>
        <w:tc>
          <w:tcPr>
            <w:tcW w:w="1733" w:type="dxa"/>
          </w:tcPr>
          <w:p w14:paraId="19AA9EFA" w14:textId="77777777" w:rsidR="004D7F4E" w:rsidRPr="00C73C68" w:rsidRDefault="004D7F4E" w:rsidP="004D7F4E">
            <w:pPr>
              <w:spacing w:before="120" w:after="120" w:line="240" w:lineRule="auto"/>
              <w:rPr>
                <w:b/>
              </w:rPr>
            </w:pPr>
            <w:r w:rsidRPr="00C73C68">
              <w:rPr>
                <w:b/>
              </w:rPr>
              <w:t>§§ 13.12 and 13.13</w:t>
            </w:r>
          </w:p>
          <w:p w14:paraId="701E0744" w14:textId="41A1A042" w:rsidR="004D7F4E" w:rsidRPr="00C73C68" w:rsidRDefault="004D7F4E" w:rsidP="004D7F4E">
            <w:pPr>
              <w:spacing w:before="120" w:after="120" w:line="240" w:lineRule="auto"/>
              <w:rPr>
                <w:b/>
              </w:rPr>
            </w:pPr>
            <w:r w:rsidRPr="00C73C68">
              <w:rPr>
                <w:b/>
              </w:rPr>
              <w:t xml:space="preserve">Approval of Document </w:t>
            </w:r>
            <w:hyperlink r:id="rId41" w:history="1">
              <w:r w:rsidRPr="00C73C68">
                <w:rPr>
                  <w:rStyle w:val="Hyperlink"/>
                  <w:b/>
                </w:rPr>
                <w:t>494</w:t>
              </w:r>
            </w:hyperlink>
          </w:p>
        </w:tc>
        <w:tc>
          <w:tcPr>
            <w:tcW w:w="10712" w:type="dxa"/>
          </w:tcPr>
          <w:p w14:paraId="708DC9BB" w14:textId="77777777" w:rsidR="004D7F4E" w:rsidRPr="00C73C68" w:rsidRDefault="004D7F4E" w:rsidP="004D7F4E">
            <w:pPr>
              <w:pStyle w:val="enumlev2"/>
              <w:ind w:left="0" w:firstLine="0"/>
              <w:rPr>
                <w:b/>
                <w:bCs/>
              </w:rPr>
            </w:pPr>
            <w:r w:rsidRPr="00C73C68">
              <w:rPr>
                <w:b/>
                <w:bCs/>
              </w:rPr>
              <w:t>Long-term protection of the Plans</w:t>
            </w:r>
          </w:p>
          <w:p w14:paraId="0A810F43" w14:textId="77777777" w:rsidR="004D7F4E" w:rsidRPr="00C73C68" w:rsidRDefault="004D7F4E" w:rsidP="004D7F4E">
            <w:r w:rsidRPr="00C73C68">
              <w:rPr>
                <w:lang w:eastAsia="zh-CN"/>
              </w:rPr>
              <w:t>“</w:t>
            </w:r>
            <w:r w:rsidRPr="00C73C68">
              <w:t>While some of the issues raised in section 4.6.3 of the Report of the RRB, Document 50, were considered in WRC-23, WRC-23 instructs ITU-R to further study these issues under the standing WRC Agenda Item 7, and report to WRC-27 on any required measures to enhance the protection of AP</w:t>
            </w:r>
            <w:r w:rsidRPr="00C73C68">
              <w:rPr>
                <w:rStyle w:val="Appref"/>
                <w:b/>
                <w:bCs/>
              </w:rPr>
              <w:t>30</w:t>
            </w:r>
            <w:r w:rsidRPr="00C73C68">
              <w:t>/</w:t>
            </w:r>
            <w:r w:rsidRPr="00C73C68">
              <w:rPr>
                <w:rStyle w:val="Appref"/>
                <w:b/>
                <w:bCs/>
              </w:rPr>
              <w:t xml:space="preserve">30A </w:t>
            </w:r>
            <w:r w:rsidRPr="00C73C68">
              <w:t>in Regions 1 and 3 as well as long-term protection of AP</w:t>
            </w:r>
            <w:r w:rsidRPr="00C73C68">
              <w:rPr>
                <w:rStyle w:val="Appref"/>
                <w:b/>
                <w:bCs/>
              </w:rPr>
              <w:t>30B</w:t>
            </w:r>
            <w:r w:rsidRPr="00C73C68">
              <w:t>, while taking into account the usability and access by developing countries in the associated frequency bands.”</w:t>
            </w:r>
          </w:p>
          <w:p w14:paraId="4B09AD12" w14:textId="77777777" w:rsidR="004D7F4E" w:rsidRPr="00C73C68" w:rsidRDefault="004D7F4E" w:rsidP="004D7F4E">
            <w:pPr>
              <w:spacing w:before="120" w:after="120" w:line="240" w:lineRule="auto"/>
              <w:rPr>
                <w:lang w:eastAsia="zh-CN"/>
              </w:rPr>
            </w:pPr>
          </w:p>
        </w:tc>
      </w:tr>
      <w:tr w:rsidR="004D7F4E" w:rsidRPr="00B20114" w14:paraId="272F4B69" w14:textId="77777777" w:rsidTr="00CE6D50">
        <w:trPr>
          <w:trHeight w:val="1139"/>
        </w:trPr>
        <w:tc>
          <w:tcPr>
            <w:tcW w:w="1838" w:type="dxa"/>
          </w:tcPr>
          <w:p w14:paraId="47419B73" w14:textId="11480B00" w:rsidR="004D7F4E" w:rsidRPr="00D703AA" w:rsidRDefault="004D7F4E" w:rsidP="004D7F4E">
            <w:pPr>
              <w:jc w:val="left"/>
              <w:rPr>
                <w:b/>
                <w:lang w:val="en-GB"/>
              </w:rPr>
            </w:pPr>
            <w:r w:rsidRPr="00D703AA">
              <w:rPr>
                <w:b/>
                <w:lang w:val="en-GB"/>
              </w:rPr>
              <w:t xml:space="preserve">Document </w:t>
            </w:r>
            <w:hyperlink r:id="rId42" w:history="1">
              <w:r w:rsidRPr="00D703AA">
                <w:rPr>
                  <w:rStyle w:val="Hyperlink"/>
                  <w:rFonts w:eastAsia="Times New Roman"/>
                  <w:b/>
                  <w:lang w:val="en-GB"/>
                </w:rPr>
                <w:t xml:space="preserve"> CMR</w:t>
              </w:r>
              <w:r w:rsidRPr="00D703AA">
                <w:rPr>
                  <w:rStyle w:val="Hyperlink"/>
                  <w:b/>
                  <w:lang w:val="en-GB"/>
                </w:rPr>
                <w:t>23/52</w:t>
              </w:r>
              <w:r w:rsidRPr="00D703AA">
                <w:rPr>
                  <w:rStyle w:val="Hyperlink"/>
                  <w:b/>
                </w:rPr>
                <w:t>8</w:t>
              </w:r>
            </w:hyperlink>
            <w:r w:rsidRPr="00D703AA">
              <w:rPr>
                <w:b/>
                <w:lang w:val="en-GB"/>
              </w:rPr>
              <w:t xml:space="preserve"> – Minutes of the Thirteenth Plenary meeting</w:t>
            </w:r>
          </w:p>
        </w:tc>
        <w:tc>
          <w:tcPr>
            <w:tcW w:w="1733" w:type="dxa"/>
          </w:tcPr>
          <w:p w14:paraId="13DAC0DD" w14:textId="77777777" w:rsidR="004D7F4E" w:rsidRPr="00D703AA" w:rsidRDefault="004D7F4E" w:rsidP="004D7F4E">
            <w:pPr>
              <w:spacing w:before="120" w:after="120" w:line="240" w:lineRule="auto"/>
              <w:rPr>
                <w:b/>
              </w:rPr>
            </w:pPr>
            <w:r w:rsidRPr="00D703AA">
              <w:rPr>
                <w:b/>
              </w:rPr>
              <w:t xml:space="preserve">§§ 13.14 and 13.15 </w:t>
            </w:r>
          </w:p>
          <w:p w14:paraId="3AF557F4" w14:textId="4A25AB29" w:rsidR="004D7F4E" w:rsidRPr="00D703AA" w:rsidRDefault="004D7F4E" w:rsidP="004D7F4E">
            <w:pPr>
              <w:spacing w:before="120" w:after="120" w:line="240" w:lineRule="auto"/>
              <w:rPr>
                <w:b/>
              </w:rPr>
            </w:pPr>
            <w:r w:rsidRPr="00D703AA">
              <w:rPr>
                <w:b/>
              </w:rPr>
              <w:t xml:space="preserve">Approval of Document </w:t>
            </w:r>
            <w:hyperlink r:id="rId43" w:history="1">
              <w:r w:rsidRPr="00D703AA">
                <w:rPr>
                  <w:rStyle w:val="Hyperlink"/>
                  <w:b/>
                </w:rPr>
                <w:t>494</w:t>
              </w:r>
            </w:hyperlink>
          </w:p>
        </w:tc>
        <w:tc>
          <w:tcPr>
            <w:tcW w:w="10712" w:type="dxa"/>
          </w:tcPr>
          <w:p w14:paraId="22242BAC" w14:textId="77777777" w:rsidR="004D7F4E" w:rsidRPr="00D703AA" w:rsidRDefault="004D7F4E" w:rsidP="004D7F4E">
            <w:pPr>
              <w:spacing w:before="120" w:after="120" w:line="240" w:lineRule="auto"/>
              <w:rPr>
                <w:b/>
                <w:bCs/>
                <w:lang w:eastAsia="zh-CN"/>
              </w:rPr>
            </w:pPr>
            <w:r w:rsidRPr="00D703AA">
              <w:rPr>
                <w:b/>
                <w:bCs/>
                <w:lang w:eastAsia="zh-CN"/>
              </w:rPr>
              <w:t>Issues related to Resolution 40</w:t>
            </w:r>
          </w:p>
          <w:p w14:paraId="713C08EC" w14:textId="60AC2EEA" w:rsidR="004D7F4E" w:rsidRPr="00D703AA" w:rsidRDefault="004D7F4E" w:rsidP="004D7F4E">
            <w:pPr>
              <w:spacing w:before="120" w:after="120" w:line="240" w:lineRule="auto"/>
            </w:pPr>
            <w:r w:rsidRPr="00D703AA">
              <w:rPr>
                <w:lang w:eastAsia="zh-CN"/>
              </w:rPr>
              <w:t xml:space="preserve">WRC-23 instructs ITU-R to study, for consideration at a future competent WRC, possible measures to restrain the use of the same satellite or different satellites to repeatedly bring into use and bring back into use the same frequency assignments of a satellite network or system for a short period of time. It was recognized that such study and related </w:t>
            </w:r>
            <w:r w:rsidRPr="00D703AA">
              <w:rPr>
                <w:lang w:eastAsia="zh-CN"/>
              </w:rPr>
              <w:lastRenderedPageBreak/>
              <w:t xml:space="preserve">issues including the capability in RR No. </w:t>
            </w:r>
            <w:r w:rsidRPr="00D703AA">
              <w:rPr>
                <w:b/>
                <w:bCs/>
                <w:lang w:eastAsia="zh-CN"/>
              </w:rPr>
              <w:t>11.44B</w:t>
            </w:r>
            <w:r w:rsidRPr="00D703AA">
              <w:rPr>
                <w:lang w:eastAsia="zh-CN"/>
              </w:rPr>
              <w:t xml:space="preserve"> raised during WRC-23 could be conducted under the standing WRC Agenda Item 7.</w:t>
            </w:r>
          </w:p>
        </w:tc>
      </w:tr>
      <w:tr w:rsidR="004D7F4E" w:rsidRPr="00B20114" w14:paraId="48474F7A" w14:textId="77777777" w:rsidTr="00CE6D50">
        <w:trPr>
          <w:trHeight w:val="1139"/>
        </w:trPr>
        <w:tc>
          <w:tcPr>
            <w:tcW w:w="1838" w:type="dxa"/>
          </w:tcPr>
          <w:p w14:paraId="04EEDA47" w14:textId="4890A125" w:rsidR="004D7F4E" w:rsidRPr="00D703AA" w:rsidRDefault="004D7F4E" w:rsidP="004D7F4E">
            <w:pPr>
              <w:jc w:val="left"/>
              <w:rPr>
                <w:b/>
                <w:lang w:val="en-GB"/>
              </w:rPr>
            </w:pPr>
            <w:r w:rsidRPr="00D703AA">
              <w:rPr>
                <w:b/>
                <w:lang w:val="en-GB"/>
              </w:rPr>
              <w:lastRenderedPageBreak/>
              <w:t xml:space="preserve">Document </w:t>
            </w:r>
            <w:hyperlink r:id="rId44" w:history="1">
              <w:r w:rsidRPr="00D703AA">
                <w:rPr>
                  <w:rStyle w:val="Hyperlink"/>
                  <w:rFonts w:eastAsia="Times New Roman"/>
                  <w:b/>
                  <w:lang w:val="en-GB"/>
                </w:rPr>
                <w:t xml:space="preserve"> CMR</w:t>
              </w:r>
              <w:r w:rsidRPr="00D703AA">
                <w:rPr>
                  <w:rStyle w:val="Hyperlink"/>
                  <w:b/>
                  <w:lang w:val="en-GB"/>
                </w:rPr>
                <w:t>23/52</w:t>
              </w:r>
              <w:r w:rsidRPr="00D703AA">
                <w:rPr>
                  <w:rStyle w:val="Hyperlink"/>
                  <w:b/>
                </w:rPr>
                <w:t>8</w:t>
              </w:r>
            </w:hyperlink>
            <w:r w:rsidRPr="00D703AA">
              <w:rPr>
                <w:b/>
                <w:lang w:val="en-GB"/>
              </w:rPr>
              <w:t xml:space="preserve"> – Minutes of the Thirteenth Plenary meeting</w:t>
            </w:r>
          </w:p>
        </w:tc>
        <w:tc>
          <w:tcPr>
            <w:tcW w:w="1733" w:type="dxa"/>
          </w:tcPr>
          <w:p w14:paraId="6F82F5FC" w14:textId="77777777" w:rsidR="004D7F4E" w:rsidRPr="00D703AA" w:rsidRDefault="004D7F4E" w:rsidP="004D7F4E">
            <w:pPr>
              <w:spacing w:before="120" w:after="120" w:line="240" w:lineRule="auto"/>
              <w:rPr>
                <w:b/>
              </w:rPr>
            </w:pPr>
            <w:r w:rsidRPr="00D703AA">
              <w:rPr>
                <w:b/>
              </w:rPr>
              <w:t xml:space="preserve">§§ 13.16 and 13.17 </w:t>
            </w:r>
          </w:p>
          <w:p w14:paraId="5A3896AE" w14:textId="0E23B3D2" w:rsidR="004D7F4E" w:rsidRPr="00D703AA" w:rsidRDefault="004D7F4E" w:rsidP="004D7F4E">
            <w:pPr>
              <w:spacing w:before="120" w:after="120" w:line="240" w:lineRule="auto"/>
              <w:rPr>
                <w:b/>
              </w:rPr>
            </w:pPr>
            <w:r w:rsidRPr="00D703AA">
              <w:rPr>
                <w:b/>
              </w:rPr>
              <w:t xml:space="preserve">Approval of Document </w:t>
            </w:r>
            <w:hyperlink r:id="rId45" w:history="1">
              <w:r w:rsidRPr="00D703AA">
                <w:rPr>
                  <w:rStyle w:val="Hyperlink"/>
                  <w:b/>
                </w:rPr>
                <w:t>494</w:t>
              </w:r>
            </w:hyperlink>
          </w:p>
        </w:tc>
        <w:tc>
          <w:tcPr>
            <w:tcW w:w="10712" w:type="dxa"/>
          </w:tcPr>
          <w:p w14:paraId="0AB628BA" w14:textId="77777777" w:rsidR="004D7F4E" w:rsidRPr="00D703AA" w:rsidRDefault="004D7F4E" w:rsidP="004D7F4E">
            <w:pPr>
              <w:spacing w:before="120" w:after="120" w:line="240" w:lineRule="auto"/>
              <w:rPr>
                <w:b/>
                <w:bCs/>
              </w:rPr>
            </w:pPr>
            <w:r w:rsidRPr="00D703AA">
              <w:rPr>
                <w:b/>
                <w:bCs/>
              </w:rPr>
              <w:t xml:space="preserve">Issues related to the bringing into use of non-GSO </w:t>
            </w:r>
            <w:proofErr w:type="gramStart"/>
            <w:r w:rsidRPr="00D703AA">
              <w:rPr>
                <w:b/>
                <w:bCs/>
              </w:rPr>
              <w:t>networks</w:t>
            </w:r>
            <w:proofErr w:type="gramEnd"/>
          </w:p>
          <w:p w14:paraId="47F97697" w14:textId="09452C35" w:rsidR="004D7F4E" w:rsidRPr="00D703AA" w:rsidRDefault="004D7F4E" w:rsidP="004D7F4E">
            <w:pPr>
              <w:spacing w:before="120" w:after="120" w:line="240" w:lineRule="auto"/>
            </w:pPr>
            <w:r w:rsidRPr="00D703AA">
              <w:t>WRC-23 instructs ITU-R to study possible measures to limit the practice of introducing a completely different orbital plane that is not foreseen to be required for operation of the constellation in order to satisfy requirements to bring or bring back into use frequency assignments, while at the same time recognizing that this issue is connected to Agenda Item 7, Topic A, that is being addressed at this WRC.</w:t>
            </w:r>
          </w:p>
        </w:tc>
      </w:tr>
      <w:tr w:rsidR="004D7F4E" w:rsidRPr="00B20114" w14:paraId="52AF5B8A" w14:textId="77777777" w:rsidTr="00CE6D50">
        <w:trPr>
          <w:trHeight w:val="1139"/>
        </w:trPr>
        <w:tc>
          <w:tcPr>
            <w:tcW w:w="1838" w:type="dxa"/>
          </w:tcPr>
          <w:p w14:paraId="5276FF7A" w14:textId="05231569" w:rsidR="004D7F4E" w:rsidRPr="00D703AA" w:rsidRDefault="004D7F4E" w:rsidP="004D7F4E">
            <w:pPr>
              <w:jc w:val="left"/>
              <w:rPr>
                <w:b/>
                <w:lang w:val="en-GB"/>
              </w:rPr>
            </w:pPr>
            <w:r w:rsidRPr="00D703AA">
              <w:rPr>
                <w:b/>
                <w:lang w:val="en-GB"/>
              </w:rPr>
              <w:t xml:space="preserve">Document </w:t>
            </w:r>
            <w:hyperlink r:id="rId46" w:history="1">
              <w:r w:rsidRPr="00D703AA">
                <w:rPr>
                  <w:rStyle w:val="Hyperlink"/>
                  <w:rFonts w:eastAsia="Times New Roman"/>
                  <w:b/>
                  <w:lang w:val="en-GB"/>
                </w:rPr>
                <w:t xml:space="preserve"> CMR</w:t>
              </w:r>
              <w:r w:rsidRPr="00D703AA">
                <w:rPr>
                  <w:rStyle w:val="Hyperlink"/>
                  <w:b/>
                  <w:lang w:val="en-GB"/>
                </w:rPr>
                <w:t>23/52</w:t>
              </w:r>
              <w:r w:rsidRPr="00D703AA">
                <w:rPr>
                  <w:rStyle w:val="Hyperlink"/>
                  <w:b/>
                </w:rPr>
                <w:t>8</w:t>
              </w:r>
            </w:hyperlink>
            <w:r w:rsidRPr="00D703AA">
              <w:rPr>
                <w:b/>
                <w:lang w:val="en-GB"/>
              </w:rPr>
              <w:t xml:space="preserve"> – Minutes of the Thirteenth Plenary meeting</w:t>
            </w:r>
          </w:p>
        </w:tc>
        <w:tc>
          <w:tcPr>
            <w:tcW w:w="1733" w:type="dxa"/>
          </w:tcPr>
          <w:p w14:paraId="2DF91D5C" w14:textId="77777777" w:rsidR="004D7F4E" w:rsidRPr="00D703AA" w:rsidRDefault="004D7F4E" w:rsidP="004D7F4E">
            <w:pPr>
              <w:spacing w:before="120" w:after="120" w:line="240" w:lineRule="auto"/>
              <w:rPr>
                <w:b/>
              </w:rPr>
            </w:pPr>
            <w:r w:rsidRPr="00D703AA">
              <w:rPr>
                <w:b/>
              </w:rPr>
              <w:t xml:space="preserve">§§ 13.18 and 13.19 </w:t>
            </w:r>
          </w:p>
          <w:p w14:paraId="3A33CFCD" w14:textId="48E81F73" w:rsidR="004D7F4E" w:rsidRPr="00D703AA" w:rsidRDefault="004D7F4E" w:rsidP="004D7F4E">
            <w:pPr>
              <w:spacing w:before="120" w:after="120" w:line="240" w:lineRule="auto"/>
              <w:rPr>
                <w:b/>
              </w:rPr>
            </w:pPr>
            <w:r w:rsidRPr="00D703AA">
              <w:rPr>
                <w:b/>
              </w:rPr>
              <w:t xml:space="preserve">Approval of Document </w:t>
            </w:r>
            <w:hyperlink r:id="rId47" w:history="1">
              <w:r w:rsidRPr="00D703AA">
                <w:rPr>
                  <w:rStyle w:val="Hyperlink"/>
                  <w:b/>
                </w:rPr>
                <w:t>494</w:t>
              </w:r>
            </w:hyperlink>
          </w:p>
        </w:tc>
        <w:tc>
          <w:tcPr>
            <w:tcW w:w="10712" w:type="dxa"/>
          </w:tcPr>
          <w:p w14:paraId="0C0B4E21" w14:textId="77777777" w:rsidR="004D7F4E" w:rsidRPr="00D703AA" w:rsidRDefault="004D7F4E" w:rsidP="004D7F4E">
            <w:pPr>
              <w:pStyle w:val="enumlev1"/>
              <w:spacing w:before="120" w:after="120" w:line="240" w:lineRule="auto"/>
              <w:rPr>
                <w:b/>
                <w:bCs/>
                <w:color w:val="000000"/>
                <w:lang w:eastAsia="pt-BR"/>
              </w:rPr>
            </w:pPr>
            <w:r w:rsidRPr="00D703AA">
              <w:rPr>
                <w:b/>
                <w:bCs/>
                <w:color w:val="000000"/>
                <w:lang w:eastAsia="pt-BR"/>
              </w:rPr>
              <w:t>Long-term sustainability and equitable access and rational use of the non-GSO orbit/spectrum resources</w:t>
            </w:r>
          </w:p>
          <w:p w14:paraId="28C1092D" w14:textId="77777777" w:rsidR="004D7F4E" w:rsidRPr="00D703AA" w:rsidRDefault="004D7F4E" w:rsidP="004D7F4E">
            <w:pPr>
              <w:pStyle w:val="enumlev1"/>
              <w:spacing w:before="120" w:after="120" w:line="240" w:lineRule="auto"/>
              <w:ind w:left="0" w:firstLine="0"/>
              <w:rPr>
                <w:lang w:eastAsia="pt-BR"/>
              </w:rPr>
            </w:pPr>
            <w:r w:rsidRPr="00D703AA">
              <w:rPr>
                <w:color w:val="000000"/>
                <w:lang w:eastAsia="pt-BR"/>
              </w:rPr>
              <w:t xml:space="preserve">In response to the content of </w:t>
            </w:r>
            <w:r w:rsidRPr="00D703AA">
              <w:rPr>
                <w:lang w:eastAsia="pt-BR"/>
              </w:rPr>
              <w:t xml:space="preserve">section 4.13 of </w:t>
            </w:r>
            <w:r w:rsidRPr="00D703AA">
              <w:rPr>
                <w:color w:val="000000"/>
                <w:lang w:eastAsia="pt-BR"/>
              </w:rPr>
              <w:t>this Board Report o</w:t>
            </w:r>
            <w:r w:rsidRPr="00D703AA">
              <w:rPr>
                <w:lang w:eastAsia="pt-BR"/>
              </w:rPr>
              <w:t>n “Long-term sustainability and equitable access and rational use of the non-GSO orbit/spectrum resources”, WRC-23 recognized the relevance of the matters raised by the RRB, and also a recent decision from the Radiocommunication Assembly 2023 (RA-23) which approved a new Resolution ITU-R 74 on “</w:t>
            </w:r>
            <w:r w:rsidRPr="00D703AA">
              <w:rPr>
                <w:color w:val="000000"/>
                <w:lang w:eastAsia="pt-BR"/>
              </w:rPr>
              <w:t>Activities related to the sustainable use of radio-frequency spectrum and associated satellite-orbit resources used by space services”</w:t>
            </w:r>
            <w:r w:rsidRPr="00D703AA">
              <w:rPr>
                <w:lang w:eastAsia="pt-BR"/>
              </w:rPr>
              <w:t>;</w:t>
            </w:r>
          </w:p>
          <w:p w14:paraId="70B7B533" w14:textId="1089DE3D" w:rsidR="004D7F4E" w:rsidRPr="00D703AA" w:rsidRDefault="004D7F4E" w:rsidP="004D7F4E">
            <w:pPr>
              <w:spacing w:before="120" w:after="120" w:line="240" w:lineRule="auto"/>
              <w:rPr>
                <w:b/>
                <w:bCs/>
              </w:rPr>
            </w:pPr>
            <w:r w:rsidRPr="00D703AA">
              <w:rPr>
                <w:lang w:eastAsia="pt-BR"/>
              </w:rPr>
              <w:t>In this regard WRC-23 recognized the decision made by RA-23 on the approval of Resolution ITU-R 74, and the need for the outputs from ITU-R expected by this Resolution as a matter of urgency.</w:t>
            </w:r>
          </w:p>
        </w:tc>
      </w:tr>
      <w:tr w:rsidR="004D7F4E" w:rsidRPr="00B20114" w14:paraId="7462F8D9" w14:textId="77777777" w:rsidTr="00CE6D50">
        <w:trPr>
          <w:trHeight w:val="1139"/>
        </w:trPr>
        <w:tc>
          <w:tcPr>
            <w:tcW w:w="1838" w:type="dxa"/>
          </w:tcPr>
          <w:p w14:paraId="7920A5D5" w14:textId="141F8A4D" w:rsidR="004D7F4E" w:rsidRPr="00D703AA" w:rsidRDefault="004D7F4E" w:rsidP="004D7F4E">
            <w:pPr>
              <w:jc w:val="left"/>
              <w:rPr>
                <w:b/>
                <w:lang w:val="en-GB"/>
              </w:rPr>
            </w:pPr>
            <w:r w:rsidRPr="00D703AA">
              <w:rPr>
                <w:b/>
                <w:lang w:val="en-GB"/>
              </w:rPr>
              <w:t xml:space="preserve">Document </w:t>
            </w:r>
            <w:hyperlink r:id="rId48" w:history="1">
              <w:r w:rsidRPr="00D703AA">
                <w:rPr>
                  <w:rStyle w:val="Hyperlink"/>
                  <w:rFonts w:eastAsia="Times New Roman"/>
                  <w:b/>
                  <w:lang w:val="en-GB"/>
                </w:rPr>
                <w:t xml:space="preserve"> CMR</w:t>
              </w:r>
              <w:r w:rsidRPr="00D703AA">
                <w:rPr>
                  <w:rStyle w:val="Hyperlink"/>
                  <w:b/>
                  <w:lang w:val="en-GB"/>
                </w:rPr>
                <w:t>23/52</w:t>
              </w:r>
              <w:r w:rsidRPr="00D703AA">
                <w:rPr>
                  <w:rStyle w:val="Hyperlink"/>
                  <w:b/>
                </w:rPr>
                <w:t>8</w:t>
              </w:r>
            </w:hyperlink>
            <w:r w:rsidRPr="00D703AA">
              <w:rPr>
                <w:b/>
                <w:lang w:val="en-GB"/>
              </w:rPr>
              <w:t xml:space="preserve"> – Minutes of the Thirteenth Plenary meeting</w:t>
            </w:r>
          </w:p>
        </w:tc>
        <w:tc>
          <w:tcPr>
            <w:tcW w:w="1733" w:type="dxa"/>
          </w:tcPr>
          <w:p w14:paraId="19097209" w14:textId="77777777" w:rsidR="004D7F4E" w:rsidRPr="00D703AA" w:rsidRDefault="004D7F4E" w:rsidP="004D7F4E">
            <w:pPr>
              <w:spacing w:before="120" w:after="120" w:line="240" w:lineRule="auto"/>
              <w:rPr>
                <w:b/>
              </w:rPr>
            </w:pPr>
            <w:r w:rsidRPr="00D703AA">
              <w:rPr>
                <w:b/>
              </w:rPr>
              <w:t xml:space="preserve">§§ 13.20 and 13.21 </w:t>
            </w:r>
          </w:p>
          <w:p w14:paraId="7486DF33" w14:textId="1A687061" w:rsidR="004D7F4E" w:rsidRPr="00D703AA" w:rsidRDefault="004D7F4E" w:rsidP="004D7F4E">
            <w:pPr>
              <w:spacing w:before="120" w:after="120" w:line="240" w:lineRule="auto"/>
              <w:rPr>
                <w:b/>
              </w:rPr>
            </w:pPr>
            <w:r w:rsidRPr="00D703AA">
              <w:rPr>
                <w:b/>
              </w:rPr>
              <w:t xml:space="preserve">Approval of Document </w:t>
            </w:r>
            <w:hyperlink r:id="rId49" w:history="1">
              <w:r w:rsidRPr="00D703AA">
                <w:rPr>
                  <w:rStyle w:val="Hyperlink"/>
                  <w:b/>
                </w:rPr>
                <w:t>494</w:t>
              </w:r>
            </w:hyperlink>
          </w:p>
        </w:tc>
        <w:tc>
          <w:tcPr>
            <w:tcW w:w="10712" w:type="dxa"/>
          </w:tcPr>
          <w:p w14:paraId="33ABFA0D" w14:textId="77777777" w:rsidR="004D7F4E" w:rsidRPr="00D703AA" w:rsidRDefault="004D7F4E" w:rsidP="004D7F4E">
            <w:pPr>
              <w:spacing w:before="120" w:after="120" w:line="240" w:lineRule="auto"/>
              <w:rPr>
                <w:rFonts w:eastAsia="Calibri"/>
                <w:b/>
                <w:bCs/>
              </w:rPr>
            </w:pPr>
            <w:r w:rsidRPr="00D703AA">
              <w:rPr>
                <w:rFonts w:eastAsia="Calibri"/>
                <w:b/>
                <w:bCs/>
              </w:rPr>
              <w:t>Recording of frequency assignments to satellite networks and systems under No. 4.4</w:t>
            </w:r>
          </w:p>
          <w:p w14:paraId="67A4A321" w14:textId="77777777" w:rsidR="004D7F4E" w:rsidRPr="00D703AA" w:rsidRDefault="004D7F4E" w:rsidP="004D7F4E">
            <w:pPr>
              <w:spacing w:before="120" w:after="120" w:line="240" w:lineRule="auto"/>
              <w:rPr>
                <w:rFonts w:eastAsia="Calibri"/>
              </w:rPr>
            </w:pPr>
            <w:r w:rsidRPr="00D703AA">
              <w:rPr>
                <w:rFonts w:eastAsia="Calibri"/>
              </w:rPr>
              <w:t xml:space="preserve">WRC-23 discussed the use of RR No. </w:t>
            </w:r>
            <w:r w:rsidRPr="00D703AA">
              <w:rPr>
                <w:rStyle w:val="Artref"/>
                <w:rFonts w:eastAsia="Calibri"/>
                <w:b/>
                <w:bCs/>
              </w:rPr>
              <w:t>4.4</w:t>
            </w:r>
            <w:r w:rsidRPr="00D703AA">
              <w:rPr>
                <w:rFonts w:eastAsia="Calibri"/>
              </w:rPr>
              <w:t xml:space="preserve"> raised in section 4.14 of the Report “</w:t>
            </w:r>
            <w:r w:rsidRPr="00D703AA">
              <w:t>Recording of frequency assignments to satellite networks and systems under No. </w:t>
            </w:r>
            <w:r w:rsidRPr="00D703AA">
              <w:rPr>
                <w:b/>
                <w:bCs/>
              </w:rPr>
              <w:t>4.4</w:t>
            </w:r>
            <w:r w:rsidRPr="00D703AA">
              <w:t>”</w:t>
            </w:r>
            <w:r w:rsidRPr="00D703AA">
              <w:rPr>
                <w:rFonts w:eastAsia="Calibri"/>
              </w:rPr>
              <w:t xml:space="preserve"> and confirmed “that frequency assignments recorded under RR No. </w:t>
            </w:r>
            <w:r w:rsidRPr="00D703AA">
              <w:rPr>
                <w:rStyle w:val="Artref"/>
                <w:rFonts w:eastAsia="Calibri"/>
                <w:b/>
                <w:bCs/>
              </w:rPr>
              <w:t>4.4</w:t>
            </w:r>
            <w:r w:rsidRPr="00D703AA">
              <w:rPr>
                <w:rFonts w:eastAsia="Calibri"/>
              </w:rPr>
              <w:t xml:space="preserve"> are not entitled to protection from harmful interference from other frequency assignments recorded under RR No. </w:t>
            </w:r>
            <w:r w:rsidRPr="00D703AA">
              <w:rPr>
                <w:rStyle w:val="Artref"/>
                <w:rFonts w:eastAsia="Calibri"/>
                <w:b/>
                <w:bCs/>
              </w:rPr>
              <w:t>4.4</w:t>
            </w:r>
            <w:r w:rsidRPr="00D703AA">
              <w:rPr>
                <w:rFonts w:eastAsia="Calibri"/>
              </w:rPr>
              <w:t>”.</w:t>
            </w:r>
          </w:p>
          <w:p w14:paraId="32132419" w14:textId="77777777" w:rsidR="004D7F4E" w:rsidRPr="00D703AA" w:rsidRDefault="004D7F4E" w:rsidP="004D7F4E">
            <w:pPr>
              <w:spacing w:before="120" w:after="120" w:line="240" w:lineRule="auto"/>
              <w:rPr>
                <w:rFonts w:eastAsia="Calibri"/>
              </w:rPr>
            </w:pPr>
            <w:r w:rsidRPr="00D703AA">
              <w:rPr>
                <w:rFonts w:eastAsia="Calibri"/>
              </w:rPr>
              <w:t>The international rights and obligations of administrations in respect of their own frequency assignments and other administrations frequency assignments are defined in Article</w:t>
            </w:r>
            <w:r w:rsidRPr="00D703AA">
              <w:rPr>
                <w:rFonts w:eastAsia="Calibri"/>
                <w:b/>
                <w:bCs/>
              </w:rPr>
              <w:t xml:space="preserve"> </w:t>
            </w:r>
            <w:r w:rsidRPr="00D703AA">
              <w:rPr>
                <w:rStyle w:val="Artref"/>
                <w:rFonts w:eastAsia="Calibri"/>
                <w:b/>
                <w:bCs/>
              </w:rPr>
              <w:t>8</w:t>
            </w:r>
            <w:r w:rsidRPr="00D703AA">
              <w:rPr>
                <w:rFonts w:eastAsia="Calibri"/>
              </w:rPr>
              <w:t xml:space="preserve"> as well as other provisions of the RR. See also Article </w:t>
            </w:r>
            <w:r w:rsidRPr="00D703AA">
              <w:rPr>
                <w:rStyle w:val="Artref"/>
                <w:rFonts w:eastAsia="Calibri"/>
                <w:b/>
                <w:bCs/>
              </w:rPr>
              <w:t>8</w:t>
            </w:r>
            <w:r w:rsidRPr="00D703AA">
              <w:rPr>
                <w:rFonts w:eastAsia="Calibri"/>
              </w:rPr>
              <w:t xml:space="preserve"> of the RR.</w:t>
            </w:r>
          </w:p>
          <w:p w14:paraId="235C9745" w14:textId="77777777" w:rsidR="004D7F4E" w:rsidRPr="00D703AA" w:rsidRDefault="004D7F4E" w:rsidP="004D7F4E">
            <w:pPr>
              <w:spacing w:before="120" w:after="120" w:line="240" w:lineRule="auto"/>
              <w:rPr>
                <w:rFonts w:eastAsia="Calibri"/>
              </w:rPr>
            </w:pPr>
            <w:proofErr w:type="gramStart"/>
            <w:r w:rsidRPr="00D703AA">
              <w:rPr>
                <w:rFonts w:eastAsia="Calibri"/>
              </w:rPr>
              <w:lastRenderedPageBreak/>
              <w:t>In order to</w:t>
            </w:r>
            <w:proofErr w:type="gramEnd"/>
            <w:r w:rsidRPr="00D703AA">
              <w:rPr>
                <w:rFonts w:eastAsia="Calibri"/>
              </w:rPr>
              <w:t xml:space="preserve"> increase the transparency, WRC-23 instructs the Bureau to insert the indication of the frequency assignment submission under RR No. </w:t>
            </w:r>
            <w:r w:rsidRPr="00D703AA">
              <w:rPr>
                <w:rStyle w:val="Artref"/>
                <w:rFonts w:eastAsia="Calibri"/>
                <w:b/>
                <w:bCs/>
              </w:rPr>
              <w:t>4.4</w:t>
            </w:r>
            <w:r w:rsidRPr="00D703AA">
              <w:rPr>
                <w:rFonts w:eastAsia="Calibri"/>
              </w:rPr>
              <w:t xml:space="preserve"> at the Summary Table of the Special Section or Part. In addition, to facilitate information sharing, WRC-23 instructs the Radiocommunication </w:t>
            </w:r>
            <w:r w:rsidRPr="00D703AA">
              <w:rPr>
                <w:rFonts w:eastAsia="Calibri"/>
                <w:color w:val="000000"/>
              </w:rPr>
              <w:t xml:space="preserve">Bureau (BR) to make any information </w:t>
            </w:r>
            <w:r w:rsidRPr="00D703AA">
              <w:rPr>
                <w:rFonts w:eastAsia="Calibri"/>
              </w:rPr>
              <w:t>it may have</w:t>
            </w:r>
            <w:r w:rsidRPr="00D703AA">
              <w:rPr>
                <w:rFonts w:eastAsia="Calibri"/>
                <w:color w:val="000000"/>
              </w:rPr>
              <w:t xml:space="preserve"> regarding notification and bringing into use of frequency assignments under RR No. </w:t>
            </w:r>
            <w:r w:rsidRPr="00D703AA">
              <w:rPr>
                <w:rStyle w:val="Artref"/>
                <w:rFonts w:eastAsia="Calibri"/>
                <w:b/>
                <w:bCs/>
              </w:rPr>
              <w:t>4.4</w:t>
            </w:r>
            <w:r w:rsidRPr="00D703AA">
              <w:rPr>
                <w:rFonts w:eastAsia="Calibri"/>
                <w:color w:val="000000"/>
              </w:rPr>
              <w:t xml:space="preserve"> available in an easily accessible format, such as publishing it in BR’s website and implementing a new filter option in the ITU Space Explorer Data Analytics tool. Th</w:t>
            </w:r>
            <w:r w:rsidRPr="00D703AA">
              <w:rPr>
                <w:rFonts w:eastAsia="Calibri"/>
              </w:rPr>
              <w:t>e</w:t>
            </w:r>
            <w:r w:rsidRPr="00D703AA">
              <w:rPr>
                <w:rFonts w:eastAsia="Calibri"/>
                <w:color w:val="000000"/>
              </w:rPr>
              <w:t xml:space="preserve"> </w:t>
            </w:r>
            <w:r w:rsidRPr="00D703AA">
              <w:rPr>
                <w:rFonts w:eastAsia="Calibri"/>
              </w:rPr>
              <w:t xml:space="preserve">shared </w:t>
            </w:r>
            <w:r w:rsidRPr="00D703AA">
              <w:rPr>
                <w:rFonts w:eastAsia="Calibri"/>
                <w:color w:val="000000"/>
              </w:rPr>
              <w:t xml:space="preserve">information could include a list of filings that are using RR No. </w:t>
            </w:r>
            <w:r w:rsidRPr="00D703AA">
              <w:rPr>
                <w:rStyle w:val="Artref"/>
                <w:rFonts w:eastAsia="Calibri"/>
                <w:b/>
                <w:bCs/>
              </w:rPr>
              <w:t>4.4</w:t>
            </w:r>
            <w:r w:rsidRPr="00D703AA">
              <w:rPr>
                <w:rFonts w:eastAsia="Calibri"/>
                <w:color w:val="000000"/>
              </w:rPr>
              <w:t xml:space="preserve"> as well as historical data, including the date of receipt of these assignments</w:t>
            </w:r>
            <w:r w:rsidRPr="00D703AA">
              <w:rPr>
                <w:rFonts w:eastAsia="Calibri"/>
              </w:rPr>
              <w:t xml:space="preserve">. In addition, BR is also instructed to periodically inform administrations on the updated information regarding notification and bringing into use of frequency assignments under RR No. </w:t>
            </w:r>
            <w:r w:rsidRPr="00D703AA">
              <w:rPr>
                <w:rStyle w:val="Artref"/>
                <w:rFonts w:eastAsia="Calibri"/>
                <w:b/>
                <w:bCs/>
              </w:rPr>
              <w:t>4.4</w:t>
            </w:r>
            <w:r w:rsidRPr="00D703AA">
              <w:rPr>
                <w:rFonts w:eastAsia="Calibri"/>
              </w:rPr>
              <w:t xml:space="preserve"> made available by BR in its website </w:t>
            </w:r>
            <w:r w:rsidRPr="00D703AA">
              <w:rPr>
                <w:rFonts w:eastAsia="Calibri"/>
                <w:color w:val="000000"/>
              </w:rPr>
              <w:t>and to invite the notifying administrations to take steps to cancel the RR No. </w:t>
            </w:r>
            <w:r w:rsidRPr="00D703AA">
              <w:rPr>
                <w:rStyle w:val="Artref"/>
                <w:rFonts w:eastAsia="Calibri"/>
                <w:b/>
                <w:bCs/>
              </w:rPr>
              <w:t>4.4</w:t>
            </w:r>
            <w:r w:rsidRPr="00D703AA">
              <w:rPr>
                <w:rFonts w:eastAsia="Calibri"/>
                <w:color w:val="000000"/>
              </w:rPr>
              <w:t xml:space="preserve"> assignments if no longer in use</w:t>
            </w:r>
            <w:r w:rsidRPr="00D703AA">
              <w:rPr>
                <w:rFonts w:eastAsia="Calibri"/>
              </w:rPr>
              <w:t>.</w:t>
            </w:r>
          </w:p>
          <w:p w14:paraId="752DAD6C" w14:textId="3223F0C8" w:rsidR="004D7F4E" w:rsidRPr="00D703AA" w:rsidRDefault="004D7F4E" w:rsidP="004D7F4E">
            <w:pPr>
              <w:spacing w:before="120" w:after="120" w:line="240" w:lineRule="auto"/>
              <w:rPr>
                <w:b/>
                <w:bCs/>
              </w:rPr>
            </w:pPr>
            <w:r w:rsidRPr="00D703AA">
              <w:t xml:space="preserve">WRC-23 urges administrations when using frequency assignments under RR No. </w:t>
            </w:r>
            <w:r w:rsidRPr="00D703AA">
              <w:rPr>
                <w:rStyle w:val="Artref"/>
                <w:rFonts w:eastAsia="Calibri"/>
                <w:b/>
                <w:bCs/>
              </w:rPr>
              <w:t>4.4</w:t>
            </w:r>
            <w:r w:rsidRPr="00D703AA">
              <w:t xml:space="preserve"> to fully comply with the objectives and purpose of this provision, including the </w:t>
            </w:r>
            <w:proofErr w:type="spellStart"/>
            <w:r w:rsidRPr="00D703AA">
              <w:t>RoP</w:t>
            </w:r>
            <w:proofErr w:type="spellEnd"/>
            <w:r w:rsidRPr="00D703AA">
              <w:t xml:space="preserve"> related to RR No. </w:t>
            </w:r>
            <w:r w:rsidRPr="00D703AA">
              <w:rPr>
                <w:rStyle w:val="Artref"/>
                <w:rFonts w:eastAsia="Calibri"/>
                <w:b/>
                <w:bCs/>
              </w:rPr>
              <w:t>4.4.</w:t>
            </w:r>
          </w:p>
        </w:tc>
      </w:tr>
      <w:tr w:rsidR="004D7F4E" w:rsidRPr="00B20114" w14:paraId="6E80FAE1" w14:textId="77777777" w:rsidTr="00CE6D50">
        <w:trPr>
          <w:trHeight w:val="1139"/>
        </w:trPr>
        <w:tc>
          <w:tcPr>
            <w:tcW w:w="1838" w:type="dxa"/>
          </w:tcPr>
          <w:p w14:paraId="45816E55" w14:textId="27D903C5" w:rsidR="004D7F4E" w:rsidRPr="00D703AA" w:rsidRDefault="004D7F4E" w:rsidP="004D7F4E">
            <w:pPr>
              <w:jc w:val="left"/>
              <w:rPr>
                <w:b/>
                <w:lang w:val="en-GB"/>
              </w:rPr>
            </w:pPr>
            <w:r w:rsidRPr="00D703AA">
              <w:rPr>
                <w:b/>
                <w:lang w:val="en-GB"/>
              </w:rPr>
              <w:lastRenderedPageBreak/>
              <w:t xml:space="preserve">Document </w:t>
            </w:r>
            <w:hyperlink r:id="rId50" w:history="1">
              <w:r w:rsidRPr="00D703AA">
                <w:rPr>
                  <w:rStyle w:val="Hyperlink"/>
                  <w:rFonts w:eastAsia="Times New Roman"/>
                  <w:b/>
                  <w:lang w:val="en-GB"/>
                </w:rPr>
                <w:t xml:space="preserve"> CMR</w:t>
              </w:r>
              <w:r w:rsidRPr="00D703AA">
                <w:rPr>
                  <w:rStyle w:val="Hyperlink"/>
                  <w:b/>
                  <w:lang w:val="en-GB"/>
                </w:rPr>
                <w:t>23/52</w:t>
              </w:r>
              <w:r w:rsidRPr="00D703AA">
                <w:rPr>
                  <w:rStyle w:val="Hyperlink"/>
                  <w:b/>
                </w:rPr>
                <w:t>8</w:t>
              </w:r>
            </w:hyperlink>
            <w:r w:rsidRPr="00D703AA">
              <w:rPr>
                <w:b/>
                <w:lang w:val="en-GB"/>
              </w:rPr>
              <w:t xml:space="preserve"> – Minutes of the Thirteenth Plenary meeting</w:t>
            </w:r>
          </w:p>
        </w:tc>
        <w:tc>
          <w:tcPr>
            <w:tcW w:w="1733" w:type="dxa"/>
          </w:tcPr>
          <w:p w14:paraId="4B72719C" w14:textId="77777777" w:rsidR="004D7F4E" w:rsidRPr="00D703AA" w:rsidRDefault="004D7F4E" w:rsidP="004D7F4E">
            <w:pPr>
              <w:spacing w:before="120" w:after="120" w:line="240" w:lineRule="auto"/>
              <w:rPr>
                <w:b/>
              </w:rPr>
            </w:pPr>
            <w:r w:rsidRPr="00D703AA">
              <w:rPr>
                <w:b/>
              </w:rPr>
              <w:t xml:space="preserve">§§ 14.2 and 14.3 </w:t>
            </w:r>
          </w:p>
          <w:p w14:paraId="11729EDB" w14:textId="007D4DBC" w:rsidR="004D7F4E" w:rsidRPr="00D703AA" w:rsidRDefault="004D7F4E" w:rsidP="004D7F4E">
            <w:pPr>
              <w:spacing w:before="120" w:after="120" w:line="240" w:lineRule="auto"/>
              <w:rPr>
                <w:b/>
              </w:rPr>
            </w:pPr>
            <w:r w:rsidRPr="00D703AA">
              <w:rPr>
                <w:b/>
              </w:rPr>
              <w:t xml:space="preserve">Approval of Document </w:t>
            </w:r>
            <w:hyperlink r:id="rId51" w:history="1">
              <w:r w:rsidRPr="00D703AA">
                <w:rPr>
                  <w:rStyle w:val="Hyperlink"/>
                  <w:b/>
                </w:rPr>
                <w:t>495</w:t>
              </w:r>
            </w:hyperlink>
          </w:p>
        </w:tc>
        <w:tc>
          <w:tcPr>
            <w:tcW w:w="10712" w:type="dxa"/>
          </w:tcPr>
          <w:p w14:paraId="7544E137" w14:textId="621BD387" w:rsidR="004D7F4E" w:rsidRPr="00D703AA" w:rsidRDefault="004D7F4E" w:rsidP="004D7F4E">
            <w:pPr>
              <w:spacing w:before="120" w:after="120" w:line="240" w:lineRule="auto"/>
              <w:rPr>
                <w:b/>
                <w:bCs/>
              </w:rPr>
            </w:pPr>
            <w:r w:rsidRPr="00D703AA">
              <w:t xml:space="preserve">WRC-23 revised RR No. </w:t>
            </w:r>
            <w:r w:rsidRPr="00D703AA">
              <w:rPr>
                <w:b/>
              </w:rPr>
              <w:t>21.16.6</w:t>
            </w:r>
            <w:r w:rsidRPr="00D703AA">
              <w:t xml:space="preserve"> and instructs the Bureau to issue qualified </w:t>
            </w:r>
            <w:proofErr w:type="spellStart"/>
            <w:r w:rsidRPr="00D703AA">
              <w:t>favourable</w:t>
            </w:r>
            <w:proofErr w:type="spellEnd"/>
            <w:r w:rsidRPr="00D703AA">
              <w:t xml:space="preserve"> findings under RR Nos. </w:t>
            </w:r>
            <w:r w:rsidRPr="00D703AA">
              <w:rPr>
                <w:b/>
              </w:rPr>
              <w:t>9.35</w:t>
            </w:r>
            <w:r w:rsidRPr="00D703AA">
              <w:t>/</w:t>
            </w:r>
            <w:r w:rsidRPr="00D703AA">
              <w:rPr>
                <w:b/>
              </w:rPr>
              <w:t>11.31</w:t>
            </w:r>
            <w:r w:rsidRPr="00D703AA">
              <w:t xml:space="preserve"> when examining compliance of frequency assignments to non-GSO FSS satellite systems with RR Article </w:t>
            </w:r>
            <w:r w:rsidRPr="00D703AA">
              <w:rPr>
                <w:b/>
              </w:rPr>
              <w:t>21</w:t>
            </w:r>
            <w:r w:rsidRPr="00D703AA">
              <w:t xml:space="preserve"> </w:t>
            </w:r>
            <w:proofErr w:type="spellStart"/>
            <w:r w:rsidRPr="00D703AA">
              <w:t>pfd</w:t>
            </w:r>
            <w:proofErr w:type="spellEnd"/>
            <w:r w:rsidRPr="00D703AA">
              <w:t xml:space="preserve"> limits applicable in the frequency band 17.7-19.3 GHz if the notifying administration requested it to do so. WRC-23 determined that this practice would also apply to non-GSO FSS satellite systems for which coordination requests have been received from 16 December 2023 until the entry into force of the Final Acts of WRC-23. WRC-23 also instructs the Bureau to review these findings, as well as those issued from 23 November 2019 until the last day of WRC-23, once the </w:t>
            </w:r>
            <w:proofErr w:type="spellStart"/>
            <w:r w:rsidRPr="00D703AA">
              <w:t>pfd</w:t>
            </w:r>
            <w:proofErr w:type="spellEnd"/>
            <w:r w:rsidRPr="00D703AA">
              <w:t xml:space="preserve"> examination software incorporates the decision of WRC-23 on No. </w:t>
            </w:r>
            <w:r w:rsidRPr="00D703AA">
              <w:rPr>
                <w:b/>
              </w:rPr>
              <w:t>21.16.6</w:t>
            </w:r>
            <w:r w:rsidRPr="00D703AA">
              <w:t xml:space="preserve">. See also Document </w:t>
            </w:r>
            <w:hyperlink r:id="rId52" w:history="1">
              <w:r w:rsidRPr="00D703AA">
                <w:rPr>
                  <w:rStyle w:val="Hyperlink"/>
                </w:rPr>
                <w:t>420</w:t>
              </w:r>
            </w:hyperlink>
            <w:r w:rsidRPr="00D703AA">
              <w:t>.</w:t>
            </w:r>
          </w:p>
        </w:tc>
      </w:tr>
      <w:tr w:rsidR="004D7F4E" w:rsidRPr="00B20114" w14:paraId="6E555379" w14:textId="77777777" w:rsidTr="00CE6D50">
        <w:trPr>
          <w:trHeight w:val="1139"/>
        </w:trPr>
        <w:tc>
          <w:tcPr>
            <w:tcW w:w="1838" w:type="dxa"/>
          </w:tcPr>
          <w:p w14:paraId="5D269469" w14:textId="608EBEA7" w:rsidR="004D7F4E" w:rsidRPr="00D703AA" w:rsidRDefault="004D7F4E" w:rsidP="004D7F4E">
            <w:pPr>
              <w:jc w:val="left"/>
              <w:rPr>
                <w:b/>
                <w:lang w:val="en-GB"/>
              </w:rPr>
            </w:pPr>
            <w:r w:rsidRPr="00D703AA">
              <w:rPr>
                <w:b/>
                <w:lang w:val="en-GB"/>
              </w:rPr>
              <w:lastRenderedPageBreak/>
              <w:t xml:space="preserve">Document </w:t>
            </w:r>
            <w:hyperlink r:id="rId53" w:history="1">
              <w:r w:rsidRPr="00D703AA">
                <w:rPr>
                  <w:rStyle w:val="Hyperlink"/>
                  <w:rFonts w:eastAsia="Times New Roman"/>
                  <w:b/>
                  <w:lang w:val="en-GB"/>
                </w:rPr>
                <w:t xml:space="preserve"> CMR</w:t>
              </w:r>
              <w:r w:rsidRPr="00D703AA">
                <w:rPr>
                  <w:rStyle w:val="Hyperlink"/>
                  <w:b/>
                  <w:lang w:val="en-GB"/>
                </w:rPr>
                <w:t>23/52</w:t>
              </w:r>
              <w:r w:rsidRPr="00D703AA">
                <w:rPr>
                  <w:rStyle w:val="Hyperlink"/>
                  <w:b/>
                </w:rPr>
                <w:t>8</w:t>
              </w:r>
            </w:hyperlink>
            <w:r w:rsidRPr="00D703AA">
              <w:rPr>
                <w:b/>
                <w:lang w:val="en-GB"/>
              </w:rPr>
              <w:t xml:space="preserve"> – Minutes of the Thirteenth Plenary meeting</w:t>
            </w:r>
          </w:p>
        </w:tc>
        <w:tc>
          <w:tcPr>
            <w:tcW w:w="1733" w:type="dxa"/>
          </w:tcPr>
          <w:p w14:paraId="5F350573" w14:textId="77777777" w:rsidR="004D7F4E" w:rsidRPr="00D703AA" w:rsidRDefault="004D7F4E" w:rsidP="004D7F4E">
            <w:pPr>
              <w:spacing w:before="120" w:after="120" w:line="240" w:lineRule="auto"/>
              <w:rPr>
                <w:b/>
              </w:rPr>
            </w:pPr>
            <w:r w:rsidRPr="00D703AA">
              <w:rPr>
                <w:b/>
              </w:rPr>
              <w:t xml:space="preserve">§§ 14.4 and 14.5 </w:t>
            </w:r>
          </w:p>
          <w:p w14:paraId="2C186680" w14:textId="101F057D" w:rsidR="004D7F4E" w:rsidRPr="00D703AA" w:rsidRDefault="004D7F4E" w:rsidP="004D7F4E">
            <w:pPr>
              <w:spacing w:before="120" w:after="120" w:line="240" w:lineRule="auto"/>
              <w:rPr>
                <w:b/>
              </w:rPr>
            </w:pPr>
            <w:r w:rsidRPr="00D703AA">
              <w:rPr>
                <w:b/>
              </w:rPr>
              <w:t xml:space="preserve">Approval of Document </w:t>
            </w:r>
            <w:hyperlink r:id="rId54" w:history="1">
              <w:r w:rsidRPr="00D703AA">
                <w:rPr>
                  <w:rStyle w:val="Hyperlink"/>
                  <w:b/>
                </w:rPr>
                <w:t>495</w:t>
              </w:r>
            </w:hyperlink>
          </w:p>
        </w:tc>
        <w:tc>
          <w:tcPr>
            <w:tcW w:w="10712" w:type="dxa"/>
          </w:tcPr>
          <w:p w14:paraId="112257CB" w14:textId="77777777" w:rsidR="004D7F4E" w:rsidRPr="00D703AA" w:rsidRDefault="004D7F4E" w:rsidP="004D7F4E">
            <w:pPr>
              <w:pStyle w:val="Headingb"/>
              <w:tabs>
                <w:tab w:val="clear" w:pos="794"/>
                <w:tab w:val="left" w:pos="0"/>
              </w:tabs>
              <w:spacing w:before="120" w:after="120"/>
              <w:ind w:left="14" w:hanging="14"/>
              <w:rPr>
                <w:b w:val="0"/>
              </w:rPr>
            </w:pPr>
            <w:r w:rsidRPr="00D703AA">
              <w:rPr>
                <w:b w:val="0"/>
              </w:rPr>
              <w:t xml:space="preserve">WRC-23 considered section 3.3.3 of the Report “Resolution </w:t>
            </w:r>
            <w:r w:rsidRPr="00D703AA">
              <w:rPr>
                <w:bCs/>
              </w:rPr>
              <w:t>35 (WRC-19)</w:t>
            </w:r>
            <w:r w:rsidRPr="00D703AA">
              <w:rPr>
                <w:b w:val="0"/>
              </w:rPr>
              <w:t>”, and its associated sub-sections, of the Report and agreed to the following course of action for the issues raised:</w:t>
            </w:r>
          </w:p>
          <w:p w14:paraId="6D8EAFE1" w14:textId="77777777" w:rsidR="004D7F4E" w:rsidRPr="00D703AA" w:rsidRDefault="004D7F4E" w:rsidP="004D7F4E">
            <w:pPr>
              <w:pStyle w:val="Headingb"/>
              <w:tabs>
                <w:tab w:val="clear" w:pos="794"/>
                <w:tab w:val="left" w:pos="0"/>
              </w:tabs>
              <w:spacing w:before="120" w:after="120"/>
              <w:ind w:left="14" w:hanging="14"/>
              <w:rPr>
                <w:b w:val="0"/>
              </w:rPr>
            </w:pPr>
            <w:r w:rsidRPr="00D703AA">
              <w:rPr>
                <w:b w:val="0"/>
              </w:rPr>
              <w:t xml:space="preserve">As regards sub-section 3.3.3.2 and </w:t>
            </w:r>
            <w:r w:rsidRPr="00D703AA">
              <w:rPr>
                <w:b w:val="0"/>
                <w:i/>
                <w:iCs/>
              </w:rPr>
              <w:t>resolves</w:t>
            </w:r>
            <w:r w:rsidRPr="00D703AA">
              <w:rPr>
                <w:b w:val="0"/>
              </w:rPr>
              <w:t xml:space="preserve"> 11 of Resolution </w:t>
            </w:r>
            <w:r w:rsidRPr="00D703AA">
              <w:rPr>
                <w:bCs/>
              </w:rPr>
              <w:t>35 (WRC-19)</w:t>
            </w:r>
            <w:r w:rsidRPr="00D703AA">
              <w:rPr>
                <w:b w:val="0"/>
              </w:rPr>
              <w:t xml:space="preserve">, WRC-23 instructs the Bureau to reflect the aspect of implementation of </w:t>
            </w:r>
            <w:r w:rsidRPr="00D703AA">
              <w:rPr>
                <w:b w:val="0"/>
                <w:i/>
                <w:iCs/>
              </w:rPr>
              <w:t>resolves</w:t>
            </w:r>
            <w:r w:rsidRPr="00D703AA">
              <w:rPr>
                <w:b w:val="0"/>
              </w:rPr>
              <w:t xml:space="preserve"> 11 of Resolution </w:t>
            </w:r>
            <w:r w:rsidRPr="00D703AA">
              <w:rPr>
                <w:bCs/>
              </w:rPr>
              <w:t>35 (WRC-19)</w:t>
            </w:r>
            <w:r w:rsidRPr="00D703AA">
              <w:rPr>
                <w:b w:val="0"/>
              </w:rPr>
              <w:t xml:space="preserve"> described in this section of the Report in a Rule of Procedure with a view to include this issue in the Director’s Report to WRC-27.</w:t>
            </w:r>
          </w:p>
          <w:p w14:paraId="15FE403B" w14:textId="77777777" w:rsidR="004D7F4E" w:rsidRPr="00D703AA" w:rsidRDefault="004D7F4E" w:rsidP="004D7F4E">
            <w:pPr>
              <w:pStyle w:val="Headingb"/>
              <w:tabs>
                <w:tab w:val="clear" w:pos="794"/>
                <w:tab w:val="left" w:pos="0"/>
              </w:tabs>
              <w:spacing w:before="120" w:after="120"/>
              <w:ind w:left="14" w:hanging="14"/>
              <w:rPr>
                <w:b w:val="0"/>
              </w:rPr>
            </w:pPr>
            <w:r w:rsidRPr="00D703AA">
              <w:rPr>
                <w:b w:val="0"/>
              </w:rPr>
              <w:t xml:space="preserve">As regards sub-section 3.3.3.3, concerning changes to orbital parameters in accordance with </w:t>
            </w:r>
            <w:r w:rsidRPr="00D703AA">
              <w:rPr>
                <w:b w:val="0"/>
                <w:i/>
                <w:iCs/>
              </w:rPr>
              <w:t>resolves</w:t>
            </w:r>
            <w:r w:rsidRPr="00D703AA">
              <w:rPr>
                <w:b w:val="0"/>
              </w:rPr>
              <w:t xml:space="preserve"> 14, WRC-23 decided that further study of the issues raised are needed before the clarification requested in the Report can be provided.</w:t>
            </w:r>
          </w:p>
          <w:p w14:paraId="55F2C3B7" w14:textId="77777777" w:rsidR="004D7F4E" w:rsidRPr="00D703AA" w:rsidRDefault="004D7F4E" w:rsidP="004D7F4E">
            <w:pPr>
              <w:pStyle w:val="Headingb"/>
              <w:tabs>
                <w:tab w:val="clear" w:pos="794"/>
                <w:tab w:val="left" w:pos="0"/>
              </w:tabs>
              <w:spacing w:before="120" w:after="120"/>
              <w:ind w:left="14" w:hanging="14"/>
              <w:rPr>
                <w:b w:val="0"/>
              </w:rPr>
            </w:pPr>
            <w:r w:rsidRPr="00D703AA">
              <w:rPr>
                <w:b w:val="0"/>
              </w:rPr>
              <w:t xml:space="preserve">As regards sub-section 3.3.3.4 and </w:t>
            </w:r>
            <w:r w:rsidRPr="00D703AA">
              <w:rPr>
                <w:b w:val="0"/>
                <w:i/>
                <w:iCs/>
              </w:rPr>
              <w:t>resolves</w:t>
            </w:r>
            <w:r w:rsidRPr="00D703AA">
              <w:rPr>
                <w:b w:val="0"/>
              </w:rPr>
              <w:t xml:space="preserve"> 17 b) of Resolution </w:t>
            </w:r>
            <w:r w:rsidRPr="00D703AA">
              <w:rPr>
                <w:bCs/>
              </w:rPr>
              <w:t>35 (WRC-19)</w:t>
            </w:r>
            <w:r w:rsidRPr="00D703AA">
              <w:rPr>
                <w:b w:val="0"/>
              </w:rPr>
              <w:t xml:space="preserve">, WRC-23 noted the Bureau’s course of action in implementing </w:t>
            </w:r>
            <w:r w:rsidRPr="00D703AA">
              <w:rPr>
                <w:b w:val="0"/>
                <w:i/>
                <w:iCs/>
              </w:rPr>
              <w:t>resolves</w:t>
            </w:r>
            <w:r w:rsidRPr="00D703AA">
              <w:rPr>
                <w:b w:val="0"/>
              </w:rPr>
              <w:t xml:space="preserve"> 17 of Resolution </w:t>
            </w:r>
            <w:r w:rsidRPr="00D703AA">
              <w:rPr>
                <w:bCs/>
              </w:rPr>
              <w:t>35 (WRC-19)</w:t>
            </w:r>
            <w:r w:rsidRPr="00D703AA">
              <w:rPr>
                <w:b w:val="0"/>
              </w:rPr>
              <w:t xml:space="preserve"> and calls for study of the issue raised in this section.</w:t>
            </w:r>
          </w:p>
          <w:p w14:paraId="3F20F49F" w14:textId="5D4B2ABB" w:rsidR="004D7F4E" w:rsidRPr="00D703AA" w:rsidRDefault="004D7F4E" w:rsidP="004D7F4E">
            <w:pPr>
              <w:spacing w:before="120" w:after="120" w:line="240" w:lineRule="auto"/>
              <w:rPr>
                <w:b/>
                <w:bCs/>
              </w:rPr>
            </w:pPr>
            <w:r w:rsidRPr="00D703AA">
              <w:t xml:space="preserve">In addition to the above point, WRC-23 agreed specific revisions to Resolution </w:t>
            </w:r>
            <w:r w:rsidRPr="00D703AA">
              <w:rPr>
                <w:b/>
              </w:rPr>
              <w:t>35 (WRC-19)</w:t>
            </w:r>
            <w:r w:rsidRPr="00D703AA">
              <w:t xml:space="preserve">. See also Document </w:t>
            </w:r>
            <w:hyperlink r:id="rId55" w:history="1">
              <w:r w:rsidRPr="00D703AA">
                <w:rPr>
                  <w:rStyle w:val="Hyperlink"/>
                </w:rPr>
                <w:t>422</w:t>
              </w:r>
            </w:hyperlink>
            <w:r w:rsidRPr="00D703AA">
              <w:t>.</w:t>
            </w:r>
          </w:p>
        </w:tc>
      </w:tr>
      <w:tr w:rsidR="004D7F4E" w:rsidRPr="00B20114" w14:paraId="5A2CD49E" w14:textId="77777777" w:rsidTr="00CE6D50">
        <w:trPr>
          <w:trHeight w:val="1139"/>
        </w:trPr>
        <w:tc>
          <w:tcPr>
            <w:tcW w:w="1838" w:type="dxa"/>
          </w:tcPr>
          <w:p w14:paraId="002C97A4" w14:textId="4BFB1BB5" w:rsidR="004D7F4E" w:rsidRPr="007973C5" w:rsidRDefault="004D7F4E" w:rsidP="004D7F4E">
            <w:pPr>
              <w:jc w:val="left"/>
              <w:rPr>
                <w:b/>
                <w:lang w:val="en-GB"/>
              </w:rPr>
            </w:pPr>
            <w:r w:rsidRPr="007973C5">
              <w:rPr>
                <w:b/>
                <w:lang w:val="en-GB"/>
              </w:rPr>
              <w:t xml:space="preserve">Document </w:t>
            </w:r>
            <w:hyperlink r:id="rId56" w:history="1">
              <w:r w:rsidRPr="007973C5">
                <w:rPr>
                  <w:rStyle w:val="Hyperlink"/>
                  <w:rFonts w:eastAsia="Times New Roman"/>
                  <w:b/>
                  <w:lang w:val="en-GB"/>
                </w:rPr>
                <w:t xml:space="preserve"> CMR</w:t>
              </w:r>
              <w:r w:rsidRPr="007973C5">
                <w:rPr>
                  <w:rStyle w:val="Hyperlink"/>
                  <w:b/>
                  <w:lang w:val="en-GB"/>
                </w:rPr>
                <w:t>23/52</w:t>
              </w:r>
              <w:r w:rsidRPr="007973C5">
                <w:rPr>
                  <w:rStyle w:val="Hyperlink"/>
                  <w:b/>
                </w:rPr>
                <w:t>8</w:t>
              </w:r>
            </w:hyperlink>
            <w:r w:rsidRPr="007973C5">
              <w:rPr>
                <w:b/>
                <w:lang w:val="en-GB"/>
              </w:rPr>
              <w:t xml:space="preserve"> – Minutes of the Thirteenth Plenary meeting</w:t>
            </w:r>
          </w:p>
        </w:tc>
        <w:tc>
          <w:tcPr>
            <w:tcW w:w="1733" w:type="dxa"/>
          </w:tcPr>
          <w:p w14:paraId="7B62BF00" w14:textId="77777777" w:rsidR="004D7F4E" w:rsidRPr="007973C5" w:rsidRDefault="004D7F4E" w:rsidP="004D7F4E">
            <w:pPr>
              <w:spacing w:before="120" w:after="120" w:line="240" w:lineRule="auto"/>
              <w:rPr>
                <w:b/>
              </w:rPr>
            </w:pPr>
            <w:r w:rsidRPr="007973C5">
              <w:rPr>
                <w:b/>
              </w:rPr>
              <w:t>§§ 15.1 and 15.2</w:t>
            </w:r>
          </w:p>
          <w:p w14:paraId="49C22CC5" w14:textId="16465172" w:rsidR="004D7F4E" w:rsidRPr="007973C5" w:rsidRDefault="004D7F4E" w:rsidP="004D7F4E">
            <w:pPr>
              <w:spacing w:before="120" w:after="120" w:line="240" w:lineRule="auto"/>
              <w:rPr>
                <w:b/>
              </w:rPr>
            </w:pPr>
            <w:r w:rsidRPr="007973C5">
              <w:rPr>
                <w:b/>
              </w:rPr>
              <w:t xml:space="preserve">Approval of Document </w:t>
            </w:r>
            <w:hyperlink r:id="rId57" w:history="1">
              <w:r w:rsidRPr="007973C5">
                <w:rPr>
                  <w:rStyle w:val="Hyperlink"/>
                  <w:b/>
                </w:rPr>
                <w:t>496</w:t>
              </w:r>
            </w:hyperlink>
          </w:p>
        </w:tc>
        <w:tc>
          <w:tcPr>
            <w:tcW w:w="10712" w:type="dxa"/>
          </w:tcPr>
          <w:p w14:paraId="22AF525D" w14:textId="77777777" w:rsidR="004D7F4E" w:rsidRPr="007973C5" w:rsidRDefault="004D7F4E" w:rsidP="004D7F4E">
            <w:pPr>
              <w:rPr>
                <w:b/>
                <w:bCs/>
                <w:i/>
                <w:iCs/>
                <w:lang w:val="en-CA"/>
              </w:rPr>
            </w:pPr>
            <w:r w:rsidRPr="007973C5">
              <w:rPr>
                <w:b/>
                <w:bCs/>
                <w:i/>
                <w:iCs/>
                <w:lang w:val="en-CA"/>
              </w:rPr>
              <w:t xml:space="preserve">Delays in fulfilling the application of assistance procedures under Appendices 30/30A or Appendix 30B due to communication difficulties with some </w:t>
            </w:r>
            <w:proofErr w:type="gramStart"/>
            <w:r w:rsidRPr="007973C5">
              <w:rPr>
                <w:b/>
                <w:bCs/>
                <w:i/>
                <w:iCs/>
                <w:lang w:val="en-CA"/>
              </w:rPr>
              <w:t>administrations</w:t>
            </w:r>
            <w:proofErr w:type="gramEnd"/>
          </w:p>
          <w:p w14:paraId="3AF78C5B" w14:textId="77777777" w:rsidR="004D7F4E" w:rsidRPr="007973C5" w:rsidRDefault="004D7F4E" w:rsidP="004D7F4E">
            <w:pPr>
              <w:rPr>
                <w:b/>
                <w:bCs/>
                <w:i/>
                <w:iCs/>
                <w:lang w:val="en-CA"/>
              </w:rPr>
            </w:pPr>
            <w:r w:rsidRPr="007973C5">
              <w:rPr>
                <w:rFonts w:eastAsia="Calibri"/>
                <w:lang w:eastAsia="en-GB"/>
              </w:rPr>
              <w:t>“WRC</w:t>
            </w:r>
            <w:r w:rsidRPr="007973C5">
              <w:rPr>
                <w:rFonts w:eastAsia="Calibri"/>
                <w:lang w:eastAsia="en-GB"/>
              </w:rPr>
              <w:noBreakHyphen/>
              <w:t xml:space="preserve">23 instructs the Bureau to apply the same course of action as adopted for Topic H of Agenda Item 7 by WRC-23 </w:t>
            </w:r>
            <w:proofErr w:type="gramStart"/>
            <w:r w:rsidRPr="007973C5">
              <w:rPr>
                <w:rFonts w:eastAsia="Calibri"/>
                <w:lang w:eastAsia="en-GB"/>
              </w:rPr>
              <w:t>with regard to</w:t>
            </w:r>
            <w:proofErr w:type="gramEnd"/>
            <w:r w:rsidRPr="007973C5">
              <w:rPr>
                <w:rFonts w:eastAsia="Calibri"/>
                <w:lang w:eastAsia="en-GB"/>
              </w:rPr>
              <w:t xml:space="preserve"> the “officially unreachable” administrations referred to in section 3.2.4.2 of Addendum 2 to Document </w:t>
            </w:r>
            <w:r w:rsidRPr="007973C5">
              <w:rPr>
                <w:rFonts w:eastAsia="Calibri"/>
              </w:rPr>
              <w:t>4</w:t>
            </w:r>
            <w:r w:rsidRPr="007973C5">
              <w:rPr>
                <w:rFonts w:eastAsia="Calibri"/>
                <w:lang w:eastAsia="en-GB"/>
              </w:rPr>
              <w:t xml:space="preserve"> (Part II of Report of the Director to WRC-23).”</w:t>
            </w:r>
          </w:p>
          <w:p w14:paraId="45D05F57" w14:textId="77777777" w:rsidR="004D7F4E" w:rsidRPr="007973C5" w:rsidRDefault="004D7F4E" w:rsidP="004D7F4E">
            <w:pPr>
              <w:rPr>
                <w:rFonts w:eastAsia="Calibri"/>
                <w:lang w:eastAsia="en-GB"/>
              </w:rPr>
            </w:pPr>
            <w:r w:rsidRPr="007973C5">
              <w:rPr>
                <w:rFonts w:eastAsia="Calibri"/>
                <w:lang w:eastAsia="en-GB"/>
              </w:rPr>
              <w:t xml:space="preserve">“With regard to administrations with affected assignments in the Appendices </w:t>
            </w:r>
            <w:r w:rsidRPr="007973C5">
              <w:rPr>
                <w:rFonts w:eastAsia="Calibri"/>
                <w:b/>
                <w:bCs/>
                <w:lang w:eastAsia="en-GB"/>
              </w:rPr>
              <w:t>30</w:t>
            </w:r>
            <w:r w:rsidRPr="007973C5">
              <w:rPr>
                <w:rFonts w:eastAsia="Calibri"/>
                <w:lang w:eastAsia="en-GB"/>
              </w:rPr>
              <w:t xml:space="preserve"> and </w:t>
            </w:r>
            <w:r w:rsidRPr="007973C5">
              <w:rPr>
                <w:rFonts w:eastAsia="Calibri"/>
                <w:b/>
                <w:bCs/>
                <w:lang w:eastAsia="en-GB"/>
              </w:rPr>
              <w:t>30A</w:t>
            </w:r>
            <w:r w:rsidRPr="007973C5">
              <w:rPr>
                <w:rFonts w:eastAsia="Calibri"/>
                <w:lang w:eastAsia="en-GB"/>
              </w:rPr>
              <w:t xml:space="preserve"> Plan and/or affected allotments in the Appendix </w:t>
            </w:r>
            <w:r w:rsidRPr="007973C5">
              <w:rPr>
                <w:rFonts w:eastAsia="Calibri"/>
                <w:b/>
                <w:bCs/>
                <w:lang w:eastAsia="en-GB"/>
              </w:rPr>
              <w:t>30B</w:t>
            </w:r>
            <w:r w:rsidRPr="007973C5">
              <w:rPr>
                <w:rFonts w:eastAsia="Calibri"/>
                <w:lang w:eastAsia="en-GB"/>
              </w:rPr>
              <w:t xml:space="preserve"> Plan that have not replied to the second reminder of the Bureau referred to in § 4.1.10c of Appendices </w:t>
            </w:r>
            <w:r w:rsidRPr="007973C5">
              <w:rPr>
                <w:rFonts w:eastAsia="Calibri"/>
                <w:b/>
                <w:bCs/>
                <w:lang w:eastAsia="en-GB"/>
              </w:rPr>
              <w:t>30</w:t>
            </w:r>
            <w:r w:rsidRPr="007973C5">
              <w:rPr>
                <w:rFonts w:eastAsia="Calibri"/>
                <w:lang w:eastAsia="en-GB"/>
              </w:rPr>
              <w:t xml:space="preserve"> and </w:t>
            </w:r>
            <w:r w:rsidRPr="007973C5">
              <w:rPr>
                <w:rFonts w:eastAsia="Calibri"/>
                <w:b/>
                <w:bCs/>
                <w:lang w:eastAsia="en-GB"/>
              </w:rPr>
              <w:t>30A</w:t>
            </w:r>
            <w:r w:rsidRPr="007973C5">
              <w:rPr>
                <w:rFonts w:eastAsia="Calibri"/>
                <w:lang w:eastAsia="en-GB"/>
              </w:rPr>
              <w:t xml:space="preserve"> and/or § 6.14</w:t>
            </w:r>
            <w:r w:rsidRPr="007973C5">
              <w:rPr>
                <w:rFonts w:eastAsia="Calibri"/>
                <w:i/>
                <w:iCs/>
                <w:lang w:eastAsia="en-GB"/>
              </w:rPr>
              <w:t>bis</w:t>
            </w:r>
            <w:r w:rsidRPr="007973C5">
              <w:rPr>
                <w:rFonts w:eastAsia="Calibri"/>
                <w:lang w:eastAsia="en-GB"/>
              </w:rPr>
              <w:t xml:space="preserve"> of Appendix </w:t>
            </w:r>
            <w:r w:rsidRPr="007973C5">
              <w:rPr>
                <w:rFonts w:eastAsia="Calibri"/>
                <w:b/>
                <w:bCs/>
                <w:lang w:eastAsia="en-GB"/>
              </w:rPr>
              <w:t>30B</w:t>
            </w:r>
            <w:r w:rsidRPr="007973C5">
              <w:rPr>
                <w:rFonts w:eastAsia="Calibri"/>
                <w:lang w:eastAsia="en-GB"/>
              </w:rPr>
              <w:t xml:space="preserve">, as appropriate, WRC-23 urges the notifying administrations of Part B submissions, with the assistance of the Bureau, to exercise their utmost effort to avoid degrading the reference situation of the assignments/allotments concerned in the Appendices </w:t>
            </w:r>
            <w:r w:rsidRPr="007973C5">
              <w:rPr>
                <w:rFonts w:eastAsia="Calibri"/>
                <w:b/>
                <w:bCs/>
                <w:lang w:eastAsia="en-GB"/>
              </w:rPr>
              <w:t>30</w:t>
            </w:r>
            <w:r w:rsidRPr="007973C5">
              <w:rPr>
                <w:rFonts w:eastAsia="Calibri"/>
                <w:lang w:eastAsia="en-GB"/>
              </w:rPr>
              <w:t xml:space="preserve"> and </w:t>
            </w:r>
            <w:r w:rsidRPr="007973C5">
              <w:rPr>
                <w:rFonts w:eastAsia="Calibri"/>
                <w:b/>
                <w:bCs/>
                <w:lang w:eastAsia="en-GB"/>
              </w:rPr>
              <w:t>30A</w:t>
            </w:r>
            <w:r w:rsidRPr="007973C5">
              <w:rPr>
                <w:rFonts w:eastAsia="Calibri"/>
                <w:lang w:eastAsia="en-GB"/>
              </w:rPr>
              <w:t xml:space="preserve"> Plans and Appendix </w:t>
            </w:r>
            <w:r w:rsidRPr="007973C5">
              <w:rPr>
                <w:rFonts w:eastAsia="Calibri"/>
                <w:b/>
                <w:bCs/>
                <w:lang w:eastAsia="en-GB"/>
              </w:rPr>
              <w:t>30B</w:t>
            </w:r>
            <w:r w:rsidRPr="007973C5">
              <w:rPr>
                <w:rFonts w:eastAsia="Calibri"/>
                <w:lang w:eastAsia="en-GB"/>
              </w:rPr>
              <w:t xml:space="preserve"> Plan by modifying technical characteristics at the Part B stage.”</w:t>
            </w:r>
          </w:p>
          <w:p w14:paraId="65E6761A" w14:textId="77777777" w:rsidR="004D7F4E" w:rsidRPr="007973C5" w:rsidRDefault="004D7F4E" w:rsidP="004D7F4E">
            <w:pPr>
              <w:pStyle w:val="Headingb"/>
              <w:rPr>
                <w:lang w:val="en-GB" w:eastAsia="zh-CN"/>
              </w:rPr>
            </w:pPr>
            <w:r w:rsidRPr="007973C5">
              <w:rPr>
                <w:rFonts w:eastAsia="Calibri"/>
                <w:lang w:val="en-GB"/>
              </w:rPr>
              <w:lastRenderedPageBreak/>
              <w:t xml:space="preserve">Resolution 170 (WRC-19) relating to the generation of minimum </w:t>
            </w:r>
            <w:proofErr w:type="gramStart"/>
            <w:r w:rsidRPr="007973C5">
              <w:rPr>
                <w:rFonts w:eastAsia="Calibri"/>
                <w:lang w:val="en-GB"/>
              </w:rPr>
              <w:t>coverage</w:t>
            </w:r>
            <w:proofErr w:type="gramEnd"/>
          </w:p>
          <w:p w14:paraId="554DBA0E" w14:textId="77777777" w:rsidR="004D7F4E" w:rsidRPr="007973C5" w:rsidRDefault="004D7F4E" w:rsidP="004D7F4E">
            <w:pPr>
              <w:rPr>
                <w:rFonts w:eastAsia="Calibri"/>
              </w:rPr>
            </w:pPr>
            <w:r w:rsidRPr="007973C5">
              <w:rPr>
                <w:rFonts w:eastAsia="Calibri"/>
              </w:rPr>
              <w:t xml:space="preserve">“WRC-23 also instructs the Bureau to align the Rule of Procedure on Resolution </w:t>
            </w:r>
            <w:r w:rsidRPr="007973C5">
              <w:rPr>
                <w:rFonts w:eastAsia="Calibri"/>
                <w:b/>
                <w:bCs/>
              </w:rPr>
              <w:t>170 (WRC-19)</w:t>
            </w:r>
            <w:r w:rsidRPr="007973C5">
              <w:rPr>
                <w:rFonts w:eastAsia="Calibri"/>
              </w:rPr>
              <w:t xml:space="preserve"> with the relevant decisions of the conference related to the modifications to Appendices </w:t>
            </w:r>
            <w:r w:rsidRPr="007973C5">
              <w:rPr>
                <w:rFonts w:eastAsia="Calibri"/>
                <w:b/>
                <w:bCs/>
              </w:rPr>
              <w:t xml:space="preserve">30A </w:t>
            </w:r>
            <w:r w:rsidRPr="007973C5">
              <w:rPr>
                <w:rFonts w:eastAsia="Calibri"/>
              </w:rPr>
              <w:t>and</w:t>
            </w:r>
            <w:r w:rsidRPr="007973C5">
              <w:rPr>
                <w:rFonts w:eastAsia="Calibri"/>
                <w:b/>
                <w:bCs/>
              </w:rPr>
              <w:t> 30B</w:t>
            </w:r>
            <w:r w:rsidRPr="007973C5">
              <w:rPr>
                <w:rFonts w:eastAsia="Calibri"/>
              </w:rPr>
              <w:t xml:space="preserve"> adopted to address Agenda Item 7, Topic F.”</w:t>
            </w:r>
          </w:p>
          <w:p w14:paraId="21E79988" w14:textId="77777777" w:rsidR="004D7F4E" w:rsidRPr="007973C5" w:rsidRDefault="004D7F4E" w:rsidP="004D7F4E">
            <w:pPr>
              <w:pStyle w:val="Headingb"/>
              <w:rPr>
                <w:rFonts w:eastAsia="Calibri"/>
                <w:lang w:val="en-GB"/>
              </w:rPr>
            </w:pPr>
            <w:r w:rsidRPr="007973C5">
              <w:rPr>
                <w:rFonts w:eastAsia="Calibri"/>
                <w:lang w:val="en-GB"/>
              </w:rPr>
              <w:t xml:space="preserve">Implementation of modifications to Appendix 30A and Appendix 30B </w:t>
            </w:r>
          </w:p>
          <w:p w14:paraId="4CF9C634" w14:textId="77777777" w:rsidR="004D7F4E" w:rsidRPr="007973C5" w:rsidRDefault="004D7F4E" w:rsidP="004D7F4E">
            <w:pPr>
              <w:rPr>
                <w:rFonts w:eastAsia="Calibri"/>
              </w:rPr>
            </w:pPr>
            <w:r w:rsidRPr="007973C5">
              <w:rPr>
                <w:rFonts w:eastAsia="Calibri"/>
              </w:rPr>
              <w:t>“WRC-23 instructs the Bureau, when receiving a request for assistance from the notifying administrations of national or regional systems in relation to frequency coordination with affected administrations:</w:t>
            </w:r>
          </w:p>
          <w:p w14:paraId="2535A3E4" w14:textId="77777777" w:rsidR="004D7F4E" w:rsidRPr="007973C5" w:rsidRDefault="004D7F4E" w:rsidP="004D7F4E">
            <w:pPr>
              <w:pStyle w:val="enumlev1"/>
              <w:rPr>
                <w:rFonts w:eastAsia="Calibri"/>
              </w:rPr>
            </w:pPr>
            <w:r w:rsidRPr="007973C5">
              <w:rPr>
                <w:rFonts w:eastAsia="Calibri"/>
              </w:rPr>
              <w:t>–</w:t>
            </w:r>
            <w:r w:rsidRPr="007973C5">
              <w:rPr>
                <w:rFonts w:eastAsia="Calibri"/>
              </w:rPr>
              <w:tab/>
              <w:t xml:space="preserve">to assist in preparation of necessary material including but not limited to </w:t>
            </w:r>
            <w:r w:rsidRPr="007973C5">
              <w:rPr>
                <w:rFonts w:eastAsia="Calibri"/>
                <w:i/>
                <w:iCs/>
              </w:rPr>
              <w:t>C/I</w:t>
            </w:r>
            <w:r w:rsidRPr="007973C5">
              <w:rPr>
                <w:rFonts w:eastAsia="Calibri"/>
              </w:rPr>
              <w:t> calculations, interference analysis and link budget calculations.</w:t>
            </w:r>
          </w:p>
          <w:p w14:paraId="393C5244" w14:textId="2C2CDF2D" w:rsidR="004D7F4E" w:rsidRPr="007973C5" w:rsidRDefault="004D7F4E" w:rsidP="004D7F4E">
            <w:pPr>
              <w:pStyle w:val="enumlev1"/>
              <w:rPr>
                <w:lang w:val="en-CA"/>
              </w:rPr>
            </w:pPr>
            <w:r w:rsidRPr="007973C5">
              <w:rPr>
                <w:rFonts w:eastAsia="Calibri"/>
              </w:rPr>
              <w:t>–</w:t>
            </w:r>
            <w:r w:rsidRPr="007973C5">
              <w:rPr>
                <w:rFonts w:eastAsia="Calibri"/>
              </w:rPr>
              <w:tab/>
              <w:t xml:space="preserve">to participate in such coordination meetings </w:t>
            </w:r>
            <w:proofErr w:type="gramStart"/>
            <w:r w:rsidRPr="007973C5">
              <w:rPr>
                <w:rFonts w:eastAsia="Calibri"/>
              </w:rPr>
              <w:t>in order to</w:t>
            </w:r>
            <w:proofErr w:type="gramEnd"/>
            <w:r w:rsidRPr="007973C5">
              <w:rPr>
                <w:rFonts w:eastAsia="Calibri"/>
              </w:rPr>
              <w:t xml:space="preserve"> provide support and facilitate technical discussions/negotiations</w:t>
            </w:r>
            <w:r w:rsidRPr="007973C5">
              <w:rPr>
                <w:lang w:val="en-CA"/>
              </w:rPr>
              <w:t>.”</w:t>
            </w:r>
          </w:p>
        </w:tc>
      </w:tr>
      <w:tr w:rsidR="004D7F4E" w:rsidRPr="00B20114" w14:paraId="3EFECF4A" w14:textId="77777777" w:rsidTr="00333ACB">
        <w:trPr>
          <w:trHeight w:val="764"/>
        </w:trPr>
        <w:tc>
          <w:tcPr>
            <w:tcW w:w="1838" w:type="dxa"/>
          </w:tcPr>
          <w:p w14:paraId="6EA5D89E" w14:textId="600FB3E2" w:rsidR="004D7F4E" w:rsidRPr="00527F8E" w:rsidRDefault="004D7F4E" w:rsidP="004D7F4E">
            <w:pPr>
              <w:jc w:val="left"/>
              <w:rPr>
                <w:rFonts w:asciiTheme="minorHAnsi" w:hAnsiTheme="minorHAnsi" w:cstheme="minorHAnsi"/>
                <w:b/>
              </w:rPr>
            </w:pPr>
            <w:r w:rsidRPr="00527F8E">
              <w:rPr>
                <w:rFonts w:asciiTheme="minorHAnsi" w:hAnsiTheme="minorHAnsi" w:cstheme="minorHAnsi"/>
                <w:b/>
              </w:rPr>
              <w:lastRenderedPageBreak/>
              <w:t xml:space="preserve">Document </w:t>
            </w:r>
            <w:hyperlink r:id="rId58" w:history="1">
              <w:r w:rsidRPr="00527F8E">
                <w:rPr>
                  <w:rFonts w:asciiTheme="minorHAnsi" w:eastAsia="Calibri" w:hAnsiTheme="minorHAnsi" w:cstheme="minorHAnsi"/>
                  <w:color w:val="0563C1"/>
                  <w:kern w:val="2"/>
                  <w:u w:val="single"/>
                  <w:lang w:val="en-GB"/>
                  <w14:ligatures w14:val="standardContextual"/>
                </w:rPr>
                <w:t xml:space="preserve"> </w:t>
              </w:r>
              <w:r w:rsidRPr="00527F8E">
                <w:rPr>
                  <w:rFonts w:asciiTheme="minorHAnsi" w:eastAsia="Calibri" w:hAnsiTheme="minorHAnsi" w:cstheme="minorHAnsi"/>
                  <w:b/>
                  <w:bCs/>
                  <w:color w:val="0563C1"/>
                  <w:kern w:val="2"/>
                  <w:u w:val="single"/>
                  <w:lang w:val="en-GB"/>
                  <w14:ligatures w14:val="standardContextual"/>
                </w:rPr>
                <w:t>CMR23/528</w:t>
              </w:r>
            </w:hyperlink>
            <w:r w:rsidRPr="00527F8E">
              <w:rPr>
                <w:rFonts w:asciiTheme="minorHAnsi" w:hAnsiTheme="minorHAnsi" w:cstheme="minorHAnsi"/>
                <w:b/>
              </w:rPr>
              <w:t xml:space="preserve"> – Minutes of the thirteenth Plenary meeting</w:t>
            </w:r>
          </w:p>
        </w:tc>
        <w:tc>
          <w:tcPr>
            <w:tcW w:w="1733" w:type="dxa"/>
          </w:tcPr>
          <w:p w14:paraId="4D9B62DA" w14:textId="77777777" w:rsidR="004D7F4E" w:rsidRPr="00527F8E" w:rsidRDefault="004D7F4E" w:rsidP="004D7F4E">
            <w:pPr>
              <w:jc w:val="left"/>
              <w:rPr>
                <w:rFonts w:cs="Times"/>
                <w:b/>
              </w:rPr>
            </w:pPr>
            <w:r w:rsidRPr="00527F8E">
              <w:rPr>
                <w:rFonts w:cs="Times"/>
                <w:b/>
              </w:rPr>
              <w:t xml:space="preserve">§§ 25.1 and 25.2 </w:t>
            </w:r>
          </w:p>
          <w:p w14:paraId="624EF134" w14:textId="0AB4A5CB" w:rsidR="004D7F4E" w:rsidRPr="00527F8E" w:rsidRDefault="004D7F4E" w:rsidP="004D7F4E">
            <w:pPr>
              <w:jc w:val="left"/>
              <w:rPr>
                <w:rFonts w:cs="Times"/>
                <w:b/>
              </w:rPr>
            </w:pPr>
            <w:r w:rsidRPr="00527F8E">
              <w:rPr>
                <w:rFonts w:cs="Times"/>
                <w:b/>
              </w:rPr>
              <w:t xml:space="preserve">Approval of Document </w:t>
            </w:r>
            <w:hyperlink r:id="rId59" w:history="1">
              <w:r w:rsidRPr="00527F8E">
                <w:rPr>
                  <w:rStyle w:val="Hyperlink"/>
                  <w:rFonts w:cs="Times"/>
                  <w:b/>
                </w:rPr>
                <w:t>465</w:t>
              </w:r>
            </w:hyperlink>
          </w:p>
        </w:tc>
        <w:tc>
          <w:tcPr>
            <w:tcW w:w="10712" w:type="dxa"/>
          </w:tcPr>
          <w:p w14:paraId="1A9E1E58" w14:textId="5BA98CAF" w:rsidR="004D7F4E" w:rsidRPr="006D098C" w:rsidRDefault="004D7F4E" w:rsidP="004D7F4E">
            <w:pPr>
              <w:pStyle w:val="Headingb"/>
              <w:tabs>
                <w:tab w:val="clear" w:pos="794"/>
                <w:tab w:val="left" w:pos="0"/>
              </w:tabs>
              <w:ind w:left="8" w:hanging="8"/>
            </w:pPr>
            <w:r w:rsidRPr="00230610">
              <w:rPr>
                <w:b w:val="0"/>
              </w:rPr>
              <w:t xml:space="preserve">WRC-15, WRC-19 and WRC-23 could not reach agreement on the issue of the need for protection and the associated conditions of AMS/MMS stations operation in international airspace and waters in the 4 800-4 990 MHz band from IMT stations operating on national territories. Due to diverging views </w:t>
            </w:r>
            <w:proofErr w:type="gramStart"/>
            <w:r w:rsidRPr="00230610">
              <w:rPr>
                <w:b w:val="0"/>
              </w:rPr>
              <w:t>with regard to</w:t>
            </w:r>
            <w:proofErr w:type="gramEnd"/>
            <w:r w:rsidRPr="00230610">
              <w:rPr>
                <w:b w:val="0"/>
              </w:rPr>
              <w:t xml:space="preserve"> the relevance of a </w:t>
            </w:r>
            <w:proofErr w:type="spellStart"/>
            <w:r w:rsidRPr="00230610">
              <w:rPr>
                <w:b w:val="0"/>
              </w:rPr>
              <w:t>pfd</w:t>
            </w:r>
            <w:proofErr w:type="spellEnd"/>
            <w:r w:rsidRPr="00230610">
              <w:rPr>
                <w:b w:val="0"/>
              </w:rPr>
              <w:t xml:space="preserve"> criterion to protect AMS/MMS, its value, conditions and the frequency band for its application, no solution could be reached to resolve this issue and therefore the conference decided to keep the regulatory and technical conditions in No. </w:t>
            </w:r>
            <w:r w:rsidRPr="00230610">
              <w:rPr>
                <w:bCs/>
              </w:rPr>
              <w:t>5.441B</w:t>
            </w:r>
            <w:r w:rsidRPr="00230610">
              <w:rPr>
                <w:b w:val="0"/>
              </w:rPr>
              <w:t xml:space="preserve"> unchanged. The conference also decided not to continue further studies in this regard</w:t>
            </w:r>
            <w:r>
              <w:rPr>
                <w:b w:val="0"/>
              </w:rPr>
              <w:t>.</w:t>
            </w:r>
          </w:p>
        </w:tc>
      </w:tr>
      <w:bookmarkEnd w:id="0"/>
    </w:tbl>
    <w:p w14:paraId="2BA85C25" w14:textId="3F28886E" w:rsidR="00066E5D" w:rsidRDefault="00066E5D" w:rsidP="005E5C01">
      <w:pPr>
        <w:pStyle w:val="enumlev1"/>
        <w:tabs>
          <w:tab w:val="clear" w:pos="794"/>
          <w:tab w:val="clear" w:pos="1191"/>
          <w:tab w:val="clear" w:pos="1588"/>
          <w:tab w:val="clear" w:pos="1985"/>
        </w:tabs>
        <w:overflowPunct/>
        <w:autoSpaceDE/>
        <w:autoSpaceDN/>
        <w:adjustRightInd/>
        <w:spacing w:before="0" w:line="240" w:lineRule="auto"/>
        <w:ind w:left="0" w:firstLine="0"/>
        <w:jc w:val="lowKashida"/>
        <w:textAlignment w:val="auto"/>
        <w:rPr>
          <w:rFonts w:asciiTheme="minorHAnsi" w:eastAsiaTheme="majorEastAsia" w:hAnsiTheme="minorHAnsi" w:cstheme="minorHAnsi"/>
          <w:sz w:val="18"/>
          <w:szCs w:val="18"/>
        </w:rPr>
      </w:pPr>
    </w:p>
    <w:p w14:paraId="4BB4A73F" w14:textId="77777777" w:rsidR="00CE6D50" w:rsidRDefault="00CE6D50" w:rsidP="00411C49">
      <w:pPr>
        <w:pStyle w:val="Reasons"/>
      </w:pPr>
    </w:p>
    <w:p w14:paraId="6C80F9C5" w14:textId="77777777" w:rsidR="00CE6D50" w:rsidRDefault="00CE6D50">
      <w:pPr>
        <w:jc w:val="center"/>
      </w:pPr>
      <w:r>
        <w:t>______________</w:t>
      </w:r>
    </w:p>
    <w:p w14:paraId="1106C4B2" w14:textId="77777777" w:rsidR="00CE6D50" w:rsidRPr="00D653DE" w:rsidRDefault="00CE6D50" w:rsidP="005E5C01">
      <w:pPr>
        <w:pStyle w:val="enumlev1"/>
        <w:tabs>
          <w:tab w:val="clear" w:pos="794"/>
          <w:tab w:val="clear" w:pos="1191"/>
          <w:tab w:val="clear" w:pos="1588"/>
          <w:tab w:val="clear" w:pos="1985"/>
        </w:tabs>
        <w:overflowPunct/>
        <w:autoSpaceDE/>
        <w:autoSpaceDN/>
        <w:adjustRightInd/>
        <w:spacing w:before="0" w:line="240" w:lineRule="auto"/>
        <w:ind w:left="0" w:firstLine="0"/>
        <w:jc w:val="lowKashida"/>
        <w:textAlignment w:val="auto"/>
        <w:rPr>
          <w:rFonts w:asciiTheme="minorHAnsi" w:eastAsiaTheme="majorEastAsia" w:hAnsiTheme="minorHAnsi" w:cstheme="minorHAnsi"/>
          <w:sz w:val="18"/>
          <w:szCs w:val="18"/>
        </w:rPr>
      </w:pPr>
    </w:p>
    <w:sectPr w:rsidR="00CE6D50" w:rsidRPr="00D653DE" w:rsidSect="005E2B5D">
      <w:pgSz w:w="16834" w:h="11907" w:orient="landscape" w:code="9"/>
      <w:pgMar w:top="1134" w:right="1134" w:bottom="992" w:left="902" w:header="567" w:footer="21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CD695" w14:textId="77777777" w:rsidR="005E2B5D" w:rsidRDefault="005E2B5D">
      <w:r>
        <w:separator/>
      </w:r>
    </w:p>
  </w:endnote>
  <w:endnote w:type="continuationSeparator" w:id="0">
    <w:p w14:paraId="500E832C" w14:textId="77777777" w:rsidR="005E2B5D" w:rsidRDefault="005E2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8B47" w14:textId="77777777" w:rsidR="00443F9D" w:rsidRPr="005224A1" w:rsidRDefault="00443F9D" w:rsidP="00406D71">
    <w:pPr>
      <w:pStyle w:val="FirstFooter"/>
      <w:spacing w:before="0" w:line="240" w:lineRule="auto"/>
      <w:ind w:left="-397" w:right="-397"/>
      <w:rPr>
        <w:sz w:val="20"/>
        <w:szCs w:val="18"/>
      </w:rPr>
    </w:pPr>
  </w:p>
  <w:p w14:paraId="1C49379D" w14:textId="77777777" w:rsidR="00443F9D" w:rsidRPr="0070656B" w:rsidRDefault="00443F9D" w:rsidP="0070656B">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rFonts w:eastAsia="Times New Roman"/>
        <w:color w:val="4F81BD" w:themeColor="accent1"/>
        <w:sz w:val="19"/>
        <w:szCs w:val="19"/>
        <w:lang w:val="fr-CH"/>
      </w:rPr>
    </w:pPr>
    <w:r w:rsidRPr="0070656B">
      <w:rPr>
        <w:rFonts w:eastAsia="Times New Roman"/>
        <w:color w:val="4F81BD" w:themeColor="accent1"/>
        <w:sz w:val="19"/>
        <w:szCs w:val="19"/>
        <w:lang w:val="fr-CH"/>
      </w:rPr>
      <w:t xml:space="preserve">International </w:t>
    </w:r>
    <w:proofErr w:type="spellStart"/>
    <w:r w:rsidRPr="0070656B">
      <w:rPr>
        <w:rFonts w:eastAsia="Times New Roman"/>
        <w:color w:val="4F81BD" w:themeColor="accent1"/>
        <w:sz w:val="19"/>
        <w:szCs w:val="19"/>
        <w:lang w:val="fr-CH"/>
      </w:rPr>
      <w:t>Telecommunication</w:t>
    </w:r>
    <w:proofErr w:type="spellEnd"/>
    <w:r w:rsidRPr="0070656B">
      <w:rPr>
        <w:rFonts w:eastAsia="Times New Roman"/>
        <w:color w:val="4F81BD" w:themeColor="accent1"/>
        <w:sz w:val="19"/>
        <w:szCs w:val="19"/>
        <w:lang w:val="fr-CH"/>
      </w:rPr>
      <w:t xml:space="preserve"> Union • Place des Nations, CH</w:t>
    </w:r>
    <w:r w:rsidRPr="0070656B">
      <w:rPr>
        <w:rFonts w:eastAsia="Times New Roman"/>
        <w:color w:val="4F81BD" w:themeColor="accent1"/>
        <w:sz w:val="19"/>
        <w:szCs w:val="19"/>
        <w:lang w:val="fr-CH"/>
      </w:rPr>
      <w:noBreakHyphen/>
      <w:t xml:space="preserve">1211 Geneva 20, Switzerland • </w:t>
    </w:r>
    <w:r w:rsidRPr="0070656B">
      <w:rPr>
        <w:rFonts w:eastAsia="Times New Roman"/>
        <w:color w:val="4F81BD" w:themeColor="accent1"/>
        <w:sz w:val="19"/>
        <w:szCs w:val="19"/>
        <w:lang w:val="fr-CH"/>
      </w:rPr>
      <w:br/>
    </w:r>
    <w:proofErr w:type="gramStart"/>
    <w:r w:rsidRPr="0070656B">
      <w:rPr>
        <w:rFonts w:eastAsia="Times New Roman"/>
        <w:color w:val="4F81BD" w:themeColor="accent1"/>
        <w:sz w:val="19"/>
        <w:szCs w:val="19"/>
        <w:lang w:val="fr-CH"/>
      </w:rPr>
      <w:t>Tel:</w:t>
    </w:r>
    <w:proofErr w:type="gramEnd"/>
    <w:r w:rsidRPr="0070656B">
      <w:rPr>
        <w:rFonts w:eastAsia="Times New Roman"/>
        <w:color w:val="4F81BD" w:themeColor="accent1"/>
        <w:sz w:val="19"/>
        <w:szCs w:val="19"/>
        <w:lang w:val="fr-CH"/>
      </w:rPr>
      <w:t xml:space="preserve"> +41 22 730 5111 • E-mail: </w:t>
    </w:r>
    <w:hyperlink r:id="rId1" w:history="1">
      <w:r w:rsidRPr="0070656B">
        <w:rPr>
          <w:rFonts w:eastAsia="Times New Roman"/>
          <w:color w:val="0000FF"/>
          <w:sz w:val="19"/>
          <w:szCs w:val="19"/>
          <w:u w:val="single"/>
          <w:lang w:val="fr-CH"/>
        </w:rPr>
        <w:t>itumail@itu.int</w:t>
      </w:r>
    </w:hyperlink>
    <w:r w:rsidRPr="0070656B">
      <w:rPr>
        <w:rFonts w:eastAsia="Times New Roman"/>
        <w:color w:val="4F81BD" w:themeColor="accent1"/>
        <w:sz w:val="19"/>
        <w:szCs w:val="19"/>
        <w:lang w:val="fr-CH"/>
      </w:rPr>
      <w:t xml:space="preserve">  • </w:t>
    </w:r>
    <w:r w:rsidRPr="0070656B">
      <w:rPr>
        <w:rFonts w:eastAsia="Times New Roman"/>
        <w:color w:val="3E8EDE"/>
        <w:sz w:val="18"/>
        <w:szCs w:val="18"/>
        <w:lang w:val="fr-CH"/>
      </w:rPr>
      <w:t xml:space="preserve">Fax: +41 22 733 7256 </w:t>
    </w:r>
    <w:r w:rsidRPr="0070656B">
      <w:rPr>
        <w:rFonts w:eastAsia="Times New Roman"/>
        <w:color w:val="4F81BD" w:themeColor="accent1"/>
        <w:sz w:val="19"/>
        <w:szCs w:val="19"/>
        <w:lang w:val="fr-CH"/>
      </w:rPr>
      <w:t>• www.itu.int</w:t>
    </w:r>
  </w:p>
  <w:p w14:paraId="7957F140" w14:textId="77777777" w:rsidR="00443F9D" w:rsidRPr="005E5EB3" w:rsidRDefault="00443F9D" w:rsidP="00A2671E">
    <w:pPr>
      <w:pStyle w:val="FirstFooter"/>
      <w:spacing w:line="240" w:lineRule="auto"/>
      <w:ind w:right="-397"/>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34B49" w14:textId="77777777" w:rsidR="005E2B5D" w:rsidRDefault="005E2B5D">
      <w:r>
        <w:t>____________________</w:t>
      </w:r>
    </w:p>
  </w:footnote>
  <w:footnote w:type="continuationSeparator" w:id="0">
    <w:p w14:paraId="30FF6E1E" w14:textId="77777777" w:rsidR="005E2B5D" w:rsidRDefault="005E2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D255" w14:textId="77777777" w:rsidR="00443F9D" w:rsidRPr="000D79FA" w:rsidRDefault="00443F9D" w:rsidP="002A6CEE">
    <w:pPr>
      <w:pStyle w:val="Header"/>
      <w:jc w:val="center"/>
      <w:rPr>
        <w:sz w:val="18"/>
        <w:szCs w:val="18"/>
      </w:rPr>
    </w:pPr>
    <w:r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Pr>
        <w:noProof/>
        <w:sz w:val="18"/>
        <w:szCs w:val="18"/>
      </w:rPr>
      <w:t>6</w:t>
    </w:r>
    <w:r w:rsidRPr="000D79FA">
      <w:rPr>
        <w:sz w:val="18"/>
        <w:szCs w:val="18"/>
      </w:rPr>
      <w:fldChar w:fldCharType="end"/>
    </w:r>
    <w:r w:rsidRPr="000D79FA">
      <w:rPr>
        <w:sz w:val="18"/>
        <w:szCs w:val="18"/>
      </w:rPr>
      <w:t xml:space="preserve"> -</w:t>
    </w:r>
  </w:p>
  <w:p w14:paraId="0F498E93" w14:textId="7DCF0480" w:rsidR="00443F9D" w:rsidRPr="002A6CEE" w:rsidRDefault="00443F9D" w:rsidP="002A6CEE">
    <w:pPr>
      <w:pStyle w:val="Header"/>
    </w:pPr>
  </w:p>
  <w:p w14:paraId="6E779C40" w14:textId="77777777" w:rsidR="00443F9D" w:rsidRDefault="00443F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80137" w14:textId="2AD3FA10" w:rsidR="00443F9D" w:rsidRPr="000D79FA" w:rsidRDefault="00443F9D" w:rsidP="00B4508C">
    <w:pPr>
      <w:pStyle w:val="Header"/>
      <w:jc w:val="center"/>
      <w:rPr>
        <w:sz w:val="18"/>
        <w:szCs w:val="18"/>
      </w:rPr>
    </w:pPr>
    <w:r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Pr>
        <w:noProof/>
        <w:sz w:val="18"/>
        <w:szCs w:val="18"/>
      </w:rPr>
      <w:t>21</w:t>
    </w:r>
    <w:r w:rsidRPr="000D79FA">
      <w:rPr>
        <w:sz w:val="18"/>
        <w:szCs w:val="18"/>
      </w:rPr>
      <w:fldChar w:fldCharType="end"/>
    </w:r>
    <w:r w:rsidRPr="000D79FA">
      <w:rPr>
        <w:sz w:val="18"/>
        <w:szCs w:val="18"/>
      </w:rPr>
      <w:t xml:space="preserve"> -</w:t>
    </w:r>
  </w:p>
  <w:p w14:paraId="7ECEDF31" w14:textId="77777777" w:rsidR="00443F9D" w:rsidRDefault="00443F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5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3"/>
    </w:tblGrid>
    <w:tr w:rsidR="00443F9D" w14:paraId="6A118B91" w14:textId="77777777" w:rsidTr="001700C9">
      <w:tc>
        <w:tcPr>
          <w:tcW w:w="9955" w:type="dxa"/>
          <w:noWrap/>
          <w:tcMar>
            <w:left w:w="0" w:type="dxa"/>
          </w:tcMar>
        </w:tcPr>
        <w:p w14:paraId="348B964B" w14:textId="3919A80F" w:rsidR="00443F9D" w:rsidRDefault="00443F9D" w:rsidP="00BE22B9">
          <w:pPr>
            <w:pStyle w:val="Header"/>
            <w:spacing w:before="120" w:line="360" w:lineRule="auto"/>
            <w:jc w:val="center"/>
          </w:pPr>
          <w:r w:rsidRPr="008E52B1">
            <w:rPr>
              <w:noProof/>
              <w:color w:val="3399FF"/>
              <w:lang w:val="en-GB" w:eastAsia="zh-CN"/>
            </w:rPr>
            <w:drawing>
              <wp:inline distT="0" distB="0" distL="0" distR="0" wp14:anchorId="6179D6AD" wp14:editId="1A2D93D3">
                <wp:extent cx="838200" cy="838200"/>
                <wp:effectExtent l="0" t="0" r="0" b="0"/>
                <wp:docPr id="2092979153" name="Picture 2092979153"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3E242F17" w14:textId="77777777" w:rsidR="00443F9D" w:rsidRPr="00EA15B3" w:rsidRDefault="00443F9D" w:rsidP="00737279">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2AA6122"/>
    <w:multiLevelType w:val="hybridMultilevel"/>
    <w:tmpl w:val="9176C87A"/>
    <w:lvl w:ilvl="0" w:tplc="88C2E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AC3ECA"/>
    <w:multiLevelType w:val="hybridMultilevel"/>
    <w:tmpl w:val="782489BE"/>
    <w:lvl w:ilvl="0" w:tplc="51D834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E2B4B"/>
    <w:multiLevelType w:val="hybridMultilevel"/>
    <w:tmpl w:val="CAA0E3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113D01"/>
    <w:multiLevelType w:val="hybridMultilevel"/>
    <w:tmpl w:val="E95ADFB0"/>
    <w:lvl w:ilvl="0" w:tplc="EB8AA4F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5106E"/>
    <w:multiLevelType w:val="hybridMultilevel"/>
    <w:tmpl w:val="9D16FCA8"/>
    <w:lvl w:ilvl="0" w:tplc="7A3E20D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2D4E55"/>
    <w:multiLevelType w:val="hybridMultilevel"/>
    <w:tmpl w:val="EADC9596"/>
    <w:lvl w:ilvl="0" w:tplc="4D10B512">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F5492E"/>
    <w:multiLevelType w:val="hybridMultilevel"/>
    <w:tmpl w:val="867CE624"/>
    <w:lvl w:ilvl="0" w:tplc="D5B2A5E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2" w15:restartNumberingAfterBreak="0">
    <w:nsid w:val="4CF92693"/>
    <w:multiLevelType w:val="hybridMultilevel"/>
    <w:tmpl w:val="F24E5124"/>
    <w:lvl w:ilvl="0" w:tplc="4E14C930">
      <w:start w:val="2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8018F2"/>
    <w:multiLevelType w:val="hybridMultilevel"/>
    <w:tmpl w:val="5F2EC17E"/>
    <w:lvl w:ilvl="0" w:tplc="20CE0814">
      <w:start w:val="20"/>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7D0217F"/>
    <w:multiLevelType w:val="multilevel"/>
    <w:tmpl w:val="828C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010000"/>
    <w:multiLevelType w:val="hybridMultilevel"/>
    <w:tmpl w:val="2D22F5D4"/>
    <w:lvl w:ilvl="0" w:tplc="5210B4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EB4F0E"/>
    <w:multiLevelType w:val="hybridMultilevel"/>
    <w:tmpl w:val="126C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945037"/>
    <w:multiLevelType w:val="hybridMultilevel"/>
    <w:tmpl w:val="120A6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B172598"/>
    <w:multiLevelType w:val="hybridMultilevel"/>
    <w:tmpl w:val="44DABA12"/>
    <w:lvl w:ilvl="0" w:tplc="DBE43624">
      <w:start w:val="1"/>
      <w:numFmt w:val="decimal"/>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7DD93989"/>
    <w:multiLevelType w:val="hybridMultilevel"/>
    <w:tmpl w:val="B90EE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117760"/>
    <w:multiLevelType w:val="hybridMultilevel"/>
    <w:tmpl w:val="03C6FB12"/>
    <w:lvl w:ilvl="0" w:tplc="45320D7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85492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5825991">
    <w:abstractNumId w:val="8"/>
  </w:num>
  <w:num w:numId="3" w16cid:durableId="2000494391">
    <w:abstractNumId w:val="6"/>
  </w:num>
  <w:num w:numId="4" w16cid:durableId="918179450">
    <w:abstractNumId w:val="14"/>
  </w:num>
  <w:num w:numId="5" w16cid:durableId="1647196085">
    <w:abstractNumId w:val="7"/>
  </w:num>
  <w:num w:numId="6" w16cid:durableId="1556697069">
    <w:abstractNumId w:val="4"/>
  </w:num>
  <w:num w:numId="7" w16cid:durableId="1958944306">
    <w:abstractNumId w:val="19"/>
  </w:num>
  <w:num w:numId="8" w16cid:durableId="1480342832">
    <w:abstractNumId w:val="18"/>
  </w:num>
  <w:num w:numId="9" w16cid:durableId="421487311">
    <w:abstractNumId w:val="10"/>
  </w:num>
  <w:num w:numId="10" w16cid:durableId="830604927">
    <w:abstractNumId w:val="5"/>
  </w:num>
  <w:num w:numId="11" w16cid:durableId="1492405751">
    <w:abstractNumId w:val="16"/>
  </w:num>
  <w:num w:numId="12" w16cid:durableId="1643190160">
    <w:abstractNumId w:val="15"/>
  </w:num>
  <w:num w:numId="13" w16cid:durableId="55051256">
    <w:abstractNumId w:val="20"/>
  </w:num>
  <w:num w:numId="14" w16cid:durableId="188227243">
    <w:abstractNumId w:val="9"/>
  </w:num>
  <w:num w:numId="15" w16cid:durableId="877938513">
    <w:abstractNumId w:val="12"/>
  </w:num>
  <w:num w:numId="16" w16cid:durableId="1372651705">
    <w:abstractNumId w:val="13"/>
  </w:num>
  <w:num w:numId="17" w16cid:durableId="4180194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37559"/>
    <w:rsid w:val="00006A31"/>
    <w:rsid w:val="00006C82"/>
    <w:rsid w:val="00007E7D"/>
    <w:rsid w:val="00010E30"/>
    <w:rsid w:val="00015C76"/>
    <w:rsid w:val="000171D1"/>
    <w:rsid w:val="0001764B"/>
    <w:rsid w:val="00022AAC"/>
    <w:rsid w:val="000235F4"/>
    <w:rsid w:val="00023A87"/>
    <w:rsid w:val="00026CF8"/>
    <w:rsid w:val="000304E3"/>
    <w:rsid w:val="00031E64"/>
    <w:rsid w:val="000333D2"/>
    <w:rsid w:val="00034BB5"/>
    <w:rsid w:val="00034BBD"/>
    <w:rsid w:val="00043C9A"/>
    <w:rsid w:val="000449B0"/>
    <w:rsid w:val="000468B6"/>
    <w:rsid w:val="00047C98"/>
    <w:rsid w:val="000507DC"/>
    <w:rsid w:val="00051709"/>
    <w:rsid w:val="00054E5D"/>
    <w:rsid w:val="00066E5D"/>
    <w:rsid w:val="00070258"/>
    <w:rsid w:val="0007323C"/>
    <w:rsid w:val="00085769"/>
    <w:rsid w:val="00086D03"/>
    <w:rsid w:val="0009790E"/>
    <w:rsid w:val="00097D46"/>
    <w:rsid w:val="000A1D1B"/>
    <w:rsid w:val="000A2BD9"/>
    <w:rsid w:val="000A43DF"/>
    <w:rsid w:val="000A445E"/>
    <w:rsid w:val="000A7051"/>
    <w:rsid w:val="000B0032"/>
    <w:rsid w:val="000B0AF6"/>
    <w:rsid w:val="000B0E9B"/>
    <w:rsid w:val="000B6635"/>
    <w:rsid w:val="000C03C7"/>
    <w:rsid w:val="000C0E2D"/>
    <w:rsid w:val="000C10EF"/>
    <w:rsid w:val="000C15F9"/>
    <w:rsid w:val="000D288A"/>
    <w:rsid w:val="000D79FA"/>
    <w:rsid w:val="000E39AD"/>
    <w:rsid w:val="000E3DEE"/>
    <w:rsid w:val="000F38B2"/>
    <w:rsid w:val="000F6541"/>
    <w:rsid w:val="000F66B1"/>
    <w:rsid w:val="00100B72"/>
    <w:rsid w:val="00101F7D"/>
    <w:rsid w:val="00103C76"/>
    <w:rsid w:val="001102A8"/>
    <w:rsid w:val="0011265F"/>
    <w:rsid w:val="0011553E"/>
    <w:rsid w:val="00117282"/>
    <w:rsid w:val="00122884"/>
    <w:rsid w:val="00126AE4"/>
    <w:rsid w:val="00134404"/>
    <w:rsid w:val="00136BFD"/>
    <w:rsid w:val="00137ECC"/>
    <w:rsid w:val="00140767"/>
    <w:rsid w:val="00142634"/>
    <w:rsid w:val="00142E6E"/>
    <w:rsid w:val="00143BB6"/>
    <w:rsid w:val="00144DFB"/>
    <w:rsid w:val="0014624F"/>
    <w:rsid w:val="00146F88"/>
    <w:rsid w:val="00151DDC"/>
    <w:rsid w:val="00152E29"/>
    <w:rsid w:val="00154BF4"/>
    <w:rsid w:val="00156404"/>
    <w:rsid w:val="00164A74"/>
    <w:rsid w:val="00165B3D"/>
    <w:rsid w:val="001700C9"/>
    <w:rsid w:val="00180B2F"/>
    <w:rsid w:val="00184F53"/>
    <w:rsid w:val="00187CA3"/>
    <w:rsid w:val="0019129E"/>
    <w:rsid w:val="001956AA"/>
    <w:rsid w:val="00196710"/>
    <w:rsid w:val="00197324"/>
    <w:rsid w:val="001B29EE"/>
    <w:rsid w:val="001B351B"/>
    <w:rsid w:val="001B6254"/>
    <w:rsid w:val="001B734E"/>
    <w:rsid w:val="001C06DB"/>
    <w:rsid w:val="001C2E84"/>
    <w:rsid w:val="001C39B7"/>
    <w:rsid w:val="001C69E3"/>
    <w:rsid w:val="001C71F3"/>
    <w:rsid w:val="001D4E1D"/>
    <w:rsid w:val="001D7070"/>
    <w:rsid w:val="001E07B8"/>
    <w:rsid w:val="001E2A93"/>
    <w:rsid w:val="001F2339"/>
    <w:rsid w:val="001F3F48"/>
    <w:rsid w:val="001F4D00"/>
    <w:rsid w:val="001F5966"/>
    <w:rsid w:val="001F5A49"/>
    <w:rsid w:val="002004E7"/>
    <w:rsid w:val="00201097"/>
    <w:rsid w:val="00201B6E"/>
    <w:rsid w:val="00202D26"/>
    <w:rsid w:val="00204F26"/>
    <w:rsid w:val="00216AFD"/>
    <w:rsid w:val="00216B9C"/>
    <w:rsid w:val="002302B3"/>
    <w:rsid w:val="00230610"/>
    <w:rsid w:val="00230C66"/>
    <w:rsid w:val="00235A29"/>
    <w:rsid w:val="00240F91"/>
    <w:rsid w:val="002443A2"/>
    <w:rsid w:val="00250D4F"/>
    <w:rsid w:val="002527DF"/>
    <w:rsid w:val="00257A19"/>
    <w:rsid w:val="00261D5F"/>
    <w:rsid w:val="00263235"/>
    <w:rsid w:val="00266E2B"/>
    <w:rsid w:val="00274AEA"/>
    <w:rsid w:val="00275F69"/>
    <w:rsid w:val="002849C7"/>
    <w:rsid w:val="002861E6"/>
    <w:rsid w:val="00287D18"/>
    <w:rsid w:val="00295CF8"/>
    <w:rsid w:val="002A17C1"/>
    <w:rsid w:val="002A2618"/>
    <w:rsid w:val="002A6CEE"/>
    <w:rsid w:val="002B4549"/>
    <w:rsid w:val="002D01C2"/>
    <w:rsid w:val="002D585E"/>
    <w:rsid w:val="002D5A15"/>
    <w:rsid w:val="002D5ADC"/>
    <w:rsid w:val="002D5BDD"/>
    <w:rsid w:val="002E2AFE"/>
    <w:rsid w:val="002E3D27"/>
    <w:rsid w:val="002E5BED"/>
    <w:rsid w:val="002F0890"/>
    <w:rsid w:val="002F0A0D"/>
    <w:rsid w:val="002F2531"/>
    <w:rsid w:val="002F4967"/>
    <w:rsid w:val="002F499F"/>
    <w:rsid w:val="00300102"/>
    <w:rsid w:val="00300DB9"/>
    <w:rsid w:val="00313CF5"/>
    <w:rsid w:val="00316935"/>
    <w:rsid w:val="00327A42"/>
    <w:rsid w:val="00330DAF"/>
    <w:rsid w:val="00333ACB"/>
    <w:rsid w:val="00335CB4"/>
    <w:rsid w:val="003370B8"/>
    <w:rsid w:val="00337C74"/>
    <w:rsid w:val="00343BD0"/>
    <w:rsid w:val="00345D38"/>
    <w:rsid w:val="00347561"/>
    <w:rsid w:val="00350B86"/>
    <w:rsid w:val="00352877"/>
    <w:rsid w:val="00362140"/>
    <w:rsid w:val="003666FF"/>
    <w:rsid w:val="00367724"/>
    <w:rsid w:val="003677DA"/>
    <w:rsid w:val="00370639"/>
    <w:rsid w:val="003720E3"/>
    <w:rsid w:val="003A1F49"/>
    <w:rsid w:val="003A226A"/>
    <w:rsid w:val="003B02DF"/>
    <w:rsid w:val="003B2BDA"/>
    <w:rsid w:val="003B55EC"/>
    <w:rsid w:val="003C2B69"/>
    <w:rsid w:val="003C4471"/>
    <w:rsid w:val="003E41DB"/>
    <w:rsid w:val="003E504F"/>
    <w:rsid w:val="003E6061"/>
    <w:rsid w:val="003E6F09"/>
    <w:rsid w:val="003E78D6"/>
    <w:rsid w:val="003F38A5"/>
    <w:rsid w:val="003F3A0C"/>
    <w:rsid w:val="003F6A1B"/>
    <w:rsid w:val="00402667"/>
    <w:rsid w:val="00403D58"/>
    <w:rsid w:val="00404788"/>
    <w:rsid w:val="00406D71"/>
    <w:rsid w:val="00407169"/>
    <w:rsid w:val="0041247F"/>
    <w:rsid w:val="00415160"/>
    <w:rsid w:val="00420791"/>
    <w:rsid w:val="0042652F"/>
    <w:rsid w:val="00431B02"/>
    <w:rsid w:val="004324F8"/>
    <w:rsid w:val="004326DB"/>
    <w:rsid w:val="0043682E"/>
    <w:rsid w:val="004369F2"/>
    <w:rsid w:val="00441AD7"/>
    <w:rsid w:val="00443F9D"/>
    <w:rsid w:val="00447ECB"/>
    <w:rsid w:val="0045277D"/>
    <w:rsid w:val="004530A4"/>
    <w:rsid w:val="00457403"/>
    <w:rsid w:val="004575EB"/>
    <w:rsid w:val="004623F7"/>
    <w:rsid w:val="00463512"/>
    <w:rsid w:val="00463CE7"/>
    <w:rsid w:val="00463EF0"/>
    <w:rsid w:val="0047245B"/>
    <w:rsid w:val="00480F51"/>
    <w:rsid w:val="00480FE5"/>
    <w:rsid w:val="00481124"/>
    <w:rsid w:val="004815EB"/>
    <w:rsid w:val="004853AD"/>
    <w:rsid w:val="00486571"/>
    <w:rsid w:val="00487569"/>
    <w:rsid w:val="00494933"/>
    <w:rsid w:val="00496864"/>
    <w:rsid w:val="00496920"/>
    <w:rsid w:val="004A1F27"/>
    <w:rsid w:val="004A4496"/>
    <w:rsid w:val="004A451F"/>
    <w:rsid w:val="004B11AB"/>
    <w:rsid w:val="004B58FC"/>
    <w:rsid w:val="004B7C9A"/>
    <w:rsid w:val="004C13E7"/>
    <w:rsid w:val="004C38A1"/>
    <w:rsid w:val="004C6779"/>
    <w:rsid w:val="004D020F"/>
    <w:rsid w:val="004D0E51"/>
    <w:rsid w:val="004D4ED0"/>
    <w:rsid w:val="004D7F4E"/>
    <w:rsid w:val="004E0712"/>
    <w:rsid w:val="004E0DC4"/>
    <w:rsid w:val="004E0FB5"/>
    <w:rsid w:val="004E43BB"/>
    <w:rsid w:val="004E486B"/>
    <w:rsid w:val="004E677B"/>
    <w:rsid w:val="004F1016"/>
    <w:rsid w:val="004F178E"/>
    <w:rsid w:val="004F1F97"/>
    <w:rsid w:val="00505309"/>
    <w:rsid w:val="0050789B"/>
    <w:rsid w:val="00512C49"/>
    <w:rsid w:val="00513B88"/>
    <w:rsid w:val="00516901"/>
    <w:rsid w:val="00520189"/>
    <w:rsid w:val="005224A1"/>
    <w:rsid w:val="00527F8E"/>
    <w:rsid w:val="005332A6"/>
    <w:rsid w:val="00534372"/>
    <w:rsid w:val="0053796C"/>
    <w:rsid w:val="00541C5B"/>
    <w:rsid w:val="00543DF8"/>
    <w:rsid w:val="0054475A"/>
    <w:rsid w:val="00546101"/>
    <w:rsid w:val="005530B1"/>
    <w:rsid w:val="00553DD7"/>
    <w:rsid w:val="005628BA"/>
    <w:rsid w:val="005638CF"/>
    <w:rsid w:val="00563FF1"/>
    <w:rsid w:val="0056641D"/>
    <w:rsid w:val="0056741E"/>
    <w:rsid w:val="0057325A"/>
    <w:rsid w:val="0057469A"/>
    <w:rsid w:val="00580814"/>
    <w:rsid w:val="00586DD6"/>
    <w:rsid w:val="00591708"/>
    <w:rsid w:val="00595966"/>
    <w:rsid w:val="005A03A3"/>
    <w:rsid w:val="005A2AAA"/>
    <w:rsid w:val="005A2B92"/>
    <w:rsid w:val="005A6F41"/>
    <w:rsid w:val="005A79E9"/>
    <w:rsid w:val="005B214C"/>
    <w:rsid w:val="005C3112"/>
    <w:rsid w:val="005D3669"/>
    <w:rsid w:val="005D4416"/>
    <w:rsid w:val="005E2B5D"/>
    <w:rsid w:val="005E5C01"/>
    <w:rsid w:val="005E5EB3"/>
    <w:rsid w:val="005F3CB6"/>
    <w:rsid w:val="005F657C"/>
    <w:rsid w:val="005F74B8"/>
    <w:rsid w:val="00602D53"/>
    <w:rsid w:val="0060417B"/>
    <w:rsid w:val="006047E5"/>
    <w:rsid w:val="00606D6A"/>
    <w:rsid w:val="00617DC5"/>
    <w:rsid w:val="00627CE1"/>
    <w:rsid w:val="006310E5"/>
    <w:rsid w:val="00637CAB"/>
    <w:rsid w:val="006402E9"/>
    <w:rsid w:val="0064371D"/>
    <w:rsid w:val="00650B2A"/>
    <w:rsid w:val="00651777"/>
    <w:rsid w:val="006550F8"/>
    <w:rsid w:val="006554AB"/>
    <w:rsid w:val="00655A02"/>
    <w:rsid w:val="00655C3A"/>
    <w:rsid w:val="00657F12"/>
    <w:rsid w:val="006800E8"/>
    <w:rsid w:val="00683247"/>
    <w:rsid w:val="00684EE0"/>
    <w:rsid w:val="00690A1B"/>
    <w:rsid w:val="006961E4"/>
    <w:rsid w:val="00696EEE"/>
    <w:rsid w:val="00697EE0"/>
    <w:rsid w:val="006A115B"/>
    <w:rsid w:val="006A49DC"/>
    <w:rsid w:val="006A518B"/>
    <w:rsid w:val="006A5B9A"/>
    <w:rsid w:val="006A6A97"/>
    <w:rsid w:val="006B04B7"/>
    <w:rsid w:val="006B0590"/>
    <w:rsid w:val="006B1E9D"/>
    <w:rsid w:val="006B49DA"/>
    <w:rsid w:val="006C3ACE"/>
    <w:rsid w:val="006C7CDE"/>
    <w:rsid w:val="006D214D"/>
    <w:rsid w:val="006D7045"/>
    <w:rsid w:val="006D70FC"/>
    <w:rsid w:val="006F1A35"/>
    <w:rsid w:val="006F72B3"/>
    <w:rsid w:val="007038CC"/>
    <w:rsid w:val="0070656B"/>
    <w:rsid w:val="00706A2D"/>
    <w:rsid w:val="00714AE6"/>
    <w:rsid w:val="0071658E"/>
    <w:rsid w:val="00716E7D"/>
    <w:rsid w:val="00723284"/>
    <w:rsid w:val="007234B1"/>
    <w:rsid w:val="00726A6E"/>
    <w:rsid w:val="00727816"/>
    <w:rsid w:val="00730B9A"/>
    <w:rsid w:val="00733CB4"/>
    <w:rsid w:val="00737279"/>
    <w:rsid w:val="0074244F"/>
    <w:rsid w:val="00742E77"/>
    <w:rsid w:val="007502DB"/>
    <w:rsid w:val="00750CFA"/>
    <w:rsid w:val="00754007"/>
    <w:rsid w:val="007553DA"/>
    <w:rsid w:val="0077544F"/>
    <w:rsid w:val="00782354"/>
    <w:rsid w:val="007844DE"/>
    <w:rsid w:val="007921A7"/>
    <w:rsid w:val="007973C5"/>
    <w:rsid w:val="007A7AB6"/>
    <w:rsid w:val="007B26FA"/>
    <w:rsid w:val="007B3DB1"/>
    <w:rsid w:val="007B7498"/>
    <w:rsid w:val="007C1309"/>
    <w:rsid w:val="007C382F"/>
    <w:rsid w:val="007D0A21"/>
    <w:rsid w:val="007D183E"/>
    <w:rsid w:val="007D55ED"/>
    <w:rsid w:val="007D6846"/>
    <w:rsid w:val="007E0B73"/>
    <w:rsid w:val="007E0E94"/>
    <w:rsid w:val="007E1833"/>
    <w:rsid w:val="007E3F13"/>
    <w:rsid w:val="007F2786"/>
    <w:rsid w:val="007F4C50"/>
    <w:rsid w:val="007F7046"/>
    <w:rsid w:val="007F751A"/>
    <w:rsid w:val="00800012"/>
    <w:rsid w:val="008027B9"/>
    <w:rsid w:val="00803594"/>
    <w:rsid w:val="00803AED"/>
    <w:rsid w:val="0081338A"/>
    <w:rsid w:val="008143A4"/>
    <w:rsid w:val="0081513E"/>
    <w:rsid w:val="00821311"/>
    <w:rsid w:val="00827FDD"/>
    <w:rsid w:val="008366B5"/>
    <w:rsid w:val="0084118D"/>
    <w:rsid w:val="00852EC3"/>
    <w:rsid w:val="00854131"/>
    <w:rsid w:val="0085652D"/>
    <w:rsid w:val="00861A14"/>
    <w:rsid w:val="00874ED2"/>
    <w:rsid w:val="0087694B"/>
    <w:rsid w:val="008864F8"/>
    <w:rsid w:val="008871A4"/>
    <w:rsid w:val="00887EE8"/>
    <w:rsid w:val="00894C14"/>
    <w:rsid w:val="0089578B"/>
    <w:rsid w:val="008A1AC2"/>
    <w:rsid w:val="008A75CD"/>
    <w:rsid w:val="008B48B2"/>
    <w:rsid w:val="008B7BE5"/>
    <w:rsid w:val="008C0966"/>
    <w:rsid w:val="008C2E74"/>
    <w:rsid w:val="008C42C7"/>
    <w:rsid w:val="008C78B8"/>
    <w:rsid w:val="008D0FCC"/>
    <w:rsid w:val="008D2DF9"/>
    <w:rsid w:val="008D5409"/>
    <w:rsid w:val="008D7618"/>
    <w:rsid w:val="008E006D"/>
    <w:rsid w:val="008E485B"/>
    <w:rsid w:val="008F24E0"/>
    <w:rsid w:val="008F3A1F"/>
    <w:rsid w:val="008F4D10"/>
    <w:rsid w:val="008F4F21"/>
    <w:rsid w:val="00904D4A"/>
    <w:rsid w:val="00912ECB"/>
    <w:rsid w:val="00913693"/>
    <w:rsid w:val="009141DE"/>
    <w:rsid w:val="009151BA"/>
    <w:rsid w:val="00917B0A"/>
    <w:rsid w:val="00925023"/>
    <w:rsid w:val="009277BC"/>
    <w:rsid w:val="00927D57"/>
    <w:rsid w:val="00931A51"/>
    <w:rsid w:val="009323DA"/>
    <w:rsid w:val="00935527"/>
    <w:rsid w:val="00936D0F"/>
    <w:rsid w:val="00941932"/>
    <w:rsid w:val="00947185"/>
    <w:rsid w:val="00957A98"/>
    <w:rsid w:val="00963D0B"/>
    <w:rsid w:val="00963D9D"/>
    <w:rsid w:val="009661F4"/>
    <w:rsid w:val="009758B9"/>
    <w:rsid w:val="00975D6F"/>
    <w:rsid w:val="0098013E"/>
    <w:rsid w:val="00981B54"/>
    <w:rsid w:val="00982041"/>
    <w:rsid w:val="009842C3"/>
    <w:rsid w:val="00986E5D"/>
    <w:rsid w:val="00990C8F"/>
    <w:rsid w:val="009A009A"/>
    <w:rsid w:val="009A2B0B"/>
    <w:rsid w:val="009A6BB6"/>
    <w:rsid w:val="009B1BF4"/>
    <w:rsid w:val="009B2242"/>
    <w:rsid w:val="009B3F43"/>
    <w:rsid w:val="009B5CFA"/>
    <w:rsid w:val="009C161F"/>
    <w:rsid w:val="009C3038"/>
    <w:rsid w:val="009C56B4"/>
    <w:rsid w:val="009C6769"/>
    <w:rsid w:val="009D00DC"/>
    <w:rsid w:val="009D15A0"/>
    <w:rsid w:val="009D51A2"/>
    <w:rsid w:val="009E04A8"/>
    <w:rsid w:val="009E3C27"/>
    <w:rsid w:val="009E4AEC"/>
    <w:rsid w:val="009E5BD8"/>
    <w:rsid w:val="009E681E"/>
    <w:rsid w:val="009E6EBB"/>
    <w:rsid w:val="009E7082"/>
    <w:rsid w:val="009F1E33"/>
    <w:rsid w:val="009F70E5"/>
    <w:rsid w:val="00A02280"/>
    <w:rsid w:val="00A03CF9"/>
    <w:rsid w:val="00A067CC"/>
    <w:rsid w:val="00A074FD"/>
    <w:rsid w:val="00A10269"/>
    <w:rsid w:val="00A119E6"/>
    <w:rsid w:val="00A12572"/>
    <w:rsid w:val="00A15F66"/>
    <w:rsid w:val="00A17727"/>
    <w:rsid w:val="00A2062E"/>
    <w:rsid w:val="00A24A6F"/>
    <w:rsid w:val="00A2541D"/>
    <w:rsid w:val="00A2671E"/>
    <w:rsid w:val="00A30388"/>
    <w:rsid w:val="00A31370"/>
    <w:rsid w:val="00A3147D"/>
    <w:rsid w:val="00A340D6"/>
    <w:rsid w:val="00A34963"/>
    <w:rsid w:val="00A34D6F"/>
    <w:rsid w:val="00A35635"/>
    <w:rsid w:val="00A41F91"/>
    <w:rsid w:val="00A442A8"/>
    <w:rsid w:val="00A52BB8"/>
    <w:rsid w:val="00A56F09"/>
    <w:rsid w:val="00A600CA"/>
    <w:rsid w:val="00A671EB"/>
    <w:rsid w:val="00A700B7"/>
    <w:rsid w:val="00A75CA2"/>
    <w:rsid w:val="00A82972"/>
    <w:rsid w:val="00A963DF"/>
    <w:rsid w:val="00AA58CF"/>
    <w:rsid w:val="00AA5E13"/>
    <w:rsid w:val="00AB10BE"/>
    <w:rsid w:val="00AC05B1"/>
    <w:rsid w:val="00AC3896"/>
    <w:rsid w:val="00AD0123"/>
    <w:rsid w:val="00AD7647"/>
    <w:rsid w:val="00AD7D10"/>
    <w:rsid w:val="00AE112D"/>
    <w:rsid w:val="00AE2D88"/>
    <w:rsid w:val="00AE6F6F"/>
    <w:rsid w:val="00AE7722"/>
    <w:rsid w:val="00AF00F2"/>
    <w:rsid w:val="00AF3325"/>
    <w:rsid w:val="00AF34D9"/>
    <w:rsid w:val="00AF70DA"/>
    <w:rsid w:val="00B019D3"/>
    <w:rsid w:val="00B11AA9"/>
    <w:rsid w:val="00B15950"/>
    <w:rsid w:val="00B34CF9"/>
    <w:rsid w:val="00B37559"/>
    <w:rsid w:val="00B43BB8"/>
    <w:rsid w:val="00B4508C"/>
    <w:rsid w:val="00B50A49"/>
    <w:rsid w:val="00B5209B"/>
    <w:rsid w:val="00B579B0"/>
    <w:rsid w:val="00B61D6A"/>
    <w:rsid w:val="00B672ED"/>
    <w:rsid w:val="00B75A90"/>
    <w:rsid w:val="00B75EA5"/>
    <w:rsid w:val="00B7724A"/>
    <w:rsid w:val="00B82BAA"/>
    <w:rsid w:val="00B84B68"/>
    <w:rsid w:val="00B90C45"/>
    <w:rsid w:val="00B91535"/>
    <w:rsid w:val="00B933BE"/>
    <w:rsid w:val="00BA5BB2"/>
    <w:rsid w:val="00BA7B44"/>
    <w:rsid w:val="00BB0D72"/>
    <w:rsid w:val="00BB1751"/>
    <w:rsid w:val="00BB528C"/>
    <w:rsid w:val="00BB6557"/>
    <w:rsid w:val="00BD0448"/>
    <w:rsid w:val="00BD41F6"/>
    <w:rsid w:val="00BD64F8"/>
    <w:rsid w:val="00BD6738"/>
    <w:rsid w:val="00BD68F8"/>
    <w:rsid w:val="00BD7E5E"/>
    <w:rsid w:val="00BE14EE"/>
    <w:rsid w:val="00BE197D"/>
    <w:rsid w:val="00BE22B9"/>
    <w:rsid w:val="00BE44AA"/>
    <w:rsid w:val="00BE6574"/>
    <w:rsid w:val="00C0122F"/>
    <w:rsid w:val="00C06566"/>
    <w:rsid w:val="00C07274"/>
    <w:rsid w:val="00C07806"/>
    <w:rsid w:val="00C13597"/>
    <w:rsid w:val="00C1516A"/>
    <w:rsid w:val="00C16FD2"/>
    <w:rsid w:val="00C22F0D"/>
    <w:rsid w:val="00C22F1A"/>
    <w:rsid w:val="00C24730"/>
    <w:rsid w:val="00C300E4"/>
    <w:rsid w:val="00C45B3F"/>
    <w:rsid w:val="00C47CF9"/>
    <w:rsid w:val="00C47FFD"/>
    <w:rsid w:val="00C57E2C"/>
    <w:rsid w:val="00C608B7"/>
    <w:rsid w:val="00C617B3"/>
    <w:rsid w:val="00C61AE5"/>
    <w:rsid w:val="00C66F24"/>
    <w:rsid w:val="00C73C68"/>
    <w:rsid w:val="00C76660"/>
    <w:rsid w:val="00C80B37"/>
    <w:rsid w:val="00C813AA"/>
    <w:rsid w:val="00C826DF"/>
    <w:rsid w:val="00C9291E"/>
    <w:rsid w:val="00C97702"/>
    <w:rsid w:val="00C97933"/>
    <w:rsid w:val="00CA3F44"/>
    <w:rsid w:val="00CA4E58"/>
    <w:rsid w:val="00CA5319"/>
    <w:rsid w:val="00CB3771"/>
    <w:rsid w:val="00CB44BF"/>
    <w:rsid w:val="00CB5153"/>
    <w:rsid w:val="00CB6925"/>
    <w:rsid w:val="00CE076A"/>
    <w:rsid w:val="00CE463D"/>
    <w:rsid w:val="00CE6D50"/>
    <w:rsid w:val="00CF27E7"/>
    <w:rsid w:val="00CF2A15"/>
    <w:rsid w:val="00D022E5"/>
    <w:rsid w:val="00D05B3E"/>
    <w:rsid w:val="00D06CD0"/>
    <w:rsid w:val="00D10BA0"/>
    <w:rsid w:val="00D21132"/>
    <w:rsid w:val="00D21952"/>
    <w:rsid w:val="00D24782"/>
    <w:rsid w:val="00D24EB5"/>
    <w:rsid w:val="00D30D33"/>
    <w:rsid w:val="00D33E30"/>
    <w:rsid w:val="00D35AB9"/>
    <w:rsid w:val="00D41571"/>
    <w:rsid w:val="00D416A0"/>
    <w:rsid w:val="00D4193D"/>
    <w:rsid w:val="00D4609B"/>
    <w:rsid w:val="00D47672"/>
    <w:rsid w:val="00D5123C"/>
    <w:rsid w:val="00D55560"/>
    <w:rsid w:val="00D6182A"/>
    <w:rsid w:val="00D61C5A"/>
    <w:rsid w:val="00D653DE"/>
    <w:rsid w:val="00D703AA"/>
    <w:rsid w:val="00D733F5"/>
    <w:rsid w:val="00D758F8"/>
    <w:rsid w:val="00D7741D"/>
    <w:rsid w:val="00D843D3"/>
    <w:rsid w:val="00D84FF2"/>
    <w:rsid w:val="00D85887"/>
    <w:rsid w:val="00D87828"/>
    <w:rsid w:val="00D87E20"/>
    <w:rsid w:val="00D97139"/>
    <w:rsid w:val="00DA31C1"/>
    <w:rsid w:val="00DB37E7"/>
    <w:rsid w:val="00DC284D"/>
    <w:rsid w:val="00DD0EF9"/>
    <w:rsid w:val="00DD4744"/>
    <w:rsid w:val="00DD5171"/>
    <w:rsid w:val="00DE16C2"/>
    <w:rsid w:val="00DE31F9"/>
    <w:rsid w:val="00DE66A5"/>
    <w:rsid w:val="00DF2B50"/>
    <w:rsid w:val="00DF4325"/>
    <w:rsid w:val="00DF4A23"/>
    <w:rsid w:val="00DF4B44"/>
    <w:rsid w:val="00E01280"/>
    <w:rsid w:val="00E03D73"/>
    <w:rsid w:val="00E04C86"/>
    <w:rsid w:val="00E04F4F"/>
    <w:rsid w:val="00E06B13"/>
    <w:rsid w:val="00E20F30"/>
    <w:rsid w:val="00E2189C"/>
    <w:rsid w:val="00E2337D"/>
    <w:rsid w:val="00E243BA"/>
    <w:rsid w:val="00E25BB1"/>
    <w:rsid w:val="00E27BBA"/>
    <w:rsid w:val="00E35279"/>
    <w:rsid w:val="00E35E8F"/>
    <w:rsid w:val="00E41CDA"/>
    <w:rsid w:val="00E428AB"/>
    <w:rsid w:val="00E4296A"/>
    <w:rsid w:val="00E438E8"/>
    <w:rsid w:val="00E448F0"/>
    <w:rsid w:val="00E453A3"/>
    <w:rsid w:val="00E46E06"/>
    <w:rsid w:val="00E520E2"/>
    <w:rsid w:val="00E62738"/>
    <w:rsid w:val="00E64254"/>
    <w:rsid w:val="00E71242"/>
    <w:rsid w:val="00E77BED"/>
    <w:rsid w:val="00E817BF"/>
    <w:rsid w:val="00E915AF"/>
    <w:rsid w:val="00E9622B"/>
    <w:rsid w:val="00E96415"/>
    <w:rsid w:val="00EA15B3"/>
    <w:rsid w:val="00EA2DF7"/>
    <w:rsid w:val="00EB2358"/>
    <w:rsid w:val="00EB3EB8"/>
    <w:rsid w:val="00EC02FE"/>
    <w:rsid w:val="00EC0880"/>
    <w:rsid w:val="00EC6A98"/>
    <w:rsid w:val="00ED1745"/>
    <w:rsid w:val="00ED2F62"/>
    <w:rsid w:val="00ED3B2E"/>
    <w:rsid w:val="00EE1264"/>
    <w:rsid w:val="00EE3CDE"/>
    <w:rsid w:val="00EE46DE"/>
    <w:rsid w:val="00EF5D0B"/>
    <w:rsid w:val="00F07E51"/>
    <w:rsid w:val="00F10E33"/>
    <w:rsid w:val="00F117BE"/>
    <w:rsid w:val="00F21194"/>
    <w:rsid w:val="00F37853"/>
    <w:rsid w:val="00F424BF"/>
    <w:rsid w:val="00F45A19"/>
    <w:rsid w:val="00F46107"/>
    <w:rsid w:val="00F468C5"/>
    <w:rsid w:val="00F52F39"/>
    <w:rsid w:val="00F53F25"/>
    <w:rsid w:val="00F810C9"/>
    <w:rsid w:val="00F867F0"/>
    <w:rsid w:val="00F914DD"/>
    <w:rsid w:val="00F91A4C"/>
    <w:rsid w:val="00F93E4F"/>
    <w:rsid w:val="00F9757F"/>
    <w:rsid w:val="00FA2358"/>
    <w:rsid w:val="00FA7867"/>
    <w:rsid w:val="00FB2592"/>
    <w:rsid w:val="00FB2810"/>
    <w:rsid w:val="00FB4A3D"/>
    <w:rsid w:val="00FC2947"/>
    <w:rsid w:val="00FC2CAB"/>
    <w:rsid w:val="00FC3BFE"/>
    <w:rsid w:val="00FC7CA5"/>
    <w:rsid w:val="00FD2A1B"/>
    <w:rsid w:val="00FD7E83"/>
    <w:rsid w:val="00FE0818"/>
    <w:rsid w:val="00FE593A"/>
    <w:rsid w:val="00FF44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707090"/>
  <w15:docId w15:val="{B8490D0D-5B53-40B1-A9FE-18ED5825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rsid w:val="004326DB"/>
    <w:pPr>
      <w:keepNext/>
      <w:spacing w:before="240"/>
      <w:ind w:left="794" w:hanging="794"/>
    </w:pPr>
    <w:rPr>
      <w:b/>
    </w:rPr>
  </w:style>
  <w:style w:type="paragraph" w:customStyle="1" w:styleId="Headingi">
    <w:name w:val="Heading_i"/>
    <w:basedOn w:val="Normal"/>
    <w:next w:val="Normal"/>
    <w:qFormat/>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53796C"/>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table" w:styleId="TableGrid">
    <w:name w:val="Table Grid"/>
    <w:basedOn w:val="TableNormal"/>
    <w:uiPriority w:val="39"/>
    <w:rsid w:val="00B8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89578B"/>
  </w:style>
  <w:style w:type="paragraph" w:customStyle="1" w:styleId="Message">
    <w:name w:val="Message"/>
    <w:rsid w:val="0089578B"/>
    <w:pPr>
      <w:spacing w:before="240" w:line="300" w:lineRule="exact"/>
      <w:ind w:left="794" w:right="794"/>
    </w:pPr>
    <w:rPr>
      <w:rFonts w:ascii="Arial" w:hAnsi="Arial" w:cs="Times New Roman"/>
      <w:sz w:val="22"/>
      <w:lang w:val="en-US" w:eastAsia="en-US" w:bidi="he-IL"/>
    </w:rPr>
  </w:style>
  <w:style w:type="paragraph" w:styleId="Date">
    <w:name w:val="Date"/>
    <w:basedOn w:val="Normal"/>
    <w:next w:val="Normal"/>
    <w:link w:val="DateChar"/>
    <w:rsid w:val="00463CE7"/>
  </w:style>
  <w:style w:type="character" w:customStyle="1" w:styleId="DateChar">
    <w:name w:val="Date Char"/>
    <w:basedOn w:val="DefaultParagraphFont"/>
    <w:link w:val="Date"/>
    <w:rsid w:val="00463CE7"/>
    <w:rPr>
      <w:sz w:val="22"/>
      <w:szCs w:val="22"/>
      <w:lang w:val="en-US" w:eastAsia="en-US"/>
    </w:rPr>
  </w:style>
  <w:style w:type="character" w:styleId="FollowedHyperlink">
    <w:name w:val="FollowedHyperlink"/>
    <w:basedOn w:val="DefaultParagraphFont"/>
    <w:semiHidden/>
    <w:unhideWhenUsed/>
    <w:rsid w:val="00A02280"/>
    <w:rPr>
      <w:color w:val="800080" w:themeColor="followedHyperlink"/>
      <w:u w:val="single"/>
    </w:rPr>
  </w:style>
  <w:style w:type="character" w:customStyle="1" w:styleId="FooterChar">
    <w:name w:val="Footer Char"/>
    <w:basedOn w:val="DefaultParagraphFont"/>
    <w:link w:val="Footer"/>
    <w:uiPriority w:val="99"/>
    <w:rsid w:val="00DD0EF9"/>
    <w:rPr>
      <w:sz w:val="22"/>
      <w:szCs w:val="22"/>
      <w:lang w:val="en-US" w:eastAsia="en-US"/>
    </w:rPr>
  </w:style>
  <w:style w:type="paragraph" w:styleId="ListParagraph">
    <w:name w:val="List Paragraph"/>
    <w:basedOn w:val="Normal"/>
    <w:uiPriority w:val="34"/>
    <w:qFormat/>
    <w:rsid w:val="00AC05B1"/>
    <w:pPr>
      <w:ind w:left="720"/>
      <w:contextualSpacing/>
    </w:pPr>
  </w:style>
  <w:style w:type="character" w:styleId="Strong">
    <w:name w:val="Strong"/>
    <w:basedOn w:val="DefaultParagraphFont"/>
    <w:uiPriority w:val="22"/>
    <w:qFormat/>
    <w:rsid w:val="00350B86"/>
    <w:rPr>
      <w:b/>
      <w:bCs/>
    </w:rPr>
  </w:style>
  <w:style w:type="character" w:styleId="EndnoteReference">
    <w:name w:val="endnote reference"/>
    <w:rsid w:val="00EE3CDE"/>
    <w:rPr>
      <w:vertAlign w:val="superscript"/>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737279"/>
    <w:rPr>
      <w:sz w:val="22"/>
      <w:szCs w:val="22"/>
      <w:lang w:val="en-US" w:eastAsia="en-US"/>
    </w:rPr>
  </w:style>
  <w:style w:type="table" w:customStyle="1" w:styleId="TableGrid1">
    <w:name w:val="Table Grid1"/>
    <w:basedOn w:val="TableNormal"/>
    <w:next w:val="TableGrid"/>
    <w:uiPriority w:val="59"/>
    <w:rsid w:val="00066E5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66E5D"/>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A2062E"/>
    <w:pPr>
      <w:tabs>
        <w:tab w:val="left" w:pos="794"/>
        <w:tab w:val="left" w:pos="1191"/>
        <w:tab w:val="left" w:pos="1588"/>
        <w:tab w:val="left" w:pos="1985"/>
      </w:tabs>
      <w:overflowPunct w:val="0"/>
      <w:autoSpaceDE w:val="0"/>
      <w:autoSpaceDN w:val="0"/>
      <w:adjustRightInd w:val="0"/>
      <w:textAlignment w:val="baseline"/>
    </w:pPr>
    <w:rPr>
      <w:rFonts w:ascii="Times New Roman" w:eastAsia="Times New Roman" w:hAnsi="Times New Roman" w:cs="Times New Roman"/>
      <w:sz w:val="24"/>
      <w:lang w:val="en-GB" w:eastAsia="en-US"/>
    </w:rPr>
  </w:style>
  <w:style w:type="character" w:customStyle="1" w:styleId="enumlev1Char">
    <w:name w:val="enumlev1 Char"/>
    <w:link w:val="enumlev1"/>
    <w:locked/>
    <w:rsid w:val="008C42C7"/>
    <w:rPr>
      <w:sz w:val="22"/>
      <w:szCs w:val="22"/>
      <w:lang w:val="en-US" w:eastAsia="en-US"/>
    </w:rPr>
  </w:style>
  <w:style w:type="paragraph" w:customStyle="1" w:styleId="TableNo">
    <w:name w:val="Table_No"/>
    <w:basedOn w:val="Normal"/>
    <w:next w:val="Normal"/>
    <w:rsid w:val="008C42C7"/>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Times New Roman" w:hAnsi="Times New Roman" w:cs="Times New Roman"/>
      <w:caps/>
      <w:sz w:val="20"/>
      <w:szCs w:val="20"/>
      <w:lang w:val="en-GB"/>
    </w:rPr>
  </w:style>
  <w:style w:type="paragraph" w:customStyle="1" w:styleId="Tabletitle">
    <w:name w:val="Table_title"/>
    <w:basedOn w:val="Normal"/>
    <w:next w:val="Tabletext"/>
    <w:rsid w:val="008C42C7"/>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ascii="Times New Roman Bold" w:eastAsia="Times New Roman" w:hAnsi="Times New Roman Bold" w:cs="Times New Roman"/>
      <w:b/>
      <w:sz w:val="20"/>
      <w:szCs w:val="20"/>
      <w:lang w:val="en-GB"/>
    </w:rPr>
  </w:style>
  <w:style w:type="character" w:customStyle="1" w:styleId="TabletextChar">
    <w:name w:val="Table_text Char"/>
    <w:link w:val="Tabletext"/>
    <w:rsid w:val="008C42C7"/>
    <w:rPr>
      <w:szCs w:val="22"/>
      <w:lang w:val="en-US" w:eastAsia="en-US"/>
    </w:rPr>
  </w:style>
  <w:style w:type="paragraph" w:customStyle="1" w:styleId="Tablefin">
    <w:name w:val="Table_fin"/>
    <w:basedOn w:val="Tabletext"/>
    <w:rsid w:val="008C42C7"/>
    <w:pPr>
      <w:tabs>
        <w:tab w:val="left" w:pos="1871"/>
      </w:tabs>
      <w:spacing w:before="0" w:after="0"/>
    </w:pPr>
    <w:rPr>
      <w:rFonts w:ascii="Times New Roman" w:eastAsia="Times New Roman" w:hAnsi="Times New Roman" w:cs="Times New Roman"/>
      <w:szCs w:val="20"/>
      <w:lang w:val="en-GB"/>
    </w:rPr>
  </w:style>
  <w:style w:type="paragraph" w:customStyle="1" w:styleId="AnnexNotitle0">
    <w:name w:val="Annex_No &amp; title"/>
    <w:basedOn w:val="Normal"/>
    <w:next w:val="Normal"/>
    <w:rsid w:val="008C42C7"/>
    <w:pPr>
      <w:keepNext/>
      <w:keepLines/>
      <w:spacing w:before="480" w:line="240" w:lineRule="auto"/>
      <w:jc w:val="center"/>
    </w:pPr>
    <w:rPr>
      <w:rFonts w:ascii="Times New Roman" w:eastAsia="Times New Roman" w:hAnsi="Times New Roman" w:cs="Times New Roman"/>
      <w:b/>
      <w:sz w:val="28"/>
      <w:szCs w:val="20"/>
      <w:lang w:val="en-GB"/>
    </w:rPr>
  </w:style>
  <w:style w:type="character" w:styleId="UnresolvedMention">
    <w:name w:val="Unresolved Mention"/>
    <w:basedOn w:val="DefaultParagraphFont"/>
    <w:uiPriority w:val="99"/>
    <w:semiHidden/>
    <w:unhideWhenUsed/>
    <w:rsid w:val="00917B0A"/>
    <w:rPr>
      <w:color w:val="605E5C"/>
      <w:shd w:val="clear" w:color="auto" w:fill="E1DFDD"/>
    </w:rPr>
  </w:style>
  <w:style w:type="paragraph" w:customStyle="1" w:styleId="Reasons">
    <w:name w:val="Reasons"/>
    <w:basedOn w:val="Normal"/>
    <w:qFormat/>
    <w:rsid w:val="00B61D6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 w:val="24"/>
      <w:szCs w:val="20"/>
    </w:rPr>
  </w:style>
  <w:style w:type="character" w:customStyle="1" w:styleId="Artref">
    <w:name w:val="Art_ref"/>
    <w:basedOn w:val="DefaultParagraphFont"/>
    <w:rsid w:val="00D703AA"/>
  </w:style>
  <w:style w:type="paragraph" w:customStyle="1" w:styleId="Normalaftertitle0">
    <w:name w:val="Normal after title"/>
    <w:basedOn w:val="Normal"/>
    <w:next w:val="Normal"/>
    <w:rsid w:val="00D703AA"/>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imes New Roman" w:hAnsi="Times New Roman" w:cs="Times New Roman"/>
      <w:sz w:val="24"/>
      <w:szCs w:val="20"/>
      <w:lang w:val="en-GB"/>
    </w:rPr>
  </w:style>
  <w:style w:type="character" w:customStyle="1" w:styleId="Appref">
    <w:name w:val="App_ref"/>
    <w:basedOn w:val="DefaultParagraphFont"/>
    <w:rsid w:val="00C73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4335">
      <w:bodyDiv w:val="1"/>
      <w:marLeft w:val="0"/>
      <w:marRight w:val="0"/>
      <w:marTop w:val="0"/>
      <w:marBottom w:val="0"/>
      <w:divBdr>
        <w:top w:val="none" w:sz="0" w:space="0" w:color="auto"/>
        <w:left w:val="none" w:sz="0" w:space="0" w:color="auto"/>
        <w:bottom w:val="none" w:sz="0" w:space="0" w:color="auto"/>
        <w:right w:val="none" w:sz="0" w:space="0" w:color="auto"/>
      </w:divBdr>
    </w:div>
    <w:div w:id="115856961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04184441">
      <w:bodyDiv w:val="1"/>
      <w:marLeft w:val="0"/>
      <w:marRight w:val="0"/>
      <w:marTop w:val="0"/>
      <w:marBottom w:val="0"/>
      <w:divBdr>
        <w:top w:val="none" w:sz="0" w:space="0" w:color="auto"/>
        <w:left w:val="none" w:sz="0" w:space="0" w:color="auto"/>
        <w:bottom w:val="none" w:sz="0" w:space="0" w:color="auto"/>
        <w:right w:val="none" w:sz="0" w:space="0" w:color="auto"/>
      </w:divBdr>
    </w:div>
    <w:div w:id="208949755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3-WRC23-C-0050/en" TargetMode="External"/><Relationship Id="rId18" Type="http://schemas.openxmlformats.org/officeDocument/2006/relationships/hyperlink" Target="https://www.itu.int/md/R23-WRC23-C-0524/en" TargetMode="External"/><Relationship Id="rId26" Type="http://schemas.openxmlformats.org/officeDocument/2006/relationships/hyperlink" Target="https://www.itu.int/md/R23-WRC23-C-0526/en" TargetMode="External"/><Relationship Id="rId39" Type="http://schemas.openxmlformats.org/officeDocument/2006/relationships/hyperlink" Target="https://www.itu.int/md/R23-WRC23-C-0494/en" TargetMode="External"/><Relationship Id="rId21" Type="http://schemas.openxmlformats.org/officeDocument/2006/relationships/hyperlink" Target="https://www.itu.int/md/R23-WRC23-C-0485/en" TargetMode="External"/><Relationship Id="rId34" Type="http://schemas.openxmlformats.org/officeDocument/2006/relationships/hyperlink" Target="https://www.itu.int/md/R23-WRC23-C-0528/en" TargetMode="External"/><Relationship Id="rId42" Type="http://schemas.openxmlformats.org/officeDocument/2006/relationships/hyperlink" Target="https://www.itu.int/md/R23-WRC23-C-0528/en" TargetMode="External"/><Relationship Id="rId47" Type="http://schemas.openxmlformats.org/officeDocument/2006/relationships/hyperlink" Target="https://www.itu.int/md/R23-WRC23-C-0494/en" TargetMode="External"/><Relationship Id="rId50" Type="http://schemas.openxmlformats.org/officeDocument/2006/relationships/hyperlink" Target="https://www.itu.int/md/R23-WRC23-C-0528/en" TargetMode="External"/><Relationship Id="rId55" Type="http://schemas.openxmlformats.org/officeDocument/2006/relationships/hyperlink" Target="https://www.itu.int/md/R23-WRC23-C-0422/e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R23-WRC23-C-0523/en" TargetMode="External"/><Relationship Id="rId29" Type="http://schemas.openxmlformats.org/officeDocument/2006/relationships/hyperlink" Target="https://www.itu.int/md/R23-WRC23-C-0476/en" TargetMode="External"/><Relationship Id="rId11" Type="http://schemas.openxmlformats.org/officeDocument/2006/relationships/footer" Target="footer1.xml"/><Relationship Id="rId24" Type="http://schemas.openxmlformats.org/officeDocument/2006/relationships/hyperlink" Target="https://www.itu.int/md/R23-WRC23-C-0526/en" TargetMode="External"/><Relationship Id="rId32" Type="http://schemas.openxmlformats.org/officeDocument/2006/relationships/hyperlink" Target="https://www.itu.int/md/R23-WRC23-C-0528/en" TargetMode="External"/><Relationship Id="rId37" Type="http://schemas.openxmlformats.org/officeDocument/2006/relationships/hyperlink" Target="https://www.itu.int/md/R23-WRC23-C-0494/en" TargetMode="External"/><Relationship Id="rId40" Type="http://schemas.openxmlformats.org/officeDocument/2006/relationships/hyperlink" Target="https://www.itu.int/md/R23-WRC23-C-0528/en" TargetMode="External"/><Relationship Id="rId45" Type="http://schemas.openxmlformats.org/officeDocument/2006/relationships/hyperlink" Target="https://www.itu.int/md/R23-WRC23-C-0494/en" TargetMode="External"/><Relationship Id="rId53" Type="http://schemas.openxmlformats.org/officeDocument/2006/relationships/hyperlink" Target="https://www.itu.int/md/R23-WRC23-C-0528/en" TargetMode="External"/><Relationship Id="rId58" Type="http://schemas.openxmlformats.org/officeDocument/2006/relationships/hyperlink" Target="https://www.itu.int/md/R23-WRC23-C-0528/en"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itu.int/md/R23-WRC23-C-0436/en" TargetMode="External"/><Relationship Id="rId14" Type="http://schemas.openxmlformats.org/officeDocument/2006/relationships/hyperlink" Target="https://www.itu.int/md/R23-WRC23-C-0442/en" TargetMode="External"/><Relationship Id="rId22" Type="http://schemas.openxmlformats.org/officeDocument/2006/relationships/hyperlink" Target="https://www.itu.int/md/R23-WRC23-C-0526/en" TargetMode="External"/><Relationship Id="rId27" Type="http://schemas.openxmlformats.org/officeDocument/2006/relationships/hyperlink" Target="https://www.itu.int/md/R23-WRC23-C-0497/en" TargetMode="External"/><Relationship Id="rId30" Type="http://schemas.openxmlformats.org/officeDocument/2006/relationships/hyperlink" Target="https://www.itu.int/md/R23-WRC23-C-0528/en" TargetMode="External"/><Relationship Id="rId35" Type="http://schemas.openxmlformats.org/officeDocument/2006/relationships/hyperlink" Target="https://www.itu.int/md/R23-WRC23-C-0494/en" TargetMode="External"/><Relationship Id="rId43" Type="http://schemas.openxmlformats.org/officeDocument/2006/relationships/hyperlink" Target="https://www.itu.int/md/R23-WRC23-C-0494/en" TargetMode="External"/><Relationship Id="rId48" Type="http://schemas.openxmlformats.org/officeDocument/2006/relationships/hyperlink" Target="https://www.itu.int/md/R23-WRC23-C-0528/en" TargetMode="External"/><Relationship Id="rId56" Type="http://schemas.openxmlformats.org/officeDocument/2006/relationships/hyperlink" Target="https://www.itu.int/md/R23-WRC23-C-0528/en" TargetMode="External"/><Relationship Id="rId8" Type="http://schemas.openxmlformats.org/officeDocument/2006/relationships/header" Target="header1.xml"/><Relationship Id="rId51" Type="http://schemas.openxmlformats.org/officeDocument/2006/relationships/hyperlink" Target="https://www.itu.int/md/R23-WRC23-C-0495/en" TargetMode="External"/><Relationship Id="rId3" Type="http://schemas.openxmlformats.org/officeDocument/2006/relationships/styles" Target="styles.xml"/><Relationship Id="rId12" Type="http://schemas.openxmlformats.org/officeDocument/2006/relationships/hyperlink" Target="https://www.itu.int/md/R23-WRC23-C-0523/en" TargetMode="External"/><Relationship Id="rId17" Type="http://schemas.openxmlformats.org/officeDocument/2006/relationships/hyperlink" Target="https://www.itu.int/md/R23-WRC23-C-0409/en" TargetMode="External"/><Relationship Id="rId25" Type="http://schemas.openxmlformats.org/officeDocument/2006/relationships/hyperlink" Target="https://www.itu.int/md/R23-WRC23-C-0497/en" TargetMode="External"/><Relationship Id="rId33" Type="http://schemas.openxmlformats.org/officeDocument/2006/relationships/hyperlink" Target="https://www.itu.int/md/R23-WRC23-C-0494/en" TargetMode="External"/><Relationship Id="rId38" Type="http://schemas.openxmlformats.org/officeDocument/2006/relationships/hyperlink" Target="https://www.itu.int/md/R23-WRC23-C-0528/en" TargetMode="External"/><Relationship Id="rId46" Type="http://schemas.openxmlformats.org/officeDocument/2006/relationships/hyperlink" Target="https://www.itu.int/md/R23-WRC23-C-0528/en" TargetMode="External"/><Relationship Id="rId59" Type="http://schemas.openxmlformats.org/officeDocument/2006/relationships/hyperlink" Target="https://www.itu.int/md/R23-WRC23-C-0465/en" TargetMode="External"/><Relationship Id="rId20" Type="http://schemas.openxmlformats.org/officeDocument/2006/relationships/hyperlink" Target="https://www.itu.int/md/R23-WRC23-C-0525/en" TargetMode="External"/><Relationship Id="rId41" Type="http://schemas.openxmlformats.org/officeDocument/2006/relationships/hyperlink" Target="https://www.itu.int/md/R23-WRC23-C-0494/en" TargetMode="External"/><Relationship Id="rId54" Type="http://schemas.openxmlformats.org/officeDocument/2006/relationships/hyperlink" Target="https://www.itu.int/md/R23-WRC23-C-0495/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R23-WRC23-C-0050/en" TargetMode="External"/><Relationship Id="rId23" Type="http://schemas.openxmlformats.org/officeDocument/2006/relationships/hyperlink" Target="https://www.itu.int/md/R23-WRC23-C-0497/en" TargetMode="External"/><Relationship Id="rId28" Type="http://schemas.openxmlformats.org/officeDocument/2006/relationships/hyperlink" Target="https://www.itu.int/md/R23-WRC23-C-0527/en" TargetMode="External"/><Relationship Id="rId36" Type="http://schemas.openxmlformats.org/officeDocument/2006/relationships/hyperlink" Target="https://www.itu.int/md/R23-WRC23-C-0528/en" TargetMode="External"/><Relationship Id="rId49" Type="http://schemas.openxmlformats.org/officeDocument/2006/relationships/hyperlink" Target="https://www.itu.int/md/R23-WRC23-C-0494/en" TargetMode="External"/><Relationship Id="rId57" Type="http://schemas.openxmlformats.org/officeDocument/2006/relationships/hyperlink" Target="https://www.itu.int/md/R23-WRC23-C-0496/en" TargetMode="External"/><Relationship Id="rId10" Type="http://schemas.openxmlformats.org/officeDocument/2006/relationships/header" Target="header3.xml"/><Relationship Id="rId31" Type="http://schemas.openxmlformats.org/officeDocument/2006/relationships/hyperlink" Target="https://www.itu.int/md/R23-WRC23-C-0486/en" TargetMode="External"/><Relationship Id="rId44" Type="http://schemas.openxmlformats.org/officeDocument/2006/relationships/hyperlink" Target="https://www.itu.int/md/R23-WRC23-C-0528/en" TargetMode="External"/><Relationship Id="rId52" Type="http://schemas.openxmlformats.org/officeDocument/2006/relationships/hyperlink" Target="https://www.itu.int/md/R23-WRC23-C-0420/en"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96702-768D-4DA0-9D1A-4689B4E1F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1</TotalTime>
  <Pages>18</Pages>
  <Words>6071</Words>
  <Characters>35812</Characters>
  <Application>Microsoft Office Word</Application>
  <DocSecurity>4</DocSecurity>
  <Lines>298</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41800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Xue, Kun</cp:lastModifiedBy>
  <cp:revision>2</cp:revision>
  <cp:lastPrinted>2020-02-21T08:00:00Z</cp:lastPrinted>
  <dcterms:created xsi:type="dcterms:W3CDTF">2024-04-17T12:55:00Z</dcterms:created>
  <dcterms:modified xsi:type="dcterms:W3CDTF">2024-04-17T12:55:00Z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_NewReviewCycle">
    <vt:lpwstr/>
  </property>
</Properties>
</file>