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0ECC9D79" w14:textId="77777777" w:rsidTr="00306452">
        <w:trPr>
          <w:jc w:val="center"/>
        </w:trPr>
        <w:tc>
          <w:tcPr>
            <w:tcW w:w="9889" w:type="dxa"/>
            <w:gridSpan w:val="3"/>
            <w:shd w:val="clear" w:color="auto" w:fill="auto"/>
          </w:tcPr>
          <w:p w14:paraId="629F19FC" w14:textId="77777777" w:rsidR="00E53DCE" w:rsidRDefault="00A96D3A" w:rsidP="006160CB">
            <w:pPr>
              <w:spacing w:before="0"/>
              <w:jc w:val="left"/>
              <w:rPr>
                <w:rFonts w:cstheme="minorHAnsi"/>
                <w:b/>
                <w:bCs/>
                <w:color w:val="808080"/>
                <w:sz w:val="28"/>
                <w:szCs w:val="28"/>
                <w:lang w:val="en-GB"/>
              </w:rPr>
            </w:pPr>
            <w:r w:rsidRPr="00415CFA">
              <w:rPr>
                <w:rFonts w:cstheme="minorHAnsi"/>
                <w:b/>
                <w:bCs/>
                <w:color w:val="808080"/>
                <w:sz w:val="28"/>
                <w:szCs w:val="28"/>
                <w:lang w:val="es-ES_tradnl"/>
              </w:rPr>
              <w:t>Oficina de Radiocomunicaciones (BR)</w:t>
            </w:r>
          </w:p>
          <w:p w14:paraId="0CB4BAB5" w14:textId="77777777" w:rsidR="00E53DCE" w:rsidRDefault="00E53DCE" w:rsidP="006160CB">
            <w:pPr>
              <w:spacing w:before="0"/>
              <w:jc w:val="left"/>
              <w:rPr>
                <w:rFonts w:cstheme="minorHAnsi"/>
                <w:b/>
                <w:bCs/>
                <w:color w:val="808080"/>
                <w:sz w:val="28"/>
                <w:szCs w:val="28"/>
                <w:lang w:val="en-GB"/>
              </w:rPr>
            </w:pPr>
          </w:p>
          <w:p w14:paraId="0C6B6349" w14:textId="77777777" w:rsidR="00E53DCE" w:rsidRPr="00AF70DA" w:rsidRDefault="00E53DCE" w:rsidP="006160CB">
            <w:pPr>
              <w:spacing w:before="0"/>
              <w:jc w:val="left"/>
              <w:rPr>
                <w:rFonts w:cs="Times New Roman Bold"/>
                <w:b/>
                <w:bCs/>
                <w:color w:val="808080"/>
                <w:sz w:val="28"/>
                <w:szCs w:val="28"/>
                <w:lang w:val="en-GB"/>
              </w:rPr>
            </w:pPr>
          </w:p>
        </w:tc>
      </w:tr>
      <w:tr w:rsidR="00E53DCE" w:rsidRPr="0033029C" w14:paraId="29D7350F" w14:textId="77777777" w:rsidTr="00306452">
        <w:trPr>
          <w:jc w:val="center"/>
        </w:trPr>
        <w:tc>
          <w:tcPr>
            <w:tcW w:w="7054" w:type="dxa"/>
            <w:gridSpan w:val="2"/>
            <w:shd w:val="clear" w:color="auto" w:fill="auto"/>
          </w:tcPr>
          <w:p w14:paraId="5AC1D60A" w14:textId="3D7723FD" w:rsidR="00E53DCE" w:rsidRPr="001B3D4D" w:rsidRDefault="001B3D4D" w:rsidP="006160CB">
            <w:pPr>
              <w:spacing w:before="0"/>
              <w:jc w:val="left"/>
              <w:rPr>
                <w:szCs w:val="24"/>
                <w:lang w:val="es-ES"/>
              </w:rPr>
            </w:pPr>
            <w:r w:rsidRPr="0075124D">
              <w:rPr>
                <w:lang w:val="es-ES_tradnl"/>
              </w:rPr>
              <w:t>Carta Circular</w:t>
            </w:r>
          </w:p>
          <w:p w14:paraId="593D287B" w14:textId="0734F8F8" w:rsidR="00E53DCE" w:rsidRPr="001B3D4D" w:rsidRDefault="001B3D4D" w:rsidP="006160CB">
            <w:pPr>
              <w:spacing w:before="0"/>
              <w:jc w:val="left"/>
              <w:rPr>
                <w:b/>
                <w:bCs/>
                <w:szCs w:val="24"/>
                <w:lang w:val="es-ES"/>
              </w:rPr>
            </w:pPr>
            <w:r w:rsidRPr="001B3D4D">
              <w:rPr>
                <w:b/>
                <w:bCs/>
                <w:szCs w:val="24"/>
                <w:lang w:val="es-ES"/>
              </w:rPr>
              <w:t>CR</w:t>
            </w:r>
            <w:r w:rsidR="009F430B">
              <w:rPr>
                <w:b/>
                <w:bCs/>
                <w:szCs w:val="24"/>
                <w:lang w:val="es-ES"/>
              </w:rPr>
              <w:t>/504</w:t>
            </w:r>
          </w:p>
        </w:tc>
        <w:tc>
          <w:tcPr>
            <w:tcW w:w="2835" w:type="dxa"/>
            <w:shd w:val="clear" w:color="auto" w:fill="auto"/>
          </w:tcPr>
          <w:p w14:paraId="1A46D146" w14:textId="797BF4AD" w:rsidR="00E53DCE" w:rsidRPr="002B7EE0" w:rsidRDefault="00A96D3A" w:rsidP="006160CB">
            <w:pPr>
              <w:spacing w:before="0"/>
              <w:jc w:val="right"/>
              <w:rPr>
                <w:szCs w:val="24"/>
                <w:lang w:val="fr-FR"/>
              </w:rPr>
            </w:pPr>
            <w:r w:rsidRPr="002B7EE0">
              <w:rPr>
                <w:bCs/>
                <w:szCs w:val="24"/>
                <w:lang w:val="fr-FR"/>
              </w:rPr>
              <w:t>1</w:t>
            </w:r>
            <w:r w:rsidR="009F430B">
              <w:rPr>
                <w:bCs/>
                <w:szCs w:val="24"/>
                <w:lang w:val="fr-FR"/>
              </w:rPr>
              <w:t>7</w:t>
            </w:r>
            <w:r w:rsidRPr="002B7EE0">
              <w:rPr>
                <w:bCs/>
                <w:szCs w:val="24"/>
                <w:lang w:val="fr-FR"/>
              </w:rPr>
              <w:t xml:space="preserve"> de </w:t>
            </w:r>
            <w:proofErr w:type="spellStart"/>
            <w:r w:rsidR="009F430B">
              <w:rPr>
                <w:bCs/>
                <w:szCs w:val="24"/>
                <w:lang w:val="fr-FR"/>
              </w:rPr>
              <w:t>abril</w:t>
            </w:r>
            <w:proofErr w:type="spellEnd"/>
            <w:r w:rsidR="009F430B">
              <w:rPr>
                <w:bCs/>
                <w:szCs w:val="24"/>
                <w:lang w:val="fr-FR"/>
              </w:rPr>
              <w:t xml:space="preserve"> </w:t>
            </w:r>
            <w:r w:rsidRPr="002B7EE0">
              <w:rPr>
                <w:bCs/>
                <w:szCs w:val="24"/>
                <w:lang w:val="fr-FR"/>
              </w:rPr>
              <w:t>de 20</w:t>
            </w:r>
            <w:r w:rsidR="002B7EE0" w:rsidRPr="002B7EE0">
              <w:rPr>
                <w:bCs/>
                <w:szCs w:val="24"/>
                <w:lang w:val="fr-FR"/>
              </w:rPr>
              <w:t>2</w:t>
            </w:r>
            <w:r w:rsidR="00553364">
              <w:rPr>
                <w:bCs/>
                <w:szCs w:val="24"/>
                <w:lang w:val="fr-FR"/>
              </w:rPr>
              <w:t>4</w:t>
            </w:r>
          </w:p>
        </w:tc>
      </w:tr>
      <w:tr w:rsidR="00E53DCE" w:rsidRPr="0033029C" w14:paraId="73E5203E" w14:textId="77777777" w:rsidTr="00306452">
        <w:trPr>
          <w:jc w:val="center"/>
        </w:trPr>
        <w:tc>
          <w:tcPr>
            <w:tcW w:w="9889" w:type="dxa"/>
            <w:gridSpan w:val="3"/>
            <w:shd w:val="clear" w:color="auto" w:fill="auto"/>
          </w:tcPr>
          <w:p w14:paraId="401B56FE" w14:textId="77777777" w:rsidR="00E53DCE" w:rsidRPr="0033029C" w:rsidRDefault="00E53DCE" w:rsidP="006160CB">
            <w:pPr>
              <w:spacing w:before="0"/>
              <w:jc w:val="left"/>
              <w:rPr>
                <w:rFonts w:cs="Arial"/>
                <w:szCs w:val="24"/>
                <w:lang w:val="en-GB"/>
              </w:rPr>
            </w:pPr>
          </w:p>
        </w:tc>
      </w:tr>
      <w:tr w:rsidR="00E53DCE" w:rsidRPr="0033029C" w14:paraId="47200633" w14:textId="77777777" w:rsidTr="00306452">
        <w:trPr>
          <w:jc w:val="center"/>
        </w:trPr>
        <w:tc>
          <w:tcPr>
            <w:tcW w:w="9889" w:type="dxa"/>
            <w:gridSpan w:val="3"/>
            <w:shd w:val="clear" w:color="auto" w:fill="auto"/>
          </w:tcPr>
          <w:p w14:paraId="3812DFC9" w14:textId="77777777" w:rsidR="00E53DCE" w:rsidRPr="0033029C" w:rsidRDefault="00E53DCE" w:rsidP="006160CB">
            <w:pPr>
              <w:spacing w:before="0"/>
              <w:jc w:val="left"/>
              <w:rPr>
                <w:szCs w:val="24"/>
              </w:rPr>
            </w:pPr>
          </w:p>
        </w:tc>
      </w:tr>
      <w:tr w:rsidR="00E53DCE" w:rsidRPr="0067605C" w14:paraId="640842E0" w14:textId="77777777" w:rsidTr="00306452">
        <w:trPr>
          <w:jc w:val="center"/>
        </w:trPr>
        <w:tc>
          <w:tcPr>
            <w:tcW w:w="9889" w:type="dxa"/>
            <w:gridSpan w:val="3"/>
            <w:shd w:val="clear" w:color="auto" w:fill="auto"/>
          </w:tcPr>
          <w:p w14:paraId="329AA6BF" w14:textId="77777777" w:rsidR="00E53DCE" w:rsidRPr="0033029C" w:rsidRDefault="00FE4822" w:rsidP="006160CB">
            <w:pPr>
              <w:spacing w:before="0"/>
              <w:jc w:val="left"/>
              <w:rPr>
                <w:b/>
                <w:bCs/>
                <w:szCs w:val="24"/>
                <w:lang w:val="es-ES"/>
              </w:rPr>
            </w:pPr>
            <w:r w:rsidRPr="0033029C">
              <w:rPr>
                <w:b/>
                <w:szCs w:val="24"/>
                <w:lang w:val="es-ES"/>
              </w:rPr>
              <w:t>A las Administraciones de los Estados Miembros de la UIT</w:t>
            </w:r>
          </w:p>
          <w:p w14:paraId="71FBCD84" w14:textId="77777777" w:rsidR="00E53DCE" w:rsidRPr="0033029C" w:rsidRDefault="00E53DCE" w:rsidP="006160CB">
            <w:pPr>
              <w:spacing w:before="0"/>
              <w:jc w:val="left"/>
              <w:rPr>
                <w:b/>
                <w:bCs/>
                <w:szCs w:val="24"/>
                <w:lang w:val="es-ES"/>
              </w:rPr>
            </w:pPr>
          </w:p>
        </w:tc>
      </w:tr>
      <w:tr w:rsidR="00E53DCE" w:rsidRPr="0067605C" w14:paraId="459B8082" w14:textId="77777777" w:rsidTr="00306452">
        <w:trPr>
          <w:jc w:val="center"/>
        </w:trPr>
        <w:tc>
          <w:tcPr>
            <w:tcW w:w="9889" w:type="dxa"/>
            <w:gridSpan w:val="3"/>
            <w:shd w:val="clear" w:color="auto" w:fill="auto"/>
          </w:tcPr>
          <w:p w14:paraId="2BFA8A61" w14:textId="77777777" w:rsidR="00E53DCE" w:rsidRPr="0033029C" w:rsidRDefault="00E53DCE" w:rsidP="006160CB">
            <w:pPr>
              <w:spacing w:before="0"/>
              <w:jc w:val="left"/>
              <w:rPr>
                <w:szCs w:val="24"/>
                <w:lang w:val="es-ES"/>
              </w:rPr>
            </w:pPr>
          </w:p>
        </w:tc>
      </w:tr>
      <w:tr w:rsidR="00E53DCE" w:rsidRPr="0067605C" w14:paraId="3554923F" w14:textId="77777777" w:rsidTr="00306452">
        <w:trPr>
          <w:jc w:val="center"/>
        </w:trPr>
        <w:tc>
          <w:tcPr>
            <w:tcW w:w="9889" w:type="dxa"/>
            <w:gridSpan w:val="3"/>
            <w:shd w:val="clear" w:color="auto" w:fill="auto"/>
          </w:tcPr>
          <w:p w14:paraId="799DC9D3" w14:textId="77777777" w:rsidR="00E53DCE" w:rsidRPr="0033029C" w:rsidRDefault="00E53DCE" w:rsidP="006160CB">
            <w:pPr>
              <w:spacing w:before="0"/>
              <w:jc w:val="left"/>
              <w:rPr>
                <w:szCs w:val="24"/>
                <w:lang w:val="es-ES"/>
              </w:rPr>
            </w:pPr>
          </w:p>
        </w:tc>
      </w:tr>
      <w:tr w:rsidR="00E53DCE" w:rsidRPr="0067605C" w14:paraId="4B4AE73A" w14:textId="77777777" w:rsidTr="00306452">
        <w:trPr>
          <w:jc w:val="center"/>
        </w:trPr>
        <w:tc>
          <w:tcPr>
            <w:tcW w:w="1526" w:type="dxa"/>
            <w:shd w:val="clear" w:color="auto" w:fill="auto"/>
          </w:tcPr>
          <w:p w14:paraId="087B58A0" w14:textId="77777777" w:rsidR="00E53DCE" w:rsidRPr="0033029C" w:rsidRDefault="00311970" w:rsidP="006160CB">
            <w:pPr>
              <w:tabs>
                <w:tab w:val="clear" w:pos="1588"/>
                <w:tab w:val="left" w:pos="1560"/>
              </w:tabs>
              <w:spacing w:before="0"/>
              <w:jc w:val="left"/>
              <w:rPr>
                <w:szCs w:val="24"/>
              </w:rPr>
            </w:pPr>
            <w:proofErr w:type="spellStart"/>
            <w:r>
              <w:rPr>
                <w:szCs w:val="24"/>
              </w:rPr>
              <w:t>Asunto</w:t>
            </w:r>
            <w:proofErr w:type="spellEnd"/>
            <w:r w:rsidRPr="0033029C">
              <w:rPr>
                <w:szCs w:val="24"/>
              </w:rPr>
              <w:t>:</w:t>
            </w:r>
          </w:p>
        </w:tc>
        <w:tc>
          <w:tcPr>
            <w:tcW w:w="8363" w:type="dxa"/>
            <w:gridSpan w:val="2"/>
            <w:vMerge w:val="restart"/>
            <w:shd w:val="clear" w:color="auto" w:fill="auto"/>
          </w:tcPr>
          <w:p w14:paraId="7F03AE84" w14:textId="1944BC5C" w:rsidR="00E53DCE" w:rsidRPr="009F430B" w:rsidRDefault="009F430B" w:rsidP="006160CB">
            <w:pPr>
              <w:tabs>
                <w:tab w:val="clear" w:pos="1588"/>
                <w:tab w:val="left" w:pos="1560"/>
              </w:tabs>
              <w:spacing w:before="0"/>
              <w:rPr>
                <w:b/>
                <w:bCs/>
                <w:szCs w:val="24"/>
                <w:lang w:val="es-ES"/>
              </w:rPr>
            </w:pPr>
            <w:r w:rsidRPr="0094317F">
              <w:rPr>
                <w:b/>
                <w:bCs/>
                <w:szCs w:val="24"/>
                <w:lang w:val="es-ES_tradnl"/>
              </w:rPr>
              <w:t>Decisiones de la CMR-23 incluidas en las actas de las sesiones plenarias</w:t>
            </w:r>
          </w:p>
        </w:tc>
      </w:tr>
      <w:tr w:rsidR="00E53DCE" w:rsidRPr="0067605C" w14:paraId="3D39FE3A" w14:textId="77777777" w:rsidTr="00306452">
        <w:trPr>
          <w:jc w:val="center"/>
        </w:trPr>
        <w:tc>
          <w:tcPr>
            <w:tcW w:w="1526" w:type="dxa"/>
            <w:shd w:val="clear" w:color="auto" w:fill="auto"/>
          </w:tcPr>
          <w:p w14:paraId="13957DDB" w14:textId="77777777" w:rsidR="00E53DCE" w:rsidRPr="009F430B" w:rsidRDefault="00E53DCE" w:rsidP="006160CB">
            <w:pPr>
              <w:tabs>
                <w:tab w:val="clear" w:pos="1588"/>
                <w:tab w:val="left" w:pos="1560"/>
              </w:tabs>
              <w:spacing w:before="0"/>
              <w:jc w:val="left"/>
              <w:rPr>
                <w:b/>
                <w:bCs/>
                <w:szCs w:val="24"/>
                <w:lang w:val="es-ES"/>
              </w:rPr>
            </w:pPr>
          </w:p>
        </w:tc>
        <w:tc>
          <w:tcPr>
            <w:tcW w:w="8363" w:type="dxa"/>
            <w:gridSpan w:val="2"/>
            <w:vMerge/>
            <w:shd w:val="clear" w:color="auto" w:fill="auto"/>
          </w:tcPr>
          <w:p w14:paraId="6909EF9B" w14:textId="77777777" w:rsidR="00E53DCE" w:rsidRPr="009F430B" w:rsidRDefault="00E53DCE" w:rsidP="006160CB">
            <w:pPr>
              <w:tabs>
                <w:tab w:val="clear" w:pos="1588"/>
                <w:tab w:val="left" w:pos="1560"/>
              </w:tabs>
              <w:spacing w:before="0"/>
              <w:rPr>
                <w:b/>
                <w:bCs/>
                <w:szCs w:val="24"/>
                <w:lang w:val="es-ES"/>
              </w:rPr>
            </w:pPr>
          </w:p>
        </w:tc>
      </w:tr>
      <w:tr w:rsidR="00E53DCE" w:rsidRPr="0067605C" w14:paraId="0906EDDF" w14:textId="77777777" w:rsidTr="00306452">
        <w:trPr>
          <w:jc w:val="center"/>
        </w:trPr>
        <w:tc>
          <w:tcPr>
            <w:tcW w:w="1526" w:type="dxa"/>
            <w:shd w:val="clear" w:color="auto" w:fill="auto"/>
          </w:tcPr>
          <w:p w14:paraId="74DAC6A4" w14:textId="77777777" w:rsidR="00E53DCE" w:rsidRPr="009F430B" w:rsidRDefault="00E53DCE" w:rsidP="006160CB">
            <w:pPr>
              <w:tabs>
                <w:tab w:val="clear" w:pos="1588"/>
                <w:tab w:val="left" w:pos="1560"/>
              </w:tabs>
              <w:spacing w:before="0"/>
              <w:jc w:val="left"/>
              <w:rPr>
                <w:b/>
                <w:bCs/>
                <w:szCs w:val="24"/>
                <w:lang w:val="es-ES"/>
              </w:rPr>
            </w:pPr>
          </w:p>
        </w:tc>
        <w:tc>
          <w:tcPr>
            <w:tcW w:w="8363" w:type="dxa"/>
            <w:gridSpan w:val="2"/>
            <w:vMerge/>
            <w:shd w:val="clear" w:color="auto" w:fill="auto"/>
          </w:tcPr>
          <w:p w14:paraId="08037E0A" w14:textId="77777777" w:rsidR="00E53DCE" w:rsidRPr="009F430B" w:rsidRDefault="00E53DCE" w:rsidP="006160CB">
            <w:pPr>
              <w:tabs>
                <w:tab w:val="clear" w:pos="1588"/>
                <w:tab w:val="left" w:pos="1560"/>
              </w:tabs>
              <w:spacing w:before="0"/>
              <w:rPr>
                <w:b/>
                <w:bCs/>
                <w:szCs w:val="24"/>
                <w:lang w:val="es-ES"/>
              </w:rPr>
            </w:pPr>
          </w:p>
        </w:tc>
      </w:tr>
      <w:tr w:rsidR="00E53DCE" w:rsidRPr="0067605C" w14:paraId="5CD9C442" w14:textId="77777777" w:rsidTr="00306452">
        <w:trPr>
          <w:jc w:val="center"/>
        </w:trPr>
        <w:tc>
          <w:tcPr>
            <w:tcW w:w="9889" w:type="dxa"/>
            <w:gridSpan w:val="3"/>
            <w:shd w:val="clear" w:color="auto" w:fill="auto"/>
          </w:tcPr>
          <w:p w14:paraId="69E04C3E" w14:textId="77777777" w:rsidR="00E53DCE" w:rsidRPr="009F430B" w:rsidRDefault="00E53DCE" w:rsidP="00E53DCE">
            <w:pPr>
              <w:tabs>
                <w:tab w:val="clear" w:pos="1588"/>
                <w:tab w:val="left" w:pos="1560"/>
              </w:tabs>
              <w:spacing w:before="0"/>
              <w:jc w:val="left"/>
              <w:rPr>
                <w:szCs w:val="24"/>
                <w:lang w:val="es-ES"/>
              </w:rPr>
            </w:pPr>
          </w:p>
        </w:tc>
      </w:tr>
      <w:tr w:rsidR="00E53DCE" w:rsidRPr="0067605C" w14:paraId="3C81C135" w14:textId="77777777" w:rsidTr="00306452">
        <w:trPr>
          <w:jc w:val="center"/>
        </w:trPr>
        <w:tc>
          <w:tcPr>
            <w:tcW w:w="9889" w:type="dxa"/>
            <w:gridSpan w:val="3"/>
            <w:shd w:val="clear" w:color="auto" w:fill="auto"/>
          </w:tcPr>
          <w:p w14:paraId="294AFABC" w14:textId="77777777" w:rsidR="00E53DCE" w:rsidRPr="009F430B" w:rsidRDefault="00E53DCE" w:rsidP="006160CB">
            <w:pPr>
              <w:spacing w:before="0"/>
              <w:jc w:val="left"/>
              <w:rPr>
                <w:b/>
                <w:bCs/>
                <w:szCs w:val="24"/>
                <w:lang w:val="es-ES"/>
              </w:rPr>
            </w:pPr>
          </w:p>
        </w:tc>
      </w:tr>
    </w:tbl>
    <w:p w14:paraId="58DDEFF6" w14:textId="549527A0" w:rsidR="00E53DCE" w:rsidRPr="009F430B" w:rsidRDefault="009F430B" w:rsidP="00801159">
      <w:pPr>
        <w:rPr>
          <w:szCs w:val="24"/>
          <w:lang w:val="es-ES"/>
        </w:rPr>
      </w:pPr>
      <w:r w:rsidRPr="0094317F">
        <w:rPr>
          <w:szCs w:val="24"/>
          <w:lang w:val="es-ES_tradnl"/>
        </w:rPr>
        <w:t xml:space="preserve">La Conferencia Mundial de Radiocomunicaciones, Dubái, 2023, (CMR-23), al adoptar una revisión parcial del Reglamento de Radiocomunicaciones, tomó una serie de decisiones que no figuran en las Actas Finales de la Conferencia, pero que se reflejan en las actas de sus sesiones plenarias. </w:t>
      </w:r>
      <w:r w:rsidR="0067605C">
        <w:rPr>
          <w:szCs w:val="24"/>
          <w:lang w:val="es-ES_tradnl"/>
        </w:rPr>
        <w:br/>
      </w:r>
      <w:r w:rsidRPr="0094317F">
        <w:rPr>
          <w:szCs w:val="24"/>
          <w:lang w:val="es-ES_tradnl"/>
        </w:rPr>
        <w:t>El objetivo de la presente Carta Circular, según lo solicitado por la Conferencia, es reunir y señalar a la atención de las administraciones las citadas decisiones.</w:t>
      </w:r>
    </w:p>
    <w:p w14:paraId="554B84CF" w14:textId="2F2A7E35" w:rsidR="00D21694" w:rsidRPr="009F430B" w:rsidRDefault="009F430B" w:rsidP="00801159">
      <w:pPr>
        <w:rPr>
          <w:rFonts w:asciiTheme="minorHAnsi" w:hAnsiTheme="minorHAnsi" w:cstheme="minorHAnsi"/>
          <w:szCs w:val="24"/>
          <w:lang w:val="es-ES"/>
        </w:rPr>
      </w:pPr>
      <w:r w:rsidRPr="0094317F">
        <w:rPr>
          <w:szCs w:val="24"/>
          <w:lang w:val="es-ES_tradnl"/>
        </w:rPr>
        <w:t>El Anexo a la presente Carta Circular contiene una recopilación de los textos de estas decisiones, junto con las referencias a los párrafos correspondientes de los documentos en que se recogen las actas de las sesiones plenarias de la CMR-23 y a los documentos para los que se solicitó el acuerdo</w:t>
      </w:r>
      <w:r w:rsidRPr="0094317F">
        <w:rPr>
          <w:lang w:val="es-ES_tradnl"/>
        </w:rPr>
        <w:t xml:space="preserve"> </w:t>
      </w:r>
      <w:r w:rsidRPr="0094317F">
        <w:rPr>
          <w:szCs w:val="24"/>
          <w:lang w:val="es-ES_tradnl"/>
        </w:rPr>
        <w:t>o la aprobación de la Plenaria.</w:t>
      </w:r>
    </w:p>
    <w:p w14:paraId="4D32EE3D" w14:textId="264C8596" w:rsidR="002A5DD7" w:rsidRPr="009F430B" w:rsidRDefault="009F430B" w:rsidP="00801159">
      <w:pPr>
        <w:rPr>
          <w:rFonts w:asciiTheme="minorHAnsi" w:hAnsiTheme="minorHAnsi" w:cstheme="minorHAnsi"/>
          <w:szCs w:val="24"/>
          <w:lang w:val="es-ES"/>
        </w:rPr>
      </w:pPr>
      <w:r w:rsidRPr="0094317F">
        <w:rPr>
          <w:szCs w:val="24"/>
          <w:lang w:val="es-ES_tradnl"/>
        </w:rPr>
        <w:t>La Oficina de Radiocomunicaciones queda a disposición de su Administración para cualquier aclaración que pudiera requerir respecto de los asuntos tratados en la presente Carta Circular.</w:t>
      </w:r>
    </w:p>
    <w:p w14:paraId="4A7C324D" w14:textId="77777777" w:rsidR="00031E64" w:rsidRDefault="001B3D4D" w:rsidP="009F430B">
      <w:pPr>
        <w:spacing w:before="840" w:line="240" w:lineRule="auto"/>
        <w:jc w:val="left"/>
        <w:rPr>
          <w:szCs w:val="24"/>
          <w:lang w:val="es-ES"/>
        </w:rPr>
      </w:pPr>
      <w:r w:rsidRPr="009F430B">
        <w:rPr>
          <w:rFonts w:asciiTheme="minorHAnsi" w:hAnsiTheme="minorHAnsi" w:cstheme="minorHAnsi"/>
          <w:lang w:val="es-ES"/>
        </w:rPr>
        <w:t xml:space="preserve">Mario </w:t>
      </w:r>
      <w:proofErr w:type="spellStart"/>
      <w:r w:rsidRPr="009F430B">
        <w:rPr>
          <w:rFonts w:asciiTheme="minorHAnsi" w:hAnsiTheme="minorHAnsi" w:cstheme="minorHAnsi"/>
          <w:lang w:val="es-ES"/>
        </w:rPr>
        <w:t>Maniewicz</w:t>
      </w:r>
      <w:proofErr w:type="spellEnd"/>
      <w:r w:rsidR="00E53DCE" w:rsidRPr="0033029C">
        <w:rPr>
          <w:szCs w:val="24"/>
          <w:lang w:val="es-ES"/>
        </w:rPr>
        <w:br/>
      </w:r>
      <w:proofErr w:type="gramStart"/>
      <w:r w:rsidR="00A96D3A" w:rsidRPr="0033029C">
        <w:rPr>
          <w:szCs w:val="24"/>
          <w:lang w:val="es-ES"/>
        </w:rPr>
        <w:t>Director</w:t>
      </w:r>
      <w:proofErr w:type="gramEnd"/>
      <w:r w:rsidR="00A96D3A" w:rsidRPr="0033029C">
        <w:rPr>
          <w:szCs w:val="24"/>
          <w:lang w:val="es-ES"/>
        </w:rPr>
        <w:t xml:space="preserve"> </w:t>
      </w:r>
    </w:p>
    <w:p w14:paraId="1D293C94" w14:textId="77777777" w:rsidR="009F430B" w:rsidRPr="0094317F" w:rsidRDefault="009F430B" w:rsidP="009F430B">
      <w:pPr>
        <w:spacing w:before="840" w:line="240" w:lineRule="auto"/>
        <w:jc w:val="left"/>
        <w:rPr>
          <w:rFonts w:asciiTheme="minorHAnsi" w:eastAsia="SimSun" w:hAnsiTheme="minorHAnsi" w:cstheme="minorHAnsi"/>
          <w:szCs w:val="24"/>
          <w:lang w:val="es-ES_tradnl"/>
        </w:rPr>
      </w:pPr>
      <w:r w:rsidRPr="0094317F">
        <w:rPr>
          <w:rFonts w:asciiTheme="minorHAnsi" w:eastAsiaTheme="majorEastAsia" w:hAnsiTheme="minorHAnsi" w:cstheme="minorHAnsi"/>
          <w:szCs w:val="24"/>
          <w:lang w:val="es-ES_tradnl"/>
        </w:rPr>
        <w:t>Anexo</w:t>
      </w:r>
      <w:r w:rsidRPr="0094317F">
        <w:rPr>
          <w:rFonts w:asciiTheme="minorHAnsi" w:eastAsia="SimSun" w:hAnsiTheme="minorHAnsi" w:cstheme="minorHAnsi"/>
          <w:szCs w:val="24"/>
          <w:lang w:val="es-ES_tradnl"/>
        </w:rPr>
        <w:t>: 1</w:t>
      </w:r>
    </w:p>
    <w:p w14:paraId="6A2704BE" w14:textId="77777777" w:rsidR="009F430B" w:rsidRPr="0094317F" w:rsidRDefault="009F430B" w:rsidP="009F430B">
      <w:pPr>
        <w:pStyle w:val="toc0"/>
        <w:tabs>
          <w:tab w:val="left" w:pos="1985"/>
        </w:tabs>
        <w:spacing w:before="0" w:after="120"/>
        <w:jc w:val="lowKashida"/>
        <w:rPr>
          <w:rFonts w:asciiTheme="minorHAnsi" w:eastAsiaTheme="majorEastAsia" w:hAnsiTheme="minorHAnsi" w:cstheme="minorHAnsi"/>
          <w:bCs/>
          <w:sz w:val="18"/>
          <w:szCs w:val="18"/>
          <w:u w:val="single"/>
          <w:lang w:val="es-ES_tradnl"/>
        </w:rPr>
      </w:pPr>
      <w:r w:rsidRPr="0094317F">
        <w:rPr>
          <w:rFonts w:asciiTheme="minorHAnsi" w:eastAsiaTheme="majorEastAsia" w:hAnsiTheme="minorHAnsi" w:cstheme="minorHAnsi"/>
          <w:bCs/>
          <w:sz w:val="18"/>
          <w:szCs w:val="18"/>
          <w:u w:val="single"/>
          <w:lang w:val="es-ES_tradnl"/>
        </w:rPr>
        <w:t>Distribución:</w:t>
      </w:r>
    </w:p>
    <w:p w14:paraId="526F8ADD" w14:textId="77777777" w:rsidR="009F430B" w:rsidRPr="009F430B" w:rsidRDefault="009F430B" w:rsidP="00417E71">
      <w:pPr>
        <w:pStyle w:val="enumlev1"/>
        <w:numPr>
          <w:ilvl w:val="0"/>
          <w:numId w:val="3"/>
        </w:numPr>
        <w:tabs>
          <w:tab w:val="clear" w:pos="794"/>
          <w:tab w:val="clear" w:pos="1191"/>
          <w:tab w:val="clear" w:pos="1588"/>
        </w:tabs>
        <w:spacing w:before="0" w:line="240" w:lineRule="auto"/>
        <w:ind w:left="0" w:hanging="142"/>
        <w:jc w:val="left"/>
        <w:rPr>
          <w:rFonts w:asciiTheme="minorHAnsi" w:hAnsiTheme="minorHAnsi" w:cstheme="minorHAnsi"/>
          <w:szCs w:val="24"/>
          <w:lang w:val="es-ES"/>
        </w:rPr>
      </w:pPr>
      <w:r w:rsidRPr="009F430B">
        <w:rPr>
          <w:rFonts w:asciiTheme="minorHAnsi" w:eastAsiaTheme="majorEastAsia" w:hAnsiTheme="minorHAnsi" w:cstheme="minorHAnsi"/>
          <w:sz w:val="18"/>
          <w:szCs w:val="18"/>
          <w:lang w:val="es-ES_tradnl"/>
        </w:rPr>
        <w:t>Administraciones de los Estados Miembros de la UIT</w:t>
      </w:r>
    </w:p>
    <w:p w14:paraId="19A27DEE" w14:textId="15FA3BA1" w:rsidR="009F430B" w:rsidRDefault="009F430B" w:rsidP="00417E71">
      <w:pPr>
        <w:pStyle w:val="enumlev1"/>
        <w:numPr>
          <w:ilvl w:val="0"/>
          <w:numId w:val="3"/>
        </w:numPr>
        <w:tabs>
          <w:tab w:val="clear" w:pos="794"/>
          <w:tab w:val="clear" w:pos="1191"/>
          <w:tab w:val="clear" w:pos="1588"/>
        </w:tabs>
        <w:spacing w:before="0" w:line="240" w:lineRule="auto"/>
        <w:ind w:left="0" w:hanging="142"/>
        <w:jc w:val="left"/>
        <w:rPr>
          <w:rFonts w:asciiTheme="minorHAnsi" w:eastAsiaTheme="majorEastAsia" w:hAnsiTheme="minorHAnsi" w:cstheme="minorHAnsi"/>
          <w:sz w:val="18"/>
          <w:szCs w:val="18"/>
          <w:lang w:val="es-ES_tradnl"/>
        </w:rPr>
      </w:pPr>
      <w:r w:rsidRPr="009F430B">
        <w:rPr>
          <w:rFonts w:asciiTheme="minorHAnsi" w:eastAsiaTheme="majorEastAsia" w:hAnsiTheme="minorHAnsi" w:cstheme="minorHAnsi"/>
          <w:sz w:val="18"/>
          <w:szCs w:val="18"/>
          <w:lang w:val="es-ES_tradnl"/>
        </w:rPr>
        <w:t>Miembros de la Junta del Reglamento de Radiocomunicaciones</w:t>
      </w:r>
    </w:p>
    <w:p w14:paraId="3BCE4656" w14:textId="736D2994" w:rsidR="009F430B" w:rsidRDefault="009F430B">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Theme="majorEastAsia" w:hAnsiTheme="minorHAnsi" w:cstheme="minorHAnsi"/>
          <w:sz w:val="18"/>
          <w:szCs w:val="18"/>
          <w:lang w:val="es-ES_tradnl"/>
        </w:rPr>
      </w:pPr>
    </w:p>
    <w:p w14:paraId="567D0A1F" w14:textId="4176D82D" w:rsidR="009F430B" w:rsidRDefault="009F430B">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lang w:val="es-ES"/>
        </w:rPr>
      </w:pPr>
      <w:r>
        <w:rPr>
          <w:rFonts w:asciiTheme="minorHAnsi" w:hAnsiTheme="minorHAnsi" w:cstheme="minorHAnsi"/>
          <w:szCs w:val="24"/>
          <w:lang w:val="es-ES"/>
        </w:rPr>
        <w:br w:type="page"/>
      </w:r>
    </w:p>
    <w:p w14:paraId="4EFBDC8D" w14:textId="77777777" w:rsidR="009F430B" w:rsidRDefault="009F430B" w:rsidP="009F430B">
      <w:pPr>
        <w:jc w:val="center"/>
        <w:rPr>
          <w:b/>
          <w:bCs/>
          <w:iCs/>
          <w:color w:val="000000" w:themeColor="text1"/>
          <w:lang w:val="es-ES_tradnl"/>
        </w:rPr>
        <w:sectPr w:rsidR="009F430B" w:rsidSect="00132DD2">
          <w:headerReference w:type="even" r:id="rId8"/>
          <w:headerReference w:type="default" r:id="rId9"/>
          <w:headerReference w:type="first" r:id="rId10"/>
          <w:footerReference w:type="first" r:id="rId11"/>
          <w:pgSz w:w="11907" w:h="16834" w:code="9"/>
          <w:pgMar w:top="1134" w:right="1134" w:bottom="993" w:left="1134" w:header="567" w:footer="816" w:gutter="0"/>
          <w:cols w:space="720"/>
          <w:titlePg/>
        </w:sectPr>
      </w:pPr>
      <w:bookmarkStart w:id="1" w:name="_Hlk33787312"/>
    </w:p>
    <w:p w14:paraId="302B97B1" w14:textId="77777777" w:rsidR="009F430B" w:rsidRPr="0094317F" w:rsidRDefault="009F430B" w:rsidP="009F430B">
      <w:pPr>
        <w:pStyle w:val="AnnexNoTitle"/>
        <w:spacing w:after="480"/>
        <w:rPr>
          <w:lang w:val="es-ES_tradnl"/>
        </w:rPr>
      </w:pPr>
      <w:r w:rsidRPr="0094317F">
        <w:rPr>
          <w:lang w:val="es-ES_tradnl"/>
        </w:rPr>
        <w:lastRenderedPageBreak/>
        <w:t>ANEXO</w:t>
      </w:r>
    </w:p>
    <w:tbl>
      <w:tblPr>
        <w:tblStyle w:val="TableGrid"/>
        <w:tblW w:w="14283" w:type="dxa"/>
        <w:tblLayout w:type="fixed"/>
        <w:tblLook w:val="04A0" w:firstRow="1" w:lastRow="0" w:firstColumn="1" w:lastColumn="0" w:noHBand="0" w:noVBand="1"/>
      </w:tblPr>
      <w:tblGrid>
        <w:gridCol w:w="1838"/>
        <w:gridCol w:w="1733"/>
        <w:gridCol w:w="10712"/>
      </w:tblGrid>
      <w:tr w:rsidR="009F430B" w:rsidRPr="0067605C" w14:paraId="3E797958" w14:textId="77777777" w:rsidTr="00662D47">
        <w:trPr>
          <w:cantSplit/>
          <w:trHeight w:val="1139"/>
          <w:tblHeader/>
        </w:trPr>
        <w:tc>
          <w:tcPr>
            <w:tcW w:w="1838" w:type="dxa"/>
          </w:tcPr>
          <w:p w14:paraId="7A1288B9" w14:textId="77777777" w:rsidR="009F430B" w:rsidRPr="0094317F" w:rsidRDefault="009F430B" w:rsidP="00CB56EC">
            <w:pPr>
              <w:pStyle w:val="Tablehead"/>
              <w:rPr>
                <w:lang w:val="es-ES_tradnl"/>
              </w:rPr>
            </w:pPr>
            <w:r w:rsidRPr="0094317F">
              <w:rPr>
                <w:lang w:val="es-ES_tradnl"/>
              </w:rPr>
              <w:t>Documento de origen (Actas de la Plenaria)</w:t>
            </w:r>
          </w:p>
        </w:tc>
        <w:tc>
          <w:tcPr>
            <w:tcW w:w="1733" w:type="dxa"/>
          </w:tcPr>
          <w:p w14:paraId="34140CA8" w14:textId="77777777" w:rsidR="009F430B" w:rsidRPr="0094317F" w:rsidRDefault="009F430B" w:rsidP="00CB56EC">
            <w:pPr>
              <w:pStyle w:val="Tablehead"/>
              <w:rPr>
                <w:lang w:val="es-ES_tradnl"/>
              </w:rPr>
            </w:pPr>
            <w:r w:rsidRPr="0094317F">
              <w:rPr>
                <w:lang w:val="es-ES_tradnl"/>
              </w:rPr>
              <w:t>Antecedentes de la decisión de la Plenaria</w:t>
            </w:r>
          </w:p>
        </w:tc>
        <w:tc>
          <w:tcPr>
            <w:tcW w:w="10712" w:type="dxa"/>
          </w:tcPr>
          <w:p w14:paraId="00364ECB" w14:textId="77777777" w:rsidR="009F430B" w:rsidRPr="0094317F" w:rsidRDefault="009F430B" w:rsidP="00CB56EC">
            <w:pPr>
              <w:pStyle w:val="Tablehead"/>
              <w:rPr>
                <w:lang w:val="es-ES_tradnl"/>
              </w:rPr>
            </w:pPr>
            <w:r w:rsidRPr="0094317F">
              <w:rPr>
                <w:lang w:val="es-ES_tradnl"/>
              </w:rPr>
              <w:t>Decisión de la Plenaria y texto asociado</w:t>
            </w:r>
          </w:p>
        </w:tc>
      </w:tr>
      <w:tr w:rsidR="009F430B" w:rsidRPr="0094317F" w14:paraId="610788A6" w14:textId="77777777" w:rsidTr="00662D47">
        <w:trPr>
          <w:trHeight w:val="1139"/>
        </w:trPr>
        <w:tc>
          <w:tcPr>
            <w:tcW w:w="1838" w:type="dxa"/>
          </w:tcPr>
          <w:p w14:paraId="5530F644" w14:textId="130C3705" w:rsidR="009F430B" w:rsidRPr="00CB56EC" w:rsidRDefault="009F430B" w:rsidP="00CB56EC">
            <w:pPr>
              <w:jc w:val="left"/>
              <w:rPr>
                <w:b/>
                <w:sz w:val="20"/>
                <w:szCs w:val="20"/>
                <w:lang w:val="es-ES_tradnl"/>
              </w:rPr>
            </w:pPr>
            <w:r w:rsidRPr="00CB56EC">
              <w:rPr>
                <w:b/>
                <w:sz w:val="20"/>
                <w:szCs w:val="20"/>
                <w:lang w:val="es-ES_tradnl"/>
              </w:rPr>
              <w:t xml:space="preserve">Documento </w:t>
            </w:r>
            <w:r w:rsidR="0067605C">
              <w:fldChar w:fldCharType="begin"/>
            </w:r>
            <w:r w:rsidR="0067605C" w:rsidRPr="0067605C">
              <w:rPr>
                <w:lang w:val="fr-FR"/>
              </w:rPr>
              <w:instrText>HYPERLINK "https://www.itu.int/md/R23-WRC23-C-0523/en"</w:instrText>
            </w:r>
            <w:r w:rsidR="0067605C">
              <w:fldChar w:fldCharType="separate"/>
            </w:r>
            <w:r w:rsidRPr="00CB56EC">
              <w:rPr>
                <w:rStyle w:val="Hyperlink"/>
                <w:b/>
                <w:sz w:val="20"/>
                <w:szCs w:val="20"/>
                <w:lang w:val="es-ES_tradnl"/>
              </w:rPr>
              <w:t>CMR23/523</w:t>
            </w:r>
            <w:r w:rsidR="0067605C">
              <w:rPr>
                <w:rStyle w:val="Hyperlink"/>
                <w:b/>
                <w:sz w:val="20"/>
                <w:szCs w:val="20"/>
                <w:lang w:val="es-ES_tradnl"/>
              </w:rPr>
              <w:fldChar w:fldCharType="end"/>
            </w:r>
            <w:r w:rsidRPr="00CB56EC">
              <w:rPr>
                <w:b/>
                <w:sz w:val="20"/>
                <w:szCs w:val="20"/>
                <w:lang w:val="es-ES_tradnl"/>
              </w:rPr>
              <w:t xml:space="preserve"> – Actas de la octava sesión plenaria</w:t>
            </w:r>
          </w:p>
        </w:tc>
        <w:tc>
          <w:tcPr>
            <w:tcW w:w="1733" w:type="dxa"/>
          </w:tcPr>
          <w:p w14:paraId="52647A00" w14:textId="77777777" w:rsidR="009F430B" w:rsidRPr="00CB56EC" w:rsidRDefault="009F430B" w:rsidP="00CB56EC">
            <w:pPr>
              <w:spacing w:after="120" w:line="240" w:lineRule="auto"/>
              <w:jc w:val="left"/>
              <w:rPr>
                <w:b/>
                <w:sz w:val="20"/>
                <w:szCs w:val="20"/>
                <w:lang w:val="es-ES_tradnl"/>
              </w:rPr>
            </w:pPr>
            <w:r w:rsidRPr="00CB56EC">
              <w:rPr>
                <w:b/>
                <w:sz w:val="20"/>
                <w:szCs w:val="20"/>
                <w:lang w:val="es-ES_tradnl"/>
              </w:rPr>
              <w:t xml:space="preserve">Documento </w:t>
            </w:r>
            <w:r w:rsidR="0067605C">
              <w:fldChar w:fldCharType="begin"/>
            </w:r>
            <w:r w:rsidR="0067605C" w:rsidRPr="0067605C">
              <w:rPr>
                <w:lang w:val="fr-FR"/>
              </w:rPr>
              <w:instrText>HYPERLINK "https://www.itu.int/md/R23-WRC23-C-0050/en"</w:instrText>
            </w:r>
            <w:r w:rsidR="0067605C">
              <w:fldChar w:fldCharType="separate"/>
            </w:r>
            <w:r w:rsidRPr="00CB56EC">
              <w:rPr>
                <w:rStyle w:val="Hyperlink"/>
                <w:b/>
                <w:sz w:val="20"/>
                <w:szCs w:val="20"/>
                <w:lang w:val="es-ES_tradnl"/>
              </w:rPr>
              <w:t>50</w:t>
            </w:r>
            <w:r w:rsidR="0067605C">
              <w:rPr>
                <w:rStyle w:val="Hyperlink"/>
                <w:b/>
                <w:sz w:val="20"/>
                <w:szCs w:val="20"/>
                <w:lang w:val="es-ES_tradnl"/>
              </w:rPr>
              <w:fldChar w:fldCharType="end"/>
            </w:r>
          </w:p>
          <w:p w14:paraId="73A93008" w14:textId="77777777" w:rsidR="009F430B" w:rsidRPr="00CB56EC" w:rsidRDefault="009F430B" w:rsidP="00CB56EC">
            <w:pPr>
              <w:spacing w:after="120" w:line="240" w:lineRule="auto"/>
              <w:jc w:val="left"/>
              <w:rPr>
                <w:b/>
                <w:sz w:val="20"/>
                <w:szCs w:val="20"/>
                <w:lang w:val="es-ES_tradnl"/>
              </w:rPr>
            </w:pPr>
            <w:r w:rsidRPr="00CB56EC">
              <w:rPr>
                <w:b/>
                <w:sz w:val="20"/>
                <w:szCs w:val="20"/>
                <w:lang w:val="es-ES_tradnl"/>
              </w:rPr>
              <w:t>§ 11.1 y 11.2</w:t>
            </w:r>
          </w:p>
          <w:p w14:paraId="3CA4A189" w14:textId="77777777" w:rsidR="009F430B" w:rsidRPr="00CB56EC" w:rsidRDefault="009F430B" w:rsidP="00CB56EC">
            <w:pPr>
              <w:jc w:val="left"/>
              <w:rPr>
                <w:rFonts w:cs="Times"/>
                <w:b/>
                <w:sz w:val="20"/>
                <w:szCs w:val="20"/>
                <w:lang w:val="es-ES_tradnl"/>
              </w:rPr>
            </w:pPr>
            <w:r w:rsidRPr="00CB56EC">
              <w:rPr>
                <w:b/>
                <w:sz w:val="20"/>
                <w:szCs w:val="20"/>
                <w:lang w:val="es-ES_tradnl"/>
              </w:rPr>
              <w:t xml:space="preserve">Aprobación del Documento </w:t>
            </w:r>
            <w:r w:rsidR="0067605C">
              <w:fldChar w:fldCharType="begin"/>
            </w:r>
            <w:r w:rsidR="0067605C" w:rsidRPr="0067605C">
              <w:rPr>
                <w:lang w:val="fr-FR"/>
              </w:rPr>
              <w:instrText>HYPERLINK "https://www.itu.int/md/R23-WRC23-C-0442/en"</w:instrText>
            </w:r>
            <w:r w:rsidR="0067605C">
              <w:fldChar w:fldCharType="separate"/>
            </w:r>
            <w:r w:rsidRPr="00CB56EC">
              <w:rPr>
                <w:rStyle w:val="Hyperlink"/>
                <w:b/>
                <w:sz w:val="20"/>
                <w:szCs w:val="20"/>
                <w:lang w:val="es-ES_tradnl"/>
              </w:rPr>
              <w:t>442</w:t>
            </w:r>
            <w:r w:rsidR="0067605C">
              <w:rPr>
                <w:rStyle w:val="Hyperlink"/>
                <w:b/>
                <w:sz w:val="20"/>
                <w:szCs w:val="20"/>
                <w:lang w:val="es-ES_tradnl"/>
              </w:rPr>
              <w:fldChar w:fldCharType="end"/>
            </w:r>
            <w:r w:rsidRPr="00CB56EC">
              <w:rPr>
                <w:rStyle w:val="Hyperlink"/>
                <w:b/>
                <w:sz w:val="20"/>
                <w:szCs w:val="20"/>
                <w:lang w:val="es-ES_tradnl"/>
              </w:rPr>
              <w:t>;</w:t>
            </w:r>
          </w:p>
        </w:tc>
        <w:tc>
          <w:tcPr>
            <w:tcW w:w="10712" w:type="dxa"/>
          </w:tcPr>
          <w:p w14:paraId="12D5DDB6" w14:textId="479CBC27" w:rsidR="009F430B" w:rsidRPr="00CB56EC" w:rsidRDefault="009F430B" w:rsidP="00CB56EC">
            <w:pPr>
              <w:pStyle w:val="Headingb"/>
              <w:keepNext w:val="0"/>
              <w:widowControl w:val="0"/>
              <w:jc w:val="left"/>
              <w:rPr>
                <w:sz w:val="20"/>
                <w:szCs w:val="20"/>
                <w:lang w:val="es-ES_tradnl"/>
              </w:rPr>
            </w:pPr>
            <w:r w:rsidRPr="00CB56EC">
              <w:rPr>
                <w:sz w:val="20"/>
                <w:szCs w:val="20"/>
                <w:lang w:val="es-ES_tradnl"/>
              </w:rPr>
              <w:t>Cuestiones relacionadas con la aplicación de la Resolución 559 (CMR-19)</w:t>
            </w:r>
          </w:p>
          <w:p w14:paraId="31A759E6" w14:textId="00E35F91" w:rsidR="009F430B" w:rsidRPr="00CB56EC" w:rsidRDefault="009F430B" w:rsidP="00CB56EC">
            <w:pPr>
              <w:jc w:val="left"/>
              <w:rPr>
                <w:sz w:val="20"/>
                <w:szCs w:val="20"/>
                <w:lang w:val="es-ES_tradnl"/>
              </w:rPr>
            </w:pPr>
            <w:r w:rsidRPr="00CB56EC">
              <w:rPr>
                <w:sz w:val="20"/>
                <w:szCs w:val="20"/>
                <w:lang w:val="es-ES_tradnl"/>
              </w:rPr>
              <w:t>La CMR-23 examinó la sección 4.2, «Cuestiones relacionadas con la aplicación de la Resolución </w:t>
            </w:r>
            <w:r w:rsidRPr="00CB56EC">
              <w:rPr>
                <w:b/>
                <w:bCs/>
                <w:sz w:val="20"/>
                <w:szCs w:val="20"/>
                <w:lang w:val="es-ES_tradnl"/>
              </w:rPr>
              <w:t>559 (CMR</w:t>
            </w:r>
            <w:r w:rsidRPr="00CB56EC">
              <w:rPr>
                <w:b/>
                <w:bCs/>
                <w:sz w:val="20"/>
                <w:szCs w:val="20"/>
                <w:lang w:val="es-ES_tradnl"/>
              </w:rPr>
              <w:noBreakHyphen/>
              <w:t>19)</w:t>
            </w:r>
            <w:r w:rsidRPr="00CB56EC">
              <w:rPr>
                <w:sz w:val="20"/>
                <w:szCs w:val="20"/>
                <w:lang w:val="es-ES_tradnl"/>
              </w:rPr>
              <w:t>», del Informe de la Junta del Reglamento de Radiocomunicaciones a la CMR-23 sobre la Resolución </w:t>
            </w:r>
            <w:r w:rsidRPr="00CB56EC">
              <w:rPr>
                <w:b/>
                <w:bCs/>
                <w:sz w:val="20"/>
                <w:szCs w:val="20"/>
                <w:lang w:val="es-ES_tradnl"/>
              </w:rPr>
              <w:t>80 (Rev.CMR-07)</w:t>
            </w:r>
            <w:r w:rsidRPr="00CB56EC">
              <w:rPr>
                <w:sz w:val="20"/>
                <w:szCs w:val="20"/>
                <w:lang w:val="es-ES_tradnl"/>
              </w:rPr>
              <w:t>. En esa sección se presentaban de forma detallada las amplias iniciativas de la Junta del Reglamento de Radiocomunicaciones, las 45 administraciones que presentaron notificaciones en virtud de la Resolución </w:t>
            </w:r>
            <w:r w:rsidRPr="00CB56EC">
              <w:rPr>
                <w:b/>
                <w:bCs/>
                <w:sz w:val="20"/>
                <w:szCs w:val="20"/>
                <w:lang w:val="es-ES_tradnl"/>
              </w:rPr>
              <w:t>559</w:t>
            </w:r>
            <w:r w:rsidRPr="00CB56EC">
              <w:rPr>
                <w:sz w:val="20"/>
                <w:szCs w:val="20"/>
                <w:lang w:val="es-ES_tradnl"/>
              </w:rPr>
              <w:t>, las administraciones cuyas redes podían resultar afectadas por las notificaciones presentadas en virtud de la Resolución </w:t>
            </w:r>
            <w:r w:rsidRPr="00CB56EC">
              <w:rPr>
                <w:b/>
                <w:bCs/>
                <w:sz w:val="20"/>
                <w:szCs w:val="20"/>
                <w:lang w:val="es-ES_tradnl"/>
              </w:rPr>
              <w:t>559</w:t>
            </w:r>
            <w:r w:rsidRPr="00CB56EC">
              <w:rPr>
                <w:bCs/>
                <w:sz w:val="20"/>
                <w:szCs w:val="20"/>
                <w:lang w:val="es-ES_tradnl"/>
              </w:rPr>
              <w:t>, el Grupo de Trabajo</w:t>
            </w:r>
            <w:r w:rsidRPr="00CB56EC">
              <w:rPr>
                <w:sz w:val="20"/>
                <w:szCs w:val="20"/>
                <w:lang w:val="es-ES_tradnl"/>
              </w:rPr>
              <w:t xml:space="preserve"> 4A del UIT-R y la Oficina de Radiocomunicaciones, cuyo objetivo era conseguir que se llegaran a publicar correctamente las notificaciones de la Parte B, presentadas por 41 administraciones en virtud de la Resolución </w:t>
            </w:r>
            <w:r w:rsidRPr="00CB56EC">
              <w:rPr>
                <w:b/>
                <w:bCs/>
                <w:sz w:val="20"/>
                <w:szCs w:val="20"/>
                <w:lang w:val="es-ES_tradnl"/>
              </w:rPr>
              <w:t>559</w:t>
            </w:r>
            <w:r w:rsidRPr="00CB56EC">
              <w:rPr>
                <w:sz w:val="20"/>
                <w:szCs w:val="20"/>
                <w:lang w:val="es-ES_tradnl"/>
              </w:rPr>
              <w:t>.</w:t>
            </w:r>
          </w:p>
          <w:p w14:paraId="7C308AAB" w14:textId="77777777" w:rsidR="009F430B" w:rsidRPr="00CB56EC" w:rsidRDefault="009F430B" w:rsidP="00CB56EC">
            <w:pPr>
              <w:jc w:val="left"/>
              <w:rPr>
                <w:sz w:val="20"/>
                <w:szCs w:val="20"/>
                <w:lang w:val="es-ES_tradnl"/>
              </w:rPr>
            </w:pPr>
            <w:r w:rsidRPr="00CB56EC">
              <w:rPr>
                <w:sz w:val="20"/>
                <w:szCs w:val="20"/>
                <w:lang w:val="es-ES_tradnl"/>
              </w:rPr>
              <w:t>Para finalizar esta sección del Informe, la Junta invitó a la CMR-23 a respaldar una lista de medidas adoptadas por la Junta y ejecutadas por la Oficina con miras a la aplicación de la Resolución </w:t>
            </w:r>
            <w:r w:rsidRPr="00CB56EC">
              <w:rPr>
                <w:b/>
                <w:bCs/>
                <w:sz w:val="20"/>
                <w:szCs w:val="20"/>
                <w:lang w:val="es-ES_tradnl"/>
              </w:rPr>
              <w:t>559 (CMR</w:t>
            </w:r>
            <w:r w:rsidRPr="00CB56EC">
              <w:rPr>
                <w:b/>
                <w:bCs/>
                <w:sz w:val="20"/>
                <w:szCs w:val="20"/>
                <w:lang w:val="es-ES_tradnl"/>
              </w:rPr>
              <w:noBreakHyphen/>
              <w:t>19)</w:t>
            </w:r>
            <w:r w:rsidRPr="00CB56EC">
              <w:rPr>
                <w:sz w:val="20"/>
                <w:szCs w:val="20"/>
                <w:lang w:val="es-ES_tradnl"/>
              </w:rPr>
              <w:t>. La CMR-23 aceptó la invitación por mayoría abrumadora y respaldó esas medidas. En consecuencia, se ha confirmado la incorporación a la Lista de los Apéndices </w:t>
            </w:r>
            <w:r w:rsidRPr="00CB56EC">
              <w:rPr>
                <w:b/>
                <w:bCs/>
                <w:sz w:val="20"/>
                <w:szCs w:val="20"/>
                <w:lang w:val="es-ES_tradnl"/>
              </w:rPr>
              <w:t>30</w:t>
            </w:r>
            <w:r w:rsidRPr="00CB56EC">
              <w:rPr>
                <w:sz w:val="20"/>
                <w:szCs w:val="20"/>
                <w:lang w:val="es-ES_tradnl"/>
              </w:rPr>
              <w:t xml:space="preserve"> y </w:t>
            </w:r>
            <w:r w:rsidRPr="00CB56EC">
              <w:rPr>
                <w:b/>
                <w:bCs/>
                <w:sz w:val="20"/>
                <w:szCs w:val="20"/>
                <w:lang w:val="es-ES_tradnl"/>
              </w:rPr>
              <w:t>30A</w:t>
            </w:r>
            <w:r w:rsidRPr="00CB56EC">
              <w:rPr>
                <w:sz w:val="20"/>
                <w:szCs w:val="20"/>
                <w:lang w:val="es-ES_tradnl"/>
              </w:rPr>
              <w:t xml:space="preserve"> del RR de las asignaciones contenidas en esas notificaciones de la Parte B con arreglo a la Resolución </w:t>
            </w:r>
            <w:r w:rsidRPr="00CB56EC">
              <w:rPr>
                <w:b/>
                <w:bCs/>
                <w:sz w:val="20"/>
                <w:szCs w:val="20"/>
                <w:lang w:val="es-ES_tradnl"/>
              </w:rPr>
              <w:t>559</w:t>
            </w:r>
            <w:r w:rsidRPr="00CB56EC">
              <w:rPr>
                <w:sz w:val="20"/>
                <w:szCs w:val="20"/>
                <w:lang w:val="es-ES_tradnl"/>
              </w:rPr>
              <w:t>, tal y como fueron publicadas en las Secciones Especiales pertinentes.</w:t>
            </w:r>
          </w:p>
          <w:p w14:paraId="6D44B236" w14:textId="77777777" w:rsidR="009F430B" w:rsidRPr="00CB56EC" w:rsidRDefault="009F430B" w:rsidP="00CB56EC">
            <w:pPr>
              <w:jc w:val="left"/>
              <w:rPr>
                <w:sz w:val="20"/>
                <w:szCs w:val="20"/>
                <w:lang w:val="es-ES_tradnl"/>
              </w:rPr>
            </w:pPr>
            <w:r w:rsidRPr="00CB56EC">
              <w:rPr>
                <w:sz w:val="20"/>
                <w:szCs w:val="20"/>
                <w:lang w:val="es-ES_tradnl"/>
              </w:rPr>
              <w:t>Además, la CMR-23 apoyó la invitación de la Junta a instar a las administraciones cuyas notificaciones de la Parte A se hubieran recibido antes del 22 de mayo de 2020 a hacer todo lo posible por integrar las notificaciones de la Resolución </w:t>
            </w:r>
            <w:r w:rsidRPr="00CB56EC">
              <w:rPr>
                <w:b/>
                <w:bCs/>
                <w:sz w:val="20"/>
                <w:szCs w:val="20"/>
                <w:lang w:val="es-ES_tradnl"/>
              </w:rPr>
              <w:t>559</w:t>
            </w:r>
            <w:r w:rsidRPr="00CB56EC">
              <w:rPr>
                <w:sz w:val="20"/>
                <w:szCs w:val="20"/>
                <w:lang w:val="es-ES_tradnl"/>
              </w:rPr>
              <w:t xml:space="preserve"> y tener en cuenta los resultados del examen realizado por la Oficina al preparar sus notificaciones de la Parte B.</w:t>
            </w:r>
          </w:p>
          <w:p w14:paraId="7F75B7A0" w14:textId="77777777" w:rsidR="009F430B" w:rsidRPr="00CB56EC" w:rsidRDefault="009F430B" w:rsidP="00CB56EC">
            <w:pPr>
              <w:widowControl w:val="0"/>
              <w:jc w:val="left"/>
              <w:rPr>
                <w:sz w:val="20"/>
                <w:szCs w:val="20"/>
                <w:lang w:val="es-ES_tradnl"/>
              </w:rPr>
            </w:pPr>
            <w:r w:rsidRPr="00CB56EC">
              <w:rPr>
                <w:sz w:val="20"/>
                <w:szCs w:val="20"/>
                <w:lang w:val="es-ES_tradnl"/>
              </w:rPr>
              <w:t>Por último, la Junta invitó a la CMR-23 a que alentase a las administraciones a cooperar y a examinar enfoques como los expuestos en el § 4.2.15 del Informe a fin de completar todos los casos de coordinación pendientes. La CMR-23 también respaldó la invitación para animar a las administraciones a actuar en esa línea.»</w:t>
            </w:r>
          </w:p>
          <w:p w14:paraId="79AA6392" w14:textId="6A18B5A0" w:rsidR="009F430B" w:rsidRPr="00CB56EC" w:rsidRDefault="009F430B" w:rsidP="00CB56EC">
            <w:pPr>
              <w:pStyle w:val="Headingb"/>
              <w:keepNext w:val="0"/>
              <w:widowControl w:val="0"/>
              <w:tabs>
                <w:tab w:val="clear" w:pos="794"/>
                <w:tab w:val="left" w:pos="0"/>
              </w:tabs>
              <w:spacing w:before="120" w:after="120"/>
              <w:ind w:left="14" w:hanging="14"/>
              <w:jc w:val="left"/>
              <w:rPr>
                <w:b w:val="0"/>
                <w:bCs/>
                <w:sz w:val="20"/>
                <w:szCs w:val="20"/>
                <w:lang w:val="es-ES_tradnl"/>
              </w:rPr>
            </w:pPr>
            <w:r w:rsidRPr="00CB56EC">
              <w:rPr>
                <w:b w:val="0"/>
                <w:bCs/>
                <w:i/>
                <w:iCs/>
                <w:spacing w:val="-2"/>
                <w:sz w:val="20"/>
                <w:szCs w:val="20"/>
                <w:lang w:val="es-ES_tradnl"/>
              </w:rPr>
              <w:t xml:space="preserve">Nota de la Oficina de Radiocomunicaciones: </w:t>
            </w:r>
            <w:r w:rsidRPr="00CB56EC">
              <w:rPr>
                <w:b w:val="0"/>
                <w:bCs/>
                <w:spacing w:val="-2"/>
                <w:sz w:val="20"/>
                <w:szCs w:val="20"/>
                <w:lang w:val="es-ES_tradnl"/>
              </w:rPr>
              <w:t xml:space="preserve">A </w:t>
            </w:r>
            <w:r w:rsidR="00994B5F" w:rsidRPr="00CB56EC">
              <w:rPr>
                <w:b w:val="0"/>
                <w:bCs/>
                <w:spacing w:val="-2"/>
                <w:sz w:val="20"/>
                <w:szCs w:val="20"/>
                <w:lang w:val="es-ES_tradnl"/>
              </w:rPr>
              <w:t>continuación,</w:t>
            </w:r>
            <w:r w:rsidRPr="00CB56EC">
              <w:rPr>
                <w:b w:val="0"/>
                <w:bCs/>
                <w:spacing w:val="-2"/>
                <w:sz w:val="20"/>
                <w:szCs w:val="20"/>
                <w:lang w:val="es-ES_tradnl"/>
              </w:rPr>
              <w:t xml:space="preserve"> figuran las secciones pertinentes del Informe de la Junta del Reglamento de Radiocomunicaciones a la CMR 23 sobre la Resolución 80 (Rev.CMR-07) (Documento </w:t>
            </w:r>
            <w:r w:rsidR="0067605C">
              <w:fldChar w:fldCharType="begin"/>
            </w:r>
            <w:r w:rsidR="0067605C" w:rsidRPr="0067605C">
              <w:rPr>
                <w:lang w:val="fr-FR"/>
              </w:rPr>
              <w:instrText>HYPERLINK "https://www.itu.int/md/R23-WRC23-C-0050/en"</w:instrText>
            </w:r>
            <w:r w:rsidR="0067605C">
              <w:fldChar w:fldCharType="separate"/>
            </w:r>
            <w:r w:rsidRPr="00CB56EC">
              <w:rPr>
                <w:rStyle w:val="Hyperlink"/>
                <w:spacing w:val="-2"/>
                <w:sz w:val="20"/>
                <w:szCs w:val="20"/>
                <w:lang w:val="es-ES_tradnl"/>
              </w:rPr>
              <w:t>50</w:t>
            </w:r>
            <w:r w:rsidR="0067605C">
              <w:rPr>
                <w:rStyle w:val="Hyperlink"/>
                <w:spacing w:val="-2"/>
                <w:sz w:val="20"/>
                <w:szCs w:val="20"/>
                <w:lang w:val="es-ES_tradnl"/>
              </w:rPr>
              <w:fldChar w:fldCharType="end"/>
            </w:r>
            <w:r w:rsidRPr="00CB56EC">
              <w:rPr>
                <w:b w:val="0"/>
                <w:bCs/>
                <w:spacing w:val="-2"/>
                <w:sz w:val="20"/>
                <w:szCs w:val="20"/>
                <w:lang w:val="es-ES_tradnl"/>
              </w:rPr>
              <w:t>).</w:t>
            </w:r>
          </w:p>
          <w:p w14:paraId="18BAC2E4" w14:textId="64FBDA18" w:rsidR="009F430B" w:rsidRPr="00CB56EC" w:rsidRDefault="005B2DE5" w:rsidP="00CB56EC">
            <w:pPr>
              <w:pStyle w:val="Headingb"/>
              <w:keepNext w:val="0"/>
              <w:widowControl w:val="0"/>
              <w:tabs>
                <w:tab w:val="clear" w:pos="794"/>
                <w:tab w:val="left" w:pos="0"/>
              </w:tabs>
              <w:spacing w:before="120" w:after="120"/>
              <w:ind w:left="14" w:hanging="14"/>
              <w:jc w:val="left"/>
              <w:rPr>
                <w:sz w:val="20"/>
                <w:szCs w:val="20"/>
                <w:lang w:val="es-ES_tradnl"/>
              </w:rPr>
            </w:pPr>
            <w:r w:rsidRPr="00CB56EC">
              <w:rPr>
                <w:b w:val="0"/>
                <w:sz w:val="20"/>
                <w:szCs w:val="20"/>
                <w:lang w:val="es-ES_tradnl"/>
              </w:rPr>
              <w:lastRenderedPageBreak/>
              <w:t>«</w:t>
            </w:r>
            <w:r w:rsidR="009F430B" w:rsidRPr="00CB56EC">
              <w:rPr>
                <w:sz w:val="20"/>
                <w:szCs w:val="20"/>
                <w:lang w:val="es-ES_tradnl"/>
              </w:rPr>
              <w:t>…</w:t>
            </w:r>
          </w:p>
          <w:p w14:paraId="4FD35934" w14:textId="77777777" w:rsidR="009F430B" w:rsidRPr="00CB56EC" w:rsidRDefault="009F430B" w:rsidP="00CB56EC">
            <w:pPr>
              <w:widowControl w:val="0"/>
              <w:jc w:val="left"/>
              <w:rPr>
                <w:sz w:val="20"/>
                <w:szCs w:val="20"/>
                <w:lang w:val="es-ES_tradnl" w:eastAsia="zh-CN"/>
              </w:rPr>
            </w:pPr>
            <w:r w:rsidRPr="00CB56EC">
              <w:rPr>
                <w:sz w:val="20"/>
                <w:szCs w:val="20"/>
                <w:lang w:val="es-ES_tradnl" w:eastAsia="zh-CN"/>
              </w:rPr>
              <w:t>4.2.15</w:t>
            </w:r>
            <w:r w:rsidRPr="00CB56EC">
              <w:rPr>
                <w:sz w:val="20"/>
                <w:szCs w:val="20"/>
                <w:lang w:val="es-ES_tradnl" w:eastAsia="zh-CN"/>
              </w:rPr>
              <w:tab/>
              <w:t xml:space="preserve">La Junta examinó también las siguientes propuestas formuladas por un grupo de administraciones en relación con tres medidas para facilitar la conclusión de la coordinación pendiente de las notificaciones de la Parte B que forman parte de la aplicación de la Resolución </w:t>
            </w:r>
            <w:r w:rsidRPr="00CB56EC">
              <w:rPr>
                <w:b/>
                <w:bCs/>
                <w:sz w:val="20"/>
                <w:szCs w:val="20"/>
                <w:lang w:val="es-ES_tradnl" w:eastAsia="zh-CN"/>
              </w:rPr>
              <w:t>559 (CMR-19)</w:t>
            </w:r>
            <w:r w:rsidRPr="00CB56EC">
              <w:rPr>
                <w:sz w:val="20"/>
                <w:szCs w:val="20"/>
                <w:lang w:val="es-ES_tradnl" w:eastAsia="zh-CN"/>
              </w:rPr>
              <w:t>:</w:t>
            </w:r>
          </w:p>
          <w:p w14:paraId="7A11F874" w14:textId="713B9488" w:rsidR="009F430B" w:rsidRPr="00CB56EC" w:rsidRDefault="009F430B" w:rsidP="00CB56EC">
            <w:pPr>
              <w:pStyle w:val="enumlev1"/>
              <w:widowControl w:val="0"/>
              <w:jc w:val="left"/>
              <w:rPr>
                <w:rFonts w:eastAsia="Calibri"/>
                <w:sz w:val="20"/>
                <w:szCs w:val="20"/>
                <w:lang w:val="es-ES_tradnl"/>
              </w:rPr>
            </w:pPr>
            <w:r w:rsidRPr="00CB56EC">
              <w:rPr>
                <w:sz w:val="20"/>
                <w:szCs w:val="20"/>
                <w:lang w:val="es-ES_tradnl"/>
              </w:rPr>
              <w:t>a)</w:t>
            </w:r>
            <w:r w:rsidRPr="00CB56EC">
              <w:rPr>
                <w:sz w:val="20"/>
                <w:szCs w:val="20"/>
                <w:lang w:val="es-ES_tradnl"/>
              </w:rPr>
              <w:tab/>
              <w:t xml:space="preserve">Según el § 4.1.1 b) del Apéndice </w:t>
            </w:r>
            <w:r w:rsidRPr="00CB56EC">
              <w:rPr>
                <w:b/>
                <w:bCs/>
                <w:sz w:val="20"/>
                <w:szCs w:val="20"/>
                <w:lang w:val="es-ES_tradnl"/>
              </w:rPr>
              <w:t>30</w:t>
            </w:r>
            <w:r w:rsidRPr="00CB56EC">
              <w:rPr>
                <w:sz w:val="20"/>
                <w:szCs w:val="20"/>
                <w:lang w:val="es-ES_tradnl"/>
              </w:rPr>
              <w:t>, la coordinación entre una notificación en virtud de la Resolución </w:t>
            </w:r>
            <w:r w:rsidRPr="00CB56EC">
              <w:rPr>
                <w:rFonts w:eastAsia="Calibri"/>
                <w:b/>
                <w:bCs/>
                <w:sz w:val="20"/>
                <w:szCs w:val="20"/>
                <w:lang w:val="es-ES_tradnl"/>
              </w:rPr>
              <w:t>559</w:t>
            </w:r>
            <w:r w:rsidRPr="00CB56EC">
              <w:rPr>
                <w:rFonts w:eastAsia="Calibri"/>
                <w:sz w:val="20"/>
                <w:szCs w:val="20"/>
                <w:lang w:val="es-ES_tradnl"/>
              </w:rPr>
              <w:t xml:space="preserve"> y una red de uso adicional en las Regiones 1 y 3 se consideraría completa si su separación orbital nominal es igual o superior a seis grados. A fin de conservar el mismo nivel de protección en tales casos de las asignaciones de frecuencias de uso adicional en las Regiones 1 y 3 correspondientes a las notificaciones recibidas con arreglo al Artículo 4, no deberá actualizarse la situación de referencia de las asignaciones de frecuencias de uso adicional en las Regiones 1 y 3 si las asignaciones de frecuencias de la Resolución </w:t>
            </w:r>
            <w:r w:rsidRPr="00CB56EC">
              <w:rPr>
                <w:rFonts w:eastAsia="Calibri"/>
                <w:b/>
                <w:bCs/>
                <w:sz w:val="20"/>
                <w:szCs w:val="20"/>
                <w:lang w:val="es-ES_tradnl"/>
              </w:rPr>
              <w:t>559</w:t>
            </w:r>
            <w:r w:rsidRPr="00CB56EC">
              <w:rPr>
                <w:rFonts w:eastAsia="Calibri"/>
                <w:sz w:val="20"/>
                <w:szCs w:val="20"/>
                <w:lang w:val="es-ES_tradnl"/>
              </w:rPr>
              <w:t xml:space="preserve"> que figuran en la Lista se incluyen en los Planes</w:t>
            </w:r>
            <w:bookmarkStart w:id="2" w:name="_Hlk132884893"/>
            <w:r w:rsidRPr="00CB56EC">
              <w:rPr>
                <w:rFonts w:eastAsia="Calibri"/>
                <w:sz w:val="20"/>
                <w:szCs w:val="20"/>
                <w:lang w:val="es-ES_tradnl"/>
              </w:rPr>
              <w:t>.</w:t>
            </w:r>
            <w:bookmarkEnd w:id="2"/>
          </w:p>
          <w:p w14:paraId="1E756ECE" w14:textId="77777777" w:rsidR="009F430B" w:rsidRPr="00CB56EC" w:rsidRDefault="009F430B" w:rsidP="00CB56EC">
            <w:pPr>
              <w:pStyle w:val="enumlev1"/>
              <w:widowControl w:val="0"/>
              <w:jc w:val="left"/>
              <w:rPr>
                <w:sz w:val="20"/>
                <w:szCs w:val="20"/>
                <w:lang w:val="es-ES_tradnl"/>
              </w:rPr>
            </w:pPr>
            <w:r w:rsidRPr="00CB56EC">
              <w:rPr>
                <w:sz w:val="20"/>
                <w:szCs w:val="20"/>
                <w:lang w:val="es-ES_tradnl"/>
              </w:rPr>
              <w:t>b)</w:t>
            </w:r>
            <w:r w:rsidRPr="00CB56EC">
              <w:rPr>
                <w:sz w:val="20"/>
                <w:szCs w:val="20"/>
                <w:lang w:val="es-ES_tradnl"/>
              </w:rPr>
              <w:tab/>
              <w:t xml:space="preserve">De conformidad con el § 4.1.1 e) del Apéndice </w:t>
            </w:r>
            <w:r w:rsidRPr="00CB56EC">
              <w:rPr>
                <w:b/>
                <w:bCs/>
                <w:sz w:val="20"/>
                <w:szCs w:val="20"/>
                <w:lang w:val="es-ES_tradnl"/>
              </w:rPr>
              <w:t>30</w:t>
            </w:r>
            <w:r w:rsidRPr="00CB56EC">
              <w:rPr>
                <w:sz w:val="20"/>
                <w:szCs w:val="20"/>
                <w:lang w:val="es-ES_tradnl"/>
              </w:rPr>
              <w:t xml:space="preserve">, la coordinación entre una notificación en virtud de la Resolución </w:t>
            </w:r>
            <w:r w:rsidRPr="00CB56EC">
              <w:rPr>
                <w:b/>
                <w:bCs/>
                <w:sz w:val="20"/>
                <w:szCs w:val="20"/>
                <w:lang w:val="es-ES_tradnl"/>
              </w:rPr>
              <w:t>559</w:t>
            </w:r>
            <w:r w:rsidRPr="00CB56EC">
              <w:rPr>
                <w:sz w:val="20"/>
                <w:szCs w:val="20"/>
                <w:lang w:val="es-ES_tradnl"/>
              </w:rPr>
              <w:t xml:space="preserve"> y una red de satélites del SFS no planificado en las Regiones 2 o 3 se consideraría completa si su separación orbital nominal es igual o superior a seis grados.</w:t>
            </w:r>
          </w:p>
          <w:p w14:paraId="1A28A7A2" w14:textId="4B433445" w:rsidR="009F430B" w:rsidRPr="00CB56EC" w:rsidRDefault="009F430B" w:rsidP="00CB56EC">
            <w:pPr>
              <w:pStyle w:val="enumlev1"/>
              <w:widowControl w:val="0"/>
              <w:jc w:val="left"/>
              <w:rPr>
                <w:sz w:val="20"/>
                <w:szCs w:val="20"/>
                <w:lang w:val="es-ES_tradnl"/>
              </w:rPr>
            </w:pPr>
            <w:r w:rsidRPr="00CB56EC">
              <w:rPr>
                <w:sz w:val="20"/>
                <w:szCs w:val="20"/>
                <w:lang w:val="es-ES_tradnl" w:eastAsia="zh-CN"/>
              </w:rPr>
              <w:t>c)</w:t>
            </w:r>
            <w:r w:rsidRPr="00CB56EC">
              <w:rPr>
                <w:sz w:val="20"/>
                <w:szCs w:val="20"/>
                <w:lang w:val="es-ES_tradnl" w:eastAsia="zh-CN"/>
              </w:rPr>
              <w:tab/>
            </w:r>
            <w:r w:rsidRPr="00CB56EC">
              <w:rPr>
                <w:sz w:val="20"/>
                <w:szCs w:val="20"/>
                <w:lang w:val="es-ES_tradnl"/>
              </w:rPr>
              <w:t xml:space="preserve">Con arreglo al § 4.1.1 e) del Apéndice </w:t>
            </w:r>
            <w:r w:rsidRPr="00CB56EC">
              <w:rPr>
                <w:b/>
                <w:bCs/>
                <w:sz w:val="20"/>
                <w:szCs w:val="20"/>
                <w:lang w:val="es-ES_tradnl"/>
              </w:rPr>
              <w:t>30</w:t>
            </w:r>
            <w:r w:rsidRPr="00CB56EC">
              <w:rPr>
                <w:sz w:val="20"/>
                <w:szCs w:val="20"/>
                <w:lang w:val="es-ES_tradnl"/>
              </w:rPr>
              <w:t>, para coordinar una notificación en virtud de la Resolución</w:t>
            </w:r>
            <w:r w:rsidR="00CE6409" w:rsidRPr="00CB56EC">
              <w:rPr>
                <w:sz w:val="20"/>
                <w:szCs w:val="20"/>
                <w:lang w:val="es-ES_tradnl"/>
              </w:rPr>
              <w:t> </w:t>
            </w:r>
            <w:r w:rsidRPr="00CB56EC">
              <w:rPr>
                <w:b/>
                <w:bCs/>
                <w:sz w:val="20"/>
                <w:szCs w:val="20"/>
                <w:lang w:val="es-ES_tradnl"/>
              </w:rPr>
              <w:t>559</w:t>
            </w:r>
            <w:r w:rsidRPr="00CB56EC">
              <w:rPr>
                <w:sz w:val="20"/>
                <w:szCs w:val="20"/>
                <w:lang w:val="es-ES_tradnl"/>
              </w:rPr>
              <w:t xml:space="preserve"> respecto de una red de satélites del SFS no planificado en las Regiones 2 o 3, la zona de servicio de la red de satélites no planificados que se tendrá en cuenta sería la notificada que esté situada en tierra y dentro del contorno de ganancia de antena –3 dB de esa red de satélites no planificados.</w:t>
            </w:r>
          </w:p>
          <w:p w14:paraId="24B3C0AE" w14:textId="77777777" w:rsidR="009F430B" w:rsidRPr="00CB56EC" w:rsidRDefault="009F430B" w:rsidP="00CB56EC">
            <w:pPr>
              <w:widowControl w:val="0"/>
              <w:jc w:val="left"/>
              <w:rPr>
                <w:sz w:val="20"/>
                <w:szCs w:val="20"/>
                <w:lang w:val="es-ES_tradnl" w:eastAsia="zh-CN"/>
              </w:rPr>
            </w:pPr>
            <w:r w:rsidRPr="00CB56EC">
              <w:rPr>
                <w:sz w:val="20"/>
                <w:szCs w:val="20"/>
                <w:lang w:val="es-ES_tradnl"/>
              </w:rPr>
              <w:t>…</w:t>
            </w:r>
          </w:p>
          <w:p w14:paraId="1EF389FC" w14:textId="77777777" w:rsidR="009F430B" w:rsidRPr="00CB56EC" w:rsidRDefault="009F430B" w:rsidP="00CB56EC">
            <w:pPr>
              <w:widowControl w:val="0"/>
              <w:jc w:val="left"/>
              <w:rPr>
                <w:sz w:val="20"/>
                <w:szCs w:val="20"/>
                <w:lang w:val="es-ES_tradnl"/>
              </w:rPr>
            </w:pPr>
            <w:r w:rsidRPr="00CB56EC">
              <w:rPr>
                <w:sz w:val="20"/>
                <w:szCs w:val="20"/>
                <w:lang w:val="es-ES_tradnl" w:eastAsia="zh-CN"/>
              </w:rPr>
              <w:t>4.2.23</w:t>
            </w:r>
            <w:r w:rsidRPr="00CB56EC">
              <w:rPr>
                <w:sz w:val="20"/>
                <w:szCs w:val="20"/>
                <w:lang w:val="es-ES_tradnl" w:eastAsia="zh-CN"/>
              </w:rPr>
              <w:tab/>
              <w:t>La Junta adoptó varias decisiones suplementarias para que las examine y apruebe la CMR</w:t>
            </w:r>
            <w:r w:rsidRPr="00CB56EC">
              <w:rPr>
                <w:sz w:val="20"/>
                <w:szCs w:val="20"/>
                <w:lang w:val="es-ES_tradnl" w:eastAsia="zh-CN"/>
              </w:rPr>
              <w:noBreakHyphen/>
              <w:t>23.</w:t>
            </w:r>
          </w:p>
          <w:p w14:paraId="000159EC" w14:textId="77777777" w:rsidR="009F430B" w:rsidRPr="00CB56EC" w:rsidRDefault="009F430B" w:rsidP="00CB56EC">
            <w:pPr>
              <w:widowControl w:val="0"/>
              <w:jc w:val="left"/>
              <w:rPr>
                <w:b/>
                <w:bCs/>
                <w:sz w:val="20"/>
                <w:szCs w:val="20"/>
                <w:lang w:val="es-ES_tradnl"/>
              </w:rPr>
            </w:pPr>
            <w:bookmarkStart w:id="3" w:name="lt_pId216"/>
            <w:r w:rsidRPr="00CB56EC">
              <w:rPr>
                <w:b/>
                <w:bCs/>
                <w:sz w:val="20"/>
                <w:szCs w:val="20"/>
                <w:lang w:val="es-ES_tradnl"/>
              </w:rPr>
              <w:t>Se invita a la CMR-23 a respaldar las siguientes medidas adoptadas por la Junta y la Oficina en relación con la aplicación de la Resolución 559 (CMR-19):</w:t>
            </w:r>
            <w:bookmarkEnd w:id="3"/>
          </w:p>
          <w:p w14:paraId="4EE37040" w14:textId="77777777" w:rsidR="009F430B" w:rsidRPr="00CB56EC" w:rsidRDefault="009F430B" w:rsidP="00CB56EC">
            <w:pPr>
              <w:pStyle w:val="enumlev1"/>
              <w:widowControl w:val="0"/>
              <w:ind w:left="567" w:hanging="567"/>
              <w:jc w:val="left"/>
              <w:rPr>
                <w:sz w:val="20"/>
                <w:szCs w:val="20"/>
                <w:lang w:val="es-ES_tradnl"/>
              </w:rPr>
            </w:pPr>
            <w:r w:rsidRPr="00CB56EC">
              <w:rPr>
                <w:sz w:val="20"/>
                <w:szCs w:val="20"/>
                <w:lang w:val="es-ES_tradnl"/>
              </w:rPr>
              <w:t>•</w:t>
            </w:r>
            <w:r w:rsidRPr="00CB56EC">
              <w:rPr>
                <w:sz w:val="20"/>
                <w:szCs w:val="20"/>
                <w:lang w:val="es-ES_tradnl"/>
              </w:rPr>
              <w:tab/>
              <w:t>La Oficina aceptará puntos de prueba fuera de los territorios nacionales en las notificaciones de la Parte A con arreglo a la Resolución </w:t>
            </w:r>
            <w:r w:rsidRPr="00CB56EC">
              <w:rPr>
                <w:b/>
                <w:bCs/>
                <w:sz w:val="20"/>
                <w:szCs w:val="20"/>
                <w:lang w:val="es-ES_tradnl"/>
              </w:rPr>
              <w:t>559 (CMR-19)</w:t>
            </w:r>
            <w:r w:rsidRPr="00CB56EC">
              <w:rPr>
                <w:sz w:val="20"/>
                <w:szCs w:val="20"/>
                <w:lang w:val="es-ES_tradnl"/>
              </w:rPr>
              <w:t xml:space="preserve"> recibidas antes del 21 de mayo de 2020, siempre y cuando sean los mismos que se encuentran en las asignaciones de frecuencias de los Apéndices </w:t>
            </w:r>
            <w:r w:rsidRPr="00CB56EC">
              <w:rPr>
                <w:b/>
                <w:bCs/>
                <w:sz w:val="20"/>
                <w:szCs w:val="20"/>
                <w:lang w:val="es-ES_tradnl"/>
              </w:rPr>
              <w:t>30</w:t>
            </w:r>
            <w:r w:rsidRPr="00CB56EC">
              <w:rPr>
                <w:sz w:val="20"/>
                <w:szCs w:val="20"/>
                <w:lang w:val="es-ES_tradnl"/>
              </w:rPr>
              <w:t xml:space="preserve"> y </w:t>
            </w:r>
            <w:r w:rsidRPr="00CB56EC">
              <w:rPr>
                <w:b/>
                <w:bCs/>
                <w:sz w:val="20"/>
                <w:szCs w:val="20"/>
                <w:lang w:val="es-ES_tradnl"/>
              </w:rPr>
              <w:t>30A</w:t>
            </w:r>
            <w:r w:rsidRPr="00CB56EC">
              <w:rPr>
                <w:sz w:val="20"/>
                <w:szCs w:val="20"/>
                <w:lang w:val="es-ES_tradnl"/>
              </w:rPr>
              <w:t xml:space="preserve"> del Plan y no se pueda generar una elipse mínima en todo el territorio de la administración notificante únicamente a partir de puntos de prueba en su territorio nacional, habida cuenta de que la CMR-2000 ya había aprobado la utilización de esos puntos.</w:t>
            </w:r>
          </w:p>
          <w:p w14:paraId="065625F7" w14:textId="77777777" w:rsidR="009F430B" w:rsidRPr="00CB56EC" w:rsidRDefault="009F430B" w:rsidP="00CB56EC">
            <w:pPr>
              <w:pStyle w:val="enumlev1"/>
              <w:widowControl w:val="0"/>
              <w:ind w:left="567" w:hanging="567"/>
              <w:jc w:val="left"/>
              <w:rPr>
                <w:sz w:val="20"/>
                <w:szCs w:val="20"/>
                <w:lang w:val="es-ES_tradnl" w:eastAsia="zh-CN"/>
              </w:rPr>
            </w:pPr>
            <w:r w:rsidRPr="00CB56EC">
              <w:rPr>
                <w:sz w:val="20"/>
                <w:szCs w:val="20"/>
                <w:lang w:val="es-ES_tradnl"/>
              </w:rPr>
              <w:t>•</w:t>
            </w:r>
            <w:r w:rsidRPr="00CB56EC">
              <w:rPr>
                <w:sz w:val="20"/>
                <w:szCs w:val="20"/>
                <w:lang w:val="es-ES_tradnl"/>
              </w:rPr>
              <w:tab/>
              <w:t>La Oficina no actualizará los valores de MPE de dichas notificaciones en virtud de la Resolución </w:t>
            </w:r>
            <w:r w:rsidRPr="00CB56EC">
              <w:rPr>
                <w:b/>
                <w:bCs/>
                <w:sz w:val="20"/>
                <w:szCs w:val="20"/>
                <w:lang w:val="es-ES_tradnl"/>
              </w:rPr>
              <w:t>559</w:t>
            </w:r>
            <w:r w:rsidRPr="00CB56EC">
              <w:rPr>
                <w:sz w:val="20"/>
                <w:szCs w:val="20"/>
                <w:lang w:val="es-ES_tradnl"/>
              </w:rPr>
              <w:t xml:space="preserve"> al integrar en la Lista </w:t>
            </w:r>
            <w:r w:rsidRPr="00CB56EC">
              <w:rPr>
                <w:sz w:val="20"/>
                <w:szCs w:val="20"/>
                <w:lang w:val="es-ES_tradnl"/>
              </w:rPr>
              <w:lastRenderedPageBreak/>
              <w:t>cualesquiera notificaciones de la Parte B recibidas después del 21 de enero de 2020 y asociadas a notificaciones de la Parte A recibidas antes del 22 de mayo de 2020, si el MPE de esas notificaciones en virtud de la Resolución </w:t>
            </w:r>
            <w:r w:rsidRPr="00CB56EC">
              <w:rPr>
                <w:b/>
                <w:bCs/>
                <w:sz w:val="20"/>
                <w:szCs w:val="20"/>
                <w:lang w:val="es-ES_tradnl"/>
              </w:rPr>
              <w:t>559</w:t>
            </w:r>
            <w:r w:rsidRPr="00CB56EC">
              <w:rPr>
                <w:sz w:val="20"/>
                <w:szCs w:val="20"/>
                <w:lang w:val="es-ES_tradnl"/>
              </w:rPr>
              <w:t xml:space="preserve"> pasa a situarse a más de 0,45 dB por debajo de 0 dB o, si ya es negativo, a más de 0,45 dB por debajo de ese valor.</w:t>
            </w:r>
          </w:p>
          <w:p w14:paraId="31FB267C" w14:textId="77777777" w:rsidR="009F430B" w:rsidRPr="00CB56EC" w:rsidRDefault="009F430B" w:rsidP="00CB56EC">
            <w:pPr>
              <w:pStyle w:val="enumlev1"/>
              <w:widowControl w:val="0"/>
              <w:ind w:left="567" w:hanging="567"/>
              <w:jc w:val="left"/>
              <w:rPr>
                <w:sz w:val="20"/>
                <w:szCs w:val="20"/>
                <w:lang w:val="es-ES_tradnl" w:eastAsia="zh-CN"/>
              </w:rPr>
            </w:pPr>
            <w:r w:rsidRPr="00CB56EC">
              <w:rPr>
                <w:sz w:val="20"/>
                <w:szCs w:val="20"/>
                <w:lang w:val="es-ES_tradnl"/>
              </w:rPr>
              <w:t>•</w:t>
            </w:r>
            <w:r w:rsidRPr="00CB56EC">
              <w:rPr>
                <w:sz w:val="20"/>
                <w:szCs w:val="20"/>
                <w:lang w:val="es-ES_tradnl"/>
              </w:rPr>
              <w:tab/>
              <w:t>Con</w:t>
            </w:r>
            <w:r w:rsidRPr="00CB56EC">
              <w:rPr>
                <w:sz w:val="20"/>
                <w:szCs w:val="20"/>
                <w:lang w:val="es-ES_tradnl" w:eastAsia="zh-CN"/>
              </w:rPr>
              <w:t xml:space="preserve"> respecto a la coordinación con las asignaciones de frecuencias del Plan para las Regiones 1 y 3</w:t>
            </w:r>
            <w:r w:rsidRPr="00CB56EC">
              <w:rPr>
                <w:sz w:val="20"/>
                <w:szCs w:val="20"/>
                <w:lang w:val="es-ES_tradnl"/>
              </w:rPr>
              <w:t>:</w:t>
            </w:r>
          </w:p>
          <w:p w14:paraId="0B002DE7" w14:textId="77777777" w:rsidR="009F430B" w:rsidRPr="00CB56EC" w:rsidRDefault="009F430B" w:rsidP="00CB56EC">
            <w:pPr>
              <w:widowControl w:val="0"/>
              <w:ind w:left="567"/>
              <w:jc w:val="left"/>
              <w:rPr>
                <w:sz w:val="20"/>
                <w:szCs w:val="20"/>
                <w:lang w:val="es-ES_tradnl"/>
              </w:rPr>
            </w:pPr>
            <w:r w:rsidRPr="00CB56EC">
              <w:rPr>
                <w:sz w:val="20"/>
                <w:szCs w:val="20"/>
                <w:lang w:val="es-ES_tradnl"/>
              </w:rPr>
              <w:t>1)</w:t>
            </w:r>
            <w:r w:rsidRPr="00CB56EC">
              <w:rPr>
                <w:sz w:val="20"/>
                <w:szCs w:val="20"/>
                <w:lang w:val="es-ES_tradnl"/>
              </w:rPr>
              <w:tab/>
              <w:t>Si el MPE de una asignación de frecuencias del Plan afectada pasa a ser positivo como consecuencia de la anulación de una asignación de frecuencias de la Lista, la Oficina determinará si dicha asignación de frecuencias del Plan afectada sigue viéndose afectada por la notificación en virtud de la Resolución </w:t>
            </w:r>
            <w:r w:rsidRPr="00CB56EC">
              <w:rPr>
                <w:b/>
                <w:bCs/>
                <w:sz w:val="20"/>
                <w:szCs w:val="20"/>
                <w:lang w:val="es-ES_tradnl"/>
              </w:rPr>
              <w:t>559</w:t>
            </w:r>
            <w:r w:rsidRPr="00CB56EC">
              <w:rPr>
                <w:sz w:val="20"/>
                <w:szCs w:val="20"/>
                <w:lang w:val="es-ES_tradnl"/>
              </w:rPr>
              <w:t xml:space="preserve"> concernida. En caso de que la Oficina llegue a una conclusión favorable, ya no será necesaria la coordinación entre la notificación en virtud de la Resolución </w:t>
            </w:r>
            <w:r w:rsidRPr="00CB56EC">
              <w:rPr>
                <w:b/>
                <w:bCs/>
                <w:sz w:val="20"/>
                <w:szCs w:val="20"/>
                <w:lang w:val="es-ES_tradnl"/>
              </w:rPr>
              <w:t>559</w:t>
            </w:r>
            <w:r w:rsidRPr="00CB56EC">
              <w:rPr>
                <w:sz w:val="20"/>
                <w:szCs w:val="20"/>
                <w:lang w:val="es-ES_tradnl"/>
              </w:rPr>
              <w:t xml:space="preserve"> concernida y la asignación de frecuencias del Plan afectada, a condición de que la Parte B de dicha notificación en virtud de la Resolución </w:t>
            </w:r>
            <w:r w:rsidRPr="00CB56EC">
              <w:rPr>
                <w:b/>
                <w:bCs/>
                <w:sz w:val="20"/>
                <w:szCs w:val="20"/>
                <w:lang w:val="es-ES_tradnl"/>
              </w:rPr>
              <w:t>559</w:t>
            </w:r>
            <w:r w:rsidRPr="00CB56EC">
              <w:rPr>
                <w:sz w:val="20"/>
                <w:szCs w:val="20"/>
                <w:lang w:val="es-ES_tradnl"/>
              </w:rPr>
              <w:t xml:space="preserve"> concernida se ajuste a los límites de su Parte A. La Oficina informará a ambas administraciones de sus conclusiones. </w:t>
            </w:r>
          </w:p>
          <w:p w14:paraId="20EDBC01" w14:textId="77777777" w:rsidR="009F430B" w:rsidRPr="00CB56EC" w:rsidRDefault="009F430B" w:rsidP="00CB56EC">
            <w:pPr>
              <w:widowControl w:val="0"/>
              <w:ind w:left="567"/>
              <w:jc w:val="left"/>
              <w:rPr>
                <w:sz w:val="20"/>
                <w:szCs w:val="20"/>
                <w:lang w:val="es-ES_tradnl"/>
              </w:rPr>
            </w:pPr>
            <w:r w:rsidRPr="00CB56EC">
              <w:rPr>
                <w:sz w:val="20"/>
                <w:szCs w:val="20"/>
                <w:lang w:val="es-ES_tradnl"/>
              </w:rPr>
              <w:t>2)</w:t>
            </w:r>
            <w:r w:rsidRPr="00CB56EC">
              <w:rPr>
                <w:sz w:val="20"/>
                <w:szCs w:val="20"/>
                <w:lang w:val="es-ES_tradnl"/>
              </w:rPr>
              <w:tab/>
              <w:t>Si no se ha alcanzado ningún acuerdo de coordinación, o alguna administración afectada no desea que se actualice el MPE de su asignación de frecuencias del Plan, la Oficina podrá aceptar la notificación de la Parte B de la Resolución </w:t>
            </w:r>
            <w:r w:rsidRPr="00CB56EC">
              <w:rPr>
                <w:b/>
                <w:bCs/>
                <w:sz w:val="20"/>
                <w:szCs w:val="20"/>
                <w:lang w:val="es-ES_tradnl"/>
              </w:rPr>
              <w:t>559</w:t>
            </w:r>
            <w:r w:rsidRPr="00CB56EC">
              <w:rPr>
                <w:sz w:val="20"/>
                <w:szCs w:val="20"/>
                <w:lang w:val="es-ES_tradnl"/>
              </w:rPr>
              <w:t xml:space="preserve"> pertinente. Tras la inclusión en la Lista de la notificación de la Resolución </w:t>
            </w:r>
            <w:r w:rsidRPr="00CB56EC">
              <w:rPr>
                <w:b/>
                <w:bCs/>
                <w:sz w:val="20"/>
                <w:szCs w:val="20"/>
                <w:lang w:val="es-ES_tradnl"/>
              </w:rPr>
              <w:t>559</w:t>
            </w:r>
            <w:r w:rsidRPr="00CB56EC">
              <w:rPr>
                <w:sz w:val="20"/>
                <w:szCs w:val="20"/>
                <w:lang w:val="es-ES_tradnl"/>
              </w:rPr>
              <w:t xml:space="preserve"> concernida, la Oficina añadirá una nota para indicar que deberá alcanzarse un acuerdo antes de que la asignación de frecuencias concernida se ponga en servicio, con arreglo a lo establecido en el Artículo 5 de los Apéndices </w:t>
            </w:r>
            <w:r w:rsidRPr="00CB56EC">
              <w:rPr>
                <w:b/>
                <w:bCs/>
                <w:sz w:val="20"/>
                <w:szCs w:val="20"/>
                <w:lang w:val="es-ES_tradnl"/>
              </w:rPr>
              <w:t>30/30A</w:t>
            </w:r>
            <w:r w:rsidRPr="00CB56EC">
              <w:rPr>
                <w:sz w:val="20"/>
                <w:szCs w:val="20"/>
                <w:lang w:val="es-ES_tradnl"/>
              </w:rPr>
              <w:t>. En ese caso, la interferencia relativa a la notificación en virtud de la Resolución </w:t>
            </w:r>
            <w:r w:rsidRPr="00CB56EC">
              <w:rPr>
                <w:b/>
                <w:bCs/>
                <w:sz w:val="20"/>
                <w:szCs w:val="20"/>
                <w:lang w:val="es-ES_tradnl"/>
              </w:rPr>
              <w:t>559</w:t>
            </w:r>
            <w:r w:rsidRPr="00CB56EC">
              <w:rPr>
                <w:sz w:val="20"/>
                <w:szCs w:val="20"/>
                <w:lang w:val="es-ES_tradnl"/>
              </w:rPr>
              <w:t xml:space="preserve"> pertinente no se tendrá en cuenta al actualizar el MPE de las asignaciones de frecuencias del Plan concernidas.</w:t>
            </w:r>
          </w:p>
          <w:p w14:paraId="5B5237F8" w14:textId="77777777" w:rsidR="009F430B" w:rsidRPr="00CB56EC" w:rsidRDefault="009F430B" w:rsidP="00CB56EC">
            <w:pPr>
              <w:widowControl w:val="0"/>
              <w:ind w:left="567"/>
              <w:jc w:val="left"/>
              <w:rPr>
                <w:sz w:val="20"/>
                <w:szCs w:val="20"/>
                <w:lang w:val="es-ES_tradnl"/>
              </w:rPr>
            </w:pPr>
            <w:r w:rsidRPr="00CB56EC">
              <w:rPr>
                <w:sz w:val="20"/>
                <w:szCs w:val="20"/>
                <w:lang w:val="es-ES_tradnl"/>
              </w:rPr>
              <w:t>3)</w:t>
            </w:r>
            <w:r w:rsidRPr="00CB56EC">
              <w:rPr>
                <w:sz w:val="20"/>
                <w:szCs w:val="20"/>
                <w:lang w:val="es-ES_tradnl"/>
              </w:rPr>
              <w:tab/>
              <w:t>En los casos en que la relación portadora/interferencia de una sola fuente espacio</w:t>
            </w:r>
            <w:r w:rsidRPr="00CB56EC">
              <w:rPr>
                <w:sz w:val="20"/>
                <w:szCs w:val="20"/>
                <w:lang w:val="es-ES_tradnl"/>
              </w:rPr>
              <w:noBreakHyphen/>
              <w:t>Tierra rebase los 21 dB y la relación portadora/interferencia de una sola fuente Tierra</w:t>
            </w:r>
            <w:r w:rsidRPr="00CB56EC">
              <w:rPr>
                <w:sz w:val="20"/>
                <w:szCs w:val="20"/>
                <w:lang w:val="es-ES_tradnl"/>
              </w:rPr>
              <w:noBreakHyphen/>
              <w:t>espacio supere los 30 dB, las notificaciones en virtud de la Resolución </w:t>
            </w:r>
            <w:r w:rsidRPr="00CB56EC">
              <w:rPr>
                <w:b/>
                <w:bCs/>
                <w:sz w:val="20"/>
                <w:szCs w:val="20"/>
                <w:lang w:val="es-ES_tradnl"/>
              </w:rPr>
              <w:t>559</w:t>
            </w:r>
            <w:r w:rsidRPr="00CB56EC">
              <w:rPr>
                <w:sz w:val="20"/>
                <w:szCs w:val="20"/>
                <w:lang w:val="es-ES_tradnl"/>
              </w:rPr>
              <w:t xml:space="preserve"> y las correspondientes asignaciones de frecuencias del Plan para las Regiones 1 y 3 se considerarán compatibles. En relación con estos casos compatibles, a fin de conservar el mismo nivel de protección de las asignaciones de frecuencias del Plan de las Regiones 1 y 3 correspondientes a las notificaciones recibidas con arreglo al Artículo 4, no deberá actualizarse la situación de referencia de esas asignaciones de frecuencias del Plan de las Regiones 1 y 3 si las asignaciones de frecuencias de la Resolución </w:t>
            </w:r>
            <w:r w:rsidRPr="00CB56EC">
              <w:rPr>
                <w:b/>
                <w:bCs/>
                <w:sz w:val="20"/>
                <w:szCs w:val="20"/>
                <w:lang w:val="es-ES_tradnl"/>
              </w:rPr>
              <w:t>559</w:t>
            </w:r>
            <w:r w:rsidRPr="00CB56EC">
              <w:rPr>
                <w:sz w:val="20"/>
                <w:szCs w:val="20"/>
                <w:lang w:val="es-ES_tradnl"/>
              </w:rPr>
              <w:t xml:space="preserve"> que figuran en la Lista se incluyen en los Planes.</w:t>
            </w:r>
          </w:p>
          <w:p w14:paraId="7C3A1B7A" w14:textId="77777777" w:rsidR="009F430B" w:rsidRPr="00CB56EC" w:rsidRDefault="009F430B" w:rsidP="00CB56EC">
            <w:pPr>
              <w:pStyle w:val="enumlev1"/>
              <w:widowControl w:val="0"/>
              <w:numPr>
                <w:ilvl w:val="0"/>
                <w:numId w:val="4"/>
              </w:numPr>
              <w:jc w:val="left"/>
              <w:rPr>
                <w:sz w:val="20"/>
                <w:szCs w:val="20"/>
                <w:lang w:val="es-ES_tradnl"/>
              </w:rPr>
            </w:pPr>
            <w:r w:rsidRPr="00CB56EC">
              <w:rPr>
                <w:sz w:val="20"/>
                <w:szCs w:val="20"/>
                <w:lang w:val="es-ES_tradnl" w:eastAsia="zh-CN"/>
              </w:rPr>
              <w:t xml:space="preserve">Con </w:t>
            </w:r>
            <w:r w:rsidRPr="00CB56EC">
              <w:rPr>
                <w:sz w:val="20"/>
                <w:szCs w:val="20"/>
                <w:lang w:val="es-ES_tradnl"/>
              </w:rPr>
              <w:t>respecto</w:t>
            </w:r>
            <w:r w:rsidRPr="00CB56EC">
              <w:rPr>
                <w:sz w:val="20"/>
                <w:szCs w:val="20"/>
                <w:lang w:val="es-ES_tradnl" w:eastAsia="zh-CN"/>
              </w:rPr>
              <w:t xml:space="preserve"> a la coordinación con las asignaciones de frecuencias del Plan original para la Región 2 o con las redes de satélites pendientes relativas al Artículo 4 para la Región 2</w:t>
            </w:r>
            <w:r w:rsidRPr="00CB56EC">
              <w:rPr>
                <w:sz w:val="20"/>
                <w:szCs w:val="20"/>
                <w:lang w:val="es-ES_tradnl"/>
              </w:rPr>
              <w:t>:</w:t>
            </w:r>
          </w:p>
          <w:p w14:paraId="5C3D1739" w14:textId="77777777" w:rsidR="009F430B" w:rsidRPr="00CB56EC" w:rsidRDefault="009F430B" w:rsidP="00CB56EC">
            <w:pPr>
              <w:widowControl w:val="0"/>
              <w:ind w:left="567"/>
              <w:jc w:val="left"/>
              <w:rPr>
                <w:sz w:val="20"/>
                <w:szCs w:val="20"/>
                <w:lang w:val="es-ES_tradnl"/>
              </w:rPr>
            </w:pPr>
            <w:r w:rsidRPr="00CB56EC">
              <w:rPr>
                <w:sz w:val="20"/>
                <w:szCs w:val="20"/>
                <w:lang w:val="es-ES_tradnl"/>
              </w:rPr>
              <w:lastRenderedPageBreak/>
              <w:t>1)</w:t>
            </w:r>
            <w:r w:rsidRPr="00CB56EC">
              <w:rPr>
                <w:sz w:val="20"/>
                <w:szCs w:val="20"/>
                <w:lang w:val="es-ES_tradnl"/>
              </w:rPr>
              <w:tab/>
              <w:t>En caso de que no se haya alcanzado ningún acuerdo de coordinación, la Oficina podrá aceptar la notificación de la Parte B de la correspondiente notificación en virtud de la Resolución </w:t>
            </w:r>
            <w:r w:rsidRPr="00CB56EC">
              <w:rPr>
                <w:b/>
                <w:bCs/>
                <w:sz w:val="20"/>
                <w:szCs w:val="20"/>
                <w:lang w:val="es-ES_tradnl"/>
              </w:rPr>
              <w:t>559</w:t>
            </w:r>
            <w:r w:rsidRPr="00CB56EC">
              <w:rPr>
                <w:sz w:val="20"/>
                <w:szCs w:val="20"/>
                <w:lang w:val="es-ES_tradnl"/>
              </w:rPr>
              <w:t>. Tras la inclusión en la Lista de la notificación en virtud de la Resolución </w:t>
            </w:r>
            <w:r w:rsidRPr="00CB56EC">
              <w:rPr>
                <w:b/>
                <w:bCs/>
                <w:sz w:val="20"/>
                <w:szCs w:val="20"/>
                <w:lang w:val="es-ES_tradnl"/>
              </w:rPr>
              <w:t>559</w:t>
            </w:r>
            <w:r w:rsidRPr="00CB56EC">
              <w:rPr>
                <w:sz w:val="20"/>
                <w:szCs w:val="20"/>
                <w:lang w:val="es-ES_tradnl"/>
              </w:rPr>
              <w:t xml:space="preserve"> concernida, la Oficina añadirá una nota para indicar que deberá alcanzarse un acuerdo antes de que la asignación de frecuencias concernida se ponga en servicio, con arreglo a lo establecido en el Artículo 5 de los Apéndices </w:t>
            </w:r>
            <w:r w:rsidRPr="00CB56EC">
              <w:rPr>
                <w:b/>
                <w:bCs/>
                <w:sz w:val="20"/>
                <w:szCs w:val="20"/>
                <w:lang w:val="es-ES_tradnl"/>
              </w:rPr>
              <w:t>30/30A</w:t>
            </w:r>
            <w:r w:rsidRPr="00CB56EC">
              <w:rPr>
                <w:sz w:val="20"/>
                <w:szCs w:val="20"/>
                <w:lang w:val="es-ES_tradnl"/>
              </w:rPr>
              <w:t>.</w:t>
            </w:r>
          </w:p>
          <w:p w14:paraId="2EB0C1F2" w14:textId="77777777" w:rsidR="009F430B" w:rsidRPr="00CB56EC" w:rsidRDefault="009F430B" w:rsidP="00CB56EC">
            <w:pPr>
              <w:widowControl w:val="0"/>
              <w:ind w:left="567"/>
              <w:jc w:val="left"/>
              <w:rPr>
                <w:sz w:val="20"/>
                <w:szCs w:val="20"/>
                <w:lang w:val="es-ES_tradnl"/>
              </w:rPr>
            </w:pPr>
            <w:r w:rsidRPr="00CB56EC">
              <w:rPr>
                <w:sz w:val="20"/>
                <w:szCs w:val="20"/>
                <w:lang w:val="es-ES_tradnl"/>
              </w:rPr>
              <w:t>2)</w:t>
            </w:r>
            <w:r w:rsidRPr="00CB56EC">
              <w:rPr>
                <w:sz w:val="20"/>
                <w:szCs w:val="20"/>
                <w:lang w:val="es-ES_tradnl"/>
              </w:rPr>
              <w:tab/>
              <w:t>Por otro lado, una administración afectada podrá estudiar la posibilidad de reducir el umbral de sensibilidad de recepción de su red de satélites con arreglo al Artículo 4 al comunicar la notificación de la Parte B con objeto de incluir las notificaciones en virtud de la Resolución </w:t>
            </w:r>
            <w:r w:rsidRPr="00CB56EC">
              <w:rPr>
                <w:b/>
                <w:bCs/>
                <w:sz w:val="20"/>
                <w:szCs w:val="20"/>
                <w:lang w:val="es-ES_tradnl"/>
              </w:rPr>
              <w:t>559</w:t>
            </w:r>
            <w:r w:rsidRPr="00CB56EC">
              <w:rPr>
                <w:sz w:val="20"/>
                <w:szCs w:val="20"/>
                <w:lang w:val="es-ES_tradnl"/>
              </w:rPr>
              <w:t>.</w:t>
            </w:r>
          </w:p>
          <w:p w14:paraId="4E0D2B64" w14:textId="77777777" w:rsidR="009F430B" w:rsidRPr="00CB56EC" w:rsidRDefault="009F430B" w:rsidP="00CB56EC">
            <w:pPr>
              <w:widowControl w:val="0"/>
              <w:ind w:left="567"/>
              <w:jc w:val="left"/>
              <w:rPr>
                <w:sz w:val="20"/>
                <w:szCs w:val="20"/>
                <w:lang w:val="es-ES_tradnl"/>
              </w:rPr>
            </w:pPr>
            <w:r w:rsidRPr="00CB56EC">
              <w:rPr>
                <w:sz w:val="20"/>
                <w:szCs w:val="20"/>
                <w:lang w:val="es-ES_tradnl"/>
              </w:rPr>
              <w:t>3)</w:t>
            </w:r>
            <w:r w:rsidRPr="00CB56EC">
              <w:rPr>
                <w:sz w:val="20"/>
                <w:szCs w:val="20"/>
                <w:lang w:val="es-ES_tradnl"/>
              </w:rPr>
              <w:tab/>
              <w:t>En los casos en los que siga sin alcanzarse un acuerdo, siempre que una red de satélites afectada en virtud del Artículo 4 se incluya en el Plan para la Región 2, la Oficina deberá revisar el requisito de coordinación. Si el examen revela que la red del Artículo 4 ya no se ve afectada, ya no será necesaria la coordinación entre la notificación de la Resolución </w:t>
            </w:r>
            <w:r w:rsidRPr="00CB56EC">
              <w:rPr>
                <w:b/>
                <w:bCs/>
                <w:sz w:val="20"/>
                <w:szCs w:val="20"/>
                <w:lang w:val="es-ES_tradnl"/>
              </w:rPr>
              <w:t>559</w:t>
            </w:r>
            <w:r w:rsidRPr="00CB56EC">
              <w:rPr>
                <w:sz w:val="20"/>
                <w:szCs w:val="20"/>
                <w:lang w:val="es-ES_tradnl"/>
              </w:rPr>
              <w:t xml:space="preserve"> concernida y la red afectada en virtud del Artículo 4, y la Oficina informará a ambas administraciones de sus conclusiones.</w:t>
            </w:r>
          </w:p>
          <w:p w14:paraId="6A468A4B" w14:textId="77777777" w:rsidR="009F430B" w:rsidRPr="00CB56EC" w:rsidRDefault="009F430B" w:rsidP="00CB56EC">
            <w:pPr>
              <w:pStyle w:val="enumlev1"/>
              <w:widowControl w:val="0"/>
              <w:numPr>
                <w:ilvl w:val="0"/>
                <w:numId w:val="4"/>
              </w:numPr>
              <w:jc w:val="left"/>
              <w:rPr>
                <w:sz w:val="20"/>
                <w:szCs w:val="20"/>
                <w:lang w:val="es-ES_tradnl" w:eastAsia="zh-CN"/>
              </w:rPr>
            </w:pPr>
            <w:r w:rsidRPr="00CB56EC">
              <w:rPr>
                <w:sz w:val="20"/>
                <w:szCs w:val="20"/>
                <w:lang w:val="es-ES_tradnl" w:eastAsia="zh-CN"/>
              </w:rPr>
              <w:t xml:space="preserve">Con </w:t>
            </w:r>
            <w:r w:rsidRPr="00CB56EC">
              <w:rPr>
                <w:sz w:val="20"/>
                <w:szCs w:val="20"/>
                <w:lang w:val="es-ES_tradnl"/>
              </w:rPr>
              <w:t>respecto</w:t>
            </w:r>
            <w:r w:rsidRPr="00CB56EC">
              <w:rPr>
                <w:sz w:val="20"/>
                <w:szCs w:val="20"/>
                <w:lang w:val="es-ES_tradnl" w:eastAsia="zh-CN"/>
              </w:rPr>
              <w:t xml:space="preserve"> a la coordinación con asignaciones de frecuencias de la Lista o las redes de satélite pendientes del Artículo 4 para las Regiones 1 y 3</w:t>
            </w:r>
            <w:r w:rsidRPr="00CB56EC">
              <w:rPr>
                <w:sz w:val="20"/>
                <w:szCs w:val="20"/>
                <w:lang w:val="es-ES_tradnl"/>
              </w:rPr>
              <w:t>:</w:t>
            </w:r>
          </w:p>
          <w:p w14:paraId="2F345FD3" w14:textId="77777777" w:rsidR="009F430B" w:rsidRPr="00CB56EC" w:rsidRDefault="009F430B" w:rsidP="00CB56EC">
            <w:pPr>
              <w:widowControl w:val="0"/>
              <w:ind w:left="567"/>
              <w:jc w:val="left"/>
              <w:rPr>
                <w:sz w:val="20"/>
                <w:szCs w:val="20"/>
                <w:lang w:val="es-ES_tradnl" w:eastAsia="zh-CN"/>
              </w:rPr>
            </w:pPr>
            <w:r w:rsidRPr="00CB56EC">
              <w:rPr>
                <w:sz w:val="20"/>
                <w:szCs w:val="20"/>
                <w:lang w:val="es-ES_tradnl" w:eastAsia="zh-CN"/>
              </w:rPr>
              <w:t>1)</w:t>
            </w:r>
            <w:r w:rsidRPr="00CB56EC">
              <w:rPr>
                <w:sz w:val="20"/>
                <w:szCs w:val="20"/>
                <w:lang w:val="es-ES_tradnl" w:eastAsia="zh-CN"/>
              </w:rPr>
              <w:tab/>
              <w:t>Una vez recibidas las propuestas de coordinación, se instará a las administraciones concernidas a responder oportunamente a las administraciones solicitantes en virtud de la Resolución </w:t>
            </w:r>
            <w:r w:rsidRPr="00CB56EC">
              <w:rPr>
                <w:b/>
                <w:bCs/>
                <w:sz w:val="20"/>
                <w:szCs w:val="20"/>
                <w:lang w:val="es-ES_tradnl" w:eastAsia="zh-CN"/>
              </w:rPr>
              <w:t>559</w:t>
            </w:r>
            <w:r w:rsidRPr="00CB56EC">
              <w:rPr>
                <w:sz w:val="20"/>
                <w:szCs w:val="20"/>
                <w:lang w:val="es-ES_tradnl" w:eastAsia="zh-CN"/>
              </w:rPr>
              <w:t xml:space="preserve"> y a hacer todo lo posible por integrar esas notificaciones en virtud de la Resolución </w:t>
            </w:r>
            <w:r w:rsidRPr="00CB56EC">
              <w:rPr>
                <w:b/>
                <w:bCs/>
                <w:sz w:val="20"/>
                <w:szCs w:val="20"/>
                <w:lang w:val="es-ES_tradnl" w:eastAsia="zh-CN"/>
              </w:rPr>
              <w:t>559</w:t>
            </w:r>
            <w:r w:rsidRPr="00CB56EC">
              <w:rPr>
                <w:sz w:val="20"/>
                <w:szCs w:val="20"/>
                <w:lang w:val="es-ES_tradnl" w:eastAsia="zh-CN"/>
              </w:rPr>
              <w:t>.</w:t>
            </w:r>
          </w:p>
          <w:p w14:paraId="074CEFCE" w14:textId="77777777" w:rsidR="009F430B" w:rsidRPr="00CB56EC" w:rsidRDefault="009F430B" w:rsidP="00CB56EC">
            <w:pPr>
              <w:widowControl w:val="0"/>
              <w:ind w:left="567"/>
              <w:jc w:val="left"/>
              <w:rPr>
                <w:sz w:val="20"/>
                <w:szCs w:val="20"/>
                <w:lang w:val="es-ES_tradnl" w:eastAsia="zh-CN"/>
              </w:rPr>
            </w:pPr>
            <w:r w:rsidRPr="00CB56EC">
              <w:rPr>
                <w:sz w:val="20"/>
                <w:szCs w:val="20"/>
                <w:lang w:val="es-ES_tradnl" w:eastAsia="zh-CN"/>
              </w:rPr>
              <w:t>2)</w:t>
            </w:r>
            <w:r w:rsidRPr="00CB56EC">
              <w:rPr>
                <w:sz w:val="20"/>
                <w:szCs w:val="20"/>
                <w:lang w:val="es-ES_tradnl" w:eastAsia="zh-CN"/>
              </w:rPr>
              <w:tab/>
              <w:t xml:space="preserve">Si prosigue </w:t>
            </w:r>
            <w:r w:rsidRPr="00CB56EC">
              <w:rPr>
                <w:sz w:val="20"/>
                <w:szCs w:val="20"/>
                <w:lang w:val="es-ES_tradnl"/>
              </w:rPr>
              <w:t>el</w:t>
            </w:r>
            <w:r w:rsidRPr="00CB56EC">
              <w:rPr>
                <w:sz w:val="20"/>
                <w:szCs w:val="20"/>
                <w:lang w:val="es-ES_tradnl" w:eastAsia="zh-CN"/>
              </w:rPr>
              <w:t xml:space="preserve"> desacuerdo, la Oficina deberá aplicar las medidas previstas en la nota 7</w:t>
            </w:r>
            <w:r w:rsidRPr="00CB56EC">
              <w:rPr>
                <w:i/>
                <w:iCs/>
                <w:sz w:val="20"/>
                <w:szCs w:val="20"/>
                <w:lang w:val="es-ES_tradnl" w:eastAsia="zh-CN"/>
              </w:rPr>
              <w:t>bis</w:t>
            </w:r>
            <w:r w:rsidRPr="00CB56EC">
              <w:rPr>
                <w:sz w:val="20"/>
                <w:szCs w:val="20"/>
                <w:lang w:val="es-ES_tradnl" w:eastAsia="zh-CN"/>
              </w:rPr>
              <w:t xml:space="preserve"> del Artículo 4 del Apéndice </w:t>
            </w:r>
            <w:r w:rsidRPr="00CB56EC">
              <w:rPr>
                <w:b/>
                <w:bCs/>
                <w:sz w:val="20"/>
                <w:szCs w:val="20"/>
                <w:lang w:val="es-ES_tradnl" w:eastAsia="zh-CN"/>
              </w:rPr>
              <w:t>30</w:t>
            </w:r>
            <w:r w:rsidRPr="00CB56EC">
              <w:rPr>
                <w:sz w:val="20"/>
                <w:szCs w:val="20"/>
                <w:lang w:val="es-ES_tradnl" w:eastAsia="zh-CN"/>
              </w:rPr>
              <w:t xml:space="preserve"> y en la nota 9</w:t>
            </w:r>
            <w:r w:rsidRPr="00CB56EC">
              <w:rPr>
                <w:i/>
                <w:iCs/>
                <w:sz w:val="20"/>
                <w:szCs w:val="20"/>
                <w:lang w:val="es-ES_tradnl" w:eastAsia="zh-CN"/>
              </w:rPr>
              <w:t>bis</w:t>
            </w:r>
            <w:r w:rsidRPr="00CB56EC">
              <w:rPr>
                <w:sz w:val="20"/>
                <w:szCs w:val="20"/>
                <w:lang w:val="es-ES_tradnl" w:eastAsia="zh-CN"/>
              </w:rPr>
              <w:t xml:space="preserve"> del Artículo 4 del Apéndice </w:t>
            </w:r>
            <w:r w:rsidRPr="00CB56EC">
              <w:rPr>
                <w:b/>
                <w:bCs/>
                <w:sz w:val="20"/>
                <w:szCs w:val="20"/>
                <w:lang w:val="es-ES_tradnl" w:eastAsia="zh-CN"/>
              </w:rPr>
              <w:t>30A</w:t>
            </w:r>
            <w:r w:rsidRPr="00CB56EC">
              <w:rPr>
                <w:sz w:val="20"/>
                <w:szCs w:val="20"/>
                <w:lang w:val="es-ES_tradnl" w:eastAsia="zh-CN"/>
              </w:rPr>
              <w:t>, según proceda, siempre que una red afectada con arreglo al Artículo 4 para utilización adicional se incluya en la Lista. En caso de que la Oficina llegue a una conclusión favorable, ya no será necesaria la coordinación entre la notificación relativa a la Resolución </w:t>
            </w:r>
            <w:r w:rsidRPr="00CB56EC">
              <w:rPr>
                <w:b/>
                <w:bCs/>
                <w:sz w:val="20"/>
                <w:szCs w:val="20"/>
                <w:lang w:val="es-ES_tradnl" w:eastAsia="zh-CN"/>
              </w:rPr>
              <w:t>559</w:t>
            </w:r>
            <w:r w:rsidRPr="00CB56EC">
              <w:rPr>
                <w:sz w:val="20"/>
                <w:szCs w:val="20"/>
                <w:lang w:val="es-ES_tradnl" w:eastAsia="zh-CN"/>
              </w:rPr>
              <w:t xml:space="preserve"> concernida y la asignación de frecuencias afectada con arreglo al Artículo 4, y la Oficina informará a ambas administraciones de sus conclusiones.</w:t>
            </w:r>
          </w:p>
          <w:p w14:paraId="2D98769F" w14:textId="77777777" w:rsidR="009F430B" w:rsidRPr="00CB56EC" w:rsidRDefault="009F430B" w:rsidP="00CB56EC">
            <w:pPr>
              <w:widowControl w:val="0"/>
              <w:ind w:left="567" w:hanging="567"/>
              <w:jc w:val="left"/>
              <w:rPr>
                <w:sz w:val="20"/>
                <w:szCs w:val="20"/>
                <w:lang w:val="es-ES_tradnl"/>
              </w:rPr>
            </w:pPr>
            <w:r w:rsidRPr="00CB56EC">
              <w:rPr>
                <w:sz w:val="20"/>
                <w:szCs w:val="20"/>
                <w:lang w:val="es-ES_tradnl"/>
              </w:rPr>
              <w:t>•</w:t>
            </w:r>
            <w:r w:rsidRPr="00CB56EC">
              <w:rPr>
                <w:sz w:val="20"/>
                <w:szCs w:val="20"/>
                <w:lang w:val="es-ES_tradnl"/>
              </w:rPr>
              <w:tab/>
            </w:r>
            <w:r w:rsidRPr="00CB56EC">
              <w:rPr>
                <w:sz w:val="20"/>
                <w:szCs w:val="20"/>
                <w:lang w:val="es-ES_tradnl" w:eastAsia="zh-CN"/>
              </w:rPr>
              <w:t xml:space="preserve">Con </w:t>
            </w:r>
            <w:r w:rsidRPr="00CB56EC">
              <w:rPr>
                <w:sz w:val="20"/>
                <w:szCs w:val="20"/>
                <w:lang w:val="es-ES_tradnl"/>
              </w:rPr>
              <w:t>respecto</w:t>
            </w:r>
            <w:r w:rsidRPr="00CB56EC">
              <w:rPr>
                <w:sz w:val="20"/>
                <w:szCs w:val="20"/>
                <w:lang w:val="es-ES_tradnl" w:eastAsia="zh-CN"/>
              </w:rPr>
              <w:t xml:space="preserve"> a la coordinación con las asignaciones de frecuencias en servicios no planificados y de redes de satélite en virtud del Artículo 2A</w:t>
            </w:r>
            <w:r w:rsidRPr="00CB56EC">
              <w:rPr>
                <w:sz w:val="20"/>
                <w:szCs w:val="20"/>
                <w:lang w:val="es-ES_tradnl"/>
              </w:rPr>
              <w:t>:</w:t>
            </w:r>
          </w:p>
          <w:p w14:paraId="4D0B81DC" w14:textId="77777777" w:rsidR="009F430B" w:rsidRPr="00CB56EC" w:rsidRDefault="009F430B" w:rsidP="00CB56EC">
            <w:pPr>
              <w:widowControl w:val="0"/>
              <w:ind w:left="567"/>
              <w:jc w:val="left"/>
              <w:rPr>
                <w:sz w:val="20"/>
                <w:szCs w:val="20"/>
                <w:lang w:val="es-ES_tradnl"/>
              </w:rPr>
            </w:pPr>
            <w:r w:rsidRPr="00CB56EC">
              <w:rPr>
                <w:sz w:val="20"/>
                <w:szCs w:val="20"/>
                <w:lang w:val="es-ES_tradnl" w:eastAsia="zh-CN"/>
              </w:rPr>
              <w:t>1)</w:t>
            </w:r>
            <w:r w:rsidRPr="00CB56EC">
              <w:rPr>
                <w:sz w:val="20"/>
                <w:szCs w:val="20"/>
                <w:lang w:val="es-ES_tradnl" w:eastAsia="zh-CN"/>
              </w:rPr>
              <w:tab/>
            </w:r>
            <w:r w:rsidRPr="00CB56EC">
              <w:rPr>
                <w:sz w:val="20"/>
                <w:szCs w:val="20"/>
                <w:lang w:val="es-ES_tradnl"/>
              </w:rPr>
              <w:t>Una</w:t>
            </w:r>
            <w:r w:rsidRPr="00CB56EC">
              <w:rPr>
                <w:sz w:val="20"/>
                <w:szCs w:val="20"/>
                <w:lang w:val="es-ES_tradnl" w:eastAsia="zh-CN"/>
              </w:rPr>
              <w:t xml:space="preserve"> vez recibidas las propuestas de coordinación, se instará a las administraciones afectadas a responder </w:t>
            </w:r>
            <w:r w:rsidRPr="00CB56EC">
              <w:rPr>
                <w:sz w:val="20"/>
                <w:szCs w:val="20"/>
                <w:lang w:val="es-ES_tradnl" w:eastAsia="zh-CN"/>
              </w:rPr>
              <w:lastRenderedPageBreak/>
              <w:t>oportunamente a las administraciones solicitantes en virtud de la Resolución </w:t>
            </w:r>
            <w:r w:rsidRPr="00CB56EC">
              <w:rPr>
                <w:b/>
                <w:bCs/>
                <w:sz w:val="20"/>
                <w:szCs w:val="20"/>
                <w:lang w:val="es-ES_tradnl" w:eastAsia="zh-CN"/>
              </w:rPr>
              <w:t>559</w:t>
            </w:r>
            <w:r w:rsidRPr="00CB56EC">
              <w:rPr>
                <w:sz w:val="20"/>
                <w:szCs w:val="20"/>
                <w:lang w:val="es-ES_tradnl" w:eastAsia="zh-CN"/>
              </w:rPr>
              <w:t xml:space="preserve"> y a hacer todo lo posible por integrar esas notificaciones en virtud de la Resolución </w:t>
            </w:r>
            <w:r w:rsidRPr="00CB56EC">
              <w:rPr>
                <w:b/>
                <w:bCs/>
                <w:sz w:val="20"/>
                <w:szCs w:val="20"/>
                <w:lang w:val="es-ES_tradnl" w:eastAsia="zh-CN"/>
              </w:rPr>
              <w:t>559</w:t>
            </w:r>
            <w:r w:rsidRPr="00CB56EC">
              <w:rPr>
                <w:sz w:val="20"/>
                <w:szCs w:val="20"/>
                <w:lang w:val="es-ES_tradnl" w:eastAsia="zh-CN"/>
              </w:rPr>
              <w:t>.</w:t>
            </w:r>
          </w:p>
          <w:p w14:paraId="4D81B56E" w14:textId="77777777" w:rsidR="009F430B" w:rsidRPr="00CB56EC" w:rsidRDefault="009F430B" w:rsidP="00CB56EC">
            <w:pPr>
              <w:widowControl w:val="0"/>
              <w:ind w:left="567"/>
              <w:jc w:val="left"/>
              <w:rPr>
                <w:sz w:val="20"/>
                <w:szCs w:val="20"/>
                <w:lang w:val="es-ES_tradnl" w:eastAsia="zh-CN"/>
              </w:rPr>
            </w:pPr>
            <w:r w:rsidRPr="00CB56EC">
              <w:rPr>
                <w:sz w:val="20"/>
                <w:szCs w:val="20"/>
                <w:lang w:val="es-ES_tradnl"/>
              </w:rPr>
              <w:t>2)</w:t>
            </w:r>
            <w:r w:rsidRPr="00CB56EC">
              <w:rPr>
                <w:sz w:val="20"/>
                <w:szCs w:val="20"/>
                <w:lang w:val="es-ES_tradnl"/>
              </w:rPr>
              <w:tab/>
            </w:r>
            <w:r w:rsidRPr="00CB56EC">
              <w:rPr>
                <w:sz w:val="20"/>
                <w:szCs w:val="20"/>
                <w:lang w:val="es-ES_tradnl" w:eastAsia="zh-CN"/>
              </w:rPr>
              <w:t xml:space="preserve">Si </w:t>
            </w:r>
            <w:r w:rsidRPr="00CB56EC">
              <w:rPr>
                <w:sz w:val="20"/>
                <w:szCs w:val="20"/>
                <w:lang w:val="es-ES_tradnl"/>
              </w:rPr>
              <w:t>prosigue</w:t>
            </w:r>
            <w:r w:rsidRPr="00CB56EC">
              <w:rPr>
                <w:sz w:val="20"/>
                <w:szCs w:val="20"/>
                <w:lang w:val="es-ES_tradnl" w:eastAsia="zh-CN"/>
              </w:rPr>
              <w:t xml:space="preserve"> el desacuerdo, siempre que se inscriba en el Registro una red de satélites no planificada afectada o una red de satélites en virtud del Artículo 2A, la Oficina revisará el requisito de coordinación mediante las características inscritas. Si la Oficina llega a una conclusión favorable, ya no será necesaria la coordinación entre la notificación en virtud de la Resolución </w:t>
            </w:r>
            <w:r w:rsidRPr="00CB56EC">
              <w:rPr>
                <w:b/>
                <w:bCs/>
                <w:sz w:val="20"/>
                <w:szCs w:val="20"/>
                <w:lang w:val="es-ES_tradnl" w:eastAsia="zh-CN"/>
              </w:rPr>
              <w:t>559</w:t>
            </w:r>
            <w:r w:rsidRPr="00CB56EC">
              <w:rPr>
                <w:sz w:val="20"/>
                <w:szCs w:val="20"/>
                <w:lang w:val="es-ES_tradnl" w:eastAsia="zh-CN"/>
              </w:rPr>
              <w:t xml:space="preserve"> concernida y la red no planificada afectada o la red en virtud del Artículo 2A, y la Oficina informará a ambas administraciones de sus conclusiones.</w:t>
            </w:r>
          </w:p>
          <w:p w14:paraId="041A1501" w14:textId="77777777" w:rsidR="009F430B" w:rsidRPr="00CB56EC" w:rsidRDefault="009F430B" w:rsidP="00CB56EC">
            <w:pPr>
              <w:widowControl w:val="0"/>
              <w:ind w:left="567" w:hanging="567"/>
              <w:jc w:val="left"/>
              <w:rPr>
                <w:sz w:val="20"/>
                <w:szCs w:val="20"/>
                <w:lang w:val="es-ES_tradnl"/>
              </w:rPr>
            </w:pPr>
            <w:r w:rsidRPr="00CB56EC">
              <w:rPr>
                <w:sz w:val="20"/>
                <w:szCs w:val="20"/>
                <w:lang w:val="es-ES_tradnl"/>
              </w:rPr>
              <w:t>•</w:t>
            </w:r>
            <w:r w:rsidRPr="00CB56EC">
              <w:rPr>
                <w:sz w:val="20"/>
                <w:szCs w:val="20"/>
                <w:lang w:val="es-ES_tradnl"/>
              </w:rPr>
              <w:tab/>
              <w:t>Al examinar las notificaciones de la Parte B efectuadas de conformidad con la Resolución </w:t>
            </w:r>
            <w:r w:rsidRPr="00CB56EC">
              <w:rPr>
                <w:b/>
                <w:bCs/>
                <w:sz w:val="20"/>
                <w:szCs w:val="20"/>
                <w:lang w:val="es-ES_tradnl"/>
              </w:rPr>
              <w:t>559 (CMR-19)</w:t>
            </w:r>
            <w:r w:rsidRPr="00CB56EC">
              <w:rPr>
                <w:sz w:val="20"/>
                <w:szCs w:val="20"/>
                <w:lang w:val="es-ES_tradnl"/>
              </w:rPr>
              <w:t>, respecto de las asignaciones de frecuencias del SRS para usos adicionales en las Regiones 1 y 3, al formular una conclusión no se tendrá en cuenta el punto de prueba para uso adicional afectado que esté situado en territorio de la administración que presenta una notificación en virtud de la Resolución </w:t>
            </w:r>
            <w:r w:rsidRPr="00CB56EC">
              <w:rPr>
                <w:b/>
                <w:bCs/>
                <w:sz w:val="20"/>
                <w:szCs w:val="20"/>
                <w:lang w:val="es-ES_tradnl"/>
              </w:rPr>
              <w:t>559 (CMR-19)</w:t>
            </w:r>
            <w:r w:rsidRPr="00CB56EC">
              <w:rPr>
                <w:sz w:val="20"/>
                <w:szCs w:val="20"/>
                <w:lang w:val="es-ES_tradnl"/>
              </w:rPr>
              <w:t>:</w:t>
            </w:r>
          </w:p>
          <w:p w14:paraId="77A48B3F" w14:textId="77777777" w:rsidR="009F430B" w:rsidRPr="00CB56EC" w:rsidRDefault="009F430B" w:rsidP="00CB56EC">
            <w:pPr>
              <w:widowControl w:val="0"/>
              <w:ind w:left="567"/>
              <w:jc w:val="left"/>
              <w:rPr>
                <w:sz w:val="20"/>
                <w:szCs w:val="20"/>
                <w:lang w:val="es-ES_tradnl" w:eastAsia="it-IT"/>
              </w:rPr>
            </w:pPr>
            <w:r w:rsidRPr="00CB56EC">
              <w:rPr>
                <w:sz w:val="20"/>
                <w:szCs w:val="20"/>
                <w:lang w:val="es-ES_tradnl" w:eastAsia="it-IT"/>
              </w:rPr>
              <w:t>1)</w:t>
            </w:r>
            <w:r w:rsidRPr="00CB56EC">
              <w:rPr>
                <w:sz w:val="20"/>
                <w:szCs w:val="20"/>
                <w:lang w:val="es-ES_tradnl" w:eastAsia="it-IT"/>
              </w:rPr>
              <w:tab/>
            </w:r>
            <w:r w:rsidRPr="00CB56EC">
              <w:rPr>
                <w:sz w:val="20"/>
                <w:szCs w:val="20"/>
                <w:lang w:val="es-ES_tradnl" w:eastAsia="zh-CN"/>
              </w:rPr>
              <w:t>C</w:t>
            </w:r>
            <w:r w:rsidRPr="00CB56EC">
              <w:rPr>
                <w:sz w:val="20"/>
                <w:szCs w:val="20"/>
                <w:lang w:val="es-ES_tradnl" w:eastAsia="it-IT"/>
              </w:rPr>
              <w:t>uando la administración notificante en virtud de la Resolución </w:t>
            </w:r>
            <w:r w:rsidRPr="00CB56EC">
              <w:rPr>
                <w:b/>
                <w:bCs/>
                <w:sz w:val="20"/>
                <w:szCs w:val="20"/>
                <w:lang w:val="es-ES_tradnl" w:eastAsia="it-IT"/>
              </w:rPr>
              <w:t>559</w:t>
            </w:r>
            <w:r w:rsidRPr="00CB56EC">
              <w:rPr>
                <w:sz w:val="20"/>
                <w:szCs w:val="20"/>
                <w:lang w:val="es-ES_tradnl" w:eastAsia="it-IT"/>
              </w:rPr>
              <w:t xml:space="preserve"> indique expresamente en su carta de </w:t>
            </w:r>
            <w:r w:rsidRPr="00CB56EC">
              <w:rPr>
                <w:sz w:val="20"/>
                <w:szCs w:val="20"/>
                <w:lang w:val="es-ES_tradnl"/>
              </w:rPr>
              <w:t>notificación</w:t>
            </w:r>
            <w:r w:rsidRPr="00CB56EC">
              <w:rPr>
                <w:sz w:val="20"/>
                <w:szCs w:val="20"/>
                <w:lang w:val="es-ES_tradnl" w:eastAsia="it-IT"/>
              </w:rPr>
              <w:t xml:space="preserve"> de la Parte B que la situación de referencia de determinadas redes no debe actualizarse debido a un acuerdo con la administración o las administraciones notificantes de esas redes, la Oficina no actualizará la situación de referencia de las redes concernidas al introducir las asignaciones de frecuencias de una notificación en virtud de la Resolución </w:t>
            </w:r>
            <w:r w:rsidRPr="00CB56EC">
              <w:rPr>
                <w:b/>
                <w:bCs/>
                <w:sz w:val="20"/>
                <w:szCs w:val="20"/>
                <w:lang w:val="es-ES_tradnl" w:eastAsia="it-IT"/>
              </w:rPr>
              <w:t>559</w:t>
            </w:r>
            <w:r w:rsidRPr="00CB56EC">
              <w:rPr>
                <w:sz w:val="20"/>
                <w:szCs w:val="20"/>
                <w:lang w:val="es-ES_tradnl" w:eastAsia="it-IT"/>
              </w:rPr>
              <w:t xml:space="preserve"> en la Lista.</w:t>
            </w:r>
          </w:p>
          <w:p w14:paraId="7E7EDF74" w14:textId="77777777" w:rsidR="009F430B" w:rsidRPr="00CB56EC" w:rsidRDefault="009F430B" w:rsidP="00CB56EC">
            <w:pPr>
              <w:pStyle w:val="enumlev1"/>
              <w:widowControl w:val="0"/>
              <w:ind w:left="567" w:hanging="567"/>
              <w:jc w:val="left"/>
              <w:rPr>
                <w:sz w:val="20"/>
                <w:szCs w:val="20"/>
                <w:lang w:val="es-ES_tradnl" w:eastAsia="it-IT"/>
              </w:rPr>
            </w:pPr>
            <w:r w:rsidRPr="00CB56EC">
              <w:rPr>
                <w:sz w:val="20"/>
                <w:szCs w:val="20"/>
                <w:lang w:val="es-ES_tradnl"/>
              </w:rPr>
              <w:t>•</w:t>
            </w:r>
            <w:r w:rsidRPr="00CB56EC">
              <w:rPr>
                <w:sz w:val="20"/>
                <w:szCs w:val="20"/>
                <w:lang w:val="es-ES_tradnl" w:eastAsia="it-IT"/>
              </w:rPr>
              <w:tab/>
            </w:r>
            <w:r w:rsidRPr="00CB56EC">
              <w:rPr>
                <w:sz w:val="20"/>
                <w:szCs w:val="20"/>
                <w:lang w:val="es-ES_tradnl"/>
              </w:rPr>
              <w:t>C</w:t>
            </w:r>
            <w:r w:rsidRPr="00CB56EC">
              <w:rPr>
                <w:sz w:val="20"/>
                <w:szCs w:val="20"/>
                <w:lang w:val="es-ES_tradnl" w:eastAsia="it-IT"/>
              </w:rPr>
              <w:t>uando la administración notificante en virtud de la Resolución </w:t>
            </w:r>
            <w:r w:rsidRPr="00CB56EC">
              <w:rPr>
                <w:b/>
                <w:bCs/>
                <w:sz w:val="20"/>
                <w:szCs w:val="20"/>
                <w:lang w:val="es-ES_tradnl" w:eastAsia="it-IT"/>
              </w:rPr>
              <w:t>559</w:t>
            </w:r>
            <w:r w:rsidRPr="00CB56EC">
              <w:rPr>
                <w:sz w:val="20"/>
                <w:szCs w:val="20"/>
                <w:lang w:val="es-ES_tradnl" w:eastAsia="it-IT"/>
              </w:rPr>
              <w:t xml:space="preserve"> informe expresamente a la Oficina de que se ha llegado a un acuerdo con otra administración para ignorar puntos de prueba situados en el territorio de esa administración notificante y que se verían degradados a raíz de la recepción de la notificación de la Resolución </w:t>
            </w:r>
            <w:r w:rsidRPr="00CB56EC">
              <w:rPr>
                <w:b/>
                <w:bCs/>
                <w:sz w:val="20"/>
                <w:szCs w:val="20"/>
                <w:lang w:val="es-ES_tradnl" w:eastAsia="it-IT"/>
              </w:rPr>
              <w:t>559</w:t>
            </w:r>
            <w:r w:rsidRPr="00CB56EC">
              <w:rPr>
                <w:sz w:val="20"/>
                <w:szCs w:val="20"/>
                <w:lang w:val="es-ES_tradnl" w:eastAsia="it-IT"/>
              </w:rPr>
              <w:t>, la Oficina ignorará esos puntos de prueba degradados al examinar la Parte B de la notificación en virtud de la Resolución </w:t>
            </w:r>
            <w:r w:rsidRPr="00CB56EC">
              <w:rPr>
                <w:b/>
                <w:bCs/>
                <w:sz w:val="20"/>
                <w:szCs w:val="20"/>
                <w:lang w:val="es-ES_tradnl" w:eastAsia="it-IT"/>
              </w:rPr>
              <w:t>559</w:t>
            </w:r>
            <w:r w:rsidRPr="00CB56EC">
              <w:rPr>
                <w:sz w:val="20"/>
                <w:szCs w:val="20"/>
                <w:lang w:val="es-ES_tradnl" w:eastAsia="it-IT"/>
              </w:rPr>
              <w:t>. Tal acuerdo también podrá ser comunicado por la administración tercera, si bien tendrá que ponerse en conocimiento de la Oficina a más tardar antes del inicio del examen oficial de la notificación de la Parte B.</w:t>
            </w:r>
          </w:p>
          <w:p w14:paraId="644F50D0" w14:textId="77777777" w:rsidR="009F430B" w:rsidRPr="00CB56EC" w:rsidRDefault="009F430B" w:rsidP="00CB56EC">
            <w:pPr>
              <w:jc w:val="left"/>
              <w:rPr>
                <w:b/>
                <w:bCs/>
                <w:sz w:val="20"/>
                <w:szCs w:val="20"/>
                <w:lang w:val="es-ES_tradnl"/>
              </w:rPr>
            </w:pPr>
            <w:r w:rsidRPr="00CB56EC">
              <w:rPr>
                <w:b/>
                <w:bCs/>
                <w:sz w:val="20"/>
                <w:szCs w:val="20"/>
                <w:lang w:val="es-ES_tradnl"/>
              </w:rPr>
              <w:t>Se invita asimismo a la CMR-23 a que inste a las administraciones que hayan presentado notificaciones de la Parte A antes del 22 de mayo de 2020 a hacer todo lo posible por integrar esas notificaciones en virtud de la Resolución 559 y tener en cuenta los resultados del examen realizado por la Oficina al preparar sus notificaciones de la Parte B.</w:t>
            </w:r>
          </w:p>
          <w:p w14:paraId="51DC1626" w14:textId="77777777" w:rsidR="009F430B" w:rsidRPr="00CB56EC" w:rsidRDefault="009F430B" w:rsidP="00CB56EC">
            <w:pPr>
              <w:widowControl w:val="0"/>
              <w:jc w:val="left"/>
              <w:rPr>
                <w:b/>
                <w:bCs/>
                <w:sz w:val="20"/>
                <w:szCs w:val="20"/>
                <w:lang w:val="es-ES_tradnl"/>
              </w:rPr>
            </w:pPr>
            <w:r w:rsidRPr="00CB56EC">
              <w:rPr>
                <w:b/>
                <w:bCs/>
                <w:sz w:val="20"/>
                <w:szCs w:val="20"/>
                <w:lang w:val="es-ES_tradnl"/>
              </w:rPr>
              <w:t>Se invita asimismo a la CMR-23 a que aliente a las administraciones a cooperar y a examinar enfoques como los expuestos en el § 4.2.15 a fin de completar todos los casos de coordinación pendientes.</w:t>
            </w:r>
          </w:p>
          <w:p w14:paraId="034AA0CD" w14:textId="79256BE7" w:rsidR="009F430B" w:rsidRPr="00CB56EC" w:rsidRDefault="009F430B" w:rsidP="00CB56EC">
            <w:pPr>
              <w:jc w:val="left"/>
              <w:rPr>
                <w:sz w:val="20"/>
                <w:szCs w:val="20"/>
                <w:lang w:val="es-ES_tradnl"/>
              </w:rPr>
            </w:pPr>
            <w:r w:rsidRPr="00CB56EC">
              <w:rPr>
                <w:sz w:val="20"/>
                <w:szCs w:val="20"/>
                <w:lang w:val="es-ES_tradnl"/>
              </w:rPr>
              <w:lastRenderedPageBreak/>
              <w:t>…</w:t>
            </w:r>
            <w:r w:rsidR="005B2DE5" w:rsidRPr="00CB56EC">
              <w:rPr>
                <w:sz w:val="20"/>
                <w:szCs w:val="20"/>
                <w:lang w:val="es-ES_tradnl"/>
              </w:rPr>
              <w:t>»</w:t>
            </w:r>
          </w:p>
        </w:tc>
      </w:tr>
      <w:tr w:rsidR="009F430B" w:rsidRPr="0067605C" w14:paraId="1139A757" w14:textId="77777777" w:rsidTr="00662D47">
        <w:trPr>
          <w:trHeight w:val="1139"/>
        </w:trPr>
        <w:tc>
          <w:tcPr>
            <w:tcW w:w="1838" w:type="dxa"/>
          </w:tcPr>
          <w:p w14:paraId="791240A4" w14:textId="271098EA" w:rsidR="009F430B" w:rsidRPr="00CB56EC" w:rsidRDefault="009F430B" w:rsidP="00CB56EC">
            <w:pPr>
              <w:jc w:val="left"/>
              <w:rPr>
                <w:b/>
                <w:sz w:val="20"/>
                <w:szCs w:val="20"/>
                <w:lang w:val="es-ES_tradnl"/>
              </w:rPr>
            </w:pPr>
            <w:r w:rsidRPr="00CB56EC">
              <w:rPr>
                <w:b/>
                <w:sz w:val="20"/>
                <w:szCs w:val="20"/>
                <w:lang w:val="es-ES_tradnl"/>
              </w:rPr>
              <w:lastRenderedPageBreak/>
              <w:t xml:space="preserve">Documento </w:t>
            </w:r>
            <w:r w:rsidR="0067605C">
              <w:fldChar w:fldCharType="begin"/>
            </w:r>
            <w:r w:rsidR="0067605C" w:rsidRPr="0067605C">
              <w:rPr>
                <w:lang w:val="fr-FR"/>
              </w:rPr>
              <w:instrText>HYPERLINK "https://www.itu.int/md/R23-WRC23-C-0523/en"</w:instrText>
            </w:r>
            <w:r w:rsidR="0067605C">
              <w:fldChar w:fldCharType="separate"/>
            </w:r>
            <w:r w:rsidRPr="00CB56EC">
              <w:rPr>
                <w:rStyle w:val="Hyperlink"/>
                <w:rFonts w:asciiTheme="minorHAnsi" w:hAnsiTheme="minorHAnsi" w:cstheme="minorHAnsi"/>
                <w:b/>
                <w:bCs/>
                <w:sz w:val="20"/>
                <w:szCs w:val="20"/>
                <w:lang w:val="es-ES_tradnl"/>
              </w:rPr>
              <w:t>CMR23/523</w:t>
            </w:r>
            <w:r w:rsidR="0067605C">
              <w:rPr>
                <w:rStyle w:val="Hyperlink"/>
                <w:rFonts w:asciiTheme="minorHAnsi" w:hAnsiTheme="minorHAnsi" w:cstheme="minorHAnsi"/>
                <w:b/>
                <w:bCs/>
                <w:sz w:val="20"/>
                <w:szCs w:val="20"/>
                <w:lang w:val="es-ES_tradnl"/>
              </w:rPr>
              <w:fldChar w:fldCharType="end"/>
            </w:r>
            <w:r w:rsidRPr="00CB56EC">
              <w:rPr>
                <w:b/>
                <w:sz w:val="20"/>
                <w:szCs w:val="20"/>
                <w:lang w:val="es-ES_tradnl"/>
              </w:rPr>
              <w:t xml:space="preserve"> – Actas de la octava sesión plenaria</w:t>
            </w:r>
          </w:p>
        </w:tc>
        <w:tc>
          <w:tcPr>
            <w:tcW w:w="1733" w:type="dxa"/>
          </w:tcPr>
          <w:p w14:paraId="4C46B97B" w14:textId="77777777" w:rsidR="009F430B" w:rsidRPr="00CB56EC" w:rsidRDefault="009F430B" w:rsidP="00CB56EC">
            <w:pPr>
              <w:jc w:val="left"/>
              <w:rPr>
                <w:rFonts w:cs="Times"/>
                <w:b/>
                <w:sz w:val="20"/>
                <w:szCs w:val="20"/>
                <w:lang w:val="es-ES_tradnl"/>
              </w:rPr>
            </w:pPr>
            <w:r w:rsidRPr="00CB56EC">
              <w:rPr>
                <w:rFonts w:cs="Times"/>
                <w:b/>
                <w:sz w:val="20"/>
                <w:szCs w:val="20"/>
                <w:lang w:val="es-ES_tradnl"/>
              </w:rPr>
              <w:t>§18.1 y 18.2</w:t>
            </w:r>
          </w:p>
          <w:p w14:paraId="50467EB9" w14:textId="77777777" w:rsidR="009F430B" w:rsidRPr="00CB56EC" w:rsidRDefault="009F430B" w:rsidP="00CB56EC">
            <w:pPr>
              <w:jc w:val="left"/>
              <w:rPr>
                <w:rFonts w:cs="Times"/>
                <w:b/>
                <w:sz w:val="20"/>
                <w:szCs w:val="20"/>
                <w:lang w:val="es-ES_tradnl"/>
              </w:rPr>
            </w:pPr>
            <w:r w:rsidRPr="00CB56EC">
              <w:rPr>
                <w:rFonts w:cs="Times"/>
                <w:b/>
                <w:sz w:val="20"/>
                <w:szCs w:val="20"/>
                <w:lang w:val="es-ES_tradnl"/>
              </w:rPr>
              <w:t xml:space="preserve">Aprobación del Documento </w:t>
            </w:r>
            <w:hyperlink r:id="rId12" w:history="1">
              <w:r w:rsidRPr="00CB56EC">
                <w:rPr>
                  <w:rStyle w:val="Hyperlink"/>
                  <w:rFonts w:cs="Times"/>
                  <w:b/>
                  <w:sz w:val="20"/>
                  <w:szCs w:val="20"/>
                  <w:lang w:val="es-ES_tradnl"/>
                </w:rPr>
                <w:t>409</w:t>
              </w:r>
            </w:hyperlink>
            <w:r w:rsidRPr="00CB56EC">
              <w:rPr>
                <w:sz w:val="20"/>
                <w:szCs w:val="20"/>
                <w:lang w:val="es-ES_tradnl"/>
              </w:rPr>
              <w:t xml:space="preserve"> </w:t>
            </w:r>
          </w:p>
        </w:tc>
        <w:tc>
          <w:tcPr>
            <w:tcW w:w="10712" w:type="dxa"/>
          </w:tcPr>
          <w:p w14:paraId="3B784D48" w14:textId="79F1B0D9" w:rsidR="009F430B" w:rsidRPr="00CB56EC" w:rsidRDefault="009F430B" w:rsidP="00CB56EC">
            <w:pPr>
              <w:tabs>
                <w:tab w:val="left" w:pos="1134"/>
                <w:tab w:val="left" w:pos="1871"/>
                <w:tab w:val="left" w:pos="2268"/>
              </w:tabs>
              <w:jc w:val="left"/>
              <w:rPr>
                <w:sz w:val="20"/>
                <w:szCs w:val="20"/>
                <w:lang w:val="es-ES_tradnl"/>
              </w:rPr>
            </w:pPr>
            <w:r w:rsidRPr="00CB56EC">
              <w:rPr>
                <w:sz w:val="20"/>
                <w:szCs w:val="20"/>
                <w:lang w:val="es-ES_tradnl"/>
              </w:rPr>
              <w:t xml:space="preserve">En la aplicación de los números </w:t>
            </w:r>
            <w:r w:rsidRPr="00CB56EC">
              <w:rPr>
                <w:b/>
                <w:bCs/>
                <w:sz w:val="20"/>
                <w:szCs w:val="20"/>
                <w:lang w:val="es-ES_tradnl"/>
              </w:rPr>
              <w:t xml:space="preserve">5.434 </w:t>
            </w:r>
            <w:r w:rsidRPr="00CB56EC">
              <w:rPr>
                <w:sz w:val="20"/>
                <w:szCs w:val="20"/>
                <w:lang w:val="es-ES_tradnl"/>
              </w:rPr>
              <w:t xml:space="preserve">y </w:t>
            </w:r>
            <w:r w:rsidRPr="00CB56EC">
              <w:rPr>
                <w:b/>
                <w:bCs/>
                <w:sz w:val="20"/>
                <w:szCs w:val="20"/>
                <w:lang w:val="es-ES_tradnl"/>
              </w:rPr>
              <w:t>5.435B</w:t>
            </w:r>
            <w:r w:rsidRPr="00CB56EC">
              <w:rPr>
                <w:sz w:val="20"/>
                <w:szCs w:val="20"/>
                <w:lang w:val="es-ES_tradnl"/>
              </w:rPr>
              <w:t xml:space="preserve"> </w:t>
            </w:r>
            <w:r w:rsidRPr="00CB56EC">
              <w:rPr>
                <w:b/>
                <w:bCs/>
                <w:sz w:val="20"/>
                <w:szCs w:val="20"/>
                <w:lang w:val="es-ES_tradnl"/>
              </w:rPr>
              <w:t xml:space="preserve">[5.36A12] </w:t>
            </w:r>
            <w:r w:rsidRPr="00CB56EC">
              <w:rPr>
                <w:sz w:val="20"/>
                <w:szCs w:val="20"/>
                <w:lang w:val="es-ES_tradnl"/>
              </w:rPr>
              <w:t xml:space="preserve">del RR, el término </w:t>
            </w:r>
            <w:r w:rsidR="00CE6409" w:rsidRPr="00CB56EC">
              <w:rPr>
                <w:sz w:val="20"/>
                <w:szCs w:val="20"/>
                <w:lang w:val="es-ES_tradnl"/>
              </w:rPr>
              <w:t>«</w:t>
            </w:r>
            <w:r w:rsidRPr="00CB56EC">
              <w:rPr>
                <w:sz w:val="20"/>
                <w:szCs w:val="20"/>
                <w:lang w:val="es-ES_tradnl"/>
              </w:rPr>
              <w:t>países vecinos</w:t>
            </w:r>
            <w:r w:rsidR="00CE6409" w:rsidRPr="00CB56EC">
              <w:rPr>
                <w:sz w:val="20"/>
                <w:szCs w:val="20"/>
                <w:lang w:val="es-ES_tradnl"/>
              </w:rPr>
              <w:t>»</w:t>
            </w:r>
            <w:r w:rsidRPr="00CB56EC">
              <w:rPr>
                <w:sz w:val="20"/>
                <w:szCs w:val="20"/>
                <w:lang w:val="es-ES_tradnl"/>
              </w:rPr>
              <w:t xml:space="preserve"> incluye los países la Región 1 limítrofes con la Región 2.</w:t>
            </w:r>
          </w:p>
        </w:tc>
      </w:tr>
      <w:bookmarkEnd w:id="1"/>
      <w:tr w:rsidR="00CE6409" w:rsidRPr="0067605C" w14:paraId="4FD7ED59" w14:textId="77777777" w:rsidTr="00662D47">
        <w:trPr>
          <w:trHeight w:val="1139"/>
        </w:trPr>
        <w:tc>
          <w:tcPr>
            <w:tcW w:w="1838" w:type="dxa"/>
          </w:tcPr>
          <w:p w14:paraId="002F1ED2" w14:textId="77777777" w:rsidR="00CE6409" w:rsidRPr="00CB56EC" w:rsidRDefault="00CE6409" w:rsidP="00CB56EC">
            <w:pPr>
              <w:jc w:val="left"/>
              <w:rPr>
                <w:b/>
                <w:sz w:val="20"/>
                <w:szCs w:val="20"/>
                <w:lang w:val="es-ES"/>
              </w:rPr>
            </w:pPr>
            <w:r w:rsidRPr="00CB56EC">
              <w:rPr>
                <w:b/>
                <w:sz w:val="20"/>
                <w:szCs w:val="20"/>
                <w:lang w:val="es-ES"/>
              </w:rPr>
              <w:t xml:space="preserve">Documento </w:t>
            </w:r>
            <w:r w:rsidR="0067605C">
              <w:fldChar w:fldCharType="begin"/>
            </w:r>
            <w:r w:rsidR="0067605C" w:rsidRPr="0067605C">
              <w:rPr>
                <w:lang w:val="fr-FR"/>
              </w:rPr>
              <w:instrText>HYPERLINK "https://www.itu.int/md/R23-WRC23-C-0524/en"</w:instrText>
            </w:r>
            <w:r w:rsidR="0067605C">
              <w:fldChar w:fldCharType="separate"/>
            </w:r>
            <w:r w:rsidRPr="00CB56EC">
              <w:rPr>
                <w:rFonts w:eastAsia="Calibri" w:cs="Times"/>
                <w:b/>
                <w:color w:val="0563C1"/>
                <w:kern w:val="2"/>
                <w:sz w:val="20"/>
                <w:szCs w:val="20"/>
                <w:u w:val="single"/>
                <w:lang w:val="es-ES"/>
                <w14:ligatures w14:val="standardContextual"/>
              </w:rPr>
              <w:t>CMR23/524</w:t>
            </w:r>
            <w:r w:rsidR="0067605C">
              <w:rPr>
                <w:rFonts w:eastAsia="Calibri" w:cs="Times"/>
                <w:b/>
                <w:color w:val="0563C1"/>
                <w:kern w:val="2"/>
                <w:sz w:val="20"/>
                <w:szCs w:val="20"/>
                <w:u w:val="single"/>
                <w:lang w:val="es-ES"/>
                <w14:ligatures w14:val="standardContextual"/>
              </w:rPr>
              <w:fldChar w:fldCharType="end"/>
            </w:r>
            <w:r w:rsidRPr="00CB56EC">
              <w:rPr>
                <w:rFonts w:eastAsia="Calibri" w:cs="Times"/>
                <w:b/>
                <w:color w:val="0563C1"/>
                <w:kern w:val="2"/>
                <w:sz w:val="20"/>
                <w:szCs w:val="20"/>
                <w:u w:val="single"/>
                <w:lang w:val="es-ES"/>
                <w14:ligatures w14:val="standardContextual"/>
              </w:rPr>
              <w:t xml:space="preserve"> </w:t>
            </w:r>
            <w:r w:rsidRPr="00CB56EC">
              <w:rPr>
                <w:b/>
                <w:sz w:val="20"/>
                <w:szCs w:val="20"/>
                <w:lang w:val="es-ES"/>
              </w:rPr>
              <w:t>– Actas de la novena Sesión Plenaria</w:t>
            </w:r>
          </w:p>
        </w:tc>
        <w:tc>
          <w:tcPr>
            <w:tcW w:w="1733" w:type="dxa"/>
          </w:tcPr>
          <w:p w14:paraId="2ABE03AE" w14:textId="77777777" w:rsidR="00CE6409" w:rsidRPr="00CB56EC" w:rsidRDefault="00CE6409" w:rsidP="00CB56EC">
            <w:pPr>
              <w:jc w:val="left"/>
              <w:rPr>
                <w:rFonts w:cs="Times"/>
                <w:b/>
                <w:sz w:val="20"/>
                <w:szCs w:val="20"/>
                <w:lang w:val="es-ES"/>
              </w:rPr>
            </w:pPr>
            <w:r w:rsidRPr="00CB56EC">
              <w:rPr>
                <w:rFonts w:cs="Times"/>
                <w:b/>
                <w:sz w:val="20"/>
                <w:szCs w:val="20"/>
                <w:lang w:val="es-ES"/>
              </w:rPr>
              <w:t xml:space="preserve">§§ 3.1 y 3.2 </w:t>
            </w:r>
          </w:p>
          <w:p w14:paraId="569FF630" w14:textId="77777777" w:rsidR="00CE6409" w:rsidRPr="00CB56EC" w:rsidRDefault="00CE6409" w:rsidP="00CB56EC">
            <w:pPr>
              <w:jc w:val="left"/>
              <w:rPr>
                <w:rFonts w:cs="Times"/>
                <w:b/>
                <w:sz w:val="20"/>
                <w:szCs w:val="20"/>
                <w:lang w:val="es-ES"/>
              </w:rPr>
            </w:pPr>
            <w:r w:rsidRPr="00CB56EC">
              <w:rPr>
                <w:rFonts w:cs="Times"/>
                <w:b/>
                <w:sz w:val="20"/>
                <w:szCs w:val="20"/>
                <w:lang w:val="es-ES"/>
              </w:rPr>
              <w:t xml:space="preserve">Aprobación del Documento </w:t>
            </w:r>
            <w:hyperlink r:id="rId13" w:history="1">
              <w:r w:rsidRPr="00CB56EC">
                <w:rPr>
                  <w:rStyle w:val="Hyperlink"/>
                  <w:rFonts w:cs="Times"/>
                  <w:b/>
                  <w:sz w:val="20"/>
                  <w:szCs w:val="20"/>
                  <w:lang w:val="es-ES"/>
                </w:rPr>
                <w:t>436</w:t>
              </w:r>
            </w:hyperlink>
          </w:p>
        </w:tc>
        <w:tc>
          <w:tcPr>
            <w:tcW w:w="10712" w:type="dxa"/>
          </w:tcPr>
          <w:p w14:paraId="51B47EB5" w14:textId="77777777" w:rsidR="00CE6409" w:rsidRPr="00CB56EC" w:rsidRDefault="00CE6409" w:rsidP="00CB56EC">
            <w:pPr>
              <w:jc w:val="left"/>
              <w:rPr>
                <w:sz w:val="20"/>
                <w:szCs w:val="20"/>
                <w:lang w:val="es-ES"/>
              </w:rPr>
            </w:pPr>
            <w:r w:rsidRPr="00CB56EC">
              <w:rPr>
                <w:sz w:val="20"/>
                <w:szCs w:val="20"/>
                <w:lang w:val="es-ES"/>
              </w:rPr>
              <w:t xml:space="preserve">En su novena Sesión Plenaria, en respuesta al punto 1.8 del orden del día de la CMR-23, se ha decidido suspender cualquier acción adicional sobre la Resolución </w:t>
            </w:r>
            <w:r w:rsidRPr="00CB56EC">
              <w:rPr>
                <w:b/>
                <w:sz w:val="20"/>
                <w:szCs w:val="20"/>
                <w:lang w:val="es-ES"/>
              </w:rPr>
              <w:t>155 (Rev.CMR-19)</w:t>
            </w:r>
            <w:r w:rsidRPr="00CB56EC">
              <w:rPr>
                <w:sz w:val="20"/>
                <w:szCs w:val="20"/>
                <w:lang w:val="es-ES"/>
              </w:rPr>
              <w:t xml:space="preserve"> hasta que lo decida una futura CMR competente. A tal efecto, esta Conferencia ha acordado un nuevo punto para estudiar, con carácter de urgencia, las medidas necesarias para facilitar el funcionamiento de estaciones terrenas a bordo de aeronaves no tripuladas utilizadas para el control y la comunicación sin carga útil que funcionan en el espacio aéreo no segregado utilizando enlaces por satélite del servicio móvil aeronáutico (en rutas) por satélite (SMA(R)S) en bandas de frecuencias adecuadas, con el fin de decidir la actuación que se debe adoptar para la CMR-31.</w:t>
            </w:r>
          </w:p>
          <w:p w14:paraId="146DB57B" w14:textId="77777777" w:rsidR="00CE6409" w:rsidRPr="00CB56EC" w:rsidRDefault="00CE6409" w:rsidP="00CB56EC">
            <w:pPr>
              <w:tabs>
                <w:tab w:val="left" w:pos="1134"/>
                <w:tab w:val="left" w:pos="1871"/>
                <w:tab w:val="left" w:pos="2268"/>
              </w:tabs>
              <w:jc w:val="left"/>
              <w:rPr>
                <w:sz w:val="20"/>
                <w:szCs w:val="20"/>
                <w:lang w:val="es-ES"/>
              </w:rPr>
            </w:pPr>
            <w:r w:rsidRPr="00CB56EC">
              <w:rPr>
                <w:sz w:val="20"/>
                <w:szCs w:val="20"/>
                <w:lang w:val="es-ES"/>
              </w:rPr>
              <w:t>La CMR-23 encarga al UIT-R que adopte las medidas necesarias para la aplicación de esta decisión. Se invita a las administraciones a que contribuyan sobre esta cuestión.</w:t>
            </w:r>
          </w:p>
        </w:tc>
      </w:tr>
      <w:tr w:rsidR="00CE6409" w:rsidRPr="0067605C" w14:paraId="31F0C1B2" w14:textId="77777777" w:rsidTr="00662D47">
        <w:trPr>
          <w:trHeight w:val="1139"/>
        </w:trPr>
        <w:tc>
          <w:tcPr>
            <w:tcW w:w="1838" w:type="dxa"/>
          </w:tcPr>
          <w:p w14:paraId="29B95BFB" w14:textId="77777777" w:rsidR="00CE6409" w:rsidRPr="00CB56EC" w:rsidRDefault="00CE6409" w:rsidP="00CB56EC">
            <w:pPr>
              <w:jc w:val="left"/>
              <w:rPr>
                <w:b/>
                <w:sz w:val="20"/>
                <w:szCs w:val="20"/>
                <w:lang w:val="es-ES"/>
              </w:rPr>
            </w:pPr>
            <w:r w:rsidRPr="00CB56EC">
              <w:rPr>
                <w:b/>
                <w:sz w:val="20"/>
                <w:szCs w:val="20"/>
                <w:lang w:val="es-ES"/>
              </w:rPr>
              <w:t xml:space="preserve">Documento </w:t>
            </w:r>
            <w:r w:rsidR="0067605C">
              <w:fldChar w:fldCharType="begin"/>
            </w:r>
            <w:r w:rsidR="0067605C" w:rsidRPr="0067605C">
              <w:rPr>
                <w:lang w:val="fr-FR"/>
              </w:rPr>
              <w:instrText>HYPERLINK "https://www.itu.int/md/R23-WRC23-C-0525/en"</w:instrText>
            </w:r>
            <w:r w:rsidR="0067605C">
              <w:fldChar w:fldCharType="separate"/>
            </w:r>
            <w:r w:rsidRPr="00CB56EC">
              <w:rPr>
                <w:rStyle w:val="Hyperlink"/>
                <w:rFonts w:eastAsia="Calibri"/>
                <w:b/>
                <w:kern w:val="2"/>
                <w:sz w:val="20"/>
                <w:szCs w:val="20"/>
                <w:lang w:val="es-ES"/>
                <w14:ligatures w14:val="standardContextual"/>
              </w:rPr>
              <w:t>CMR23/525</w:t>
            </w:r>
            <w:r w:rsidR="0067605C">
              <w:rPr>
                <w:rStyle w:val="Hyperlink"/>
                <w:rFonts w:eastAsia="Calibri"/>
                <w:b/>
                <w:kern w:val="2"/>
                <w:sz w:val="20"/>
                <w:szCs w:val="20"/>
                <w:lang w:val="es-ES"/>
                <w14:ligatures w14:val="standardContextual"/>
              </w:rPr>
              <w:fldChar w:fldCharType="end"/>
            </w:r>
            <w:r w:rsidRPr="00CB56EC">
              <w:rPr>
                <w:rFonts w:eastAsia="Calibri"/>
                <w:b/>
                <w:color w:val="0563C1"/>
                <w:kern w:val="2"/>
                <w:sz w:val="20"/>
                <w:szCs w:val="20"/>
                <w:u w:val="single"/>
                <w:lang w:val="es-ES"/>
                <w14:ligatures w14:val="standardContextual"/>
              </w:rPr>
              <w:t xml:space="preserve"> </w:t>
            </w:r>
            <w:r w:rsidRPr="00CB56EC">
              <w:rPr>
                <w:b/>
                <w:sz w:val="20"/>
                <w:szCs w:val="20"/>
                <w:lang w:val="es-ES"/>
              </w:rPr>
              <w:t>– Actas de la décima Sesión Plenaria</w:t>
            </w:r>
          </w:p>
        </w:tc>
        <w:tc>
          <w:tcPr>
            <w:tcW w:w="1733" w:type="dxa"/>
          </w:tcPr>
          <w:p w14:paraId="470A6E32" w14:textId="77777777" w:rsidR="00CE6409" w:rsidRPr="00CB56EC" w:rsidRDefault="00CE6409" w:rsidP="00CB56EC">
            <w:pPr>
              <w:spacing w:after="120" w:line="240" w:lineRule="auto"/>
              <w:jc w:val="left"/>
              <w:rPr>
                <w:b/>
                <w:sz w:val="20"/>
                <w:szCs w:val="20"/>
                <w:lang w:val="es-ES"/>
              </w:rPr>
            </w:pPr>
            <w:r w:rsidRPr="00CB56EC">
              <w:rPr>
                <w:b/>
                <w:sz w:val="20"/>
                <w:szCs w:val="20"/>
                <w:lang w:val="es-ES"/>
              </w:rPr>
              <w:t xml:space="preserve">§§ 3.1 y 3.2 </w:t>
            </w:r>
          </w:p>
          <w:p w14:paraId="76324EF9" w14:textId="77777777" w:rsidR="00CE6409" w:rsidRPr="00CB56EC" w:rsidRDefault="00CE6409" w:rsidP="00CB56EC">
            <w:pPr>
              <w:jc w:val="left"/>
              <w:rPr>
                <w:b/>
                <w:sz w:val="20"/>
                <w:szCs w:val="20"/>
                <w:lang w:val="es-ES"/>
              </w:rPr>
            </w:pPr>
            <w:r w:rsidRPr="00CB56EC">
              <w:rPr>
                <w:b/>
                <w:sz w:val="20"/>
                <w:szCs w:val="20"/>
                <w:lang w:val="es-ES"/>
              </w:rPr>
              <w:t xml:space="preserve">Aprobación del Documento </w:t>
            </w:r>
            <w:hyperlink r:id="rId14" w:history="1">
              <w:r w:rsidRPr="00CB56EC">
                <w:rPr>
                  <w:rStyle w:val="Hyperlink"/>
                  <w:b/>
                  <w:sz w:val="20"/>
                  <w:szCs w:val="20"/>
                  <w:lang w:val="es-ES"/>
                </w:rPr>
                <w:t>485</w:t>
              </w:r>
            </w:hyperlink>
          </w:p>
        </w:tc>
        <w:tc>
          <w:tcPr>
            <w:tcW w:w="10712" w:type="dxa"/>
          </w:tcPr>
          <w:p w14:paraId="030CAC5C" w14:textId="77777777" w:rsidR="00CE6409" w:rsidRPr="00CB56EC" w:rsidRDefault="00CE6409" w:rsidP="00CB56EC">
            <w:pPr>
              <w:spacing w:after="120" w:line="240" w:lineRule="auto"/>
              <w:jc w:val="left"/>
              <w:rPr>
                <w:b/>
                <w:bCs/>
                <w:sz w:val="20"/>
                <w:szCs w:val="20"/>
                <w:lang w:val="es-ES"/>
              </w:rPr>
            </w:pPr>
            <w:r w:rsidRPr="00CB56EC">
              <w:rPr>
                <w:b/>
                <w:bCs/>
                <w:sz w:val="20"/>
                <w:szCs w:val="20"/>
                <w:lang w:val="es-ES"/>
              </w:rPr>
              <w:t>Solicitud de China de mantener en el Registro Internacional las asignaciones de frecuencias a la red CHINASAT-D-163E</w:t>
            </w:r>
          </w:p>
          <w:p w14:paraId="183CE951" w14:textId="77777777" w:rsidR="00CE6409" w:rsidRPr="00CB56EC" w:rsidRDefault="00CE6409" w:rsidP="00CB56EC">
            <w:pPr>
              <w:spacing w:after="120" w:line="240" w:lineRule="auto"/>
              <w:jc w:val="left"/>
              <w:rPr>
                <w:bCs/>
                <w:sz w:val="20"/>
                <w:szCs w:val="20"/>
                <w:lang w:val="es-ES"/>
              </w:rPr>
            </w:pPr>
            <w:r w:rsidRPr="00CB56EC">
              <w:rPr>
                <w:sz w:val="20"/>
                <w:szCs w:val="20"/>
                <w:lang w:val="es-ES"/>
              </w:rPr>
              <w:t>La CMR-23 recibió una solicitud de China para mantener en el Registro Internacional de Frecuencias (MIFR) determinadas asignaciones de frecuencias a la red de satélites CHINASAT</w:t>
            </w:r>
            <w:r w:rsidRPr="00CB56EC">
              <w:rPr>
                <w:sz w:val="20"/>
                <w:szCs w:val="20"/>
                <w:lang w:val="es-ES"/>
              </w:rPr>
              <w:noBreakHyphen/>
              <w:t>D</w:t>
            </w:r>
            <w:r w:rsidRPr="00CB56EC">
              <w:rPr>
                <w:sz w:val="20"/>
                <w:szCs w:val="20"/>
                <w:lang w:val="es-ES"/>
              </w:rPr>
              <w:noBreakHyphen/>
              <w:t xml:space="preserve">163E. La Junta del Reglamento de Radiocomunicaciones (la Junta) examinó los pormenores del caso en su 88ª reunión y, basándose en la información facilitada, la Junta consideró que la Oficina había actuado correctamente en la aplicación de los números </w:t>
            </w:r>
            <w:r w:rsidRPr="00CB56EC">
              <w:rPr>
                <w:b/>
                <w:bCs/>
                <w:sz w:val="20"/>
                <w:szCs w:val="20"/>
                <w:lang w:val="es-ES"/>
              </w:rPr>
              <w:t>11.44</w:t>
            </w:r>
            <w:r w:rsidRPr="00CB56EC">
              <w:rPr>
                <w:sz w:val="20"/>
                <w:szCs w:val="20"/>
                <w:lang w:val="es-ES"/>
              </w:rPr>
              <w:t xml:space="preserve">, </w:t>
            </w:r>
            <w:r w:rsidRPr="00CB56EC">
              <w:rPr>
                <w:b/>
                <w:bCs/>
                <w:sz w:val="20"/>
                <w:szCs w:val="20"/>
                <w:lang w:val="es-ES"/>
              </w:rPr>
              <w:t>11.44B</w:t>
            </w:r>
            <w:r w:rsidRPr="00CB56EC">
              <w:rPr>
                <w:sz w:val="20"/>
                <w:szCs w:val="20"/>
                <w:lang w:val="es-ES"/>
              </w:rPr>
              <w:t xml:space="preserve"> y </w:t>
            </w:r>
            <w:r w:rsidRPr="00CB56EC">
              <w:rPr>
                <w:b/>
                <w:bCs/>
                <w:sz w:val="20"/>
                <w:szCs w:val="20"/>
                <w:lang w:val="es-ES"/>
              </w:rPr>
              <w:t>11.44B.2</w:t>
            </w:r>
            <w:r w:rsidRPr="00CB56EC">
              <w:rPr>
                <w:sz w:val="20"/>
                <w:szCs w:val="20"/>
                <w:lang w:val="es-ES"/>
              </w:rPr>
              <w:t xml:space="preserve"> del RR, que la Administración de China no había actuado de conformidad con el número </w:t>
            </w:r>
            <w:r w:rsidRPr="00CB56EC">
              <w:rPr>
                <w:b/>
                <w:bCs/>
                <w:sz w:val="20"/>
                <w:szCs w:val="20"/>
                <w:lang w:val="es-ES"/>
              </w:rPr>
              <w:t>11.44B.2</w:t>
            </w:r>
            <w:r w:rsidRPr="00CB56EC">
              <w:rPr>
                <w:sz w:val="20"/>
                <w:szCs w:val="20"/>
                <w:lang w:val="es-ES"/>
              </w:rPr>
              <w:t xml:space="preserve"> del RR y que el restablecimiento de asignaciones de frecuencias que no cumplen el número </w:t>
            </w:r>
            <w:r w:rsidRPr="00CB56EC">
              <w:rPr>
                <w:b/>
                <w:bCs/>
                <w:sz w:val="20"/>
                <w:szCs w:val="20"/>
                <w:lang w:val="es-ES"/>
              </w:rPr>
              <w:t>11.44B.2</w:t>
            </w:r>
            <w:r w:rsidRPr="00CB56EC">
              <w:rPr>
                <w:sz w:val="20"/>
                <w:szCs w:val="20"/>
                <w:lang w:val="es-ES"/>
              </w:rPr>
              <w:t xml:space="preserve"> del RR sería contrario a la decisión de la CMR-15 y a las disposiciones del Reglamento de Radiocomunicaciones. En consecuencia, la Junta llegó a la conclusión de que no podía acceder a la petición de la Administración de China y encargó a la Oficina que suprimiera del MIFR las asignaciones de frecuencias a la red de satélites CHINASAT-D-163E, excepto las asignaciones de frecuencias a la red de satélites CHINASAT-D-163E en las bandas de frecuencias 3 400-4 200 MHz, 5 850-6 725 MHz, 12 250-12 750 GHz y 14 000-14 500 GHz, cuya supresión debía aplazarse hasta el final de la CMR-23</w:t>
            </w:r>
            <w:r w:rsidRPr="00CB56EC">
              <w:rPr>
                <w:bCs/>
                <w:sz w:val="20"/>
                <w:szCs w:val="20"/>
                <w:lang w:val="es-ES"/>
              </w:rPr>
              <w:t>.</w:t>
            </w:r>
          </w:p>
          <w:p w14:paraId="73CF7C20" w14:textId="77777777" w:rsidR="00CE6409" w:rsidRPr="00CB56EC" w:rsidRDefault="00CE6409" w:rsidP="00CB56EC">
            <w:pPr>
              <w:spacing w:after="120" w:line="240" w:lineRule="auto"/>
              <w:jc w:val="left"/>
              <w:rPr>
                <w:sz w:val="20"/>
                <w:szCs w:val="20"/>
                <w:lang w:val="es-ES"/>
              </w:rPr>
            </w:pPr>
            <w:r w:rsidRPr="00CB56EC">
              <w:rPr>
                <w:sz w:val="20"/>
                <w:szCs w:val="20"/>
                <w:lang w:val="es-ES"/>
              </w:rPr>
              <w:t xml:space="preserve">Se </w:t>
            </w:r>
            <w:r w:rsidRPr="00CB56EC">
              <w:rPr>
                <w:b/>
                <w:bCs/>
                <w:sz w:val="20"/>
                <w:szCs w:val="20"/>
                <w:lang w:val="es-ES"/>
              </w:rPr>
              <w:t xml:space="preserve">aprueba </w:t>
            </w:r>
            <w:r w:rsidRPr="00CB56EC">
              <w:rPr>
                <w:sz w:val="20"/>
                <w:szCs w:val="20"/>
                <w:lang w:val="es-ES"/>
              </w:rPr>
              <w:t>el Documento 485.</w:t>
            </w:r>
          </w:p>
          <w:p w14:paraId="79D9D534" w14:textId="58D01EAD" w:rsidR="00CE6409" w:rsidRPr="00CB56EC" w:rsidRDefault="00CE6409" w:rsidP="00CB56EC">
            <w:pPr>
              <w:ind w:left="720"/>
              <w:jc w:val="left"/>
              <w:rPr>
                <w:sz w:val="20"/>
                <w:szCs w:val="20"/>
                <w:lang w:val="es-ES"/>
              </w:rPr>
            </w:pPr>
            <w:r w:rsidRPr="00CB56EC">
              <w:rPr>
                <w:sz w:val="20"/>
                <w:szCs w:val="20"/>
                <w:lang w:val="es-ES"/>
              </w:rPr>
              <w:lastRenderedPageBreak/>
              <w:t>«…</w:t>
            </w:r>
          </w:p>
          <w:p w14:paraId="6412B868" w14:textId="30C2B5F1" w:rsidR="00CE6409" w:rsidRPr="00CB56EC" w:rsidRDefault="00CE6409" w:rsidP="00CB56EC">
            <w:pPr>
              <w:ind w:left="720"/>
              <w:jc w:val="left"/>
              <w:rPr>
                <w:sz w:val="20"/>
                <w:szCs w:val="20"/>
                <w:lang w:val="es-ES"/>
              </w:rPr>
            </w:pPr>
            <w:r w:rsidRPr="00CB56EC">
              <w:rPr>
                <w:sz w:val="20"/>
                <w:szCs w:val="20"/>
                <w:lang w:val="es-ES"/>
              </w:rPr>
              <w:t>De la propuesta presentada a esta CMR se reconoce que durante el periodo de 7 años de la red de satélites CHINASAT-D-163E (163° E), China presentó la información necesaria para la publicación anticipada, la coordinación y la notificación, así como la información de la Resolución </w:t>
            </w:r>
            <w:r w:rsidRPr="00CB56EC">
              <w:rPr>
                <w:b/>
                <w:bCs/>
                <w:sz w:val="20"/>
                <w:szCs w:val="20"/>
                <w:lang w:val="es-ES"/>
              </w:rPr>
              <w:t>49 (Rev.CMR-19)</w:t>
            </w:r>
            <w:r w:rsidRPr="00CB56EC">
              <w:rPr>
                <w:sz w:val="20"/>
                <w:szCs w:val="20"/>
                <w:lang w:val="es-ES" w:eastAsia="zh-CN"/>
              </w:rPr>
              <w:t xml:space="preserve">. En un plazo de 30 días después de que los satélites correspondientes hubieran estado en órbita durante un periodo ininterrumpido de 90 días, se notificó oportunamente la información relativa a la puesta en servicio de las asignaciones de frecuencias y la información de la Resolución </w:t>
            </w:r>
            <w:r w:rsidRPr="00CB56EC">
              <w:rPr>
                <w:b/>
                <w:bCs/>
                <w:sz w:val="20"/>
                <w:szCs w:val="20"/>
                <w:lang w:val="es-ES" w:eastAsia="zh-CN"/>
              </w:rPr>
              <w:t>40</w:t>
            </w:r>
            <w:r w:rsidRPr="00CB56EC">
              <w:rPr>
                <w:sz w:val="20"/>
                <w:szCs w:val="20"/>
                <w:lang w:val="es-ES" w:eastAsia="zh-CN"/>
              </w:rPr>
              <w:t xml:space="preserve"> </w:t>
            </w:r>
            <w:r w:rsidRPr="00CB56EC">
              <w:rPr>
                <w:b/>
                <w:bCs/>
                <w:sz w:val="20"/>
                <w:szCs w:val="20"/>
                <w:lang w:val="es-ES" w:eastAsia="zh-CN"/>
              </w:rPr>
              <w:t>(Rev.CMR</w:t>
            </w:r>
            <w:r w:rsidR="00994B5F" w:rsidRPr="00CB56EC">
              <w:rPr>
                <w:b/>
                <w:bCs/>
                <w:sz w:val="20"/>
                <w:szCs w:val="20"/>
                <w:lang w:val="es-ES" w:eastAsia="zh-CN"/>
              </w:rPr>
              <w:noBreakHyphen/>
            </w:r>
            <w:r w:rsidRPr="00CB56EC">
              <w:rPr>
                <w:b/>
                <w:bCs/>
                <w:sz w:val="20"/>
                <w:szCs w:val="20"/>
                <w:lang w:val="es-ES" w:eastAsia="zh-CN"/>
              </w:rPr>
              <w:t>19)</w:t>
            </w:r>
            <w:r w:rsidRPr="00CB56EC">
              <w:rPr>
                <w:sz w:val="20"/>
                <w:szCs w:val="20"/>
                <w:lang w:val="es-ES" w:eastAsia="zh-CN"/>
              </w:rPr>
              <w:t>. Sin embargo, debido a que se produjo una avería en órbita que obligó a sacar al satélite APSTAR-6 de su órbita unos meses antes de que se presentara la información de notificación, la Junta llegó a la conclusión de que se debía aplazar hasta el final de la CMR-23 la supresión de las asignaciones de frecuencia pertinentes a la red de satélites CHINASAT-D-163E</w:t>
            </w:r>
            <w:r w:rsidRPr="00CB56EC">
              <w:rPr>
                <w:sz w:val="20"/>
                <w:szCs w:val="20"/>
                <w:lang w:val="es-ES"/>
              </w:rPr>
              <w:t>.</w:t>
            </w:r>
          </w:p>
          <w:p w14:paraId="5527DDA6" w14:textId="77777777" w:rsidR="00CE6409" w:rsidRPr="00CB56EC" w:rsidRDefault="00CE6409" w:rsidP="00CB56EC">
            <w:pPr>
              <w:ind w:left="720"/>
              <w:jc w:val="left"/>
              <w:rPr>
                <w:sz w:val="20"/>
                <w:szCs w:val="20"/>
                <w:lang w:val="es-ES"/>
              </w:rPr>
            </w:pPr>
            <w:r w:rsidRPr="00CB56EC">
              <w:rPr>
                <w:sz w:val="20"/>
                <w:szCs w:val="20"/>
                <w:lang w:val="es-ES"/>
              </w:rPr>
              <w:t xml:space="preserve">Al examinar esta solicitud, la CMR-23 consideró que la Junta había actuado correctamente en su 88ª reunión. Además, se reconoció que China ha realizado grandes esfuerzos para llevar a buen término la coordinación requerida para las redes de satélites en 163° E y ha logrado acuerdos de coordinación con varias administraciones, especialmente con importantes redes de satélites adyacentes al segmento orbital 163° E, como las redes de satélites de las Administraciones de Japón en 162° E, y de Australia en 164° E, con un sólo grado de separación orbital. Asimismo, se observó que el satélite CHINASAT 19 se lanzó con éxito el 5 de noviembre de 2022 y se situó alrededor de 163° E el 12 de noviembre. Se han actualizado las características de las asignaciones de frecuencias a la red de satélites CHINASAT-D-163E, comparadas con las ya inscritas en el Registro en 163° E, a fin de adaptarlas y dar soporte al satélite de comunicaciones de banda ancha de próxima generación CHINASAT 19, y el satélite ha estado en funcionamiento después de completar las pruebas en órbita sin que ninguna otra administración haya indicado dificultades en materia de coordinación o interferencia con el funcionamiento de este satélite. </w:t>
            </w:r>
          </w:p>
          <w:p w14:paraId="22095AA7" w14:textId="77777777" w:rsidR="00CE6409" w:rsidRPr="00CB56EC" w:rsidRDefault="00CE6409" w:rsidP="00CB56EC">
            <w:pPr>
              <w:ind w:left="720"/>
              <w:jc w:val="left"/>
              <w:rPr>
                <w:sz w:val="20"/>
                <w:szCs w:val="20"/>
                <w:lang w:val="es-ES"/>
              </w:rPr>
            </w:pPr>
            <w:r w:rsidRPr="00CB56EC">
              <w:rPr>
                <w:sz w:val="20"/>
                <w:szCs w:val="20"/>
                <w:lang w:val="es-ES"/>
              </w:rPr>
              <w:t>Australia planteó la cuestión de que algunas redes de Australia podrían verse afectadas, pero en las conversaciones con China este asunto se resolvió satisfactoriamente para ambas partes.</w:t>
            </w:r>
          </w:p>
          <w:p w14:paraId="4B9C585A" w14:textId="77777777" w:rsidR="00CE6409" w:rsidRPr="00CB56EC" w:rsidRDefault="00CE6409" w:rsidP="00CB56EC">
            <w:pPr>
              <w:ind w:left="720"/>
              <w:jc w:val="left"/>
              <w:rPr>
                <w:sz w:val="20"/>
                <w:szCs w:val="20"/>
                <w:lang w:val="es-ES"/>
              </w:rPr>
            </w:pPr>
            <w:r w:rsidRPr="00CB56EC">
              <w:rPr>
                <w:sz w:val="20"/>
                <w:szCs w:val="20"/>
                <w:lang w:val="es-ES"/>
              </w:rPr>
              <w:t>Otras administraciones examinaron este asunto y se manifestaron a favor de mantener en el Registro Internacional la red de satélites CHINASAT-D-163E.</w:t>
            </w:r>
          </w:p>
          <w:p w14:paraId="49F75E7D" w14:textId="59772A3D" w:rsidR="00CE6409" w:rsidRPr="00CB56EC" w:rsidRDefault="00CE6409" w:rsidP="00CB56EC">
            <w:pPr>
              <w:ind w:left="720"/>
              <w:jc w:val="left"/>
              <w:rPr>
                <w:sz w:val="20"/>
                <w:szCs w:val="20"/>
                <w:lang w:val="es-ES"/>
              </w:rPr>
            </w:pPr>
            <w:r w:rsidRPr="00CB56EC">
              <w:rPr>
                <w:sz w:val="20"/>
                <w:szCs w:val="20"/>
                <w:lang w:val="es-ES"/>
              </w:rPr>
              <w:t>Habida cuenta toda esta información, la CMR-23 accedió a la solicitud de China de mantener en el Registro Internacional las asignaciones de frecuencias a la red de satélites CHINASAT</w:t>
            </w:r>
            <w:r w:rsidRPr="00CB56EC">
              <w:rPr>
                <w:sz w:val="20"/>
                <w:szCs w:val="20"/>
                <w:lang w:val="es-ES"/>
              </w:rPr>
              <w:noBreakHyphen/>
              <w:t>D</w:t>
            </w:r>
            <w:r w:rsidRPr="00CB56EC">
              <w:rPr>
                <w:sz w:val="20"/>
                <w:szCs w:val="20"/>
                <w:lang w:val="es-ES"/>
              </w:rPr>
              <w:noBreakHyphen/>
              <w:t>163E en las bandas de frecuencias 3 400-4 200 MHz, 5 850</w:t>
            </w:r>
            <w:r w:rsidRPr="00CB56EC">
              <w:rPr>
                <w:sz w:val="20"/>
                <w:szCs w:val="20"/>
                <w:lang w:val="es-ES"/>
              </w:rPr>
              <w:noBreakHyphen/>
              <w:t>6 725 MHz, 12,25 </w:t>
            </w:r>
            <w:r w:rsidRPr="00CB56EC">
              <w:rPr>
                <w:sz w:val="20"/>
                <w:szCs w:val="20"/>
                <w:lang w:val="es-ES"/>
              </w:rPr>
              <w:noBreakHyphen/>
              <w:t>12,75 GHz y 14</w:t>
            </w:r>
            <w:r w:rsidRPr="00CB56EC">
              <w:rPr>
                <w:sz w:val="20"/>
                <w:szCs w:val="20"/>
                <w:lang w:val="es-ES"/>
              </w:rPr>
              <w:noBreakHyphen/>
              <w:t>14,5 GHz</w:t>
            </w:r>
            <w:r w:rsidRPr="00CB56EC">
              <w:rPr>
                <w:sz w:val="20"/>
                <w:szCs w:val="20"/>
                <w:lang w:val="es-ES" w:eastAsia="zh-CN"/>
              </w:rPr>
              <w:t>.</w:t>
            </w:r>
            <w:r w:rsidRPr="00CB56EC">
              <w:rPr>
                <w:bCs/>
                <w:sz w:val="20"/>
                <w:szCs w:val="20"/>
                <w:lang w:val="es-ES"/>
              </w:rPr>
              <w:t>»</w:t>
            </w:r>
          </w:p>
        </w:tc>
      </w:tr>
      <w:tr w:rsidR="00CE6409" w:rsidRPr="0067605C" w14:paraId="207A6B50" w14:textId="77777777" w:rsidTr="00662D47">
        <w:trPr>
          <w:trHeight w:val="1139"/>
        </w:trPr>
        <w:tc>
          <w:tcPr>
            <w:tcW w:w="1838" w:type="dxa"/>
          </w:tcPr>
          <w:p w14:paraId="7C438CCC" w14:textId="42C7185B" w:rsidR="00CE6409" w:rsidRPr="00CB56EC" w:rsidRDefault="00CE6409" w:rsidP="00CB56EC">
            <w:pPr>
              <w:jc w:val="left"/>
              <w:rPr>
                <w:b/>
                <w:sz w:val="20"/>
                <w:szCs w:val="20"/>
                <w:lang w:val="es-ES"/>
              </w:rPr>
            </w:pPr>
            <w:r w:rsidRPr="00CB56EC">
              <w:rPr>
                <w:b/>
                <w:sz w:val="20"/>
                <w:szCs w:val="20"/>
                <w:lang w:val="es-ES"/>
              </w:rPr>
              <w:lastRenderedPageBreak/>
              <w:t xml:space="preserve">Documento </w:t>
            </w:r>
            <w:r w:rsidR="0067605C">
              <w:fldChar w:fldCharType="begin"/>
            </w:r>
            <w:r w:rsidR="0067605C" w:rsidRPr="0067605C">
              <w:rPr>
                <w:lang w:val="fr-FR"/>
              </w:rPr>
              <w:instrText>HYPERLINK "https://www.itu.int/md/R23-WRC23-C-0526/en"</w:instrText>
            </w:r>
            <w:r w:rsidR="0067605C">
              <w:fldChar w:fldCharType="separate"/>
            </w:r>
            <w:r w:rsidRPr="00CB56EC">
              <w:rPr>
                <w:rStyle w:val="Hyperlink"/>
                <w:b/>
                <w:sz w:val="20"/>
                <w:szCs w:val="20"/>
                <w:lang w:val="es-ES"/>
              </w:rPr>
              <w:t>CMR23/526</w:t>
            </w:r>
            <w:r w:rsidR="0067605C">
              <w:rPr>
                <w:rStyle w:val="Hyperlink"/>
                <w:b/>
                <w:sz w:val="20"/>
                <w:szCs w:val="20"/>
                <w:lang w:val="es-ES"/>
              </w:rPr>
              <w:fldChar w:fldCharType="end"/>
            </w:r>
            <w:r w:rsidRPr="00CB56EC">
              <w:rPr>
                <w:b/>
                <w:sz w:val="20"/>
                <w:szCs w:val="20"/>
                <w:lang w:val="es-ES"/>
              </w:rPr>
              <w:t xml:space="preserve"> – Actas de la undécima Sesión Plenaria</w:t>
            </w:r>
          </w:p>
        </w:tc>
        <w:tc>
          <w:tcPr>
            <w:tcW w:w="1733" w:type="dxa"/>
          </w:tcPr>
          <w:p w14:paraId="467D64B9" w14:textId="77777777" w:rsidR="00CE6409" w:rsidRPr="00CB56EC" w:rsidRDefault="00CE6409" w:rsidP="00CB56EC">
            <w:pPr>
              <w:spacing w:after="120" w:line="240" w:lineRule="auto"/>
              <w:jc w:val="left"/>
              <w:rPr>
                <w:b/>
                <w:sz w:val="20"/>
                <w:szCs w:val="20"/>
                <w:lang w:val="es-ES"/>
              </w:rPr>
            </w:pPr>
            <w:r w:rsidRPr="00CB56EC">
              <w:rPr>
                <w:b/>
                <w:sz w:val="20"/>
                <w:szCs w:val="20"/>
                <w:lang w:val="es-ES"/>
              </w:rPr>
              <w:t>§§ 2.1 y 2.2</w:t>
            </w:r>
          </w:p>
          <w:p w14:paraId="538DD55D" w14:textId="77777777" w:rsidR="00CE6409" w:rsidRPr="00CB56EC" w:rsidRDefault="00CE6409" w:rsidP="00CB56EC">
            <w:pPr>
              <w:spacing w:after="120" w:line="240" w:lineRule="auto"/>
              <w:jc w:val="left"/>
              <w:rPr>
                <w:b/>
                <w:sz w:val="20"/>
                <w:szCs w:val="20"/>
                <w:lang w:val="es-ES"/>
              </w:rPr>
            </w:pPr>
            <w:r w:rsidRPr="00CB56EC">
              <w:rPr>
                <w:b/>
                <w:sz w:val="20"/>
                <w:szCs w:val="20"/>
                <w:lang w:val="es-ES"/>
              </w:rPr>
              <w:t xml:space="preserve">Aprobación del Documento </w:t>
            </w:r>
            <w:hyperlink r:id="rId15" w:history="1">
              <w:r w:rsidRPr="00CB56EC">
                <w:rPr>
                  <w:rStyle w:val="Hyperlink"/>
                  <w:b/>
                  <w:sz w:val="20"/>
                  <w:szCs w:val="20"/>
                  <w:lang w:val="es-ES"/>
                </w:rPr>
                <w:t>497</w:t>
              </w:r>
            </w:hyperlink>
          </w:p>
        </w:tc>
        <w:tc>
          <w:tcPr>
            <w:tcW w:w="10712" w:type="dxa"/>
          </w:tcPr>
          <w:p w14:paraId="033F278E" w14:textId="77777777" w:rsidR="00CE6409" w:rsidRPr="00CB56EC" w:rsidRDefault="00CE6409" w:rsidP="00CB56EC">
            <w:pPr>
              <w:jc w:val="left"/>
              <w:rPr>
                <w:b/>
                <w:bCs/>
                <w:sz w:val="20"/>
                <w:szCs w:val="20"/>
                <w:lang w:val="es-ES"/>
              </w:rPr>
            </w:pPr>
            <w:r w:rsidRPr="00CB56EC">
              <w:rPr>
                <w:b/>
                <w:bCs/>
                <w:sz w:val="20"/>
                <w:szCs w:val="20"/>
                <w:lang w:val="es-ES"/>
              </w:rPr>
              <w:t>Prácticas idóneas para los estudios del UIT-R relativos a los puntos del orden del día de la CMR</w:t>
            </w:r>
          </w:p>
          <w:p w14:paraId="28DD331A" w14:textId="77777777" w:rsidR="00CE6409" w:rsidRPr="00CB56EC" w:rsidRDefault="00CE6409" w:rsidP="00CB56EC">
            <w:pPr>
              <w:pStyle w:val="Headingb"/>
              <w:spacing w:before="120" w:after="120"/>
              <w:ind w:left="14" w:hanging="14"/>
              <w:jc w:val="left"/>
              <w:rPr>
                <w:b w:val="0"/>
                <w:bCs/>
                <w:sz w:val="20"/>
                <w:szCs w:val="20"/>
                <w:lang w:val="es-ES"/>
              </w:rPr>
            </w:pPr>
            <w:r w:rsidRPr="00CB56EC">
              <w:rPr>
                <w:b w:val="0"/>
                <w:bCs/>
                <w:sz w:val="20"/>
                <w:szCs w:val="20"/>
                <w:lang w:val="es-ES"/>
              </w:rPr>
              <w:t xml:space="preserve">La CMR-23 </w:t>
            </w:r>
            <w:r w:rsidRPr="00CB56EC">
              <w:rPr>
                <w:b w:val="0"/>
                <w:bCs/>
                <w:i/>
                <w:iCs/>
                <w:sz w:val="20"/>
                <w:szCs w:val="20"/>
                <w:lang w:val="es-ES"/>
              </w:rPr>
              <w:t xml:space="preserve">consideró </w:t>
            </w:r>
            <w:r w:rsidRPr="00CB56EC">
              <w:rPr>
                <w:b w:val="0"/>
                <w:bCs/>
                <w:sz w:val="20"/>
                <w:szCs w:val="20"/>
                <w:lang w:val="es-ES"/>
              </w:rPr>
              <w:t>lo siguiente:</w:t>
            </w:r>
          </w:p>
          <w:p w14:paraId="48FE2EFC" w14:textId="77777777" w:rsidR="00CE6409" w:rsidRPr="00CB56EC" w:rsidRDefault="00CE6409" w:rsidP="00CB56EC">
            <w:pPr>
              <w:jc w:val="left"/>
              <w:rPr>
                <w:sz w:val="20"/>
                <w:szCs w:val="20"/>
                <w:lang w:val="es-ES"/>
              </w:rPr>
            </w:pPr>
            <w:r w:rsidRPr="00CB56EC">
              <w:rPr>
                <w:i/>
                <w:iCs/>
                <w:sz w:val="20"/>
                <w:szCs w:val="20"/>
                <w:lang w:val="es-ES"/>
              </w:rPr>
              <w:t>a)</w:t>
            </w:r>
            <w:r w:rsidRPr="00CB56EC">
              <w:rPr>
                <w:sz w:val="20"/>
                <w:szCs w:val="20"/>
                <w:lang w:val="es-ES"/>
              </w:rPr>
              <w:tab/>
              <w:t>que es necesario, al inicio de los estudios del UIT-R pertinentes para los puntos del orden del día de la Conferencia Mundial de Radiocomunicaciones (CMR), llegar a un acuerdo respecto de las hipótesis de compartición y compatibilidad, los criterios de protección, los casos de compartición y el proceso metodológico a fin de proceder con dichos estudios del UIT-R;</w:t>
            </w:r>
            <w:bookmarkStart w:id="4" w:name="_Hlk152661828"/>
            <w:bookmarkEnd w:id="4"/>
          </w:p>
          <w:p w14:paraId="5A5D4F6A" w14:textId="77777777" w:rsidR="00CE6409" w:rsidRPr="00CB56EC" w:rsidRDefault="00CE6409" w:rsidP="00CB56EC">
            <w:pPr>
              <w:jc w:val="left"/>
              <w:rPr>
                <w:sz w:val="20"/>
                <w:szCs w:val="20"/>
                <w:lang w:val="es-ES"/>
              </w:rPr>
            </w:pPr>
            <w:r w:rsidRPr="00CB56EC">
              <w:rPr>
                <w:i/>
                <w:iCs/>
                <w:sz w:val="20"/>
                <w:szCs w:val="20"/>
                <w:lang w:val="es-ES"/>
              </w:rPr>
              <w:t>b)</w:t>
            </w:r>
            <w:r w:rsidRPr="00CB56EC">
              <w:rPr>
                <w:sz w:val="20"/>
                <w:szCs w:val="20"/>
                <w:lang w:val="es-ES"/>
              </w:rPr>
              <w:tab/>
              <w:t>que los estudios del UIT-R sobre compartición y compatibilidad pertinentes para los puntos del orden del día de la CMR que se basan en distintas hipótesis y parámetros de entrada pueden conducir a resultados divergentes;</w:t>
            </w:r>
          </w:p>
          <w:p w14:paraId="48BC757E" w14:textId="77777777" w:rsidR="00CE6409" w:rsidRPr="00CB56EC" w:rsidRDefault="00CE6409" w:rsidP="00CB56EC">
            <w:pPr>
              <w:jc w:val="left"/>
              <w:rPr>
                <w:sz w:val="20"/>
                <w:szCs w:val="20"/>
                <w:lang w:val="es-ES"/>
              </w:rPr>
            </w:pPr>
            <w:r w:rsidRPr="00CB56EC">
              <w:rPr>
                <w:i/>
                <w:iCs/>
                <w:sz w:val="20"/>
                <w:szCs w:val="20"/>
                <w:lang w:val="es-ES"/>
              </w:rPr>
              <w:t>c)</w:t>
            </w:r>
            <w:r w:rsidRPr="00CB56EC">
              <w:rPr>
                <w:sz w:val="20"/>
                <w:szCs w:val="20"/>
                <w:lang w:val="es-ES"/>
              </w:rPr>
              <w:tab/>
              <w:t>que es difícil o poco práctico para los Grupos de Trabajo o Grupos de Tareas Especiales del UIT-R encargados de preparar los estudios del UIT-R pertinentes para los puntos del orden del día de la CMR reflejar adecuadamente los resultados de dichos estudios en lo que respecta a los métodos para responder al punto del orden del día de la CMR correspondiente;</w:t>
            </w:r>
          </w:p>
          <w:p w14:paraId="00F43067" w14:textId="77777777" w:rsidR="00CE6409" w:rsidRPr="00CB56EC" w:rsidRDefault="00CE6409" w:rsidP="00CB56EC">
            <w:pPr>
              <w:pStyle w:val="Headingb"/>
              <w:spacing w:before="120" w:after="120"/>
              <w:ind w:left="14" w:hanging="14"/>
              <w:jc w:val="left"/>
              <w:rPr>
                <w:b w:val="0"/>
                <w:bCs/>
                <w:sz w:val="20"/>
                <w:szCs w:val="20"/>
                <w:lang w:val="es-ES"/>
              </w:rPr>
            </w:pPr>
            <w:r w:rsidRPr="00CB56EC">
              <w:rPr>
                <w:b w:val="0"/>
                <w:bCs/>
                <w:i/>
                <w:iCs/>
                <w:sz w:val="20"/>
                <w:szCs w:val="20"/>
                <w:lang w:val="es-ES"/>
              </w:rPr>
              <w:t>d)</w:t>
            </w:r>
            <w:r w:rsidRPr="00CB56EC">
              <w:rPr>
                <w:b w:val="0"/>
                <w:bCs/>
                <w:sz w:val="20"/>
                <w:szCs w:val="20"/>
                <w:lang w:val="es-ES"/>
              </w:rPr>
              <w:tab/>
              <w:t>que convendría tener en cuenta los estudios de compartición y compatibilidad de ciclos anteriores para evitar la repetición de estudios ya realizados,</w:t>
            </w:r>
          </w:p>
          <w:p w14:paraId="32F199CA" w14:textId="77777777" w:rsidR="00CE6409" w:rsidRPr="00CB56EC" w:rsidRDefault="00CE6409" w:rsidP="00CB56EC">
            <w:pPr>
              <w:pStyle w:val="Headingb"/>
              <w:spacing w:before="120" w:after="120"/>
              <w:ind w:left="734" w:hanging="14"/>
              <w:jc w:val="left"/>
              <w:rPr>
                <w:b w:val="0"/>
                <w:bCs/>
                <w:i/>
                <w:iCs/>
                <w:sz w:val="20"/>
                <w:szCs w:val="20"/>
                <w:lang w:val="es-ES"/>
              </w:rPr>
            </w:pPr>
            <w:r w:rsidRPr="00CB56EC">
              <w:rPr>
                <w:b w:val="0"/>
                <w:bCs/>
                <w:i/>
                <w:iCs/>
                <w:sz w:val="20"/>
                <w:szCs w:val="20"/>
                <w:lang w:val="es-ES"/>
              </w:rPr>
              <w:t xml:space="preserve">y decide encargar al </w:t>
            </w:r>
            <w:proofErr w:type="gramStart"/>
            <w:r w:rsidRPr="00CB56EC">
              <w:rPr>
                <w:b w:val="0"/>
                <w:bCs/>
                <w:i/>
                <w:iCs/>
                <w:sz w:val="20"/>
                <w:szCs w:val="20"/>
                <w:lang w:val="es-ES"/>
              </w:rPr>
              <w:t>Director</w:t>
            </w:r>
            <w:proofErr w:type="gramEnd"/>
            <w:r w:rsidRPr="00CB56EC">
              <w:rPr>
                <w:b w:val="0"/>
                <w:bCs/>
                <w:i/>
                <w:iCs/>
                <w:sz w:val="20"/>
                <w:szCs w:val="20"/>
                <w:lang w:val="es-ES"/>
              </w:rPr>
              <w:t xml:space="preserve"> de la Oficina de Radiocomunicaciones </w:t>
            </w:r>
          </w:p>
          <w:p w14:paraId="79A5A0F7" w14:textId="5878E9DE" w:rsidR="00CE6409" w:rsidRPr="00CB56EC" w:rsidRDefault="00CE6409" w:rsidP="00CB56EC">
            <w:pPr>
              <w:jc w:val="left"/>
              <w:rPr>
                <w:sz w:val="20"/>
                <w:szCs w:val="20"/>
                <w:lang w:val="es-ES"/>
              </w:rPr>
            </w:pPr>
            <w:r w:rsidRPr="00CB56EC">
              <w:rPr>
                <w:sz w:val="20"/>
                <w:szCs w:val="20"/>
                <w:lang w:val="es-ES"/>
              </w:rPr>
              <w:t>que señale las mejores prácticas que figuran a continuación a la atención de la primera sesión de la RPC y de los Grupos de Trabajo del UIT-R encargados de la realización de los estudios pertinentes para los puntos del orden del día de la CMR, o que contribuyen a ellos, así como de la siguiente Asamblea de Radiocomunicaciones para sus trabajos relativos a la Resolución</w:t>
            </w:r>
            <w:r w:rsidR="00462968">
              <w:rPr>
                <w:sz w:val="20"/>
                <w:szCs w:val="20"/>
                <w:lang w:val="es-ES"/>
              </w:rPr>
              <w:t> </w:t>
            </w:r>
            <w:r w:rsidRPr="00CB56EC">
              <w:rPr>
                <w:sz w:val="20"/>
                <w:szCs w:val="20"/>
                <w:lang w:val="es-ES"/>
              </w:rPr>
              <w:t>UIT</w:t>
            </w:r>
            <w:r w:rsidR="00462968">
              <w:rPr>
                <w:sz w:val="20"/>
                <w:szCs w:val="20"/>
                <w:lang w:val="es-ES"/>
              </w:rPr>
              <w:noBreakHyphen/>
            </w:r>
            <w:r w:rsidRPr="00CB56EC">
              <w:rPr>
                <w:sz w:val="20"/>
                <w:szCs w:val="20"/>
                <w:lang w:val="es-ES"/>
              </w:rPr>
              <w:t>R 2:</w:t>
            </w:r>
          </w:p>
          <w:p w14:paraId="621D0D1E" w14:textId="77777777" w:rsidR="00CE6409" w:rsidRPr="00CB56EC" w:rsidRDefault="00CE6409" w:rsidP="00CB56EC">
            <w:pPr>
              <w:jc w:val="left"/>
              <w:rPr>
                <w:bCs/>
                <w:sz w:val="20"/>
                <w:szCs w:val="20"/>
                <w:lang w:val="es-ES"/>
              </w:rPr>
            </w:pPr>
            <w:r w:rsidRPr="00CB56EC">
              <w:rPr>
                <w:sz w:val="20"/>
                <w:szCs w:val="20"/>
                <w:lang w:val="es-ES"/>
              </w:rPr>
              <w:t>1</w:t>
            </w:r>
            <w:r w:rsidRPr="00CB56EC">
              <w:rPr>
                <w:sz w:val="20"/>
                <w:szCs w:val="20"/>
                <w:lang w:val="es-ES"/>
              </w:rPr>
              <w:tab/>
              <w:t xml:space="preserve">determinar (por conducto de la Reunión Preparatoria de la Conferencia (RPC) o el grupo encargado, según proceda) la fecha en que los Grupos del UIT-R contribuyentes habrán de facilitar las características técnicas y operativas y los criterios de protección conexos que se necesitan en relación con sus servicios establecidos para realizar los estudios de compartición y compatibilidad que exigen los </w:t>
            </w:r>
            <w:r w:rsidRPr="00CB56EC">
              <w:rPr>
                <w:i/>
                <w:iCs/>
                <w:sz w:val="20"/>
                <w:szCs w:val="20"/>
                <w:lang w:val="es-ES"/>
              </w:rPr>
              <w:t>resuelve</w:t>
            </w:r>
            <w:r w:rsidRPr="00CB56EC">
              <w:rPr>
                <w:sz w:val="20"/>
                <w:szCs w:val="20"/>
                <w:lang w:val="es-ES"/>
              </w:rPr>
              <w:t xml:space="preserve"> de las Resoluciones en que se define un punto del orden del día de la CMR en sus reuniones iniciales del ciclo de estudios de la CMR;</w:t>
            </w:r>
          </w:p>
          <w:p w14:paraId="0F8D10FE" w14:textId="77777777" w:rsidR="00CE6409" w:rsidRPr="00CB56EC" w:rsidRDefault="00CE6409" w:rsidP="00CB56EC">
            <w:pPr>
              <w:jc w:val="left"/>
              <w:rPr>
                <w:sz w:val="20"/>
                <w:szCs w:val="20"/>
                <w:lang w:val="es-ES"/>
              </w:rPr>
            </w:pPr>
            <w:r w:rsidRPr="00CB56EC">
              <w:rPr>
                <w:sz w:val="20"/>
                <w:szCs w:val="20"/>
                <w:lang w:val="es-ES"/>
              </w:rPr>
              <w:t>2</w:t>
            </w:r>
            <w:r w:rsidRPr="00CB56EC">
              <w:rPr>
                <w:sz w:val="20"/>
                <w:szCs w:val="20"/>
                <w:lang w:val="es-ES"/>
              </w:rPr>
              <w:tab/>
              <w:t>establecer la fecha en la que el grupo encargado del UIT-R debe acordar una metodología para llevar a cabo los estudios de compartición en la que se definan los parámetros de entrada y los modelos que se emplearán;</w:t>
            </w:r>
          </w:p>
          <w:p w14:paraId="31D192A0" w14:textId="77777777" w:rsidR="00CE6409" w:rsidRPr="00CB56EC" w:rsidRDefault="00CE6409" w:rsidP="00CB56EC">
            <w:pPr>
              <w:jc w:val="left"/>
              <w:rPr>
                <w:bCs/>
                <w:sz w:val="20"/>
                <w:szCs w:val="20"/>
                <w:lang w:val="es-ES"/>
              </w:rPr>
            </w:pPr>
            <w:r w:rsidRPr="00CB56EC">
              <w:rPr>
                <w:sz w:val="20"/>
                <w:szCs w:val="20"/>
                <w:lang w:val="es-ES"/>
              </w:rPr>
              <w:lastRenderedPageBreak/>
              <w:t>3</w:t>
            </w:r>
            <w:r w:rsidRPr="00CB56EC">
              <w:rPr>
                <w:sz w:val="20"/>
                <w:szCs w:val="20"/>
                <w:lang w:val="es-ES"/>
              </w:rPr>
              <w:tab/>
              <w:t>en la medida posible dentro del grupo encargado del UIT-R, establecer los criterios, las hipótesis, las metodologías de compartición y los procesos de simulación que se emplearán en los estudios de compartición y compatibilidad;</w:t>
            </w:r>
          </w:p>
          <w:p w14:paraId="4FF2E05C" w14:textId="77777777" w:rsidR="00CE6409" w:rsidRPr="00CB56EC" w:rsidRDefault="00CE6409" w:rsidP="00CB56EC">
            <w:pPr>
              <w:jc w:val="left"/>
              <w:rPr>
                <w:bCs/>
                <w:sz w:val="20"/>
                <w:szCs w:val="20"/>
                <w:lang w:val="es-ES"/>
              </w:rPr>
            </w:pPr>
            <w:r w:rsidRPr="00CB56EC">
              <w:rPr>
                <w:sz w:val="20"/>
                <w:szCs w:val="20"/>
                <w:lang w:val="es-ES"/>
              </w:rPr>
              <w:t>4</w:t>
            </w:r>
            <w:r w:rsidRPr="00CB56EC">
              <w:rPr>
                <w:sz w:val="20"/>
                <w:szCs w:val="20"/>
                <w:lang w:val="es-ES"/>
              </w:rPr>
              <w:tab/>
              <w:t>velar por que los estudios del UIT-R pertinentes para los puntos del orden del día de la CMR se basen en las Recomendaciones UIT-R en vigor, contribuciones y mediciones del mundo real siempre que sea factible, evalúen casos de compartición realistas y utilicen valores de sistemas reales y se remitan a las mejores prácticas;</w:t>
            </w:r>
          </w:p>
          <w:p w14:paraId="33961A44" w14:textId="77777777" w:rsidR="00CE6409" w:rsidRPr="00CB56EC" w:rsidRDefault="00CE6409" w:rsidP="00CB56EC">
            <w:pPr>
              <w:spacing w:after="120" w:line="240" w:lineRule="auto"/>
              <w:jc w:val="left"/>
              <w:rPr>
                <w:b/>
                <w:bCs/>
                <w:sz w:val="20"/>
                <w:szCs w:val="20"/>
                <w:lang w:val="es-ES"/>
              </w:rPr>
            </w:pPr>
            <w:r w:rsidRPr="00CB56EC">
              <w:rPr>
                <w:sz w:val="20"/>
                <w:szCs w:val="20"/>
                <w:lang w:val="es-ES"/>
              </w:rPr>
              <w:t>5</w:t>
            </w:r>
            <w:r w:rsidRPr="00CB56EC">
              <w:rPr>
                <w:sz w:val="20"/>
                <w:szCs w:val="20"/>
                <w:lang w:val="es-ES"/>
              </w:rPr>
              <w:tab/>
              <w:t>respetar los plazos establecidos, en la medida de lo posible, para facilitar el desarrollo de los estudios de compartición y compatibilidad pertinentes para los puntos del orden del día de la CMR, dada la necesidad de disponer de tiempo suficiente para realizar los estudios utilizando los parámetros y la metodología acordados</w:t>
            </w:r>
            <w:r w:rsidRPr="00CB56EC">
              <w:rPr>
                <w:bCs/>
                <w:sz w:val="20"/>
                <w:szCs w:val="20"/>
                <w:lang w:val="es-ES"/>
              </w:rPr>
              <w:t>.</w:t>
            </w:r>
          </w:p>
        </w:tc>
      </w:tr>
      <w:tr w:rsidR="00CE6409" w:rsidRPr="0067605C" w14:paraId="408C7E4C" w14:textId="77777777" w:rsidTr="00662D47">
        <w:trPr>
          <w:trHeight w:val="1139"/>
        </w:trPr>
        <w:tc>
          <w:tcPr>
            <w:tcW w:w="1838" w:type="dxa"/>
          </w:tcPr>
          <w:p w14:paraId="13738FEA" w14:textId="6AFE429B" w:rsidR="00CE6409" w:rsidRPr="00CB56EC" w:rsidRDefault="00CE6409" w:rsidP="00CB56EC">
            <w:pPr>
              <w:jc w:val="left"/>
              <w:rPr>
                <w:b/>
                <w:sz w:val="20"/>
                <w:szCs w:val="20"/>
                <w:lang w:val="es-ES"/>
              </w:rPr>
            </w:pPr>
            <w:r w:rsidRPr="00CB56EC">
              <w:rPr>
                <w:b/>
                <w:sz w:val="20"/>
                <w:szCs w:val="20"/>
                <w:lang w:val="es-ES"/>
              </w:rPr>
              <w:lastRenderedPageBreak/>
              <w:t xml:space="preserve">Documento </w:t>
            </w:r>
            <w:r w:rsidR="0067605C">
              <w:fldChar w:fldCharType="begin"/>
            </w:r>
            <w:r w:rsidR="0067605C" w:rsidRPr="0067605C">
              <w:rPr>
                <w:lang w:val="fr-FR"/>
              </w:rPr>
              <w:instrText>HYPERLINK "https://www.itu.int/md/R23-WRC23-C-0526/en"</w:instrText>
            </w:r>
            <w:r w:rsidR="0067605C">
              <w:fldChar w:fldCharType="separate"/>
            </w:r>
            <w:r w:rsidRPr="00CB56EC">
              <w:rPr>
                <w:rStyle w:val="Hyperlink"/>
                <w:b/>
                <w:sz w:val="20"/>
                <w:szCs w:val="20"/>
                <w:lang w:val="es-ES"/>
              </w:rPr>
              <w:t>CMR23/526</w:t>
            </w:r>
            <w:r w:rsidR="0067605C">
              <w:rPr>
                <w:rStyle w:val="Hyperlink"/>
                <w:b/>
                <w:sz w:val="20"/>
                <w:szCs w:val="20"/>
                <w:lang w:val="es-ES"/>
              </w:rPr>
              <w:fldChar w:fldCharType="end"/>
            </w:r>
            <w:r w:rsidRPr="00CB56EC">
              <w:rPr>
                <w:b/>
                <w:sz w:val="20"/>
                <w:szCs w:val="20"/>
                <w:lang w:val="es-ES"/>
              </w:rPr>
              <w:t xml:space="preserve"> – Actas de la undécima Sesión Plenaria</w:t>
            </w:r>
          </w:p>
        </w:tc>
        <w:tc>
          <w:tcPr>
            <w:tcW w:w="1733" w:type="dxa"/>
          </w:tcPr>
          <w:p w14:paraId="5364D228" w14:textId="77777777" w:rsidR="00CE6409" w:rsidRPr="00CB56EC" w:rsidRDefault="00CE6409" w:rsidP="00CB56EC">
            <w:pPr>
              <w:spacing w:after="120" w:line="240" w:lineRule="auto"/>
              <w:jc w:val="left"/>
              <w:rPr>
                <w:b/>
                <w:sz w:val="20"/>
                <w:szCs w:val="20"/>
                <w:lang w:val="es-ES"/>
              </w:rPr>
            </w:pPr>
            <w:r w:rsidRPr="00CB56EC">
              <w:rPr>
                <w:b/>
                <w:sz w:val="20"/>
                <w:szCs w:val="20"/>
                <w:lang w:val="es-ES"/>
              </w:rPr>
              <w:t>§§ 2.1 y 2.2</w:t>
            </w:r>
          </w:p>
          <w:p w14:paraId="5DDF33AD" w14:textId="77777777" w:rsidR="00CE6409" w:rsidRPr="00CB56EC" w:rsidRDefault="00CE6409" w:rsidP="00CB56EC">
            <w:pPr>
              <w:spacing w:after="120" w:line="240" w:lineRule="auto"/>
              <w:jc w:val="left"/>
              <w:rPr>
                <w:b/>
                <w:sz w:val="20"/>
                <w:szCs w:val="20"/>
                <w:lang w:val="es-ES"/>
              </w:rPr>
            </w:pPr>
            <w:r w:rsidRPr="00CB56EC">
              <w:rPr>
                <w:b/>
                <w:sz w:val="20"/>
                <w:szCs w:val="20"/>
                <w:lang w:val="es-ES"/>
              </w:rPr>
              <w:t xml:space="preserve">Aprobación del Documento </w:t>
            </w:r>
            <w:hyperlink r:id="rId16" w:history="1">
              <w:r w:rsidRPr="00CB56EC">
                <w:rPr>
                  <w:rStyle w:val="Hyperlink"/>
                  <w:b/>
                  <w:sz w:val="20"/>
                  <w:szCs w:val="20"/>
                  <w:lang w:val="es-ES"/>
                </w:rPr>
                <w:t>497</w:t>
              </w:r>
            </w:hyperlink>
          </w:p>
        </w:tc>
        <w:tc>
          <w:tcPr>
            <w:tcW w:w="10712" w:type="dxa"/>
          </w:tcPr>
          <w:p w14:paraId="56CE6A4F" w14:textId="77777777" w:rsidR="00CE6409" w:rsidRPr="00CB56EC" w:rsidRDefault="00CE6409" w:rsidP="00CB56EC">
            <w:pPr>
              <w:jc w:val="left"/>
              <w:rPr>
                <w:b/>
                <w:bCs/>
                <w:sz w:val="20"/>
                <w:szCs w:val="20"/>
                <w:lang w:val="es-ES"/>
              </w:rPr>
            </w:pPr>
            <w:r w:rsidRPr="00CB56EC">
              <w:rPr>
                <w:b/>
                <w:bCs/>
                <w:sz w:val="20"/>
                <w:szCs w:val="20"/>
                <w:lang w:val="es-ES"/>
              </w:rPr>
              <w:t>Aplicación de la Resolución UIT-R 74 de la AR-23</w:t>
            </w:r>
          </w:p>
          <w:p w14:paraId="47D13935" w14:textId="77777777" w:rsidR="00CE6409" w:rsidRPr="00CB56EC" w:rsidRDefault="00CE6409" w:rsidP="00CB56EC">
            <w:pPr>
              <w:jc w:val="left"/>
              <w:rPr>
                <w:b/>
                <w:bCs/>
                <w:sz w:val="20"/>
                <w:szCs w:val="20"/>
                <w:lang w:val="es-ES"/>
              </w:rPr>
            </w:pPr>
            <w:r w:rsidRPr="00CB56EC">
              <w:rPr>
                <w:sz w:val="20"/>
                <w:szCs w:val="20"/>
                <w:lang w:val="es-ES"/>
              </w:rPr>
              <w:t>La CMR-23 invita a los Estados Miembros a participar activamente en la aplicación de la Resolución UIT-R 74 (AR-23) mediante la presentación de contribuciones a las Comisiones de Estudio del UIT-R interesadas y el apoyo a las actividades técnicas asociadas para garantizar el uso racional, equitativo, eficiente y económico del espectro de radiofrecuencias y los recursos orbitales asociados, con especial atención a los sistemas de satélite no OSG, incluida la compatibilidad entre sistemas</w:t>
            </w:r>
            <w:r w:rsidRPr="00CB56EC">
              <w:rPr>
                <w:bCs/>
                <w:sz w:val="20"/>
                <w:szCs w:val="20"/>
                <w:lang w:val="es-ES"/>
              </w:rPr>
              <w:t>.</w:t>
            </w:r>
          </w:p>
        </w:tc>
      </w:tr>
      <w:tr w:rsidR="00CE6409" w:rsidRPr="00CE6409" w14:paraId="442506E2" w14:textId="77777777" w:rsidTr="00662D47">
        <w:trPr>
          <w:trHeight w:val="1139"/>
        </w:trPr>
        <w:tc>
          <w:tcPr>
            <w:tcW w:w="1838" w:type="dxa"/>
          </w:tcPr>
          <w:p w14:paraId="68D5ED7E" w14:textId="374E3590" w:rsidR="00CE6409" w:rsidRPr="00CB56EC" w:rsidRDefault="00CE6409" w:rsidP="00CB56EC">
            <w:pPr>
              <w:jc w:val="left"/>
              <w:rPr>
                <w:b/>
                <w:sz w:val="20"/>
                <w:szCs w:val="20"/>
                <w:lang w:val="es-ES"/>
              </w:rPr>
            </w:pPr>
            <w:r w:rsidRPr="00CB56EC">
              <w:rPr>
                <w:b/>
                <w:sz w:val="20"/>
                <w:szCs w:val="20"/>
                <w:lang w:val="es-ES"/>
              </w:rPr>
              <w:t xml:space="preserve">Documento </w:t>
            </w:r>
            <w:r w:rsidR="0067605C">
              <w:fldChar w:fldCharType="begin"/>
            </w:r>
            <w:r w:rsidR="0067605C" w:rsidRPr="0067605C">
              <w:rPr>
                <w:lang w:val="fr-FR"/>
              </w:rPr>
              <w:instrText>HYPERLINK "https://www.itu.int/md/R23-WRC23-C-0526/en"</w:instrText>
            </w:r>
            <w:r w:rsidR="0067605C">
              <w:fldChar w:fldCharType="separate"/>
            </w:r>
            <w:r w:rsidRPr="00CB56EC">
              <w:rPr>
                <w:rStyle w:val="Hyperlink"/>
                <w:b/>
                <w:sz w:val="20"/>
                <w:szCs w:val="20"/>
                <w:lang w:val="es-ES"/>
              </w:rPr>
              <w:t>CMR23/526</w:t>
            </w:r>
            <w:r w:rsidR="0067605C">
              <w:rPr>
                <w:rStyle w:val="Hyperlink"/>
                <w:b/>
                <w:sz w:val="20"/>
                <w:szCs w:val="20"/>
                <w:lang w:val="es-ES"/>
              </w:rPr>
              <w:fldChar w:fldCharType="end"/>
            </w:r>
            <w:r w:rsidRPr="00CB56EC">
              <w:rPr>
                <w:b/>
                <w:sz w:val="20"/>
                <w:szCs w:val="20"/>
                <w:lang w:val="es-ES"/>
              </w:rPr>
              <w:t xml:space="preserve"> – Actas de la undécima Sesión Plenaria</w:t>
            </w:r>
          </w:p>
        </w:tc>
        <w:tc>
          <w:tcPr>
            <w:tcW w:w="1733" w:type="dxa"/>
          </w:tcPr>
          <w:p w14:paraId="7204EA57" w14:textId="77777777" w:rsidR="00CE6409" w:rsidRPr="00CB56EC" w:rsidRDefault="00CE6409" w:rsidP="00CB56EC">
            <w:pPr>
              <w:spacing w:after="120" w:line="240" w:lineRule="auto"/>
              <w:jc w:val="left"/>
              <w:rPr>
                <w:b/>
                <w:sz w:val="20"/>
                <w:szCs w:val="20"/>
                <w:lang w:val="es-ES"/>
              </w:rPr>
            </w:pPr>
            <w:r w:rsidRPr="00CB56EC">
              <w:rPr>
                <w:b/>
                <w:sz w:val="20"/>
                <w:szCs w:val="20"/>
                <w:lang w:val="es-ES"/>
              </w:rPr>
              <w:t>§§ 2.1 y 2.2</w:t>
            </w:r>
          </w:p>
          <w:p w14:paraId="419EF734" w14:textId="77777777" w:rsidR="00CE6409" w:rsidRPr="00CB56EC" w:rsidRDefault="00CE6409" w:rsidP="00CB56EC">
            <w:pPr>
              <w:spacing w:after="120" w:line="240" w:lineRule="auto"/>
              <w:jc w:val="left"/>
              <w:rPr>
                <w:b/>
                <w:sz w:val="20"/>
                <w:szCs w:val="20"/>
                <w:lang w:val="es-ES"/>
              </w:rPr>
            </w:pPr>
            <w:r w:rsidRPr="00CB56EC">
              <w:rPr>
                <w:b/>
                <w:sz w:val="20"/>
                <w:szCs w:val="20"/>
                <w:lang w:val="es-ES"/>
              </w:rPr>
              <w:t xml:space="preserve">Aprobación del Documento </w:t>
            </w:r>
            <w:hyperlink r:id="rId17" w:history="1">
              <w:r w:rsidRPr="00CB56EC">
                <w:rPr>
                  <w:rStyle w:val="Hyperlink"/>
                  <w:b/>
                  <w:sz w:val="20"/>
                  <w:szCs w:val="20"/>
                  <w:lang w:val="es-ES"/>
                </w:rPr>
                <w:t>497</w:t>
              </w:r>
            </w:hyperlink>
          </w:p>
        </w:tc>
        <w:tc>
          <w:tcPr>
            <w:tcW w:w="10712" w:type="dxa"/>
          </w:tcPr>
          <w:p w14:paraId="0A7E5970" w14:textId="77777777" w:rsidR="00CE6409" w:rsidRPr="00CB56EC" w:rsidRDefault="00CE6409" w:rsidP="00CB56EC">
            <w:pPr>
              <w:jc w:val="left"/>
              <w:rPr>
                <w:b/>
                <w:bCs/>
                <w:sz w:val="20"/>
                <w:szCs w:val="20"/>
                <w:lang w:val="es-ES"/>
              </w:rPr>
            </w:pPr>
            <w:r w:rsidRPr="00CB56EC">
              <w:rPr>
                <w:b/>
                <w:bCs/>
                <w:sz w:val="20"/>
                <w:szCs w:val="20"/>
                <w:lang w:val="es-ES"/>
              </w:rPr>
              <w:t xml:space="preserve">Estudios técnicos sobre los límites de </w:t>
            </w:r>
            <w:proofErr w:type="spellStart"/>
            <w:r w:rsidRPr="00CB56EC">
              <w:rPr>
                <w:b/>
                <w:bCs/>
                <w:sz w:val="20"/>
                <w:szCs w:val="20"/>
                <w:lang w:val="es-ES"/>
              </w:rPr>
              <w:t>dfpe</w:t>
            </w:r>
            <w:proofErr w:type="spellEnd"/>
            <w:r w:rsidRPr="00CB56EC">
              <w:rPr>
                <w:b/>
                <w:bCs/>
                <w:sz w:val="20"/>
                <w:szCs w:val="20"/>
                <w:lang w:val="es-ES"/>
              </w:rPr>
              <w:t xml:space="preserve"> para la protección continuada de las redes del SRS y SFS OSG</w:t>
            </w:r>
          </w:p>
          <w:p w14:paraId="2C39E578" w14:textId="77777777" w:rsidR="00CE6409" w:rsidRPr="00CB56EC" w:rsidRDefault="00CE6409" w:rsidP="00CB56EC">
            <w:pPr>
              <w:jc w:val="left"/>
              <w:rPr>
                <w:b/>
                <w:bCs/>
                <w:sz w:val="20"/>
                <w:szCs w:val="20"/>
                <w:lang w:val="es-ES"/>
              </w:rPr>
            </w:pPr>
            <w:r w:rsidRPr="00CB56EC">
              <w:rPr>
                <w:sz w:val="20"/>
                <w:szCs w:val="20"/>
                <w:lang w:val="es-ES"/>
              </w:rPr>
              <w:t xml:space="preserve">La CMR-23 invita al UIT-R a efectuar estudios técnicos sobre los límites de </w:t>
            </w:r>
            <w:proofErr w:type="spellStart"/>
            <w:r w:rsidRPr="00CB56EC">
              <w:rPr>
                <w:sz w:val="20"/>
                <w:szCs w:val="20"/>
                <w:lang w:val="es-ES"/>
              </w:rPr>
              <w:t>dfpe</w:t>
            </w:r>
            <w:proofErr w:type="spellEnd"/>
            <w:r w:rsidRPr="00CB56EC">
              <w:rPr>
                <w:sz w:val="20"/>
                <w:szCs w:val="20"/>
                <w:lang w:val="es-ES"/>
              </w:rPr>
              <w:t xml:space="preserve"> del Artículo 22, incluidos los límites de </w:t>
            </w:r>
            <w:proofErr w:type="spellStart"/>
            <w:r w:rsidRPr="00CB56EC">
              <w:rPr>
                <w:sz w:val="20"/>
                <w:szCs w:val="20"/>
                <w:lang w:val="es-ES"/>
              </w:rPr>
              <w:t>dfpe</w:t>
            </w:r>
            <w:proofErr w:type="spellEnd"/>
            <w:r w:rsidRPr="00CB56EC">
              <w:rPr>
                <w:sz w:val="20"/>
                <w:szCs w:val="20"/>
                <w:lang w:val="es-ES"/>
              </w:rPr>
              <w:t xml:space="preserve"> mencionados en el número </w:t>
            </w:r>
            <w:r w:rsidRPr="00CB56EC">
              <w:rPr>
                <w:b/>
                <w:bCs/>
                <w:sz w:val="20"/>
                <w:szCs w:val="20"/>
                <w:lang w:val="es-ES"/>
              </w:rPr>
              <w:t>22.5K</w:t>
            </w:r>
            <w:r w:rsidRPr="00CB56EC">
              <w:rPr>
                <w:sz w:val="20"/>
                <w:szCs w:val="20"/>
                <w:lang w:val="es-ES"/>
              </w:rPr>
              <w:t>, a fin de garantizar la protección permanente de las redes OSG del SFS y SRS, y a informar a la CMR-27 de los resultados de los estudios, sin consecuencias reglamentarias. Este trabajo no debe presentarse en relación con el punto 9.1 del orden del día</w:t>
            </w:r>
            <w:r w:rsidRPr="00CB56EC">
              <w:rPr>
                <w:bCs/>
                <w:sz w:val="20"/>
                <w:szCs w:val="20"/>
                <w:lang w:val="es-ES"/>
              </w:rPr>
              <w:t>.</w:t>
            </w:r>
          </w:p>
        </w:tc>
      </w:tr>
      <w:tr w:rsidR="00CE6409" w:rsidRPr="0067605C" w14:paraId="6533FF34" w14:textId="77777777" w:rsidTr="00662D47">
        <w:trPr>
          <w:trHeight w:val="1139"/>
        </w:trPr>
        <w:tc>
          <w:tcPr>
            <w:tcW w:w="1838" w:type="dxa"/>
          </w:tcPr>
          <w:p w14:paraId="5B85E138" w14:textId="77777777" w:rsidR="00CE6409" w:rsidRPr="00CB56EC" w:rsidRDefault="00CE6409" w:rsidP="00CB56EC">
            <w:pPr>
              <w:jc w:val="left"/>
              <w:rPr>
                <w:b/>
                <w:sz w:val="20"/>
                <w:szCs w:val="20"/>
                <w:lang w:val="es-ES"/>
              </w:rPr>
            </w:pPr>
            <w:r w:rsidRPr="00CB56EC">
              <w:rPr>
                <w:b/>
                <w:sz w:val="20"/>
                <w:szCs w:val="20"/>
                <w:lang w:val="es-ES"/>
              </w:rPr>
              <w:t xml:space="preserve">Documento </w:t>
            </w:r>
            <w:r w:rsidR="0067605C">
              <w:fldChar w:fldCharType="begin"/>
            </w:r>
            <w:r w:rsidR="0067605C" w:rsidRPr="0067605C">
              <w:rPr>
                <w:lang w:val="fr-FR"/>
              </w:rPr>
              <w:instrText>HYPERLINK "https://www.itu.int/md/R23-WRC23-C-0527/en"</w:instrText>
            </w:r>
            <w:r w:rsidR="0067605C">
              <w:fldChar w:fldCharType="separate"/>
            </w:r>
            <w:r w:rsidRPr="00CB56EC">
              <w:rPr>
                <w:rFonts w:eastAsia="Calibri" w:cs="Times"/>
                <w:b/>
                <w:bCs/>
                <w:color w:val="0563C1"/>
                <w:kern w:val="2"/>
                <w:sz w:val="20"/>
                <w:szCs w:val="20"/>
                <w:u w:val="single"/>
                <w:lang w:val="es-ES"/>
                <w14:ligatures w14:val="standardContextual"/>
              </w:rPr>
              <w:t>CMR2</w:t>
            </w:r>
            <w:r w:rsidRPr="00CB56EC">
              <w:rPr>
                <w:rFonts w:eastAsia="Calibri" w:cs="Times New Roman"/>
                <w:b/>
                <w:bCs/>
                <w:color w:val="0563C1"/>
                <w:kern w:val="2"/>
                <w:sz w:val="20"/>
                <w:szCs w:val="20"/>
                <w:u w:val="single"/>
                <w:lang w:val="es-ES"/>
                <w14:ligatures w14:val="standardContextual"/>
              </w:rPr>
              <w:t>3</w:t>
            </w:r>
            <w:r w:rsidRPr="00CB56EC">
              <w:rPr>
                <w:rFonts w:eastAsia="Calibri" w:cs="Times"/>
                <w:b/>
                <w:bCs/>
                <w:color w:val="0563C1"/>
                <w:kern w:val="2"/>
                <w:sz w:val="20"/>
                <w:szCs w:val="20"/>
                <w:u w:val="single"/>
                <w:lang w:val="es-ES"/>
                <w14:ligatures w14:val="standardContextual"/>
              </w:rPr>
              <w:t>/527</w:t>
            </w:r>
            <w:r w:rsidR="0067605C">
              <w:rPr>
                <w:rFonts w:eastAsia="Calibri" w:cs="Times"/>
                <w:b/>
                <w:bCs/>
                <w:color w:val="0563C1"/>
                <w:kern w:val="2"/>
                <w:sz w:val="20"/>
                <w:szCs w:val="20"/>
                <w:u w:val="single"/>
                <w:lang w:val="es-ES"/>
                <w14:ligatures w14:val="standardContextual"/>
              </w:rPr>
              <w:fldChar w:fldCharType="end"/>
            </w:r>
            <w:r w:rsidRPr="00CB56EC">
              <w:rPr>
                <w:rFonts w:eastAsia="Calibri" w:cs="Times"/>
                <w:b/>
                <w:bCs/>
                <w:color w:val="0563C1"/>
                <w:kern w:val="2"/>
                <w:sz w:val="20"/>
                <w:szCs w:val="20"/>
                <w:u w:val="single"/>
                <w:lang w:val="es-ES"/>
                <w14:ligatures w14:val="standardContextual"/>
              </w:rPr>
              <w:t xml:space="preserve"> </w:t>
            </w:r>
            <w:r w:rsidRPr="00CB56EC">
              <w:rPr>
                <w:b/>
                <w:sz w:val="20"/>
                <w:szCs w:val="20"/>
                <w:lang w:val="es-ES"/>
              </w:rPr>
              <w:t>– Actas de la duodécima Sesión Plenaria</w:t>
            </w:r>
          </w:p>
        </w:tc>
        <w:tc>
          <w:tcPr>
            <w:tcW w:w="1733" w:type="dxa"/>
          </w:tcPr>
          <w:p w14:paraId="3A1E085F" w14:textId="77777777" w:rsidR="00CE6409" w:rsidRPr="00CB56EC" w:rsidRDefault="00CE6409" w:rsidP="00CB56EC">
            <w:pPr>
              <w:jc w:val="left"/>
              <w:rPr>
                <w:rFonts w:cs="Times"/>
                <w:b/>
                <w:sz w:val="20"/>
                <w:szCs w:val="20"/>
                <w:lang w:val="es-ES"/>
              </w:rPr>
            </w:pPr>
            <w:r w:rsidRPr="00CB56EC">
              <w:rPr>
                <w:rFonts w:cs="Times"/>
                <w:b/>
                <w:sz w:val="20"/>
                <w:szCs w:val="20"/>
                <w:lang w:val="es-ES"/>
              </w:rPr>
              <w:t xml:space="preserve">§§ 2.1 y 2.2 </w:t>
            </w:r>
          </w:p>
          <w:p w14:paraId="2D33F4FC" w14:textId="77777777" w:rsidR="00CE6409" w:rsidRPr="00CB56EC" w:rsidRDefault="00CE6409" w:rsidP="00CB56EC">
            <w:pPr>
              <w:jc w:val="left"/>
              <w:rPr>
                <w:rFonts w:cs="Times"/>
                <w:b/>
                <w:sz w:val="20"/>
                <w:szCs w:val="20"/>
                <w:lang w:val="es-ES"/>
              </w:rPr>
            </w:pPr>
            <w:r w:rsidRPr="00CB56EC">
              <w:rPr>
                <w:rFonts w:cs="Times"/>
                <w:b/>
                <w:sz w:val="20"/>
                <w:szCs w:val="20"/>
                <w:lang w:val="es-ES"/>
              </w:rPr>
              <w:t xml:space="preserve">Aprobación del Documento </w:t>
            </w:r>
            <w:hyperlink r:id="rId18" w:history="1">
              <w:r w:rsidRPr="00CB56EC">
                <w:rPr>
                  <w:rStyle w:val="Hyperlink"/>
                  <w:rFonts w:cs="Times"/>
                  <w:b/>
                  <w:sz w:val="20"/>
                  <w:szCs w:val="20"/>
                  <w:lang w:val="es-ES"/>
                </w:rPr>
                <w:t>476</w:t>
              </w:r>
            </w:hyperlink>
          </w:p>
        </w:tc>
        <w:tc>
          <w:tcPr>
            <w:tcW w:w="10712" w:type="dxa"/>
          </w:tcPr>
          <w:p w14:paraId="3D4A4489" w14:textId="4E273B57" w:rsidR="00CE6409" w:rsidRPr="00CB56EC" w:rsidRDefault="00CE6409" w:rsidP="00CB56EC">
            <w:pPr>
              <w:jc w:val="left"/>
              <w:rPr>
                <w:sz w:val="20"/>
                <w:szCs w:val="20"/>
                <w:lang w:val="es-ES"/>
              </w:rPr>
            </w:pPr>
            <w:r w:rsidRPr="00CB56EC">
              <w:rPr>
                <w:sz w:val="20"/>
                <w:szCs w:val="20"/>
                <w:lang w:val="es-ES"/>
              </w:rPr>
              <w:t xml:space="preserve">En aplicación de las notas a los números </w:t>
            </w:r>
            <w:r w:rsidRPr="00CB56EC">
              <w:rPr>
                <w:b/>
                <w:bCs/>
                <w:sz w:val="20"/>
                <w:szCs w:val="20"/>
                <w:lang w:val="es-ES"/>
              </w:rPr>
              <w:t>5.A12</w:t>
            </w:r>
            <w:r w:rsidRPr="00CB56EC">
              <w:rPr>
                <w:sz w:val="20"/>
                <w:szCs w:val="20"/>
                <w:lang w:val="es-ES"/>
              </w:rPr>
              <w:t xml:space="preserve"> y </w:t>
            </w:r>
            <w:r w:rsidRPr="00CB56EC">
              <w:rPr>
                <w:b/>
                <w:bCs/>
                <w:sz w:val="20"/>
                <w:szCs w:val="20"/>
                <w:lang w:val="es-ES"/>
              </w:rPr>
              <w:t>5.429D</w:t>
            </w:r>
            <w:r w:rsidRPr="00CB56EC">
              <w:rPr>
                <w:sz w:val="20"/>
                <w:szCs w:val="20"/>
                <w:lang w:val="es-ES"/>
              </w:rPr>
              <w:t xml:space="preserve"> del RR, se aplica el número </w:t>
            </w:r>
            <w:r w:rsidRPr="00CB56EC">
              <w:rPr>
                <w:b/>
                <w:bCs/>
                <w:sz w:val="20"/>
                <w:szCs w:val="20"/>
                <w:lang w:val="es-ES"/>
              </w:rPr>
              <w:t xml:space="preserve">4.8 </w:t>
            </w:r>
            <w:r w:rsidRPr="00CB56EC">
              <w:rPr>
                <w:sz w:val="20"/>
                <w:szCs w:val="20"/>
                <w:lang w:val="es-ES"/>
              </w:rPr>
              <w:t>del RR. El servicio de radiolocalización que opera en los países de la Región 1, que son adyacentes a la Región 2, tiene la misma situación reglamentaria para el servicio móvil de la Región 2 que el servicio de radiolocalización en la Región 2. El término «países vecinos» mencionado en las notas al número </w:t>
            </w:r>
            <w:r w:rsidRPr="00CB56EC">
              <w:rPr>
                <w:b/>
                <w:bCs/>
                <w:sz w:val="20"/>
                <w:szCs w:val="20"/>
                <w:lang w:val="es-ES"/>
              </w:rPr>
              <w:t>5.429D</w:t>
            </w:r>
            <w:r w:rsidRPr="00CB56EC">
              <w:rPr>
                <w:sz w:val="20"/>
                <w:szCs w:val="20"/>
                <w:lang w:val="es-ES"/>
              </w:rPr>
              <w:t xml:space="preserve"> del RR incluye los países de la Región 1 que son adyacentes a la Región 2.</w:t>
            </w:r>
          </w:p>
        </w:tc>
      </w:tr>
      <w:tr w:rsidR="00CE6409" w:rsidRPr="0067605C" w14:paraId="163164B0" w14:textId="77777777" w:rsidTr="00662D47">
        <w:trPr>
          <w:trHeight w:val="1139"/>
        </w:trPr>
        <w:tc>
          <w:tcPr>
            <w:tcW w:w="1838" w:type="dxa"/>
          </w:tcPr>
          <w:p w14:paraId="16D25A04" w14:textId="507BAF41" w:rsidR="00CE6409" w:rsidRPr="00CB56EC" w:rsidRDefault="00CE6409" w:rsidP="00CB56EC">
            <w:pPr>
              <w:jc w:val="left"/>
              <w:rPr>
                <w:b/>
                <w:sz w:val="20"/>
                <w:szCs w:val="20"/>
                <w:lang w:val="es-ES"/>
              </w:rPr>
            </w:pPr>
            <w:r w:rsidRPr="00CB56EC">
              <w:rPr>
                <w:b/>
                <w:sz w:val="20"/>
                <w:szCs w:val="20"/>
                <w:lang w:val="es-ES"/>
              </w:rPr>
              <w:lastRenderedPageBreak/>
              <w:t xml:space="preserve">Documento </w:t>
            </w:r>
            <w:r w:rsidR="0067605C">
              <w:fldChar w:fldCharType="begin"/>
            </w:r>
            <w:r w:rsidR="0067605C" w:rsidRPr="0067605C">
              <w:rPr>
                <w:lang w:val="fr-FR"/>
              </w:rPr>
              <w:instrText>HYPERLINK "https://www.itu.int/md/R23-WRC23-C-0528/en"</w:instrText>
            </w:r>
            <w:r w:rsidR="0067605C">
              <w:fldChar w:fldCharType="separate"/>
            </w:r>
            <w:r w:rsidRPr="00CB56EC">
              <w:rPr>
                <w:rStyle w:val="Hyperlink"/>
                <w:b/>
                <w:sz w:val="20"/>
                <w:szCs w:val="20"/>
                <w:lang w:val="es-ES"/>
              </w:rPr>
              <w:t>CMR23/528</w:t>
            </w:r>
            <w:r w:rsidR="0067605C">
              <w:rPr>
                <w:rStyle w:val="Hyperlink"/>
                <w:b/>
                <w:sz w:val="20"/>
                <w:szCs w:val="20"/>
                <w:lang w:val="es-ES"/>
              </w:rPr>
              <w:fldChar w:fldCharType="end"/>
            </w:r>
            <w:r w:rsidRPr="00CB56EC">
              <w:rPr>
                <w:b/>
                <w:sz w:val="20"/>
                <w:szCs w:val="20"/>
                <w:lang w:val="es-ES"/>
              </w:rPr>
              <w:t xml:space="preserve"> – Actas de la </w:t>
            </w:r>
            <w:r w:rsidR="00994B5F" w:rsidRPr="00CB56EC">
              <w:rPr>
                <w:b/>
                <w:sz w:val="20"/>
                <w:szCs w:val="20"/>
                <w:lang w:val="es-ES"/>
              </w:rPr>
              <w:t>decimotercera</w:t>
            </w:r>
            <w:r w:rsidRPr="00CB56EC">
              <w:rPr>
                <w:b/>
                <w:sz w:val="20"/>
                <w:szCs w:val="20"/>
                <w:lang w:val="es-ES"/>
              </w:rPr>
              <w:t xml:space="preserve"> Sesión Plenaria</w:t>
            </w:r>
          </w:p>
        </w:tc>
        <w:tc>
          <w:tcPr>
            <w:tcW w:w="1733" w:type="dxa"/>
          </w:tcPr>
          <w:p w14:paraId="1ED4030D" w14:textId="77777777" w:rsidR="00CE6409" w:rsidRPr="00CB56EC" w:rsidRDefault="00CE6409" w:rsidP="00CB56EC">
            <w:pPr>
              <w:spacing w:after="120" w:line="240" w:lineRule="auto"/>
              <w:jc w:val="left"/>
              <w:rPr>
                <w:b/>
                <w:sz w:val="20"/>
                <w:szCs w:val="20"/>
                <w:lang w:val="es-ES"/>
              </w:rPr>
            </w:pPr>
            <w:r w:rsidRPr="00CB56EC">
              <w:rPr>
                <w:b/>
                <w:sz w:val="20"/>
                <w:szCs w:val="20"/>
                <w:lang w:val="es-ES"/>
              </w:rPr>
              <w:t>§§ 5.1 y 5.2</w:t>
            </w:r>
          </w:p>
          <w:p w14:paraId="4685DB05" w14:textId="77777777" w:rsidR="00CE6409" w:rsidRPr="00CB56EC" w:rsidRDefault="00CE6409" w:rsidP="00CB56EC">
            <w:pPr>
              <w:jc w:val="left"/>
              <w:rPr>
                <w:b/>
                <w:sz w:val="20"/>
                <w:szCs w:val="20"/>
                <w:lang w:val="es-ES"/>
              </w:rPr>
            </w:pPr>
            <w:r w:rsidRPr="00CB56EC">
              <w:rPr>
                <w:b/>
                <w:sz w:val="20"/>
                <w:szCs w:val="20"/>
                <w:lang w:val="es-ES"/>
              </w:rPr>
              <w:t xml:space="preserve">Aprobación del Documento </w:t>
            </w:r>
            <w:hyperlink r:id="rId19" w:history="1">
              <w:r w:rsidRPr="00CB56EC">
                <w:rPr>
                  <w:rStyle w:val="Hyperlink"/>
                  <w:b/>
                  <w:sz w:val="20"/>
                  <w:szCs w:val="20"/>
                  <w:lang w:val="es-ES"/>
                </w:rPr>
                <w:t>486</w:t>
              </w:r>
            </w:hyperlink>
          </w:p>
        </w:tc>
        <w:tc>
          <w:tcPr>
            <w:tcW w:w="10712" w:type="dxa"/>
          </w:tcPr>
          <w:p w14:paraId="18302BBB" w14:textId="77777777" w:rsidR="00CE6409" w:rsidRPr="00CB56EC" w:rsidRDefault="00CE6409" w:rsidP="00CB56EC">
            <w:pPr>
              <w:pStyle w:val="Normalaftertitle0"/>
              <w:rPr>
                <w:rFonts w:ascii="Calibri" w:eastAsiaTheme="minorEastAsia" w:hAnsi="Calibri" w:cs="Calibri"/>
                <w:sz w:val="20"/>
                <w:lang w:val="es-ES" w:eastAsia="zh-CN"/>
              </w:rPr>
            </w:pPr>
            <w:r w:rsidRPr="00CB56EC">
              <w:rPr>
                <w:rFonts w:ascii="Calibri" w:eastAsiaTheme="minorEastAsia" w:hAnsi="Calibri" w:cs="Calibri"/>
                <w:b/>
                <w:bCs/>
                <w:sz w:val="20"/>
                <w:lang w:val="es-ES"/>
              </w:rPr>
              <w:t>Tramitación de las notificaciones de la Parte B correspondientes a las adjudicaciones de siete Estados Miembros nuevos</w:t>
            </w:r>
            <w:r w:rsidRPr="00CB56EC">
              <w:rPr>
                <w:rFonts w:ascii="Calibri" w:eastAsiaTheme="minorEastAsia" w:hAnsi="Calibri" w:cs="Calibri"/>
                <w:sz w:val="20"/>
                <w:lang w:val="es-ES" w:eastAsia="zh-CN"/>
              </w:rPr>
              <w:t xml:space="preserve"> *</w:t>
            </w:r>
          </w:p>
          <w:p w14:paraId="0B0A6167" w14:textId="77777777" w:rsidR="00CE6409" w:rsidRPr="00CB56EC" w:rsidRDefault="00CE6409" w:rsidP="00CB56EC">
            <w:pPr>
              <w:pStyle w:val="enumlev1"/>
              <w:jc w:val="left"/>
              <w:rPr>
                <w:sz w:val="20"/>
                <w:szCs w:val="20"/>
                <w:lang w:val="es-ES"/>
              </w:rPr>
            </w:pPr>
            <w:r w:rsidRPr="00CB56EC">
              <w:rPr>
                <w:sz w:val="20"/>
                <w:szCs w:val="20"/>
                <w:lang w:val="es-ES"/>
              </w:rPr>
              <w:t>1)</w:t>
            </w:r>
            <w:r w:rsidRPr="00CB56EC">
              <w:rPr>
                <w:sz w:val="20"/>
                <w:szCs w:val="20"/>
                <w:lang w:val="es-ES"/>
              </w:rPr>
              <w:tab/>
              <w:t>Las asignaciones de frecuencias de una notificación de la Parte B para la nueva adjudicación se pueden incorporar a la Lista del Apéndice </w:t>
            </w:r>
            <w:r w:rsidRPr="00CB56EC">
              <w:rPr>
                <w:b/>
                <w:bCs/>
                <w:sz w:val="20"/>
                <w:szCs w:val="20"/>
                <w:lang w:val="es-ES"/>
              </w:rPr>
              <w:t>30B</w:t>
            </w:r>
            <w:r w:rsidRPr="00CB56EC">
              <w:rPr>
                <w:sz w:val="20"/>
                <w:szCs w:val="20"/>
                <w:lang w:val="es-ES"/>
              </w:rPr>
              <w:t xml:space="preserve"> del RR, aunque se identifique como afectada una adjudicación nacional de otra administración. </w:t>
            </w:r>
          </w:p>
          <w:p w14:paraId="2847764D" w14:textId="77777777" w:rsidR="00CE6409" w:rsidRPr="00CB56EC" w:rsidRDefault="00CE6409" w:rsidP="00CB56EC">
            <w:pPr>
              <w:pStyle w:val="enumlev1"/>
              <w:jc w:val="left"/>
              <w:rPr>
                <w:sz w:val="20"/>
                <w:szCs w:val="20"/>
                <w:lang w:val="es-ES"/>
              </w:rPr>
            </w:pPr>
            <w:r w:rsidRPr="00CB56EC">
              <w:rPr>
                <w:sz w:val="20"/>
                <w:szCs w:val="20"/>
                <w:lang w:val="es-ES"/>
              </w:rPr>
              <w:t>2)</w:t>
            </w:r>
            <w:r w:rsidRPr="00CB56EC">
              <w:rPr>
                <w:sz w:val="20"/>
                <w:szCs w:val="20"/>
                <w:lang w:val="es-ES"/>
              </w:rPr>
              <w:tab/>
              <w:t>Al actualizar la situación de referencia de las asignaciones o adjudicaciones afectadas para las que se ha obtenido un acuerdo de coordinación, no se tendrán en consideración las nuevas adjudicaciones propuestas.</w:t>
            </w:r>
          </w:p>
          <w:p w14:paraId="58921F32" w14:textId="77777777" w:rsidR="00CE6409" w:rsidRPr="00CB56EC" w:rsidRDefault="00CE6409" w:rsidP="00CB56EC">
            <w:pPr>
              <w:keepNext/>
              <w:keepLines/>
              <w:jc w:val="left"/>
              <w:rPr>
                <w:sz w:val="20"/>
                <w:szCs w:val="20"/>
                <w:lang w:val="es-ES"/>
              </w:rPr>
            </w:pPr>
            <w:r w:rsidRPr="00CB56EC">
              <w:rPr>
                <w:sz w:val="20"/>
                <w:szCs w:val="20"/>
                <w:lang w:val="es-ES"/>
              </w:rPr>
              <w:t>La CMR-23 aprobó la adición al Plan del SFS de las siete adjudicaciones de los Estados Miembros nuevos por las razones siguientes:</w:t>
            </w:r>
          </w:p>
          <w:p w14:paraId="78C395FB" w14:textId="77777777" w:rsidR="00CE6409" w:rsidRPr="00CB56EC" w:rsidRDefault="00CE6409" w:rsidP="00CB56EC">
            <w:pPr>
              <w:pStyle w:val="enumlev1"/>
              <w:keepNext/>
              <w:keepLines/>
              <w:jc w:val="left"/>
              <w:rPr>
                <w:sz w:val="20"/>
                <w:szCs w:val="20"/>
                <w:lang w:val="es-ES"/>
              </w:rPr>
            </w:pPr>
            <w:r w:rsidRPr="00CB56EC">
              <w:rPr>
                <w:sz w:val="20"/>
                <w:szCs w:val="20"/>
                <w:lang w:val="es-ES"/>
              </w:rPr>
              <w:t>1)</w:t>
            </w:r>
            <w:r w:rsidRPr="00CB56EC">
              <w:rPr>
                <w:sz w:val="20"/>
                <w:szCs w:val="20"/>
                <w:lang w:val="es-ES"/>
              </w:rPr>
              <w:tab/>
              <w:t>Las administraciones que solicitaron estas nuevas adjudicaciones han obtenido el acuerdo de todas las administraciones que podrían resultar afectadas, salvo de la Administración de la Federación de Rusia para dos adjudicaciones.</w:t>
            </w:r>
          </w:p>
          <w:p w14:paraId="025DAFB4" w14:textId="77777777" w:rsidR="00CE6409" w:rsidRPr="00CB56EC" w:rsidRDefault="00CE6409" w:rsidP="00CB56EC">
            <w:pPr>
              <w:pStyle w:val="enumlev1"/>
              <w:jc w:val="left"/>
              <w:rPr>
                <w:sz w:val="20"/>
                <w:szCs w:val="20"/>
                <w:lang w:val="es-ES"/>
              </w:rPr>
            </w:pPr>
            <w:r w:rsidRPr="00CB56EC">
              <w:rPr>
                <w:sz w:val="20"/>
                <w:szCs w:val="20"/>
                <w:lang w:val="es-ES"/>
              </w:rPr>
              <w:t>2)</w:t>
            </w:r>
            <w:r w:rsidRPr="00CB56EC">
              <w:rPr>
                <w:sz w:val="20"/>
                <w:szCs w:val="20"/>
                <w:lang w:val="es-ES"/>
              </w:rPr>
              <w:tab/>
              <w:t>La Administración de Macedonia del Norte y la Administración de Bosnia y Herzegovina solicitaron que se aplicara el § </w:t>
            </w:r>
            <w:r w:rsidRPr="00CB56EC">
              <w:rPr>
                <w:b/>
                <w:bCs/>
                <w:sz w:val="20"/>
                <w:szCs w:val="20"/>
                <w:lang w:val="es-ES"/>
              </w:rPr>
              <w:t>6.25</w:t>
            </w:r>
            <w:r w:rsidRPr="00CB56EC">
              <w:rPr>
                <w:sz w:val="20"/>
                <w:szCs w:val="20"/>
                <w:lang w:val="es-ES"/>
              </w:rPr>
              <w:t xml:space="preserve"> del Apéndice </w:t>
            </w:r>
            <w:r w:rsidRPr="00CB56EC">
              <w:rPr>
                <w:b/>
                <w:bCs/>
                <w:sz w:val="20"/>
                <w:szCs w:val="20"/>
                <w:lang w:val="es-ES"/>
              </w:rPr>
              <w:t>30B</w:t>
            </w:r>
            <w:r w:rsidRPr="00CB56EC">
              <w:rPr>
                <w:sz w:val="20"/>
                <w:szCs w:val="20"/>
                <w:lang w:val="es-ES"/>
              </w:rPr>
              <w:t xml:space="preserve"> a las redes afectadas de la Administración de la Federación de Rusia para las que no se ha obtenido acuerdo.</w:t>
            </w:r>
            <w:bookmarkStart w:id="5" w:name="_Hlk155790493"/>
          </w:p>
          <w:bookmarkEnd w:id="5"/>
          <w:p w14:paraId="73F4ECE8" w14:textId="37F237E2" w:rsidR="00CE6409" w:rsidRPr="00462968" w:rsidRDefault="00CE6409" w:rsidP="00CB56EC">
            <w:pPr>
              <w:jc w:val="left"/>
              <w:rPr>
                <w:i/>
                <w:iCs/>
                <w:sz w:val="20"/>
                <w:szCs w:val="20"/>
                <w:lang w:val="es-ES"/>
              </w:rPr>
            </w:pPr>
            <w:r w:rsidRPr="00CB56EC">
              <w:rPr>
                <w:i/>
                <w:iCs/>
                <w:sz w:val="20"/>
                <w:szCs w:val="20"/>
                <w:lang w:val="es-ES" w:eastAsia="zh-CN"/>
              </w:rPr>
              <w:t>*</w:t>
            </w:r>
            <w:r w:rsidRPr="00CB56EC">
              <w:rPr>
                <w:i/>
                <w:iCs/>
                <w:sz w:val="20"/>
                <w:szCs w:val="20"/>
                <w:lang w:val="es-ES"/>
              </w:rPr>
              <w:t>Nota: Los siete nuevos Estados Miembros de la UIT son: Bosnia y Herzegovina, Croacia (República de), Georgia, Macedonia del Norte (República de), Moldova (República de), Serbia (República de) y Sudán del Sur (República de).</w:t>
            </w:r>
          </w:p>
        </w:tc>
      </w:tr>
      <w:tr w:rsidR="00CE6409" w:rsidRPr="0067605C" w14:paraId="06871C8A" w14:textId="77777777" w:rsidTr="00662D47">
        <w:trPr>
          <w:trHeight w:val="1139"/>
        </w:trPr>
        <w:tc>
          <w:tcPr>
            <w:tcW w:w="1838" w:type="dxa"/>
          </w:tcPr>
          <w:p w14:paraId="3202CFE4" w14:textId="77777777" w:rsidR="00CE6409" w:rsidRPr="00CB56EC" w:rsidRDefault="00CE6409" w:rsidP="00CB56EC">
            <w:pPr>
              <w:jc w:val="left"/>
              <w:rPr>
                <w:b/>
                <w:sz w:val="20"/>
                <w:szCs w:val="20"/>
                <w:lang w:val="es-ES"/>
              </w:rPr>
            </w:pPr>
            <w:r w:rsidRPr="00CB56EC">
              <w:rPr>
                <w:b/>
                <w:sz w:val="20"/>
                <w:szCs w:val="20"/>
                <w:lang w:val="es-ES"/>
              </w:rPr>
              <w:t>Documento</w:t>
            </w:r>
            <w:r w:rsidR="0067605C">
              <w:fldChar w:fldCharType="begin"/>
            </w:r>
            <w:r w:rsidR="0067605C" w:rsidRPr="0067605C">
              <w:rPr>
                <w:lang w:val="fr-FR"/>
              </w:rPr>
              <w:instrText>HYPERLINK "https://www.itu.int/md/R23-WRC23-C-0528/en"</w:instrText>
            </w:r>
            <w:r w:rsidR="0067605C">
              <w:fldChar w:fldCharType="separate"/>
            </w:r>
            <w:r w:rsidRPr="00CB56EC">
              <w:rPr>
                <w:rStyle w:val="Hyperlink"/>
                <w:b/>
                <w:sz w:val="20"/>
                <w:szCs w:val="20"/>
                <w:lang w:val="es-ES"/>
              </w:rPr>
              <w:t xml:space="preserve"> CMR23/528</w:t>
            </w:r>
            <w:r w:rsidR="0067605C">
              <w:rPr>
                <w:rStyle w:val="Hyperlink"/>
                <w:b/>
                <w:sz w:val="20"/>
                <w:szCs w:val="20"/>
                <w:lang w:val="es-ES"/>
              </w:rPr>
              <w:fldChar w:fldCharType="end"/>
            </w:r>
            <w:r w:rsidRPr="00CB56EC">
              <w:rPr>
                <w:b/>
                <w:sz w:val="20"/>
                <w:szCs w:val="20"/>
                <w:lang w:val="es-ES"/>
              </w:rPr>
              <w:t xml:space="preserve"> – Actas de la Decimotercera Sesión Plenaria</w:t>
            </w:r>
          </w:p>
        </w:tc>
        <w:tc>
          <w:tcPr>
            <w:tcW w:w="1733" w:type="dxa"/>
          </w:tcPr>
          <w:p w14:paraId="30EE1CD8" w14:textId="494A0CF9" w:rsidR="00CE6409" w:rsidRPr="00CB56EC" w:rsidRDefault="00CE6409" w:rsidP="00CB56EC">
            <w:pPr>
              <w:spacing w:after="120" w:line="240" w:lineRule="auto"/>
              <w:jc w:val="left"/>
              <w:rPr>
                <w:b/>
                <w:sz w:val="20"/>
                <w:szCs w:val="20"/>
                <w:lang w:val="es-ES"/>
              </w:rPr>
            </w:pPr>
            <w:r w:rsidRPr="00CB56EC">
              <w:rPr>
                <w:b/>
                <w:sz w:val="20"/>
                <w:szCs w:val="20"/>
                <w:lang w:val="es-ES"/>
              </w:rPr>
              <w:t xml:space="preserve">§§ 13.y 13.5 </w:t>
            </w:r>
          </w:p>
          <w:p w14:paraId="39D55B18" w14:textId="77777777" w:rsidR="00CE6409" w:rsidRPr="00CB56EC" w:rsidRDefault="00CE6409" w:rsidP="00CB56EC">
            <w:pPr>
              <w:jc w:val="left"/>
              <w:rPr>
                <w:b/>
                <w:sz w:val="20"/>
                <w:szCs w:val="20"/>
                <w:lang w:val="es-ES"/>
              </w:rPr>
            </w:pPr>
            <w:r w:rsidRPr="00CB56EC">
              <w:rPr>
                <w:b/>
                <w:sz w:val="20"/>
                <w:szCs w:val="20"/>
                <w:lang w:val="es-ES"/>
              </w:rPr>
              <w:t xml:space="preserve">Aprobación del Documento </w:t>
            </w:r>
            <w:hyperlink r:id="rId20" w:history="1">
              <w:r w:rsidRPr="00CB56EC">
                <w:rPr>
                  <w:rStyle w:val="Hyperlink"/>
                  <w:b/>
                  <w:sz w:val="20"/>
                  <w:szCs w:val="20"/>
                  <w:lang w:val="es-ES"/>
                </w:rPr>
                <w:t>494</w:t>
              </w:r>
            </w:hyperlink>
          </w:p>
        </w:tc>
        <w:tc>
          <w:tcPr>
            <w:tcW w:w="10712" w:type="dxa"/>
          </w:tcPr>
          <w:p w14:paraId="49146C47" w14:textId="77777777" w:rsidR="00CE6409" w:rsidRPr="00CB56EC" w:rsidRDefault="00CE6409" w:rsidP="00CB56EC">
            <w:pPr>
              <w:spacing w:after="120" w:line="240" w:lineRule="auto"/>
              <w:jc w:val="left"/>
              <w:rPr>
                <w:b/>
                <w:bCs/>
                <w:sz w:val="20"/>
                <w:szCs w:val="20"/>
                <w:lang w:val="es-ES"/>
              </w:rPr>
            </w:pPr>
            <w:r w:rsidRPr="00CB56EC">
              <w:rPr>
                <w:b/>
                <w:bCs/>
                <w:sz w:val="20"/>
                <w:szCs w:val="20"/>
                <w:lang w:val="es-ES"/>
              </w:rPr>
              <w:t xml:space="preserve">Cuestiones relativas a la prórroga de los plazos para la puesta en servicio, o la reanudación del servicio, de una asignación de frecuencias </w:t>
            </w:r>
          </w:p>
          <w:p w14:paraId="2F8AC15A" w14:textId="77777777" w:rsidR="00CE6409" w:rsidRPr="00CB56EC" w:rsidRDefault="00CE6409" w:rsidP="00CB56EC">
            <w:pPr>
              <w:spacing w:after="120" w:line="240" w:lineRule="auto"/>
              <w:jc w:val="left"/>
              <w:rPr>
                <w:sz w:val="20"/>
                <w:szCs w:val="20"/>
                <w:lang w:val="es-ES"/>
              </w:rPr>
            </w:pPr>
            <w:r w:rsidRPr="00CB56EC">
              <w:rPr>
                <w:sz w:val="20"/>
                <w:szCs w:val="20"/>
                <w:lang w:val="es-ES"/>
              </w:rPr>
              <w:t>La CMR-23 confirma que, si bien cada caso se examina con base a su fondo, el hecho de proporcionar la siguiente información facilita el examen de una petición de prórroga del plazo reglamentario por motivo de fuerza mayor por la Junta:</w:t>
            </w:r>
          </w:p>
          <w:p w14:paraId="79286033" w14:textId="77777777" w:rsidR="00CE6409" w:rsidRPr="00CB56EC" w:rsidRDefault="00CE6409" w:rsidP="00CB56EC">
            <w:pPr>
              <w:pStyle w:val="enumlev1"/>
              <w:jc w:val="left"/>
              <w:rPr>
                <w:sz w:val="20"/>
                <w:szCs w:val="20"/>
                <w:lang w:val="es-ES"/>
              </w:rPr>
            </w:pPr>
            <w:bookmarkStart w:id="6" w:name="lt_pId514"/>
            <w:r w:rsidRPr="00CB56EC">
              <w:rPr>
                <w:sz w:val="20"/>
                <w:szCs w:val="20"/>
                <w:lang w:val="es-ES"/>
              </w:rPr>
              <w:t>–</w:t>
            </w:r>
            <w:r w:rsidRPr="00CB56EC">
              <w:rPr>
                <w:sz w:val="20"/>
                <w:szCs w:val="20"/>
                <w:lang w:val="es-ES"/>
              </w:rPr>
              <w:tab/>
              <w:t>una descripción resumida del satélite que se prevé lanzar, incluidas las bandas de frecuencias pertinentes;</w:t>
            </w:r>
          </w:p>
          <w:p w14:paraId="1CFF81CF" w14:textId="77777777" w:rsidR="00CE6409" w:rsidRPr="00CB56EC" w:rsidRDefault="00CE6409" w:rsidP="00CB56EC">
            <w:pPr>
              <w:pStyle w:val="enumlev1"/>
              <w:jc w:val="left"/>
              <w:rPr>
                <w:sz w:val="20"/>
                <w:szCs w:val="20"/>
                <w:lang w:val="es-ES"/>
              </w:rPr>
            </w:pPr>
            <w:r w:rsidRPr="00CB56EC">
              <w:rPr>
                <w:sz w:val="20"/>
                <w:szCs w:val="20"/>
                <w:lang w:val="es-ES"/>
              </w:rPr>
              <w:t>–</w:t>
            </w:r>
            <w:r w:rsidRPr="00CB56EC">
              <w:rPr>
                <w:sz w:val="20"/>
                <w:szCs w:val="20"/>
                <w:lang w:val="es-ES"/>
              </w:rPr>
              <w:tab/>
              <w:t>el nombre del fabricante seleccionado para fabricar el satélite y la fecha de firma del contrato;</w:t>
            </w:r>
          </w:p>
          <w:p w14:paraId="1123B0A7" w14:textId="77777777" w:rsidR="00CE6409" w:rsidRPr="00CB56EC" w:rsidRDefault="00CE6409" w:rsidP="00CB56EC">
            <w:pPr>
              <w:pStyle w:val="enumlev1"/>
              <w:jc w:val="left"/>
              <w:rPr>
                <w:sz w:val="20"/>
                <w:szCs w:val="20"/>
                <w:lang w:val="es-ES"/>
              </w:rPr>
            </w:pPr>
            <w:r w:rsidRPr="00CB56EC">
              <w:rPr>
                <w:sz w:val="20"/>
                <w:szCs w:val="20"/>
                <w:lang w:val="es-ES"/>
              </w:rPr>
              <w:t>–</w:t>
            </w:r>
            <w:r w:rsidRPr="00CB56EC">
              <w:rPr>
                <w:sz w:val="20"/>
                <w:szCs w:val="20"/>
                <w:lang w:val="es-ES"/>
              </w:rPr>
              <w:tab/>
              <w:t>el estado relativo a la fabricación del satélite antes del suceso de fuerza mayor, incluida la fecha en que se inició la fabricación y la aclaración de si estaba previsto que concluyera antes de la ventana de lanzamiento inicial;</w:t>
            </w:r>
          </w:p>
          <w:p w14:paraId="213CB0F7" w14:textId="77777777" w:rsidR="00CE6409" w:rsidRPr="00CB56EC" w:rsidRDefault="00CE6409" w:rsidP="00CB56EC">
            <w:pPr>
              <w:pStyle w:val="enumlev1"/>
              <w:jc w:val="left"/>
              <w:rPr>
                <w:sz w:val="20"/>
                <w:szCs w:val="20"/>
                <w:lang w:val="es-ES"/>
              </w:rPr>
            </w:pPr>
            <w:r w:rsidRPr="00CB56EC">
              <w:rPr>
                <w:sz w:val="20"/>
                <w:szCs w:val="20"/>
                <w:lang w:val="es-ES"/>
              </w:rPr>
              <w:t>–</w:t>
            </w:r>
            <w:r w:rsidRPr="00CB56EC">
              <w:rPr>
                <w:sz w:val="20"/>
                <w:szCs w:val="20"/>
                <w:lang w:val="es-ES"/>
              </w:rPr>
              <w:tab/>
              <w:t>el nombre del proveedor del servicio de lanzamiento y la fecha de firma del contrato;</w:t>
            </w:r>
          </w:p>
          <w:p w14:paraId="305DB359" w14:textId="77777777" w:rsidR="00CE6409" w:rsidRPr="00CB56EC" w:rsidRDefault="00CE6409" w:rsidP="00CB56EC">
            <w:pPr>
              <w:pStyle w:val="enumlev1"/>
              <w:jc w:val="left"/>
              <w:rPr>
                <w:sz w:val="20"/>
                <w:szCs w:val="20"/>
                <w:lang w:val="es-ES"/>
              </w:rPr>
            </w:pPr>
            <w:r w:rsidRPr="00CB56EC">
              <w:rPr>
                <w:sz w:val="20"/>
                <w:szCs w:val="20"/>
                <w:lang w:val="es-ES"/>
              </w:rPr>
              <w:lastRenderedPageBreak/>
              <w:t>–</w:t>
            </w:r>
            <w:r w:rsidRPr="00CB56EC">
              <w:rPr>
                <w:sz w:val="20"/>
                <w:szCs w:val="20"/>
                <w:lang w:val="es-ES"/>
              </w:rPr>
              <w:tab/>
              <w:t>los esfuerzos desplegados y las medidas adoptadas o previstas para evitar el incumplimiento del plazo fijado, superar las dificultades planteadas y adelantar los plazos del proyecto en consecuencia, de ser posible, con pruebas justificativas del fabricante del satélite y/o del proveedor del servicio de lanzamiento, según proceda;</w:t>
            </w:r>
          </w:p>
          <w:p w14:paraId="15B618FA" w14:textId="77777777" w:rsidR="00CE6409" w:rsidRPr="00CB56EC" w:rsidRDefault="00CE6409" w:rsidP="00CB56EC">
            <w:pPr>
              <w:pStyle w:val="enumlev1"/>
              <w:jc w:val="left"/>
              <w:rPr>
                <w:sz w:val="20"/>
                <w:szCs w:val="20"/>
                <w:lang w:val="es-ES"/>
              </w:rPr>
            </w:pPr>
            <w:r w:rsidRPr="00CB56EC">
              <w:rPr>
                <w:sz w:val="20"/>
                <w:szCs w:val="20"/>
                <w:lang w:val="es-ES"/>
              </w:rPr>
              <w:t>–</w:t>
            </w:r>
            <w:r w:rsidRPr="00CB56EC">
              <w:rPr>
                <w:sz w:val="20"/>
                <w:szCs w:val="20"/>
                <w:lang w:val="es-ES"/>
              </w:rPr>
              <w:tab/>
              <w:t xml:space="preserve">una justificación y un análisis pormenorizados sobre la base de los cuatro requisitos de </w:t>
            </w:r>
            <w:r w:rsidRPr="00CB56EC">
              <w:rPr>
                <w:iCs/>
                <w:sz w:val="20"/>
                <w:szCs w:val="20"/>
                <w:lang w:val="es-ES"/>
              </w:rPr>
              <w:t>fuerza mayor</w:t>
            </w:r>
            <w:r w:rsidRPr="00CB56EC">
              <w:rPr>
                <w:sz w:val="20"/>
                <w:szCs w:val="20"/>
                <w:lang w:val="es-ES"/>
              </w:rPr>
              <w:t>:</w:t>
            </w:r>
          </w:p>
          <w:p w14:paraId="05E8F8C7" w14:textId="77777777" w:rsidR="00CE6409" w:rsidRPr="00CB56EC" w:rsidRDefault="00CE6409" w:rsidP="00CB56EC">
            <w:pPr>
              <w:pStyle w:val="enumlev2"/>
              <w:jc w:val="left"/>
              <w:rPr>
                <w:sz w:val="20"/>
                <w:szCs w:val="20"/>
                <w:lang w:val="es-ES"/>
              </w:rPr>
            </w:pPr>
            <w:r w:rsidRPr="00CB56EC">
              <w:rPr>
                <w:sz w:val="20"/>
                <w:szCs w:val="20"/>
                <w:lang w:val="es-ES"/>
              </w:rPr>
              <w:t>1</w:t>
            </w:r>
            <w:r w:rsidRPr="00CB56EC">
              <w:rPr>
                <w:sz w:val="20"/>
                <w:szCs w:val="20"/>
                <w:lang w:val="es-ES"/>
              </w:rPr>
              <w:tab/>
              <w:t>el evento debe ser ajeno a la voluntad del obligado;</w:t>
            </w:r>
          </w:p>
          <w:p w14:paraId="559CA87C" w14:textId="77777777" w:rsidR="00CE6409" w:rsidRPr="00CB56EC" w:rsidRDefault="00CE6409" w:rsidP="00CB56EC">
            <w:pPr>
              <w:pStyle w:val="enumlev2"/>
              <w:jc w:val="left"/>
              <w:rPr>
                <w:sz w:val="20"/>
                <w:szCs w:val="20"/>
                <w:lang w:val="es-ES"/>
              </w:rPr>
            </w:pPr>
            <w:r w:rsidRPr="00CB56EC">
              <w:rPr>
                <w:sz w:val="20"/>
                <w:szCs w:val="20"/>
                <w:lang w:val="es-ES"/>
              </w:rPr>
              <w:t>2</w:t>
            </w:r>
            <w:r w:rsidRPr="00CB56EC">
              <w:rPr>
                <w:sz w:val="20"/>
                <w:szCs w:val="20"/>
                <w:lang w:val="es-ES"/>
              </w:rPr>
              <w:tab/>
              <w:t>el evento que constituye la fuerza mayor debe ser imprevisto o, de haberse previsto, debe ser inevitable o irresistible;</w:t>
            </w:r>
          </w:p>
          <w:p w14:paraId="75F86DBE" w14:textId="77777777" w:rsidR="00CE6409" w:rsidRPr="00CB56EC" w:rsidRDefault="00CE6409" w:rsidP="00CB56EC">
            <w:pPr>
              <w:pStyle w:val="enumlev2"/>
              <w:jc w:val="left"/>
              <w:rPr>
                <w:sz w:val="20"/>
                <w:szCs w:val="20"/>
                <w:lang w:val="es-ES"/>
              </w:rPr>
            </w:pPr>
            <w:r w:rsidRPr="00CB56EC">
              <w:rPr>
                <w:sz w:val="20"/>
                <w:szCs w:val="20"/>
                <w:lang w:val="es-ES"/>
              </w:rPr>
              <w:t>3</w:t>
            </w:r>
            <w:r w:rsidRPr="00CB56EC">
              <w:rPr>
                <w:sz w:val="20"/>
                <w:szCs w:val="20"/>
                <w:lang w:val="es-ES"/>
              </w:rPr>
              <w:tab/>
              <w:t>el evento debe impedir el cumplimiento de la obligación por parte del obligado;</w:t>
            </w:r>
          </w:p>
          <w:p w14:paraId="569703EA" w14:textId="77777777" w:rsidR="00CE6409" w:rsidRPr="00CB56EC" w:rsidRDefault="00CE6409" w:rsidP="00CB56EC">
            <w:pPr>
              <w:pStyle w:val="enumlev2"/>
              <w:jc w:val="left"/>
              <w:rPr>
                <w:sz w:val="20"/>
                <w:szCs w:val="20"/>
                <w:lang w:val="es-ES"/>
              </w:rPr>
            </w:pPr>
            <w:r w:rsidRPr="00CB56EC">
              <w:rPr>
                <w:sz w:val="20"/>
                <w:szCs w:val="20"/>
                <w:lang w:val="es-ES"/>
              </w:rPr>
              <w:t>4</w:t>
            </w:r>
            <w:r w:rsidRPr="00CB56EC">
              <w:rPr>
                <w:sz w:val="20"/>
                <w:szCs w:val="20"/>
                <w:lang w:val="es-ES"/>
              </w:rPr>
              <w:tab/>
              <w:t>debe existir una relación de causalidad entre el hecho que constituye fuerza mayor y el incumplimiento por parte del sujeto de obligación,</w:t>
            </w:r>
          </w:p>
          <w:p w14:paraId="7A7E0571" w14:textId="77777777" w:rsidR="00CE6409" w:rsidRPr="00CB56EC" w:rsidRDefault="00CE6409" w:rsidP="00CB56EC">
            <w:pPr>
              <w:pStyle w:val="enumlev1"/>
              <w:jc w:val="left"/>
              <w:rPr>
                <w:sz w:val="20"/>
                <w:szCs w:val="20"/>
                <w:lang w:val="es-ES"/>
              </w:rPr>
            </w:pPr>
            <w:r w:rsidRPr="00CB56EC">
              <w:rPr>
                <w:sz w:val="20"/>
                <w:szCs w:val="20"/>
                <w:lang w:val="es-ES"/>
              </w:rPr>
              <w:t>–</w:t>
            </w:r>
            <w:r w:rsidRPr="00CB56EC">
              <w:rPr>
                <w:sz w:val="20"/>
                <w:szCs w:val="20"/>
                <w:lang w:val="es-ES"/>
              </w:rPr>
              <w:tab/>
              <w:t>las etapas iniciales y revisadas del proyecto referentes a la producción, la ventana de lanzamiento, el lanzamiento y la elevación orbital del satélite, así como el calendario para la reubicación del satélite y la realización de pruebas en órbita si, tras su lanzamiento, el satélite no se sitúa directamente en su posición orbital nominal o en su órbita no geoestacionaria;</w:t>
            </w:r>
          </w:p>
          <w:p w14:paraId="4FA3AD4C" w14:textId="77777777" w:rsidR="00CE6409" w:rsidRPr="00CB56EC" w:rsidRDefault="00CE6409" w:rsidP="00CB56EC">
            <w:pPr>
              <w:pStyle w:val="enumlev1"/>
              <w:jc w:val="left"/>
              <w:rPr>
                <w:sz w:val="20"/>
                <w:szCs w:val="20"/>
                <w:lang w:val="es-ES"/>
              </w:rPr>
            </w:pPr>
            <w:r w:rsidRPr="00CB56EC">
              <w:rPr>
                <w:sz w:val="20"/>
                <w:szCs w:val="20"/>
                <w:lang w:val="es-ES"/>
              </w:rPr>
              <w:t>–</w:t>
            </w:r>
            <w:r w:rsidRPr="00CB56EC">
              <w:rPr>
                <w:sz w:val="20"/>
                <w:szCs w:val="20"/>
                <w:lang w:val="es-ES"/>
              </w:rPr>
              <w:tab/>
              <w:t>una justificación pormenorizada de la duración de la prórroga solicitada, incluido un desglose de las características y del alcance del retraso producido, el retraso suplementario previsto por el fabricante y el proveedor del servicio de lanzamiento, y cualquier otra contingencia programada; y</w:t>
            </w:r>
          </w:p>
          <w:p w14:paraId="553C1027" w14:textId="77777777" w:rsidR="00CE6409" w:rsidRPr="00CB56EC" w:rsidRDefault="00CE6409" w:rsidP="00CB56EC">
            <w:pPr>
              <w:pStyle w:val="enumlev1"/>
              <w:jc w:val="left"/>
              <w:rPr>
                <w:sz w:val="20"/>
                <w:szCs w:val="20"/>
                <w:lang w:val="es-ES"/>
              </w:rPr>
            </w:pPr>
            <w:r w:rsidRPr="00CB56EC">
              <w:rPr>
                <w:sz w:val="20"/>
                <w:szCs w:val="20"/>
                <w:lang w:val="es-ES"/>
              </w:rPr>
              <w:t>–</w:t>
            </w:r>
            <w:r w:rsidRPr="00CB56EC">
              <w:rPr>
                <w:sz w:val="20"/>
                <w:szCs w:val="20"/>
                <w:lang w:val="es-ES"/>
              </w:rPr>
              <w:tab/>
              <w:t>cualquier otra información y documentación pertinente.</w:t>
            </w:r>
          </w:p>
          <w:bookmarkEnd w:id="6"/>
          <w:p w14:paraId="7C44964F" w14:textId="77777777" w:rsidR="00CE6409" w:rsidRPr="00CB56EC" w:rsidRDefault="00CE6409" w:rsidP="00CB56EC">
            <w:pPr>
              <w:jc w:val="left"/>
              <w:rPr>
                <w:sz w:val="20"/>
                <w:szCs w:val="20"/>
                <w:lang w:val="es-ES"/>
              </w:rPr>
            </w:pPr>
            <w:r w:rsidRPr="00CB56EC">
              <w:rPr>
                <w:sz w:val="20"/>
                <w:szCs w:val="20"/>
                <w:lang w:val="es-ES"/>
              </w:rPr>
              <w:t>La CMR-23 confirma también el enfoque de la junta con respecto a los periodos de contingencia para determinar la duración de una prórroga en casos de fuerza mayor.</w:t>
            </w:r>
          </w:p>
          <w:p w14:paraId="6E475559" w14:textId="77777777" w:rsidR="00CE6409" w:rsidRPr="00CB56EC" w:rsidRDefault="00CE6409" w:rsidP="00CB56EC">
            <w:pPr>
              <w:jc w:val="left"/>
              <w:rPr>
                <w:sz w:val="20"/>
                <w:szCs w:val="20"/>
                <w:lang w:val="es-ES"/>
              </w:rPr>
            </w:pPr>
            <w:r w:rsidRPr="00CB56EC">
              <w:rPr>
                <w:sz w:val="20"/>
                <w:szCs w:val="20"/>
                <w:lang w:val="es-ES"/>
              </w:rPr>
              <w:t>La CMR-23 observó también que la Junta está examinando para cada caso en qué medida se cumplen las cuatro condiciones de fuerza mayor al invocarse la pandemia de COVID-19 como suceso de fuerza mayor.</w:t>
            </w:r>
          </w:p>
          <w:p w14:paraId="41A232E4" w14:textId="77777777" w:rsidR="00CE6409" w:rsidRPr="00CB56EC" w:rsidRDefault="00CE6409" w:rsidP="00CB56EC">
            <w:pPr>
              <w:jc w:val="left"/>
              <w:rPr>
                <w:sz w:val="20"/>
                <w:szCs w:val="20"/>
                <w:lang w:val="es-ES"/>
              </w:rPr>
            </w:pPr>
            <w:r w:rsidRPr="00CB56EC">
              <w:rPr>
                <w:bCs/>
                <w:sz w:val="20"/>
                <w:szCs w:val="20"/>
                <w:lang w:val="es-ES"/>
              </w:rPr>
              <w:t>La CMR</w:t>
            </w:r>
            <w:r w:rsidRPr="00CB56EC">
              <w:rPr>
                <w:sz w:val="20"/>
                <w:szCs w:val="20"/>
                <w:lang w:val="es-ES"/>
              </w:rPr>
              <w:t>-23 encarga a la Junta que refleje las confirmaciones anteriores en el procedimiento relativo a la prórroga del plazo reglamentario de puesta en servicio de las asignaciones de satélites.</w:t>
            </w:r>
          </w:p>
        </w:tc>
      </w:tr>
      <w:tr w:rsidR="00CE6409" w:rsidRPr="0067605C" w14:paraId="20C54980" w14:textId="77777777" w:rsidTr="00662D47">
        <w:trPr>
          <w:trHeight w:val="1139"/>
        </w:trPr>
        <w:tc>
          <w:tcPr>
            <w:tcW w:w="1838" w:type="dxa"/>
          </w:tcPr>
          <w:p w14:paraId="085E8718" w14:textId="4E699587" w:rsidR="00CE6409" w:rsidRPr="00CB56EC" w:rsidRDefault="00CE6409" w:rsidP="00CB56EC">
            <w:pPr>
              <w:jc w:val="left"/>
              <w:rPr>
                <w:b/>
                <w:sz w:val="20"/>
                <w:szCs w:val="20"/>
                <w:lang w:val="es-ES"/>
              </w:rPr>
            </w:pPr>
            <w:r w:rsidRPr="00CB56EC">
              <w:rPr>
                <w:b/>
                <w:sz w:val="20"/>
                <w:szCs w:val="20"/>
                <w:lang w:val="es-ES"/>
              </w:rPr>
              <w:lastRenderedPageBreak/>
              <w:t xml:space="preserve">Documento </w:t>
            </w:r>
            <w:r w:rsidR="0067605C">
              <w:fldChar w:fldCharType="begin"/>
            </w:r>
            <w:r w:rsidR="0067605C" w:rsidRPr="0067605C">
              <w:rPr>
                <w:lang w:val="fr-FR"/>
              </w:rPr>
              <w:instrText>HYPERLINK "https://www.itu.int/md/R23-WRC23-C-0528/en"</w:instrText>
            </w:r>
            <w:r w:rsidR="0067605C">
              <w:fldChar w:fldCharType="separate"/>
            </w:r>
            <w:r w:rsidRPr="00CB56EC">
              <w:rPr>
                <w:rStyle w:val="Hyperlink"/>
                <w:b/>
                <w:sz w:val="20"/>
                <w:szCs w:val="20"/>
                <w:lang w:val="es-ES"/>
              </w:rPr>
              <w:t>CMR23/528</w:t>
            </w:r>
            <w:r w:rsidR="0067605C">
              <w:rPr>
                <w:rStyle w:val="Hyperlink"/>
                <w:b/>
                <w:sz w:val="20"/>
                <w:szCs w:val="20"/>
                <w:lang w:val="es-ES"/>
              </w:rPr>
              <w:fldChar w:fldCharType="end"/>
            </w:r>
            <w:r w:rsidRPr="00CB56EC">
              <w:rPr>
                <w:b/>
                <w:sz w:val="20"/>
                <w:szCs w:val="20"/>
                <w:lang w:val="es-ES"/>
              </w:rPr>
              <w:t xml:space="preserve"> – Actas de la Decimotercera Sesión Plenaria</w:t>
            </w:r>
          </w:p>
        </w:tc>
        <w:tc>
          <w:tcPr>
            <w:tcW w:w="1733" w:type="dxa"/>
          </w:tcPr>
          <w:p w14:paraId="2D715699" w14:textId="77777777" w:rsidR="00CE6409" w:rsidRPr="00CB56EC" w:rsidRDefault="00CE6409" w:rsidP="00CB56EC">
            <w:pPr>
              <w:spacing w:after="120" w:line="240" w:lineRule="auto"/>
              <w:jc w:val="left"/>
              <w:rPr>
                <w:b/>
                <w:sz w:val="20"/>
                <w:szCs w:val="20"/>
                <w:lang w:val="es-ES"/>
              </w:rPr>
            </w:pPr>
            <w:r w:rsidRPr="00CB56EC">
              <w:rPr>
                <w:b/>
                <w:sz w:val="20"/>
                <w:szCs w:val="20"/>
                <w:lang w:val="es-ES"/>
              </w:rPr>
              <w:t xml:space="preserve">§§ 13.6 y 13.7 </w:t>
            </w:r>
          </w:p>
          <w:p w14:paraId="7013EBDE" w14:textId="77777777" w:rsidR="00CE6409" w:rsidRPr="00CB56EC" w:rsidRDefault="00CE6409" w:rsidP="00CB56EC">
            <w:pPr>
              <w:spacing w:after="120" w:line="240" w:lineRule="auto"/>
              <w:jc w:val="left"/>
              <w:rPr>
                <w:b/>
                <w:sz w:val="20"/>
                <w:szCs w:val="20"/>
                <w:lang w:val="es-ES"/>
              </w:rPr>
            </w:pPr>
            <w:r w:rsidRPr="00CB56EC">
              <w:rPr>
                <w:b/>
                <w:sz w:val="20"/>
                <w:szCs w:val="20"/>
                <w:lang w:val="es-ES"/>
              </w:rPr>
              <w:t xml:space="preserve">Aprobación del Documento </w:t>
            </w:r>
            <w:hyperlink r:id="rId21" w:history="1">
              <w:r w:rsidRPr="00CB56EC">
                <w:rPr>
                  <w:rStyle w:val="Hyperlink"/>
                  <w:b/>
                  <w:sz w:val="20"/>
                  <w:szCs w:val="20"/>
                  <w:lang w:val="es-ES"/>
                </w:rPr>
                <w:t>494</w:t>
              </w:r>
            </w:hyperlink>
          </w:p>
        </w:tc>
        <w:tc>
          <w:tcPr>
            <w:tcW w:w="10712" w:type="dxa"/>
          </w:tcPr>
          <w:p w14:paraId="474C9E02" w14:textId="77777777" w:rsidR="00CE6409" w:rsidRPr="00CB56EC" w:rsidRDefault="00CE6409" w:rsidP="00CB56EC">
            <w:pPr>
              <w:spacing w:after="120" w:line="240" w:lineRule="auto"/>
              <w:jc w:val="left"/>
              <w:rPr>
                <w:sz w:val="20"/>
                <w:szCs w:val="20"/>
                <w:lang w:val="es-ES" w:eastAsia="zh-CN"/>
              </w:rPr>
            </w:pPr>
            <w:r w:rsidRPr="00CB56EC">
              <w:rPr>
                <w:sz w:val="20"/>
                <w:szCs w:val="20"/>
                <w:lang w:val="es-ES"/>
              </w:rPr>
              <w:t xml:space="preserve">La CMR-23 confirma que debería revisarse del siguiente modo la decisión de la CMR-19 relativa al suministro de información necesaria al tratar una solicitud de prórroga de plazos reglamentarios </w:t>
            </w:r>
            <w:proofErr w:type="gramStart"/>
            <w:r w:rsidRPr="00CB56EC">
              <w:rPr>
                <w:sz w:val="20"/>
                <w:szCs w:val="20"/>
                <w:lang w:val="es-ES"/>
              </w:rPr>
              <w:t>en razón de</w:t>
            </w:r>
            <w:proofErr w:type="gramEnd"/>
            <w:r w:rsidRPr="00CB56EC">
              <w:rPr>
                <w:sz w:val="20"/>
                <w:szCs w:val="20"/>
                <w:lang w:val="es-ES"/>
              </w:rPr>
              <w:t xml:space="preserve"> un retraso por lanzamiento colectivo</w:t>
            </w:r>
            <w:r w:rsidRPr="00CB56EC">
              <w:rPr>
                <w:sz w:val="20"/>
                <w:szCs w:val="20"/>
                <w:lang w:val="es-ES" w:eastAsia="zh-CN"/>
              </w:rPr>
              <w:t>:</w:t>
            </w:r>
          </w:p>
          <w:p w14:paraId="61567E07" w14:textId="77777777" w:rsidR="00CE6409" w:rsidRPr="00CB56EC" w:rsidRDefault="00CE6409" w:rsidP="00CB56EC">
            <w:pPr>
              <w:pStyle w:val="enumlev1"/>
              <w:jc w:val="left"/>
              <w:rPr>
                <w:sz w:val="20"/>
                <w:szCs w:val="20"/>
                <w:lang w:val="es-ES"/>
              </w:rPr>
            </w:pPr>
            <w:r w:rsidRPr="00CB56EC">
              <w:rPr>
                <w:sz w:val="20"/>
                <w:szCs w:val="20"/>
                <w:lang w:val="es-ES"/>
              </w:rPr>
              <w:t>–</w:t>
            </w:r>
            <w:r w:rsidRPr="00CB56EC">
              <w:rPr>
                <w:sz w:val="20"/>
                <w:szCs w:val="20"/>
                <w:lang w:val="es-ES"/>
              </w:rPr>
              <w:tab/>
              <w:t>una descripción resumida del satélite que se va a lanzar, incluidas las bandas de frecuencias;</w:t>
            </w:r>
          </w:p>
          <w:p w14:paraId="4E2DC170" w14:textId="77777777" w:rsidR="00CE6409" w:rsidRPr="00CB56EC" w:rsidRDefault="00CE6409" w:rsidP="00CB56EC">
            <w:pPr>
              <w:pStyle w:val="enumlev1"/>
              <w:jc w:val="left"/>
              <w:rPr>
                <w:sz w:val="20"/>
                <w:szCs w:val="20"/>
                <w:lang w:val="es-ES"/>
              </w:rPr>
            </w:pPr>
            <w:r w:rsidRPr="00CB56EC">
              <w:rPr>
                <w:sz w:val="20"/>
                <w:szCs w:val="20"/>
                <w:lang w:val="es-ES"/>
              </w:rPr>
              <w:t>–</w:t>
            </w:r>
            <w:r w:rsidRPr="00CB56EC">
              <w:rPr>
                <w:sz w:val="20"/>
                <w:szCs w:val="20"/>
                <w:lang w:val="es-ES"/>
              </w:rPr>
              <w:tab/>
              <w:t>el nombre del fabricante seleccionado para fabricar el satélite y la fecha de firma del contrato;</w:t>
            </w:r>
          </w:p>
          <w:p w14:paraId="4C62B8EF" w14:textId="77777777" w:rsidR="00CE6409" w:rsidRPr="00CB56EC" w:rsidRDefault="00CE6409" w:rsidP="00CB56EC">
            <w:pPr>
              <w:pStyle w:val="enumlev1"/>
              <w:jc w:val="left"/>
              <w:rPr>
                <w:sz w:val="20"/>
                <w:szCs w:val="20"/>
                <w:lang w:val="es-ES"/>
              </w:rPr>
            </w:pPr>
            <w:r w:rsidRPr="00CB56EC">
              <w:rPr>
                <w:sz w:val="20"/>
                <w:szCs w:val="20"/>
                <w:lang w:val="es-ES"/>
              </w:rPr>
              <w:t>–</w:t>
            </w:r>
            <w:r w:rsidRPr="00CB56EC">
              <w:rPr>
                <w:sz w:val="20"/>
                <w:szCs w:val="20"/>
                <w:lang w:val="es-ES"/>
              </w:rPr>
              <w:tab/>
              <w:t>el estado relativo a la construcción del satélite, incluida la fecha en que se inició la construcción y si estaba previsto concluirla antes de la ventana de lanzamiento inicial;</w:t>
            </w:r>
          </w:p>
          <w:p w14:paraId="025D7B19" w14:textId="77777777" w:rsidR="00CE6409" w:rsidRPr="00CB56EC" w:rsidRDefault="00CE6409" w:rsidP="00CB56EC">
            <w:pPr>
              <w:pStyle w:val="enumlev1"/>
              <w:jc w:val="left"/>
              <w:rPr>
                <w:sz w:val="20"/>
                <w:szCs w:val="20"/>
                <w:lang w:val="es-ES"/>
              </w:rPr>
            </w:pPr>
            <w:r w:rsidRPr="00CB56EC">
              <w:rPr>
                <w:sz w:val="20"/>
                <w:szCs w:val="20"/>
                <w:lang w:val="es-ES"/>
              </w:rPr>
              <w:t>–</w:t>
            </w:r>
            <w:r w:rsidRPr="00CB56EC">
              <w:rPr>
                <w:sz w:val="20"/>
                <w:szCs w:val="20"/>
                <w:lang w:val="es-ES"/>
              </w:rPr>
              <w:tab/>
              <w:t>el nombre del proveedor del servicio de lanzamiento y la fecha de firma del contrato;</w:t>
            </w:r>
          </w:p>
          <w:p w14:paraId="5748327E" w14:textId="77777777" w:rsidR="00CE6409" w:rsidRPr="00CB56EC" w:rsidRDefault="00CE6409" w:rsidP="00CB56EC">
            <w:pPr>
              <w:pStyle w:val="enumlev1"/>
              <w:jc w:val="left"/>
              <w:rPr>
                <w:sz w:val="20"/>
                <w:szCs w:val="20"/>
                <w:lang w:val="es-ES"/>
              </w:rPr>
            </w:pPr>
            <w:r w:rsidRPr="00CB56EC">
              <w:rPr>
                <w:sz w:val="20"/>
                <w:szCs w:val="20"/>
                <w:lang w:val="es-ES"/>
              </w:rPr>
              <w:t>–</w:t>
            </w:r>
            <w:r w:rsidRPr="00CB56EC">
              <w:rPr>
                <w:sz w:val="20"/>
                <w:szCs w:val="20"/>
                <w:lang w:val="es-ES"/>
              </w:rPr>
              <w:tab/>
              <w:t>los plazos principales del proyecto iniciales y los revisados relativos a la ventana de lanzamiento, el lanzamiento y la elevación orbital del satélite, así como el calendario para la reubicación del satélite y la realización de pruebas en órbita si, tras su lanzamiento, el satélite no se sitúa directamente en su posición orbital nominal o en su órbita no geoestacionaria;</w:t>
            </w:r>
          </w:p>
          <w:p w14:paraId="07C5DF66" w14:textId="77777777" w:rsidR="00CE6409" w:rsidRPr="00CB56EC" w:rsidRDefault="00CE6409" w:rsidP="00CB56EC">
            <w:pPr>
              <w:pStyle w:val="enumlev1"/>
              <w:jc w:val="left"/>
              <w:rPr>
                <w:sz w:val="20"/>
                <w:szCs w:val="20"/>
                <w:lang w:val="es-ES"/>
              </w:rPr>
            </w:pPr>
            <w:r w:rsidRPr="00CB56EC">
              <w:rPr>
                <w:sz w:val="20"/>
                <w:szCs w:val="20"/>
                <w:lang w:val="es-ES"/>
              </w:rPr>
              <w:t>–</w:t>
            </w:r>
            <w:r w:rsidRPr="00CB56EC">
              <w:rPr>
                <w:sz w:val="20"/>
                <w:szCs w:val="20"/>
                <w:lang w:val="es-ES"/>
              </w:rPr>
              <w:tab/>
              <w:t>información suficientemente detallada para justificar que la solicitud de prórroga se debe a un retraso del lanzamiento colectivo (por ejemplo, una carta del proveedor del servicio de lanzamiento indicando que se retrasa el lanzamiento debido a un retraso que afecta al otro satélite pasajero);</w:t>
            </w:r>
          </w:p>
          <w:p w14:paraId="4D180B72" w14:textId="77777777" w:rsidR="00CE6409" w:rsidRPr="00CB56EC" w:rsidRDefault="00CE6409" w:rsidP="00CB56EC">
            <w:pPr>
              <w:pStyle w:val="enumlev1"/>
              <w:jc w:val="left"/>
              <w:rPr>
                <w:sz w:val="20"/>
                <w:szCs w:val="20"/>
                <w:lang w:val="es-ES"/>
              </w:rPr>
            </w:pPr>
            <w:r w:rsidRPr="00CB56EC">
              <w:rPr>
                <w:sz w:val="20"/>
                <w:szCs w:val="20"/>
                <w:lang w:val="es-ES"/>
              </w:rPr>
              <w:t>–</w:t>
            </w:r>
            <w:r w:rsidRPr="00CB56EC">
              <w:rPr>
                <w:sz w:val="20"/>
                <w:szCs w:val="20"/>
                <w:lang w:val="es-ES"/>
              </w:rPr>
              <w:tab/>
              <w:t>justificación pormenorizada de la duración de la prórroga solicitada, incluido un desglose de las características y del alcance del retraso registrado hasta el momento, el retraso suplementario previsto por el proveedor del servicio de lanzamiento, y de cualquier otra contingencia programada; y</w:t>
            </w:r>
          </w:p>
          <w:p w14:paraId="2E7BE184" w14:textId="77777777" w:rsidR="00CE6409" w:rsidRPr="00CB56EC" w:rsidRDefault="00CE6409" w:rsidP="00CB56EC">
            <w:pPr>
              <w:pStyle w:val="enumlev1"/>
              <w:jc w:val="left"/>
              <w:rPr>
                <w:sz w:val="20"/>
                <w:szCs w:val="20"/>
                <w:lang w:val="es-ES"/>
              </w:rPr>
            </w:pPr>
            <w:r w:rsidRPr="00CB56EC">
              <w:rPr>
                <w:sz w:val="20"/>
                <w:szCs w:val="20"/>
                <w:lang w:val="es-ES"/>
              </w:rPr>
              <w:t>–</w:t>
            </w:r>
            <w:r w:rsidRPr="00CB56EC">
              <w:rPr>
                <w:sz w:val="20"/>
                <w:szCs w:val="20"/>
                <w:lang w:val="es-ES"/>
              </w:rPr>
              <w:tab/>
              <w:t>cualquier información y documentación pertinente.</w:t>
            </w:r>
          </w:p>
          <w:p w14:paraId="61875B45" w14:textId="77777777" w:rsidR="00CE6409" w:rsidRPr="00CB56EC" w:rsidRDefault="00CE6409" w:rsidP="00CB56EC">
            <w:pPr>
              <w:spacing w:after="120" w:line="240" w:lineRule="auto"/>
              <w:jc w:val="left"/>
              <w:rPr>
                <w:b/>
                <w:bCs/>
                <w:sz w:val="20"/>
                <w:szCs w:val="20"/>
                <w:lang w:val="es-ES"/>
              </w:rPr>
            </w:pPr>
            <w:r w:rsidRPr="00CB56EC">
              <w:rPr>
                <w:sz w:val="20"/>
                <w:szCs w:val="20"/>
                <w:lang w:val="es-ES"/>
              </w:rPr>
              <w:t>La CMR-23 encarga a la Junta a reflejar la confirmación anterior en el procedimiento relativo a la prórroga del plazo reglamentario de puesta en servicio de las asignaciones de satélites.</w:t>
            </w:r>
          </w:p>
        </w:tc>
      </w:tr>
      <w:tr w:rsidR="00CE6409" w:rsidRPr="0067605C" w14:paraId="3F7F8256" w14:textId="77777777" w:rsidTr="00662D47">
        <w:trPr>
          <w:trHeight w:val="1139"/>
        </w:trPr>
        <w:tc>
          <w:tcPr>
            <w:tcW w:w="1838" w:type="dxa"/>
          </w:tcPr>
          <w:p w14:paraId="4BA16866" w14:textId="3845FA04" w:rsidR="00CE6409" w:rsidRPr="00CB56EC" w:rsidRDefault="00CE6409" w:rsidP="00CB56EC">
            <w:pPr>
              <w:jc w:val="left"/>
              <w:rPr>
                <w:b/>
                <w:sz w:val="20"/>
                <w:szCs w:val="20"/>
                <w:lang w:val="es-ES"/>
              </w:rPr>
            </w:pPr>
            <w:r w:rsidRPr="00CB56EC">
              <w:rPr>
                <w:b/>
                <w:sz w:val="20"/>
                <w:szCs w:val="20"/>
                <w:lang w:val="es-ES"/>
              </w:rPr>
              <w:t>Documento</w:t>
            </w:r>
            <w:r w:rsidR="0067605C">
              <w:fldChar w:fldCharType="begin"/>
            </w:r>
            <w:r w:rsidR="0067605C" w:rsidRPr="0067605C">
              <w:rPr>
                <w:lang w:val="fr-FR"/>
              </w:rPr>
              <w:instrText>HYPERLINK "https://www.itu.int/md/R23-WRC23-C-0528/en"</w:instrText>
            </w:r>
            <w:r w:rsidR="0067605C">
              <w:fldChar w:fldCharType="separate"/>
            </w:r>
            <w:r w:rsidRPr="00CB56EC">
              <w:rPr>
                <w:rStyle w:val="Hyperlink"/>
                <w:b/>
                <w:sz w:val="20"/>
                <w:szCs w:val="20"/>
                <w:lang w:val="es-ES"/>
              </w:rPr>
              <w:t xml:space="preserve"> CMR23/528</w:t>
            </w:r>
            <w:r w:rsidR="0067605C">
              <w:rPr>
                <w:rStyle w:val="Hyperlink"/>
                <w:b/>
                <w:sz w:val="20"/>
                <w:szCs w:val="20"/>
                <w:lang w:val="es-ES"/>
              </w:rPr>
              <w:fldChar w:fldCharType="end"/>
            </w:r>
            <w:r w:rsidRPr="00CB56EC">
              <w:rPr>
                <w:b/>
                <w:sz w:val="20"/>
                <w:szCs w:val="20"/>
                <w:lang w:val="es-ES"/>
              </w:rPr>
              <w:t xml:space="preserve"> – Actas de la Decimotercera Sesión Plenaria</w:t>
            </w:r>
          </w:p>
        </w:tc>
        <w:tc>
          <w:tcPr>
            <w:tcW w:w="1733" w:type="dxa"/>
          </w:tcPr>
          <w:p w14:paraId="0A2EF40A" w14:textId="77777777" w:rsidR="00CE6409" w:rsidRPr="00CB56EC" w:rsidRDefault="00CE6409" w:rsidP="00CB56EC">
            <w:pPr>
              <w:spacing w:after="120" w:line="240" w:lineRule="auto"/>
              <w:jc w:val="left"/>
              <w:rPr>
                <w:b/>
                <w:sz w:val="20"/>
                <w:szCs w:val="20"/>
                <w:lang w:val="es-ES"/>
              </w:rPr>
            </w:pPr>
            <w:r w:rsidRPr="00CB56EC">
              <w:rPr>
                <w:b/>
                <w:sz w:val="20"/>
                <w:szCs w:val="20"/>
                <w:lang w:val="es-ES"/>
              </w:rPr>
              <w:t xml:space="preserve">§§ 13.8 y 13.9 Aprobación del Documento </w:t>
            </w:r>
            <w:hyperlink r:id="rId22" w:history="1">
              <w:r w:rsidRPr="00CB56EC">
                <w:rPr>
                  <w:rStyle w:val="Hyperlink"/>
                  <w:b/>
                  <w:sz w:val="20"/>
                  <w:szCs w:val="20"/>
                  <w:lang w:val="es-ES"/>
                </w:rPr>
                <w:t>494</w:t>
              </w:r>
            </w:hyperlink>
          </w:p>
        </w:tc>
        <w:tc>
          <w:tcPr>
            <w:tcW w:w="10712" w:type="dxa"/>
          </w:tcPr>
          <w:p w14:paraId="4654D516" w14:textId="77777777" w:rsidR="00CE6409" w:rsidRPr="00CB56EC" w:rsidRDefault="00CE6409" w:rsidP="00CB56EC">
            <w:pPr>
              <w:spacing w:after="120" w:line="240" w:lineRule="auto"/>
              <w:jc w:val="left"/>
              <w:rPr>
                <w:sz w:val="20"/>
                <w:szCs w:val="20"/>
                <w:lang w:val="es-ES"/>
              </w:rPr>
            </w:pPr>
            <w:r w:rsidRPr="00CB56EC">
              <w:rPr>
                <w:sz w:val="20"/>
                <w:szCs w:val="20"/>
                <w:lang w:val="es-ES" w:eastAsia="zh-CN"/>
              </w:rPr>
              <w:t>La CMR-23 reitera su invitación al UIT-R para que estudie el asunto de las solicitudes de prórroga de plazos reglamentarios formuladas por países en desarrollo que no se consideran casos de fuerza mayor o retraso del lanzamiento colectivo y que formule los criterios y condiciones específicos sobre los que podría basarse la Junta para considerar la posibilidad de conceder una prórroga de plazo reglamentario a un país en desarrollo, a fin de presentarlos a la consideración de una futura CMR competente.</w:t>
            </w:r>
          </w:p>
        </w:tc>
      </w:tr>
      <w:tr w:rsidR="00CE6409" w:rsidRPr="0067605C" w14:paraId="59DB303B" w14:textId="77777777" w:rsidTr="00662D47">
        <w:trPr>
          <w:trHeight w:val="1139"/>
        </w:trPr>
        <w:tc>
          <w:tcPr>
            <w:tcW w:w="1838" w:type="dxa"/>
          </w:tcPr>
          <w:p w14:paraId="19B7F2D0" w14:textId="0C2666E4" w:rsidR="00CE6409" w:rsidRPr="00CB56EC" w:rsidRDefault="00CE6409" w:rsidP="00CB56EC">
            <w:pPr>
              <w:jc w:val="left"/>
              <w:rPr>
                <w:b/>
                <w:sz w:val="20"/>
                <w:szCs w:val="20"/>
                <w:lang w:val="es-ES"/>
              </w:rPr>
            </w:pPr>
            <w:r w:rsidRPr="00CB56EC">
              <w:rPr>
                <w:b/>
                <w:sz w:val="20"/>
                <w:szCs w:val="20"/>
                <w:lang w:val="es-ES"/>
              </w:rPr>
              <w:lastRenderedPageBreak/>
              <w:t>Document</w:t>
            </w:r>
            <w:r w:rsidR="005B2DE5" w:rsidRPr="00CB56EC">
              <w:rPr>
                <w:b/>
                <w:sz w:val="20"/>
                <w:szCs w:val="20"/>
                <w:lang w:val="es-ES"/>
              </w:rPr>
              <w:t>o</w:t>
            </w:r>
            <w:r w:rsidRPr="00CB56EC">
              <w:rPr>
                <w:b/>
                <w:sz w:val="20"/>
                <w:szCs w:val="20"/>
                <w:lang w:val="es-ES"/>
              </w:rPr>
              <w:t xml:space="preserve"> </w:t>
            </w:r>
            <w:r w:rsidR="0067605C">
              <w:fldChar w:fldCharType="begin"/>
            </w:r>
            <w:r w:rsidR="0067605C" w:rsidRPr="0067605C">
              <w:rPr>
                <w:lang w:val="fr-FR"/>
              </w:rPr>
              <w:instrText>HYPERLINK "https://www.itu.int/md/R23-WRC23-C-0528/en"</w:instrText>
            </w:r>
            <w:r w:rsidR="0067605C">
              <w:fldChar w:fldCharType="separate"/>
            </w:r>
            <w:r w:rsidRPr="00CB56EC">
              <w:rPr>
                <w:rStyle w:val="Hyperlink"/>
                <w:b/>
                <w:sz w:val="20"/>
                <w:szCs w:val="20"/>
                <w:lang w:val="es-ES"/>
              </w:rPr>
              <w:t>CMR23/528</w:t>
            </w:r>
            <w:r w:rsidR="0067605C">
              <w:rPr>
                <w:rStyle w:val="Hyperlink"/>
                <w:b/>
                <w:sz w:val="20"/>
                <w:szCs w:val="20"/>
                <w:lang w:val="es-ES"/>
              </w:rPr>
              <w:fldChar w:fldCharType="end"/>
            </w:r>
            <w:r w:rsidRPr="00CB56EC">
              <w:rPr>
                <w:b/>
                <w:sz w:val="20"/>
                <w:szCs w:val="20"/>
                <w:lang w:val="es-ES"/>
              </w:rPr>
              <w:t xml:space="preserve"> – Actas de la Decimotercera Sesión Plenaria</w:t>
            </w:r>
          </w:p>
        </w:tc>
        <w:tc>
          <w:tcPr>
            <w:tcW w:w="1733" w:type="dxa"/>
          </w:tcPr>
          <w:p w14:paraId="40EAD9AC" w14:textId="77777777" w:rsidR="00CE6409" w:rsidRPr="00CB56EC" w:rsidRDefault="00CE6409" w:rsidP="00CB56EC">
            <w:pPr>
              <w:spacing w:after="120" w:line="240" w:lineRule="auto"/>
              <w:jc w:val="left"/>
              <w:rPr>
                <w:b/>
                <w:sz w:val="20"/>
                <w:szCs w:val="20"/>
                <w:lang w:val="es-ES"/>
              </w:rPr>
            </w:pPr>
            <w:r w:rsidRPr="00CB56EC">
              <w:rPr>
                <w:b/>
                <w:sz w:val="20"/>
                <w:szCs w:val="20"/>
                <w:lang w:val="es-ES"/>
              </w:rPr>
              <w:t>§§ 13.10 y 13.11</w:t>
            </w:r>
          </w:p>
          <w:p w14:paraId="0CAD7999" w14:textId="77777777" w:rsidR="00CE6409" w:rsidRPr="00CB56EC" w:rsidRDefault="00CE6409" w:rsidP="00CB56EC">
            <w:pPr>
              <w:spacing w:after="120" w:line="240" w:lineRule="auto"/>
              <w:jc w:val="left"/>
              <w:rPr>
                <w:b/>
                <w:sz w:val="20"/>
                <w:szCs w:val="20"/>
                <w:lang w:val="es-ES"/>
              </w:rPr>
            </w:pPr>
            <w:r w:rsidRPr="00CB56EC">
              <w:rPr>
                <w:b/>
                <w:sz w:val="20"/>
                <w:szCs w:val="20"/>
                <w:lang w:val="es-ES"/>
              </w:rPr>
              <w:t xml:space="preserve">Aprobación del Documento </w:t>
            </w:r>
            <w:hyperlink r:id="rId23" w:history="1">
              <w:r w:rsidRPr="00CB56EC">
                <w:rPr>
                  <w:rStyle w:val="Hyperlink"/>
                  <w:b/>
                  <w:sz w:val="20"/>
                  <w:szCs w:val="20"/>
                  <w:lang w:val="es-ES"/>
                </w:rPr>
                <w:t>494</w:t>
              </w:r>
            </w:hyperlink>
          </w:p>
        </w:tc>
        <w:tc>
          <w:tcPr>
            <w:tcW w:w="10712" w:type="dxa"/>
          </w:tcPr>
          <w:p w14:paraId="761E9B73" w14:textId="77777777" w:rsidR="00CE6409" w:rsidRPr="00CB56EC" w:rsidRDefault="00CE6409" w:rsidP="00CB56EC">
            <w:pPr>
              <w:jc w:val="left"/>
              <w:rPr>
                <w:b/>
                <w:bCs/>
                <w:sz w:val="20"/>
                <w:szCs w:val="20"/>
                <w:lang w:val="es-ES"/>
              </w:rPr>
            </w:pPr>
            <w:r w:rsidRPr="00CB56EC">
              <w:rPr>
                <w:b/>
                <w:bCs/>
                <w:sz w:val="20"/>
                <w:szCs w:val="20"/>
                <w:lang w:val="es-ES"/>
              </w:rPr>
              <w:t>Temas relativos al procedimiento del Artículo 7 del Apéndice 30B</w:t>
            </w:r>
          </w:p>
          <w:p w14:paraId="0F3E85D0" w14:textId="38FB2FB4" w:rsidR="00CE6409" w:rsidRPr="00CB56EC" w:rsidRDefault="005B2DE5" w:rsidP="00CB56EC">
            <w:pPr>
              <w:jc w:val="left"/>
              <w:rPr>
                <w:sz w:val="20"/>
                <w:szCs w:val="20"/>
                <w:lang w:val="es-ES"/>
              </w:rPr>
            </w:pPr>
            <w:r w:rsidRPr="00CB56EC">
              <w:rPr>
                <w:sz w:val="20"/>
                <w:szCs w:val="20"/>
                <w:lang w:val="es-ES" w:eastAsia="zh-CN"/>
              </w:rPr>
              <w:t>«</w:t>
            </w:r>
            <w:r w:rsidR="00CE6409" w:rsidRPr="00CB56EC">
              <w:rPr>
                <w:sz w:val="20"/>
                <w:szCs w:val="20"/>
                <w:lang w:val="es-ES"/>
              </w:rPr>
              <w:t>La CMR-23 insta a las administraciones cuyas notificaciones de la Parte A del Apéndice </w:t>
            </w:r>
            <w:r w:rsidR="00CE6409" w:rsidRPr="00CB56EC">
              <w:rPr>
                <w:b/>
                <w:bCs/>
                <w:sz w:val="20"/>
                <w:szCs w:val="20"/>
                <w:lang w:val="es-ES"/>
              </w:rPr>
              <w:t>30B</w:t>
            </w:r>
            <w:r w:rsidR="00CE6409" w:rsidRPr="00CB56EC">
              <w:rPr>
                <w:sz w:val="20"/>
                <w:szCs w:val="20"/>
                <w:lang w:val="es-ES"/>
              </w:rPr>
              <w:t xml:space="preserve"> se recibieron antes del 12 de marzo de 2020 a hacer todo lo posible por acomodar las notificaciones del Artículo 7 de otras administraciones y </w:t>
            </w:r>
            <w:proofErr w:type="gramStart"/>
            <w:r w:rsidR="00CE6409" w:rsidRPr="00CB56EC">
              <w:rPr>
                <w:sz w:val="20"/>
                <w:szCs w:val="20"/>
                <w:lang w:val="es-ES"/>
              </w:rPr>
              <w:t>a</w:t>
            </w:r>
            <w:proofErr w:type="gramEnd"/>
            <w:r w:rsidR="00CE6409" w:rsidRPr="00CB56EC">
              <w:rPr>
                <w:sz w:val="20"/>
                <w:szCs w:val="20"/>
                <w:lang w:val="es-ES"/>
              </w:rPr>
              <w:t xml:space="preserve"> tener en cuenta los resultados de los análisis de la Oficina y las medidas adoptadas para evitar una mayor degradación de los niveles de </w:t>
            </w:r>
            <w:r w:rsidR="00CE6409" w:rsidRPr="00CB56EC">
              <w:rPr>
                <w:i/>
                <w:iCs/>
                <w:sz w:val="20"/>
                <w:szCs w:val="20"/>
                <w:lang w:val="es-ES"/>
              </w:rPr>
              <w:t>C/I</w:t>
            </w:r>
            <w:r w:rsidR="00CE6409" w:rsidRPr="00CB56EC">
              <w:rPr>
                <w:sz w:val="20"/>
                <w:szCs w:val="20"/>
                <w:lang w:val="es-ES"/>
              </w:rPr>
              <w:t xml:space="preserve"> a la hora de preparar sus notificaciones de la Parte B.</w:t>
            </w:r>
          </w:p>
          <w:p w14:paraId="6CA039ED" w14:textId="20BC0344" w:rsidR="00CE6409" w:rsidRPr="00CB56EC" w:rsidRDefault="00CE6409" w:rsidP="00CB56EC">
            <w:pPr>
              <w:jc w:val="left"/>
              <w:rPr>
                <w:sz w:val="20"/>
                <w:szCs w:val="20"/>
                <w:lang w:val="es-ES"/>
              </w:rPr>
            </w:pPr>
            <w:r w:rsidRPr="00CB56EC">
              <w:rPr>
                <w:sz w:val="20"/>
                <w:szCs w:val="20"/>
                <w:lang w:val="es-ES"/>
              </w:rPr>
              <w:t>La CMR-23 encarga a la Oficina a identificar los recursos orbitales para los siete países adicionales (Eritrea, Estonia, Letonia, Santa Lucía, Tayikistán, Timor-Leste y Turkmenistán) y el Estado de Palestina, que todavía no tienen adjudicaciones en el Plan del Apéndice </w:t>
            </w:r>
            <w:r w:rsidRPr="00CB56EC">
              <w:rPr>
                <w:b/>
                <w:bCs/>
                <w:sz w:val="20"/>
                <w:szCs w:val="20"/>
                <w:lang w:val="es-ES"/>
              </w:rPr>
              <w:t xml:space="preserve">30B </w:t>
            </w:r>
            <w:r w:rsidRPr="00CB56EC">
              <w:rPr>
                <w:sz w:val="20"/>
                <w:szCs w:val="20"/>
                <w:lang w:val="es-ES"/>
              </w:rPr>
              <w:t>y a identificar recursos orbitales si desean iniciar el proceso previsto en el Artículo </w:t>
            </w:r>
            <w:r w:rsidRPr="00CB56EC">
              <w:rPr>
                <w:b/>
                <w:bCs/>
                <w:sz w:val="20"/>
                <w:szCs w:val="20"/>
                <w:lang w:val="es-ES"/>
              </w:rPr>
              <w:t>7</w:t>
            </w:r>
            <w:r w:rsidRPr="00CB56EC">
              <w:rPr>
                <w:sz w:val="20"/>
                <w:szCs w:val="20"/>
                <w:lang w:val="es-ES"/>
              </w:rPr>
              <w:t>.</w:t>
            </w:r>
            <w:r w:rsidR="005B2DE5" w:rsidRPr="00CB56EC">
              <w:rPr>
                <w:sz w:val="20"/>
                <w:szCs w:val="20"/>
                <w:lang w:val="es-ES"/>
              </w:rPr>
              <w:t>»</w:t>
            </w:r>
          </w:p>
        </w:tc>
      </w:tr>
      <w:tr w:rsidR="00CE6409" w:rsidRPr="0067605C" w14:paraId="59034F81" w14:textId="77777777" w:rsidTr="00662D47">
        <w:trPr>
          <w:trHeight w:val="1139"/>
        </w:trPr>
        <w:tc>
          <w:tcPr>
            <w:tcW w:w="1838" w:type="dxa"/>
          </w:tcPr>
          <w:p w14:paraId="48D64071" w14:textId="77777777" w:rsidR="00CE6409" w:rsidRPr="00CB56EC" w:rsidRDefault="00CE6409" w:rsidP="00CB56EC">
            <w:pPr>
              <w:jc w:val="left"/>
              <w:rPr>
                <w:b/>
                <w:sz w:val="20"/>
                <w:szCs w:val="20"/>
                <w:lang w:val="es-ES"/>
              </w:rPr>
            </w:pPr>
            <w:proofErr w:type="spellStart"/>
            <w:r w:rsidRPr="00CB56EC">
              <w:rPr>
                <w:b/>
                <w:sz w:val="20"/>
                <w:szCs w:val="20"/>
                <w:lang w:val="es-ES"/>
              </w:rPr>
              <w:t>Document</w:t>
            </w:r>
            <w:proofErr w:type="spellEnd"/>
            <w:r w:rsidRPr="00CB56EC">
              <w:rPr>
                <w:b/>
                <w:sz w:val="20"/>
                <w:szCs w:val="20"/>
                <w:lang w:val="es-ES"/>
              </w:rPr>
              <w:t xml:space="preserve"> o</w:t>
            </w:r>
            <w:r w:rsidR="0067605C">
              <w:fldChar w:fldCharType="begin"/>
            </w:r>
            <w:r w:rsidR="0067605C" w:rsidRPr="0067605C">
              <w:rPr>
                <w:lang w:val="fr-FR"/>
              </w:rPr>
              <w:instrText>HYPERLINK "https://www.itu.int/md/R23-WRC23-C-0528/en"</w:instrText>
            </w:r>
            <w:r w:rsidR="0067605C">
              <w:fldChar w:fldCharType="separate"/>
            </w:r>
            <w:r w:rsidRPr="00CB56EC">
              <w:rPr>
                <w:rStyle w:val="Hyperlink"/>
                <w:b/>
                <w:sz w:val="20"/>
                <w:szCs w:val="20"/>
                <w:lang w:val="es-ES"/>
              </w:rPr>
              <w:t xml:space="preserve"> CMR23/528</w:t>
            </w:r>
            <w:r w:rsidR="0067605C">
              <w:rPr>
                <w:rStyle w:val="Hyperlink"/>
                <w:b/>
                <w:sz w:val="20"/>
                <w:szCs w:val="20"/>
                <w:lang w:val="es-ES"/>
              </w:rPr>
              <w:fldChar w:fldCharType="end"/>
            </w:r>
            <w:r w:rsidRPr="00CB56EC">
              <w:rPr>
                <w:b/>
                <w:sz w:val="20"/>
                <w:szCs w:val="20"/>
                <w:lang w:val="es-ES"/>
              </w:rPr>
              <w:t xml:space="preserve"> – Actas de la Decimotercera Sesión Plenaria</w:t>
            </w:r>
          </w:p>
        </w:tc>
        <w:tc>
          <w:tcPr>
            <w:tcW w:w="1733" w:type="dxa"/>
          </w:tcPr>
          <w:p w14:paraId="5E73164D" w14:textId="77777777" w:rsidR="00CE6409" w:rsidRPr="00CB56EC" w:rsidRDefault="00CE6409" w:rsidP="00CB56EC">
            <w:pPr>
              <w:spacing w:after="120" w:line="240" w:lineRule="auto"/>
              <w:jc w:val="left"/>
              <w:rPr>
                <w:b/>
                <w:sz w:val="20"/>
                <w:szCs w:val="20"/>
                <w:lang w:val="es-ES"/>
              </w:rPr>
            </w:pPr>
            <w:r w:rsidRPr="00CB56EC">
              <w:rPr>
                <w:b/>
                <w:sz w:val="20"/>
                <w:szCs w:val="20"/>
                <w:lang w:val="es-ES"/>
              </w:rPr>
              <w:t>§§ 13.12 y 13.13</w:t>
            </w:r>
          </w:p>
          <w:p w14:paraId="002B6D5B" w14:textId="77777777" w:rsidR="00CE6409" w:rsidRPr="00CB56EC" w:rsidRDefault="00CE6409" w:rsidP="00CB56EC">
            <w:pPr>
              <w:spacing w:after="120" w:line="240" w:lineRule="auto"/>
              <w:jc w:val="left"/>
              <w:rPr>
                <w:b/>
                <w:sz w:val="20"/>
                <w:szCs w:val="20"/>
                <w:lang w:val="es-ES"/>
              </w:rPr>
            </w:pPr>
            <w:r w:rsidRPr="00CB56EC">
              <w:rPr>
                <w:b/>
                <w:sz w:val="20"/>
                <w:szCs w:val="20"/>
                <w:lang w:val="es-ES"/>
              </w:rPr>
              <w:t xml:space="preserve">Aprobación del Documento </w:t>
            </w:r>
            <w:hyperlink r:id="rId24" w:history="1">
              <w:r w:rsidRPr="00CB56EC">
                <w:rPr>
                  <w:rStyle w:val="Hyperlink"/>
                  <w:b/>
                  <w:sz w:val="20"/>
                  <w:szCs w:val="20"/>
                  <w:lang w:val="es-ES"/>
                </w:rPr>
                <w:t>494</w:t>
              </w:r>
            </w:hyperlink>
          </w:p>
        </w:tc>
        <w:tc>
          <w:tcPr>
            <w:tcW w:w="10712" w:type="dxa"/>
          </w:tcPr>
          <w:p w14:paraId="1D0EE652" w14:textId="77777777" w:rsidR="00CE6409" w:rsidRPr="00CB56EC" w:rsidRDefault="00CE6409" w:rsidP="00CB56EC">
            <w:pPr>
              <w:pStyle w:val="enumlev2"/>
              <w:ind w:left="0" w:firstLine="0"/>
              <w:jc w:val="left"/>
              <w:rPr>
                <w:b/>
                <w:bCs/>
                <w:sz w:val="20"/>
                <w:szCs w:val="20"/>
                <w:lang w:val="es-ES"/>
              </w:rPr>
            </w:pPr>
            <w:r w:rsidRPr="00CB56EC">
              <w:rPr>
                <w:b/>
                <w:bCs/>
                <w:sz w:val="20"/>
                <w:szCs w:val="20"/>
                <w:lang w:val="es-ES"/>
              </w:rPr>
              <w:t>Protección a largo plazo de los Planes</w:t>
            </w:r>
          </w:p>
          <w:p w14:paraId="15C8F247" w14:textId="7BC2C678" w:rsidR="00CE6409" w:rsidRPr="00CB56EC" w:rsidRDefault="005B2DE5" w:rsidP="00CB56EC">
            <w:pPr>
              <w:jc w:val="left"/>
              <w:rPr>
                <w:sz w:val="20"/>
                <w:szCs w:val="20"/>
                <w:lang w:val="es-ES" w:eastAsia="zh-CN"/>
              </w:rPr>
            </w:pPr>
            <w:r w:rsidRPr="00CB56EC">
              <w:rPr>
                <w:sz w:val="20"/>
                <w:szCs w:val="20"/>
                <w:lang w:val="es-ES" w:eastAsia="zh-CN"/>
              </w:rPr>
              <w:t>«</w:t>
            </w:r>
            <w:r w:rsidR="00CE6409" w:rsidRPr="00CB56EC">
              <w:rPr>
                <w:sz w:val="20"/>
                <w:szCs w:val="20"/>
                <w:lang w:val="es-ES"/>
              </w:rPr>
              <w:t>Aunque la CMR-23 examinó algunos asuntos planteados en la sección 4.6.3 del Documento 50 del Informe de la RRB, la CMR-23 encarga al UIT-R a precisar estudios adicionales en el marco del punto permanente 7 del orden del día, y comunicar a la CMR-27 de las medidas necesarias para mejorar la protección de los AP</w:t>
            </w:r>
            <w:r w:rsidR="00CE6409" w:rsidRPr="00CB56EC">
              <w:rPr>
                <w:b/>
                <w:bCs/>
                <w:sz w:val="20"/>
                <w:szCs w:val="20"/>
                <w:lang w:val="es-ES"/>
              </w:rPr>
              <w:t>30</w:t>
            </w:r>
            <w:r w:rsidR="00CE6409" w:rsidRPr="00CB56EC">
              <w:rPr>
                <w:sz w:val="20"/>
                <w:szCs w:val="20"/>
                <w:lang w:val="es-ES"/>
              </w:rPr>
              <w:t>/</w:t>
            </w:r>
            <w:r w:rsidR="00CE6409" w:rsidRPr="00CB56EC">
              <w:rPr>
                <w:b/>
                <w:bCs/>
                <w:sz w:val="20"/>
                <w:szCs w:val="20"/>
                <w:lang w:val="es-ES"/>
              </w:rPr>
              <w:t>30A</w:t>
            </w:r>
            <w:r w:rsidR="00CE6409" w:rsidRPr="00CB56EC">
              <w:rPr>
                <w:sz w:val="20"/>
                <w:szCs w:val="20"/>
                <w:lang w:val="es-ES"/>
              </w:rPr>
              <w:t xml:space="preserve"> en las Regiones 1 y 3, así como la protección a largo plazo del AP</w:t>
            </w:r>
            <w:r w:rsidR="00CE6409" w:rsidRPr="00CB56EC">
              <w:rPr>
                <w:b/>
                <w:bCs/>
                <w:sz w:val="20"/>
                <w:szCs w:val="20"/>
                <w:lang w:val="es-ES"/>
              </w:rPr>
              <w:t>30B</w:t>
            </w:r>
            <w:r w:rsidR="00CE6409" w:rsidRPr="00CB56EC">
              <w:rPr>
                <w:sz w:val="20"/>
                <w:szCs w:val="20"/>
                <w:lang w:val="es-ES"/>
              </w:rPr>
              <w:t>, teniendo en cuenta la capacidad de uso y acceso de los países en desarrollo en las bandas de frecuencias asociadas</w:t>
            </w:r>
            <w:r w:rsidRPr="00CB56EC">
              <w:rPr>
                <w:sz w:val="20"/>
                <w:szCs w:val="20"/>
                <w:lang w:val="es-ES"/>
              </w:rPr>
              <w:t>».</w:t>
            </w:r>
          </w:p>
        </w:tc>
      </w:tr>
      <w:tr w:rsidR="00CE6409" w:rsidRPr="0067605C" w14:paraId="43B86589" w14:textId="77777777" w:rsidTr="00662D47">
        <w:trPr>
          <w:trHeight w:val="1139"/>
        </w:trPr>
        <w:tc>
          <w:tcPr>
            <w:tcW w:w="1838" w:type="dxa"/>
          </w:tcPr>
          <w:p w14:paraId="6F0DED2A" w14:textId="6F954657" w:rsidR="00CE6409" w:rsidRPr="00CB56EC" w:rsidRDefault="00CE6409" w:rsidP="00CB56EC">
            <w:pPr>
              <w:jc w:val="left"/>
              <w:rPr>
                <w:b/>
                <w:sz w:val="20"/>
                <w:szCs w:val="20"/>
                <w:lang w:val="es-ES"/>
              </w:rPr>
            </w:pPr>
            <w:r w:rsidRPr="00CB56EC">
              <w:rPr>
                <w:b/>
                <w:sz w:val="20"/>
                <w:szCs w:val="20"/>
                <w:lang w:val="es-ES"/>
              </w:rPr>
              <w:t xml:space="preserve">Documento </w:t>
            </w:r>
            <w:r w:rsidR="0067605C">
              <w:fldChar w:fldCharType="begin"/>
            </w:r>
            <w:r w:rsidR="0067605C" w:rsidRPr="0067605C">
              <w:rPr>
                <w:lang w:val="fr-FR"/>
              </w:rPr>
              <w:instrText>HYPERLINK "https://www.itu.int/md/R23-WRC23-C-0528/en"</w:instrText>
            </w:r>
            <w:r w:rsidR="0067605C">
              <w:fldChar w:fldCharType="separate"/>
            </w:r>
            <w:r w:rsidRPr="00CB56EC">
              <w:rPr>
                <w:rStyle w:val="Hyperlink"/>
                <w:b/>
                <w:sz w:val="20"/>
                <w:szCs w:val="20"/>
                <w:lang w:val="es-ES"/>
              </w:rPr>
              <w:t>CMR23/528</w:t>
            </w:r>
            <w:r w:rsidR="0067605C">
              <w:rPr>
                <w:rStyle w:val="Hyperlink"/>
                <w:b/>
                <w:sz w:val="20"/>
                <w:szCs w:val="20"/>
                <w:lang w:val="es-ES"/>
              </w:rPr>
              <w:fldChar w:fldCharType="end"/>
            </w:r>
            <w:r w:rsidRPr="00CB56EC">
              <w:rPr>
                <w:b/>
                <w:sz w:val="20"/>
                <w:szCs w:val="20"/>
                <w:lang w:val="es-ES"/>
              </w:rPr>
              <w:t xml:space="preserve"> – Actas de la Decimotercera Sesión Plenaria</w:t>
            </w:r>
          </w:p>
        </w:tc>
        <w:tc>
          <w:tcPr>
            <w:tcW w:w="1733" w:type="dxa"/>
          </w:tcPr>
          <w:p w14:paraId="04505448" w14:textId="77777777" w:rsidR="00CE6409" w:rsidRPr="00CB56EC" w:rsidRDefault="00CE6409" w:rsidP="00CB56EC">
            <w:pPr>
              <w:spacing w:after="120" w:line="240" w:lineRule="auto"/>
              <w:jc w:val="left"/>
              <w:rPr>
                <w:b/>
                <w:sz w:val="20"/>
                <w:szCs w:val="20"/>
                <w:lang w:val="es-ES"/>
              </w:rPr>
            </w:pPr>
            <w:r w:rsidRPr="00CB56EC">
              <w:rPr>
                <w:b/>
                <w:sz w:val="20"/>
                <w:szCs w:val="20"/>
                <w:lang w:val="es-ES"/>
              </w:rPr>
              <w:t xml:space="preserve">§§ 13.14 y 13.15 </w:t>
            </w:r>
          </w:p>
          <w:p w14:paraId="18BDF08D" w14:textId="77777777" w:rsidR="00CE6409" w:rsidRPr="00CB56EC" w:rsidRDefault="00CE6409" w:rsidP="00CB56EC">
            <w:pPr>
              <w:spacing w:after="120" w:line="240" w:lineRule="auto"/>
              <w:jc w:val="left"/>
              <w:rPr>
                <w:b/>
                <w:sz w:val="20"/>
                <w:szCs w:val="20"/>
                <w:lang w:val="es-ES"/>
              </w:rPr>
            </w:pPr>
            <w:r w:rsidRPr="00CB56EC">
              <w:rPr>
                <w:b/>
                <w:sz w:val="20"/>
                <w:szCs w:val="20"/>
                <w:lang w:val="es-ES"/>
              </w:rPr>
              <w:t xml:space="preserve">Aprobación del Documento </w:t>
            </w:r>
            <w:hyperlink r:id="rId25" w:history="1">
              <w:r w:rsidRPr="00CB56EC">
                <w:rPr>
                  <w:rStyle w:val="Hyperlink"/>
                  <w:b/>
                  <w:sz w:val="20"/>
                  <w:szCs w:val="20"/>
                  <w:lang w:val="es-ES"/>
                </w:rPr>
                <w:t>494</w:t>
              </w:r>
            </w:hyperlink>
          </w:p>
        </w:tc>
        <w:tc>
          <w:tcPr>
            <w:tcW w:w="10712" w:type="dxa"/>
          </w:tcPr>
          <w:p w14:paraId="49C21302" w14:textId="77777777" w:rsidR="00CE6409" w:rsidRPr="00CB56EC" w:rsidRDefault="00CE6409" w:rsidP="00CB56EC">
            <w:pPr>
              <w:spacing w:after="120" w:line="240" w:lineRule="auto"/>
              <w:jc w:val="left"/>
              <w:rPr>
                <w:b/>
                <w:bCs/>
                <w:sz w:val="20"/>
                <w:szCs w:val="20"/>
                <w:lang w:val="es-ES" w:eastAsia="zh-CN"/>
              </w:rPr>
            </w:pPr>
            <w:r w:rsidRPr="00CB56EC">
              <w:rPr>
                <w:b/>
                <w:bCs/>
                <w:sz w:val="20"/>
                <w:szCs w:val="20"/>
                <w:lang w:val="es-ES" w:eastAsia="zh-CN"/>
              </w:rPr>
              <w:t>Temas relacionados con la Resolución 40</w:t>
            </w:r>
          </w:p>
          <w:p w14:paraId="35602000" w14:textId="42B8729D" w:rsidR="00CE6409" w:rsidRPr="00CB56EC" w:rsidRDefault="00CE6409" w:rsidP="00CB56EC">
            <w:pPr>
              <w:spacing w:after="120" w:line="240" w:lineRule="auto"/>
              <w:jc w:val="left"/>
              <w:rPr>
                <w:sz w:val="20"/>
                <w:szCs w:val="20"/>
                <w:lang w:val="es-ES"/>
              </w:rPr>
            </w:pPr>
            <w:r w:rsidRPr="00CB56EC">
              <w:rPr>
                <w:sz w:val="20"/>
                <w:szCs w:val="20"/>
                <w:lang w:val="es-ES" w:eastAsia="zh-CN"/>
              </w:rPr>
              <w:t xml:space="preserve">La CMR-23 encarga al UIT-R a estudiar las posibles medidas para limitar la utilización de un mismo satélite o de satélites distintos para poner en servicio o reanudar el servicio repetidamente de las mismas asignaciones de frecuencias a una red o sistema de satélites durante un breve periodo de tiempo, a fin de abordarlas en una futura CMR competente. Se reconoció que dichos estudios y asuntos conexos, incluida la capacidad prevista en el número </w:t>
            </w:r>
            <w:r w:rsidRPr="00CB56EC">
              <w:rPr>
                <w:b/>
                <w:bCs/>
                <w:sz w:val="20"/>
                <w:szCs w:val="20"/>
                <w:lang w:val="es-ES" w:eastAsia="zh-CN"/>
              </w:rPr>
              <w:t>11.44B</w:t>
            </w:r>
            <w:r w:rsidRPr="00CB56EC">
              <w:rPr>
                <w:sz w:val="20"/>
                <w:szCs w:val="20"/>
                <w:lang w:val="es-ES" w:eastAsia="zh-CN"/>
              </w:rPr>
              <w:t xml:space="preserve"> del RR planteada durante la CMR-23, podrían realizarse en el marco del punto</w:t>
            </w:r>
            <w:r w:rsidR="005B2DE5" w:rsidRPr="00CB56EC">
              <w:rPr>
                <w:sz w:val="20"/>
                <w:szCs w:val="20"/>
                <w:lang w:val="es-ES" w:eastAsia="zh-CN"/>
              </w:rPr>
              <w:t> </w:t>
            </w:r>
            <w:r w:rsidRPr="00CB56EC">
              <w:rPr>
                <w:sz w:val="20"/>
                <w:szCs w:val="20"/>
                <w:lang w:val="es-ES" w:eastAsia="zh-CN"/>
              </w:rPr>
              <w:t>7 del orden del día permanente de la CMR.</w:t>
            </w:r>
          </w:p>
        </w:tc>
      </w:tr>
      <w:tr w:rsidR="00CE6409" w:rsidRPr="0067605C" w14:paraId="01913476" w14:textId="77777777" w:rsidTr="00662D47">
        <w:trPr>
          <w:trHeight w:val="1139"/>
        </w:trPr>
        <w:tc>
          <w:tcPr>
            <w:tcW w:w="1838" w:type="dxa"/>
          </w:tcPr>
          <w:p w14:paraId="141C01D4" w14:textId="4CB85E1B" w:rsidR="00CE6409" w:rsidRPr="00CB56EC" w:rsidRDefault="00CE6409" w:rsidP="00CB56EC">
            <w:pPr>
              <w:jc w:val="left"/>
              <w:rPr>
                <w:b/>
                <w:sz w:val="20"/>
                <w:szCs w:val="20"/>
                <w:lang w:val="es-ES"/>
              </w:rPr>
            </w:pPr>
            <w:r w:rsidRPr="00CB56EC">
              <w:rPr>
                <w:b/>
                <w:sz w:val="20"/>
                <w:szCs w:val="20"/>
                <w:lang w:val="es-ES"/>
              </w:rPr>
              <w:t xml:space="preserve">Documento </w:t>
            </w:r>
            <w:r w:rsidR="0067605C">
              <w:fldChar w:fldCharType="begin"/>
            </w:r>
            <w:r w:rsidR="0067605C" w:rsidRPr="0067605C">
              <w:rPr>
                <w:lang w:val="fr-FR"/>
              </w:rPr>
              <w:instrText>HYPERLINK "https://www.itu.int/md/R23-WRC23-C-0528/en"</w:instrText>
            </w:r>
            <w:r w:rsidR="0067605C">
              <w:fldChar w:fldCharType="separate"/>
            </w:r>
            <w:r w:rsidRPr="00CB56EC">
              <w:rPr>
                <w:rStyle w:val="Hyperlink"/>
                <w:b/>
                <w:sz w:val="20"/>
                <w:szCs w:val="20"/>
                <w:lang w:val="es-ES"/>
              </w:rPr>
              <w:t>CMR23/528</w:t>
            </w:r>
            <w:r w:rsidR="0067605C">
              <w:rPr>
                <w:rStyle w:val="Hyperlink"/>
                <w:b/>
                <w:sz w:val="20"/>
                <w:szCs w:val="20"/>
                <w:lang w:val="es-ES"/>
              </w:rPr>
              <w:fldChar w:fldCharType="end"/>
            </w:r>
            <w:r w:rsidRPr="00CB56EC">
              <w:rPr>
                <w:b/>
                <w:sz w:val="20"/>
                <w:szCs w:val="20"/>
                <w:lang w:val="es-ES"/>
              </w:rPr>
              <w:t xml:space="preserve"> – Actas de la Decimotercera Sesión Plenaria</w:t>
            </w:r>
          </w:p>
        </w:tc>
        <w:tc>
          <w:tcPr>
            <w:tcW w:w="1733" w:type="dxa"/>
          </w:tcPr>
          <w:p w14:paraId="117ED951" w14:textId="77777777" w:rsidR="00CE6409" w:rsidRPr="00CB56EC" w:rsidRDefault="00CE6409" w:rsidP="00CB56EC">
            <w:pPr>
              <w:spacing w:after="120" w:line="240" w:lineRule="auto"/>
              <w:jc w:val="left"/>
              <w:rPr>
                <w:b/>
                <w:sz w:val="20"/>
                <w:szCs w:val="20"/>
                <w:lang w:val="es-ES"/>
              </w:rPr>
            </w:pPr>
            <w:r w:rsidRPr="00CB56EC">
              <w:rPr>
                <w:b/>
                <w:sz w:val="20"/>
                <w:szCs w:val="20"/>
                <w:lang w:val="es-ES"/>
              </w:rPr>
              <w:t xml:space="preserve">§§ 13.16 y 13.17 </w:t>
            </w:r>
          </w:p>
          <w:p w14:paraId="4A63ADD9" w14:textId="77777777" w:rsidR="00CE6409" w:rsidRPr="00CB56EC" w:rsidRDefault="00CE6409" w:rsidP="00CB56EC">
            <w:pPr>
              <w:spacing w:after="120" w:line="240" w:lineRule="auto"/>
              <w:jc w:val="left"/>
              <w:rPr>
                <w:b/>
                <w:sz w:val="20"/>
                <w:szCs w:val="20"/>
                <w:lang w:val="es-ES"/>
              </w:rPr>
            </w:pPr>
            <w:r w:rsidRPr="00CB56EC">
              <w:rPr>
                <w:b/>
                <w:sz w:val="20"/>
                <w:szCs w:val="20"/>
                <w:lang w:val="es-ES"/>
              </w:rPr>
              <w:t xml:space="preserve">Aprobación del Documento </w:t>
            </w:r>
            <w:hyperlink r:id="rId26" w:history="1">
              <w:r w:rsidRPr="00CB56EC">
                <w:rPr>
                  <w:rStyle w:val="Hyperlink"/>
                  <w:b/>
                  <w:sz w:val="20"/>
                  <w:szCs w:val="20"/>
                  <w:lang w:val="es-ES"/>
                </w:rPr>
                <w:t>494</w:t>
              </w:r>
            </w:hyperlink>
          </w:p>
        </w:tc>
        <w:tc>
          <w:tcPr>
            <w:tcW w:w="10712" w:type="dxa"/>
          </w:tcPr>
          <w:p w14:paraId="6D114B3A" w14:textId="77777777" w:rsidR="00CE6409" w:rsidRPr="00CB56EC" w:rsidRDefault="00CE6409" w:rsidP="00CB56EC">
            <w:pPr>
              <w:spacing w:after="120" w:line="240" w:lineRule="auto"/>
              <w:jc w:val="left"/>
              <w:rPr>
                <w:b/>
                <w:bCs/>
                <w:sz w:val="20"/>
                <w:szCs w:val="20"/>
                <w:lang w:val="es-ES"/>
              </w:rPr>
            </w:pPr>
            <w:r w:rsidRPr="00CB56EC">
              <w:rPr>
                <w:b/>
                <w:bCs/>
                <w:sz w:val="20"/>
                <w:szCs w:val="20"/>
                <w:lang w:val="es-ES"/>
              </w:rPr>
              <w:t xml:space="preserve">Temas relacionados con la puesta en servicio de redes de satélites no OSG </w:t>
            </w:r>
          </w:p>
          <w:p w14:paraId="4B7FD167" w14:textId="78E05938" w:rsidR="00CE6409" w:rsidRPr="00CB56EC" w:rsidRDefault="00CE6409" w:rsidP="00CB56EC">
            <w:pPr>
              <w:spacing w:after="120" w:line="240" w:lineRule="auto"/>
              <w:jc w:val="left"/>
              <w:rPr>
                <w:sz w:val="20"/>
                <w:szCs w:val="20"/>
                <w:lang w:val="es-ES"/>
              </w:rPr>
            </w:pPr>
            <w:r w:rsidRPr="00CB56EC">
              <w:rPr>
                <w:sz w:val="20"/>
                <w:szCs w:val="20"/>
                <w:lang w:val="es-ES"/>
              </w:rPr>
              <w:t>La CMR-23 encarga al UIT-R a que estudie posibles medidas para limitar la práctica consistente en introducir un plano orbital completamente distinto, cuya necesidad no se prevé para el funcionamiento de la constelación, a fin de satisfacer los requisitos en materia de puesta en servicio o reanudación del servicio de las asignaciones de frecuencias, y reconoce a la vez que esa cuestión guarda relación con el Tema A del punto</w:t>
            </w:r>
            <w:r w:rsidR="005B2DE5" w:rsidRPr="00CB56EC">
              <w:rPr>
                <w:sz w:val="20"/>
                <w:szCs w:val="20"/>
                <w:lang w:val="es-ES"/>
              </w:rPr>
              <w:t> </w:t>
            </w:r>
            <w:r w:rsidRPr="00CB56EC">
              <w:rPr>
                <w:sz w:val="20"/>
                <w:szCs w:val="20"/>
                <w:lang w:val="es-ES"/>
              </w:rPr>
              <w:t>7 del orden del día que se está abordando en esta CMR.</w:t>
            </w:r>
          </w:p>
        </w:tc>
      </w:tr>
      <w:tr w:rsidR="00CE6409" w:rsidRPr="0067605C" w14:paraId="6A40801F" w14:textId="77777777" w:rsidTr="00662D47">
        <w:trPr>
          <w:trHeight w:val="1139"/>
        </w:trPr>
        <w:tc>
          <w:tcPr>
            <w:tcW w:w="1838" w:type="dxa"/>
          </w:tcPr>
          <w:p w14:paraId="3A9656C1" w14:textId="57FF1E3B" w:rsidR="00CE6409" w:rsidRPr="00CB56EC" w:rsidRDefault="00CE6409" w:rsidP="00CB56EC">
            <w:pPr>
              <w:jc w:val="left"/>
              <w:rPr>
                <w:b/>
                <w:sz w:val="20"/>
                <w:szCs w:val="20"/>
                <w:lang w:val="es-ES"/>
              </w:rPr>
            </w:pPr>
            <w:r w:rsidRPr="00CB56EC">
              <w:rPr>
                <w:b/>
                <w:sz w:val="20"/>
                <w:szCs w:val="20"/>
                <w:lang w:val="es-ES"/>
              </w:rPr>
              <w:lastRenderedPageBreak/>
              <w:t xml:space="preserve">Documento </w:t>
            </w:r>
            <w:r w:rsidR="0067605C">
              <w:fldChar w:fldCharType="begin"/>
            </w:r>
            <w:r w:rsidR="0067605C" w:rsidRPr="0067605C">
              <w:rPr>
                <w:lang w:val="fr-FR"/>
              </w:rPr>
              <w:instrText>HYPERLINK "https://www.itu.int/md/R23-WRC23-C-0528/en"</w:instrText>
            </w:r>
            <w:r w:rsidR="0067605C">
              <w:fldChar w:fldCharType="separate"/>
            </w:r>
            <w:r w:rsidRPr="00CB56EC">
              <w:rPr>
                <w:rStyle w:val="Hyperlink"/>
                <w:b/>
                <w:sz w:val="20"/>
                <w:szCs w:val="20"/>
                <w:lang w:val="es-ES"/>
              </w:rPr>
              <w:t>CMR23/528</w:t>
            </w:r>
            <w:r w:rsidR="0067605C">
              <w:rPr>
                <w:rStyle w:val="Hyperlink"/>
                <w:b/>
                <w:sz w:val="20"/>
                <w:szCs w:val="20"/>
                <w:lang w:val="es-ES"/>
              </w:rPr>
              <w:fldChar w:fldCharType="end"/>
            </w:r>
            <w:r w:rsidRPr="00CB56EC">
              <w:rPr>
                <w:b/>
                <w:sz w:val="20"/>
                <w:szCs w:val="20"/>
                <w:lang w:val="es-ES"/>
              </w:rPr>
              <w:t xml:space="preserve"> – Actas de la Decimotercera Sesión Plenaria</w:t>
            </w:r>
          </w:p>
        </w:tc>
        <w:tc>
          <w:tcPr>
            <w:tcW w:w="1733" w:type="dxa"/>
          </w:tcPr>
          <w:p w14:paraId="348AF352" w14:textId="77777777" w:rsidR="00CE6409" w:rsidRPr="00CB56EC" w:rsidRDefault="00CE6409" w:rsidP="00CB56EC">
            <w:pPr>
              <w:spacing w:after="120" w:line="240" w:lineRule="auto"/>
              <w:jc w:val="left"/>
              <w:rPr>
                <w:b/>
                <w:sz w:val="20"/>
                <w:szCs w:val="20"/>
                <w:lang w:val="es-ES"/>
              </w:rPr>
            </w:pPr>
            <w:r w:rsidRPr="00CB56EC">
              <w:rPr>
                <w:b/>
                <w:sz w:val="20"/>
                <w:szCs w:val="20"/>
                <w:lang w:val="es-ES"/>
              </w:rPr>
              <w:t xml:space="preserve">§§ 13.18 y 13.19 </w:t>
            </w:r>
          </w:p>
          <w:p w14:paraId="51A5617C" w14:textId="77777777" w:rsidR="00CE6409" w:rsidRPr="00CB56EC" w:rsidRDefault="00CE6409" w:rsidP="00CB56EC">
            <w:pPr>
              <w:spacing w:after="120" w:line="240" w:lineRule="auto"/>
              <w:jc w:val="left"/>
              <w:rPr>
                <w:b/>
                <w:sz w:val="20"/>
                <w:szCs w:val="20"/>
                <w:lang w:val="es-ES"/>
              </w:rPr>
            </w:pPr>
            <w:r w:rsidRPr="00CB56EC">
              <w:rPr>
                <w:b/>
                <w:sz w:val="20"/>
                <w:szCs w:val="20"/>
                <w:lang w:val="es-ES"/>
              </w:rPr>
              <w:t xml:space="preserve">Aprobación del Documento </w:t>
            </w:r>
            <w:hyperlink r:id="rId27" w:history="1">
              <w:r w:rsidRPr="00CB56EC">
                <w:rPr>
                  <w:rStyle w:val="Hyperlink"/>
                  <w:b/>
                  <w:sz w:val="20"/>
                  <w:szCs w:val="20"/>
                  <w:lang w:val="es-ES"/>
                </w:rPr>
                <w:t>494</w:t>
              </w:r>
            </w:hyperlink>
          </w:p>
        </w:tc>
        <w:tc>
          <w:tcPr>
            <w:tcW w:w="10712" w:type="dxa"/>
          </w:tcPr>
          <w:p w14:paraId="5099C3F0" w14:textId="77777777" w:rsidR="00CE6409" w:rsidRPr="00CB56EC" w:rsidRDefault="00CE6409" w:rsidP="00CB56EC">
            <w:pPr>
              <w:pStyle w:val="enumlev1"/>
              <w:spacing w:before="120" w:after="120" w:line="240" w:lineRule="auto"/>
              <w:jc w:val="left"/>
              <w:rPr>
                <w:b/>
                <w:bCs/>
                <w:color w:val="000000"/>
                <w:sz w:val="20"/>
                <w:szCs w:val="20"/>
                <w:lang w:val="es-ES" w:eastAsia="pt-BR"/>
              </w:rPr>
            </w:pPr>
            <w:r w:rsidRPr="00CB56EC">
              <w:rPr>
                <w:b/>
                <w:bCs/>
                <w:color w:val="000000"/>
                <w:sz w:val="20"/>
                <w:szCs w:val="20"/>
                <w:lang w:val="es-ES" w:eastAsia="pt-BR"/>
              </w:rPr>
              <w:t xml:space="preserve">Sostenibilidad a largo plazo, acceso equitativo y uso racional de los recursos de espectro/órbita no OSG </w:t>
            </w:r>
          </w:p>
          <w:p w14:paraId="35FEABA0" w14:textId="4588FDFA" w:rsidR="00CE6409" w:rsidRPr="00CB56EC" w:rsidRDefault="00CE6409" w:rsidP="00CB56EC">
            <w:pPr>
              <w:pStyle w:val="enumlev1"/>
              <w:spacing w:before="120" w:after="120" w:line="240" w:lineRule="auto"/>
              <w:ind w:left="0" w:firstLine="0"/>
              <w:jc w:val="left"/>
              <w:rPr>
                <w:sz w:val="20"/>
                <w:szCs w:val="20"/>
                <w:lang w:val="es-ES" w:eastAsia="pt-BR"/>
              </w:rPr>
            </w:pPr>
            <w:r w:rsidRPr="00CB56EC">
              <w:rPr>
                <w:color w:val="000000"/>
                <w:sz w:val="20"/>
                <w:szCs w:val="20"/>
                <w:lang w:val="es-ES" w:eastAsia="pt-BR"/>
              </w:rPr>
              <w:t xml:space="preserve">En respuesta al contenido de la sección 4.13 de este Informe de la Junta sobre </w:t>
            </w:r>
            <w:r w:rsidR="005B2DE5" w:rsidRPr="00CB56EC">
              <w:rPr>
                <w:color w:val="000000"/>
                <w:sz w:val="20"/>
                <w:szCs w:val="20"/>
                <w:lang w:val="es-ES" w:eastAsia="pt-BR"/>
              </w:rPr>
              <w:t>«</w:t>
            </w:r>
            <w:r w:rsidRPr="00CB56EC">
              <w:rPr>
                <w:color w:val="000000"/>
                <w:sz w:val="20"/>
                <w:szCs w:val="20"/>
                <w:lang w:val="es-ES" w:eastAsia="pt-BR"/>
              </w:rPr>
              <w:t>Sostenibilidad a largo plazo, acceso equitativo y uso racional de los recursos de espectro/órbita no OSG</w:t>
            </w:r>
            <w:r w:rsidR="005B2DE5" w:rsidRPr="00CB56EC">
              <w:rPr>
                <w:color w:val="000000"/>
                <w:sz w:val="20"/>
                <w:szCs w:val="20"/>
                <w:lang w:val="es-ES" w:eastAsia="pt-BR"/>
              </w:rPr>
              <w:t>»</w:t>
            </w:r>
            <w:r w:rsidRPr="00CB56EC">
              <w:rPr>
                <w:color w:val="000000"/>
                <w:sz w:val="20"/>
                <w:szCs w:val="20"/>
                <w:lang w:val="es-ES" w:eastAsia="pt-BR"/>
              </w:rPr>
              <w:t>, la CMR</w:t>
            </w:r>
            <w:r w:rsidRPr="00CB56EC">
              <w:rPr>
                <w:color w:val="000000"/>
                <w:sz w:val="20"/>
                <w:szCs w:val="20"/>
                <w:lang w:val="es-ES" w:eastAsia="pt-BR"/>
              </w:rPr>
              <w:noBreakHyphen/>
              <w:t xml:space="preserve">23 reconoció la pertinencia de los asuntos planteados por la RRB, así como una reciente decisión de la Asamblea de Radiocomunicaciones 2023 (AR-23) que aprobó una nueva Resolución UIT-R 74 sobre </w:t>
            </w:r>
            <w:r w:rsidR="005B2DE5" w:rsidRPr="00CB56EC">
              <w:rPr>
                <w:color w:val="000000"/>
                <w:sz w:val="20"/>
                <w:szCs w:val="20"/>
                <w:lang w:val="es-ES" w:eastAsia="pt-BR"/>
              </w:rPr>
              <w:t>«</w:t>
            </w:r>
            <w:r w:rsidRPr="00CB56EC">
              <w:rPr>
                <w:color w:val="000000"/>
                <w:sz w:val="20"/>
                <w:szCs w:val="20"/>
                <w:lang w:val="es-ES" w:eastAsia="pt-BR"/>
              </w:rPr>
              <w:t>Actividades relacionadas con la utilización sostenible del espectro de frecuencias radioeléctricas y los recursos de órbita de satélite conexos utilizados por los servicios espaciales</w:t>
            </w:r>
            <w:r w:rsidR="005B2DE5" w:rsidRPr="00CB56EC">
              <w:rPr>
                <w:color w:val="000000"/>
                <w:sz w:val="20"/>
                <w:szCs w:val="20"/>
                <w:lang w:val="es-ES" w:eastAsia="pt-BR"/>
              </w:rPr>
              <w:t>»</w:t>
            </w:r>
            <w:r w:rsidR="005B2DE5" w:rsidRPr="00CB56EC">
              <w:rPr>
                <w:sz w:val="20"/>
                <w:szCs w:val="20"/>
                <w:lang w:val="es-ES" w:eastAsia="pt-BR"/>
              </w:rPr>
              <w:t>.</w:t>
            </w:r>
          </w:p>
          <w:p w14:paraId="060AE003" w14:textId="70B39070" w:rsidR="00CE6409" w:rsidRPr="00CB56EC" w:rsidRDefault="00CE6409" w:rsidP="00CB56EC">
            <w:pPr>
              <w:spacing w:after="120" w:line="240" w:lineRule="auto"/>
              <w:jc w:val="left"/>
              <w:rPr>
                <w:b/>
                <w:bCs/>
                <w:sz w:val="20"/>
                <w:szCs w:val="20"/>
                <w:lang w:val="es-ES"/>
              </w:rPr>
            </w:pPr>
            <w:r w:rsidRPr="00CB56EC">
              <w:rPr>
                <w:sz w:val="20"/>
                <w:szCs w:val="20"/>
                <w:lang w:val="es-ES" w:eastAsia="pt-BR"/>
              </w:rPr>
              <w:t>A este respecto, la CMR-23 reconoció la decisión adoptada por la AR-23 sobre la aprobación de la Resolución</w:t>
            </w:r>
            <w:r w:rsidR="005B2DE5" w:rsidRPr="00CB56EC">
              <w:rPr>
                <w:sz w:val="20"/>
                <w:szCs w:val="20"/>
                <w:lang w:val="es-ES" w:eastAsia="pt-BR"/>
              </w:rPr>
              <w:t> </w:t>
            </w:r>
            <w:r w:rsidRPr="00CB56EC">
              <w:rPr>
                <w:sz w:val="20"/>
                <w:szCs w:val="20"/>
                <w:lang w:val="es-ES" w:eastAsia="pt-BR"/>
              </w:rPr>
              <w:t>UIT-R 74, así como la necesidad de obtener con carácter de urgente los resultados del UIT-R previstos por esta Resolución.</w:t>
            </w:r>
          </w:p>
        </w:tc>
      </w:tr>
      <w:tr w:rsidR="00CE6409" w:rsidRPr="0067605C" w14:paraId="584B47F6" w14:textId="77777777" w:rsidTr="00662D47">
        <w:trPr>
          <w:trHeight w:val="1139"/>
        </w:trPr>
        <w:tc>
          <w:tcPr>
            <w:tcW w:w="1838" w:type="dxa"/>
          </w:tcPr>
          <w:p w14:paraId="47800578" w14:textId="713790E7" w:rsidR="00CE6409" w:rsidRPr="00CB56EC" w:rsidRDefault="00CE6409" w:rsidP="00CB56EC">
            <w:pPr>
              <w:jc w:val="left"/>
              <w:rPr>
                <w:b/>
                <w:sz w:val="20"/>
                <w:szCs w:val="20"/>
                <w:lang w:val="es-ES"/>
              </w:rPr>
            </w:pPr>
            <w:r w:rsidRPr="00CB56EC">
              <w:rPr>
                <w:b/>
                <w:sz w:val="20"/>
                <w:szCs w:val="20"/>
                <w:lang w:val="es-ES"/>
              </w:rPr>
              <w:t xml:space="preserve">Documento </w:t>
            </w:r>
            <w:r w:rsidR="0067605C">
              <w:fldChar w:fldCharType="begin"/>
            </w:r>
            <w:r w:rsidR="0067605C" w:rsidRPr="0067605C">
              <w:rPr>
                <w:lang w:val="fr-FR"/>
              </w:rPr>
              <w:instrText>HYPERLINK "https://www.itu.int/md/R23-WRC23-C-0528/en"</w:instrText>
            </w:r>
            <w:r w:rsidR="0067605C">
              <w:fldChar w:fldCharType="separate"/>
            </w:r>
            <w:r w:rsidRPr="00CB56EC">
              <w:rPr>
                <w:rStyle w:val="Hyperlink"/>
                <w:b/>
                <w:sz w:val="20"/>
                <w:szCs w:val="20"/>
                <w:lang w:val="es-ES"/>
              </w:rPr>
              <w:t>CMR23/528</w:t>
            </w:r>
            <w:r w:rsidR="0067605C">
              <w:rPr>
                <w:rStyle w:val="Hyperlink"/>
                <w:b/>
                <w:sz w:val="20"/>
                <w:szCs w:val="20"/>
                <w:lang w:val="es-ES"/>
              </w:rPr>
              <w:fldChar w:fldCharType="end"/>
            </w:r>
            <w:r w:rsidRPr="00CB56EC">
              <w:rPr>
                <w:b/>
                <w:sz w:val="20"/>
                <w:szCs w:val="20"/>
                <w:lang w:val="es-ES"/>
              </w:rPr>
              <w:t xml:space="preserve"> – Actas de la Decimotercera Sesión Plenaria</w:t>
            </w:r>
          </w:p>
        </w:tc>
        <w:tc>
          <w:tcPr>
            <w:tcW w:w="1733" w:type="dxa"/>
          </w:tcPr>
          <w:p w14:paraId="155EAF21" w14:textId="77777777" w:rsidR="00CE6409" w:rsidRPr="00CB56EC" w:rsidRDefault="00CE6409" w:rsidP="00CB56EC">
            <w:pPr>
              <w:spacing w:after="120" w:line="240" w:lineRule="auto"/>
              <w:jc w:val="left"/>
              <w:rPr>
                <w:b/>
                <w:sz w:val="20"/>
                <w:szCs w:val="20"/>
                <w:lang w:val="es-ES"/>
              </w:rPr>
            </w:pPr>
            <w:r w:rsidRPr="00CB56EC">
              <w:rPr>
                <w:b/>
                <w:sz w:val="20"/>
                <w:szCs w:val="20"/>
                <w:lang w:val="es-ES"/>
              </w:rPr>
              <w:t xml:space="preserve">§§ 13.20 y 13.21 </w:t>
            </w:r>
          </w:p>
          <w:p w14:paraId="6C7132FE" w14:textId="77777777" w:rsidR="00CE6409" w:rsidRPr="00CB56EC" w:rsidRDefault="00CE6409" w:rsidP="00CB56EC">
            <w:pPr>
              <w:spacing w:after="120" w:line="240" w:lineRule="auto"/>
              <w:jc w:val="left"/>
              <w:rPr>
                <w:b/>
                <w:sz w:val="20"/>
                <w:szCs w:val="20"/>
                <w:lang w:val="es-ES"/>
              </w:rPr>
            </w:pPr>
            <w:r w:rsidRPr="00CB56EC">
              <w:rPr>
                <w:b/>
                <w:sz w:val="20"/>
                <w:szCs w:val="20"/>
                <w:lang w:val="es-ES"/>
              </w:rPr>
              <w:t xml:space="preserve">Aprobación del Documento </w:t>
            </w:r>
            <w:hyperlink r:id="rId28" w:history="1">
              <w:r w:rsidRPr="00CB56EC">
                <w:rPr>
                  <w:rStyle w:val="Hyperlink"/>
                  <w:b/>
                  <w:sz w:val="20"/>
                  <w:szCs w:val="20"/>
                  <w:lang w:val="es-ES"/>
                </w:rPr>
                <w:t>494</w:t>
              </w:r>
            </w:hyperlink>
          </w:p>
        </w:tc>
        <w:tc>
          <w:tcPr>
            <w:tcW w:w="10712" w:type="dxa"/>
          </w:tcPr>
          <w:p w14:paraId="4DBE2858" w14:textId="77777777" w:rsidR="00CE6409" w:rsidRPr="00CB56EC" w:rsidRDefault="00CE6409" w:rsidP="00CB56EC">
            <w:pPr>
              <w:spacing w:after="120" w:line="240" w:lineRule="auto"/>
              <w:jc w:val="left"/>
              <w:rPr>
                <w:rFonts w:eastAsia="Calibri"/>
                <w:b/>
                <w:bCs/>
                <w:sz w:val="20"/>
                <w:szCs w:val="20"/>
                <w:lang w:val="es-ES"/>
              </w:rPr>
            </w:pPr>
            <w:r w:rsidRPr="00CB56EC">
              <w:rPr>
                <w:rFonts w:eastAsia="Calibri"/>
                <w:b/>
                <w:bCs/>
                <w:sz w:val="20"/>
                <w:szCs w:val="20"/>
                <w:lang w:val="es-ES"/>
              </w:rPr>
              <w:t>Inscripción de asignaciones de frecuencias a redes y sistemas de satélites conforme al número 4.4</w:t>
            </w:r>
          </w:p>
          <w:p w14:paraId="131E8B5E" w14:textId="2A0DCFD6" w:rsidR="00CE6409" w:rsidRPr="00CB56EC" w:rsidRDefault="00CE6409" w:rsidP="00CB56EC">
            <w:pPr>
              <w:spacing w:after="120" w:line="240" w:lineRule="auto"/>
              <w:jc w:val="left"/>
              <w:rPr>
                <w:rFonts w:eastAsia="Calibri"/>
                <w:sz w:val="20"/>
                <w:szCs w:val="20"/>
                <w:lang w:val="es-ES"/>
              </w:rPr>
            </w:pPr>
            <w:r w:rsidRPr="00CB56EC">
              <w:rPr>
                <w:rFonts w:eastAsia="Calibri"/>
                <w:sz w:val="20"/>
                <w:szCs w:val="20"/>
                <w:lang w:val="es-ES"/>
              </w:rPr>
              <w:t xml:space="preserve">La CMR-23 examinó el uso del número </w:t>
            </w:r>
            <w:r w:rsidRPr="00CB56EC">
              <w:rPr>
                <w:rFonts w:eastAsia="Calibri"/>
                <w:b/>
                <w:bCs/>
                <w:sz w:val="20"/>
                <w:szCs w:val="20"/>
                <w:lang w:val="es-ES"/>
              </w:rPr>
              <w:t>4.4</w:t>
            </w:r>
            <w:r w:rsidRPr="00CB56EC">
              <w:rPr>
                <w:rFonts w:eastAsia="Calibri"/>
                <w:sz w:val="20"/>
                <w:szCs w:val="20"/>
                <w:lang w:val="es-ES"/>
              </w:rPr>
              <w:t xml:space="preserve"> del RR planteado en la sección 4.14 del Informe </w:t>
            </w:r>
            <w:r w:rsidR="005B2DE5" w:rsidRPr="00CB56EC">
              <w:rPr>
                <w:rFonts w:eastAsia="Calibri"/>
                <w:sz w:val="20"/>
                <w:szCs w:val="20"/>
                <w:lang w:val="es-ES"/>
              </w:rPr>
              <w:t>«</w:t>
            </w:r>
            <w:r w:rsidRPr="00CB56EC">
              <w:rPr>
                <w:rFonts w:eastAsia="Calibri"/>
                <w:sz w:val="20"/>
                <w:szCs w:val="20"/>
                <w:lang w:val="es-ES"/>
              </w:rPr>
              <w:t xml:space="preserve">Inscripción de asignaciones de frecuencias a redes y sistemas de satélites en virtud del número </w:t>
            </w:r>
            <w:r w:rsidRPr="00CB56EC">
              <w:rPr>
                <w:rFonts w:eastAsia="Calibri"/>
                <w:b/>
                <w:bCs/>
                <w:sz w:val="20"/>
                <w:szCs w:val="20"/>
                <w:lang w:val="es-ES"/>
              </w:rPr>
              <w:t>4.4</w:t>
            </w:r>
            <w:r w:rsidR="005B2DE5" w:rsidRPr="00CB56EC">
              <w:rPr>
                <w:rFonts w:eastAsia="Calibri"/>
                <w:sz w:val="20"/>
                <w:szCs w:val="20"/>
                <w:lang w:val="es-ES"/>
              </w:rPr>
              <w:t>»</w:t>
            </w:r>
            <w:r w:rsidRPr="00CB56EC">
              <w:rPr>
                <w:rFonts w:eastAsia="Calibri"/>
                <w:sz w:val="20"/>
                <w:szCs w:val="20"/>
                <w:lang w:val="es-ES"/>
              </w:rPr>
              <w:t xml:space="preserve"> y confirmó que, </w:t>
            </w:r>
            <w:r w:rsidR="005B2DE5" w:rsidRPr="00CB56EC">
              <w:rPr>
                <w:rFonts w:eastAsia="Calibri"/>
                <w:sz w:val="20"/>
                <w:szCs w:val="20"/>
                <w:lang w:val="es-ES"/>
              </w:rPr>
              <w:t>«</w:t>
            </w:r>
            <w:r w:rsidRPr="00CB56EC">
              <w:rPr>
                <w:rFonts w:eastAsia="Calibri"/>
                <w:sz w:val="20"/>
                <w:szCs w:val="20"/>
                <w:lang w:val="es-ES"/>
              </w:rPr>
              <w:t>las asignaciones de frecuencias inscritas en virtud del número 4.4 del RR no tienen derecho a protección contra la interferencia perjudicial causada por otras asignaciones de frecuencias inscritas en virtud del número</w:t>
            </w:r>
            <w:r w:rsidR="005B2DE5" w:rsidRPr="00CB56EC">
              <w:rPr>
                <w:rFonts w:eastAsia="Calibri"/>
                <w:sz w:val="20"/>
                <w:szCs w:val="20"/>
                <w:lang w:val="es-ES"/>
              </w:rPr>
              <w:t> </w:t>
            </w:r>
            <w:r w:rsidRPr="00CB56EC">
              <w:rPr>
                <w:rFonts w:eastAsia="Calibri"/>
                <w:b/>
                <w:bCs/>
                <w:sz w:val="20"/>
                <w:szCs w:val="20"/>
                <w:lang w:val="es-ES"/>
              </w:rPr>
              <w:t>4.4</w:t>
            </w:r>
            <w:r w:rsidRPr="00CB56EC">
              <w:rPr>
                <w:rFonts w:eastAsia="Calibri"/>
                <w:sz w:val="20"/>
                <w:szCs w:val="20"/>
                <w:lang w:val="es-ES"/>
              </w:rPr>
              <w:t xml:space="preserve"> del RR</w:t>
            </w:r>
            <w:r w:rsidR="005B2DE5" w:rsidRPr="00CB56EC">
              <w:rPr>
                <w:rFonts w:eastAsia="Calibri"/>
                <w:sz w:val="20"/>
                <w:szCs w:val="20"/>
                <w:lang w:val="es-ES"/>
              </w:rPr>
              <w:t>»</w:t>
            </w:r>
            <w:r w:rsidRPr="00CB56EC">
              <w:rPr>
                <w:rFonts w:eastAsia="Calibri"/>
                <w:sz w:val="20"/>
                <w:szCs w:val="20"/>
                <w:lang w:val="es-ES"/>
              </w:rPr>
              <w:t>.</w:t>
            </w:r>
          </w:p>
          <w:p w14:paraId="15D54EFF" w14:textId="77777777" w:rsidR="00CE6409" w:rsidRPr="00CB56EC" w:rsidRDefault="00CE6409" w:rsidP="00CB56EC">
            <w:pPr>
              <w:spacing w:after="120" w:line="240" w:lineRule="auto"/>
              <w:jc w:val="left"/>
              <w:rPr>
                <w:rFonts w:eastAsia="Calibri"/>
                <w:sz w:val="20"/>
                <w:szCs w:val="20"/>
                <w:lang w:val="es-ES"/>
              </w:rPr>
            </w:pPr>
            <w:r w:rsidRPr="00CB56EC">
              <w:rPr>
                <w:rFonts w:eastAsia="Calibri"/>
                <w:sz w:val="20"/>
                <w:szCs w:val="20"/>
                <w:lang w:val="es-ES"/>
              </w:rPr>
              <w:t xml:space="preserve">Los derechos y obligaciones internacionales de las administraciones con respecto a sus propias asignaciones de frecuencias y las asignaciones de frecuencias de otras administraciones se definen en el Artículo </w:t>
            </w:r>
            <w:r w:rsidRPr="00CB56EC">
              <w:rPr>
                <w:rFonts w:eastAsia="Calibri"/>
                <w:b/>
                <w:bCs/>
                <w:sz w:val="20"/>
                <w:szCs w:val="20"/>
                <w:lang w:val="es-ES"/>
              </w:rPr>
              <w:t>8</w:t>
            </w:r>
            <w:r w:rsidRPr="00CB56EC">
              <w:rPr>
                <w:rFonts w:eastAsia="Calibri"/>
                <w:sz w:val="20"/>
                <w:szCs w:val="20"/>
                <w:lang w:val="es-ES"/>
              </w:rPr>
              <w:t xml:space="preserve"> del RR. Véase también el Artículo </w:t>
            </w:r>
            <w:r w:rsidRPr="00CB56EC">
              <w:rPr>
                <w:rFonts w:eastAsia="Calibri"/>
                <w:b/>
                <w:bCs/>
                <w:sz w:val="20"/>
                <w:szCs w:val="20"/>
                <w:lang w:val="es-ES"/>
              </w:rPr>
              <w:t>8</w:t>
            </w:r>
            <w:r w:rsidRPr="00CB56EC">
              <w:rPr>
                <w:rFonts w:eastAsia="Calibri"/>
                <w:sz w:val="20"/>
                <w:szCs w:val="20"/>
                <w:lang w:val="es-ES"/>
              </w:rPr>
              <w:t xml:space="preserve"> del RR.</w:t>
            </w:r>
          </w:p>
          <w:p w14:paraId="334448CE" w14:textId="77777777" w:rsidR="00CE6409" w:rsidRPr="00CB56EC" w:rsidRDefault="00CE6409" w:rsidP="00CB56EC">
            <w:pPr>
              <w:spacing w:after="120" w:line="240" w:lineRule="auto"/>
              <w:jc w:val="left"/>
              <w:rPr>
                <w:rFonts w:eastAsia="Calibri"/>
                <w:sz w:val="20"/>
                <w:szCs w:val="20"/>
                <w:lang w:val="es-ES"/>
              </w:rPr>
            </w:pPr>
            <w:r w:rsidRPr="00CB56EC">
              <w:rPr>
                <w:rFonts w:eastAsia="Calibri"/>
                <w:sz w:val="20"/>
                <w:szCs w:val="20"/>
                <w:lang w:val="es-ES"/>
              </w:rPr>
              <w:t xml:space="preserve">En aras de una mayor transparencia, la CMR-23 encarga a la Oficina a añadir la indicación de la notificación de asignación de frecuencias en virtud del número </w:t>
            </w:r>
            <w:r w:rsidRPr="00CB56EC">
              <w:rPr>
                <w:rFonts w:eastAsia="Calibri"/>
                <w:b/>
                <w:bCs/>
                <w:sz w:val="20"/>
                <w:szCs w:val="20"/>
                <w:lang w:val="es-ES"/>
              </w:rPr>
              <w:t>4.4</w:t>
            </w:r>
            <w:r w:rsidRPr="00CB56EC">
              <w:rPr>
                <w:rFonts w:eastAsia="Calibri"/>
                <w:sz w:val="20"/>
                <w:szCs w:val="20"/>
                <w:lang w:val="es-ES"/>
              </w:rPr>
              <w:t xml:space="preserve"> del RR en el cuadro resumen de la Sección/Parte Especial. Además, para facilitar el intercambio de información, la CMR-23 encarga a la Oficina de Radiocomunicaciones (BR) a poner a disposición en un formato fácilmente accesible toda la información de que disponga relativa a la notificación y puesta en servicio de asignaciones de frecuencias en virtud del número 4.4 del RR, mediante, por ejemplo, su publicación en el sitio web de la BR o la introducción de una nueva opción de filtro en la herramienta de análisis de datos </w:t>
            </w:r>
            <w:proofErr w:type="spellStart"/>
            <w:r w:rsidRPr="00CB56EC">
              <w:rPr>
                <w:rFonts w:eastAsia="Calibri"/>
                <w:sz w:val="20"/>
                <w:szCs w:val="20"/>
                <w:lang w:val="es-ES"/>
              </w:rPr>
              <w:t>Space</w:t>
            </w:r>
            <w:proofErr w:type="spellEnd"/>
            <w:r w:rsidRPr="00CB56EC">
              <w:rPr>
                <w:rFonts w:eastAsia="Calibri"/>
                <w:sz w:val="20"/>
                <w:szCs w:val="20"/>
                <w:lang w:val="es-ES"/>
              </w:rPr>
              <w:t xml:space="preserve"> Explorer de la UIT. Esta información podría incluir la lista de presentaciones que utilizan el número </w:t>
            </w:r>
            <w:r w:rsidRPr="00CB56EC">
              <w:rPr>
                <w:rFonts w:eastAsia="Calibri"/>
                <w:b/>
                <w:bCs/>
                <w:sz w:val="20"/>
                <w:szCs w:val="20"/>
                <w:lang w:val="es-ES"/>
              </w:rPr>
              <w:t>4.4</w:t>
            </w:r>
            <w:r w:rsidRPr="00CB56EC">
              <w:rPr>
                <w:rFonts w:eastAsia="Calibri"/>
                <w:sz w:val="20"/>
                <w:szCs w:val="20"/>
                <w:lang w:val="es-ES"/>
              </w:rPr>
              <w:t xml:space="preserve"> del RR y datos históricos, como la fecha de recepción de las asignaciones, además, también se encarga a la BR a informar periódicamente a las administraciones sobre la información actualizada relativa a la notificación y puesta en servicio de asignaciones de frecuencias en virtud del número 4.4 del RR que la BR pone a disposición en su sitio web y que invite a las administraciones notificantes a adoptar medidas para cancelar las asignaciones en virtud del número 4.4 del RR si ya no se utiliza.</w:t>
            </w:r>
          </w:p>
          <w:p w14:paraId="5DA9DB34" w14:textId="77777777" w:rsidR="00CE6409" w:rsidRPr="00CB56EC" w:rsidRDefault="00CE6409" w:rsidP="00CB56EC">
            <w:pPr>
              <w:spacing w:after="120" w:line="240" w:lineRule="auto"/>
              <w:jc w:val="left"/>
              <w:rPr>
                <w:b/>
                <w:bCs/>
                <w:sz w:val="20"/>
                <w:szCs w:val="20"/>
                <w:lang w:val="es-ES"/>
              </w:rPr>
            </w:pPr>
            <w:r w:rsidRPr="00CB56EC">
              <w:rPr>
                <w:rFonts w:eastAsia="Calibri"/>
                <w:sz w:val="20"/>
                <w:szCs w:val="20"/>
                <w:lang w:val="es-ES"/>
              </w:rPr>
              <w:t xml:space="preserve">La CMR-23 insta a las administraciones a utilizar las asignaciones de frecuencias en virtud del número 4.4 del RR para cumplir plenamente los objetivos y el propósito de esta disposición incluida la regla de procedimiento relacionada con el número </w:t>
            </w:r>
            <w:r w:rsidRPr="00CB56EC">
              <w:rPr>
                <w:rFonts w:eastAsia="Calibri"/>
                <w:b/>
                <w:bCs/>
                <w:sz w:val="20"/>
                <w:szCs w:val="20"/>
                <w:lang w:val="es-ES"/>
              </w:rPr>
              <w:t>4.4</w:t>
            </w:r>
            <w:r w:rsidRPr="00CB56EC">
              <w:rPr>
                <w:rFonts w:eastAsia="Calibri"/>
                <w:sz w:val="20"/>
                <w:szCs w:val="20"/>
                <w:lang w:val="es-ES"/>
              </w:rPr>
              <w:t xml:space="preserve"> del RR</w:t>
            </w:r>
            <w:r w:rsidRPr="00CB56EC">
              <w:rPr>
                <w:rStyle w:val="Artref"/>
                <w:rFonts w:eastAsia="Calibri"/>
                <w:b/>
                <w:bCs/>
                <w:sz w:val="20"/>
                <w:szCs w:val="20"/>
                <w:lang w:val="es-ES"/>
              </w:rPr>
              <w:t>.</w:t>
            </w:r>
          </w:p>
        </w:tc>
      </w:tr>
      <w:tr w:rsidR="00CE6409" w:rsidRPr="00011EA8" w14:paraId="54ECBDDD" w14:textId="77777777" w:rsidTr="00662D47">
        <w:trPr>
          <w:trHeight w:val="1139"/>
        </w:trPr>
        <w:tc>
          <w:tcPr>
            <w:tcW w:w="1838" w:type="dxa"/>
          </w:tcPr>
          <w:p w14:paraId="5B147BB0" w14:textId="77777777" w:rsidR="00CE6409" w:rsidRPr="00CB56EC" w:rsidRDefault="00CE6409" w:rsidP="00CB56EC">
            <w:pPr>
              <w:jc w:val="left"/>
              <w:rPr>
                <w:b/>
                <w:sz w:val="20"/>
                <w:szCs w:val="20"/>
                <w:lang w:val="es-ES"/>
              </w:rPr>
            </w:pPr>
            <w:r w:rsidRPr="00CB56EC">
              <w:rPr>
                <w:b/>
                <w:sz w:val="20"/>
                <w:szCs w:val="20"/>
                <w:lang w:val="es-ES"/>
              </w:rPr>
              <w:lastRenderedPageBreak/>
              <w:t>Documento</w:t>
            </w:r>
            <w:r w:rsidR="0067605C">
              <w:fldChar w:fldCharType="begin"/>
            </w:r>
            <w:r w:rsidR="0067605C" w:rsidRPr="0067605C">
              <w:rPr>
                <w:lang w:val="fr-FR"/>
              </w:rPr>
              <w:instrText>HYPERLINK "https://www.itu.int/md/R23-WRC23-C-0528/en"</w:instrText>
            </w:r>
            <w:r w:rsidR="0067605C">
              <w:fldChar w:fldCharType="separate"/>
            </w:r>
            <w:r w:rsidRPr="00CB56EC">
              <w:rPr>
                <w:rStyle w:val="Hyperlink"/>
                <w:b/>
                <w:sz w:val="20"/>
                <w:szCs w:val="20"/>
                <w:lang w:val="es-ES"/>
              </w:rPr>
              <w:t xml:space="preserve"> CMR23/528</w:t>
            </w:r>
            <w:r w:rsidR="0067605C">
              <w:rPr>
                <w:rStyle w:val="Hyperlink"/>
                <w:b/>
                <w:sz w:val="20"/>
                <w:szCs w:val="20"/>
                <w:lang w:val="es-ES"/>
              </w:rPr>
              <w:fldChar w:fldCharType="end"/>
            </w:r>
            <w:r w:rsidRPr="00CB56EC">
              <w:rPr>
                <w:b/>
                <w:sz w:val="20"/>
                <w:szCs w:val="20"/>
                <w:lang w:val="es-ES"/>
              </w:rPr>
              <w:t xml:space="preserve"> – Actas de la Decimotercera Sesión Plenaria</w:t>
            </w:r>
          </w:p>
        </w:tc>
        <w:tc>
          <w:tcPr>
            <w:tcW w:w="1733" w:type="dxa"/>
          </w:tcPr>
          <w:p w14:paraId="3BD9E82D" w14:textId="77777777" w:rsidR="00CE6409" w:rsidRPr="00CB56EC" w:rsidRDefault="00CE6409" w:rsidP="00CB56EC">
            <w:pPr>
              <w:spacing w:after="120" w:line="240" w:lineRule="auto"/>
              <w:jc w:val="left"/>
              <w:rPr>
                <w:b/>
                <w:sz w:val="20"/>
                <w:szCs w:val="20"/>
                <w:lang w:val="es-ES"/>
              </w:rPr>
            </w:pPr>
            <w:r w:rsidRPr="00CB56EC">
              <w:rPr>
                <w:b/>
                <w:sz w:val="20"/>
                <w:szCs w:val="20"/>
                <w:lang w:val="es-ES"/>
              </w:rPr>
              <w:t xml:space="preserve">§§ 14.2 y 14.3 </w:t>
            </w:r>
          </w:p>
          <w:p w14:paraId="31ACED00" w14:textId="77777777" w:rsidR="00CE6409" w:rsidRPr="00CB56EC" w:rsidRDefault="00CE6409" w:rsidP="00CB56EC">
            <w:pPr>
              <w:spacing w:after="120" w:line="240" w:lineRule="auto"/>
              <w:jc w:val="left"/>
              <w:rPr>
                <w:b/>
                <w:sz w:val="20"/>
                <w:szCs w:val="20"/>
                <w:lang w:val="es-ES"/>
              </w:rPr>
            </w:pPr>
            <w:r w:rsidRPr="00CB56EC">
              <w:rPr>
                <w:b/>
                <w:sz w:val="20"/>
                <w:szCs w:val="20"/>
                <w:lang w:val="es-ES"/>
              </w:rPr>
              <w:t xml:space="preserve">Aprobación del Documento </w:t>
            </w:r>
            <w:hyperlink r:id="rId29" w:history="1">
              <w:r w:rsidRPr="00CB56EC">
                <w:rPr>
                  <w:rStyle w:val="Hyperlink"/>
                  <w:b/>
                  <w:sz w:val="20"/>
                  <w:szCs w:val="20"/>
                  <w:lang w:val="es-ES"/>
                </w:rPr>
                <w:t>495</w:t>
              </w:r>
            </w:hyperlink>
          </w:p>
        </w:tc>
        <w:tc>
          <w:tcPr>
            <w:tcW w:w="10712" w:type="dxa"/>
          </w:tcPr>
          <w:p w14:paraId="520CECFE" w14:textId="4B1581EA" w:rsidR="00CE6409" w:rsidRPr="00CB56EC" w:rsidRDefault="00CE6409" w:rsidP="00CB56EC">
            <w:pPr>
              <w:spacing w:after="120" w:line="240" w:lineRule="auto"/>
              <w:jc w:val="left"/>
              <w:rPr>
                <w:b/>
                <w:bCs/>
                <w:sz w:val="20"/>
                <w:szCs w:val="20"/>
                <w:lang w:val="es-ES"/>
              </w:rPr>
            </w:pPr>
            <w:r w:rsidRPr="00CB56EC">
              <w:rPr>
                <w:sz w:val="20"/>
                <w:szCs w:val="20"/>
                <w:lang w:val="es-ES"/>
              </w:rPr>
              <w:t xml:space="preserve">La CMR-23 examinó el número </w:t>
            </w:r>
            <w:r w:rsidRPr="00CB56EC">
              <w:rPr>
                <w:b/>
                <w:bCs/>
                <w:sz w:val="20"/>
                <w:szCs w:val="20"/>
                <w:lang w:val="es-ES"/>
              </w:rPr>
              <w:t>21.16.6</w:t>
            </w:r>
            <w:r w:rsidRPr="00CB56EC">
              <w:rPr>
                <w:sz w:val="20"/>
                <w:szCs w:val="20"/>
                <w:lang w:val="es-ES"/>
              </w:rPr>
              <w:t xml:space="preserve"> del RR y encargó a la Oficina a publicar las conclusiones favorables con reserva con arreglo a los números 9.35/11.31 del RR al examinar la conformidad de las asignaciones de frecuencias a los sistemas de satélite del SFS no OSG con los límites de </w:t>
            </w:r>
            <w:proofErr w:type="spellStart"/>
            <w:r w:rsidRPr="00CB56EC">
              <w:rPr>
                <w:sz w:val="20"/>
                <w:szCs w:val="20"/>
                <w:lang w:val="es-ES"/>
              </w:rPr>
              <w:t>dfp</w:t>
            </w:r>
            <w:proofErr w:type="spellEnd"/>
            <w:r w:rsidRPr="00CB56EC">
              <w:rPr>
                <w:sz w:val="20"/>
                <w:szCs w:val="20"/>
                <w:lang w:val="es-ES"/>
              </w:rPr>
              <w:t xml:space="preserve"> del Artículo </w:t>
            </w:r>
            <w:r w:rsidRPr="00CB56EC">
              <w:rPr>
                <w:b/>
                <w:bCs/>
                <w:sz w:val="20"/>
                <w:szCs w:val="20"/>
                <w:lang w:val="es-ES"/>
              </w:rPr>
              <w:t>21</w:t>
            </w:r>
            <w:r w:rsidRPr="00CB56EC">
              <w:rPr>
                <w:sz w:val="20"/>
                <w:szCs w:val="20"/>
                <w:lang w:val="es-ES"/>
              </w:rPr>
              <w:t xml:space="preserve"> del RR aplicables en la banda de frecuencias 17,7 19,3 GHz, si la administración notificante así lo solicita. La CMR-23 determinó que esta práctica deberá aplicarse a los sistemas de satélite del SFS no OSG para los que reciban solicitudes de coordinación desde el 16 de diciembre de 2023 hasta la entrada en vigor de las Actas Finales de la CMR-23. La CMR-23 también encarga a la Oficina a revisar estas conclusiones, así como las que fueron emitidas desde el 23 de noviembre de 2019 hasta el último día de la CMR-23 una vez que el programa informático de examen de </w:t>
            </w:r>
            <w:proofErr w:type="spellStart"/>
            <w:r w:rsidRPr="00CB56EC">
              <w:rPr>
                <w:sz w:val="20"/>
                <w:szCs w:val="20"/>
                <w:lang w:val="es-ES"/>
              </w:rPr>
              <w:t>dfp</w:t>
            </w:r>
            <w:proofErr w:type="spellEnd"/>
            <w:r w:rsidRPr="00CB56EC">
              <w:rPr>
                <w:sz w:val="20"/>
                <w:szCs w:val="20"/>
                <w:lang w:val="es-ES"/>
              </w:rPr>
              <w:t xml:space="preserve"> incorpore la decisión de la CMR-23 sobre el número </w:t>
            </w:r>
            <w:r w:rsidRPr="00CB56EC">
              <w:rPr>
                <w:b/>
                <w:bCs/>
                <w:sz w:val="20"/>
                <w:szCs w:val="20"/>
                <w:lang w:val="es-ES"/>
              </w:rPr>
              <w:t>21.16.6</w:t>
            </w:r>
            <w:r w:rsidRPr="00CB56EC">
              <w:rPr>
                <w:sz w:val="20"/>
                <w:szCs w:val="20"/>
                <w:lang w:val="es-ES"/>
              </w:rPr>
              <w:t>. Véase también el Documento</w:t>
            </w:r>
            <w:r w:rsidR="005B2DE5" w:rsidRPr="00CB56EC">
              <w:rPr>
                <w:sz w:val="20"/>
                <w:szCs w:val="20"/>
                <w:lang w:val="es-ES"/>
              </w:rPr>
              <w:t> </w:t>
            </w:r>
            <w:hyperlink r:id="rId30" w:history="1">
              <w:r w:rsidRPr="00CB56EC">
                <w:rPr>
                  <w:rStyle w:val="Hyperlink"/>
                  <w:sz w:val="20"/>
                  <w:szCs w:val="20"/>
                  <w:lang w:val="es-ES"/>
                </w:rPr>
                <w:t>420</w:t>
              </w:r>
            </w:hyperlink>
            <w:r w:rsidRPr="00CB56EC">
              <w:rPr>
                <w:sz w:val="20"/>
                <w:szCs w:val="20"/>
                <w:lang w:val="es-ES"/>
              </w:rPr>
              <w:t>.</w:t>
            </w:r>
          </w:p>
        </w:tc>
      </w:tr>
      <w:tr w:rsidR="00CE6409" w:rsidRPr="00011EA8" w14:paraId="40C42BD2" w14:textId="77777777" w:rsidTr="00662D47">
        <w:trPr>
          <w:trHeight w:val="1139"/>
        </w:trPr>
        <w:tc>
          <w:tcPr>
            <w:tcW w:w="1838" w:type="dxa"/>
          </w:tcPr>
          <w:p w14:paraId="193CAF37" w14:textId="7BBED517" w:rsidR="00CE6409" w:rsidRPr="00CB56EC" w:rsidRDefault="00CE6409" w:rsidP="00CB56EC">
            <w:pPr>
              <w:jc w:val="left"/>
              <w:rPr>
                <w:b/>
                <w:sz w:val="20"/>
                <w:szCs w:val="20"/>
                <w:lang w:val="es-ES"/>
              </w:rPr>
            </w:pPr>
            <w:r w:rsidRPr="00CB56EC">
              <w:rPr>
                <w:b/>
                <w:sz w:val="20"/>
                <w:szCs w:val="20"/>
                <w:lang w:val="es-ES"/>
              </w:rPr>
              <w:t xml:space="preserve">Documento </w:t>
            </w:r>
            <w:r w:rsidR="0067605C">
              <w:fldChar w:fldCharType="begin"/>
            </w:r>
            <w:r w:rsidR="0067605C" w:rsidRPr="0067605C">
              <w:rPr>
                <w:lang w:val="fr-FR"/>
              </w:rPr>
              <w:instrText>HYPERLINK "https://www.itu.int/md/R23-WRC23-C-0528/en"</w:instrText>
            </w:r>
            <w:r w:rsidR="0067605C">
              <w:fldChar w:fldCharType="separate"/>
            </w:r>
            <w:r w:rsidRPr="00CB56EC">
              <w:rPr>
                <w:rStyle w:val="Hyperlink"/>
                <w:b/>
                <w:sz w:val="20"/>
                <w:szCs w:val="20"/>
                <w:lang w:val="es-ES"/>
              </w:rPr>
              <w:t>CMR23/528</w:t>
            </w:r>
            <w:r w:rsidR="0067605C">
              <w:rPr>
                <w:rStyle w:val="Hyperlink"/>
                <w:b/>
                <w:sz w:val="20"/>
                <w:szCs w:val="20"/>
                <w:lang w:val="es-ES"/>
              </w:rPr>
              <w:fldChar w:fldCharType="end"/>
            </w:r>
            <w:r w:rsidRPr="00CB56EC">
              <w:rPr>
                <w:b/>
                <w:sz w:val="20"/>
                <w:szCs w:val="20"/>
                <w:lang w:val="es-ES"/>
              </w:rPr>
              <w:t xml:space="preserve"> – Actas de la Decimotercera Sesión Plenaria</w:t>
            </w:r>
          </w:p>
        </w:tc>
        <w:tc>
          <w:tcPr>
            <w:tcW w:w="1733" w:type="dxa"/>
          </w:tcPr>
          <w:p w14:paraId="481A81FC" w14:textId="77777777" w:rsidR="00CE6409" w:rsidRPr="00CB56EC" w:rsidRDefault="00CE6409" w:rsidP="00CB56EC">
            <w:pPr>
              <w:spacing w:after="120" w:line="240" w:lineRule="auto"/>
              <w:jc w:val="left"/>
              <w:rPr>
                <w:b/>
                <w:sz w:val="20"/>
                <w:szCs w:val="20"/>
                <w:lang w:val="es-ES"/>
              </w:rPr>
            </w:pPr>
            <w:r w:rsidRPr="00CB56EC">
              <w:rPr>
                <w:b/>
                <w:sz w:val="20"/>
                <w:szCs w:val="20"/>
                <w:lang w:val="es-ES"/>
              </w:rPr>
              <w:t xml:space="preserve">§§ 14.4 y 14.5 </w:t>
            </w:r>
          </w:p>
          <w:p w14:paraId="3BF97272" w14:textId="77777777" w:rsidR="00CE6409" w:rsidRPr="00CB56EC" w:rsidRDefault="00CE6409" w:rsidP="00CB56EC">
            <w:pPr>
              <w:spacing w:after="120" w:line="240" w:lineRule="auto"/>
              <w:jc w:val="left"/>
              <w:rPr>
                <w:b/>
                <w:sz w:val="20"/>
                <w:szCs w:val="20"/>
                <w:lang w:val="es-ES"/>
              </w:rPr>
            </w:pPr>
            <w:r w:rsidRPr="00CB56EC">
              <w:rPr>
                <w:b/>
                <w:sz w:val="20"/>
                <w:szCs w:val="20"/>
                <w:lang w:val="es-ES"/>
              </w:rPr>
              <w:t xml:space="preserve">Aprobación del Documento </w:t>
            </w:r>
            <w:hyperlink r:id="rId31" w:history="1">
              <w:r w:rsidRPr="00CB56EC">
                <w:rPr>
                  <w:rStyle w:val="Hyperlink"/>
                  <w:b/>
                  <w:sz w:val="20"/>
                  <w:szCs w:val="20"/>
                  <w:lang w:val="es-ES"/>
                </w:rPr>
                <w:t>495</w:t>
              </w:r>
            </w:hyperlink>
          </w:p>
        </w:tc>
        <w:tc>
          <w:tcPr>
            <w:tcW w:w="10712" w:type="dxa"/>
          </w:tcPr>
          <w:p w14:paraId="6BA84758" w14:textId="0700DFF7" w:rsidR="00CE6409" w:rsidRPr="00CB56EC" w:rsidRDefault="00CE6409" w:rsidP="00CB56EC">
            <w:pPr>
              <w:pStyle w:val="Headingb"/>
              <w:tabs>
                <w:tab w:val="clear" w:pos="794"/>
                <w:tab w:val="left" w:pos="0"/>
              </w:tabs>
              <w:spacing w:before="120" w:after="120"/>
              <w:ind w:left="14" w:hanging="14"/>
              <w:jc w:val="left"/>
              <w:rPr>
                <w:b w:val="0"/>
                <w:sz w:val="20"/>
                <w:szCs w:val="20"/>
                <w:lang w:val="es-ES"/>
              </w:rPr>
            </w:pPr>
            <w:r w:rsidRPr="00CB56EC">
              <w:rPr>
                <w:b w:val="0"/>
                <w:sz w:val="20"/>
                <w:szCs w:val="20"/>
                <w:lang w:val="es-ES"/>
              </w:rPr>
              <w:t xml:space="preserve">La CMR-23 examinó la sección 3.3.3 de la </w:t>
            </w:r>
            <w:r w:rsidR="005B2DE5" w:rsidRPr="00CB56EC">
              <w:rPr>
                <w:b w:val="0"/>
                <w:sz w:val="20"/>
                <w:szCs w:val="20"/>
                <w:lang w:val="es-ES"/>
              </w:rPr>
              <w:t>«</w:t>
            </w:r>
            <w:r w:rsidRPr="00CB56EC">
              <w:rPr>
                <w:b w:val="0"/>
                <w:sz w:val="20"/>
                <w:szCs w:val="20"/>
                <w:lang w:val="es-ES"/>
              </w:rPr>
              <w:t xml:space="preserve">Resolución </w:t>
            </w:r>
            <w:r w:rsidRPr="00CB56EC">
              <w:rPr>
                <w:bCs/>
                <w:sz w:val="20"/>
                <w:szCs w:val="20"/>
                <w:lang w:val="es-ES"/>
              </w:rPr>
              <w:t>35</w:t>
            </w:r>
            <w:r w:rsidRPr="00CB56EC">
              <w:rPr>
                <w:b w:val="0"/>
                <w:sz w:val="20"/>
                <w:szCs w:val="20"/>
                <w:lang w:val="es-ES"/>
              </w:rPr>
              <w:t xml:space="preserve"> </w:t>
            </w:r>
            <w:r w:rsidRPr="00CB56EC">
              <w:rPr>
                <w:bCs/>
                <w:sz w:val="20"/>
                <w:szCs w:val="20"/>
                <w:lang w:val="es-ES"/>
              </w:rPr>
              <w:t xml:space="preserve">(CMR-19) </w:t>
            </w:r>
            <w:r w:rsidRPr="00CB56EC">
              <w:rPr>
                <w:b w:val="0"/>
                <w:sz w:val="20"/>
                <w:szCs w:val="20"/>
                <w:lang w:val="es-ES"/>
              </w:rPr>
              <w:t>del Informe</w:t>
            </w:r>
            <w:r w:rsidR="005B2DE5" w:rsidRPr="00CB56EC">
              <w:rPr>
                <w:b w:val="0"/>
                <w:sz w:val="20"/>
                <w:szCs w:val="20"/>
                <w:lang w:val="es-ES"/>
              </w:rPr>
              <w:t>»</w:t>
            </w:r>
            <w:r w:rsidRPr="00CB56EC">
              <w:rPr>
                <w:b w:val="0"/>
                <w:sz w:val="20"/>
                <w:szCs w:val="20"/>
                <w:lang w:val="es-ES"/>
              </w:rPr>
              <w:t>, junto con sus apartados, y acordó las siguientes medidas para las cuestiones planteadas:</w:t>
            </w:r>
          </w:p>
          <w:p w14:paraId="31C5E332" w14:textId="77777777" w:rsidR="00CE6409" w:rsidRPr="00CB56EC" w:rsidRDefault="00CE6409" w:rsidP="00CB56EC">
            <w:pPr>
              <w:pStyle w:val="Headingb"/>
              <w:tabs>
                <w:tab w:val="clear" w:pos="794"/>
                <w:tab w:val="left" w:pos="0"/>
              </w:tabs>
              <w:spacing w:before="120" w:after="120"/>
              <w:ind w:left="14" w:hanging="14"/>
              <w:jc w:val="left"/>
              <w:rPr>
                <w:b w:val="0"/>
                <w:sz w:val="20"/>
                <w:szCs w:val="20"/>
                <w:lang w:val="es-ES"/>
              </w:rPr>
            </w:pPr>
            <w:r w:rsidRPr="00CB56EC">
              <w:rPr>
                <w:b w:val="0"/>
                <w:sz w:val="20"/>
                <w:szCs w:val="20"/>
                <w:lang w:val="es-ES"/>
              </w:rPr>
              <w:t xml:space="preserve">En lo referente al apartado 3.3.3.2 y al resuelve 11 de la Resolución </w:t>
            </w:r>
            <w:r w:rsidRPr="00CB56EC">
              <w:rPr>
                <w:bCs/>
                <w:sz w:val="20"/>
                <w:szCs w:val="20"/>
                <w:lang w:val="es-ES"/>
              </w:rPr>
              <w:t>35 (CMR-19)</w:t>
            </w:r>
            <w:r w:rsidRPr="00CB56EC">
              <w:rPr>
                <w:b w:val="0"/>
                <w:sz w:val="20"/>
                <w:szCs w:val="20"/>
                <w:lang w:val="es-ES"/>
              </w:rPr>
              <w:t xml:space="preserve">, la CMR-23 encarga a la Oficina a incorporar el elemento relativo a la aplicación del resuelve 11 de la Resolución </w:t>
            </w:r>
            <w:r w:rsidRPr="00CB56EC">
              <w:rPr>
                <w:bCs/>
                <w:sz w:val="20"/>
                <w:szCs w:val="20"/>
                <w:lang w:val="es-ES"/>
              </w:rPr>
              <w:t>35 (CMR-19)</w:t>
            </w:r>
            <w:r w:rsidRPr="00CB56EC">
              <w:rPr>
                <w:b w:val="0"/>
                <w:sz w:val="20"/>
                <w:szCs w:val="20"/>
                <w:lang w:val="es-ES"/>
              </w:rPr>
              <w:t xml:space="preserve"> descrito en esta sección del Informe en una Regla de Procedimiento, con miras a su inclusión en el Informe del </w:t>
            </w:r>
            <w:proofErr w:type="gramStart"/>
            <w:r w:rsidRPr="00CB56EC">
              <w:rPr>
                <w:b w:val="0"/>
                <w:sz w:val="20"/>
                <w:szCs w:val="20"/>
                <w:lang w:val="es-ES"/>
              </w:rPr>
              <w:t>Director</w:t>
            </w:r>
            <w:proofErr w:type="gramEnd"/>
            <w:r w:rsidRPr="00CB56EC">
              <w:rPr>
                <w:b w:val="0"/>
                <w:sz w:val="20"/>
                <w:szCs w:val="20"/>
                <w:lang w:val="es-ES"/>
              </w:rPr>
              <w:t xml:space="preserve"> a la CMR-27.</w:t>
            </w:r>
          </w:p>
          <w:p w14:paraId="0FA9C21E" w14:textId="77777777" w:rsidR="00CE6409" w:rsidRPr="00CB56EC" w:rsidRDefault="00CE6409" w:rsidP="00CB56EC">
            <w:pPr>
              <w:pStyle w:val="Headingb"/>
              <w:tabs>
                <w:tab w:val="clear" w:pos="794"/>
                <w:tab w:val="left" w:pos="0"/>
              </w:tabs>
              <w:spacing w:before="120" w:after="120"/>
              <w:ind w:left="14" w:hanging="14"/>
              <w:jc w:val="left"/>
              <w:rPr>
                <w:b w:val="0"/>
                <w:sz w:val="20"/>
                <w:szCs w:val="20"/>
                <w:lang w:val="es-ES"/>
              </w:rPr>
            </w:pPr>
            <w:r w:rsidRPr="00CB56EC">
              <w:rPr>
                <w:b w:val="0"/>
                <w:sz w:val="20"/>
                <w:szCs w:val="20"/>
                <w:lang w:val="es-ES"/>
              </w:rPr>
              <w:t>En lo que respecta al apartado 3.3.3.3, relativo a la modificación de los parámetros orbitales de conformidad con el resuelve 14, la CMR-23 decidió que era necesario seguir estudiando las cuestiones planteadas antes de poder facilitar la aclaración solicitada en el Informe.</w:t>
            </w:r>
          </w:p>
          <w:p w14:paraId="7E88C147" w14:textId="77777777" w:rsidR="00CE6409" w:rsidRPr="00CB56EC" w:rsidRDefault="00CE6409" w:rsidP="00CB56EC">
            <w:pPr>
              <w:pStyle w:val="Headingb"/>
              <w:tabs>
                <w:tab w:val="clear" w:pos="794"/>
                <w:tab w:val="left" w:pos="0"/>
              </w:tabs>
              <w:spacing w:before="120" w:after="120"/>
              <w:ind w:left="14" w:hanging="14"/>
              <w:jc w:val="left"/>
              <w:rPr>
                <w:b w:val="0"/>
                <w:sz w:val="20"/>
                <w:szCs w:val="20"/>
                <w:lang w:val="es-ES"/>
              </w:rPr>
            </w:pPr>
            <w:r w:rsidRPr="00CB56EC">
              <w:rPr>
                <w:b w:val="0"/>
                <w:sz w:val="20"/>
                <w:szCs w:val="20"/>
                <w:lang w:val="es-ES"/>
              </w:rPr>
              <w:t xml:space="preserve">En lo que respecta al apartado 3.3.3.4 y al resuelve 17 b) de la Resolución 35 (CMR-19), la CMR 23 tomó nota del proceder de la Oficina en la aplicación del </w:t>
            </w:r>
            <w:r w:rsidRPr="00CB56EC">
              <w:rPr>
                <w:b w:val="0"/>
                <w:i/>
                <w:iCs/>
                <w:sz w:val="20"/>
                <w:szCs w:val="20"/>
                <w:lang w:val="es-ES"/>
              </w:rPr>
              <w:t>resuelve</w:t>
            </w:r>
            <w:r w:rsidRPr="00CB56EC">
              <w:rPr>
                <w:b w:val="0"/>
                <w:sz w:val="20"/>
                <w:szCs w:val="20"/>
                <w:lang w:val="es-ES"/>
              </w:rPr>
              <w:t xml:space="preserve"> 17 de la Resolución </w:t>
            </w:r>
            <w:r w:rsidRPr="00CB56EC">
              <w:rPr>
                <w:bCs/>
                <w:sz w:val="20"/>
                <w:szCs w:val="20"/>
                <w:lang w:val="es-ES"/>
              </w:rPr>
              <w:t>35 (CMR 19)</w:t>
            </w:r>
            <w:r w:rsidRPr="00CB56EC">
              <w:rPr>
                <w:b w:val="0"/>
                <w:sz w:val="20"/>
                <w:szCs w:val="20"/>
                <w:lang w:val="es-ES"/>
              </w:rPr>
              <w:t>, y solicita el estudio de la cuestión planteada en esta sección.</w:t>
            </w:r>
          </w:p>
          <w:p w14:paraId="5F6BAC77" w14:textId="77777777" w:rsidR="00CE6409" w:rsidRPr="00CB56EC" w:rsidRDefault="00CE6409" w:rsidP="00CB56EC">
            <w:pPr>
              <w:spacing w:after="120" w:line="240" w:lineRule="auto"/>
              <w:jc w:val="left"/>
              <w:rPr>
                <w:b/>
                <w:bCs/>
                <w:sz w:val="20"/>
                <w:szCs w:val="20"/>
                <w:lang w:val="es-ES"/>
              </w:rPr>
            </w:pPr>
            <w:r w:rsidRPr="00CB56EC">
              <w:rPr>
                <w:sz w:val="20"/>
                <w:szCs w:val="20"/>
                <w:lang w:val="es-ES"/>
              </w:rPr>
              <w:t xml:space="preserve">Además de lo anterior, la CMR-23 acordó las siguientes revisiones específicas de la Resolución </w:t>
            </w:r>
            <w:r w:rsidRPr="00CB56EC">
              <w:rPr>
                <w:b/>
                <w:bCs/>
                <w:sz w:val="20"/>
                <w:szCs w:val="20"/>
                <w:lang w:val="es-ES"/>
              </w:rPr>
              <w:t>35 (CMR-19)</w:t>
            </w:r>
            <w:r w:rsidRPr="00CB56EC">
              <w:rPr>
                <w:sz w:val="20"/>
                <w:szCs w:val="20"/>
                <w:lang w:val="es-ES"/>
              </w:rPr>
              <w:t xml:space="preserve">. Véase también el Documento </w:t>
            </w:r>
            <w:hyperlink r:id="rId32" w:history="1">
              <w:r w:rsidRPr="00CB56EC">
                <w:rPr>
                  <w:rStyle w:val="Hyperlink"/>
                  <w:sz w:val="20"/>
                  <w:szCs w:val="20"/>
                  <w:lang w:val="es-ES"/>
                </w:rPr>
                <w:t>422</w:t>
              </w:r>
            </w:hyperlink>
            <w:r w:rsidRPr="00CB56EC">
              <w:rPr>
                <w:sz w:val="20"/>
                <w:szCs w:val="20"/>
                <w:lang w:val="es-ES"/>
              </w:rPr>
              <w:t>.</w:t>
            </w:r>
          </w:p>
        </w:tc>
      </w:tr>
      <w:tr w:rsidR="00CE6409" w:rsidRPr="0067605C" w14:paraId="521E4932" w14:textId="77777777" w:rsidTr="00662D47">
        <w:trPr>
          <w:trHeight w:val="1139"/>
        </w:trPr>
        <w:tc>
          <w:tcPr>
            <w:tcW w:w="1838" w:type="dxa"/>
          </w:tcPr>
          <w:p w14:paraId="40D1E1EB" w14:textId="77777777" w:rsidR="00CE6409" w:rsidRPr="00CB56EC" w:rsidRDefault="00CE6409" w:rsidP="00CB56EC">
            <w:pPr>
              <w:jc w:val="left"/>
              <w:rPr>
                <w:b/>
                <w:sz w:val="20"/>
                <w:szCs w:val="20"/>
                <w:lang w:val="es-ES"/>
              </w:rPr>
            </w:pPr>
            <w:r w:rsidRPr="00CB56EC">
              <w:rPr>
                <w:b/>
                <w:sz w:val="20"/>
                <w:szCs w:val="20"/>
                <w:lang w:val="es-ES"/>
              </w:rPr>
              <w:t>Documento</w:t>
            </w:r>
            <w:r w:rsidR="0067605C">
              <w:fldChar w:fldCharType="begin"/>
            </w:r>
            <w:r w:rsidR="0067605C" w:rsidRPr="0067605C">
              <w:rPr>
                <w:lang w:val="fr-FR"/>
              </w:rPr>
              <w:instrText>HYPERLINK "https://www.itu.int/md/R23-WRC23-C-0528/en"</w:instrText>
            </w:r>
            <w:r w:rsidR="0067605C">
              <w:fldChar w:fldCharType="separate"/>
            </w:r>
            <w:r w:rsidRPr="00CB56EC">
              <w:rPr>
                <w:rStyle w:val="Hyperlink"/>
                <w:b/>
                <w:sz w:val="20"/>
                <w:szCs w:val="20"/>
                <w:lang w:val="es-ES"/>
              </w:rPr>
              <w:t xml:space="preserve"> CMR23/528</w:t>
            </w:r>
            <w:r w:rsidR="0067605C">
              <w:rPr>
                <w:rStyle w:val="Hyperlink"/>
                <w:b/>
                <w:sz w:val="20"/>
                <w:szCs w:val="20"/>
                <w:lang w:val="es-ES"/>
              </w:rPr>
              <w:fldChar w:fldCharType="end"/>
            </w:r>
            <w:r w:rsidRPr="00CB56EC">
              <w:rPr>
                <w:b/>
                <w:sz w:val="20"/>
                <w:szCs w:val="20"/>
                <w:lang w:val="es-ES"/>
              </w:rPr>
              <w:t xml:space="preserve"> – Actas de la Decimotercera Sesión Plenaria</w:t>
            </w:r>
          </w:p>
        </w:tc>
        <w:tc>
          <w:tcPr>
            <w:tcW w:w="1733" w:type="dxa"/>
          </w:tcPr>
          <w:p w14:paraId="4ED4CAEA" w14:textId="77777777" w:rsidR="00CE6409" w:rsidRPr="00CB56EC" w:rsidRDefault="00CE6409" w:rsidP="00CB56EC">
            <w:pPr>
              <w:spacing w:after="120" w:line="240" w:lineRule="auto"/>
              <w:jc w:val="left"/>
              <w:rPr>
                <w:b/>
                <w:sz w:val="20"/>
                <w:szCs w:val="20"/>
                <w:lang w:val="es-ES"/>
              </w:rPr>
            </w:pPr>
            <w:r w:rsidRPr="00CB56EC">
              <w:rPr>
                <w:b/>
                <w:sz w:val="20"/>
                <w:szCs w:val="20"/>
                <w:lang w:val="es-ES"/>
              </w:rPr>
              <w:t>§§ 15.1 y 15.2</w:t>
            </w:r>
          </w:p>
          <w:p w14:paraId="547944FA" w14:textId="77777777" w:rsidR="00CE6409" w:rsidRPr="00CB56EC" w:rsidRDefault="00CE6409" w:rsidP="00CB56EC">
            <w:pPr>
              <w:spacing w:after="120" w:line="240" w:lineRule="auto"/>
              <w:jc w:val="left"/>
              <w:rPr>
                <w:b/>
                <w:sz w:val="20"/>
                <w:szCs w:val="20"/>
                <w:lang w:val="es-ES"/>
              </w:rPr>
            </w:pPr>
            <w:r w:rsidRPr="00CB56EC">
              <w:rPr>
                <w:b/>
                <w:sz w:val="20"/>
                <w:szCs w:val="20"/>
                <w:lang w:val="es-ES"/>
              </w:rPr>
              <w:t xml:space="preserve">Aprobación del Documento </w:t>
            </w:r>
            <w:hyperlink r:id="rId33" w:history="1">
              <w:r w:rsidRPr="00CB56EC">
                <w:rPr>
                  <w:rStyle w:val="Hyperlink"/>
                  <w:b/>
                  <w:sz w:val="20"/>
                  <w:szCs w:val="20"/>
                  <w:lang w:val="es-ES"/>
                </w:rPr>
                <w:t>496</w:t>
              </w:r>
            </w:hyperlink>
          </w:p>
        </w:tc>
        <w:tc>
          <w:tcPr>
            <w:tcW w:w="10712" w:type="dxa"/>
          </w:tcPr>
          <w:p w14:paraId="4B582015" w14:textId="77777777" w:rsidR="00CE6409" w:rsidRPr="00CB56EC" w:rsidRDefault="00CE6409" w:rsidP="00CB56EC">
            <w:pPr>
              <w:jc w:val="left"/>
              <w:rPr>
                <w:b/>
                <w:bCs/>
                <w:i/>
                <w:iCs/>
                <w:sz w:val="20"/>
                <w:szCs w:val="20"/>
                <w:lang w:val="es-ES"/>
              </w:rPr>
            </w:pPr>
            <w:r w:rsidRPr="00CB56EC">
              <w:rPr>
                <w:b/>
                <w:bCs/>
                <w:i/>
                <w:iCs/>
                <w:sz w:val="20"/>
                <w:szCs w:val="20"/>
                <w:lang w:val="es-ES"/>
              </w:rPr>
              <w:t>Retraso en la aplicación de los procedimientos de asistencia en virtud de los Apéndices 30/30A o el Apéndice 30B por dificultades de comunicación con algunas administraciones</w:t>
            </w:r>
          </w:p>
          <w:p w14:paraId="0ED3A9BD" w14:textId="7CC05025" w:rsidR="00CE6409" w:rsidRPr="00CB56EC" w:rsidRDefault="005B2DE5" w:rsidP="00CB56EC">
            <w:pPr>
              <w:jc w:val="left"/>
              <w:rPr>
                <w:rFonts w:eastAsia="Calibri"/>
                <w:sz w:val="20"/>
                <w:szCs w:val="20"/>
                <w:lang w:val="es-ES" w:eastAsia="en-GB"/>
              </w:rPr>
            </w:pPr>
            <w:r w:rsidRPr="00CB56EC">
              <w:rPr>
                <w:rFonts w:eastAsia="Calibri"/>
                <w:sz w:val="20"/>
                <w:szCs w:val="20"/>
                <w:lang w:val="es-ES" w:eastAsia="en-GB"/>
              </w:rPr>
              <w:t>«</w:t>
            </w:r>
            <w:r w:rsidR="00CE6409" w:rsidRPr="00CB56EC">
              <w:rPr>
                <w:rFonts w:eastAsia="Calibri"/>
                <w:sz w:val="20"/>
                <w:szCs w:val="20"/>
                <w:lang w:val="es-ES" w:eastAsia="en-GB"/>
              </w:rPr>
              <w:t>La CMR-23 encarga a la Oficina a aplicar el procedimiento estipulado adoptado para el Tema H del punto</w:t>
            </w:r>
            <w:r w:rsidRPr="00CB56EC">
              <w:rPr>
                <w:rFonts w:eastAsia="Calibri"/>
                <w:sz w:val="20"/>
                <w:szCs w:val="20"/>
                <w:lang w:val="es-ES" w:eastAsia="en-GB"/>
              </w:rPr>
              <w:t> </w:t>
            </w:r>
            <w:r w:rsidR="00CE6409" w:rsidRPr="00CB56EC">
              <w:rPr>
                <w:rFonts w:eastAsia="Calibri"/>
                <w:sz w:val="20"/>
                <w:szCs w:val="20"/>
                <w:lang w:val="es-ES" w:eastAsia="en-GB"/>
              </w:rPr>
              <w:t xml:space="preserve">7 del orden del día por la CMR-23 con respecto a las administraciones "oficialmente inalcanzables" mencionadas en la sección 3.2.4.2 del </w:t>
            </w:r>
            <w:proofErr w:type="spellStart"/>
            <w:r w:rsidR="00CE6409" w:rsidRPr="00CB56EC">
              <w:rPr>
                <w:rFonts w:eastAsia="Calibri"/>
                <w:sz w:val="20"/>
                <w:szCs w:val="20"/>
                <w:lang w:val="es-ES" w:eastAsia="en-GB"/>
              </w:rPr>
              <w:t>Addéndum</w:t>
            </w:r>
            <w:proofErr w:type="spellEnd"/>
            <w:r w:rsidR="00CE6409" w:rsidRPr="00CB56EC">
              <w:rPr>
                <w:rFonts w:eastAsia="Calibri"/>
                <w:sz w:val="20"/>
                <w:szCs w:val="20"/>
                <w:lang w:val="es-ES" w:eastAsia="en-GB"/>
              </w:rPr>
              <w:t xml:space="preserve"> 2 al Documento 4 (Parte II del Informe del </w:t>
            </w:r>
            <w:proofErr w:type="gramStart"/>
            <w:r w:rsidR="00CE6409" w:rsidRPr="00CB56EC">
              <w:rPr>
                <w:rFonts w:eastAsia="Calibri"/>
                <w:sz w:val="20"/>
                <w:szCs w:val="20"/>
                <w:lang w:val="es-ES" w:eastAsia="en-GB"/>
              </w:rPr>
              <w:t>Director</w:t>
            </w:r>
            <w:proofErr w:type="gramEnd"/>
            <w:r w:rsidR="00CE6409" w:rsidRPr="00CB56EC">
              <w:rPr>
                <w:rFonts w:eastAsia="Calibri"/>
                <w:sz w:val="20"/>
                <w:szCs w:val="20"/>
                <w:lang w:val="es-ES" w:eastAsia="en-GB"/>
              </w:rPr>
              <w:t xml:space="preserve"> a la CMR-23)».</w:t>
            </w:r>
          </w:p>
          <w:p w14:paraId="69235E8C" w14:textId="21A1CF75" w:rsidR="00CE6409" w:rsidRPr="00CB56EC" w:rsidRDefault="00CE6409" w:rsidP="00CB56EC">
            <w:pPr>
              <w:jc w:val="left"/>
              <w:rPr>
                <w:rFonts w:eastAsia="Calibri"/>
                <w:sz w:val="20"/>
                <w:szCs w:val="20"/>
                <w:lang w:val="es-ES" w:eastAsia="en-GB"/>
              </w:rPr>
            </w:pPr>
            <w:r w:rsidRPr="00CB56EC">
              <w:rPr>
                <w:rFonts w:eastAsia="Calibri"/>
                <w:sz w:val="20"/>
                <w:szCs w:val="20"/>
                <w:lang w:val="es-ES" w:eastAsia="en-GB"/>
              </w:rPr>
              <w:lastRenderedPageBreak/>
              <w:t xml:space="preserve">«Con respecto a las administraciones con asignaciones afectadas en el Plan de los Apéndices </w:t>
            </w:r>
            <w:r w:rsidRPr="00CB56EC">
              <w:rPr>
                <w:rFonts w:eastAsia="Calibri"/>
                <w:b/>
                <w:bCs/>
                <w:sz w:val="20"/>
                <w:szCs w:val="20"/>
                <w:lang w:val="es-ES" w:eastAsia="en-GB"/>
              </w:rPr>
              <w:t>30</w:t>
            </w:r>
            <w:r w:rsidRPr="00CB56EC">
              <w:rPr>
                <w:rFonts w:eastAsia="Calibri"/>
                <w:sz w:val="20"/>
                <w:szCs w:val="20"/>
                <w:lang w:val="es-ES" w:eastAsia="en-GB"/>
              </w:rPr>
              <w:t xml:space="preserve"> y </w:t>
            </w:r>
            <w:r w:rsidRPr="00CB56EC">
              <w:rPr>
                <w:rFonts w:eastAsia="Calibri"/>
                <w:b/>
                <w:bCs/>
                <w:sz w:val="20"/>
                <w:szCs w:val="20"/>
                <w:lang w:val="es-ES" w:eastAsia="en-GB"/>
              </w:rPr>
              <w:t>30A</w:t>
            </w:r>
            <w:r w:rsidRPr="00CB56EC">
              <w:rPr>
                <w:rFonts w:eastAsia="Calibri"/>
                <w:sz w:val="20"/>
                <w:szCs w:val="20"/>
                <w:lang w:val="es-ES" w:eastAsia="en-GB"/>
              </w:rPr>
              <w:t xml:space="preserve"> y/o adjudicaciones afectadas en el Plan del Apéndice </w:t>
            </w:r>
            <w:r w:rsidRPr="00CB56EC">
              <w:rPr>
                <w:rFonts w:eastAsia="Calibri"/>
                <w:b/>
                <w:bCs/>
                <w:sz w:val="20"/>
                <w:szCs w:val="20"/>
                <w:lang w:val="es-ES" w:eastAsia="en-GB"/>
              </w:rPr>
              <w:t>30B</w:t>
            </w:r>
            <w:r w:rsidRPr="00CB56EC">
              <w:rPr>
                <w:rFonts w:eastAsia="Calibri"/>
                <w:sz w:val="20"/>
                <w:szCs w:val="20"/>
                <w:lang w:val="es-ES" w:eastAsia="en-GB"/>
              </w:rPr>
              <w:t xml:space="preserve"> que no han respondido al segundo recordatorio de la Oficina mencionado en el § 4.1.10c de los Apéndices </w:t>
            </w:r>
            <w:r w:rsidRPr="00CB56EC">
              <w:rPr>
                <w:rFonts w:eastAsia="Calibri"/>
                <w:b/>
                <w:bCs/>
                <w:sz w:val="20"/>
                <w:szCs w:val="20"/>
                <w:lang w:val="es-ES" w:eastAsia="en-GB"/>
              </w:rPr>
              <w:t>30</w:t>
            </w:r>
            <w:r w:rsidRPr="00CB56EC">
              <w:rPr>
                <w:rFonts w:eastAsia="Calibri"/>
                <w:sz w:val="20"/>
                <w:szCs w:val="20"/>
                <w:lang w:val="es-ES" w:eastAsia="en-GB"/>
              </w:rPr>
              <w:t xml:space="preserve"> y </w:t>
            </w:r>
            <w:r w:rsidRPr="00CB56EC">
              <w:rPr>
                <w:rFonts w:eastAsia="Calibri"/>
                <w:b/>
                <w:bCs/>
                <w:sz w:val="20"/>
                <w:szCs w:val="20"/>
                <w:lang w:val="es-ES" w:eastAsia="en-GB"/>
              </w:rPr>
              <w:t>30A</w:t>
            </w:r>
            <w:r w:rsidRPr="00CB56EC">
              <w:rPr>
                <w:rFonts w:eastAsia="Calibri"/>
                <w:sz w:val="20"/>
                <w:szCs w:val="20"/>
                <w:lang w:val="es-ES" w:eastAsia="en-GB"/>
              </w:rPr>
              <w:t xml:space="preserve"> y/o en el § 6.14bis del Apéndice 30B, según proceda, la CMR-23 insta a las administraciones notificantes de las presentaciones de la Parte B a que, con la asistencia de la Oficina, hagan todo lo posible para evitar degradar la situación de referencia de las asignaciones/adjudicaciones afectadas en los Planes de los Apéndices </w:t>
            </w:r>
            <w:r w:rsidRPr="00CB56EC">
              <w:rPr>
                <w:rFonts w:eastAsia="Calibri"/>
                <w:b/>
                <w:bCs/>
                <w:sz w:val="20"/>
                <w:szCs w:val="20"/>
                <w:lang w:val="es-ES" w:eastAsia="en-GB"/>
              </w:rPr>
              <w:t>30</w:t>
            </w:r>
            <w:r w:rsidRPr="00CB56EC">
              <w:rPr>
                <w:rFonts w:eastAsia="Calibri"/>
                <w:sz w:val="20"/>
                <w:szCs w:val="20"/>
                <w:lang w:val="es-ES" w:eastAsia="en-GB"/>
              </w:rPr>
              <w:t xml:space="preserve"> y </w:t>
            </w:r>
            <w:r w:rsidRPr="00CB56EC">
              <w:rPr>
                <w:rFonts w:eastAsia="Calibri"/>
                <w:b/>
                <w:bCs/>
                <w:sz w:val="20"/>
                <w:szCs w:val="20"/>
                <w:lang w:val="es-ES" w:eastAsia="en-GB"/>
              </w:rPr>
              <w:t>30A</w:t>
            </w:r>
            <w:r w:rsidRPr="00CB56EC">
              <w:rPr>
                <w:rFonts w:eastAsia="Calibri"/>
                <w:sz w:val="20"/>
                <w:szCs w:val="20"/>
                <w:lang w:val="es-ES" w:eastAsia="en-GB"/>
              </w:rPr>
              <w:t xml:space="preserve"> y del Apéndice </w:t>
            </w:r>
            <w:r w:rsidRPr="00CB56EC">
              <w:rPr>
                <w:rFonts w:eastAsia="Calibri"/>
                <w:b/>
                <w:bCs/>
                <w:sz w:val="20"/>
                <w:szCs w:val="20"/>
                <w:lang w:val="es-ES" w:eastAsia="en-GB"/>
              </w:rPr>
              <w:t>30B</w:t>
            </w:r>
            <w:r w:rsidRPr="00CB56EC">
              <w:rPr>
                <w:rFonts w:eastAsia="Calibri"/>
                <w:sz w:val="20"/>
                <w:szCs w:val="20"/>
                <w:lang w:val="es-ES" w:eastAsia="en-GB"/>
              </w:rPr>
              <w:t xml:space="preserve"> modificando las características técnicas en la fase de la Parte B.</w:t>
            </w:r>
            <w:r w:rsidR="005B2DE5" w:rsidRPr="00CB56EC">
              <w:rPr>
                <w:rFonts w:eastAsia="Calibri"/>
                <w:sz w:val="20"/>
                <w:szCs w:val="20"/>
                <w:lang w:val="es-ES" w:eastAsia="en-GB"/>
              </w:rPr>
              <w:t>»</w:t>
            </w:r>
          </w:p>
          <w:p w14:paraId="0CEF051E" w14:textId="77777777" w:rsidR="00CE6409" w:rsidRPr="00CB56EC" w:rsidRDefault="00CE6409" w:rsidP="00CB56EC">
            <w:pPr>
              <w:pStyle w:val="Headingb"/>
              <w:jc w:val="left"/>
              <w:rPr>
                <w:sz w:val="20"/>
                <w:szCs w:val="20"/>
                <w:lang w:val="es-ES" w:eastAsia="zh-CN"/>
              </w:rPr>
            </w:pPr>
            <w:r w:rsidRPr="00CB56EC">
              <w:rPr>
                <w:rFonts w:eastAsia="Calibri"/>
                <w:sz w:val="20"/>
                <w:szCs w:val="20"/>
                <w:lang w:val="es-ES"/>
              </w:rPr>
              <w:t xml:space="preserve">Resolución 170 (CMR-19) relativa a la generación de una cobertura mínima </w:t>
            </w:r>
          </w:p>
          <w:p w14:paraId="48A404B9" w14:textId="4BD8A895" w:rsidR="00CE6409" w:rsidRPr="00CB56EC" w:rsidRDefault="005B2DE5" w:rsidP="00CB56EC">
            <w:pPr>
              <w:jc w:val="left"/>
              <w:rPr>
                <w:rFonts w:eastAsia="Calibri"/>
                <w:sz w:val="20"/>
                <w:szCs w:val="20"/>
                <w:lang w:val="es-ES"/>
              </w:rPr>
            </w:pPr>
            <w:r w:rsidRPr="00CB56EC">
              <w:rPr>
                <w:rFonts w:eastAsia="Calibri"/>
                <w:sz w:val="20"/>
                <w:szCs w:val="20"/>
                <w:lang w:val="es-ES"/>
              </w:rPr>
              <w:t>«</w:t>
            </w:r>
            <w:r w:rsidR="00CE6409" w:rsidRPr="00CB56EC">
              <w:rPr>
                <w:rFonts w:eastAsia="Calibri"/>
                <w:sz w:val="20"/>
                <w:szCs w:val="20"/>
                <w:lang w:val="es-ES"/>
              </w:rPr>
              <w:t>La CMR-23 también encarga a la Oficina a alinear la Regla de Procedimiento relativa a la Resolución</w:t>
            </w:r>
            <w:r w:rsidRPr="00CB56EC">
              <w:rPr>
                <w:rFonts w:eastAsia="Calibri"/>
                <w:sz w:val="20"/>
                <w:szCs w:val="20"/>
                <w:lang w:val="es-ES"/>
              </w:rPr>
              <w:t> </w:t>
            </w:r>
            <w:r w:rsidR="00CE6409" w:rsidRPr="00CB56EC">
              <w:rPr>
                <w:rFonts w:eastAsia="Calibri"/>
                <w:b/>
                <w:bCs/>
                <w:sz w:val="20"/>
                <w:szCs w:val="20"/>
                <w:lang w:val="es-ES"/>
              </w:rPr>
              <w:t>170 (CMR-19)</w:t>
            </w:r>
            <w:r w:rsidR="00CE6409" w:rsidRPr="00CB56EC">
              <w:rPr>
                <w:rFonts w:eastAsia="Calibri"/>
                <w:sz w:val="20"/>
                <w:szCs w:val="20"/>
                <w:lang w:val="es-ES"/>
              </w:rPr>
              <w:t xml:space="preserve"> con las decisiones pertinentes de la conferencia relativas a las modificaciones a los Apéndices</w:t>
            </w:r>
            <w:r w:rsidRPr="00CB56EC">
              <w:rPr>
                <w:rFonts w:eastAsia="Calibri"/>
                <w:sz w:val="20"/>
                <w:szCs w:val="20"/>
                <w:lang w:val="es-ES"/>
              </w:rPr>
              <w:t xml:space="preserve"> </w:t>
            </w:r>
            <w:r w:rsidR="00CE6409" w:rsidRPr="00CB56EC">
              <w:rPr>
                <w:rFonts w:eastAsia="Calibri"/>
                <w:b/>
                <w:bCs/>
                <w:sz w:val="20"/>
                <w:szCs w:val="20"/>
                <w:lang w:val="es-ES"/>
              </w:rPr>
              <w:t>30A</w:t>
            </w:r>
            <w:r w:rsidR="00CE6409" w:rsidRPr="00CB56EC">
              <w:rPr>
                <w:rFonts w:eastAsia="Calibri"/>
                <w:sz w:val="20"/>
                <w:szCs w:val="20"/>
                <w:lang w:val="es-ES"/>
              </w:rPr>
              <w:t xml:space="preserve"> y </w:t>
            </w:r>
            <w:r w:rsidR="00CE6409" w:rsidRPr="00CB56EC">
              <w:rPr>
                <w:rFonts w:eastAsia="Calibri"/>
                <w:b/>
                <w:bCs/>
                <w:sz w:val="20"/>
                <w:szCs w:val="20"/>
                <w:lang w:val="es-ES"/>
              </w:rPr>
              <w:t>30B</w:t>
            </w:r>
            <w:r w:rsidR="00CE6409" w:rsidRPr="00CB56EC">
              <w:rPr>
                <w:rFonts w:eastAsia="Calibri"/>
                <w:sz w:val="20"/>
                <w:szCs w:val="20"/>
                <w:lang w:val="es-ES"/>
              </w:rPr>
              <w:t xml:space="preserve"> adoptadas para tratar el Tema F del punto 7 del orden del día.</w:t>
            </w:r>
            <w:r w:rsidRPr="00CB56EC">
              <w:rPr>
                <w:rFonts w:eastAsia="Calibri"/>
                <w:sz w:val="20"/>
                <w:szCs w:val="20"/>
                <w:lang w:val="es-ES"/>
              </w:rPr>
              <w:t>»</w:t>
            </w:r>
          </w:p>
          <w:p w14:paraId="57560938" w14:textId="77777777" w:rsidR="00CE6409" w:rsidRPr="00CB56EC" w:rsidRDefault="00CE6409" w:rsidP="00CB56EC">
            <w:pPr>
              <w:pStyle w:val="Headingb"/>
              <w:jc w:val="left"/>
              <w:rPr>
                <w:rFonts w:eastAsia="Calibri"/>
                <w:sz w:val="20"/>
                <w:szCs w:val="20"/>
                <w:lang w:val="es-ES"/>
              </w:rPr>
            </w:pPr>
            <w:r w:rsidRPr="00CB56EC">
              <w:rPr>
                <w:rFonts w:eastAsia="Calibri"/>
                <w:sz w:val="20"/>
                <w:szCs w:val="20"/>
                <w:lang w:val="es-ES"/>
              </w:rPr>
              <w:t xml:space="preserve">Aplicación de las modificaciones de los Apéndices 30A y 30B </w:t>
            </w:r>
          </w:p>
          <w:p w14:paraId="1AAC8549" w14:textId="089A5EF8" w:rsidR="00CE6409" w:rsidRPr="00CB56EC" w:rsidRDefault="005B2DE5" w:rsidP="00CB56EC">
            <w:pPr>
              <w:jc w:val="left"/>
              <w:rPr>
                <w:sz w:val="20"/>
                <w:szCs w:val="20"/>
                <w:lang w:val="es-ES"/>
              </w:rPr>
            </w:pPr>
            <w:r w:rsidRPr="00CB56EC">
              <w:rPr>
                <w:rFonts w:eastAsia="Calibri"/>
                <w:sz w:val="20"/>
                <w:szCs w:val="20"/>
                <w:lang w:val="es-ES"/>
              </w:rPr>
              <w:t>«</w:t>
            </w:r>
            <w:r w:rsidR="00CE6409" w:rsidRPr="00CB56EC">
              <w:rPr>
                <w:sz w:val="20"/>
                <w:szCs w:val="20"/>
                <w:lang w:val="es-ES"/>
              </w:rPr>
              <w:t>La CMR-23 encarga a la Oficina, cuando reciba una solicitud de asistencia de las administraciones notificantes de los sistemas nacionales o regionales en relación con la coordinación de frecuencias con las administraciones afectadas:</w:t>
            </w:r>
          </w:p>
          <w:p w14:paraId="6781F01F" w14:textId="77777777" w:rsidR="00CE6409" w:rsidRPr="00CB56EC" w:rsidRDefault="00CE6409" w:rsidP="00CB56EC">
            <w:pPr>
              <w:pStyle w:val="enumlev1"/>
              <w:jc w:val="left"/>
              <w:rPr>
                <w:sz w:val="20"/>
                <w:szCs w:val="20"/>
                <w:lang w:val="es-ES"/>
              </w:rPr>
            </w:pPr>
            <w:r w:rsidRPr="00CB56EC">
              <w:rPr>
                <w:sz w:val="20"/>
                <w:szCs w:val="20"/>
                <w:lang w:val="es-ES"/>
              </w:rPr>
              <w:t>–</w:t>
            </w:r>
            <w:r w:rsidRPr="00CB56EC">
              <w:rPr>
                <w:sz w:val="20"/>
                <w:szCs w:val="20"/>
                <w:lang w:val="es-ES"/>
              </w:rPr>
              <w:tab/>
              <w:t xml:space="preserve">a asistir en la preparación del material necesario, incluidos, pero no limitados los cálculos de </w:t>
            </w:r>
            <w:r w:rsidRPr="00CB56EC">
              <w:rPr>
                <w:i/>
                <w:iCs/>
                <w:sz w:val="20"/>
                <w:szCs w:val="20"/>
                <w:lang w:val="es-ES"/>
              </w:rPr>
              <w:t>C/I</w:t>
            </w:r>
            <w:r w:rsidRPr="00CB56EC">
              <w:rPr>
                <w:sz w:val="20"/>
                <w:szCs w:val="20"/>
                <w:lang w:val="es-ES"/>
              </w:rPr>
              <w:t>, los análisis de interferencia y los cálculos del presupuesto del enlace;</w:t>
            </w:r>
          </w:p>
          <w:p w14:paraId="7EE5D4B6" w14:textId="3C96B5FF" w:rsidR="00CE6409" w:rsidRPr="00CB56EC" w:rsidRDefault="00CE6409" w:rsidP="00CB56EC">
            <w:pPr>
              <w:pStyle w:val="enumlev1"/>
              <w:jc w:val="left"/>
              <w:rPr>
                <w:sz w:val="20"/>
                <w:szCs w:val="20"/>
                <w:lang w:val="es-ES"/>
              </w:rPr>
            </w:pPr>
            <w:r w:rsidRPr="00CB56EC">
              <w:rPr>
                <w:sz w:val="20"/>
                <w:szCs w:val="20"/>
                <w:lang w:val="es-ES"/>
              </w:rPr>
              <w:t>–</w:t>
            </w:r>
            <w:r w:rsidRPr="00CB56EC">
              <w:rPr>
                <w:sz w:val="20"/>
                <w:szCs w:val="20"/>
                <w:lang w:val="es-ES"/>
              </w:rPr>
              <w:tab/>
              <w:t>a participar en las reuniones de coordinación para proporcionar apoyo y facilitar los debates/negociaciones técnicas</w:t>
            </w:r>
            <w:r w:rsidR="005B2DE5" w:rsidRPr="00CB56EC">
              <w:rPr>
                <w:sz w:val="20"/>
                <w:szCs w:val="20"/>
                <w:lang w:val="es-ES"/>
              </w:rPr>
              <w:t>»</w:t>
            </w:r>
          </w:p>
        </w:tc>
      </w:tr>
      <w:tr w:rsidR="00CE6409" w:rsidRPr="0067605C" w14:paraId="1645E31C" w14:textId="77777777" w:rsidTr="00662D47">
        <w:trPr>
          <w:trHeight w:val="764"/>
        </w:trPr>
        <w:tc>
          <w:tcPr>
            <w:tcW w:w="1838" w:type="dxa"/>
          </w:tcPr>
          <w:p w14:paraId="6EEADF66" w14:textId="77777777" w:rsidR="00CE6409" w:rsidRPr="00CB56EC" w:rsidRDefault="00CE6409" w:rsidP="00CB56EC">
            <w:pPr>
              <w:jc w:val="left"/>
              <w:rPr>
                <w:rFonts w:asciiTheme="minorHAnsi" w:hAnsiTheme="minorHAnsi" w:cstheme="minorHAnsi"/>
                <w:b/>
                <w:sz w:val="20"/>
                <w:szCs w:val="20"/>
                <w:lang w:val="es-ES"/>
              </w:rPr>
            </w:pPr>
            <w:r w:rsidRPr="00CB56EC">
              <w:rPr>
                <w:rFonts w:asciiTheme="minorHAnsi" w:hAnsiTheme="minorHAnsi" w:cstheme="minorHAnsi"/>
                <w:b/>
                <w:sz w:val="20"/>
                <w:szCs w:val="20"/>
                <w:lang w:val="es-ES"/>
              </w:rPr>
              <w:lastRenderedPageBreak/>
              <w:t>Documento</w:t>
            </w:r>
            <w:r w:rsidR="0067605C">
              <w:fldChar w:fldCharType="begin"/>
            </w:r>
            <w:r w:rsidR="0067605C" w:rsidRPr="0067605C">
              <w:rPr>
                <w:lang w:val="fr-FR"/>
              </w:rPr>
              <w:instrText>HYPERLINK "https://www.itu.int/md/R23-WRC23-C-0528/en"</w:instrText>
            </w:r>
            <w:r w:rsidR="0067605C">
              <w:fldChar w:fldCharType="separate"/>
            </w:r>
            <w:r w:rsidRPr="00CB56EC">
              <w:rPr>
                <w:rFonts w:asciiTheme="minorHAnsi" w:eastAsia="Calibri" w:hAnsiTheme="minorHAnsi" w:cstheme="minorHAnsi"/>
                <w:color w:val="0563C1"/>
                <w:kern w:val="2"/>
                <w:sz w:val="20"/>
                <w:szCs w:val="20"/>
                <w:u w:val="single"/>
                <w:lang w:val="es-ES"/>
                <w14:ligatures w14:val="standardContextual"/>
              </w:rPr>
              <w:t xml:space="preserve"> </w:t>
            </w:r>
            <w:r w:rsidRPr="00CB56EC">
              <w:rPr>
                <w:rFonts w:asciiTheme="minorHAnsi" w:eastAsia="Calibri" w:hAnsiTheme="minorHAnsi" w:cstheme="minorHAnsi"/>
                <w:b/>
                <w:bCs/>
                <w:color w:val="0563C1"/>
                <w:kern w:val="2"/>
                <w:sz w:val="20"/>
                <w:szCs w:val="20"/>
                <w:u w:val="single"/>
                <w:lang w:val="es-ES"/>
                <w14:ligatures w14:val="standardContextual"/>
              </w:rPr>
              <w:t>CMR23/528</w:t>
            </w:r>
            <w:r w:rsidR="0067605C">
              <w:rPr>
                <w:rFonts w:asciiTheme="minorHAnsi" w:eastAsia="Calibri" w:hAnsiTheme="minorHAnsi" w:cstheme="minorHAnsi"/>
                <w:b/>
                <w:bCs/>
                <w:color w:val="0563C1"/>
                <w:kern w:val="2"/>
                <w:sz w:val="20"/>
                <w:szCs w:val="20"/>
                <w:u w:val="single"/>
                <w:lang w:val="es-ES"/>
                <w14:ligatures w14:val="standardContextual"/>
              </w:rPr>
              <w:fldChar w:fldCharType="end"/>
            </w:r>
            <w:r w:rsidRPr="00CB56EC">
              <w:rPr>
                <w:rFonts w:asciiTheme="minorHAnsi" w:hAnsiTheme="minorHAnsi" w:cstheme="minorHAnsi"/>
                <w:b/>
                <w:sz w:val="20"/>
                <w:szCs w:val="20"/>
                <w:lang w:val="es-ES"/>
              </w:rPr>
              <w:t xml:space="preserve"> – </w:t>
            </w:r>
            <w:r w:rsidRPr="00CB56EC">
              <w:rPr>
                <w:b/>
                <w:sz w:val="20"/>
                <w:szCs w:val="20"/>
                <w:lang w:val="es-ES"/>
              </w:rPr>
              <w:t>Actas de la Decimotercera Sesión Plenaria</w:t>
            </w:r>
            <w:r w:rsidRPr="00CB56EC">
              <w:rPr>
                <w:rFonts w:asciiTheme="minorHAnsi" w:hAnsiTheme="minorHAnsi" w:cstheme="minorHAnsi"/>
                <w:b/>
                <w:sz w:val="20"/>
                <w:szCs w:val="20"/>
                <w:lang w:val="es-ES"/>
              </w:rPr>
              <w:t xml:space="preserve"> </w:t>
            </w:r>
          </w:p>
        </w:tc>
        <w:tc>
          <w:tcPr>
            <w:tcW w:w="1733" w:type="dxa"/>
          </w:tcPr>
          <w:p w14:paraId="43893CE6" w14:textId="77777777" w:rsidR="00CE6409" w:rsidRPr="00CB56EC" w:rsidRDefault="00CE6409" w:rsidP="00CB56EC">
            <w:pPr>
              <w:jc w:val="left"/>
              <w:rPr>
                <w:rFonts w:cs="Times"/>
                <w:b/>
                <w:sz w:val="20"/>
                <w:szCs w:val="20"/>
                <w:lang w:val="es-ES"/>
              </w:rPr>
            </w:pPr>
            <w:r w:rsidRPr="00CB56EC">
              <w:rPr>
                <w:rFonts w:cs="Times"/>
                <w:b/>
                <w:sz w:val="20"/>
                <w:szCs w:val="20"/>
                <w:lang w:val="es-ES"/>
              </w:rPr>
              <w:t xml:space="preserve">§§ 25.1 y 25.2 </w:t>
            </w:r>
          </w:p>
          <w:p w14:paraId="02F20C50" w14:textId="77777777" w:rsidR="00CE6409" w:rsidRPr="00CB56EC" w:rsidRDefault="00CE6409" w:rsidP="00CB56EC">
            <w:pPr>
              <w:jc w:val="left"/>
              <w:rPr>
                <w:rFonts w:cs="Times"/>
                <w:b/>
                <w:sz w:val="20"/>
                <w:szCs w:val="20"/>
                <w:lang w:val="es-ES"/>
              </w:rPr>
            </w:pPr>
            <w:r w:rsidRPr="00CB56EC">
              <w:rPr>
                <w:b/>
                <w:sz w:val="20"/>
                <w:szCs w:val="20"/>
                <w:lang w:val="es-ES"/>
              </w:rPr>
              <w:t xml:space="preserve">Aprobación del Documento </w:t>
            </w:r>
            <w:hyperlink r:id="rId34" w:history="1">
              <w:r w:rsidRPr="00CB56EC">
                <w:rPr>
                  <w:rStyle w:val="Hyperlink"/>
                  <w:rFonts w:cs="Times"/>
                  <w:b/>
                  <w:sz w:val="20"/>
                  <w:szCs w:val="20"/>
                  <w:lang w:val="es-ES"/>
                </w:rPr>
                <w:t>465</w:t>
              </w:r>
            </w:hyperlink>
          </w:p>
        </w:tc>
        <w:tc>
          <w:tcPr>
            <w:tcW w:w="10712" w:type="dxa"/>
          </w:tcPr>
          <w:p w14:paraId="1ACF1ADA" w14:textId="77777777" w:rsidR="00CE6409" w:rsidRPr="00CB56EC" w:rsidRDefault="00CE6409" w:rsidP="00CB56EC">
            <w:pPr>
              <w:pStyle w:val="Headingb"/>
              <w:tabs>
                <w:tab w:val="clear" w:pos="794"/>
                <w:tab w:val="left" w:pos="0"/>
              </w:tabs>
              <w:ind w:left="8" w:hanging="8"/>
              <w:jc w:val="left"/>
              <w:rPr>
                <w:sz w:val="20"/>
                <w:szCs w:val="20"/>
                <w:lang w:val="es-ES"/>
              </w:rPr>
            </w:pPr>
            <w:r w:rsidRPr="00CB56EC">
              <w:rPr>
                <w:b w:val="0"/>
                <w:sz w:val="20"/>
                <w:szCs w:val="20"/>
                <w:lang w:val="es-ES"/>
              </w:rPr>
              <w:t xml:space="preserve">La CMR-15, la CMR-19 y la CMR-23 no han podido llegar a un acuerdo sobre la necesidad de protección y las condiciones asociadas de las estaciones del SMA/SMM en el espacio aéreo internacional y las aguas internacionales en la banda de frecuencias 4 800-4 990 MHz de las estaciones IMT que funcionan en los territorios nacionales. A raíz de las opiniones variadas sobre la relevancia de un criterio de </w:t>
            </w:r>
            <w:proofErr w:type="spellStart"/>
            <w:r w:rsidRPr="00CB56EC">
              <w:rPr>
                <w:b w:val="0"/>
                <w:sz w:val="20"/>
                <w:szCs w:val="20"/>
                <w:lang w:val="es-ES"/>
              </w:rPr>
              <w:t>dfp</w:t>
            </w:r>
            <w:proofErr w:type="spellEnd"/>
            <w:r w:rsidRPr="00CB56EC">
              <w:rPr>
                <w:b w:val="0"/>
                <w:sz w:val="20"/>
                <w:szCs w:val="20"/>
                <w:lang w:val="es-ES"/>
              </w:rPr>
              <w:t xml:space="preserve"> para proteger el valor y las condiciones de los SMA/SMM y la banda de frecuencias para su aplicación, no se logró proponer ninguna solución para resolver este problema, por lo tanto, la conferencia decidió mantener sin cambios las condiciones técnicas y reglamentarias en el número </w:t>
            </w:r>
            <w:r w:rsidRPr="00CB56EC">
              <w:rPr>
                <w:sz w:val="20"/>
                <w:szCs w:val="20"/>
                <w:lang w:val="es-ES"/>
              </w:rPr>
              <w:t>5.441B</w:t>
            </w:r>
            <w:r w:rsidRPr="00CB56EC">
              <w:rPr>
                <w:b w:val="0"/>
                <w:sz w:val="20"/>
                <w:szCs w:val="20"/>
                <w:lang w:val="es-ES"/>
              </w:rPr>
              <w:t>. La conferencia también decidió no realizar estudios posteriores sobre este asunto.</w:t>
            </w:r>
          </w:p>
        </w:tc>
      </w:tr>
    </w:tbl>
    <w:p w14:paraId="7CD0D8E4" w14:textId="77777777" w:rsidR="005B2DE5" w:rsidRPr="00CB56EC" w:rsidRDefault="005B2DE5" w:rsidP="00411C49">
      <w:pPr>
        <w:pStyle w:val="Reasons"/>
        <w:rPr>
          <w:lang w:val="es-ES"/>
        </w:rPr>
      </w:pPr>
    </w:p>
    <w:p w14:paraId="7A96195E" w14:textId="67D80234" w:rsidR="00CE6409" w:rsidRPr="005B2DE5" w:rsidRDefault="005B2DE5" w:rsidP="005B2DE5">
      <w:pPr>
        <w:jc w:val="center"/>
      </w:pPr>
      <w:r>
        <w:t>______________</w:t>
      </w:r>
    </w:p>
    <w:sectPr w:rsidR="00CE6409" w:rsidRPr="005B2DE5" w:rsidSect="009F430B">
      <w:pgSz w:w="16834" w:h="11907" w:orient="landscape" w:code="9"/>
      <w:pgMar w:top="1134" w:right="1134" w:bottom="1134" w:left="992" w:header="567" w:footer="81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E9667" w14:textId="77777777" w:rsidR="009F430B" w:rsidRDefault="009F430B">
      <w:r>
        <w:separator/>
      </w:r>
    </w:p>
  </w:endnote>
  <w:endnote w:type="continuationSeparator" w:id="0">
    <w:p w14:paraId="2D0DCBC6" w14:textId="77777777" w:rsidR="009F430B" w:rsidRDefault="009F4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CC"/>
    <w:family w:val="swiss"/>
    <w:pitch w:val="variable"/>
    <w:sig w:usb0="E1002EFF" w:usb1="C000605B" w:usb2="00000029" w:usb3="00000000" w:csb0="000101FF" w:csb1="00000000"/>
  </w:font>
  <w:font w:name="Times New Roman Bold">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9E29C" w14:textId="77777777" w:rsidR="005370F0" w:rsidRPr="003B370E" w:rsidRDefault="00CF7B6D" w:rsidP="00132DD2">
    <w:pPr>
      <w:pStyle w:val="Footer"/>
      <w:spacing w:before="0" w:line="240" w:lineRule="auto"/>
      <w:jc w:val="center"/>
      <w:rPr>
        <w:sz w:val="19"/>
        <w:szCs w:val="19"/>
        <w:lang w:val="es-ES"/>
      </w:rPr>
    </w:pPr>
    <w:r w:rsidRPr="00353E34">
      <w:rPr>
        <w:color w:val="4F81BD" w:themeColor="accent1"/>
        <w:sz w:val="19"/>
        <w:szCs w:val="19"/>
        <w:lang w:val="es-ES"/>
      </w:rPr>
      <w:t xml:space="preserve">Unión Internacional de Telecomunicaciones • Place des </w:t>
    </w:r>
    <w:proofErr w:type="spellStart"/>
    <w:r w:rsidRPr="00353E34">
      <w:rPr>
        <w:color w:val="4F81BD" w:themeColor="accent1"/>
        <w:sz w:val="19"/>
        <w:szCs w:val="19"/>
        <w:lang w:val="es-ES"/>
      </w:rPr>
      <w:t>Nations</w:t>
    </w:r>
    <w:proofErr w:type="spellEnd"/>
    <w:r w:rsidRPr="00353E34">
      <w:rPr>
        <w:color w:val="4F81BD" w:themeColor="accent1"/>
        <w:sz w:val="19"/>
        <w:szCs w:val="19"/>
        <w:lang w:val="es-ES"/>
      </w:rPr>
      <w:t>, CH-1211 Ginebra 20, Suiza</w:t>
    </w:r>
    <w:r w:rsidRPr="00353E34">
      <w:rPr>
        <w:color w:val="4F81BD" w:themeColor="accent1"/>
        <w:sz w:val="19"/>
        <w:szCs w:val="19"/>
        <w:lang w:val="es-ES"/>
      </w:rPr>
      <w:br/>
      <w:t xml:space="preserve">Tel.: +41 22 730 5111 • Correo-e: </w:t>
    </w:r>
    <w:hyperlink r:id="rId1" w:history="1">
      <w:r w:rsidR="00353E34" w:rsidRPr="000B33D5">
        <w:rPr>
          <w:rStyle w:val="Hyperlink"/>
          <w:sz w:val="19"/>
          <w:szCs w:val="19"/>
          <w:lang w:val="es-ES"/>
        </w:rPr>
        <w:t>brmail@itu.int</w:t>
      </w:r>
    </w:hyperlink>
    <w:r w:rsidRPr="00353E34">
      <w:rPr>
        <w:color w:val="4F81BD" w:themeColor="accent1"/>
        <w:sz w:val="19"/>
        <w:szCs w:val="19"/>
        <w:lang w:val="es-ES"/>
      </w:rPr>
      <w:t xml:space="preserve"> </w:t>
    </w:r>
    <w:r w:rsidRPr="00353E34">
      <w:rPr>
        <w:color w:val="4F81BD"/>
        <w:sz w:val="19"/>
        <w:szCs w:val="19"/>
        <w:lang w:val="es-ES"/>
      </w:rPr>
      <w:t xml:space="preserve">• Fax: +41 22 733 7256 • </w:t>
    </w:r>
    <w:r w:rsidRPr="00353E34">
      <w:fldChar w:fldCharType="begin"/>
    </w:r>
    <w:r w:rsidRPr="00353E34">
      <w:rPr>
        <w:sz w:val="19"/>
        <w:szCs w:val="19"/>
        <w:lang w:val="es-ES"/>
        <w:rPrChange w:id="0" w:author="Fernandez Jimenez, Virginia" w:date="2022-10-18T15:06:00Z">
          <w:rPr/>
        </w:rPrChange>
      </w:rPr>
      <w:instrText xml:space="preserve"> HYPERLINK "http://www.itu.int" </w:instrText>
    </w:r>
    <w:r w:rsidRPr="00353E34">
      <w:fldChar w:fldCharType="separate"/>
    </w:r>
    <w:r w:rsidRPr="00353E34">
      <w:rPr>
        <w:rStyle w:val="Hyperlink"/>
        <w:sz w:val="19"/>
        <w:szCs w:val="19"/>
        <w:lang w:val="es-ES"/>
      </w:rPr>
      <w:t>www.itu.int</w:t>
    </w:r>
    <w:r w:rsidRPr="00353E34">
      <w:rPr>
        <w:rStyle w:val="Hyperlink"/>
        <w:sz w:val="19"/>
        <w:szCs w:val="19"/>
        <w:lang w:val="es-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5D1A8" w14:textId="77777777" w:rsidR="009F430B" w:rsidRDefault="009F430B">
      <w:r>
        <w:t>____________________</w:t>
      </w:r>
    </w:p>
  </w:footnote>
  <w:footnote w:type="continuationSeparator" w:id="0">
    <w:p w14:paraId="3C6215AD" w14:textId="77777777" w:rsidR="009F430B" w:rsidRDefault="009F43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1B4E7" w14:textId="77777777" w:rsidR="00994B5F" w:rsidRPr="000D79FA" w:rsidRDefault="00994B5F" w:rsidP="00994B5F">
    <w:pPr>
      <w:pStyle w:val="Header"/>
      <w:jc w:val="center"/>
      <w:rPr>
        <w:sz w:val="18"/>
        <w:szCs w:val="18"/>
      </w:rPr>
    </w:pPr>
    <w:r w:rsidRPr="000D79FA">
      <w:rPr>
        <w:sz w:val="18"/>
        <w:szCs w:val="18"/>
      </w:rPr>
      <w:t xml:space="preserve">- </w:t>
    </w:r>
    <w:r w:rsidRPr="000D79FA">
      <w:rPr>
        <w:sz w:val="18"/>
        <w:szCs w:val="18"/>
      </w:rPr>
      <w:fldChar w:fldCharType="begin"/>
    </w:r>
    <w:r w:rsidRPr="000D79FA">
      <w:rPr>
        <w:sz w:val="18"/>
        <w:szCs w:val="18"/>
      </w:rPr>
      <w:instrText xml:space="preserve"> PAGE  \* MERGEFORMAT </w:instrText>
    </w:r>
    <w:r w:rsidRPr="000D79FA">
      <w:rPr>
        <w:sz w:val="18"/>
        <w:szCs w:val="18"/>
      </w:rPr>
      <w:fldChar w:fldCharType="separate"/>
    </w:r>
    <w:r>
      <w:rPr>
        <w:sz w:val="18"/>
        <w:szCs w:val="18"/>
      </w:rPr>
      <w:t>3</w:t>
    </w:r>
    <w:r w:rsidRPr="000D79FA">
      <w:rPr>
        <w:sz w:val="18"/>
        <w:szCs w:val="18"/>
      </w:rPr>
      <w:fldChar w:fldCharType="end"/>
    </w:r>
    <w:r w:rsidRPr="000D79FA">
      <w:rPr>
        <w:sz w:val="18"/>
        <w:szCs w:val="18"/>
      </w:rPr>
      <w:t xml:space="preserve"> -</w:t>
    </w:r>
  </w:p>
  <w:p w14:paraId="489BBE73" w14:textId="108EA236" w:rsidR="00E915AF" w:rsidRPr="00994B5F" w:rsidRDefault="00E915AF" w:rsidP="00994B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1076F" w14:textId="77777777" w:rsidR="00994B5F" w:rsidRPr="000D79FA" w:rsidRDefault="00994B5F" w:rsidP="00994B5F">
    <w:pPr>
      <w:pStyle w:val="Header"/>
      <w:jc w:val="center"/>
      <w:rPr>
        <w:sz w:val="18"/>
        <w:szCs w:val="18"/>
      </w:rPr>
    </w:pPr>
    <w:r w:rsidRPr="000D79FA">
      <w:rPr>
        <w:sz w:val="18"/>
        <w:szCs w:val="18"/>
      </w:rPr>
      <w:t xml:space="preserve">- </w:t>
    </w:r>
    <w:r w:rsidRPr="000D79FA">
      <w:rPr>
        <w:sz w:val="18"/>
        <w:szCs w:val="18"/>
      </w:rPr>
      <w:fldChar w:fldCharType="begin"/>
    </w:r>
    <w:r w:rsidRPr="000D79FA">
      <w:rPr>
        <w:sz w:val="18"/>
        <w:szCs w:val="18"/>
      </w:rPr>
      <w:instrText xml:space="preserve"> PAGE  \* MERGEFORMAT </w:instrText>
    </w:r>
    <w:r w:rsidRPr="000D79FA">
      <w:rPr>
        <w:sz w:val="18"/>
        <w:szCs w:val="18"/>
      </w:rPr>
      <w:fldChar w:fldCharType="separate"/>
    </w:r>
    <w:r>
      <w:rPr>
        <w:sz w:val="18"/>
        <w:szCs w:val="18"/>
      </w:rPr>
      <w:t>3</w:t>
    </w:r>
    <w:r w:rsidRPr="000D79FA">
      <w:rPr>
        <w:sz w:val="18"/>
        <w:szCs w:val="18"/>
      </w:rPr>
      <w:fldChar w:fldCharType="end"/>
    </w:r>
    <w:r w:rsidRPr="000D79FA">
      <w:rPr>
        <w:sz w:val="18"/>
        <w:szCs w:val="18"/>
      </w:rPr>
      <w:t xml:space="preserve"> -</w:t>
    </w:r>
  </w:p>
  <w:p w14:paraId="2EC66B27" w14:textId="14588207" w:rsidR="00E915AF" w:rsidRPr="00994B5F" w:rsidRDefault="00E915AF" w:rsidP="00994B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99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2"/>
      <w:gridCol w:w="5131"/>
    </w:tblGrid>
    <w:tr w:rsidR="001B3D4D" w14:paraId="59FB492F" w14:textId="77777777" w:rsidTr="002B7EE0">
      <w:tc>
        <w:tcPr>
          <w:tcW w:w="9862" w:type="dxa"/>
          <w:tcMar>
            <w:left w:w="0" w:type="dxa"/>
          </w:tcMar>
        </w:tcPr>
        <w:p w14:paraId="43DE949B" w14:textId="77777777" w:rsidR="001B3D4D" w:rsidRDefault="002B7EE0" w:rsidP="002B7EE0">
          <w:pPr>
            <w:pStyle w:val="FirstFooter"/>
            <w:spacing w:line="240" w:lineRule="auto"/>
            <w:ind w:left="-397" w:right="-397"/>
            <w:jc w:val="center"/>
          </w:pPr>
          <w:r>
            <w:rPr>
              <w:noProof/>
              <w:lang w:val="en-GB" w:eastAsia="en-GB"/>
            </w:rPr>
            <w:drawing>
              <wp:inline distT="0" distB="0" distL="0" distR="0" wp14:anchorId="3A7B08AD" wp14:editId="1D089DC1">
                <wp:extent cx="765175" cy="7651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5131" w:type="dxa"/>
        </w:tcPr>
        <w:p w14:paraId="4CF7D034" w14:textId="77777777" w:rsidR="001B3D4D" w:rsidRDefault="001B3D4D" w:rsidP="001B3D4D">
          <w:pPr>
            <w:pStyle w:val="Header"/>
            <w:spacing w:before="240" w:line="360" w:lineRule="auto"/>
            <w:jc w:val="right"/>
          </w:pPr>
        </w:p>
      </w:tc>
    </w:tr>
  </w:tbl>
  <w:p w14:paraId="1833784D" w14:textId="77777777" w:rsidR="00E915AF" w:rsidRPr="001B3D4D" w:rsidRDefault="00E915AF" w:rsidP="001B3D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5AC3ECA"/>
    <w:multiLevelType w:val="hybridMultilevel"/>
    <w:tmpl w:val="782489BE"/>
    <w:lvl w:ilvl="0" w:tplc="51D8349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7" w15:restartNumberingAfterBreak="0">
    <w:nsid w:val="68945037"/>
    <w:multiLevelType w:val="hybridMultilevel"/>
    <w:tmpl w:val="120A67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518091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9789161">
    <w:abstractNumId w:val="6"/>
  </w:num>
  <w:num w:numId="3" w16cid:durableId="1672026790">
    <w:abstractNumId w:val="4"/>
  </w:num>
  <w:num w:numId="4" w16cid:durableId="21812712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rnandez Jimenez, Virginia">
    <w15:presenceInfo w15:providerId="AD" w15:userId="S::virginia.fernandez@itu.int::6d460222-a6cb-4df0-8dd7-a947ce731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fr-CH" w:vendorID="64" w:dllVersion="6"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s-ES" w:vendorID="64" w:dllVersion="0" w:nlCheck="1" w:checkStyle="0"/>
  <w:activeWritingStyle w:appName="MSWord" w:lang="es-ES_tradn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2B7EE0"/>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D3F3B"/>
    <w:rsid w:val="000E3DEE"/>
    <w:rsid w:val="000E4BCD"/>
    <w:rsid w:val="00100B72"/>
    <w:rsid w:val="00101F7D"/>
    <w:rsid w:val="00103C76"/>
    <w:rsid w:val="0011265F"/>
    <w:rsid w:val="00117282"/>
    <w:rsid w:val="00117389"/>
    <w:rsid w:val="00121C2D"/>
    <w:rsid w:val="00132DD2"/>
    <w:rsid w:val="00134404"/>
    <w:rsid w:val="00144DFB"/>
    <w:rsid w:val="00187CA3"/>
    <w:rsid w:val="00195EB7"/>
    <w:rsid w:val="00196710"/>
    <w:rsid w:val="00196770"/>
    <w:rsid w:val="00197324"/>
    <w:rsid w:val="001B351B"/>
    <w:rsid w:val="001B3D4D"/>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7BE7"/>
    <w:rsid w:val="00266E74"/>
    <w:rsid w:val="00283C3B"/>
    <w:rsid w:val="002861E6"/>
    <w:rsid w:val="00287D18"/>
    <w:rsid w:val="002A2618"/>
    <w:rsid w:val="002A5DD7"/>
    <w:rsid w:val="002B0CAC"/>
    <w:rsid w:val="002B7EE0"/>
    <w:rsid w:val="002D5A15"/>
    <w:rsid w:val="002D5BDD"/>
    <w:rsid w:val="002E3D27"/>
    <w:rsid w:val="002F0890"/>
    <w:rsid w:val="002F2531"/>
    <w:rsid w:val="002F4967"/>
    <w:rsid w:val="00306452"/>
    <w:rsid w:val="00311970"/>
    <w:rsid w:val="00316935"/>
    <w:rsid w:val="003266ED"/>
    <w:rsid w:val="00326C68"/>
    <w:rsid w:val="0033029C"/>
    <w:rsid w:val="003370B8"/>
    <w:rsid w:val="00345D38"/>
    <w:rsid w:val="00352097"/>
    <w:rsid w:val="00353E34"/>
    <w:rsid w:val="003666FF"/>
    <w:rsid w:val="0037309C"/>
    <w:rsid w:val="00380A6E"/>
    <w:rsid w:val="003836D4"/>
    <w:rsid w:val="003974CD"/>
    <w:rsid w:val="003A1F49"/>
    <w:rsid w:val="003A55ED"/>
    <w:rsid w:val="003A5D52"/>
    <w:rsid w:val="003B2BDA"/>
    <w:rsid w:val="003B370E"/>
    <w:rsid w:val="003B55EC"/>
    <w:rsid w:val="003C2EA7"/>
    <w:rsid w:val="003C4471"/>
    <w:rsid w:val="003C7D41"/>
    <w:rsid w:val="003D4A69"/>
    <w:rsid w:val="003E504F"/>
    <w:rsid w:val="003E78D6"/>
    <w:rsid w:val="003F0E9F"/>
    <w:rsid w:val="00400573"/>
    <w:rsid w:val="004007A3"/>
    <w:rsid w:val="00406D71"/>
    <w:rsid w:val="004326DB"/>
    <w:rsid w:val="0043682E"/>
    <w:rsid w:val="00447ECB"/>
    <w:rsid w:val="004623F7"/>
    <w:rsid w:val="00462968"/>
    <w:rsid w:val="00480F51"/>
    <w:rsid w:val="00481124"/>
    <w:rsid w:val="004815EB"/>
    <w:rsid w:val="00487569"/>
    <w:rsid w:val="00496864"/>
    <w:rsid w:val="00496920"/>
    <w:rsid w:val="004A4496"/>
    <w:rsid w:val="004A5F47"/>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35FEF"/>
    <w:rsid w:val="005370F0"/>
    <w:rsid w:val="00543DF8"/>
    <w:rsid w:val="00546101"/>
    <w:rsid w:val="00553364"/>
    <w:rsid w:val="00553DD7"/>
    <w:rsid w:val="00557BBF"/>
    <w:rsid w:val="005638CF"/>
    <w:rsid w:val="0056741E"/>
    <w:rsid w:val="0057325A"/>
    <w:rsid w:val="0057469A"/>
    <w:rsid w:val="00580814"/>
    <w:rsid w:val="00583A0B"/>
    <w:rsid w:val="005A03A3"/>
    <w:rsid w:val="005A2B92"/>
    <w:rsid w:val="005A3F66"/>
    <w:rsid w:val="005A79E9"/>
    <w:rsid w:val="005B214C"/>
    <w:rsid w:val="005B2DE5"/>
    <w:rsid w:val="005B4CDA"/>
    <w:rsid w:val="005D3669"/>
    <w:rsid w:val="005E5EB3"/>
    <w:rsid w:val="005F3CB6"/>
    <w:rsid w:val="005F657C"/>
    <w:rsid w:val="00602D53"/>
    <w:rsid w:val="006047E5"/>
    <w:rsid w:val="0064371D"/>
    <w:rsid w:val="00650543"/>
    <w:rsid w:val="00650B2A"/>
    <w:rsid w:val="00651777"/>
    <w:rsid w:val="006550F8"/>
    <w:rsid w:val="0067605C"/>
    <w:rsid w:val="006829F3"/>
    <w:rsid w:val="006A518B"/>
    <w:rsid w:val="006B0590"/>
    <w:rsid w:val="006B49DA"/>
    <w:rsid w:val="006C53F8"/>
    <w:rsid w:val="006C7CDE"/>
    <w:rsid w:val="007234B1"/>
    <w:rsid w:val="00723D08"/>
    <w:rsid w:val="00725FDA"/>
    <w:rsid w:val="00727816"/>
    <w:rsid w:val="00730B9A"/>
    <w:rsid w:val="00750CFA"/>
    <w:rsid w:val="007553DA"/>
    <w:rsid w:val="00775DB8"/>
    <w:rsid w:val="00782354"/>
    <w:rsid w:val="007921A7"/>
    <w:rsid w:val="007B3DB1"/>
    <w:rsid w:val="007D183E"/>
    <w:rsid w:val="007D43D0"/>
    <w:rsid w:val="007E1833"/>
    <w:rsid w:val="007E3F13"/>
    <w:rsid w:val="007F751A"/>
    <w:rsid w:val="00800012"/>
    <w:rsid w:val="00801159"/>
    <w:rsid w:val="0080261F"/>
    <w:rsid w:val="00805A02"/>
    <w:rsid w:val="00806160"/>
    <w:rsid w:val="008143A4"/>
    <w:rsid w:val="0081513E"/>
    <w:rsid w:val="00854131"/>
    <w:rsid w:val="0085652D"/>
    <w:rsid w:val="0087694B"/>
    <w:rsid w:val="00880F4D"/>
    <w:rsid w:val="008B35A3"/>
    <w:rsid w:val="008B37E1"/>
    <w:rsid w:val="008B45F8"/>
    <w:rsid w:val="008C2E74"/>
    <w:rsid w:val="008D5409"/>
    <w:rsid w:val="008D6955"/>
    <w:rsid w:val="008E006D"/>
    <w:rsid w:val="008E38B4"/>
    <w:rsid w:val="008F4F21"/>
    <w:rsid w:val="00904D4A"/>
    <w:rsid w:val="009076D7"/>
    <w:rsid w:val="00912DAB"/>
    <w:rsid w:val="009151BA"/>
    <w:rsid w:val="00925023"/>
    <w:rsid w:val="009277BC"/>
    <w:rsid w:val="00927D57"/>
    <w:rsid w:val="00931A51"/>
    <w:rsid w:val="00947185"/>
    <w:rsid w:val="009518B3"/>
    <w:rsid w:val="00963D9D"/>
    <w:rsid w:val="0098013E"/>
    <w:rsid w:val="00981B54"/>
    <w:rsid w:val="009842C3"/>
    <w:rsid w:val="00994B5F"/>
    <w:rsid w:val="009A009A"/>
    <w:rsid w:val="009A6BB6"/>
    <w:rsid w:val="009B3F43"/>
    <w:rsid w:val="009B5CFA"/>
    <w:rsid w:val="009C161F"/>
    <w:rsid w:val="009C56B4"/>
    <w:rsid w:val="009D51A2"/>
    <w:rsid w:val="009E04A8"/>
    <w:rsid w:val="009E4595"/>
    <w:rsid w:val="009E4AEC"/>
    <w:rsid w:val="009E5BD8"/>
    <w:rsid w:val="009E681E"/>
    <w:rsid w:val="009F430B"/>
    <w:rsid w:val="00A119E6"/>
    <w:rsid w:val="00A20FBC"/>
    <w:rsid w:val="00A31370"/>
    <w:rsid w:val="00A34D6F"/>
    <w:rsid w:val="00A41F91"/>
    <w:rsid w:val="00A63355"/>
    <w:rsid w:val="00A7596D"/>
    <w:rsid w:val="00A80EFE"/>
    <w:rsid w:val="00A963DF"/>
    <w:rsid w:val="00A96D3A"/>
    <w:rsid w:val="00AC0C22"/>
    <w:rsid w:val="00AC3896"/>
    <w:rsid w:val="00AD2CF2"/>
    <w:rsid w:val="00AE2D88"/>
    <w:rsid w:val="00AE6F6F"/>
    <w:rsid w:val="00AF3325"/>
    <w:rsid w:val="00AF34D9"/>
    <w:rsid w:val="00AF5B37"/>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3C05"/>
    <w:rsid w:val="00C47FFD"/>
    <w:rsid w:val="00C51E92"/>
    <w:rsid w:val="00C57E2C"/>
    <w:rsid w:val="00C608B7"/>
    <w:rsid w:val="00C66F24"/>
    <w:rsid w:val="00C76D7F"/>
    <w:rsid w:val="00C813AA"/>
    <w:rsid w:val="00C9291E"/>
    <w:rsid w:val="00CA3F44"/>
    <w:rsid w:val="00CA4E58"/>
    <w:rsid w:val="00CB3771"/>
    <w:rsid w:val="00CB44BF"/>
    <w:rsid w:val="00CB5153"/>
    <w:rsid w:val="00CB56EC"/>
    <w:rsid w:val="00CE076A"/>
    <w:rsid w:val="00CE463D"/>
    <w:rsid w:val="00CE6409"/>
    <w:rsid w:val="00CF7B6D"/>
    <w:rsid w:val="00D10BA0"/>
    <w:rsid w:val="00D21694"/>
    <w:rsid w:val="00D239B4"/>
    <w:rsid w:val="00D24EB5"/>
    <w:rsid w:val="00D35AB9"/>
    <w:rsid w:val="00D41571"/>
    <w:rsid w:val="00D416A0"/>
    <w:rsid w:val="00D47672"/>
    <w:rsid w:val="00D5123C"/>
    <w:rsid w:val="00D55560"/>
    <w:rsid w:val="00D61C5A"/>
    <w:rsid w:val="00D63BFF"/>
    <w:rsid w:val="00D6790C"/>
    <w:rsid w:val="00D73277"/>
    <w:rsid w:val="00D76586"/>
    <w:rsid w:val="00D82657"/>
    <w:rsid w:val="00D87E20"/>
    <w:rsid w:val="00D97EF5"/>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C429C5"/>
  <w15:docId w15:val="{540A99F6-8275-4534-8B63-70D0CB54E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370E"/>
    <w:pPr>
      <w:tabs>
        <w:tab w:val="left" w:pos="794"/>
        <w:tab w:val="left" w:pos="1191"/>
        <w:tab w:val="left" w:pos="1588"/>
        <w:tab w:val="left" w:pos="1985"/>
      </w:tabs>
      <w:overflowPunct w:val="0"/>
      <w:autoSpaceDE w:val="0"/>
      <w:autoSpaceDN w:val="0"/>
      <w:adjustRightInd w:val="0"/>
      <w:spacing w:before="12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aliases w:val="Page No,encabezado,he,header,header odd,header odd1,header odd2"/>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qFormat/>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qFormat/>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uiPriority w:val="39"/>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0F0"/>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aliases w:val="Page No Char,encabezado Char,he Char,header Char,header odd Char,header odd1 Char,header odd2 Char"/>
    <w:basedOn w:val="DefaultParagraphFont"/>
    <w:link w:val="Header"/>
    <w:uiPriority w:val="99"/>
    <w:rsid w:val="001B3D4D"/>
    <w:rPr>
      <w:sz w:val="24"/>
      <w:szCs w:val="22"/>
      <w:lang w:val="en-US" w:eastAsia="en-US"/>
    </w:rPr>
  </w:style>
  <w:style w:type="character" w:styleId="UnresolvedMention">
    <w:name w:val="Unresolved Mention"/>
    <w:basedOn w:val="DefaultParagraphFont"/>
    <w:uiPriority w:val="99"/>
    <w:semiHidden/>
    <w:unhideWhenUsed/>
    <w:rsid w:val="00353E34"/>
    <w:rPr>
      <w:color w:val="605E5C"/>
      <w:shd w:val="clear" w:color="auto" w:fill="E1DFDD"/>
    </w:rPr>
  </w:style>
  <w:style w:type="character" w:customStyle="1" w:styleId="enumlev1Char">
    <w:name w:val="enumlev1 Char"/>
    <w:link w:val="enumlev1"/>
    <w:locked/>
    <w:rsid w:val="009F430B"/>
    <w:rPr>
      <w:sz w:val="24"/>
      <w:szCs w:val="22"/>
      <w:lang w:val="en-US" w:eastAsia="en-US"/>
    </w:rPr>
  </w:style>
  <w:style w:type="paragraph" w:customStyle="1" w:styleId="Normalaftertitle0">
    <w:name w:val="Normal after title"/>
    <w:basedOn w:val="Normal"/>
    <w:next w:val="Normal"/>
    <w:rsid w:val="00CE6409"/>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character" w:customStyle="1" w:styleId="Artref">
    <w:name w:val="Art_ref"/>
    <w:basedOn w:val="DefaultParagraphFont"/>
    <w:rsid w:val="00CE6409"/>
  </w:style>
  <w:style w:type="paragraph" w:customStyle="1" w:styleId="Reasons">
    <w:name w:val="Reasons"/>
    <w:basedOn w:val="Normal"/>
    <w:qFormat/>
    <w:rsid w:val="005B2DE5"/>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R23-WRC23-C-0436/en" TargetMode="External"/><Relationship Id="rId18" Type="http://schemas.openxmlformats.org/officeDocument/2006/relationships/hyperlink" Target="https://www.itu.int/md/R23-WRC23-C-0476/en" TargetMode="External"/><Relationship Id="rId26" Type="http://schemas.openxmlformats.org/officeDocument/2006/relationships/hyperlink" Target="https://www.itu.int/md/R23-WRC23-C-0494/en" TargetMode="External"/><Relationship Id="rId21" Type="http://schemas.openxmlformats.org/officeDocument/2006/relationships/hyperlink" Target="https://www.itu.int/md/R23-WRC23-C-0494/en" TargetMode="External"/><Relationship Id="rId34" Type="http://schemas.openxmlformats.org/officeDocument/2006/relationships/hyperlink" Target="https://www.itu.int/md/R23-WRC23-C-0465/en" TargetMode="External"/><Relationship Id="rId7" Type="http://schemas.openxmlformats.org/officeDocument/2006/relationships/endnotes" Target="endnotes.xml"/><Relationship Id="rId12" Type="http://schemas.openxmlformats.org/officeDocument/2006/relationships/hyperlink" Target="https://www.itu.int/md/R23-WRC23-C-0409/en" TargetMode="External"/><Relationship Id="rId17" Type="http://schemas.openxmlformats.org/officeDocument/2006/relationships/hyperlink" Target="https://www.itu.int/md/R23-WRC23-C-0497/en" TargetMode="External"/><Relationship Id="rId25" Type="http://schemas.openxmlformats.org/officeDocument/2006/relationships/hyperlink" Target="https://www.itu.int/md/R23-WRC23-C-0494/en" TargetMode="External"/><Relationship Id="rId33" Type="http://schemas.openxmlformats.org/officeDocument/2006/relationships/hyperlink" Target="https://www.itu.int/md/R23-WRC23-C-0496/en" TargetMode="External"/><Relationship Id="rId2" Type="http://schemas.openxmlformats.org/officeDocument/2006/relationships/numbering" Target="numbering.xml"/><Relationship Id="rId16" Type="http://schemas.openxmlformats.org/officeDocument/2006/relationships/hyperlink" Target="https://www.itu.int/md/R23-WRC23-C-0497/en" TargetMode="External"/><Relationship Id="rId20" Type="http://schemas.openxmlformats.org/officeDocument/2006/relationships/hyperlink" Target="https://www.itu.int/md/R23-WRC23-C-0494/en" TargetMode="External"/><Relationship Id="rId29" Type="http://schemas.openxmlformats.org/officeDocument/2006/relationships/hyperlink" Target="https://www.itu.int/md/R23-WRC23-C-0495/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itu.int/md/R23-WRC23-C-0494/en" TargetMode="External"/><Relationship Id="rId32" Type="http://schemas.openxmlformats.org/officeDocument/2006/relationships/hyperlink" Target="https://www.itu.int/md/R23-WRC23-C-0422/en"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md/R23-WRC23-C-0497/en" TargetMode="External"/><Relationship Id="rId23" Type="http://schemas.openxmlformats.org/officeDocument/2006/relationships/hyperlink" Target="https://www.itu.int/md/R23-WRC23-C-0494/en" TargetMode="External"/><Relationship Id="rId28" Type="http://schemas.openxmlformats.org/officeDocument/2006/relationships/hyperlink" Target="https://www.itu.int/md/R23-WRC23-C-0494/en" TargetMode="External"/><Relationship Id="rId36" Type="http://schemas.microsoft.com/office/2011/relationships/people" Target="people.xml"/><Relationship Id="rId10" Type="http://schemas.openxmlformats.org/officeDocument/2006/relationships/header" Target="header3.xml"/><Relationship Id="rId19" Type="http://schemas.openxmlformats.org/officeDocument/2006/relationships/hyperlink" Target="https://www.itu.int/md/R23-WRC23-C-0486/en" TargetMode="External"/><Relationship Id="rId31" Type="http://schemas.openxmlformats.org/officeDocument/2006/relationships/hyperlink" Target="https://www.itu.int/md/R23-WRC23-C-0495/en"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itu.int/md/R23-WRC23-C-0485/en" TargetMode="External"/><Relationship Id="rId22" Type="http://schemas.openxmlformats.org/officeDocument/2006/relationships/hyperlink" Target="https://www.itu.int/md/R23-WRC23-C-0494/en" TargetMode="External"/><Relationship Id="rId27" Type="http://schemas.openxmlformats.org/officeDocument/2006/relationships/hyperlink" Target="https://www.itu.int/md/R23-WRC23-C-0494/en" TargetMode="External"/><Relationship Id="rId30" Type="http://schemas.openxmlformats.org/officeDocument/2006/relationships/hyperlink" Target="https://www.itu.int/md/R23-WRC23-C-0420/en" TargetMode="External"/><Relationship Id="rId35"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mailto:br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2387C-DC9E-461E-8AFA-8ECF22AA9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7368</Words>
  <Characters>40555</Characters>
  <Application>Microsoft Office Word</Application>
  <DocSecurity>0</DocSecurity>
  <Lines>337</Lines>
  <Paragraphs>95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47828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Spanish</dc:creator>
  <cp:lastModifiedBy>ITU</cp:lastModifiedBy>
  <cp:revision>3</cp:revision>
  <cp:lastPrinted>2013-03-08T10:15:00Z</cp:lastPrinted>
  <dcterms:created xsi:type="dcterms:W3CDTF">2024-04-24T11:26:00Z</dcterms:created>
  <dcterms:modified xsi:type="dcterms:W3CDTF">2024-04-24T11:27:00Z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