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89" w:type="dxa"/>
        <w:jc w:val="center"/>
        <w:tblLayout w:type="fixed"/>
        <w:tblLook w:val="04A0" w:firstRow="1" w:lastRow="0" w:firstColumn="1" w:lastColumn="0" w:noHBand="0" w:noVBand="1"/>
      </w:tblPr>
      <w:tblGrid>
        <w:gridCol w:w="1526"/>
        <w:gridCol w:w="5528"/>
        <w:gridCol w:w="2835"/>
      </w:tblGrid>
      <w:tr w:rsidR="00E53DCE" w:rsidRPr="007B3DB1" w14:paraId="25D0A385" w14:textId="77777777" w:rsidTr="00306452">
        <w:trPr>
          <w:jc w:val="center"/>
        </w:trPr>
        <w:tc>
          <w:tcPr>
            <w:tcW w:w="9889" w:type="dxa"/>
            <w:gridSpan w:val="3"/>
            <w:shd w:val="clear" w:color="auto" w:fill="auto"/>
          </w:tcPr>
          <w:p w14:paraId="6D9D8315" w14:textId="77777777" w:rsidR="00E53DCE" w:rsidRDefault="00A96D3A" w:rsidP="006160CB">
            <w:pPr>
              <w:spacing w:before="0"/>
              <w:jc w:val="left"/>
              <w:rPr>
                <w:rFonts w:cstheme="minorHAnsi"/>
                <w:b/>
                <w:bCs/>
                <w:color w:val="808080"/>
                <w:sz w:val="28"/>
                <w:szCs w:val="28"/>
                <w:lang w:val="en-GB"/>
              </w:rPr>
            </w:pPr>
            <w:r w:rsidRPr="00415CFA">
              <w:rPr>
                <w:rFonts w:cstheme="minorHAnsi"/>
                <w:b/>
                <w:bCs/>
                <w:color w:val="808080"/>
                <w:sz w:val="28"/>
                <w:szCs w:val="28"/>
                <w:lang w:val="es-ES_tradnl"/>
              </w:rPr>
              <w:t>Oficina de Radiocomunicaciones (BR)</w:t>
            </w:r>
          </w:p>
          <w:p w14:paraId="4EBAAEAB" w14:textId="77777777" w:rsidR="00E53DCE" w:rsidRDefault="00E53DCE" w:rsidP="006160CB">
            <w:pPr>
              <w:spacing w:before="0"/>
              <w:jc w:val="left"/>
              <w:rPr>
                <w:rFonts w:cstheme="minorHAnsi"/>
                <w:b/>
                <w:bCs/>
                <w:color w:val="808080"/>
                <w:sz w:val="28"/>
                <w:szCs w:val="28"/>
                <w:lang w:val="en-GB"/>
              </w:rPr>
            </w:pPr>
          </w:p>
          <w:p w14:paraId="6ACBC1A4" w14:textId="77777777" w:rsidR="00E53DCE" w:rsidRPr="00AF70DA" w:rsidRDefault="00E53DCE" w:rsidP="006160CB">
            <w:pPr>
              <w:spacing w:before="0"/>
              <w:jc w:val="left"/>
              <w:rPr>
                <w:rFonts w:cs="Times New Roman Bold"/>
                <w:b/>
                <w:bCs/>
                <w:color w:val="808080"/>
                <w:sz w:val="28"/>
                <w:szCs w:val="28"/>
                <w:lang w:val="en-GB"/>
              </w:rPr>
            </w:pPr>
          </w:p>
        </w:tc>
      </w:tr>
      <w:tr w:rsidR="00E53DCE" w:rsidRPr="0033029C" w14:paraId="2538D213" w14:textId="77777777" w:rsidTr="00306452">
        <w:trPr>
          <w:jc w:val="center"/>
        </w:trPr>
        <w:tc>
          <w:tcPr>
            <w:tcW w:w="7054" w:type="dxa"/>
            <w:gridSpan w:val="2"/>
            <w:shd w:val="clear" w:color="auto" w:fill="auto"/>
          </w:tcPr>
          <w:p w14:paraId="501DF15E" w14:textId="7406217D" w:rsidR="00E53DCE" w:rsidRPr="001B3D4D" w:rsidRDefault="001B3D4D" w:rsidP="006160CB">
            <w:pPr>
              <w:spacing w:before="0"/>
              <w:jc w:val="left"/>
              <w:rPr>
                <w:szCs w:val="24"/>
                <w:lang w:val="es-ES"/>
              </w:rPr>
            </w:pPr>
            <w:r w:rsidRPr="0075124D">
              <w:rPr>
                <w:lang w:val="es-ES_tradnl"/>
              </w:rPr>
              <w:t>Carta Circular</w:t>
            </w:r>
          </w:p>
          <w:p w14:paraId="27C18B00" w14:textId="6A1FB40D" w:rsidR="00E53DCE" w:rsidRPr="001B3D4D" w:rsidRDefault="00F47D9F" w:rsidP="006160CB">
            <w:pPr>
              <w:spacing w:before="0"/>
              <w:jc w:val="left"/>
              <w:rPr>
                <w:b/>
                <w:bCs/>
                <w:szCs w:val="24"/>
                <w:lang w:val="es-ES"/>
              </w:rPr>
            </w:pPr>
            <w:bookmarkStart w:id="0" w:name="_Hlk162252652"/>
            <w:r w:rsidRPr="00C36A7B">
              <w:rPr>
                <w:b/>
                <w:bCs/>
                <w:szCs w:val="24"/>
                <w:lang w:val="es-ES"/>
              </w:rPr>
              <w:t>CR/</w:t>
            </w:r>
            <w:bookmarkEnd w:id="0"/>
            <w:r w:rsidRPr="00C36A7B">
              <w:rPr>
                <w:b/>
                <w:bCs/>
                <w:szCs w:val="24"/>
                <w:lang w:val="es-ES"/>
              </w:rPr>
              <w:t>505</w:t>
            </w:r>
          </w:p>
        </w:tc>
        <w:tc>
          <w:tcPr>
            <w:tcW w:w="2835" w:type="dxa"/>
            <w:shd w:val="clear" w:color="auto" w:fill="auto"/>
          </w:tcPr>
          <w:p w14:paraId="46FE4F66" w14:textId="12FB78F8" w:rsidR="00E53DCE" w:rsidRPr="002B7EE0" w:rsidRDefault="00F47D9F" w:rsidP="006160CB">
            <w:pPr>
              <w:spacing w:before="0"/>
              <w:jc w:val="right"/>
              <w:rPr>
                <w:szCs w:val="24"/>
                <w:lang w:val="fr-FR"/>
              </w:rPr>
            </w:pPr>
            <w:r w:rsidRPr="00C36A7B">
              <w:rPr>
                <w:szCs w:val="28"/>
                <w:lang w:val="es-ES"/>
              </w:rPr>
              <w:t>26 de abril de 2024</w:t>
            </w:r>
          </w:p>
        </w:tc>
      </w:tr>
      <w:tr w:rsidR="00E53DCE" w:rsidRPr="0033029C" w14:paraId="1C327641" w14:textId="77777777" w:rsidTr="00306452">
        <w:trPr>
          <w:jc w:val="center"/>
        </w:trPr>
        <w:tc>
          <w:tcPr>
            <w:tcW w:w="9889" w:type="dxa"/>
            <w:gridSpan w:val="3"/>
            <w:shd w:val="clear" w:color="auto" w:fill="auto"/>
          </w:tcPr>
          <w:p w14:paraId="0FDFEA76" w14:textId="77777777" w:rsidR="00E53DCE" w:rsidRPr="0033029C" w:rsidRDefault="00E53DCE" w:rsidP="006160CB">
            <w:pPr>
              <w:spacing w:before="0"/>
              <w:jc w:val="left"/>
              <w:rPr>
                <w:rFonts w:cs="Arial"/>
                <w:szCs w:val="24"/>
                <w:lang w:val="en-GB"/>
              </w:rPr>
            </w:pPr>
          </w:p>
        </w:tc>
      </w:tr>
      <w:tr w:rsidR="00E53DCE" w:rsidRPr="0033029C" w14:paraId="36DF29D6" w14:textId="77777777" w:rsidTr="00306452">
        <w:trPr>
          <w:jc w:val="center"/>
        </w:trPr>
        <w:tc>
          <w:tcPr>
            <w:tcW w:w="9889" w:type="dxa"/>
            <w:gridSpan w:val="3"/>
            <w:shd w:val="clear" w:color="auto" w:fill="auto"/>
          </w:tcPr>
          <w:p w14:paraId="56EF56BB" w14:textId="77777777" w:rsidR="00E53DCE" w:rsidRPr="0033029C" w:rsidRDefault="00E53DCE" w:rsidP="006160CB">
            <w:pPr>
              <w:spacing w:before="0"/>
              <w:jc w:val="left"/>
              <w:rPr>
                <w:szCs w:val="24"/>
              </w:rPr>
            </w:pPr>
          </w:p>
        </w:tc>
      </w:tr>
      <w:tr w:rsidR="00E53DCE" w:rsidRPr="009260AD" w14:paraId="1CFBF11D" w14:textId="77777777" w:rsidTr="00306452">
        <w:trPr>
          <w:jc w:val="center"/>
        </w:trPr>
        <w:tc>
          <w:tcPr>
            <w:tcW w:w="9889" w:type="dxa"/>
            <w:gridSpan w:val="3"/>
            <w:shd w:val="clear" w:color="auto" w:fill="auto"/>
          </w:tcPr>
          <w:p w14:paraId="2A54D1C8" w14:textId="77777777" w:rsidR="00E53DCE" w:rsidRPr="0033029C" w:rsidRDefault="00FE4822" w:rsidP="006160CB">
            <w:pPr>
              <w:spacing w:before="0"/>
              <w:jc w:val="left"/>
              <w:rPr>
                <w:b/>
                <w:bCs/>
                <w:szCs w:val="24"/>
                <w:lang w:val="es-ES"/>
              </w:rPr>
            </w:pPr>
            <w:r w:rsidRPr="0033029C">
              <w:rPr>
                <w:b/>
                <w:szCs w:val="24"/>
                <w:lang w:val="es-ES"/>
              </w:rPr>
              <w:t>A las Administraciones de los Estados Miembros de la UIT</w:t>
            </w:r>
          </w:p>
          <w:p w14:paraId="1300B3BC" w14:textId="77777777" w:rsidR="00E53DCE" w:rsidRPr="0033029C" w:rsidRDefault="00E53DCE" w:rsidP="006160CB">
            <w:pPr>
              <w:spacing w:before="0"/>
              <w:jc w:val="left"/>
              <w:rPr>
                <w:b/>
                <w:bCs/>
                <w:szCs w:val="24"/>
                <w:lang w:val="es-ES"/>
              </w:rPr>
            </w:pPr>
          </w:p>
        </w:tc>
      </w:tr>
      <w:tr w:rsidR="00E53DCE" w:rsidRPr="009260AD" w14:paraId="0EAC0140" w14:textId="77777777" w:rsidTr="00306452">
        <w:trPr>
          <w:jc w:val="center"/>
        </w:trPr>
        <w:tc>
          <w:tcPr>
            <w:tcW w:w="9889" w:type="dxa"/>
            <w:gridSpan w:val="3"/>
            <w:shd w:val="clear" w:color="auto" w:fill="auto"/>
          </w:tcPr>
          <w:p w14:paraId="085DB9C2" w14:textId="77777777" w:rsidR="00E53DCE" w:rsidRPr="0033029C" w:rsidRDefault="00E53DCE" w:rsidP="006160CB">
            <w:pPr>
              <w:spacing w:before="0"/>
              <w:jc w:val="left"/>
              <w:rPr>
                <w:szCs w:val="24"/>
                <w:lang w:val="es-ES"/>
              </w:rPr>
            </w:pPr>
          </w:p>
        </w:tc>
      </w:tr>
      <w:tr w:rsidR="00E53DCE" w:rsidRPr="009260AD" w14:paraId="02497946" w14:textId="77777777" w:rsidTr="00306452">
        <w:trPr>
          <w:jc w:val="center"/>
        </w:trPr>
        <w:tc>
          <w:tcPr>
            <w:tcW w:w="9889" w:type="dxa"/>
            <w:gridSpan w:val="3"/>
            <w:shd w:val="clear" w:color="auto" w:fill="auto"/>
          </w:tcPr>
          <w:p w14:paraId="77B8A972" w14:textId="77777777" w:rsidR="00E53DCE" w:rsidRPr="0033029C" w:rsidRDefault="00E53DCE" w:rsidP="006160CB">
            <w:pPr>
              <w:spacing w:before="0"/>
              <w:jc w:val="left"/>
              <w:rPr>
                <w:szCs w:val="24"/>
                <w:lang w:val="es-ES"/>
              </w:rPr>
            </w:pPr>
          </w:p>
        </w:tc>
      </w:tr>
      <w:tr w:rsidR="00E53DCE" w:rsidRPr="009260AD" w14:paraId="748AEDED" w14:textId="77777777" w:rsidTr="00306452">
        <w:trPr>
          <w:jc w:val="center"/>
        </w:trPr>
        <w:tc>
          <w:tcPr>
            <w:tcW w:w="1526" w:type="dxa"/>
            <w:shd w:val="clear" w:color="auto" w:fill="auto"/>
          </w:tcPr>
          <w:p w14:paraId="57BE1379" w14:textId="77777777" w:rsidR="00E53DCE" w:rsidRPr="0033029C" w:rsidRDefault="00311970" w:rsidP="00F47D9F">
            <w:pPr>
              <w:tabs>
                <w:tab w:val="clear" w:pos="1588"/>
                <w:tab w:val="left" w:pos="1560"/>
              </w:tabs>
              <w:spacing w:before="0"/>
              <w:jc w:val="left"/>
              <w:rPr>
                <w:szCs w:val="24"/>
              </w:rPr>
            </w:pPr>
            <w:r>
              <w:rPr>
                <w:szCs w:val="24"/>
              </w:rPr>
              <w:t>Asunto</w:t>
            </w:r>
            <w:r w:rsidRPr="0033029C">
              <w:rPr>
                <w:szCs w:val="24"/>
              </w:rPr>
              <w:t>:</w:t>
            </w:r>
          </w:p>
        </w:tc>
        <w:tc>
          <w:tcPr>
            <w:tcW w:w="8363" w:type="dxa"/>
            <w:gridSpan w:val="2"/>
            <w:vMerge w:val="restart"/>
            <w:shd w:val="clear" w:color="auto" w:fill="auto"/>
          </w:tcPr>
          <w:p w14:paraId="31FDE6C5" w14:textId="18BA73BD" w:rsidR="00E53DCE" w:rsidRPr="00F47D9F" w:rsidRDefault="00F47D9F" w:rsidP="00F47D9F">
            <w:pPr>
              <w:tabs>
                <w:tab w:val="clear" w:pos="1588"/>
                <w:tab w:val="left" w:pos="1560"/>
              </w:tabs>
              <w:spacing w:before="0"/>
              <w:jc w:val="left"/>
              <w:rPr>
                <w:b/>
                <w:bCs/>
                <w:szCs w:val="24"/>
                <w:lang w:val="es-ES"/>
              </w:rPr>
            </w:pPr>
            <w:r w:rsidRPr="00C36A7B">
              <w:rPr>
                <w:b/>
                <w:bCs/>
                <w:szCs w:val="24"/>
                <w:lang w:val="es-ES"/>
              </w:rPr>
              <w:t>Interrupción en la disponibilidad de los proyectos de base de datos AP30-30A/E Parte</w:t>
            </w:r>
            <w:r>
              <w:rPr>
                <w:b/>
                <w:bCs/>
                <w:szCs w:val="24"/>
                <w:lang w:val="es-ES"/>
              </w:rPr>
              <w:t> </w:t>
            </w:r>
            <w:r w:rsidRPr="00C36A7B">
              <w:rPr>
                <w:b/>
                <w:bCs/>
                <w:szCs w:val="24"/>
                <w:lang w:val="es-ES"/>
              </w:rPr>
              <w:t>D y AP30-30A/F/D en la BR IFIC antes de la publicación de las Secciones Especiales AP30-30A/E Parte D y AP30-30A/F/D de conformidad con las disposiciones de los Apéndices 30 y 30ª</w:t>
            </w:r>
          </w:p>
        </w:tc>
      </w:tr>
      <w:tr w:rsidR="00E53DCE" w:rsidRPr="009260AD" w14:paraId="4A2E2FEC" w14:textId="77777777" w:rsidTr="00306452">
        <w:trPr>
          <w:jc w:val="center"/>
        </w:trPr>
        <w:tc>
          <w:tcPr>
            <w:tcW w:w="1526" w:type="dxa"/>
            <w:shd w:val="clear" w:color="auto" w:fill="auto"/>
          </w:tcPr>
          <w:p w14:paraId="10D69F8D" w14:textId="77777777" w:rsidR="00E53DCE" w:rsidRPr="00F47D9F" w:rsidRDefault="00E53DCE" w:rsidP="00F47D9F">
            <w:pPr>
              <w:tabs>
                <w:tab w:val="clear" w:pos="1588"/>
                <w:tab w:val="left" w:pos="1560"/>
              </w:tabs>
              <w:spacing w:before="0"/>
              <w:jc w:val="left"/>
              <w:rPr>
                <w:b/>
                <w:bCs/>
                <w:szCs w:val="24"/>
                <w:lang w:val="es-ES"/>
              </w:rPr>
            </w:pPr>
          </w:p>
        </w:tc>
        <w:tc>
          <w:tcPr>
            <w:tcW w:w="8363" w:type="dxa"/>
            <w:gridSpan w:val="2"/>
            <w:vMerge/>
            <w:shd w:val="clear" w:color="auto" w:fill="auto"/>
          </w:tcPr>
          <w:p w14:paraId="14B3A0D8" w14:textId="77777777" w:rsidR="00E53DCE" w:rsidRPr="00F47D9F" w:rsidRDefault="00E53DCE" w:rsidP="00F47D9F">
            <w:pPr>
              <w:tabs>
                <w:tab w:val="clear" w:pos="1588"/>
                <w:tab w:val="left" w:pos="1560"/>
              </w:tabs>
              <w:spacing w:before="0"/>
              <w:jc w:val="left"/>
              <w:rPr>
                <w:b/>
                <w:bCs/>
                <w:szCs w:val="24"/>
                <w:lang w:val="es-ES"/>
              </w:rPr>
            </w:pPr>
          </w:p>
        </w:tc>
      </w:tr>
      <w:tr w:rsidR="00E53DCE" w:rsidRPr="009260AD" w14:paraId="0982CFDB" w14:textId="77777777" w:rsidTr="00306452">
        <w:trPr>
          <w:jc w:val="center"/>
        </w:trPr>
        <w:tc>
          <w:tcPr>
            <w:tcW w:w="1526" w:type="dxa"/>
            <w:shd w:val="clear" w:color="auto" w:fill="auto"/>
          </w:tcPr>
          <w:p w14:paraId="68F14613" w14:textId="77777777" w:rsidR="00E53DCE" w:rsidRPr="00F47D9F" w:rsidRDefault="00E53DCE" w:rsidP="00F47D9F">
            <w:pPr>
              <w:tabs>
                <w:tab w:val="clear" w:pos="1588"/>
                <w:tab w:val="left" w:pos="1560"/>
              </w:tabs>
              <w:spacing w:before="0"/>
              <w:jc w:val="left"/>
              <w:rPr>
                <w:b/>
                <w:bCs/>
                <w:szCs w:val="24"/>
                <w:lang w:val="es-ES"/>
              </w:rPr>
            </w:pPr>
          </w:p>
        </w:tc>
        <w:tc>
          <w:tcPr>
            <w:tcW w:w="8363" w:type="dxa"/>
            <w:gridSpan w:val="2"/>
            <w:vMerge/>
            <w:shd w:val="clear" w:color="auto" w:fill="auto"/>
          </w:tcPr>
          <w:p w14:paraId="0B1A42D6" w14:textId="77777777" w:rsidR="00E53DCE" w:rsidRPr="00F47D9F" w:rsidRDefault="00E53DCE" w:rsidP="00F47D9F">
            <w:pPr>
              <w:tabs>
                <w:tab w:val="clear" w:pos="1588"/>
                <w:tab w:val="left" w:pos="1560"/>
              </w:tabs>
              <w:spacing w:before="0"/>
              <w:jc w:val="left"/>
              <w:rPr>
                <w:b/>
                <w:bCs/>
                <w:szCs w:val="24"/>
                <w:lang w:val="es-ES"/>
              </w:rPr>
            </w:pPr>
          </w:p>
        </w:tc>
      </w:tr>
      <w:tr w:rsidR="00E53DCE" w:rsidRPr="009260AD" w14:paraId="3880DB92" w14:textId="77777777" w:rsidTr="00306452">
        <w:trPr>
          <w:jc w:val="center"/>
        </w:trPr>
        <w:tc>
          <w:tcPr>
            <w:tcW w:w="9889" w:type="dxa"/>
            <w:gridSpan w:val="3"/>
            <w:shd w:val="clear" w:color="auto" w:fill="auto"/>
          </w:tcPr>
          <w:p w14:paraId="7A6CBC4D" w14:textId="77777777" w:rsidR="00E53DCE" w:rsidRPr="00F47D9F" w:rsidRDefault="00E53DCE" w:rsidP="00F47D9F">
            <w:pPr>
              <w:tabs>
                <w:tab w:val="clear" w:pos="1588"/>
                <w:tab w:val="left" w:pos="1560"/>
              </w:tabs>
              <w:spacing w:before="0"/>
              <w:jc w:val="left"/>
              <w:rPr>
                <w:szCs w:val="24"/>
                <w:lang w:val="es-ES"/>
              </w:rPr>
            </w:pPr>
          </w:p>
        </w:tc>
      </w:tr>
      <w:tr w:rsidR="00E53DCE" w:rsidRPr="009260AD" w14:paraId="017F9735" w14:textId="77777777" w:rsidTr="00306452">
        <w:trPr>
          <w:jc w:val="center"/>
        </w:trPr>
        <w:tc>
          <w:tcPr>
            <w:tcW w:w="9889" w:type="dxa"/>
            <w:gridSpan w:val="3"/>
            <w:shd w:val="clear" w:color="auto" w:fill="auto"/>
          </w:tcPr>
          <w:p w14:paraId="427444C8" w14:textId="77777777" w:rsidR="00E53DCE" w:rsidRPr="00F47D9F" w:rsidRDefault="00E53DCE" w:rsidP="00F47D9F">
            <w:pPr>
              <w:spacing w:before="0"/>
              <w:jc w:val="left"/>
              <w:rPr>
                <w:b/>
                <w:bCs/>
                <w:szCs w:val="24"/>
                <w:lang w:val="es-ES"/>
              </w:rPr>
            </w:pPr>
          </w:p>
        </w:tc>
      </w:tr>
    </w:tbl>
    <w:p w14:paraId="17822ADB" w14:textId="645F7DC8" w:rsidR="00F47D9F" w:rsidRPr="00C36A7B" w:rsidRDefault="00F47D9F" w:rsidP="009260AD">
      <w:pPr>
        <w:tabs>
          <w:tab w:val="clear" w:pos="794"/>
          <w:tab w:val="clear" w:pos="1191"/>
          <w:tab w:val="clear" w:pos="1588"/>
          <w:tab w:val="clear" w:pos="1985"/>
        </w:tabs>
        <w:rPr>
          <w:rFonts w:eastAsia="SimSun"/>
          <w:szCs w:val="24"/>
          <w:lang w:val="es-ES"/>
        </w:rPr>
      </w:pPr>
      <w:r w:rsidRPr="00C36A7B">
        <w:rPr>
          <w:rFonts w:eastAsia="SimSun"/>
          <w:szCs w:val="24"/>
          <w:lang w:val="es-ES"/>
        </w:rPr>
        <w:t>Actualmente, después del plazo para la formulación de observaciones, la Oficina establece, sobre la base de las inscripciones que obran en su poder, un proyecto de base de datos AP30-30A/E Parte</w:t>
      </w:r>
      <w:r>
        <w:rPr>
          <w:rFonts w:eastAsia="SimSun"/>
          <w:szCs w:val="24"/>
          <w:lang w:val="es-ES"/>
        </w:rPr>
        <w:t> </w:t>
      </w:r>
      <w:r w:rsidRPr="00C36A7B">
        <w:rPr>
          <w:rFonts w:eastAsia="SimSun"/>
          <w:szCs w:val="24"/>
          <w:lang w:val="es-ES"/>
        </w:rPr>
        <w:t xml:space="preserve">D para una red de satélites notificada en virtud de la Sección </w:t>
      </w:r>
      <w:r w:rsidRPr="00C36A7B">
        <w:rPr>
          <w:rFonts w:eastAsia="SimSun"/>
          <w:szCs w:val="24"/>
          <w:lang w:val="es-ES" w:eastAsia="zh-CN"/>
        </w:rPr>
        <w:t>4.2 del Artículo</w:t>
      </w:r>
      <w:r>
        <w:rPr>
          <w:rFonts w:eastAsia="SimSun"/>
          <w:szCs w:val="24"/>
          <w:lang w:val="es-ES" w:eastAsia="zh-CN"/>
        </w:rPr>
        <w:t> </w:t>
      </w:r>
      <w:r w:rsidRPr="00C36A7B">
        <w:rPr>
          <w:rFonts w:eastAsia="SimSun"/>
          <w:szCs w:val="24"/>
          <w:lang w:val="es-ES" w:eastAsia="zh-CN"/>
        </w:rPr>
        <w:t>4 de los Apéndices</w:t>
      </w:r>
      <w:r>
        <w:rPr>
          <w:rFonts w:eastAsia="SimSun"/>
          <w:szCs w:val="24"/>
          <w:lang w:val="es-ES" w:eastAsia="zh-CN"/>
        </w:rPr>
        <w:t> </w:t>
      </w:r>
      <w:r w:rsidRPr="00C36A7B">
        <w:rPr>
          <w:rFonts w:eastAsia="SimSun"/>
          <w:b/>
          <w:bCs/>
          <w:szCs w:val="24"/>
          <w:lang w:val="es-ES" w:eastAsia="zh-CN"/>
        </w:rPr>
        <w:t>30</w:t>
      </w:r>
      <w:r w:rsidRPr="00C36A7B">
        <w:rPr>
          <w:rFonts w:eastAsia="SimSun"/>
          <w:szCs w:val="24"/>
          <w:lang w:val="es-ES" w:eastAsia="zh-CN"/>
        </w:rPr>
        <w:t xml:space="preserve"> y </w:t>
      </w:r>
      <w:r w:rsidRPr="00C36A7B">
        <w:rPr>
          <w:rFonts w:eastAsia="SimSun"/>
          <w:b/>
          <w:bCs/>
          <w:szCs w:val="24"/>
          <w:lang w:val="es-ES" w:eastAsia="zh-CN"/>
        </w:rPr>
        <w:t>30A</w:t>
      </w:r>
      <w:r w:rsidRPr="00C36A7B">
        <w:rPr>
          <w:rFonts w:eastAsia="SimSun"/>
          <w:szCs w:val="24"/>
          <w:lang w:val="es-ES" w:eastAsia="zh-CN"/>
        </w:rPr>
        <w:t>, o un proyecto de base de datos AP30-30A/F/D para una red en virtud del Artículo</w:t>
      </w:r>
      <w:r>
        <w:rPr>
          <w:rFonts w:eastAsia="SimSun"/>
          <w:szCs w:val="24"/>
          <w:lang w:val="es-ES" w:eastAsia="zh-CN"/>
        </w:rPr>
        <w:t> </w:t>
      </w:r>
      <w:r w:rsidRPr="00C36A7B">
        <w:rPr>
          <w:rFonts w:eastAsia="SimSun"/>
          <w:szCs w:val="24"/>
          <w:lang w:val="es-ES" w:eastAsia="zh-CN"/>
        </w:rPr>
        <w:t xml:space="preserve">2A de dichos Apéndices en la Región 2. (En lo sucesivo, se hará referencia al procedimiento como </w:t>
      </w:r>
      <w:r w:rsidRPr="00C36A7B">
        <w:rPr>
          <w:rFonts w:eastAsia="SimSun"/>
          <w:i/>
          <w:iCs/>
          <w:szCs w:val="24"/>
          <w:lang w:val="es-ES" w:eastAsia="zh-CN"/>
        </w:rPr>
        <w:t>el proyecto de procedimiento Parte D</w:t>
      </w:r>
      <w:r w:rsidRPr="00C36A7B">
        <w:rPr>
          <w:rFonts w:eastAsia="SimSun"/>
          <w:szCs w:val="24"/>
          <w:lang w:val="es-ES" w:eastAsia="zh-CN"/>
        </w:rPr>
        <w:t xml:space="preserve">, y a las bases de datos como </w:t>
      </w:r>
      <w:r w:rsidRPr="00C36A7B">
        <w:rPr>
          <w:rFonts w:eastAsia="SimSun"/>
          <w:i/>
          <w:iCs/>
          <w:szCs w:val="24"/>
          <w:lang w:val="es-ES" w:eastAsia="zh-CN"/>
        </w:rPr>
        <w:t>el proyecto de bases de datos Parte D</w:t>
      </w:r>
      <w:r w:rsidRPr="00C36A7B">
        <w:rPr>
          <w:rFonts w:eastAsia="SimSun"/>
          <w:szCs w:val="24"/>
          <w:lang w:val="es-ES" w:eastAsia="zh-CN"/>
        </w:rPr>
        <w:t>)</w:t>
      </w:r>
      <w:r w:rsidRPr="00C36A7B">
        <w:rPr>
          <w:rFonts w:eastAsia="SimSun"/>
          <w:szCs w:val="24"/>
          <w:lang w:val="es-ES"/>
        </w:rPr>
        <w:t xml:space="preserve">. </w:t>
      </w:r>
    </w:p>
    <w:p w14:paraId="77B2C263" w14:textId="77777777" w:rsidR="00F47D9F" w:rsidRPr="00C36A7B" w:rsidRDefault="00F47D9F" w:rsidP="009260AD">
      <w:pPr>
        <w:rPr>
          <w:rFonts w:eastAsia="SimSun"/>
          <w:szCs w:val="24"/>
          <w:lang w:val="es-ES"/>
        </w:rPr>
      </w:pPr>
      <w:r w:rsidRPr="00C36A7B">
        <w:rPr>
          <w:rFonts w:eastAsia="SimSun"/>
          <w:szCs w:val="24"/>
          <w:lang w:val="es-ES"/>
        </w:rPr>
        <w:t>En esas bases de datos se enumeran las administraciones que han manifestado su desacuerdo a la Oficina en el plazo reglamentario de cuatro meses, sin demoras a menos que se reciba una petición de asistencia.</w:t>
      </w:r>
    </w:p>
    <w:p w14:paraId="1FD83DF6" w14:textId="77777777" w:rsidR="00F47D9F" w:rsidRPr="00C36A7B" w:rsidRDefault="00F47D9F" w:rsidP="009260AD">
      <w:pPr>
        <w:rPr>
          <w:rFonts w:eastAsia="SimSun"/>
          <w:szCs w:val="24"/>
          <w:lang w:val="es-ES"/>
        </w:rPr>
      </w:pPr>
      <w:r w:rsidRPr="00C36A7B">
        <w:rPr>
          <w:rFonts w:eastAsia="SimSun"/>
          <w:szCs w:val="24"/>
          <w:lang w:val="es-ES"/>
        </w:rPr>
        <w:t xml:space="preserve">Antes de publicar oficialmente la información anterior en las Secciones Especiales, la Oficina envía un mensaje de fax para solicitar a la administración notificante de la red de satélites que le informe de toda observación adicional remitida por las administraciones afectadas, cuya copia no se haya recibido en la Oficina. </w:t>
      </w:r>
    </w:p>
    <w:p w14:paraId="45CDD2B8" w14:textId="1D431E38" w:rsidR="00F47D9F" w:rsidRPr="00C36A7B" w:rsidRDefault="00F47D9F" w:rsidP="009260AD">
      <w:pPr>
        <w:rPr>
          <w:rFonts w:eastAsia="SimSun"/>
          <w:szCs w:val="24"/>
          <w:lang w:val="es-ES"/>
        </w:rPr>
      </w:pPr>
      <w:r w:rsidRPr="00C36A7B">
        <w:rPr>
          <w:rFonts w:eastAsia="SimSun"/>
          <w:szCs w:val="24"/>
          <w:lang w:val="es-ES"/>
        </w:rPr>
        <w:t>Se espera que la administración notificante actualice en consecuencia el proyecto de bases de datos Parte D mediante el soporte informático SpaceCom, y que lo envíe a la Oficina en el plazo de</w:t>
      </w:r>
      <w:r>
        <w:rPr>
          <w:rFonts w:eastAsia="SimSun"/>
          <w:szCs w:val="24"/>
          <w:lang w:val="es-ES"/>
        </w:rPr>
        <w:t> </w:t>
      </w:r>
      <w:r w:rsidRPr="00C36A7B">
        <w:rPr>
          <w:rFonts w:eastAsia="SimSun"/>
          <w:szCs w:val="24"/>
          <w:lang w:val="es-ES"/>
        </w:rPr>
        <w:t>30</w:t>
      </w:r>
      <w:r>
        <w:rPr>
          <w:rFonts w:eastAsia="SimSun"/>
          <w:szCs w:val="24"/>
          <w:lang w:val="es-ES"/>
        </w:rPr>
        <w:t> </w:t>
      </w:r>
      <w:r w:rsidRPr="00C36A7B">
        <w:rPr>
          <w:rFonts w:eastAsia="SimSun"/>
          <w:szCs w:val="24"/>
          <w:lang w:val="es-ES"/>
        </w:rPr>
        <w:t>días contados a partir de la fecha de envío del mensaje de fax informativo sobre el proyecto de la Parte</w:t>
      </w:r>
      <w:r>
        <w:rPr>
          <w:rFonts w:eastAsia="SimSun"/>
          <w:szCs w:val="24"/>
          <w:lang w:val="es-ES"/>
        </w:rPr>
        <w:t> </w:t>
      </w:r>
      <w:r w:rsidRPr="00C36A7B">
        <w:rPr>
          <w:rFonts w:eastAsia="SimSun"/>
          <w:szCs w:val="24"/>
          <w:lang w:val="es-ES"/>
        </w:rPr>
        <w:t xml:space="preserve">D. La Oficina ha puesto en marcha ese proyecto de procedimiento Parte D, que no se establece como obligatorio en los Apéndices </w:t>
      </w:r>
      <w:r w:rsidRPr="00C36A7B">
        <w:rPr>
          <w:rFonts w:eastAsia="SimSun"/>
          <w:b/>
          <w:bCs/>
          <w:szCs w:val="24"/>
          <w:lang w:val="es-ES"/>
        </w:rPr>
        <w:t xml:space="preserve">30 </w:t>
      </w:r>
      <w:r w:rsidRPr="00C36A7B">
        <w:rPr>
          <w:rFonts w:eastAsia="SimSun"/>
          <w:szCs w:val="24"/>
          <w:lang w:val="es-ES"/>
        </w:rPr>
        <w:t xml:space="preserve">y </w:t>
      </w:r>
      <w:r w:rsidRPr="00C36A7B">
        <w:rPr>
          <w:rFonts w:eastAsia="SimSun"/>
          <w:b/>
          <w:bCs/>
          <w:szCs w:val="24"/>
          <w:lang w:val="es-ES"/>
        </w:rPr>
        <w:t>30A</w:t>
      </w:r>
      <w:r w:rsidRPr="00C36A7B">
        <w:rPr>
          <w:rFonts w:eastAsia="SimSun"/>
          <w:szCs w:val="24"/>
          <w:lang w:val="es-ES"/>
        </w:rPr>
        <w:t xml:space="preserve"> del Reglamento de Radiocomunicaciones, con objeto de brindar a la administración notificante la oportunidad de verificar las observaciones de otras administraciones y añadir aquellas que no ha recibido la Oficina antes de las publicaciones oficiales (AP30-30A/E Parte D y AP30-30A/F/D (para la Región 2)).</w:t>
      </w:r>
    </w:p>
    <w:p w14:paraId="0419BA35" w14:textId="7B745A54" w:rsidR="00F47D9F" w:rsidRPr="00C36A7B" w:rsidRDefault="00F47D9F" w:rsidP="009260AD">
      <w:pPr>
        <w:rPr>
          <w:rFonts w:eastAsia="SimSun"/>
          <w:szCs w:val="24"/>
          <w:lang w:val="es-ES"/>
        </w:rPr>
      </w:pPr>
      <w:r w:rsidRPr="00C36A7B">
        <w:rPr>
          <w:rFonts w:eastAsia="SimSun"/>
          <w:szCs w:val="24"/>
          <w:lang w:val="es-ES"/>
        </w:rPr>
        <w:t>En el periodo 2003-2024, de las 219 redes de satélites para las que se publicó una Sección Especial AP30-30A/E Parte</w:t>
      </w:r>
      <w:r>
        <w:rPr>
          <w:rFonts w:eastAsia="SimSun"/>
          <w:szCs w:val="24"/>
          <w:lang w:val="es-ES"/>
        </w:rPr>
        <w:t> </w:t>
      </w:r>
      <w:r w:rsidRPr="00C36A7B">
        <w:rPr>
          <w:rFonts w:eastAsia="SimSun"/>
          <w:szCs w:val="24"/>
          <w:lang w:val="es-ES"/>
        </w:rPr>
        <w:t>D o AP30-30A/F/D (para la Región 2) y se transmitió un mensaje de fax y una base de datos sobre un proyecto de la Parte D, únicamente 49 redes de satélites correspondientes a siete administraciones notificantes enviaron observaciones a la Oficina sobre la información del proyecto de la Parte D. En todos esos casos, las conclusiones de la Oficina se validaron por medio del soporte informático SpaceCom sin solicitudes de modificación o adición.</w:t>
      </w:r>
    </w:p>
    <w:p w14:paraId="6A09432A" w14:textId="77777777" w:rsidR="00F47D9F" w:rsidRPr="00C36A7B" w:rsidRDefault="00F47D9F" w:rsidP="009260AD">
      <w:pPr>
        <w:rPr>
          <w:rFonts w:eastAsia="SimSun"/>
          <w:szCs w:val="24"/>
          <w:lang w:val="es-ES"/>
        </w:rPr>
      </w:pPr>
      <w:r w:rsidRPr="00C36A7B">
        <w:rPr>
          <w:rFonts w:eastAsia="SimSun"/>
          <w:szCs w:val="24"/>
          <w:lang w:val="es-ES"/>
        </w:rPr>
        <w:lastRenderedPageBreak/>
        <w:t>También conviene señalar que existía un proceso similar para las secciones especiales CR/D y que la CMR-19 respaldó una iniciativa de la Oficina para interrumpir la disponibilidad de los proyectos de base de datos CR/D en la BR IFIC.</w:t>
      </w:r>
    </w:p>
    <w:p w14:paraId="0062A024" w14:textId="77777777" w:rsidR="00F47D9F" w:rsidRPr="00C36A7B" w:rsidRDefault="00F47D9F" w:rsidP="009260AD">
      <w:pPr>
        <w:rPr>
          <w:rFonts w:eastAsia="SimSun"/>
          <w:szCs w:val="24"/>
          <w:lang w:val="es-ES"/>
        </w:rPr>
      </w:pPr>
      <w:r w:rsidRPr="00C36A7B">
        <w:rPr>
          <w:rFonts w:eastAsia="SimSun"/>
          <w:szCs w:val="24"/>
          <w:lang w:val="es-ES" w:eastAsia="zh-CN"/>
        </w:rPr>
        <w:t xml:space="preserve">Por lo tanto, la Oficina entiende que las administraciones ya están familiarizadas con el </w:t>
      </w:r>
      <w:r w:rsidRPr="00C36A7B">
        <w:rPr>
          <w:rFonts w:eastAsia="SimSun"/>
          <w:szCs w:val="24"/>
          <w:lang w:val="es-ES"/>
        </w:rPr>
        <w:t>soporte informático SpaceCom y que es poco probable que cometan errores al presentar sus observaciones a la Oficina, especialmente tras la introducción del sistema e-Submission.</w:t>
      </w:r>
    </w:p>
    <w:p w14:paraId="62A63E8C" w14:textId="77777777" w:rsidR="00F47D9F" w:rsidRPr="00C36A7B" w:rsidRDefault="00F47D9F" w:rsidP="009260AD">
      <w:pPr>
        <w:rPr>
          <w:rFonts w:eastAsia="SimSun"/>
          <w:szCs w:val="24"/>
          <w:lang w:val="es-ES"/>
        </w:rPr>
      </w:pPr>
      <w:r w:rsidRPr="00C36A7B">
        <w:rPr>
          <w:rFonts w:eastAsia="SimSun"/>
          <w:szCs w:val="24"/>
          <w:lang w:val="es-ES"/>
        </w:rPr>
        <w:t>Habida cuenta de lo anterior y de los notables recursos de la Oficina necesarios para ese proceso, el proyecto de procedimiento Parte D, en virtud del cual la administración notificante puede verificar las observaciones recibidas antes de las publicaciones oficiales, no se considera necesario y la Oficina dejará de aplicarlo en las redes de satélites cuya publicación sea posterior al 1 de mayo de</w:t>
      </w:r>
      <w:r w:rsidRPr="00C36A7B">
        <w:rPr>
          <w:rFonts w:eastAsia="SimSun"/>
          <w:szCs w:val="24"/>
          <w:vertAlign w:val="superscript"/>
          <w:lang w:val="es-ES"/>
        </w:rPr>
        <w:t xml:space="preserve"> </w:t>
      </w:r>
      <w:r w:rsidRPr="00C36A7B">
        <w:rPr>
          <w:rFonts w:eastAsia="SimSun"/>
          <w:szCs w:val="24"/>
          <w:lang w:val="es-ES"/>
        </w:rPr>
        <w:t>2024.</w:t>
      </w:r>
    </w:p>
    <w:p w14:paraId="1EBA66EA" w14:textId="77777777" w:rsidR="00F47D9F" w:rsidRPr="00C36A7B" w:rsidRDefault="00F47D9F" w:rsidP="009260AD">
      <w:pPr>
        <w:rPr>
          <w:rFonts w:eastAsia="SimSun"/>
          <w:szCs w:val="24"/>
          <w:lang w:val="es-ES"/>
        </w:rPr>
      </w:pPr>
      <w:r w:rsidRPr="00C36A7B">
        <w:rPr>
          <w:rFonts w:eastAsia="SimSun"/>
          <w:szCs w:val="24"/>
          <w:lang w:val="es-ES"/>
        </w:rPr>
        <w:t>Este cambio no sólo contribuirá a disminuir la carga de trabajo de la Oficina, sino que también agilizará todo el proceso de publicación de la Parte D. Si una administración solicita una modificación/adición a la lista de desacuerdos recibidos por la Oficina, dicha solicitud se tratará como una modificación de la publicación.</w:t>
      </w:r>
    </w:p>
    <w:p w14:paraId="700AF001" w14:textId="77777777" w:rsidR="00F47D9F" w:rsidRPr="00C36A7B" w:rsidRDefault="00F47D9F" w:rsidP="009260AD">
      <w:pPr>
        <w:tabs>
          <w:tab w:val="clear" w:pos="794"/>
          <w:tab w:val="clear" w:pos="1191"/>
          <w:tab w:val="clear" w:pos="1588"/>
          <w:tab w:val="clear" w:pos="1985"/>
          <w:tab w:val="left" w:pos="900"/>
        </w:tabs>
        <w:spacing w:before="240"/>
        <w:rPr>
          <w:rFonts w:asciiTheme="minorHAnsi" w:hAnsiTheme="minorHAnsi" w:cstheme="majorBidi"/>
          <w:szCs w:val="24"/>
          <w:lang w:val="es-ES"/>
        </w:rPr>
      </w:pPr>
      <w:r w:rsidRPr="00C36A7B">
        <w:rPr>
          <w:szCs w:val="24"/>
          <w:lang w:val="es-ES"/>
        </w:rPr>
        <w:t xml:space="preserve">La Oficina queda a su disposición, a través de la dirección </w:t>
      </w:r>
      <w:hyperlink r:id="rId8" w:history="1">
        <w:r w:rsidRPr="00C36A7B">
          <w:rPr>
            <w:rStyle w:val="Hyperlink"/>
            <w:szCs w:val="24"/>
            <w:lang w:val="es-ES"/>
          </w:rPr>
          <w:t>brmail@itu.int</w:t>
        </w:r>
      </w:hyperlink>
      <w:r w:rsidRPr="00C36A7B">
        <w:rPr>
          <w:rStyle w:val="Hyperlink"/>
          <w:szCs w:val="24"/>
          <w:lang w:val="es-ES"/>
        </w:rPr>
        <w:t xml:space="preserve"> </w:t>
      </w:r>
      <w:r w:rsidRPr="00C36A7B">
        <w:rPr>
          <w:szCs w:val="24"/>
          <w:lang w:val="es-ES"/>
        </w:rPr>
        <w:t xml:space="preserve">para cualquier aclaración o asistencia que pueda necesitar respecto de los asuntos tratados en la presente Carta Circular. </w:t>
      </w:r>
    </w:p>
    <w:p w14:paraId="6EA63DC3" w14:textId="77777777" w:rsidR="00F47D9F" w:rsidRPr="00C36A7B" w:rsidRDefault="00F47D9F" w:rsidP="00F47D9F">
      <w:pPr>
        <w:tabs>
          <w:tab w:val="clear" w:pos="794"/>
          <w:tab w:val="clear" w:pos="1191"/>
          <w:tab w:val="clear" w:pos="1588"/>
          <w:tab w:val="clear" w:pos="1985"/>
          <w:tab w:val="left" w:pos="0"/>
        </w:tabs>
        <w:spacing w:before="1200" w:line="240" w:lineRule="auto"/>
        <w:jc w:val="lowKashida"/>
        <w:rPr>
          <w:rFonts w:asciiTheme="minorHAnsi" w:eastAsiaTheme="majorEastAsia" w:hAnsiTheme="minorHAnsi" w:cstheme="minorHAnsi"/>
          <w:szCs w:val="24"/>
          <w:lang w:val="es-ES"/>
        </w:rPr>
      </w:pPr>
      <w:r w:rsidRPr="00C36A7B">
        <w:rPr>
          <w:rFonts w:asciiTheme="minorHAnsi" w:eastAsiaTheme="majorEastAsia" w:hAnsiTheme="minorHAnsi" w:cstheme="minorHAnsi"/>
          <w:szCs w:val="24"/>
          <w:lang w:val="es-ES"/>
        </w:rPr>
        <w:t>Mario Maniewicz</w:t>
      </w:r>
    </w:p>
    <w:p w14:paraId="7A9C5527" w14:textId="77777777" w:rsidR="00F47D9F" w:rsidRPr="00C36A7B" w:rsidRDefault="00F47D9F" w:rsidP="00F47D9F">
      <w:pPr>
        <w:tabs>
          <w:tab w:val="clear" w:pos="794"/>
          <w:tab w:val="clear" w:pos="1191"/>
          <w:tab w:val="clear" w:pos="1588"/>
          <w:tab w:val="clear" w:pos="1985"/>
          <w:tab w:val="left" w:pos="0"/>
        </w:tabs>
        <w:spacing w:before="0" w:line="240" w:lineRule="auto"/>
        <w:jc w:val="lowKashida"/>
        <w:rPr>
          <w:rFonts w:asciiTheme="minorHAnsi" w:eastAsiaTheme="majorEastAsia" w:hAnsiTheme="minorHAnsi" w:cstheme="minorHAnsi"/>
          <w:szCs w:val="24"/>
          <w:lang w:val="es-ES"/>
        </w:rPr>
      </w:pPr>
      <w:r w:rsidRPr="00C36A7B">
        <w:rPr>
          <w:rFonts w:asciiTheme="minorHAnsi" w:eastAsiaTheme="majorEastAsia" w:hAnsiTheme="minorHAnsi" w:cstheme="minorHAnsi"/>
          <w:szCs w:val="24"/>
          <w:lang w:val="es-ES"/>
        </w:rPr>
        <w:t>Director</w:t>
      </w:r>
    </w:p>
    <w:p w14:paraId="601FF1D7" w14:textId="77777777" w:rsidR="00F47D9F" w:rsidRPr="00C36A7B" w:rsidRDefault="00F47D9F" w:rsidP="00F47D9F">
      <w:pPr>
        <w:pStyle w:val="toc0"/>
        <w:spacing w:before="2280" w:after="120"/>
        <w:jc w:val="lowKashida"/>
        <w:rPr>
          <w:rFonts w:asciiTheme="minorHAnsi" w:eastAsiaTheme="majorEastAsia" w:hAnsiTheme="minorHAnsi" w:cstheme="minorHAnsi"/>
          <w:bCs/>
          <w:sz w:val="18"/>
          <w:szCs w:val="18"/>
          <w:u w:val="single"/>
          <w:lang w:val="es-ES"/>
        </w:rPr>
      </w:pPr>
      <w:r w:rsidRPr="00C36A7B">
        <w:rPr>
          <w:rFonts w:asciiTheme="minorHAnsi" w:eastAsiaTheme="majorEastAsia" w:hAnsiTheme="minorHAnsi" w:cstheme="minorHAnsi"/>
          <w:bCs/>
          <w:sz w:val="18"/>
          <w:szCs w:val="18"/>
          <w:u w:val="single"/>
          <w:lang w:val="es-ES"/>
        </w:rPr>
        <w:t>Distribución:</w:t>
      </w:r>
    </w:p>
    <w:p w14:paraId="4CF386C6" w14:textId="77777777" w:rsidR="00F47D9F" w:rsidRPr="00F47D9F" w:rsidRDefault="00F47D9F" w:rsidP="00116DC2">
      <w:pPr>
        <w:pStyle w:val="enumlev1"/>
        <w:numPr>
          <w:ilvl w:val="0"/>
          <w:numId w:val="3"/>
        </w:numPr>
        <w:tabs>
          <w:tab w:val="clear" w:pos="794"/>
          <w:tab w:val="clear" w:pos="1191"/>
          <w:tab w:val="clear" w:pos="1588"/>
          <w:tab w:val="clear" w:pos="1985"/>
        </w:tabs>
        <w:spacing w:before="100" w:beforeAutospacing="1" w:line="240" w:lineRule="auto"/>
        <w:ind w:left="284" w:hanging="284"/>
        <w:jc w:val="lowKashida"/>
        <w:rPr>
          <w:szCs w:val="24"/>
          <w:lang w:val="es-ES"/>
        </w:rPr>
      </w:pPr>
      <w:r w:rsidRPr="00F47D9F">
        <w:rPr>
          <w:rFonts w:asciiTheme="minorHAnsi" w:eastAsiaTheme="majorEastAsia" w:hAnsiTheme="minorHAnsi" w:cstheme="minorHAnsi"/>
          <w:sz w:val="18"/>
          <w:szCs w:val="18"/>
          <w:lang w:val="es-ES"/>
        </w:rPr>
        <w:t>A las Administraciones de los Estados Miembros de la UIT</w:t>
      </w:r>
    </w:p>
    <w:p w14:paraId="16D88AF9" w14:textId="493D3A54" w:rsidR="00E53DCE" w:rsidRPr="00F47D9F" w:rsidRDefault="00F47D9F" w:rsidP="00116DC2">
      <w:pPr>
        <w:pStyle w:val="enumlev1"/>
        <w:numPr>
          <w:ilvl w:val="0"/>
          <w:numId w:val="3"/>
        </w:numPr>
        <w:tabs>
          <w:tab w:val="clear" w:pos="794"/>
          <w:tab w:val="clear" w:pos="1191"/>
          <w:tab w:val="clear" w:pos="1588"/>
          <w:tab w:val="clear" w:pos="1985"/>
        </w:tabs>
        <w:spacing w:before="100" w:beforeAutospacing="1" w:line="240" w:lineRule="auto"/>
        <w:ind w:left="284" w:hanging="284"/>
        <w:jc w:val="lowKashida"/>
        <w:rPr>
          <w:szCs w:val="24"/>
          <w:lang w:val="es-ES"/>
        </w:rPr>
      </w:pPr>
      <w:r w:rsidRPr="00F47D9F">
        <w:rPr>
          <w:rFonts w:asciiTheme="minorHAnsi" w:eastAsiaTheme="majorEastAsia" w:hAnsiTheme="minorHAnsi" w:cstheme="minorHAnsi"/>
          <w:sz w:val="18"/>
          <w:szCs w:val="18"/>
          <w:lang w:val="es-ES"/>
        </w:rPr>
        <w:t>A los miembros de la Junta del Reglamento de Radiocomunicaciones</w:t>
      </w:r>
    </w:p>
    <w:sectPr w:rsidR="00E53DCE" w:rsidRPr="00F47D9F" w:rsidSect="00132DD2">
      <w:headerReference w:type="even" r:id="rId9"/>
      <w:headerReference w:type="default" r:id="rId10"/>
      <w:footerReference w:type="even" r:id="rId11"/>
      <w:footerReference w:type="default" r:id="rId12"/>
      <w:headerReference w:type="first" r:id="rId13"/>
      <w:footerReference w:type="first" r:id="rId14"/>
      <w:pgSz w:w="11907" w:h="16834" w:code="9"/>
      <w:pgMar w:top="1134" w:right="1134" w:bottom="993" w:left="1134" w:header="567" w:footer="81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E3E733" w14:textId="77777777" w:rsidR="00F47D9F" w:rsidRDefault="00F47D9F">
      <w:r>
        <w:separator/>
      </w:r>
    </w:p>
  </w:endnote>
  <w:endnote w:type="continuationSeparator" w:id="0">
    <w:p w14:paraId="74D0576C" w14:textId="77777777" w:rsidR="00F47D9F" w:rsidRDefault="00F47D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197FF" w14:textId="06A33493" w:rsidR="00132DD2" w:rsidRPr="009260AD" w:rsidRDefault="00132DD2" w:rsidP="009260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41BA8" w14:textId="77777777" w:rsidR="00132DD2" w:rsidRDefault="00132DD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7F1CA" w14:textId="77777777" w:rsidR="005370F0" w:rsidRPr="003B370E" w:rsidRDefault="00CF7B6D" w:rsidP="00132DD2">
    <w:pPr>
      <w:pStyle w:val="Footer"/>
      <w:spacing w:before="0" w:line="240" w:lineRule="auto"/>
      <w:jc w:val="center"/>
      <w:rPr>
        <w:sz w:val="19"/>
        <w:szCs w:val="19"/>
        <w:lang w:val="es-ES"/>
      </w:rPr>
    </w:pPr>
    <w:r w:rsidRPr="00353E34">
      <w:rPr>
        <w:color w:val="4F81BD" w:themeColor="accent1"/>
        <w:sz w:val="19"/>
        <w:szCs w:val="19"/>
        <w:lang w:val="es-ES"/>
      </w:rPr>
      <w:t>Unión Internacional de Telecomunicaciones • Place des Nations, CH-1211 Ginebra 20, Suiza</w:t>
    </w:r>
    <w:r w:rsidRPr="00353E34">
      <w:rPr>
        <w:color w:val="4F81BD" w:themeColor="accent1"/>
        <w:sz w:val="19"/>
        <w:szCs w:val="19"/>
        <w:lang w:val="es-ES"/>
      </w:rPr>
      <w:br/>
      <w:t xml:space="preserve">Tel.: +41 22 730 5111 • Correo-e: </w:t>
    </w:r>
    <w:hyperlink r:id="rId1" w:history="1">
      <w:r w:rsidR="00353E34" w:rsidRPr="000B33D5">
        <w:rPr>
          <w:rStyle w:val="Hyperlink"/>
          <w:sz w:val="19"/>
          <w:szCs w:val="19"/>
          <w:lang w:val="es-ES"/>
        </w:rPr>
        <w:t>brmail@itu.int</w:t>
      </w:r>
    </w:hyperlink>
    <w:r w:rsidRPr="00353E34">
      <w:rPr>
        <w:color w:val="4F81BD" w:themeColor="accent1"/>
        <w:sz w:val="19"/>
        <w:szCs w:val="19"/>
        <w:lang w:val="es-ES"/>
      </w:rPr>
      <w:t xml:space="preserve"> </w:t>
    </w:r>
    <w:r w:rsidRPr="00353E34">
      <w:rPr>
        <w:color w:val="4F81BD"/>
        <w:sz w:val="19"/>
        <w:szCs w:val="19"/>
        <w:lang w:val="es-ES"/>
      </w:rPr>
      <w:t xml:space="preserve">• Fax: +41 22 733 7256 • </w:t>
    </w:r>
    <w:hyperlink r:id="rId2" w:history="1">
      <w:r w:rsidRPr="00353E34">
        <w:rPr>
          <w:rStyle w:val="Hyperlink"/>
          <w:sz w:val="19"/>
          <w:szCs w:val="19"/>
          <w:lang w:val="es-ES"/>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F0DB55" w14:textId="77777777" w:rsidR="00F47D9F" w:rsidRDefault="00F47D9F">
      <w:r>
        <w:t>____________________</w:t>
      </w:r>
    </w:p>
  </w:footnote>
  <w:footnote w:type="continuationSeparator" w:id="0">
    <w:p w14:paraId="13578BF3" w14:textId="77777777" w:rsidR="00F47D9F" w:rsidRDefault="00F47D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609E3" w14:textId="77777777" w:rsidR="00E915AF" w:rsidRPr="00D239B4" w:rsidRDefault="00E915AF" w:rsidP="00D63BFF">
    <w:pPr>
      <w:pStyle w:val="Header"/>
      <w:rPr>
        <w:sz w:val="18"/>
        <w:szCs w:val="16"/>
      </w:rPr>
    </w:pPr>
    <w:r w:rsidRPr="00D239B4">
      <w:rPr>
        <w:sz w:val="18"/>
        <w:szCs w:val="16"/>
      </w:rPr>
      <w:tab/>
    </w:r>
    <w:r w:rsidRPr="00D239B4">
      <w:rPr>
        <w:sz w:val="18"/>
        <w:szCs w:val="16"/>
      </w:rPr>
      <w:tab/>
    </w:r>
    <w:r w:rsidR="00D97EF5">
      <w:rPr>
        <w:sz w:val="18"/>
        <w:szCs w:val="16"/>
      </w:rPr>
      <w:t xml:space="preserve">- </w:t>
    </w:r>
    <w:r w:rsidR="001B42C9" w:rsidRPr="00D239B4">
      <w:rPr>
        <w:rStyle w:val="PageNumber"/>
        <w:sz w:val="18"/>
        <w:szCs w:val="16"/>
      </w:rPr>
      <w:fldChar w:fldCharType="begin"/>
    </w:r>
    <w:r w:rsidRPr="00D239B4">
      <w:rPr>
        <w:rStyle w:val="PageNumber"/>
        <w:sz w:val="18"/>
        <w:szCs w:val="16"/>
      </w:rPr>
      <w:instrText xml:space="preserve"> PAGE </w:instrText>
    </w:r>
    <w:r w:rsidR="001B42C9" w:rsidRPr="00D239B4">
      <w:rPr>
        <w:rStyle w:val="PageNumber"/>
        <w:sz w:val="18"/>
        <w:szCs w:val="16"/>
      </w:rPr>
      <w:fldChar w:fldCharType="separate"/>
    </w:r>
    <w:r w:rsidR="00535FEF">
      <w:rPr>
        <w:rStyle w:val="PageNumber"/>
        <w:noProof/>
        <w:sz w:val="18"/>
        <w:szCs w:val="16"/>
      </w:rPr>
      <w:t>2</w:t>
    </w:r>
    <w:r w:rsidR="001B42C9" w:rsidRPr="00D239B4">
      <w:rPr>
        <w:rStyle w:val="PageNumber"/>
        <w:sz w:val="18"/>
        <w:szCs w:val="16"/>
      </w:rPr>
      <w:fldChar w:fldCharType="end"/>
    </w:r>
    <w:r w:rsidR="00D97EF5">
      <w:rPr>
        <w:rStyle w:val="PageNumber"/>
        <w:sz w:val="18"/>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F6476" w14:textId="77777777" w:rsidR="00E915AF" w:rsidRPr="00AF3325" w:rsidRDefault="00E915AF">
    <w:pPr>
      <w:pStyle w:val="Header"/>
    </w:pPr>
    <w:r>
      <w:tab/>
    </w:r>
    <w:r>
      <w:tab/>
    </w:r>
    <w:r w:rsidR="001B42C9" w:rsidRPr="00AF3325">
      <w:rPr>
        <w:i/>
      </w:rPr>
      <w:fldChar w:fldCharType="begin"/>
    </w:r>
    <w:r w:rsidRPr="00AF3325">
      <w:rPr>
        <w:i/>
      </w:rPr>
      <w:instrText xml:space="preserve"> PAGE  \* MERGEFORMAT </w:instrText>
    </w:r>
    <w:r w:rsidR="001B42C9" w:rsidRPr="00AF3325">
      <w:rPr>
        <w:i/>
      </w:rPr>
      <w:fldChar w:fldCharType="separate"/>
    </w:r>
    <w:r w:rsidR="00EE03A0">
      <w:rPr>
        <w:i/>
        <w:noProof/>
      </w:rPr>
      <w:t>3</w:t>
    </w:r>
    <w:r w:rsidR="001B42C9" w:rsidRPr="00AF3325">
      <w:rPr>
        <w:i/>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499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62"/>
      <w:gridCol w:w="5131"/>
    </w:tblGrid>
    <w:tr w:rsidR="001B3D4D" w14:paraId="65E94E3C" w14:textId="77777777" w:rsidTr="002B7EE0">
      <w:tc>
        <w:tcPr>
          <w:tcW w:w="9862" w:type="dxa"/>
          <w:tcMar>
            <w:left w:w="0" w:type="dxa"/>
          </w:tcMar>
        </w:tcPr>
        <w:p w14:paraId="73832EA4" w14:textId="77777777" w:rsidR="001B3D4D" w:rsidRDefault="002B7EE0" w:rsidP="002B7EE0">
          <w:pPr>
            <w:pStyle w:val="FirstFooter"/>
            <w:spacing w:line="240" w:lineRule="auto"/>
            <w:ind w:left="-397" w:right="-397"/>
            <w:jc w:val="center"/>
          </w:pPr>
          <w:r>
            <w:rPr>
              <w:noProof/>
              <w:lang w:val="en-GB" w:eastAsia="en-GB"/>
            </w:rPr>
            <w:drawing>
              <wp:inline distT="0" distB="0" distL="0" distR="0" wp14:anchorId="574D8257" wp14:editId="538E2144">
                <wp:extent cx="765175" cy="765175"/>
                <wp:effectExtent l="0" t="0" r="0" b="0"/>
                <wp:docPr id="1350946514" name="Picture 1350946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c>
        <w:tcPr>
          <w:tcW w:w="5131" w:type="dxa"/>
        </w:tcPr>
        <w:p w14:paraId="0AA137E0" w14:textId="77777777" w:rsidR="001B3D4D" w:rsidRDefault="001B3D4D" w:rsidP="001B3D4D">
          <w:pPr>
            <w:pStyle w:val="Header"/>
            <w:spacing w:before="240" w:line="360" w:lineRule="auto"/>
            <w:jc w:val="right"/>
          </w:pPr>
        </w:p>
      </w:tc>
    </w:tr>
  </w:tbl>
  <w:p w14:paraId="426B4709" w14:textId="77777777" w:rsidR="00E915AF" w:rsidRPr="001B3D4D" w:rsidRDefault="00E915AF" w:rsidP="001B3D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05AC3ECA"/>
    <w:multiLevelType w:val="hybridMultilevel"/>
    <w:tmpl w:val="782489BE"/>
    <w:lvl w:ilvl="0" w:tplc="51D83494">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6"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16cid:durableId="105180916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49789161">
    <w:abstractNumId w:val="6"/>
  </w:num>
  <w:num w:numId="3" w16cid:durableId="15724228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activeWritingStyle w:appName="MSWord" w:lang="fr-CH" w:vendorID="64" w:dllVersion="6" w:nlCheck="1" w:checkStyle="0"/>
  <w:activeWritingStyle w:appName="MSWord" w:lang="en-US" w:vendorID="64" w:dllVersion="0" w:nlCheck="1" w:checkStyle="0"/>
  <w:activeWritingStyle w:appName="MSWord" w:lang="fr-FR" w:vendorID="64" w:dllVersion="0" w:nlCheck="1" w:checkStyle="0"/>
  <w:activeWritingStyle w:appName="MSWord" w:lang="fr-CH" w:vendorID="64" w:dllVersion="0" w:nlCheck="1" w:checkStyle="0"/>
  <w:activeWritingStyle w:appName="MSWord" w:lang="es-ES" w:vendorID="64" w:dllVersion="0" w:nlCheck="1" w:checkStyle="0"/>
  <w:activeWritingStyle w:appName="MSWord" w:lang="es-ES_tradnl"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2B7EE0"/>
    <w:rsid w:val="00006A31"/>
    <w:rsid w:val="00006C82"/>
    <w:rsid w:val="00010E30"/>
    <w:rsid w:val="00015C76"/>
    <w:rsid w:val="00026CF8"/>
    <w:rsid w:val="00030BD7"/>
    <w:rsid w:val="00031E64"/>
    <w:rsid w:val="00034340"/>
    <w:rsid w:val="00035CB3"/>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D3F3B"/>
    <w:rsid w:val="000E3DEE"/>
    <w:rsid w:val="000E4BCD"/>
    <w:rsid w:val="00100B72"/>
    <w:rsid w:val="00101F7D"/>
    <w:rsid w:val="00103C76"/>
    <w:rsid w:val="0011265F"/>
    <w:rsid w:val="00117282"/>
    <w:rsid w:val="00117389"/>
    <w:rsid w:val="00121C2D"/>
    <w:rsid w:val="00132DD2"/>
    <w:rsid w:val="00134404"/>
    <w:rsid w:val="00144DFB"/>
    <w:rsid w:val="00187CA3"/>
    <w:rsid w:val="00195EB7"/>
    <w:rsid w:val="00196710"/>
    <w:rsid w:val="00196770"/>
    <w:rsid w:val="00197324"/>
    <w:rsid w:val="001B351B"/>
    <w:rsid w:val="001B3D4D"/>
    <w:rsid w:val="001B42C9"/>
    <w:rsid w:val="001C06DB"/>
    <w:rsid w:val="001C6971"/>
    <w:rsid w:val="001D2785"/>
    <w:rsid w:val="001D7070"/>
    <w:rsid w:val="001F2170"/>
    <w:rsid w:val="001F3948"/>
    <w:rsid w:val="001F5A49"/>
    <w:rsid w:val="00201097"/>
    <w:rsid w:val="00201B6E"/>
    <w:rsid w:val="002302B3"/>
    <w:rsid w:val="00230C66"/>
    <w:rsid w:val="00235A29"/>
    <w:rsid w:val="00241526"/>
    <w:rsid w:val="002443A2"/>
    <w:rsid w:val="00257BE7"/>
    <w:rsid w:val="00266E74"/>
    <w:rsid w:val="00283C3B"/>
    <w:rsid w:val="002861E6"/>
    <w:rsid w:val="00287D18"/>
    <w:rsid w:val="002A2618"/>
    <w:rsid w:val="002A5DD7"/>
    <w:rsid w:val="002B0CAC"/>
    <w:rsid w:val="002B7EE0"/>
    <w:rsid w:val="002D5A15"/>
    <w:rsid w:val="002D5BDD"/>
    <w:rsid w:val="002E3D27"/>
    <w:rsid w:val="002F0890"/>
    <w:rsid w:val="002F2531"/>
    <w:rsid w:val="002F4967"/>
    <w:rsid w:val="00306452"/>
    <w:rsid w:val="00311970"/>
    <w:rsid w:val="00316935"/>
    <w:rsid w:val="003266ED"/>
    <w:rsid w:val="00326C68"/>
    <w:rsid w:val="0033029C"/>
    <w:rsid w:val="003370B8"/>
    <w:rsid w:val="00345D38"/>
    <w:rsid w:val="00352097"/>
    <w:rsid w:val="00353E34"/>
    <w:rsid w:val="003666FF"/>
    <w:rsid w:val="0037309C"/>
    <w:rsid w:val="00380A6E"/>
    <w:rsid w:val="003836D4"/>
    <w:rsid w:val="003974CD"/>
    <w:rsid w:val="003A1F49"/>
    <w:rsid w:val="003A55ED"/>
    <w:rsid w:val="003A5D52"/>
    <w:rsid w:val="003B2BDA"/>
    <w:rsid w:val="003B370E"/>
    <w:rsid w:val="003B55EC"/>
    <w:rsid w:val="003C2EA7"/>
    <w:rsid w:val="003C4471"/>
    <w:rsid w:val="003C7D41"/>
    <w:rsid w:val="003D4A69"/>
    <w:rsid w:val="003E504F"/>
    <w:rsid w:val="003E78D6"/>
    <w:rsid w:val="003F0E9F"/>
    <w:rsid w:val="00400573"/>
    <w:rsid w:val="004007A3"/>
    <w:rsid w:val="00406D71"/>
    <w:rsid w:val="004326DB"/>
    <w:rsid w:val="0043682E"/>
    <w:rsid w:val="00447ECB"/>
    <w:rsid w:val="004623F7"/>
    <w:rsid w:val="00480F51"/>
    <w:rsid w:val="00481124"/>
    <w:rsid w:val="004815EB"/>
    <w:rsid w:val="00487569"/>
    <w:rsid w:val="00496864"/>
    <w:rsid w:val="00496920"/>
    <w:rsid w:val="004A4496"/>
    <w:rsid w:val="004A5F47"/>
    <w:rsid w:val="004B11AB"/>
    <w:rsid w:val="004B7C9A"/>
    <w:rsid w:val="004C6779"/>
    <w:rsid w:val="004D733B"/>
    <w:rsid w:val="004E0DC4"/>
    <w:rsid w:val="004E0FB5"/>
    <w:rsid w:val="004E43BB"/>
    <w:rsid w:val="004E460D"/>
    <w:rsid w:val="004F178E"/>
    <w:rsid w:val="004F4543"/>
    <w:rsid w:val="004F57BB"/>
    <w:rsid w:val="00505309"/>
    <w:rsid w:val="0050789B"/>
    <w:rsid w:val="005224A1"/>
    <w:rsid w:val="00534372"/>
    <w:rsid w:val="00535FEF"/>
    <w:rsid w:val="005370F0"/>
    <w:rsid w:val="00543DF8"/>
    <w:rsid w:val="00546101"/>
    <w:rsid w:val="00553364"/>
    <w:rsid w:val="00553DD7"/>
    <w:rsid w:val="005638CF"/>
    <w:rsid w:val="0056741E"/>
    <w:rsid w:val="0057325A"/>
    <w:rsid w:val="0057469A"/>
    <w:rsid w:val="00580814"/>
    <w:rsid w:val="00583A0B"/>
    <w:rsid w:val="005A03A3"/>
    <w:rsid w:val="005A2B92"/>
    <w:rsid w:val="005A3F66"/>
    <w:rsid w:val="005A79E9"/>
    <w:rsid w:val="005B214C"/>
    <w:rsid w:val="005B4CDA"/>
    <w:rsid w:val="005D3669"/>
    <w:rsid w:val="005E5EB3"/>
    <w:rsid w:val="005F3CB6"/>
    <w:rsid w:val="005F657C"/>
    <w:rsid w:val="00602D53"/>
    <w:rsid w:val="006047E5"/>
    <w:rsid w:val="0064371D"/>
    <w:rsid w:val="00650543"/>
    <w:rsid w:val="00650B2A"/>
    <w:rsid w:val="00651777"/>
    <w:rsid w:val="006550F8"/>
    <w:rsid w:val="006829F3"/>
    <w:rsid w:val="006A518B"/>
    <w:rsid w:val="006B0590"/>
    <w:rsid w:val="006B49DA"/>
    <w:rsid w:val="006C53F8"/>
    <w:rsid w:val="006C7CDE"/>
    <w:rsid w:val="007234B1"/>
    <w:rsid w:val="00723D08"/>
    <w:rsid w:val="00725FDA"/>
    <w:rsid w:val="00727816"/>
    <w:rsid w:val="00730B9A"/>
    <w:rsid w:val="00750CFA"/>
    <w:rsid w:val="007553DA"/>
    <w:rsid w:val="00775DB8"/>
    <w:rsid w:val="00782354"/>
    <w:rsid w:val="007921A7"/>
    <w:rsid w:val="007B3DB1"/>
    <w:rsid w:val="007D183E"/>
    <w:rsid w:val="007D43D0"/>
    <w:rsid w:val="007E1833"/>
    <w:rsid w:val="007E3F13"/>
    <w:rsid w:val="007F751A"/>
    <w:rsid w:val="00800012"/>
    <w:rsid w:val="0080261F"/>
    <w:rsid w:val="00805A02"/>
    <w:rsid w:val="00806160"/>
    <w:rsid w:val="008143A4"/>
    <w:rsid w:val="0081513E"/>
    <w:rsid w:val="00854131"/>
    <w:rsid w:val="0085652D"/>
    <w:rsid w:val="0087694B"/>
    <w:rsid w:val="00880F4D"/>
    <w:rsid w:val="008B35A3"/>
    <w:rsid w:val="008B37E1"/>
    <w:rsid w:val="008B45F8"/>
    <w:rsid w:val="008C2E74"/>
    <w:rsid w:val="008D5409"/>
    <w:rsid w:val="008D6955"/>
    <w:rsid w:val="008E006D"/>
    <w:rsid w:val="008E38B4"/>
    <w:rsid w:val="008F4F21"/>
    <w:rsid w:val="00904D4A"/>
    <w:rsid w:val="009076D7"/>
    <w:rsid w:val="00912DAB"/>
    <w:rsid w:val="009151BA"/>
    <w:rsid w:val="00925023"/>
    <w:rsid w:val="009260AD"/>
    <w:rsid w:val="009277BC"/>
    <w:rsid w:val="00927D57"/>
    <w:rsid w:val="00931A51"/>
    <w:rsid w:val="00947185"/>
    <w:rsid w:val="009518B3"/>
    <w:rsid w:val="00963D9D"/>
    <w:rsid w:val="0098013E"/>
    <w:rsid w:val="00981B54"/>
    <w:rsid w:val="009842C3"/>
    <w:rsid w:val="009A009A"/>
    <w:rsid w:val="009A6BB6"/>
    <w:rsid w:val="009B3F43"/>
    <w:rsid w:val="009B5CFA"/>
    <w:rsid w:val="009C161F"/>
    <w:rsid w:val="009C56B4"/>
    <w:rsid w:val="009D51A2"/>
    <w:rsid w:val="009E04A8"/>
    <w:rsid w:val="009E4595"/>
    <w:rsid w:val="009E4AEC"/>
    <w:rsid w:val="009E5BD8"/>
    <w:rsid w:val="009E681E"/>
    <w:rsid w:val="00A119E6"/>
    <w:rsid w:val="00A20FBC"/>
    <w:rsid w:val="00A31370"/>
    <w:rsid w:val="00A34D6F"/>
    <w:rsid w:val="00A41F91"/>
    <w:rsid w:val="00A63355"/>
    <w:rsid w:val="00A7596D"/>
    <w:rsid w:val="00A80EFE"/>
    <w:rsid w:val="00A963DF"/>
    <w:rsid w:val="00A96D3A"/>
    <w:rsid w:val="00AC0C22"/>
    <w:rsid w:val="00AC3896"/>
    <w:rsid w:val="00AD2CF2"/>
    <w:rsid w:val="00AE2D88"/>
    <w:rsid w:val="00AE6F6F"/>
    <w:rsid w:val="00AF3325"/>
    <w:rsid w:val="00AF34D9"/>
    <w:rsid w:val="00AF5B37"/>
    <w:rsid w:val="00AF70DA"/>
    <w:rsid w:val="00B019D3"/>
    <w:rsid w:val="00B34CF9"/>
    <w:rsid w:val="00B37559"/>
    <w:rsid w:val="00B4054B"/>
    <w:rsid w:val="00B579B0"/>
    <w:rsid w:val="00B57D11"/>
    <w:rsid w:val="00B649D7"/>
    <w:rsid w:val="00B81C2F"/>
    <w:rsid w:val="00B90743"/>
    <w:rsid w:val="00B90C45"/>
    <w:rsid w:val="00B933BE"/>
    <w:rsid w:val="00BC4B45"/>
    <w:rsid w:val="00BD6738"/>
    <w:rsid w:val="00BD7E5E"/>
    <w:rsid w:val="00BE63DB"/>
    <w:rsid w:val="00BE6574"/>
    <w:rsid w:val="00C07319"/>
    <w:rsid w:val="00C16FD2"/>
    <w:rsid w:val="00C4395E"/>
    <w:rsid w:val="00C47FFD"/>
    <w:rsid w:val="00C51E92"/>
    <w:rsid w:val="00C57E2C"/>
    <w:rsid w:val="00C608B7"/>
    <w:rsid w:val="00C66F24"/>
    <w:rsid w:val="00C76D7F"/>
    <w:rsid w:val="00C813AA"/>
    <w:rsid w:val="00C9291E"/>
    <w:rsid w:val="00CA3F44"/>
    <w:rsid w:val="00CA4E58"/>
    <w:rsid w:val="00CB3771"/>
    <w:rsid w:val="00CB44BF"/>
    <w:rsid w:val="00CB5153"/>
    <w:rsid w:val="00CE076A"/>
    <w:rsid w:val="00CE463D"/>
    <w:rsid w:val="00CF7B6D"/>
    <w:rsid w:val="00D10BA0"/>
    <w:rsid w:val="00D21694"/>
    <w:rsid w:val="00D239B4"/>
    <w:rsid w:val="00D24EB5"/>
    <w:rsid w:val="00D35AB9"/>
    <w:rsid w:val="00D41571"/>
    <w:rsid w:val="00D416A0"/>
    <w:rsid w:val="00D47672"/>
    <w:rsid w:val="00D5123C"/>
    <w:rsid w:val="00D55560"/>
    <w:rsid w:val="00D61C5A"/>
    <w:rsid w:val="00D63BFF"/>
    <w:rsid w:val="00D6790C"/>
    <w:rsid w:val="00D73277"/>
    <w:rsid w:val="00D76586"/>
    <w:rsid w:val="00D82657"/>
    <w:rsid w:val="00D87E20"/>
    <w:rsid w:val="00D97EF5"/>
    <w:rsid w:val="00DA4037"/>
    <w:rsid w:val="00DE66A5"/>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915AF"/>
    <w:rsid w:val="00E96415"/>
    <w:rsid w:val="00EA15B3"/>
    <w:rsid w:val="00EB2358"/>
    <w:rsid w:val="00EB3EB8"/>
    <w:rsid w:val="00EC00EF"/>
    <w:rsid w:val="00EC02FE"/>
    <w:rsid w:val="00EC4A96"/>
    <w:rsid w:val="00EE03A0"/>
    <w:rsid w:val="00F424BF"/>
    <w:rsid w:val="00F44FC3"/>
    <w:rsid w:val="00F46107"/>
    <w:rsid w:val="00F468C5"/>
    <w:rsid w:val="00F47D9F"/>
    <w:rsid w:val="00F52F39"/>
    <w:rsid w:val="00F6184F"/>
    <w:rsid w:val="00F8310E"/>
    <w:rsid w:val="00F914DD"/>
    <w:rsid w:val="00FA2358"/>
    <w:rsid w:val="00FB2592"/>
    <w:rsid w:val="00FB2810"/>
    <w:rsid w:val="00FB7A2C"/>
    <w:rsid w:val="00FC2947"/>
    <w:rsid w:val="00FE0818"/>
    <w:rsid w:val="00FE37E7"/>
    <w:rsid w:val="00FE4822"/>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3BEDCF"/>
  <w15:docId w15:val="{540A99F6-8275-4534-8B63-70D0CB54E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B370E"/>
    <w:pPr>
      <w:tabs>
        <w:tab w:val="left" w:pos="794"/>
        <w:tab w:val="left" w:pos="1191"/>
        <w:tab w:val="left" w:pos="1588"/>
        <w:tab w:val="left" w:pos="1985"/>
      </w:tabs>
      <w:overflowPunct w:val="0"/>
      <w:autoSpaceDE w:val="0"/>
      <w:autoSpaceDN w:val="0"/>
      <w:adjustRightInd w:val="0"/>
      <w:spacing w:before="12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FigureLegend0">
    <w:name w:val="Figure_Legend"/>
    <w:basedOn w:val="Normal"/>
    <w:rsid w:val="00A96D3A"/>
    <w:pPr>
      <w:keepNext/>
      <w:keepLines/>
      <w:tabs>
        <w:tab w:val="clear" w:pos="794"/>
        <w:tab w:val="clear" w:pos="1191"/>
        <w:tab w:val="clear" w:pos="1588"/>
        <w:tab w:val="clear" w:pos="1985"/>
      </w:tabs>
      <w:spacing w:before="20" w:after="20" w:line="240" w:lineRule="auto"/>
      <w:jc w:val="left"/>
    </w:pPr>
    <w:rPr>
      <w:rFonts w:ascii="Times New Roman" w:hAnsi="Times New Roman" w:cs="Times New Roman"/>
      <w:sz w:val="18"/>
      <w:szCs w:val="20"/>
      <w:lang w:val="es-ES_tradnl"/>
    </w:rPr>
  </w:style>
  <w:style w:type="table" w:styleId="TableGrid">
    <w:name w:val="Table Grid"/>
    <w:basedOn w:val="TableNormal"/>
    <w:rsid w:val="009E4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370F0"/>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basedOn w:val="DefaultParagraphFont"/>
    <w:link w:val="Header"/>
    <w:rsid w:val="001B3D4D"/>
    <w:rPr>
      <w:sz w:val="24"/>
      <w:szCs w:val="22"/>
      <w:lang w:val="en-US" w:eastAsia="en-US"/>
    </w:rPr>
  </w:style>
  <w:style w:type="character" w:styleId="UnresolvedMention">
    <w:name w:val="Unresolved Mention"/>
    <w:basedOn w:val="DefaultParagraphFont"/>
    <w:uiPriority w:val="99"/>
    <w:semiHidden/>
    <w:unhideWhenUsed/>
    <w:rsid w:val="00353E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rmail@itu.in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br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B2387C-DC9E-461E-8AFA-8ECF22AA91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725</Words>
  <Characters>3770</Characters>
  <Application>Microsoft Office Word</Application>
  <DocSecurity>0</DocSecurity>
  <Lines>31</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4487</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Spanish</dc:creator>
  <cp:lastModifiedBy>Marchetti, Caroline</cp:lastModifiedBy>
  <cp:revision>3</cp:revision>
  <cp:lastPrinted>2013-03-08T10:15:00Z</cp:lastPrinted>
  <dcterms:created xsi:type="dcterms:W3CDTF">2024-04-19T11:54:00Z</dcterms:created>
  <dcterms:modified xsi:type="dcterms:W3CDTF">2024-04-22T12:50:00Z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