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636" w:type="dxa"/>
        <w:tblLayout w:type="fixed"/>
        <w:tblLook w:val="0000"/>
      </w:tblPr>
      <w:tblGrid>
        <w:gridCol w:w="6487"/>
        <w:gridCol w:w="284"/>
        <w:gridCol w:w="23865"/>
      </w:tblGrid>
      <w:tr w:rsidR="007816CB" w:rsidTr="00B32898">
        <w:trPr>
          <w:cantSplit/>
        </w:trPr>
        <w:tc>
          <w:tcPr>
            <w:tcW w:w="6771" w:type="dxa"/>
            <w:gridSpan w:val="2"/>
          </w:tcPr>
          <w:p w:rsidR="007816CB" w:rsidRPr="007816CB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fr-FR"/>
              </w:rPr>
            </w:pPr>
            <w:r w:rsidRPr="007816CB">
              <w:rPr>
                <w:rFonts w:ascii="Verdana" w:hAnsi="Verdana" w:cs="Times New Roman Bold"/>
                <w:b/>
                <w:sz w:val="26"/>
                <w:szCs w:val="26"/>
                <w:lang w:val="fr-FR"/>
              </w:rPr>
              <w:t>Groupe consultatif des radiocommunications</w:t>
            </w:r>
            <w:r w:rsidRPr="007816CB">
              <w:rPr>
                <w:rFonts w:ascii="Verdana" w:hAnsi="Verdana" w:cs="Times New Roman Bold"/>
                <w:b/>
                <w:sz w:val="26"/>
                <w:szCs w:val="26"/>
                <w:lang w:val="fr-FR"/>
              </w:rPr>
              <w:br/>
            </w:r>
            <w:r w:rsidRPr="007816CB">
              <w:rPr>
                <w:rFonts w:ascii="Verdana" w:hAnsi="Verdana"/>
                <w:b/>
                <w:bCs/>
                <w:sz w:val="20"/>
                <w:lang w:val="fr-FR"/>
              </w:rPr>
              <w:t>Genève, 17-19 février 2010</w:t>
            </w:r>
          </w:p>
        </w:tc>
        <w:tc>
          <w:tcPr>
            <w:tcW w:w="23865" w:type="dxa"/>
          </w:tcPr>
          <w:p w:rsidR="007816CB" w:rsidRDefault="00CF12EF" w:rsidP="00337110">
            <w:pPr>
              <w:framePr w:hSpace="181" w:wrap="around" w:vAnchor="page" w:hAnchor="margin" w:x="1" w:y="852"/>
              <w:shd w:val="solid" w:color="FFFFFF" w:fill="FFFFFF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6CB" w:rsidRPr="0051782D" w:rsidTr="00B32898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7816CB" w:rsidRPr="0051782D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23865" w:type="dxa"/>
            <w:tcBorders>
              <w:bottom w:val="single" w:sz="12" w:space="0" w:color="auto"/>
            </w:tcBorders>
          </w:tcPr>
          <w:p w:rsidR="007816CB" w:rsidRPr="0051782D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7816CB" w:rsidTr="00B32898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7816CB" w:rsidRPr="0051782D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23865" w:type="dxa"/>
            <w:tcBorders>
              <w:top w:val="single" w:sz="12" w:space="0" w:color="auto"/>
            </w:tcBorders>
          </w:tcPr>
          <w:p w:rsidR="007816CB" w:rsidRPr="00710D66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7816CB" w:rsidRPr="00FD0EC0" w:rsidTr="00B32898">
        <w:trPr>
          <w:cantSplit/>
        </w:trPr>
        <w:tc>
          <w:tcPr>
            <w:tcW w:w="6487" w:type="dxa"/>
            <w:vMerge w:val="restart"/>
          </w:tcPr>
          <w:p w:rsidR="007816CB" w:rsidRDefault="007816CB" w:rsidP="0033711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24149" w:type="dxa"/>
            <w:gridSpan w:val="2"/>
          </w:tcPr>
          <w:p w:rsidR="007816CB" w:rsidRPr="00FD0EC0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>Document RAG</w:t>
            </w:r>
            <w:r>
              <w:rPr>
                <w:rFonts w:ascii="Verdana" w:hAnsi="Verdana"/>
                <w:b/>
                <w:sz w:val="20"/>
              </w:rPr>
              <w:t>1</w:t>
            </w:r>
            <w:r w:rsidRPr="00FD0EC0">
              <w:rPr>
                <w:rFonts w:ascii="Verdana" w:hAnsi="Verdana"/>
                <w:b/>
                <w:sz w:val="20"/>
              </w:rPr>
              <w:t>0-1/ADM/1-</w:t>
            </w:r>
            <w:r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7816CB" w:rsidRPr="00FD0EC0" w:rsidTr="00B32898">
        <w:trPr>
          <w:cantSplit/>
        </w:trPr>
        <w:tc>
          <w:tcPr>
            <w:tcW w:w="6487" w:type="dxa"/>
            <w:vMerge/>
          </w:tcPr>
          <w:p w:rsidR="007816CB" w:rsidRPr="00FD0EC0" w:rsidRDefault="007816CB" w:rsidP="0033711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24149" w:type="dxa"/>
            <w:gridSpan w:val="2"/>
          </w:tcPr>
          <w:p w:rsidR="007816CB" w:rsidRPr="00E476E7" w:rsidRDefault="00D35B79" w:rsidP="00E80DB9">
            <w:pPr>
              <w:framePr w:hSpace="181" w:wrap="around" w:vAnchor="page" w:hAnchor="margin" w:x="1" w:y="852"/>
              <w:shd w:val="solid" w:color="FFFFFF" w:fill="FFFFFF"/>
              <w:spacing w:before="0"/>
              <w:ind w:left="-108" w:right="-534"/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E80DB9">
              <w:rPr>
                <w:rFonts w:ascii="Verdana" w:hAnsi="Verdana"/>
                <w:b/>
                <w:sz w:val="20"/>
              </w:rPr>
              <w:t>6</w:t>
            </w:r>
            <w:r w:rsidR="007816CB" w:rsidRPr="00FD0EC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févr</w:t>
            </w:r>
            <w:r w:rsidR="007816CB">
              <w:rPr>
                <w:rFonts w:ascii="Verdana" w:hAnsi="Verdana"/>
                <w:b/>
                <w:sz w:val="20"/>
              </w:rPr>
              <w:t>ier</w:t>
            </w:r>
            <w:proofErr w:type="spellEnd"/>
            <w:r w:rsidR="007816CB" w:rsidRPr="00FD0EC0">
              <w:rPr>
                <w:rFonts w:ascii="Verdana" w:hAnsi="Verdana"/>
                <w:b/>
                <w:sz w:val="20"/>
              </w:rPr>
              <w:t xml:space="preserve"> 20</w:t>
            </w:r>
            <w:r w:rsidR="007816CB">
              <w:rPr>
                <w:rFonts w:ascii="Verdana" w:hAnsi="Verdana"/>
                <w:b/>
                <w:sz w:val="20"/>
              </w:rPr>
              <w:t>1</w:t>
            </w:r>
            <w:r w:rsidR="007816CB" w:rsidRPr="00FD0EC0">
              <w:rPr>
                <w:rFonts w:ascii="Verdana" w:hAnsi="Verdana"/>
                <w:b/>
                <w:sz w:val="20"/>
              </w:rPr>
              <w:t>0</w:t>
            </w:r>
          </w:p>
        </w:tc>
      </w:tr>
      <w:tr w:rsidR="007816CB" w:rsidRPr="00FD0EC0" w:rsidTr="00B32898">
        <w:trPr>
          <w:cantSplit/>
        </w:trPr>
        <w:tc>
          <w:tcPr>
            <w:tcW w:w="6487" w:type="dxa"/>
            <w:vMerge/>
          </w:tcPr>
          <w:p w:rsidR="007816CB" w:rsidRPr="00FD0EC0" w:rsidRDefault="007816CB" w:rsidP="0033711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24149" w:type="dxa"/>
            <w:gridSpan w:val="2"/>
          </w:tcPr>
          <w:p w:rsidR="007816CB" w:rsidRPr="00FD0EC0" w:rsidRDefault="007816CB" w:rsidP="00337110">
            <w:pPr>
              <w:framePr w:hSpace="181" w:wrap="around" w:vAnchor="page" w:hAnchor="margin" w:x="1" w:y="852"/>
              <w:shd w:val="solid" w:color="FFFFFF" w:fill="FFFFFF"/>
              <w:spacing w:before="0" w:after="120"/>
              <w:ind w:left="-108" w:right="-534"/>
              <w:rPr>
                <w:rFonts w:ascii="Verdana" w:hAnsi="Verdana"/>
                <w:sz w:val="20"/>
              </w:rPr>
            </w:pPr>
            <w:r w:rsidRPr="00FD0EC0">
              <w:rPr>
                <w:rFonts w:ascii="Verdana" w:hAnsi="Verdana"/>
                <w:b/>
                <w:sz w:val="20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</w:rPr>
              <w:t>anglais</w:t>
            </w:r>
            <w:proofErr w:type="spellEnd"/>
          </w:p>
        </w:tc>
      </w:tr>
    </w:tbl>
    <w:tbl>
      <w:tblPr>
        <w:tblW w:w="10314" w:type="dxa"/>
        <w:tblLayout w:type="fixed"/>
        <w:tblLook w:val="0000"/>
      </w:tblPr>
      <w:tblGrid>
        <w:gridCol w:w="697"/>
        <w:gridCol w:w="7840"/>
        <w:gridCol w:w="1227"/>
        <w:gridCol w:w="60"/>
        <w:gridCol w:w="239"/>
        <w:gridCol w:w="251"/>
      </w:tblGrid>
      <w:tr w:rsidR="007816CB" w:rsidRPr="00FD0EC0" w:rsidTr="00DC156E">
        <w:trPr>
          <w:gridAfter w:val="2"/>
          <w:wAfter w:w="490" w:type="dxa"/>
          <w:cantSplit/>
        </w:trPr>
        <w:tc>
          <w:tcPr>
            <w:tcW w:w="9824" w:type="dxa"/>
            <w:gridSpan w:val="4"/>
          </w:tcPr>
          <w:p w:rsidR="007816CB" w:rsidRDefault="007816CB" w:rsidP="00337110">
            <w:pPr>
              <w:pStyle w:val="Source"/>
              <w:spacing w:before="360"/>
              <w:rPr>
                <w:b w:val="0"/>
                <w:bCs/>
              </w:rPr>
            </w:pPr>
            <w:bookmarkStart w:id="3" w:name="dsource" w:colFirst="0" w:colLast="0"/>
            <w:bookmarkEnd w:id="2"/>
          </w:p>
          <w:p w:rsidR="007816CB" w:rsidRPr="00FD0EC0" w:rsidRDefault="007816CB" w:rsidP="00337110">
            <w:pPr>
              <w:pStyle w:val="Source"/>
              <w:spacing w:before="360"/>
              <w:rPr>
                <w:b w:val="0"/>
                <w:bCs/>
              </w:rPr>
            </w:pPr>
            <w:r>
              <w:rPr>
                <w:b w:val="0"/>
                <w:bCs/>
              </w:rPr>
              <w:t>PROJET D</w:t>
            </w:r>
            <w:r w:rsidR="008C63E8">
              <w:rPr>
                <w:b w:val="0"/>
                <w:bCs/>
              </w:rPr>
              <w:t>'</w:t>
            </w:r>
            <w:r>
              <w:rPr>
                <w:b w:val="0"/>
                <w:bCs/>
              </w:rPr>
              <w:t>ORDRE DU JOUR</w:t>
            </w:r>
          </w:p>
        </w:tc>
      </w:tr>
      <w:tr w:rsidR="007816CB" w:rsidRPr="00E80DB9" w:rsidTr="00DC156E">
        <w:trPr>
          <w:gridAfter w:val="2"/>
          <w:wAfter w:w="490" w:type="dxa"/>
          <w:cantSplit/>
        </w:trPr>
        <w:tc>
          <w:tcPr>
            <w:tcW w:w="9824" w:type="dxa"/>
            <w:gridSpan w:val="4"/>
          </w:tcPr>
          <w:p w:rsidR="007816CB" w:rsidRPr="007816CB" w:rsidRDefault="007816CB" w:rsidP="00337110">
            <w:pPr>
              <w:pStyle w:val="Title1"/>
              <w:spacing w:before="120"/>
              <w:rPr>
                <w:lang w:val="fr-FR"/>
              </w:rPr>
            </w:pPr>
            <w:bookmarkStart w:id="4" w:name="dtitle1" w:colFirst="0" w:colLast="0"/>
            <w:bookmarkEnd w:id="3"/>
            <w:r w:rsidRPr="007816CB">
              <w:rPr>
                <w:lang w:val="fr-FR"/>
              </w:rPr>
              <w:t>DIX-SEPTI</w:t>
            </w:r>
            <w:r w:rsidR="008C63E8">
              <w:rPr>
                <w:szCs w:val="24"/>
                <w:lang w:val="fr-FR"/>
              </w:rPr>
              <w:t>È</w:t>
            </w:r>
            <w:r w:rsidRPr="007816CB">
              <w:rPr>
                <w:lang w:val="fr-FR"/>
              </w:rPr>
              <w:t>ME R</w:t>
            </w:r>
            <w:r w:rsidR="008C63E8" w:rsidRPr="008C63E8">
              <w:rPr>
                <w:lang w:val="fr-CH"/>
              </w:rPr>
              <w:t>é</w:t>
            </w:r>
            <w:r w:rsidRPr="007816CB">
              <w:rPr>
                <w:lang w:val="fr-FR"/>
              </w:rPr>
              <w:t xml:space="preserve">UNION DU GROUPE CONSULTATIF </w:t>
            </w:r>
            <w:r w:rsidR="002000D1">
              <w:rPr>
                <w:lang w:val="fr-FR"/>
              </w:rPr>
              <w:br/>
            </w:r>
            <w:r w:rsidRPr="007816CB">
              <w:rPr>
                <w:lang w:val="fr-FR"/>
              </w:rPr>
              <w:t>DES RADIOCOMMUNICATIONS</w:t>
            </w:r>
          </w:p>
        </w:tc>
      </w:tr>
      <w:bookmarkEnd w:id="4"/>
      <w:tr w:rsidR="007816CB" w:rsidRPr="00E80DB9" w:rsidTr="00DC156E">
        <w:trPr>
          <w:gridAfter w:val="3"/>
          <w:wAfter w:w="550" w:type="dxa"/>
          <w:cantSplit/>
        </w:trPr>
        <w:tc>
          <w:tcPr>
            <w:tcW w:w="9764" w:type="dxa"/>
            <w:gridSpan w:val="3"/>
          </w:tcPr>
          <w:p w:rsidR="007816CB" w:rsidRPr="007816CB" w:rsidRDefault="007816CB" w:rsidP="00337110">
            <w:pPr>
              <w:pStyle w:val="Source"/>
              <w:spacing w:before="360" w:after="0"/>
              <w:rPr>
                <w:b w:val="0"/>
                <w:bCs/>
                <w:sz w:val="24"/>
                <w:szCs w:val="24"/>
                <w:lang w:val="fr-FR"/>
              </w:rPr>
            </w:pPr>
            <w:r w:rsidRPr="007816CB">
              <w:rPr>
                <w:b w:val="0"/>
                <w:bCs/>
                <w:sz w:val="24"/>
                <w:szCs w:val="24"/>
                <w:lang w:val="fr-CH"/>
              </w:rPr>
              <w:t>Genève, 17-19 février 2010</w:t>
            </w:r>
            <w:r w:rsidRPr="007816CB">
              <w:rPr>
                <w:b w:val="0"/>
                <w:bCs/>
                <w:sz w:val="24"/>
                <w:szCs w:val="24"/>
                <w:lang w:val="fr-FR"/>
              </w:rPr>
              <w:br/>
              <w:t>(Salle B, Tour de l</w:t>
            </w:r>
            <w:r w:rsidR="008C63E8">
              <w:rPr>
                <w:b w:val="0"/>
                <w:bCs/>
                <w:sz w:val="24"/>
                <w:szCs w:val="24"/>
                <w:lang w:val="fr-FR"/>
              </w:rPr>
              <w:t>'</w:t>
            </w:r>
            <w:r w:rsidRPr="007816CB">
              <w:rPr>
                <w:b w:val="0"/>
                <w:bCs/>
                <w:sz w:val="24"/>
                <w:szCs w:val="24"/>
                <w:lang w:val="fr-FR"/>
              </w:rPr>
              <w:t>UIT)</w:t>
            </w:r>
          </w:p>
          <w:p w:rsidR="007816CB" w:rsidRPr="007816CB" w:rsidRDefault="007816CB" w:rsidP="00337110">
            <w:pPr>
              <w:pStyle w:val="Normalaftertitle"/>
              <w:rPr>
                <w:szCs w:val="24"/>
                <w:lang w:val="fr-FR"/>
              </w:rPr>
            </w:pPr>
          </w:p>
          <w:p w:rsidR="007816CB" w:rsidRPr="007816CB" w:rsidRDefault="007816CB" w:rsidP="00337110">
            <w:pPr>
              <w:rPr>
                <w:lang w:val="fr-FR"/>
              </w:rPr>
            </w:pPr>
          </w:p>
        </w:tc>
      </w:tr>
      <w:tr w:rsidR="007816CB" w:rsidRPr="00FD0EC0" w:rsidTr="00DC156E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7816CB" w:rsidRPr="007816CB" w:rsidRDefault="007816CB" w:rsidP="00337110">
            <w:pPr>
              <w:rPr>
                <w:lang w:val="fr-FR"/>
              </w:rPr>
            </w:pPr>
          </w:p>
        </w:tc>
        <w:tc>
          <w:tcPr>
            <w:tcW w:w="7840" w:type="dxa"/>
          </w:tcPr>
          <w:p w:rsidR="007816CB" w:rsidRPr="007816CB" w:rsidRDefault="007816CB" w:rsidP="00337110">
            <w:pPr>
              <w:rPr>
                <w:lang w:val="fr-FR"/>
              </w:rPr>
            </w:pPr>
          </w:p>
        </w:tc>
        <w:tc>
          <w:tcPr>
            <w:tcW w:w="1526" w:type="dxa"/>
            <w:gridSpan w:val="3"/>
          </w:tcPr>
          <w:p w:rsidR="007816CB" w:rsidRPr="008453AF" w:rsidRDefault="007816CB" w:rsidP="002000D1">
            <w:pPr>
              <w:jc w:val="center"/>
              <w:rPr>
                <w:b/>
                <w:bCs/>
              </w:rPr>
            </w:pPr>
            <w:r w:rsidRPr="008453AF">
              <w:rPr>
                <w:b/>
                <w:bCs/>
              </w:rPr>
              <w:t>Document</w:t>
            </w:r>
            <w:r w:rsidRPr="008453AF">
              <w:rPr>
                <w:b/>
                <w:bCs/>
              </w:rPr>
              <w:br/>
              <w:t>RAG</w:t>
            </w:r>
            <w:r w:rsidR="008C63E8">
              <w:rPr>
                <w:b/>
                <w:bCs/>
              </w:rPr>
              <w:t>1</w:t>
            </w:r>
            <w:r w:rsidRPr="008453AF">
              <w:rPr>
                <w:b/>
                <w:bCs/>
              </w:rPr>
              <w:t>0-1/</w:t>
            </w:r>
          </w:p>
        </w:tc>
      </w:tr>
      <w:tr w:rsidR="007816CB" w:rsidRPr="00FD0EC0" w:rsidTr="00DC156E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1</w:t>
            </w:r>
          </w:p>
        </w:tc>
        <w:tc>
          <w:tcPr>
            <w:tcW w:w="7840" w:type="dxa"/>
          </w:tcPr>
          <w:p w:rsidR="007816CB" w:rsidRPr="00FD0EC0" w:rsidRDefault="00A824DB" w:rsidP="00337110">
            <w:r w:rsidRPr="00C6686F">
              <w:rPr>
                <w:lang w:val="fr-CH"/>
              </w:rPr>
              <w:t>Remarques liminaires</w:t>
            </w:r>
          </w:p>
        </w:tc>
        <w:tc>
          <w:tcPr>
            <w:tcW w:w="1526" w:type="dxa"/>
            <w:gridSpan w:val="3"/>
          </w:tcPr>
          <w:p w:rsidR="007816CB" w:rsidRPr="00FD0EC0" w:rsidRDefault="007816CB" w:rsidP="00337110"/>
        </w:tc>
      </w:tr>
      <w:tr w:rsidR="007816CB" w:rsidRPr="00E80DB9" w:rsidTr="00DC156E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2</w:t>
            </w:r>
          </w:p>
        </w:tc>
        <w:tc>
          <w:tcPr>
            <w:tcW w:w="7840" w:type="dxa"/>
          </w:tcPr>
          <w:p w:rsidR="007816CB" w:rsidRPr="00A824DB" w:rsidRDefault="00A824DB" w:rsidP="00337110">
            <w:pPr>
              <w:rPr>
                <w:lang w:val="fr-FR"/>
              </w:rPr>
            </w:pPr>
            <w:r w:rsidRPr="00C6686F">
              <w:rPr>
                <w:lang w:val="fr-CH"/>
              </w:rPr>
              <w:t>Adoption de l</w:t>
            </w:r>
            <w:r>
              <w:rPr>
                <w:lang w:val="fr-CH"/>
              </w:rPr>
              <w:t>'</w:t>
            </w:r>
            <w:r w:rsidRPr="00C6686F">
              <w:rPr>
                <w:lang w:val="fr-CH"/>
              </w:rPr>
              <w:t>ordre du jour</w:t>
            </w:r>
          </w:p>
        </w:tc>
        <w:tc>
          <w:tcPr>
            <w:tcW w:w="1526" w:type="dxa"/>
            <w:gridSpan w:val="3"/>
          </w:tcPr>
          <w:p w:rsidR="007816CB" w:rsidRPr="00A824DB" w:rsidRDefault="007816CB" w:rsidP="00337110">
            <w:pPr>
              <w:rPr>
                <w:lang w:val="fr-FR"/>
              </w:rPr>
            </w:pPr>
          </w:p>
        </w:tc>
      </w:tr>
      <w:tr w:rsidR="007816CB" w:rsidRPr="00E80DB9" w:rsidTr="00DC156E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3</w:t>
            </w:r>
          </w:p>
        </w:tc>
        <w:tc>
          <w:tcPr>
            <w:tcW w:w="7840" w:type="dxa"/>
          </w:tcPr>
          <w:p w:rsidR="007816CB" w:rsidRPr="00A824DB" w:rsidRDefault="00A824DB" w:rsidP="00337110">
            <w:pPr>
              <w:rPr>
                <w:lang w:val="fr-FR"/>
              </w:rPr>
            </w:pPr>
            <w:r w:rsidRPr="00A824DB">
              <w:rPr>
                <w:lang w:val="fr-FR"/>
              </w:rPr>
              <w:t>Questions concernant le Conseil et la Conférence de plénipotentiaires</w:t>
            </w:r>
          </w:p>
        </w:tc>
        <w:tc>
          <w:tcPr>
            <w:tcW w:w="1526" w:type="dxa"/>
            <w:gridSpan w:val="3"/>
          </w:tcPr>
          <w:p w:rsidR="007816CB" w:rsidRPr="00A824DB" w:rsidRDefault="007816CB" w:rsidP="00337110">
            <w:pPr>
              <w:rPr>
                <w:lang w:val="fr-FR"/>
              </w:rPr>
            </w:pPr>
          </w:p>
        </w:tc>
      </w:tr>
      <w:tr w:rsidR="007816CB" w:rsidRPr="00E80DB9" w:rsidTr="00DC156E">
        <w:tblPrEx>
          <w:tblLook w:val="01E0"/>
        </w:tblPrEx>
        <w:tc>
          <w:tcPr>
            <w:tcW w:w="697" w:type="dxa"/>
          </w:tcPr>
          <w:p w:rsidR="007816CB" w:rsidRPr="00A824DB" w:rsidRDefault="007816CB" w:rsidP="00337110">
            <w:pPr>
              <w:rPr>
                <w:lang w:val="fr-FR"/>
              </w:rPr>
            </w:pPr>
          </w:p>
        </w:tc>
        <w:tc>
          <w:tcPr>
            <w:tcW w:w="7840" w:type="dxa"/>
          </w:tcPr>
          <w:p w:rsidR="007816CB" w:rsidRDefault="007816CB" w:rsidP="002000D1">
            <w:pPr>
              <w:ind w:left="794" w:hanging="794"/>
              <w:rPr>
                <w:lang w:val="fr-FR"/>
              </w:rPr>
            </w:pPr>
            <w:r w:rsidRPr="00A824DB">
              <w:rPr>
                <w:lang w:val="fr-FR"/>
              </w:rPr>
              <w:t>3.1</w:t>
            </w:r>
            <w:r w:rsidRPr="00A824DB">
              <w:rPr>
                <w:lang w:val="fr-FR"/>
              </w:rPr>
              <w:tab/>
            </w:r>
            <w:r w:rsidR="00A824DB" w:rsidRPr="00A824DB">
              <w:rPr>
                <w:lang w:val="fr-FR"/>
              </w:rPr>
              <w:t>Décisions prises par le Conseil, à sa session de 200</w:t>
            </w:r>
            <w:r w:rsidR="00A824DB">
              <w:rPr>
                <w:lang w:val="fr-FR"/>
              </w:rPr>
              <w:t>9</w:t>
            </w:r>
            <w:r w:rsidR="00A824DB" w:rsidRPr="00A824DB">
              <w:rPr>
                <w:lang w:val="fr-FR"/>
              </w:rPr>
              <w:t>, concernant le</w:t>
            </w:r>
            <w:r w:rsidR="002000D1">
              <w:rPr>
                <w:lang w:val="fr-FR"/>
              </w:rPr>
              <w:t> </w:t>
            </w:r>
            <w:r w:rsidR="00A824DB" w:rsidRPr="00A824DB">
              <w:rPr>
                <w:lang w:val="fr-FR"/>
              </w:rPr>
              <w:t>GCR</w:t>
            </w:r>
          </w:p>
          <w:p w:rsidR="00DC156E" w:rsidRPr="00A824DB" w:rsidRDefault="00DC156E" w:rsidP="002000D1">
            <w:pPr>
              <w:ind w:left="794" w:hanging="794"/>
              <w:rPr>
                <w:lang w:val="fr-FR"/>
              </w:rPr>
            </w:pPr>
            <w:r>
              <w:rPr>
                <w:lang w:val="fr-FR"/>
              </w:rPr>
              <w:t>3.2</w:t>
            </w:r>
            <w:r>
              <w:rPr>
                <w:lang w:val="fr-FR"/>
              </w:rPr>
              <w:tab/>
              <w:t>Autres questions concernant le Conseil et la Conférence de plénipotentiaires</w:t>
            </w:r>
          </w:p>
        </w:tc>
        <w:tc>
          <w:tcPr>
            <w:tcW w:w="1777" w:type="dxa"/>
            <w:gridSpan w:val="4"/>
          </w:tcPr>
          <w:p w:rsidR="007816CB" w:rsidRDefault="007816CB" w:rsidP="00E80D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23"/>
              </w:tabs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1 (§2)</w:t>
            </w:r>
          </w:p>
          <w:p w:rsidR="00DC156E" w:rsidRDefault="00DC156E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23"/>
              </w:tabs>
              <w:jc w:val="center"/>
              <w:rPr>
                <w:lang w:val="fr-CH"/>
              </w:rPr>
            </w:pPr>
          </w:p>
          <w:p w:rsidR="00DC156E" w:rsidRPr="00337110" w:rsidRDefault="00E80DB9" w:rsidP="00AD3AF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23"/>
              </w:tabs>
              <w:spacing w:before="0"/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1</w:t>
            </w:r>
            <w:r>
              <w:rPr>
                <w:lang w:val="fr-CH"/>
              </w:rPr>
              <w:t>6</w:t>
            </w:r>
            <w:r w:rsidRPr="00337110">
              <w:rPr>
                <w:lang w:val="fr-CH"/>
              </w:rPr>
              <w:t xml:space="preserve"> (§2</w:t>
            </w:r>
            <w:r>
              <w:rPr>
                <w:lang w:val="fr-CH"/>
              </w:rPr>
              <w:t>.5</w:t>
            </w:r>
            <w:r w:rsidRPr="00337110">
              <w:rPr>
                <w:lang w:val="fr-CH"/>
              </w:rPr>
              <w:t>)</w:t>
            </w:r>
            <w:r>
              <w:rPr>
                <w:lang w:val="fr-CH"/>
              </w:rPr>
              <w:t xml:space="preserve">, </w:t>
            </w:r>
            <w:r w:rsidR="00DC156E">
              <w:rPr>
                <w:lang w:val="fr-CH"/>
              </w:rPr>
              <w:t>19, 20</w:t>
            </w:r>
            <w:r w:rsidR="00AD3AF4">
              <w:rPr>
                <w:lang w:val="fr-CH"/>
              </w:rPr>
              <w:t xml:space="preserve">, 23 </w:t>
            </w:r>
            <w:r w:rsidR="00AD3AF4" w:rsidRPr="00E80DB9">
              <w:rPr>
                <w:lang w:val="fr-CH"/>
              </w:rPr>
              <w:t>(§5)</w:t>
            </w:r>
            <w:r>
              <w:rPr>
                <w:lang w:val="fr-CH"/>
              </w:rPr>
              <w:t>, 27</w:t>
            </w:r>
          </w:p>
        </w:tc>
      </w:tr>
      <w:tr w:rsidR="007816CB" w:rsidRPr="00E80DB9" w:rsidTr="00DC156E">
        <w:tblPrEx>
          <w:tblLook w:val="01E0"/>
        </w:tblPrEx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  <w:r w:rsidRPr="00337110">
              <w:rPr>
                <w:lang w:val="fr-CH"/>
              </w:rPr>
              <w:t>4</w:t>
            </w:r>
          </w:p>
        </w:tc>
        <w:tc>
          <w:tcPr>
            <w:tcW w:w="7840" w:type="dxa"/>
          </w:tcPr>
          <w:p w:rsidR="007816CB" w:rsidRPr="00337110" w:rsidRDefault="00A824DB" w:rsidP="00337110">
            <w:pPr>
              <w:rPr>
                <w:lang w:val="fr-CH"/>
              </w:rPr>
            </w:pPr>
            <w:r>
              <w:rPr>
                <w:lang w:val="fr-CH"/>
              </w:rPr>
              <w:t>Activités des c</w:t>
            </w:r>
            <w:r w:rsidRPr="00C6686F">
              <w:rPr>
                <w:lang w:val="fr-CH"/>
              </w:rPr>
              <w:t>ommissions d</w:t>
            </w:r>
            <w:r>
              <w:rPr>
                <w:lang w:val="fr-CH"/>
              </w:rPr>
              <w:t>'</w:t>
            </w:r>
            <w:r w:rsidRPr="00C6686F">
              <w:rPr>
                <w:lang w:val="fr-CH"/>
              </w:rPr>
              <w:t>études</w:t>
            </w:r>
            <w:r w:rsidR="007816CB" w:rsidRPr="00337110">
              <w:rPr>
                <w:lang w:val="fr-CH"/>
              </w:rPr>
              <w:t>:</w:t>
            </w:r>
          </w:p>
        </w:tc>
        <w:tc>
          <w:tcPr>
            <w:tcW w:w="1777" w:type="dxa"/>
            <w:gridSpan w:val="4"/>
          </w:tcPr>
          <w:p w:rsidR="007816CB" w:rsidRPr="00337110" w:rsidRDefault="007816CB" w:rsidP="002000D1">
            <w:pPr>
              <w:jc w:val="center"/>
              <w:rPr>
                <w:lang w:val="fr-CH"/>
              </w:rPr>
            </w:pPr>
          </w:p>
        </w:tc>
      </w:tr>
      <w:tr w:rsidR="007816CB" w:rsidRPr="00337110" w:rsidTr="00DC156E">
        <w:tblPrEx>
          <w:tblLook w:val="01E0"/>
        </w:tblPrEx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</w:p>
        </w:tc>
        <w:tc>
          <w:tcPr>
            <w:tcW w:w="7840" w:type="dxa"/>
          </w:tcPr>
          <w:p w:rsidR="007816CB" w:rsidRPr="00A824DB" w:rsidRDefault="007816CB" w:rsidP="00337110">
            <w:pPr>
              <w:rPr>
                <w:lang w:val="fr-FR"/>
              </w:rPr>
            </w:pPr>
            <w:r w:rsidRPr="00A824DB">
              <w:rPr>
                <w:lang w:val="fr-FR"/>
              </w:rPr>
              <w:t>4.1</w:t>
            </w:r>
            <w:r w:rsidRPr="00A824DB">
              <w:rPr>
                <w:lang w:val="fr-FR"/>
              </w:rPr>
              <w:tab/>
            </w:r>
            <w:r w:rsidR="00A824DB" w:rsidRPr="00A824DB">
              <w:rPr>
                <w:lang w:val="fr-FR"/>
              </w:rPr>
              <w:t>Méthodes de travail et activités des Commissions d'études de l'UIT</w:t>
            </w:r>
            <w:r w:rsidR="00A824DB" w:rsidRPr="00A824DB">
              <w:rPr>
                <w:lang w:val="fr-FR"/>
              </w:rPr>
              <w:noBreakHyphen/>
              <w:t>R</w:t>
            </w:r>
          </w:p>
        </w:tc>
        <w:tc>
          <w:tcPr>
            <w:tcW w:w="1777" w:type="dxa"/>
            <w:gridSpan w:val="4"/>
          </w:tcPr>
          <w:p w:rsidR="007816CB" w:rsidRPr="00337110" w:rsidRDefault="002000D1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53"/>
              </w:tabs>
              <w:jc w:val="center"/>
              <w:rPr>
                <w:lang w:val="fr-CH"/>
              </w:rPr>
            </w:pPr>
            <w:r>
              <w:rPr>
                <w:lang w:val="fr-CH"/>
              </w:rPr>
              <w:t>1 (§ 3.1, 3.3</w:t>
            </w:r>
            <w:r w:rsidR="00D35B79">
              <w:rPr>
                <w:lang w:val="fr-CH"/>
              </w:rPr>
              <w:t xml:space="preserve">, </w:t>
            </w:r>
            <w:proofErr w:type="spellStart"/>
            <w:r w:rsidR="00D35B79">
              <w:rPr>
                <w:lang w:val="fr-CH"/>
              </w:rPr>
              <w:t>Add</w:t>
            </w:r>
            <w:proofErr w:type="spellEnd"/>
            <w:r w:rsidR="00D35B79">
              <w:rPr>
                <w:lang w:val="fr-CH"/>
              </w:rPr>
              <w:t>.2</w:t>
            </w:r>
            <w:r>
              <w:rPr>
                <w:lang w:val="fr-CH"/>
              </w:rPr>
              <w:t>)</w:t>
            </w:r>
            <w:proofErr w:type="gramStart"/>
            <w:r>
              <w:rPr>
                <w:lang w:val="fr-CH"/>
              </w:rPr>
              <w:t>,</w:t>
            </w:r>
            <w:proofErr w:type="gramEnd"/>
            <w:r>
              <w:rPr>
                <w:lang w:val="fr-CH"/>
              </w:rPr>
              <w:br/>
            </w:r>
            <w:r w:rsidR="007816CB" w:rsidRPr="00337110">
              <w:rPr>
                <w:lang w:val="fr-CH"/>
              </w:rPr>
              <w:t>2, 5</w:t>
            </w:r>
            <w:r w:rsidR="00DC156E">
              <w:rPr>
                <w:lang w:val="fr-CH"/>
              </w:rPr>
              <w:t>, 10, 12, 14, 15, 18</w:t>
            </w:r>
            <w:r w:rsidR="00AD3AF4">
              <w:rPr>
                <w:lang w:val="fr-CH"/>
              </w:rPr>
              <w:t>, 23</w:t>
            </w:r>
            <w:r w:rsidR="00E80DB9">
              <w:rPr>
                <w:lang w:val="fr-CH"/>
              </w:rPr>
              <w:t>, 26</w:t>
            </w:r>
          </w:p>
        </w:tc>
      </w:tr>
      <w:tr w:rsidR="007816CB" w:rsidRPr="00337110" w:rsidTr="00DC156E">
        <w:tblPrEx>
          <w:tblLook w:val="01E0"/>
        </w:tblPrEx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</w:p>
        </w:tc>
        <w:tc>
          <w:tcPr>
            <w:tcW w:w="7840" w:type="dxa"/>
          </w:tcPr>
          <w:p w:rsidR="007816CB" w:rsidRPr="002F343A" w:rsidRDefault="007816CB" w:rsidP="00337110">
            <w:pPr>
              <w:rPr>
                <w:lang w:val="fr-FR"/>
              </w:rPr>
            </w:pPr>
            <w:r w:rsidRPr="002F343A">
              <w:rPr>
                <w:lang w:val="fr-FR"/>
              </w:rPr>
              <w:t>4.2</w:t>
            </w:r>
            <w:r w:rsidRPr="002F343A">
              <w:rPr>
                <w:lang w:val="fr-FR"/>
              </w:rPr>
              <w:tab/>
            </w:r>
            <w:r w:rsidR="002F343A" w:rsidRPr="002F343A">
              <w:rPr>
                <w:lang w:val="fr-FR"/>
              </w:rPr>
              <w:t>Travaux préparatoires des Com</w:t>
            </w:r>
            <w:r w:rsidR="002F343A">
              <w:rPr>
                <w:lang w:val="fr-FR"/>
              </w:rPr>
              <w:t>missions d'études pour la CMR-12</w:t>
            </w:r>
          </w:p>
        </w:tc>
        <w:tc>
          <w:tcPr>
            <w:tcW w:w="1777" w:type="dxa"/>
            <w:gridSpan w:val="4"/>
          </w:tcPr>
          <w:p w:rsidR="007816CB" w:rsidRPr="00337110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1 (§ 3.2)</w:t>
            </w:r>
            <w:r w:rsidR="00DC156E">
              <w:rPr>
                <w:lang w:val="fr-CH"/>
              </w:rPr>
              <w:t>, 17</w:t>
            </w:r>
          </w:p>
        </w:tc>
      </w:tr>
      <w:tr w:rsidR="007816CB" w:rsidRPr="00337110" w:rsidTr="00DC156E">
        <w:tblPrEx>
          <w:tblLook w:val="01E0"/>
        </w:tblPrEx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</w:p>
        </w:tc>
        <w:tc>
          <w:tcPr>
            <w:tcW w:w="7840" w:type="dxa"/>
          </w:tcPr>
          <w:p w:rsidR="007816CB" w:rsidRPr="00A824DB" w:rsidRDefault="007816CB" w:rsidP="00337110">
            <w:pPr>
              <w:ind w:left="794" w:hanging="794"/>
              <w:rPr>
                <w:lang w:val="fr-FR"/>
              </w:rPr>
            </w:pPr>
            <w:r w:rsidRPr="00A824DB">
              <w:rPr>
                <w:lang w:val="fr-FR"/>
              </w:rPr>
              <w:t>4.3</w:t>
            </w:r>
            <w:r w:rsidRPr="00A824DB">
              <w:rPr>
                <w:lang w:val="fr-FR"/>
              </w:rPr>
              <w:tab/>
            </w:r>
            <w:r w:rsidR="00A824DB" w:rsidRPr="00A824DB">
              <w:rPr>
                <w:lang w:val="fr-FR"/>
              </w:rPr>
              <w:t>Liaison et collaboration avec l'UIT-T et l'UIT-D et avec d'autres organisations</w:t>
            </w:r>
          </w:p>
        </w:tc>
        <w:tc>
          <w:tcPr>
            <w:tcW w:w="1777" w:type="dxa"/>
            <w:gridSpan w:val="4"/>
          </w:tcPr>
          <w:p w:rsidR="007816CB" w:rsidRPr="00337110" w:rsidRDefault="00337110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68"/>
              </w:tabs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1 (§ 3.4),</w:t>
            </w:r>
            <w:r w:rsidRPr="00337110">
              <w:rPr>
                <w:lang w:val="fr-CH"/>
              </w:rPr>
              <w:br/>
            </w:r>
            <w:r w:rsidR="007816CB" w:rsidRPr="00337110">
              <w:rPr>
                <w:lang w:val="fr-CH"/>
              </w:rPr>
              <w:t>3, 6</w:t>
            </w:r>
            <w:r w:rsidR="00DC156E">
              <w:rPr>
                <w:lang w:val="fr-CH"/>
              </w:rPr>
              <w:t>, 8, 9, 11, 13, 16</w:t>
            </w:r>
            <w:r w:rsidR="00D35B79">
              <w:rPr>
                <w:lang w:val="fr-CH"/>
              </w:rPr>
              <w:t>, 24, 25</w:t>
            </w:r>
            <w:r w:rsidR="00D910A3">
              <w:rPr>
                <w:lang w:val="fr-CH"/>
              </w:rPr>
              <w:t>, 26</w:t>
            </w:r>
            <w:r w:rsidR="00E80DB9">
              <w:rPr>
                <w:lang w:val="fr-CH"/>
              </w:rPr>
              <w:t>, 28</w:t>
            </w:r>
          </w:p>
        </w:tc>
      </w:tr>
      <w:tr w:rsidR="007816CB" w:rsidRPr="00337110" w:rsidTr="00DC156E">
        <w:tblPrEx>
          <w:tblLook w:val="01E0"/>
        </w:tblPrEx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</w:p>
        </w:tc>
        <w:tc>
          <w:tcPr>
            <w:tcW w:w="7840" w:type="dxa"/>
          </w:tcPr>
          <w:p w:rsidR="007816CB" w:rsidRPr="00A824DB" w:rsidRDefault="007816CB" w:rsidP="00337110">
            <w:pPr>
              <w:ind w:left="794" w:hanging="794"/>
              <w:rPr>
                <w:lang w:val="fr-FR"/>
              </w:rPr>
            </w:pPr>
            <w:r w:rsidRPr="00A824DB">
              <w:rPr>
                <w:lang w:val="fr-FR"/>
              </w:rPr>
              <w:t>4.4</w:t>
            </w:r>
            <w:r w:rsidRPr="00A824DB">
              <w:rPr>
                <w:lang w:val="fr-FR"/>
              </w:rPr>
              <w:tab/>
            </w:r>
            <w:r w:rsidR="00A824DB" w:rsidRPr="00A824DB">
              <w:rPr>
                <w:lang w:val="fr-FR"/>
              </w:rPr>
              <w:t>Rapport du Président du Groupe de travail par correspondance sur le traitement électronique des documents (EDH)</w:t>
            </w:r>
          </w:p>
        </w:tc>
        <w:tc>
          <w:tcPr>
            <w:tcW w:w="1777" w:type="dxa"/>
            <w:gridSpan w:val="4"/>
          </w:tcPr>
          <w:p w:rsidR="007816CB" w:rsidRPr="00337110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38"/>
              </w:tabs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4</w:t>
            </w:r>
          </w:p>
        </w:tc>
      </w:tr>
    </w:tbl>
    <w:p w:rsidR="00081DE0" w:rsidRDefault="00081DE0">
      <w:r>
        <w:br w:type="page"/>
      </w:r>
    </w:p>
    <w:tbl>
      <w:tblPr>
        <w:tblW w:w="10314" w:type="dxa"/>
        <w:tblLayout w:type="fixed"/>
        <w:tblLook w:val="01E0"/>
      </w:tblPr>
      <w:tblGrid>
        <w:gridCol w:w="697"/>
        <w:gridCol w:w="7840"/>
        <w:gridCol w:w="1409"/>
        <w:gridCol w:w="117"/>
        <w:gridCol w:w="251"/>
      </w:tblGrid>
      <w:tr w:rsidR="007816CB" w:rsidRPr="00E80DB9" w:rsidTr="00DC156E">
        <w:tc>
          <w:tcPr>
            <w:tcW w:w="697" w:type="dxa"/>
          </w:tcPr>
          <w:p w:rsidR="007816CB" w:rsidRPr="00337110" w:rsidRDefault="007816CB" w:rsidP="00337110">
            <w:pPr>
              <w:rPr>
                <w:lang w:val="fr-CH"/>
              </w:rPr>
            </w:pPr>
            <w:r w:rsidRPr="00337110">
              <w:rPr>
                <w:lang w:val="fr-CH"/>
              </w:rPr>
              <w:lastRenderedPageBreak/>
              <w:t>5</w:t>
            </w:r>
          </w:p>
        </w:tc>
        <w:tc>
          <w:tcPr>
            <w:tcW w:w="7840" w:type="dxa"/>
          </w:tcPr>
          <w:p w:rsidR="007816CB" w:rsidRPr="007E5B5F" w:rsidRDefault="007E5B5F" w:rsidP="00337110">
            <w:pPr>
              <w:rPr>
                <w:lang w:val="fr-FR"/>
              </w:rPr>
            </w:pPr>
            <w:r>
              <w:rPr>
                <w:lang w:val="fr-CH"/>
              </w:rPr>
              <w:t>Questions relatives à la CMR</w:t>
            </w:r>
          </w:p>
        </w:tc>
        <w:tc>
          <w:tcPr>
            <w:tcW w:w="1777" w:type="dxa"/>
            <w:gridSpan w:val="3"/>
          </w:tcPr>
          <w:p w:rsidR="007816CB" w:rsidRPr="007E5B5F" w:rsidRDefault="007816CB" w:rsidP="002000D1">
            <w:pPr>
              <w:jc w:val="center"/>
              <w:rPr>
                <w:lang w:val="fr-FR"/>
              </w:rPr>
            </w:pPr>
          </w:p>
        </w:tc>
      </w:tr>
      <w:tr w:rsidR="007816CB" w:rsidTr="00DC156E">
        <w:tc>
          <w:tcPr>
            <w:tcW w:w="697" w:type="dxa"/>
          </w:tcPr>
          <w:p w:rsidR="007816CB" w:rsidRPr="007E5B5F" w:rsidRDefault="007816CB" w:rsidP="00337110">
            <w:pPr>
              <w:rPr>
                <w:lang w:val="fr-FR"/>
              </w:rPr>
            </w:pPr>
          </w:p>
        </w:tc>
        <w:tc>
          <w:tcPr>
            <w:tcW w:w="7840" w:type="dxa"/>
          </w:tcPr>
          <w:p w:rsidR="007816CB" w:rsidRPr="00B158E5" w:rsidRDefault="007816CB" w:rsidP="002000D1">
            <w:r w:rsidRPr="00617949">
              <w:t>5.1</w:t>
            </w:r>
            <w:r w:rsidRPr="00B158E5">
              <w:tab/>
            </w:r>
            <w:r w:rsidR="007E5B5F">
              <w:rPr>
                <w:lang w:val="fr-CH"/>
              </w:rPr>
              <w:t xml:space="preserve">Activités </w:t>
            </w:r>
            <w:proofErr w:type="spellStart"/>
            <w:r w:rsidR="007E5B5F">
              <w:rPr>
                <w:lang w:val="fr-CH"/>
              </w:rPr>
              <w:t>postconférence</w:t>
            </w:r>
            <w:r w:rsidR="002000D1">
              <w:rPr>
                <w:lang w:val="fr-CH"/>
              </w:rPr>
              <w:t>s</w:t>
            </w:r>
            <w:proofErr w:type="spellEnd"/>
            <w:r w:rsidR="002000D1">
              <w:rPr>
                <w:lang w:val="fr-CH"/>
              </w:rPr>
              <w:t xml:space="preserve"> </w:t>
            </w:r>
            <w:r w:rsidR="007E5B5F">
              <w:rPr>
                <w:lang w:val="fr-CH"/>
              </w:rPr>
              <w:t>CMR</w:t>
            </w:r>
            <w:r w:rsidR="007E5B5F">
              <w:rPr>
                <w:lang w:val="fr-CH"/>
              </w:rPr>
              <w:noBreakHyphen/>
              <w:t>07</w:t>
            </w:r>
          </w:p>
        </w:tc>
        <w:tc>
          <w:tcPr>
            <w:tcW w:w="1777" w:type="dxa"/>
            <w:gridSpan w:val="3"/>
          </w:tcPr>
          <w:p w:rsidR="007816CB" w:rsidRPr="00B158E5" w:rsidRDefault="007816CB" w:rsidP="002000D1">
            <w:pPr>
              <w:jc w:val="center"/>
            </w:pPr>
            <w:r>
              <w:t>1 (§ 4.1)</w:t>
            </w:r>
          </w:p>
        </w:tc>
      </w:tr>
      <w:tr w:rsidR="007816CB" w:rsidTr="00DC156E">
        <w:tc>
          <w:tcPr>
            <w:tcW w:w="697" w:type="dxa"/>
          </w:tcPr>
          <w:p w:rsidR="007816CB" w:rsidRDefault="007816CB" w:rsidP="00337110"/>
        </w:tc>
        <w:tc>
          <w:tcPr>
            <w:tcW w:w="7840" w:type="dxa"/>
          </w:tcPr>
          <w:p w:rsidR="007816CB" w:rsidRPr="00B158E5" w:rsidRDefault="007816CB" w:rsidP="00337110">
            <w:r w:rsidRPr="00617949">
              <w:t>5.2</w:t>
            </w:r>
            <w:r w:rsidRPr="00B158E5">
              <w:tab/>
            </w:r>
            <w:r w:rsidR="007E5B5F">
              <w:rPr>
                <w:lang w:val="fr-CH"/>
              </w:rPr>
              <w:t>Préparation de la CMR</w:t>
            </w:r>
            <w:r w:rsidR="007E5B5F">
              <w:rPr>
                <w:lang w:val="fr-CH"/>
              </w:rPr>
              <w:noBreakHyphen/>
              <w:t>12</w:t>
            </w:r>
          </w:p>
        </w:tc>
        <w:tc>
          <w:tcPr>
            <w:tcW w:w="1777" w:type="dxa"/>
            <w:gridSpan w:val="3"/>
          </w:tcPr>
          <w:p w:rsidR="007816CB" w:rsidRPr="00B158E5" w:rsidRDefault="007816CB" w:rsidP="002000D1">
            <w:pPr>
              <w:jc w:val="center"/>
            </w:pPr>
            <w:r>
              <w:t>1 (§ 4.2)</w:t>
            </w:r>
          </w:p>
        </w:tc>
      </w:tr>
      <w:tr w:rsidR="007816CB" w:rsidTr="00DC156E">
        <w:trPr>
          <w:gridAfter w:val="1"/>
          <w:wAfter w:w="251" w:type="dxa"/>
        </w:trPr>
        <w:tc>
          <w:tcPr>
            <w:tcW w:w="697" w:type="dxa"/>
          </w:tcPr>
          <w:p w:rsidR="007816CB" w:rsidRPr="00617949" w:rsidRDefault="007816CB" w:rsidP="00DC156E">
            <w:r>
              <w:br w:type="page"/>
            </w:r>
            <w:r w:rsidRPr="00617949">
              <w:t>6</w:t>
            </w:r>
          </w:p>
        </w:tc>
        <w:tc>
          <w:tcPr>
            <w:tcW w:w="7840" w:type="dxa"/>
          </w:tcPr>
          <w:p w:rsidR="007816CB" w:rsidRPr="007E5B5F" w:rsidRDefault="007E5B5F" w:rsidP="00337110">
            <w:pPr>
              <w:rPr>
                <w:lang w:val="fr-FR"/>
              </w:rPr>
            </w:pPr>
            <w:r w:rsidRPr="007E5B5F">
              <w:rPr>
                <w:lang w:val="fr-FR"/>
              </w:rPr>
              <w:t>Plans stratégique, financier et opératio</w:t>
            </w:r>
            <w:r>
              <w:rPr>
                <w:lang w:val="fr-FR"/>
              </w:rPr>
              <w:t>nnel</w:t>
            </w:r>
          </w:p>
        </w:tc>
        <w:tc>
          <w:tcPr>
            <w:tcW w:w="1526" w:type="dxa"/>
            <w:gridSpan w:val="2"/>
          </w:tcPr>
          <w:p w:rsidR="007816CB" w:rsidRPr="00B158E5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38"/>
              </w:tabs>
              <w:jc w:val="center"/>
            </w:pPr>
            <w:r>
              <w:t>1 (§ 6)</w:t>
            </w:r>
          </w:p>
        </w:tc>
      </w:tr>
      <w:tr w:rsidR="007816CB" w:rsidTr="00DC156E">
        <w:trPr>
          <w:gridAfter w:val="1"/>
          <w:wAfter w:w="251" w:type="dxa"/>
        </w:trPr>
        <w:tc>
          <w:tcPr>
            <w:tcW w:w="697" w:type="dxa"/>
          </w:tcPr>
          <w:p w:rsidR="007816CB" w:rsidRDefault="007816CB" w:rsidP="00337110"/>
        </w:tc>
        <w:tc>
          <w:tcPr>
            <w:tcW w:w="7840" w:type="dxa"/>
          </w:tcPr>
          <w:p w:rsidR="007816CB" w:rsidRPr="00B158E5" w:rsidRDefault="007816CB" w:rsidP="00337110">
            <w:r w:rsidRPr="00617949">
              <w:t>6.1</w:t>
            </w:r>
            <w:r w:rsidRPr="00B158E5">
              <w:tab/>
            </w:r>
            <w:r w:rsidR="007E5B5F" w:rsidRPr="00D652A2">
              <w:t xml:space="preserve">Rapport </w:t>
            </w:r>
            <w:r w:rsidR="007E5B5F" w:rsidRPr="002F343A">
              <w:rPr>
                <w:lang w:val="fr-FR"/>
              </w:rPr>
              <w:t>d'activité</w:t>
            </w:r>
            <w:r w:rsidR="007E5B5F" w:rsidRPr="00D652A2">
              <w:t xml:space="preserve"> pour 200</w:t>
            </w:r>
            <w:r w:rsidR="007E5B5F">
              <w:t>9</w:t>
            </w:r>
          </w:p>
        </w:tc>
        <w:tc>
          <w:tcPr>
            <w:tcW w:w="1526" w:type="dxa"/>
            <w:gridSpan w:val="2"/>
          </w:tcPr>
          <w:p w:rsidR="007816CB" w:rsidRPr="00B158E5" w:rsidRDefault="007816CB" w:rsidP="002000D1">
            <w:pPr>
              <w:jc w:val="center"/>
            </w:pPr>
          </w:p>
        </w:tc>
      </w:tr>
      <w:tr w:rsidR="007816CB" w:rsidRPr="00E80DB9" w:rsidTr="00DC156E">
        <w:trPr>
          <w:gridAfter w:val="1"/>
          <w:wAfter w:w="251" w:type="dxa"/>
        </w:trPr>
        <w:tc>
          <w:tcPr>
            <w:tcW w:w="697" w:type="dxa"/>
          </w:tcPr>
          <w:p w:rsidR="007816CB" w:rsidRDefault="007816CB" w:rsidP="00337110"/>
        </w:tc>
        <w:tc>
          <w:tcPr>
            <w:tcW w:w="7840" w:type="dxa"/>
          </w:tcPr>
          <w:p w:rsidR="007816CB" w:rsidRPr="007E5B5F" w:rsidRDefault="007816CB" w:rsidP="00337110">
            <w:pPr>
              <w:rPr>
                <w:lang w:val="fr-FR"/>
              </w:rPr>
            </w:pPr>
            <w:r w:rsidRPr="007E5B5F">
              <w:rPr>
                <w:lang w:val="fr-FR"/>
              </w:rPr>
              <w:t>6.2</w:t>
            </w:r>
            <w:r w:rsidRPr="007E5B5F">
              <w:rPr>
                <w:lang w:val="fr-FR"/>
              </w:rPr>
              <w:tab/>
            </w:r>
            <w:r w:rsidR="007E5B5F" w:rsidRPr="00C6686F">
              <w:rPr>
                <w:lang w:val="fr-CH"/>
              </w:rPr>
              <w:t>Projet de Plan opérationnel pour la période 20</w:t>
            </w:r>
            <w:r w:rsidR="007E5B5F">
              <w:rPr>
                <w:lang w:val="fr-CH"/>
              </w:rPr>
              <w:t>11</w:t>
            </w:r>
            <w:r w:rsidR="007E5B5F" w:rsidRPr="00C6686F">
              <w:rPr>
                <w:lang w:val="fr-CH"/>
              </w:rPr>
              <w:t>-201</w:t>
            </w:r>
            <w:r w:rsidR="007E5B5F">
              <w:rPr>
                <w:lang w:val="fr-CH"/>
              </w:rPr>
              <w:t>4</w:t>
            </w:r>
          </w:p>
        </w:tc>
        <w:tc>
          <w:tcPr>
            <w:tcW w:w="1526" w:type="dxa"/>
            <w:gridSpan w:val="2"/>
          </w:tcPr>
          <w:p w:rsidR="007816CB" w:rsidRPr="007E5B5F" w:rsidRDefault="007816CB" w:rsidP="002000D1">
            <w:pPr>
              <w:jc w:val="center"/>
              <w:rPr>
                <w:lang w:val="fr-FR"/>
              </w:rPr>
            </w:pPr>
          </w:p>
        </w:tc>
      </w:tr>
      <w:tr w:rsidR="007816CB" w:rsidRPr="00E80DB9" w:rsidTr="00DC156E">
        <w:trPr>
          <w:gridAfter w:val="1"/>
          <w:wAfter w:w="251" w:type="dxa"/>
        </w:trPr>
        <w:tc>
          <w:tcPr>
            <w:tcW w:w="697" w:type="dxa"/>
          </w:tcPr>
          <w:p w:rsidR="007816CB" w:rsidRPr="007E5B5F" w:rsidRDefault="007816CB" w:rsidP="00337110">
            <w:pPr>
              <w:rPr>
                <w:lang w:val="fr-FR"/>
              </w:rPr>
            </w:pPr>
          </w:p>
        </w:tc>
        <w:tc>
          <w:tcPr>
            <w:tcW w:w="7840" w:type="dxa"/>
          </w:tcPr>
          <w:p w:rsidR="007816CB" w:rsidRPr="007E5B5F" w:rsidRDefault="007816CB" w:rsidP="00337110">
            <w:pPr>
              <w:ind w:left="794" w:hanging="794"/>
              <w:rPr>
                <w:lang w:val="fr-FR"/>
              </w:rPr>
            </w:pPr>
            <w:r w:rsidRPr="007E5B5F">
              <w:rPr>
                <w:lang w:val="fr-FR"/>
              </w:rPr>
              <w:t>6.3</w:t>
            </w:r>
            <w:r w:rsidRPr="007E5B5F">
              <w:rPr>
                <w:lang w:val="fr-FR"/>
              </w:rPr>
              <w:tab/>
            </w:r>
            <w:r w:rsidR="007E5B5F" w:rsidRPr="007E5B5F">
              <w:rPr>
                <w:lang w:val="fr-FR"/>
              </w:rPr>
              <w:t>Rapport du Président du Groupe de travail par correspondance sur le Plan opérationnel</w:t>
            </w:r>
          </w:p>
        </w:tc>
        <w:tc>
          <w:tcPr>
            <w:tcW w:w="1526" w:type="dxa"/>
            <w:gridSpan w:val="2"/>
          </w:tcPr>
          <w:p w:rsidR="007816CB" w:rsidRPr="007E5B5F" w:rsidRDefault="007816CB" w:rsidP="002000D1">
            <w:pPr>
              <w:jc w:val="center"/>
              <w:rPr>
                <w:lang w:val="fr-FR"/>
              </w:rPr>
            </w:pPr>
          </w:p>
        </w:tc>
      </w:tr>
      <w:tr w:rsidR="007816CB" w:rsidRPr="00DC156E" w:rsidTr="00DC156E">
        <w:trPr>
          <w:gridAfter w:val="1"/>
          <w:wAfter w:w="251" w:type="dxa"/>
        </w:trPr>
        <w:tc>
          <w:tcPr>
            <w:tcW w:w="697" w:type="dxa"/>
          </w:tcPr>
          <w:p w:rsidR="007816CB" w:rsidRPr="007E5B5F" w:rsidRDefault="007816CB" w:rsidP="00337110">
            <w:pPr>
              <w:rPr>
                <w:lang w:val="fr-FR"/>
              </w:rPr>
            </w:pPr>
          </w:p>
        </w:tc>
        <w:tc>
          <w:tcPr>
            <w:tcW w:w="7840" w:type="dxa"/>
          </w:tcPr>
          <w:p w:rsidR="007816CB" w:rsidRPr="001A7EE5" w:rsidRDefault="007816CB" w:rsidP="00337110">
            <w:pPr>
              <w:ind w:left="794" w:hanging="794"/>
              <w:rPr>
                <w:lang w:val="fr-FR"/>
              </w:rPr>
            </w:pPr>
            <w:r w:rsidRPr="001A7EE5">
              <w:rPr>
                <w:lang w:val="fr-FR"/>
              </w:rPr>
              <w:t>6.4</w:t>
            </w:r>
            <w:r w:rsidRPr="001A7EE5">
              <w:rPr>
                <w:lang w:val="fr-FR"/>
              </w:rPr>
              <w:tab/>
            </w:r>
            <w:r w:rsidR="001A7EE5" w:rsidRPr="001A7EE5">
              <w:rPr>
                <w:lang w:val="fr-FR"/>
              </w:rPr>
              <w:t>Rapports d</w:t>
            </w:r>
            <w:r w:rsidR="008C63E8">
              <w:rPr>
                <w:lang w:val="fr-FR"/>
              </w:rPr>
              <w:t>'</w:t>
            </w:r>
            <w:r w:rsidR="001A7EE5" w:rsidRPr="001A7EE5">
              <w:rPr>
                <w:lang w:val="fr-FR"/>
              </w:rPr>
              <w:t>avancement sur la pr</w:t>
            </w:r>
            <w:r w:rsidR="001A7EE5">
              <w:rPr>
                <w:lang w:val="fr-FR"/>
              </w:rPr>
              <w:t>é</w:t>
            </w:r>
            <w:r w:rsidR="001A7EE5" w:rsidRPr="001A7EE5">
              <w:rPr>
                <w:lang w:val="fr-FR"/>
              </w:rPr>
              <w:t>paration des projets de plans stratégique et financier pour</w:t>
            </w:r>
            <w:r w:rsidRPr="001A7EE5">
              <w:rPr>
                <w:lang w:val="fr-FR"/>
              </w:rPr>
              <w:t xml:space="preserve"> 2012-2015</w:t>
            </w:r>
          </w:p>
        </w:tc>
        <w:tc>
          <w:tcPr>
            <w:tcW w:w="1526" w:type="dxa"/>
            <w:gridSpan w:val="2"/>
          </w:tcPr>
          <w:p w:rsidR="007816CB" w:rsidRPr="001A7EE5" w:rsidRDefault="00DC156E" w:rsidP="00DC156E">
            <w:pPr>
              <w:spacing w:before="160"/>
              <w:jc w:val="center"/>
              <w:rPr>
                <w:lang w:val="fr-FR"/>
              </w:rPr>
            </w:pPr>
            <w:r>
              <w:rPr>
                <w:lang w:val="fr-FR"/>
              </w:rPr>
              <w:t>7, 22</w:t>
            </w:r>
          </w:p>
        </w:tc>
      </w:tr>
      <w:tr w:rsidR="007816CB" w:rsidTr="00DC156E">
        <w:trPr>
          <w:gridAfter w:val="2"/>
          <w:wAfter w:w="368" w:type="dxa"/>
        </w:trPr>
        <w:tc>
          <w:tcPr>
            <w:tcW w:w="697" w:type="dxa"/>
          </w:tcPr>
          <w:p w:rsidR="007816CB" w:rsidRPr="00617949" w:rsidRDefault="007816CB" w:rsidP="00337110">
            <w:pPr>
              <w:rPr>
                <w:highlight w:val="yellow"/>
              </w:rPr>
            </w:pPr>
            <w:r w:rsidRPr="00617949">
              <w:t>7</w:t>
            </w:r>
          </w:p>
        </w:tc>
        <w:tc>
          <w:tcPr>
            <w:tcW w:w="7840" w:type="dxa"/>
          </w:tcPr>
          <w:p w:rsidR="007816CB" w:rsidRPr="00B158E5" w:rsidRDefault="001A7EE5" w:rsidP="00337110">
            <w:r w:rsidRPr="002F343A">
              <w:rPr>
                <w:lang w:val="fr-FR"/>
              </w:rPr>
              <w:t>Séminaires</w:t>
            </w:r>
            <w:r w:rsidRPr="00D652A2">
              <w:t xml:space="preserve"> et ateliers</w:t>
            </w:r>
          </w:p>
        </w:tc>
        <w:tc>
          <w:tcPr>
            <w:tcW w:w="1409" w:type="dxa"/>
          </w:tcPr>
          <w:p w:rsidR="007816CB" w:rsidRPr="008453AF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08"/>
              </w:tabs>
              <w:jc w:val="center"/>
              <w:rPr>
                <w:highlight w:val="yellow"/>
              </w:rPr>
            </w:pPr>
            <w:r>
              <w:t>1 (§ 5)</w:t>
            </w:r>
          </w:p>
        </w:tc>
      </w:tr>
      <w:tr w:rsidR="007816CB" w:rsidTr="00DC156E">
        <w:trPr>
          <w:gridAfter w:val="2"/>
          <w:wAfter w:w="368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8</w:t>
            </w:r>
          </w:p>
        </w:tc>
        <w:tc>
          <w:tcPr>
            <w:tcW w:w="7840" w:type="dxa"/>
          </w:tcPr>
          <w:p w:rsidR="007816CB" w:rsidRPr="00B158E5" w:rsidRDefault="001A7EE5" w:rsidP="00337110">
            <w:r w:rsidRPr="002F343A">
              <w:rPr>
                <w:lang w:val="fr-FR"/>
              </w:rPr>
              <w:t>Activités</w:t>
            </w:r>
            <w:r>
              <w:t xml:space="preserve"> </w:t>
            </w:r>
            <w:r w:rsidRPr="002F343A">
              <w:rPr>
                <w:lang w:val="fr-FR"/>
              </w:rPr>
              <w:t>intersectorielles</w:t>
            </w:r>
          </w:p>
        </w:tc>
        <w:tc>
          <w:tcPr>
            <w:tcW w:w="1409" w:type="dxa"/>
          </w:tcPr>
          <w:p w:rsidR="007816CB" w:rsidRPr="00B158E5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38"/>
              </w:tabs>
              <w:jc w:val="center"/>
            </w:pPr>
            <w:r>
              <w:t>1 (§ 7)</w:t>
            </w:r>
            <w:r w:rsidR="00DC156E">
              <w:t>, 21</w:t>
            </w:r>
          </w:p>
        </w:tc>
      </w:tr>
      <w:tr w:rsidR="007816CB" w:rsidRPr="00E80DB9" w:rsidTr="00DC156E">
        <w:trPr>
          <w:gridAfter w:val="2"/>
          <w:wAfter w:w="368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9</w:t>
            </w:r>
          </w:p>
        </w:tc>
        <w:tc>
          <w:tcPr>
            <w:tcW w:w="7840" w:type="dxa"/>
          </w:tcPr>
          <w:p w:rsidR="007816CB" w:rsidRPr="00B661A5" w:rsidRDefault="00B661A5" w:rsidP="00337110">
            <w:pPr>
              <w:rPr>
                <w:lang w:val="fr-FR"/>
              </w:rPr>
            </w:pPr>
            <w:r w:rsidRPr="00B661A5">
              <w:rPr>
                <w:lang w:val="fr-FR"/>
              </w:rPr>
              <w:t>Date de la prochaine réunion</w:t>
            </w:r>
          </w:p>
        </w:tc>
        <w:tc>
          <w:tcPr>
            <w:tcW w:w="1409" w:type="dxa"/>
          </w:tcPr>
          <w:p w:rsidR="007816CB" w:rsidRPr="00B661A5" w:rsidRDefault="007816CB" w:rsidP="002000D1">
            <w:pPr>
              <w:jc w:val="center"/>
              <w:rPr>
                <w:lang w:val="fr-FR"/>
              </w:rPr>
            </w:pPr>
          </w:p>
        </w:tc>
      </w:tr>
      <w:tr w:rsidR="007816CB" w:rsidTr="00DC156E">
        <w:trPr>
          <w:gridAfter w:val="2"/>
          <w:wAfter w:w="368" w:type="dxa"/>
        </w:trPr>
        <w:tc>
          <w:tcPr>
            <w:tcW w:w="697" w:type="dxa"/>
          </w:tcPr>
          <w:p w:rsidR="007816CB" w:rsidRPr="00617949" w:rsidRDefault="007816CB" w:rsidP="00337110">
            <w:r w:rsidRPr="00617949">
              <w:t>10</w:t>
            </w:r>
          </w:p>
        </w:tc>
        <w:tc>
          <w:tcPr>
            <w:tcW w:w="7840" w:type="dxa"/>
          </w:tcPr>
          <w:p w:rsidR="007816CB" w:rsidRPr="00B158E5" w:rsidRDefault="00B661A5" w:rsidP="00337110">
            <w:r w:rsidRPr="00D652A2">
              <w:t>Divers</w:t>
            </w:r>
          </w:p>
        </w:tc>
        <w:tc>
          <w:tcPr>
            <w:tcW w:w="1409" w:type="dxa"/>
          </w:tcPr>
          <w:p w:rsidR="007816CB" w:rsidRPr="00B158E5" w:rsidRDefault="007816CB" w:rsidP="002000D1">
            <w:pPr>
              <w:jc w:val="center"/>
            </w:pPr>
          </w:p>
        </w:tc>
      </w:tr>
      <w:tr w:rsidR="007816CB" w:rsidRPr="00337110" w:rsidTr="00DC156E">
        <w:trPr>
          <w:gridAfter w:val="2"/>
          <w:wAfter w:w="368" w:type="dxa"/>
        </w:trPr>
        <w:tc>
          <w:tcPr>
            <w:tcW w:w="697" w:type="dxa"/>
          </w:tcPr>
          <w:p w:rsidR="007816CB" w:rsidRDefault="007816CB" w:rsidP="00337110"/>
        </w:tc>
        <w:tc>
          <w:tcPr>
            <w:tcW w:w="7840" w:type="dxa"/>
          </w:tcPr>
          <w:p w:rsidR="007816CB" w:rsidRPr="00B661A5" w:rsidRDefault="00337110" w:rsidP="00337110">
            <w:pPr>
              <w:tabs>
                <w:tab w:val="clear" w:pos="794"/>
                <w:tab w:val="left" w:pos="579"/>
              </w:tabs>
              <w:rPr>
                <w:lang w:val="fr-FR"/>
              </w:rPr>
            </w:pPr>
            <w:r w:rsidRPr="00337110">
              <w:rPr>
                <w:lang w:val="fr-FR"/>
              </w:rPr>
              <w:t>–</w:t>
            </w:r>
            <w:r>
              <w:rPr>
                <w:lang w:val="fr-FR"/>
              </w:rPr>
              <w:tab/>
            </w:r>
            <w:r w:rsidR="00B661A5" w:rsidRPr="00B661A5">
              <w:rPr>
                <w:lang w:val="fr-FR"/>
              </w:rPr>
              <w:t>Statistiques sur la participation des Membres de Secteur</w:t>
            </w:r>
          </w:p>
        </w:tc>
        <w:tc>
          <w:tcPr>
            <w:tcW w:w="1409" w:type="dxa"/>
          </w:tcPr>
          <w:p w:rsidR="007816CB" w:rsidRPr="00337110" w:rsidRDefault="007816CB" w:rsidP="002000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508"/>
              </w:tabs>
              <w:jc w:val="center"/>
              <w:rPr>
                <w:lang w:val="fr-CH"/>
              </w:rPr>
            </w:pPr>
            <w:r w:rsidRPr="00337110">
              <w:rPr>
                <w:lang w:val="fr-CH"/>
              </w:rPr>
              <w:t>1(</w:t>
            </w:r>
            <w:proofErr w:type="spellStart"/>
            <w:r w:rsidRPr="00337110">
              <w:rPr>
                <w:lang w:val="fr-CH"/>
              </w:rPr>
              <w:t>Add</w:t>
            </w:r>
            <w:proofErr w:type="spellEnd"/>
            <w:r w:rsidRPr="00337110">
              <w:rPr>
                <w:lang w:val="fr-CH"/>
              </w:rPr>
              <w:t>.1)</w:t>
            </w:r>
          </w:p>
        </w:tc>
      </w:tr>
    </w:tbl>
    <w:p w:rsidR="000A5071" w:rsidRPr="00B661A5" w:rsidRDefault="00337110" w:rsidP="00337110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440"/>
        <w:rPr>
          <w:lang w:val="fr-FR"/>
        </w:rPr>
      </w:pPr>
      <w:r>
        <w:rPr>
          <w:lang w:val="fr-FR"/>
        </w:rPr>
        <w:tab/>
        <w:t>J.B. YAO KOUAKOU</w:t>
      </w:r>
      <w:r>
        <w:rPr>
          <w:lang w:val="fr-FR"/>
        </w:rPr>
        <w:br/>
      </w:r>
      <w:r>
        <w:rPr>
          <w:lang w:val="fr-FR"/>
        </w:rPr>
        <w:tab/>
      </w:r>
      <w:r w:rsidR="00B661A5" w:rsidRPr="00B661A5">
        <w:rPr>
          <w:lang w:val="fr-FR"/>
        </w:rPr>
        <w:t>Président du Groupe consultatif des radiocommunications</w:t>
      </w:r>
    </w:p>
    <w:sectPr w:rsidR="000A5071" w:rsidRPr="00B661A5" w:rsidSect="00822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0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E8" w:rsidRDefault="008C63E8">
      <w:r>
        <w:separator/>
      </w:r>
    </w:p>
  </w:endnote>
  <w:endnote w:type="continuationSeparator" w:id="0">
    <w:p w:rsidR="008C63E8" w:rsidRDefault="008C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E8" w:rsidRDefault="00C63CDE" w:rsidP="00626C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3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DEC">
      <w:rPr>
        <w:rStyle w:val="PageNumber"/>
        <w:noProof/>
      </w:rPr>
      <w:t>2</w:t>
    </w:r>
    <w:r>
      <w:rPr>
        <w:rStyle w:val="PageNumber"/>
      </w:rPr>
      <w:fldChar w:fldCharType="end"/>
    </w:r>
  </w:p>
  <w:p w:rsidR="008C63E8" w:rsidRDefault="008C63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C" w:rsidRDefault="00C63CDE" w:rsidP="001F6DEC">
    <w:pPr>
      <w:pStyle w:val="Footer"/>
      <w:tabs>
        <w:tab w:val="clear" w:pos="4703"/>
        <w:tab w:val="center" w:pos="6804"/>
      </w:tabs>
      <w:rPr>
        <w:sz w:val="16"/>
      </w:rPr>
    </w:pPr>
    <w:fldSimple w:instr=" FILENAME \p  \* MERGEFORMAT ">
      <w:r w:rsidR="00790325" w:rsidRPr="00790325">
        <w:rPr>
          <w:noProof/>
          <w:sz w:val="16"/>
        </w:rPr>
        <w:t>M:\BRIAP\STAFF\Millet\RAG\RAG10\ADM\001FV3.DOCX</w:t>
      </w:r>
    </w:fldSimple>
    <w:r w:rsidR="001F6DEC">
      <w:rPr>
        <w:noProof/>
        <w:sz w:val="16"/>
      </w:rPr>
      <w:t xml:space="preserve"> (283623)</w:t>
    </w:r>
    <w:r w:rsidR="001F6DEC">
      <w:rPr>
        <w:noProof/>
        <w:sz w:val="16"/>
      </w:rPr>
      <w:tab/>
    </w:r>
    <w:r>
      <w:rPr>
        <w:noProof/>
        <w:sz w:val="16"/>
      </w:rPr>
      <w:fldChar w:fldCharType="begin"/>
    </w:r>
    <w:r w:rsidR="001F6DEC"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E80DB9">
      <w:rPr>
        <w:noProof/>
        <w:sz w:val="16"/>
      </w:rPr>
      <w:t>15.02.10</w:t>
    </w:r>
    <w:r>
      <w:rPr>
        <w:noProof/>
        <w:sz w:val="16"/>
      </w:rPr>
      <w:fldChar w:fldCharType="end"/>
    </w:r>
    <w:r w:rsidR="001F6DEC">
      <w:rPr>
        <w:sz w:val="16"/>
      </w:rPr>
      <w:tab/>
    </w:r>
    <w:r>
      <w:rPr>
        <w:sz w:val="16"/>
      </w:rPr>
      <w:fldChar w:fldCharType="begin"/>
    </w:r>
    <w:r w:rsidR="001F6DE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90325">
      <w:rPr>
        <w:noProof/>
        <w:sz w:val="16"/>
      </w:rPr>
      <w:t>15.02.10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C" w:rsidRDefault="00C63CDE" w:rsidP="001F6DEC">
    <w:pPr>
      <w:pStyle w:val="Footer"/>
      <w:tabs>
        <w:tab w:val="clear" w:pos="4703"/>
        <w:tab w:val="center" w:pos="6804"/>
      </w:tabs>
      <w:rPr>
        <w:sz w:val="16"/>
      </w:rPr>
    </w:pPr>
    <w:fldSimple w:instr=" FILENAME \p  \* MERGEFORMAT ">
      <w:r w:rsidR="00790325" w:rsidRPr="00790325">
        <w:rPr>
          <w:noProof/>
          <w:sz w:val="16"/>
        </w:rPr>
        <w:t>M:\BRIAP\STAFF\Millet\RAG\RAG10\ADM\001FV3.DOCX</w:t>
      </w:r>
    </w:fldSimple>
    <w:r w:rsidR="001F6DEC">
      <w:rPr>
        <w:noProof/>
        <w:sz w:val="16"/>
      </w:rPr>
      <w:t xml:space="preserve"> (283623)</w:t>
    </w:r>
    <w:r w:rsidR="001F6DEC">
      <w:rPr>
        <w:noProof/>
        <w:sz w:val="16"/>
      </w:rPr>
      <w:tab/>
    </w:r>
    <w:r>
      <w:rPr>
        <w:noProof/>
        <w:sz w:val="16"/>
      </w:rPr>
      <w:fldChar w:fldCharType="begin"/>
    </w:r>
    <w:r w:rsidR="001F6DEC">
      <w:rPr>
        <w:noProof/>
        <w:sz w:val="16"/>
      </w:rPr>
      <w:instrText xml:space="preserve"> SAVEDATE \@ DD.MM.YY </w:instrText>
    </w:r>
    <w:r>
      <w:rPr>
        <w:noProof/>
        <w:sz w:val="16"/>
      </w:rPr>
      <w:fldChar w:fldCharType="separate"/>
    </w:r>
    <w:r w:rsidR="00E80DB9">
      <w:rPr>
        <w:noProof/>
        <w:sz w:val="16"/>
      </w:rPr>
      <w:t>15.02.10</w:t>
    </w:r>
    <w:r>
      <w:rPr>
        <w:noProof/>
        <w:sz w:val="16"/>
      </w:rPr>
      <w:fldChar w:fldCharType="end"/>
    </w:r>
    <w:r w:rsidR="001F6DEC">
      <w:rPr>
        <w:sz w:val="16"/>
      </w:rPr>
      <w:tab/>
    </w:r>
    <w:r>
      <w:rPr>
        <w:sz w:val="16"/>
      </w:rPr>
      <w:fldChar w:fldCharType="begin"/>
    </w:r>
    <w:r w:rsidR="001F6DE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790325">
      <w:rPr>
        <w:noProof/>
        <w:sz w:val="16"/>
      </w:rPr>
      <w:t>15.02.10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E8" w:rsidRDefault="008C63E8">
      <w:r>
        <w:separator/>
      </w:r>
    </w:p>
  </w:footnote>
  <w:footnote w:type="continuationSeparator" w:id="0">
    <w:p w:rsidR="008C63E8" w:rsidRDefault="008C6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98" w:rsidRDefault="00B328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3161782"/>
      <w:docPartObj>
        <w:docPartGallery w:val="Page Numbers (Top of Page)"/>
        <w:docPartUnique/>
      </w:docPartObj>
    </w:sdtPr>
    <w:sdtContent>
      <w:p w:rsidR="001F6DEC" w:rsidRPr="00E24703" w:rsidRDefault="00E24703" w:rsidP="00702DD2">
        <w:pPr>
          <w:pStyle w:val="Header"/>
          <w:spacing w:after="240"/>
          <w:jc w:val="center"/>
          <w:rPr>
            <w:sz w:val="18"/>
            <w:szCs w:val="18"/>
          </w:rPr>
        </w:pPr>
        <w:r w:rsidRPr="00E24703">
          <w:rPr>
            <w:sz w:val="18"/>
            <w:szCs w:val="18"/>
            <w:lang w:val="es-ES"/>
          </w:rPr>
          <w:t xml:space="preserve">- </w:t>
        </w:r>
        <w:r w:rsidR="00C63CDE" w:rsidRPr="00E24703">
          <w:rPr>
            <w:sz w:val="18"/>
            <w:szCs w:val="18"/>
          </w:rPr>
          <w:fldChar w:fldCharType="begin"/>
        </w:r>
        <w:r w:rsidRPr="00E24703">
          <w:rPr>
            <w:sz w:val="18"/>
            <w:szCs w:val="18"/>
          </w:rPr>
          <w:instrText xml:space="preserve"> PAGE </w:instrText>
        </w:r>
        <w:r w:rsidR="00C63CDE" w:rsidRPr="00E24703">
          <w:rPr>
            <w:sz w:val="18"/>
            <w:szCs w:val="18"/>
          </w:rPr>
          <w:fldChar w:fldCharType="separate"/>
        </w:r>
        <w:r w:rsidR="00E80DB9">
          <w:rPr>
            <w:noProof/>
            <w:sz w:val="18"/>
            <w:szCs w:val="18"/>
          </w:rPr>
          <w:t>2</w:t>
        </w:r>
        <w:r w:rsidR="00C63CDE" w:rsidRPr="00E24703">
          <w:rPr>
            <w:sz w:val="18"/>
            <w:szCs w:val="18"/>
          </w:rPr>
          <w:fldChar w:fldCharType="end"/>
        </w:r>
        <w:r w:rsidRPr="00E24703">
          <w:rPr>
            <w:sz w:val="18"/>
            <w:szCs w:val="18"/>
            <w:lang w:val="es-ES"/>
          </w:rPr>
          <w:t xml:space="preserve"> -</w:t>
        </w:r>
        <w:r w:rsidRPr="00E24703">
          <w:rPr>
            <w:sz w:val="18"/>
            <w:szCs w:val="18"/>
            <w:lang w:val="es-ES"/>
          </w:rPr>
          <w:br/>
          <w:t>RAG10-1/AMD/1-F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98" w:rsidRDefault="00B328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16CB"/>
    <w:rsid w:val="00030BEF"/>
    <w:rsid w:val="00081DE0"/>
    <w:rsid w:val="000A5071"/>
    <w:rsid w:val="001A7EE5"/>
    <w:rsid w:val="001D0880"/>
    <w:rsid w:val="001F6DEC"/>
    <w:rsid w:val="002000D1"/>
    <w:rsid w:val="00207123"/>
    <w:rsid w:val="00233246"/>
    <w:rsid w:val="002453B2"/>
    <w:rsid w:val="002F343A"/>
    <w:rsid w:val="00337110"/>
    <w:rsid w:val="003C7476"/>
    <w:rsid w:val="003C7785"/>
    <w:rsid w:val="0057653D"/>
    <w:rsid w:val="00626CA8"/>
    <w:rsid w:val="00663EDC"/>
    <w:rsid w:val="006A2F0C"/>
    <w:rsid w:val="00702DD2"/>
    <w:rsid w:val="0070502D"/>
    <w:rsid w:val="0077006A"/>
    <w:rsid w:val="00775A12"/>
    <w:rsid w:val="007816CB"/>
    <w:rsid w:val="00790325"/>
    <w:rsid w:val="007E33CE"/>
    <w:rsid w:val="007E5B5F"/>
    <w:rsid w:val="007F74E2"/>
    <w:rsid w:val="008224B4"/>
    <w:rsid w:val="008C63E8"/>
    <w:rsid w:val="009F6474"/>
    <w:rsid w:val="00A37145"/>
    <w:rsid w:val="00A70CB6"/>
    <w:rsid w:val="00A824DB"/>
    <w:rsid w:val="00AC0C49"/>
    <w:rsid w:val="00AD3AF4"/>
    <w:rsid w:val="00B05BDF"/>
    <w:rsid w:val="00B32898"/>
    <w:rsid w:val="00B661A5"/>
    <w:rsid w:val="00C63CDE"/>
    <w:rsid w:val="00C82E75"/>
    <w:rsid w:val="00C94305"/>
    <w:rsid w:val="00CF12EF"/>
    <w:rsid w:val="00D35B79"/>
    <w:rsid w:val="00D67FAE"/>
    <w:rsid w:val="00D910A3"/>
    <w:rsid w:val="00DC156E"/>
    <w:rsid w:val="00E023F8"/>
    <w:rsid w:val="00E24703"/>
    <w:rsid w:val="00E80DB9"/>
    <w:rsid w:val="00F1306C"/>
    <w:rsid w:val="00F9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324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233246"/>
    <w:pPr>
      <w:tabs>
        <w:tab w:val="center" w:pos="4703"/>
        <w:tab w:val="right" w:pos="9406"/>
      </w:tabs>
    </w:pPr>
  </w:style>
  <w:style w:type="paragraph" w:customStyle="1" w:styleId="Normalaftertitle">
    <w:name w:val="Normal_after_title"/>
    <w:basedOn w:val="Normal"/>
    <w:next w:val="Normal"/>
    <w:rsid w:val="007816CB"/>
    <w:pPr>
      <w:spacing w:before="360"/>
    </w:pPr>
  </w:style>
  <w:style w:type="paragraph" w:customStyle="1" w:styleId="Source">
    <w:name w:val="Source"/>
    <w:basedOn w:val="Normal"/>
    <w:next w:val="Normalaftertitle"/>
    <w:rsid w:val="007816CB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7816C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styleId="PageNumber">
    <w:name w:val="page number"/>
    <w:basedOn w:val="DefaultParagraphFont"/>
    <w:rsid w:val="00B661A5"/>
  </w:style>
  <w:style w:type="character" w:customStyle="1" w:styleId="HeaderChar">
    <w:name w:val="Header Char"/>
    <w:basedOn w:val="DefaultParagraphFont"/>
    <w:link w:val="Header"/>
    <w:rsid w:val="001F6DEC"/>
    <w:rPr>
      <w:rFonts w:eastAsia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Jeremy Lusted</dc:creator>
  <cp:keywords/>
  <dc:description/>
  <cp:lastModifiedBy>millet</cp:lastModifiedBy>
  <cp:revision>18</cp:revision>
  <cp:lastPrinted>2010-02-15T14:30:00Z</cp:lastPrinted>
  <dcterms:created xsi:type="dcterms:W3CDTF">2010-02-08T10:34:00Z</dcterms:created>
  <dcterms:modified xsi:type="dcterms:W3CDTF">2010-02-16T16:30:00Z</dcterms:modified>
</cp:coreProperties>
</file>