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487"/>
        <w:gridCol w:w="3402"/>
      </w:tblGrid>
      <w:tr w:rsidR="0051782D" w:rsidTr="00507DA3">
        <w:trPr>
          <w:cantSplit/>
        </w:trPr>
        <w:tc>
          <w:tcPr>
            <w:tcW w:w="6487" w:type="dxa"/>
          </w:tcPr>
          <w:p w:rsidR="0051782D" w:rsidRPr="0051782D" w:rsidRDefault="0051782D" w:rsidP="001E41A0">
            <w:pPr>
              <w:framePr w:hSpace="181" w:wrap="around" w:vAnchor="page" w:hAnchor="margin" w:x="1" w:y="852"/>
              <w:shd w:val="solid" w:color="FFFFFF" w:fill="FFFFFF"/>
              <w:spacing w:before="360" w:after="240"/>
              <w:rPr>
                <w:rFonts w:ascii="Verdana" w:hAnsi="Verdana" w:cs="Times New Roman Bold"/>
                <w:b/>
                <w:bCs/>
              </w:rPr>
            </w:pPr>
            <w:bookmarkStart w:id="0" w:name="_GoBack"/>
            <w:bookmarkEnd w:id="0"/>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1E41A0">
              <w:rPr>
                <w:rFonts w:ascii="Verdana" w:hAnsi="Verdana" w:cs="Times New Roman Bold"/>
                <w:b/>
                <w:bCs/>
                <w:sz w:val="20"/>
              </w:rPr>
              <w:t>8</w:t>
            </w:r>
            <w:r>
              <w:rPr>
                <w:rFonts w:ascii="Verdana" w:hAnsi="Verdana" w:cs="Times New Roman Bold"/>
                <w:b/>
                <w:bCs/>
                <w:sz w:val="20"/>
              </w:rPr>
              <w:t>-</w:t>
            </w:r>
            <w:r w:rsidR="00DD3BF8">
              <w:rPr>
                <w:rFonts w:ascii="Verdana" w:hAnsi="Verdana" w:cs="Times New Roman Bold"/>
                <w:b/>
                <w:bCs/>
                <w:sz w:val="20"/>
              </w:rPr>
              <w:t>1</w:t>
            </w:r>
            <w:r w:rsidR="001E41A0">
              <w:rPr>
                <w:rFonts w:ascii="Verdana" w:hAnsi="Verdana" w:cs="Times New Roman Bold"/>
                <w:b/>
                <w:bCs/>
                <w:sz w:val="20"/>
              </w:rPr>
              <w:t>0</w:t>
            </w:r>
            <w:r>
              <w:rPr>
                <w:rFonts w:ascii="Verdana" w:hAnsi="Verdana" w:cs="Times New Roman Bold"/>
                <w:b/>
                <w:bCs/>
                <w:sz w:val="20"/>
              </w:rPr>
              <w:t xml:space="preserve"> </w:t>
            </w:r>
            <w:r w:rsidR="001E41A0">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1E41A0">
              <w:rPr>
                <w:rFonts w:ascii="Verdana" w:hAnsi="Verdana" w:cs="Times New Roman Bold"/>
                <w:b/>
                <w:bCs/>
                <w:sz w:val="20"/>
              </w:rPr>
              <w:t>1</w:t>
            </w:r>
          </w:p>
        </w:tc>
        <w:tc>
          <w:tcPr>
            <w:tcW w:w="3402" w:type="dxa"/>
          </w:tcPr>
          <w:p w:rsidR="0051782D" w:rsidRDefault="00FC1E29" w:rsidP="0051782D">
            <w:pPr>
              <w:framePr w:hSpace="181" w:wrap="around" w:vAnchor="page" w:hAnchor="margin" w:x="1" w:y="852"/>
              <w:shd w:val="solid" w:color="FFFFFF" w:fill="FFFFFF"/>
              <w:spacing w:before="0" w:line="240" w:lineRule="atLeast"/>
            </w:pPr>
            <w:r>
              <w:rPr>
                <w:noProof/>
                <w:lang w:val="en-US" w:eastAsia="zh-CN"/>
              </w:rPr>
              <w:drawing>
                <wp:inline distT="0" distB="0" distL="0" distR="0" wp14:anchorId="108C3208" wp14:editId="6D681B8B">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507DA3">
        <w:trPr>
          <w:cantSplit/>
        </w:trPr>
        <w:tc>
          <w:tcPr>
            <w:tcW w:w="6487" w:type="dxa"/>
            <w:tcBorders>
              <w:bottom w:val="single" w:sz="12" w:space="0" w:color="auto"/>
            </w:tcBorders>
          </w:tcPr>
          <w:p w:rsidR="0051782D" w:rsidRPr="0051782D" w:rsidRDefault="0051782D" w:rsidP="0051782D">
            <w:pPr>
              <w:framePr w:hSpace="181" w:wrap="around" w:vAnchor="page" w:hAnchor="margin" w:x="1" w:y="852"/>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51782D">
            <w:pPr>
              <w:framePr w:hSpace="181" w:wrap="around" w:vAnchor="page" w:hAnchor="margin" w:x="1" w:y="852"/>
              <w:shd w:val="solid" w:color="FFFFFF" w:fill="FFFFFF"/>
              <w:spacing w:before="0" w:after="48" w:line="240" w:lineRule="atLeast"/>
              <w:rPr>
                <w:sz w:val="22"/>
                <w:szCs w:val="22"/>
                <w:lang w:val="en-US"/>
              </w:rPr>
            </w:pPr>
          </w:p>
        </w:tc>
      </w:tr>
      <w:tr w:rsidR="0051782D" w:rsidTr="00507DA3">
        <w:trPr>
          <w:cantSplit/>
        </w:trPr>
        <w:tc>
          <w:tcPr>
            <w:tcW w:w="6487" w:type="dxa"/>
            <w:tcBorders>
              <w:top w:val="single" w:sz="12" w:space="0" w:color="auto"/>
            </w:tcBorders>
          </w:tcPr>
          <w:p w:rsidR="0051782D" w:rsidRPr="0051782D" w:rsidRDefault="0051782D" w:rsidP="0051782D">
            <w:pPr>
              <w:framePr w:hSpace="181" w:wrap="around" w:vAnchor="page" w:hAnchor="margin" w:x="1" w:y="852"/>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51782D">
            <w:pPr>
              <w:framePr w:hSpace="181" w:wrap="around" w:vAnchor="page" w:hAnchor="margin" w:x="1" w:y="852"/>
              <w:shd w:val="solid" w:color="FFFFFF" w:fill="FFFFFF"/>
              <w:spacing w:before="0" w:after="48" w:line="240" w:lineRule="atLeast"/>
              <w:rPr>
                <w:lang w:val="en-US"/>
              </w:rPr>
            </w:pPr>
          </w:p>
        </w:tc>
      </w:tr>
      <w:tr w:rsidR="0051782D" w:rsidTr="00507DA3">
        <w:trPr>
          <w:cantSplit/>
        </w:trPr>
        <w:tc>
          <w:tcPr>
            <w:tcW w:w="6487" w:type="dxa"/>
            <w:vMerge w:val="restart"/>
          </w:tcPr>
          <w:p w:rsidR="0051782D" w:rsidRDefault="0051782D" w:rsidP="0051782D">
            <w:pPr>
              <w:framePr w:hSpace="181" w:wrap="around" w:vAnchor="page" w:hAnchor="margin" w:x="1" w:y="852"/>
              <w:shd w:val="solid" w:color="FFFFFF" w:fill="FFFFFF"/>
              <w:spacing w:after="240"/>
              <w:rPr>
                <w:sz w:val="20"/>
              </w:rPr>
            </w:pPr>
            <w:bookmarkStart w:id="1" w:name="dnum" w:colFirst="1" w:colLast="1"/>
          </w:p>
        </w:tc>
        <w:tc>
          <w:tcPr>
            <w:tcW w:w="3402" w:type="dxa"/>
          </w:tcPr>
          <w:p w:rsidR="0051782D" w:rsidRPr="001854C6" w:rsidRDefault="001854C6" w:rsidP="001854C6">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Document RAG11-1/4-E</w:t>
            </w:r>
          </w:p>
        </w:tc>
      </w:tr>
      <w:tr w:rsidR="0051782D" w:rsidTr="00507DA3">
        <w:trPr>
          <w:cantSplit/>
        </w:trPr>
        <w:tc>
          <w:tcPr>
            <w:tcW w:w="6487" w:type="dxa"/>
            <w:vMerge/>
          </w:tcPr>
          <w:p w:rsidR="0051782D" w:rsidRDefault="0051782D" w:rsidP="0051782D">
            <w:pPr>
              <w:framePr w:hSpace="181" w:wrap="around" w:vAnchor="page" w:hAnchor="margin" w:x="1" w:y="852"/>
              <w:spacing w:before="60"/>
              <w:jc w:val="center"/>
              <w:rPr>
                <w:b/>
                <w:smallCaps/>
                <w:sz w:val="32"/>
              </w:rPr>
            </w:pPr>
            <w:bookmarkStart w:id="2" w:name="ddate" w:colFirst="1" w:colLast="1"/>
            <w:bookmarkEnd w:id="1"/>
          </w:p>
        </w:tc>
        <w:tc>
          <w:tcPr>
            <w:tcW w:w="3402" w:type="dxa"/>
          </w:tcPr>
          <w:p w:rsidR="0051782D" w:rsidRPr="001854C6" w:rsidRDefault="001854C6" w:rsidP="001854C6">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28 March 2011</w:t>
            </w:r>
          </w:p>
        </w:tc>
      </w:tr>
      <w:tr w:rsidR="0051782D" w:rsidTr="00507DA3">
        <w:trPr>
          <w:cantSplit/>
        </w:trPr>
        <w:tc>
          <w:tcPr>
            <w:tcW w:w="6487" w:type="dxa"/>
            <w:vMerge/>
          </w:tcPr>
          <w:p w:rsidR="0051782D" w:rsidRDefault="0051782D" w:rsidP="0051782D">
            <w:pPr>
              <w:framePr w:hSpace="181" w:wrap="around" w:vAnchor="page" w:hAnchor="margin" w:x="1" w:y="852"/>
              <w:spacing w:before="60"/>
              <w:jc w:val="center"/>
              <w:rPr>
                <w:b/>
                <w:smallCaps/>
                <w:sz w:val="32"/>
              </w:rPr>
            </w:pPr>
            <w:bookmarkStart w:id="3" w:name="dorlang" w:colFirst="1" w:colLast="1"/>
            <w:bookmarkEnd w:id="2"/>
          </w:p>
        </w:tc>
        <w:tc>
          <w:tcPr>
            <w:tcW w:w="3402" w:type="dxa"/>
          </w:tcPr>
          <w:p w:rsidR="0051782D" w:rsidRPr="001854C6" w:rsidRDefault="001854C6" w:rsidP="001854C6">
            <w:pPr>
              <w:framePr w:hSpace="181" w:wrap="around" w:vAnchor="page" w:hAnchor="margin" w:x="1" w:y="852"/>
              <w:shd w:val="solid" w:color="FFFFFF" w:fill="FFFFFF"/>
              <w:spacing w:before="0" w:after="120" w:line="240" w:lineRule="atLeast"/>
              <w:rPr>
                <w:rFonts w:ascii="Verdana" w:hAnsi="Verdana"/>
                <w:sz w:val="20"/>
              </w:rPr>
            </w:pPr>
            <w:r>
              <w:rPr>
                <w:rFonts w:ascii="Verdana" w:hAnsi="Verdana"/>
                <w:b/>
                <w:sz w:val="20"/>
              </w:rPr>
              <w:t>Original: Chinese</w:t>
            </w:r>
          </w:p>
        </w:tc>
      </w:tr>
    </w:tbl>
    <w:tbl>
      <w:tblPr>
        <w:tblW w:w="9889" w:type="dxa"/>
        <w:tblLayout w:type="fixed"/>
        <w:tblLook w:val="0000" w:firstRow="0" w:lastRow="0" w:firstColumn="0" w:lastColumn="0" w:noHBand="0" w:noVBand="0"/>
      </w:tblPr>
      <w:tblGrid>
        <w:gridCol w:w="9889"/>
      </w:tblGrid>
      <w:tr w:rsidR="00093C73">
        <w:trPr>
          <w:cantSplit/>
        </w:trPr>
        <w:tc>
          <w:tcPr>
            <w:tcW w:w="9889" w:type="dxa"/>
          </w:tcPr>
          <w:p w:rsidR="00093C73" w:rsidRDefault="001854C6" w:rsidP="001854C6">
            <w:pPr>
              <w:pStyle w:val="Source"/>
            </w:pPr>
            <w:bookmarkStart w:id="4" w:name="dsource" w:colFirst="0" w:colLast="0"/>
            <w:bookmarkEnd w:id="3"/>
            <w:r w:rsidRPr="00102815">
              <w:t>China (People’s Republic of)</w:t>
            </w:r>
          </w:p>
        </w:tc>
      </w:tr>
      <w:tr w:rsidR="00093C73">
        <w:trPr>
          <w:cantSplit/>
        </w:trPr>
        <w:tc>
          <w:tcPr>
            <w:tcW w:w="9889" w:type="dxa"/>
          </w:tcPr>
          <w:p w:rsidR="00093C73" w:rsidRDefault="001854C6" w:rsidP="001854C6">
            <w:pPr>
              <w:pStyle w:val="Title1"/>
            </w:pPr>
            <w:bookmarkStart w:id="5" w:name="dtitle1" w:colFirst="0" w:colLast="0"/>
            <w:bookmarkEnd w:id="4"/>
            <w:r>
              <w:rPr>
                <w:lang w:val="en-US"/>
              </w:rPr>
              <w:t>C</w:t>
            </w:r>
            <w:r w:rsidRPr="00102815">
              <w:rPr>
                <w:lang w:val="en-US"/>
              </w:rPr>
              <w:t xml:space="preserve">onformance and interoperability issues </w:t>
            </w:r>
            <w:r>
              <w:rPr>
                <w:lang w:val="en-US"/>
              </w:rPr>
              <w:t>with</w:t>
            </w:r>
            <w:r w:rsidR="009B1031">
              <w:rPr>
                <w:lang w:val="en-US"/>
              </w:rPr>
              <w:br/>
            </w:r>
            <w:r w:rsidRPr="00102815">
              <w:rPr>
                <w:lang w:val="en-US"/>
              </w:rPr>
              <w:t xml:space="preserve"> </w:t>
            </w:r>
            <w:r>
              <w:rPr>
                <w:lang w:val="en-US"/>
              </w:rPr>
              <w:t xml:space="preserve">respect to </w:t>
            </w:r>
            <w:r w:rsidRPr="00102815">
              <w:rPr>
                <w:lang w:val="en-US"/>
              </w:rPr>
              <w:t>radio equipment</w:t>
            </w:r>
          </w:p>
        </w:tc>
      </w:tr>
    </w:tbl>
    <w:bookmarkEnd w:id="5"/>
    <w:p w:rsidR="001854C6" w:rsidRPr="00D838F5" w:rsidRDefault="001854C6" w:rsidP="00BA6E4F">
      <w:pPr>
        <w:pStyle w:val="Heading1"/>
      </w:pPr>
      <w:r w:rsidRPr="00D838F5">
        <w:t>1</w:t>
      </w:r>
      <w:r w:rsidRPr="00D838F5">
        <w:tab/>
      </w:r>
      <w:r>
        <w:t>Introduction</w:t>
      </w:r>
    </w:p>
    <w:p w:rsidR="001854C6" w:rsidRDefault="001854C6" w:rsidP="00BA6E4F">
      <w:pPr>
        <w:rPr>
          <w:lang w:val="en-US"/>
        </w:rPr>
      </w:pPr>
      <w:r>
        <w:rPr>
          <w:lang w:val="en-US"/>
        </w:rPr>
        <w:t xml:space="preserve">Resolution 76 </w:t>
      </w:r>
      <w:r w:rsidRPr="00A83BF6">
        <w:rPr>
          <w:lang w:val="en-US"/>
        </w:rPr>
        <w:t>(Johannesburg, 2008)</w:t>
      </w:r>
      <w:r>
        <w:rPr>
          <w:lang w:val="en-US"/>
        </w:rPr>
        <w:t xml:space="preserve"> of the </w:t>
      </w:r>
      <w:r w:rsidRPr="00A83BF6">
        <w:rPr>
          <w:lang w:val="en-US"/>
        </w:rPr>
        <w:t xml:space="preserve">World Telecommunication Standardization Assembly </w:t>
      </w:r>
      <w:r>
        <w:rPr>
          <w:lang w:val="en-US"/>
        </w:rPr>
        <w:t xml:space="preserve">calls for </w:t>
      </w:r>
      <w:r w:rsidRPr="00A83BF6">
        <w:rPr>
          <w:lang w:val="en-US"/>
        </w:rPr>
        <w:t>assist</w:t>
      </w:r>
      <w:r>
        <w:rPr>
          <w:lang w:val="en-US"/>
        </w:rPr>
        <w:t>ing</w:t>
      </w:r>
      <w:r w:rsidRPr="00A83BF6">
        <w:rPr>
          <w:lang w:val="en-US"/>
        </w:rPr>
        <w:t xml:space="preserve"> developing countries in identifying human and institutional capacity-building and training opportunities in conformity and interoperability testing</w:t>
      </w:r>
      <w:r>
        <w:rPr>
          <w:lang w:val="en-US"/>
        </w:rPr>
        <w:t xml:space="preserve">. Resolution 47 </w:t>
      </w:r>
      <w:r w:rsidRPr="00A83BF6">
        <w:t>(Hyderabad, 2010)</w:t>
      </w:r>
      <w:r>
        <w:t xml:space="preserve"> </w:t>
      </w:r>
      <w:r>
        <w:rPr>
          <w:lang w:val="en-US"/>
        </w:rPr>
        <w:t xml:space="preserve">of the </w:t>
      </w:r>
      <w:r w:rsidRPr="00A83BF6">
        <w:t xml:space="preserve">World Telecommunication Development Conference </w:t>
      </w:r>
      <w:r w:rsidRPr="00747F3F">
        <w:t>instructs the Director of the Telecommunication Development Bureau, in close collaboration with the Directors of the Telecommunication Standardization Bureau and the Radiocommunication Bureau</w:t>
      </w:r>
      <w:r>
        <w:t xml:space="preserve">, </w:t>
      </w:r>
      <w:r w:rsidRPr="008B00E2">
        <w:t>to conduct a field study on the economic feasibility of and need for creating regional laboratories for conformance and interoperability testing of manufactured systems in relation to ITU</w:t>
      </w:r>
      <w:r w:rsidRPr="008B00E2">
        <w:noBreakHyphen/>
        <w:t>R and ITU</w:t>
      </w:r>
      <w:r w:rsidRPr="008B00E2">
        <w:noBreakHyphen/>
        <w:t>T Recommendations</w:t>
      </w:r>
      <w:r>
        <w:t xml:space="preserve">. Resolution 177 </w:t>
      </w:r>
      <w:r w:rsidRPr="006D2677">
        <w:t>(Guadalajara, 2010)</w:t>
      </w:r>
      <w:r>
        <w:t xml:space="preserve"> of the </w:t>
      </w:r>
      <w:r w:rsidRPr="006D2677">
        <w:t xml:space="preserve">Plenipotentiary Conference of the International Telecommunication Union </w:t>
      </w:r>
      <w:r w:rsidRPr="006D2677">
        <w:rPr>
          <w:lang w:val="en-US"/>
        </w:rPr>
        <w:t>invites Member States</w:t>
      </w:r>
      <w:r>
        <w:rPr>
          <w:lang w:val="en-US"/>
        </w:rPr>
        <w:t xml:space="preserve"> </w:t>
      </w:r>
      <w:r w:rsidRPr="006D2677">
        <w:rPr>
          <w:iCs/>
        </w:rPr>
        <w:t>to contribute to the next radiocommunication assembly in 2012 in order for it to consider and take appropriate actions as deemed necessary</w:t>
      </w:r>
      <w:r>
        <w:rPr>
          <w:iCs/>
        </w:rPr>
        <w:t xml:space="preserve">. </w:t>
      </w:r>
    </w:p>
    <w:p w:rsidR="001854C6" w:rsidRDefault="001854C6" w:rsidP="00BA6E4F">
      <w:pPr>
        <w:pStyle w:val="Heading1"/>
      </w:pPr>
      <w:r w:rsidRPr="00555186">
        <w:t>2</w:t>
      </w:r>
      <w:r w:rsidRPr="00555186">
        <w:tab/>
      </w:r>
      <w:r>
        <w:t>Discussions</w:t>
      </w:r>
    </w:p>
    <w:p w:rsidR="001854C6" w:rsidRDefault="001854C6" w:rsidP="00BA6E4F">
      <w:r w:rsidRPr="008E5642">
        <w:t xml:space="preserve">Pursuant to </w:t>
      </w:r>
      <w:r>
        <w:t xml:space="preserve">Resolution 177 </w:t>
      </w:r>
      <w:r w:rsidRPr="00E71FC8">
        <w:t xml:space="preserve">(Guadalajara, 2010) </w:t>
      </w:r>
      <w:r>
        <w:t xml:space="preserve">of the Plenipotentiary Conference, ITU shall continue </w:t>
      </w:r>
      <w:r w:rsidRPr="008E5642">
        <w:t>to</w:t>
      </w:r>
      <w:r>
        <w:t xml:space="preserve"> implement</w:t>
      </w:r>
      <w:r w:rsidRPr="008E5642">
        <w:t xml:space="preserve"> the objectives of both Resolution 76 (Johannesburg, 2008) and Resolution 47 (Rev. Hyderabad, 2010), and the recommendations of the Director of TSB endorsed by the Council at its 2009 session</w:t>
      </w:r>
      <w:r>
        <w:t xml:space="preserve">. Detailed projects may include </w:t>
      </w:r>
      <w:r w:rsidRPr="00645394">
        <w:t xml:space="preserve">a fully functioning conformity database and </w:t>
      </w:r>
      <w:r>
        <w:t>feasibility</w:t>
      </w:r>
      <w:r w:rsidRPr="00645394">
        <w:t xml:space="preserve"> studies </w:t>
      </w:r>
      <w:r>
        <w:t xml:space="preserve">on </w:t>
      </w:r>
      <w:r w:rsidRPr="00645394">
        <w:t>introducing a possible future ITU Mark programme</w:t>
      </w:r>
      <w:r>
        <w:t>.</w:t>
      </w:r>
    </w:p>
    <w:p w:rsidR="001854C6" w:rsidRPr="008E5642" w:rsidRDefault="001854C6" w:rsidP="00BA6E4F">
      <w:r>
        <w:t xml:space="preserve">As an integral part of ITU recommendations, certain ITU-R Recommendations also serve as the basis for </w:t>
      </w:r>
      <w:r w:rsidRPr="008B00E2">
        <w:t xml:space="preserve">conformance and interoperability testing of </w:t>
      </w:r>
      <w:r>
        <w:t>telecommunication/ICT equipment or systems with radiocommunication functions. In particular, a series of Recommendations concerning IMT air interface have worldwide implications.</w:t>
      </w:r>
      <w:r w:rsidR="009B1031">
        <w:t xml:space="preserve"> </w:t>
      </w:r>
      <w:r>
        <w:t xml:space="preserve">Meanwhile, Recommendations incorporated by reference in the Radio Regulations form an integral part thereof. Member States have an obligation to ensure that relevant radio equipment or transmitting stations comply with the corresponding Recommendations. It is the duty of ITU-R to play a role in assisting developing countries </w:t>
      </w:r>
      <w:r w:rsidRPr="009835EE">
        <w:t xml:space="preserve">to perform conformance testing of </w:t>
      </w:r>
      <w:r>
        <w:t xml:space="preserve">radiocommunication </w:t>
      </w:r>
      <w:r w:rsidRPr="009835EE">
        <w:t>equipment and systems</w:t>
      </w:r>
      <w:r>
        <w:t xml:space="preserve"> in particular. The future ITU </w:t>
      </w:r>
      <w:r w:rsidRPr="00645394">
        <w:t>conformity database</w:t>
      </w:r>
      <w:r>
        <w:t xml:space="preserve"> or the possible</w:t>
      </w:r>
      <w:r w:rsidRPr="00645394">
        <w:t xml:space="preserve"> ITU Mark programme</w:t>
      </w:r>
      <w:r>
        <w:t xml:space="preserve"> should reflect the above concerns.</w:t>
      </w:r>
    </w:p>
    <w:p w:rsidR="001854C6" w:rsidRPr="00DA117D" w:rsidRDefault="001854C6" w:rsidP="001A46F1">
      <w:pPr>
        <w:rPr>
          <w:szCs w:val="24"/>
        </w:rPr>
      </w:pPr>
      <w:r w:rsidRPr="001A46F1">
        <w:rPr>
          <w:szCs w:val="24"/>
        </w:rPr>
        <w:lastRenderedPageBreak/>
        <w:t>Some Member States have already established the type-approval system for radio transmission equipment, and standards developed by other standards-development organizations would appear to be more appropriate for conducting the conformance and interoperability testing of radio equipment or systems.</w:t>
      </w:r>
    </w:p>
    <w:p w:rsidR="001854C6" w:rsidRPr="00555186" w:rsidRDefault="001854C6" w:rsidP="00BA6E4F">
      <w:pPr>
        <w:pStyle w:val="Heading1"/>
      </w:pPr>
      <w:r>
        <w:t>3</w:t>
      </w:r>
      <w:r>
        <w:tab/>
      </w:r>
      <w:r w:rsidRPr="00555186">
        <w:t>Proposals</w:t>
      </w:r>
    </w:p>
    <w:p w:rsidR="001854C6" w:rsidRDefault="001854C6" w:rsidP="00BA6E4F">
      <w:r>
        <w:t xml:space="preserve">It is proposed to have thorough discussions on the above issues at the RAG meeting and submit recommendations to the Director of the Radiocommunication Bureau and study groups. This will facilitate the preparation of the 2012 Radiocommunication Assembly. </w:t>
      </w:r>
    </w:p>
    <w:p w:rsidR="001854C6" w:rsidRDefault="001854C6" w:rsidP="00461EAB">
      <w:pPr>
        <w:rPr>
          <w:szCs w:val="24"/>
          <w:lang w:val="en-US"/>
        </w:rPr>
      </w:pPr>
      <w:bookmarkStart w:id="6" w:name="OLE_LINK3"/>
      <w:bookmarkStart w:id="7" w:name="OLE_LINK4"/>
    </w:p>
    <w:p w:rsidR="001854C6" w:rsidRDefault="001854C6" w:rsidP="00D4527B">
      <w:pPr>
        <w:jc w:val="center"/>
        <w:rPr>
          <w:szCs w:val="24"/>
          <w:lang w:val="en-US"/>
        </w:rPr>
      </w:pPr>
      <w:bookmarkStart w:id="8" w:name="OLE_LINK5"/>
      <w:bookmarkStart w:id="9" w:name="OLE_LINK6"/>
      <w:bookmarkEnd w:id="6"/>
      <w:bookmarkEnd w:id="7"/>
      <w:r w:rsidRPr="00610C8B">
        <w:rPr>
          <w:szCs w:val="24"/>
          <w:lang w:val="en-US"/>
        </w:rPr>
        <w:t>____________</w:t>
      </w:r>
      <w:bookmarkEnd w:id="8"/>
      <w:bookmarkEnd w:id="9"/>
    </w:p>
    <w:sectPr w:rsidR="001854C6" w:rsidSect="00F749F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4C6" w:rsidRDefault="001854C6">
      <w:r>
        <w:separator/>
      </w:r>
    </w:p>
  </w:endnote>
  <w:endnote w:type="continuationSeparator" w:id="0">
    <w:p w:rsidR="001854C6" w:rsidRDefault="001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E4F" w:rsidRDefault="00BA6E4F">
    <w:pPr>
      <w:pStyle w:val="Footer"/>
    </w:pPr>
    <w:fldSimple w:instr=" FILENAME \p  \* MERGEFORMAT ">
      <w:r w:rsidR="009B1031">
        <w:t>P:\ENG\ITU-R\AG\RAG11\RAG-1\000\004E.docx</w:t>
      </w:r>
    </w:fldSimple>
    <w:r>
      <w:t xml:space="preserve"> (304937)</w:t>
    </w:r>
    <w:r>
      <w:tab/>
    </w:r>
    <w:r>
      <w:fldChar w:fldCharType="begin"/>
    </w:r>
    <w:r>
      <w:instrText xml:space="preserve"> SAVEDATE \@ DD.MM.YY </w:instrText>
    </w:r>
    <w:r>
      <w:fldChar w:fldCharType="separate"/>
    </w:r>
    <w:r w:rsidR="009B1031">
      <w:t>04.04.11</w:t>
    </w:r>
    <w:r>
      <w:fldChar w:fldCharType="end"/>
    </w:r>
    <w:r>
      <w:tab/>
    </w:r>
    <w:r>
      <w:fldChar w:fldCharType="begin"/>
    </w:r>
    <w:r>
      <w:instrText xml:space="preserve"> PRINTDATE \@ DD.MM.YY </w:instrText>
    </w:r>
    <w:r>
      <w:fldChar w:fldCharType="separate"/>
    </w:r>
    <w:r w:rsidR="009B1031">
      <w:t>04.04.11</w:t>
    </w:r>
    <w:r>
      <w:fldChar w:fldCharType="end"/>
    </w:r>
  </w:p>
  <w:p w:rsidR="0095426A" w:rsidRPr="00BA6E4F" w:rsidRDefault="0095426A" w:rsidP="00BA6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E4F" w:rsidRDefault="00BA6E4F" w:rsidP="00BA6E4F">
    <w:pPr>
      <w:pStyle w:val="Footer"/>
    </w:pPr>
    <w:r>
      <w:rPr>
        <w:noProof w:val="0"/>
        <w:sz w:val="24"/>
      </w:rPr>
      <w:fldChar w:fldCharType="begin"/>
    </w:r>
    <w:r>
      <w:instrText xml:space="preserve"> FILENAME \p  \* MERGEFORMAT </w:instrText>
    </w:r>
    <w:r>
      <w:rPr>
        <w:noProof w:val="0"/>
        <w:sz w:val="24"/>
      </w:rPr>
      <w:fldChar w:fldCharType="separate"/>
    </w:r>
    <w:r w:rsidR="009B1031">
      <w:t>P:\ENG\ITU-R\AG\RAG11\RAG-1\000\004E.docx</w:t>
    </w:r>
    <w:r>
      <w:fldChar w:fldCharType="end"/>
    </w:r>
    <w:r>
      <w:t xml:space="preserve"> (304937)</w:t>
    </w:r>
    <w:r>
      <w:tab/>
    </w:r>
    <w:r>
      <w:fldChar w:fldCharType="begin"/>
    </w:r>
    <w:r>
      <w:instrText xml:space="preserve"> SAVEDATE \@ DD.MM.YY </w:instrText>
    </w:r>
    <w:r>
      <w:fldChar w:fldCharType="separate"/>
    </w:r>
    <w:r w:rsidR="009B1031">
      <w:t>04.04.11</w:t>
    </w:r>
    <w:r>
      <w:fldChar w:fldCharType="end"/>
    </w:r>
    <w:r>
      <w:tab/>
    </w:r>
    <w:r>
      <w:fldChar w:fldCharType="begin"/>
    </w:r>
    <w:r>
      <w:instrText xml:space="preserve"> PRINTDATE \@ DD.MM.YY </w:instrText>
    </w:r>
    <w:r>
      <w:fldChar w:fldCharType="separate"/>
    </w:r>
    <w:r w:rsidR="009B1031">
      <w:t>04.04.11</w:t>
    </w:r>
    <w:r>
      <w:fldChar w:fldCharType="end"/>
    </w:r>
  </w:p>
  <w:p w:rsidR="0095426A" w:rsidRPr="00BA6E4F" w:rsidRDefault="0095426A" w:rsidP="00BA6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4C6" w:rsidRDefault="001854C6">
      <w:r>
        <w:t>____________________</w:t>
      </w:r>
    </w:p>
  </w:footnote>
  <w:footnote w:type="continuationSeparator" w:id="0">
    <w:p w:rsidR="001854C6" w:rsidRDefault="00185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9B1031">
      <w:rPr>
        <w:noProof/>
      </w:rPr>
      <w:t>2</w:t>
    </w:r>
    <w:r>
      <w:rPr>
        <w:noProof/>
      </w:rPr>
      <w:fldChar w:fldCharType="end"/>
    </w:r>
  </w:p>
  <w:p w:rsidR="0095426A" w:rsidRDefault="00597657" w:rsidP="00BA6E4F">
    <w:pPr>
      <w:pStyle w:val="Header"/>
      <w:rPr>
        <w:lang w:val="es-ES"/>
      </w:rPr>
    </w:pPr>
    <w:r>
      <w:rPr>
        <w:lang w:val="es-ES"/>
      </w:rPr>
      <w:t>RAG</w:t>
    </w:r>
    <w:r w:rsidR="00DD3BF8">
      <w:rPr>
        <w:lang w:val="es-ES"/>
      </w:rPr>
      <w:t>1</w:t>
    </w:r>
    <w:r w:rsidR="001E41A0">
      <w:rPr>
        <w:lang w:val="es-ES"/>
      </w:rPr>
      <w:t>1</w:t>
    </w:r>
    <w:r w:rsidR="0095426A">
      <w:rPr>
        <w:lang w:val="es-ES"/>
      </w:rPr>
      <w:t>-1/</w:t>
    </w:r>
    <w:r w:rsidR="00BA6E4F">
      <w:rPr>
        <w:lang w:val="es-ES"/>
      </w:rPr>
      <w:t>4</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C6"/>
    <w:rsid w:val="00093C73"/>
    <w:rsid w:val="001377D6"/>
    <w:rsid w:val="001854C6"/>
    <w:rsid w:val="001E41A0"/>
    <w:rsid w:val="00267D21"/>
    <w:rsid w:val="002774E4"/>
    <w:rsid w:val="00507DA3"/>
    <w:rsid w:val="0051782D"/>
    <w:rsid w:val="00597657"/>
    <w:rsid w:val="00746923"/>
    <w:rsid w:val="00806E63"/>
    <w:rsid w:val="008B3F50"/>
    <w:rsid w:val="0095426A"/>
    <w:rsid w:val="009B1031"/>
    <w:rsid w:val="00A16CB2"/>
    <w:rsid w:val="00B52992"/>
    <w:rsid w:val="00BA6E4F"/>
    <w:rsid w:val="00CC1D49"/>
    <w:rsid w:val="00CD4D80"/>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RAG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PE_RAG11</Template>
  <TotalTime>8</TotalTime>
  <Pages>2</Pages>
  <Words>421</Words>
  <Characters>2751</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Introduction</vt:lpstr>
      <vt:lpstr>2	Discussions</vt:lpstr>
      <vt:lpstr>3	Proposals</vt:lpstr>
    </vt:vector>
  </TitlesOfParts>
  <Manager>General Secretariat - Pool</Manager>
  <Company>International Telecommunication Union (ITU)</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ADVISORY GROUP</dc:subject>
  <dc:creator>Currie, Jane</dc:creator>
  <cp:keywords>RAG03-1</cp:keywords>
  <dc:description>PE_RAG10.dotm  For: _x000d_Document date: _x000d_Saved by TRA44246 at 12:32:17 on 12.02.2010</dc:description>
  <cp:lastModifiedBy>Currie, Jane</cp:lastModifiedBy>
  <cp:revision>4</cp:revision>
  <cp:lastPrinted>2011-04-04T07:41:00Z</cp:lastPrinted>
  <dcterms:created xsi:type="dcterms:W3CDTF">2011-04-04T07:35:00Z</dcterms:created>
  <dcterms:modified xsi:type="dcterms:W3CDTF">2011-04-04T07:44:00Z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