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6062"/>
        <w:gridCol w:w="2926"/>
        <w:gridCol w:w="1468"/>
      </w:tblGrid>
      <w:tr w:rsidR="00CA41E5" w:rsidTr="00CA41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8" w:type="dxa"/>
            <w:gridSpan w:val="2"/>
          </w:tcPr>
          <w:p w:rsidR="00CA41E5" w:rsidRPr="000D6450" w:rsidRDefault="00CA41E5" w:rsidP="00CA41E5">
            <w:pPr>
              <w:framePr w:hSpace="181" w:wrap="around" w:vAnchor="page" w:hAnchor="margin" w:x="-175" w:y="852"/>
              <w:shd w:val="solid" w:color="FFFFFF" w:fill="FFFFFF"/>
              <w:spacing w:before="360" w:after="240" w:line="240" w:lineRule="auto"/>
              <w:ind w:left="-120" w:right="-108"/>
              <w:rPr>
                <w:rFonts w:ascii="Verdana" w:hAnsi="Verdana" w:cs="Times New Roman Bold"/>
                <w:b/>
                <w:bCs/>
                <w:lang w:val="fr-CH"/>
              </w:rPr>
            </w:pPr>
            <w:r w:rsidRPr="000D6450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>3</w:t>
            </w:r>
            <w:r w:rsidRPr="00772D31">
              <w:rPr>
                <w:rFonts w:ascii="Verdana" w:hAnsi="Verdana" w:cs="Times New Roman Bold"/>
                <w:b/>
                <w:sz w:val="26"/>
                <w:szCs w:val="26"/>
                <w:vertAlign w:val="superscript"/>
                <w:lang w:val="fr-CH"/>
              </w:rPr>
              <w:t>ème</w:t>
            </w:r>
            <w:r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 xml:space="preserve"> </w:t>
            </w:r>
            <w:r w:rsidRPr="000D6450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>r</w:t>
            </w:r>
            <w:r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>é</w:t>
            </w:r>
            <w:r w:rsidRPr="000D6450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>union préparatoire du Groupe Africain</w:t>
            </w:r>
            <w:r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 xml:space="preserve"> </w:t>
            </w:r>
            <w:r w:rsidRPr="000D6450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>pour la</w:t>
            </w:r>
            <w:r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 xml:space="preserve"> </w:t>
            </w:r>
            <w:r w:rsidRPr="000D6450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t>CMR-12</w:t>
            </w:r>
            <w:r w:rsidRPr="000D6450">
              <w:rPr>
                <w:rFonts w:ascii="Verdana" w:hAnsi="Verdana" w:cs="Times New Roman Bold"/>
                <w:b/>
                <w:sz w:val="26"/>
                <w:szCs w:val="26"/>
                <w:lang w:val="fr-CH"/>
              </w:rPr>
              <w:br/>
            </w:r>
            <w:r w:rsidRPr="000D6450">
              <w:rPr>
                <w:rFonts w:ascii="Verdana" w:hAnsi="Verdana" w:cs="Times New Roman Bold"/>
                <w:b/>
                <w:bCs/>
                <w:sz w:val="20"/>
                <w:lang w:val="fr-CH"/>
              </w:rPr>
              <w:t>Genève, 9 novembre 201</w:t>
            </w:r>
            <w:r>
              <w:rPr>
                <w:rFonts w:ascii="Verdana" w:hAnsi="Verdana" w:cs="Times New Roman Bold"/>
                <w:b/>
                <w:bCs/>
                <w:sz w:val="20"/>
                <w:lang w:val="fr-CH"/>
              </w:rPr>
              <w:t>1</w:t>
            </w:r>
          </w:p>
        </w:tc>
        <w:tc>
          <w:tcPr>
            <w:tcW w:w="1468" w:type="dxa"/>
          </w:tcPr>
          <w:p w:rsidR="00CA41E5" w:rsidRDefault="00CA41E5" w:rsidP="00CA41E5">
            <w:pPr>
              <w:framePr w:hSpace="181" w:wrap="around" w:vAnchor="page" w:hAnchor="margin" w:x="-175" w:y="852"/>
              <w:shd w:val="solid" w:color="FFFFFF" w:fill="FFFFFF"/>
              <w:spacing w:line="240" w:lineRule="atLeast"/>
              <w:ind w:left="-108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15" cy="8502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8502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1E5" w:rsidRPr="0051782D" w:rsidTr="00CA41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tcBorders>
              <w:bottom w:val="single" w:sz="12" w:space="0" w:color="auto"/>
            </w:tcBorders>
          </w:tcPr>
          <w:p w:rsidR="00CA41E5" w:rsidRPr="0051782D" w:rsidRDefault="00CA41E5" w:rsidP="00CA41E5">
            <w:pPr>
              <w:framePr w:hSpace="181" w:wrap="around" w:vAnchor="page" w:hAnchor="margin" w:x="-175" w:y="852"/>
              <w:shd w:val="solid" w:color="FFFFFF" w:fill="FFFFFF"/>
              <w:spacing w:after="48"/>
              <w:rPr>
                <w:rFonts w:ascii="Verdana" w:hAnsi="Verdana" w:cs="Times New Roman Bold"/>
                <w:b/>
              </w:rPr>
            </w:pP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:rsidR="00CA41E5" w:rsidRPr="0051782D" w:rsidRDefault="00CA41E5" w:rsidP="00CA41E5">
            <w:pPr>
              <w:framePr w:hSpace="181" w:wrap="around" w:vAnchor="page" w:hAnchor="margin" w:x="-175" w:y="852"/>
              <w:shd w:val="solid" w:color="FFFFFF" w:fill="FFFFFF"/>
              <w:spacing w:after="48" w:line="240" w:lineRule="atLeast"/>
              <w:rPr>
                <w:lang w:val="en-US"/>
              </w:rPr>
            </w:pPr>
          </w:p>
        </w:tc>
      </w:tr>
      <w:tr w:rsidR="00CA41E5" w:rsidTr="00CA41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tcBorders>
              <w:top w:val="single" w:sz="12" w:space="0" w:color="auto"/>
            </w:tcBorders>
          </w:tcPr>
          <w:p w:rsidR="00CA41E5" w:rsidRPr="0051782D" w:rsidRDefault="00CA41E5" w:rsidP="00CA41E5">
            <w:pPr>
              <w:framePr w:hSpace="181" w:wrap="around" w:vAnchor="page" w:hAnchor="margin" w:x="-175" w:y="852"/>
              <w:shd w:val="solid" w:color="FFFFFF" w:fill="FFFFFF"/>
              <w:spacing w:after="48"/>
              <w:rPr>
                <w:rFonts w:ascii="Verdana" w:hAnsi="Verdana" w:cs="Times New Roman Bold"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</w:tcPr>
          <w:p w:rsidR="00CA41E5" w:rsidRPr="00710D66" w:rsidRDefault="00CA41E5" w:rsidP="00CA41E5">
            <w:pPr>
              <w:framePr w:hSpace="181" w:wrap="around" w:vAnchor="page" w:hAnchor="margin" w:x="-175" w:y="852"/>
              <w:shd w:val="solid" w:color="FFFFFF" w:fill="FFFFFF"/>
              <w:spacing w:after="48" w:line="240" w:lineRule="atLeast"/>
              <w:rPr>
                <w:lang w:val="en-US"/>
              </w:rPr>
            </w:pPr>
          </w:p>
        </w:tc>
      </w:tr>
      <w:tr w:rsidR="00CA41E5" w:rsidRPr="00A34739" w:rsidTr="00CA41E5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062" w:type="dxa"/>
            <w:vMerge w:val="restart"/>
          </w:tcPr>
          <w:p w:rsidR="00CA41E5" w:rsidRDefault="00CA41E5" w:rsidP="00CA41E5">
            <w:pPr>
              <w:framePr w:hSpace="181" w:wrap="around" w:vAnchor="page" w:hAnchor="margin" w:x="-175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4326" w:type="dxa"/>
            <w:gridSpan w:val="2"/>
          </w:tcPr>
          <w:p w:rsidR="00CA41E5" w:rsidRPr="008D05AE" w:rsidRDefault="00CA41E5" w:rsidP="00CA41E5">
            <w:pPr>
              <w:framePr w:hSpace="181" w:wrap="around" w:vAnchor="page" w:hAnchor="margin" w:x="-175" w:y="852"/>
              <w:shd w:val="solid" w:color="FFFFFF" w:fill="FFFFFF"/>
              <w:spacing w:after="0" w:line="240" w:lineRule="atLeast"/>
              <w:rPr>
                <w:rFonts w:ascii="Verdana" w:hAnsi="Verdana" w:cs="Times New Roman Bold"/>
                <w:sz w:val="20"/>
                <w:lang w:val="pt-BR"/>
              </w:rPr>
            </w:pPr>
            <w:r w:rsidRPr="00D369E3">
              <w:rPr>
                <w:rFonts w:ascii="Verdana" w:hAnsi="Verdana" w:cs="Times New Roman Bold"/>
                <w:b/>
                <w:sz w:val="20"/>
              </w:rPr>
              <w:t>Document</w:t>
            </w:r>
            <w:r w:rsidRPr="008D05AE">
              <w:rPr>
                <w:rFonts w:ascii="Verdana" w:hAnsi="Verdana" w:cs="Times New Roman Bold"/>
                <w:b/>
                <w:sz w:val="20"/>
                <w:lang w:val="pt-BR"/>
              </w:rPr>
              <w:t xml:space="preserve"> WRC12ATU11</w:t>
            </w:r>
            <w:r>
              <w:rPr>
                <w:rFonts w:ascii="Verdana" w:hAnsi="Verdana" w:cs="Times New Roman Bold"/>
                <w:b/>
                <w:sz w:val="20"/>
                <w:lang w:val="pt-BR"/>
              </w:rPr>
              <w:t>/4-F</w:t>
            </w:r>
          </w:p>
        </w:tc>
      </w:tr>
      <w:tr w:rsidR="00CA41E5" w:rsidTr="00CA41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2" w:type="dxa"/>
            <w:vMerge/>
          </w:tcPr>
          <w:p w:rsidR="00CA41E5" w:rsidRPr="00A34739" w:rsidRDefault="00CA41E5" w:rsidP="00CA41E5">
            <w:pPr>
              <w:framePr w:hSpace="181" w:wrap="around" w:vAnchor="page" w:hAnchor="margin" w:x="-175" w:y="852"/>
              <w:spacing w:before="60"/>
              <w:jc w:val="center"/>
              <w:rPr>
                <w:b/>
                <w:smallCaps/>
                <w:sz w:val="32"/>
                <w:lang w:val="pt-BR"/>
              </w:rPr>
            </w:pPr>
            <w:bookmarkStart w:id="1" w:name="ddate" w:colFirst="1" w:colLast="1"/>
            <w:bookmarkEnd w:id="0"/>
          </w:p>
        </w:tc>
        <w:tc>
          <w:tcPr>
            <w:tcW w:w="4326" w:type="dxa"/>
            <w:gridSpan w:val="2"/>
          </w:tcPr>
          <w:p w:rsidR="00CA41E5" w:rsidRPr="00A34739" w:rsidRDefault="00CA41E5" w:rsidP="00CA41E5">
            <w:pPr>
              <w:framePr w:hSpace="181" w:wrap="around" w:vAnchor="page" w:hAnchor="margin" w:x="-175" w:y="852"/>
              <w:shd w:val="solid" w:color="FFFFFF" w:fill="FFFFFF"/>
              <w:spacing w:after="0" w:line="240" w:lineRule="atLeast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</w:rPr>
              <w:t>8 novembre 2011</w:t>
            </w:r>
          </w:p>
        </w:tc>
      </w:tr>
      <w:tr w:rsidR="00CA41E5" w:rsidTr="00CA41E5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6062" w:type="dxa"/>
            <w:vMerge/>
          </w:tcPr>
          <w:p w:rsidR="00CA41E5" w:rsidRDefault="00CA41E5" w:rsidP="00CA41E5">
            <w:pPr>
              <w:framePr w:hSpace="181" w:wrap="around" w:vAnchor="page" w:hAnchor="margin" w:x="-175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4326" w:type="dxa"/>
            <w:gridSpan w:val="2"/>
          </w:tcPr>
          <w:p w:rsidR="00CA41E5" w:rsidRPr="00FA31B6" w:rsidRDefault="00CA41E5" w:rsidP="00CA41E5">
            <w:pPr>
              <w:framePr w:hSpace="181" w:wrap="around" w:vAnchor="page" w:hAnchor="margin" w:x="-175" w:y="852"/>
              <w:shd w:val="solid" w:color="FFFFFF" w:fill="FFFFFF"/>
              <w:spacing w:after="0" w:line="240" w:lineRule="atLeast"/>
              <w:rPr>
                <w:rFonts w:ascii="Verdana" w:hAnsi="Verdana"/>
                <w:sz w:val="20"/>
              </w:rPr>
            </w:pPr>
            <w:r w:rsidRPr="00F04BC1">
              <w:rPr>
                <w:rFonts w:ascii="Verdana" w:hAnsi="Verdana"/>
                <w:b/>
                <w:sz w:val="20"/>
              </w:rPr>
              <w:t>Fr</w:t>
            </w:r>
            <w:r>
              <w:rPr>
                <w:rFonts w:ascii="Verdana" w:hAnsi="Verdana"/>
                <w:b/>
                <w:sz w:val="20"/>
              </w:rPr>
              <w:t>ançais</w:t>
            </w:r>
          </w:p>
        </w:tc>
      </w:tr>
    </w:tbl>
    <w:tbl>
      <w:tblPr>
        <w:tblW w:w="10490" w:type="dxa"/>
        <w:tblInd w:w="-176" w:type="dxa"/>
        <w:tblLayout w:type="fixed"/>
        <w:tblLook w:val="0000"/>
      </w:tblPr>
      <w:tblGrid>
        <w:gridCol w:w="10490"/>
      </w:tblGrid>
      <w:tr w:rsidR="00CA41E5" w:rsidRPr="00F02C7C" w:rsidTr="00CA41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</w:tcPr>
          <w:p w:rsidR="00CA41E5" w:rsidRPr="000D6450" w:rsidRDefault="00CA41E5" w:rsidP="00CA41E5">
            <w:pPr>
              <w:pStyle w:val="Source"/>
              <w:rPr>
                <w:lang w:val="fr-CH"/>
              </w:rPr>
            </w:pPr>
            <w:bookmarkStart w:id="3" w:name="dsource" w:colFirst="0" w:colLast="0"/>
            <w:bookmarkEnd w:id="2"/>
            <w:r>
              <w:rPr>
                <w:rFonts w:ascii="Times New Roman Bold" w:hAnsi="Times New Roman Bold" w:cs="Times New Roman Bold"/>
                <w:lang w:val="fr-CH"/>
              </w:rPr>
              <w:t>Sénégal (République du)</w:t>
            </w:r>
            <w:r w:rsidRPr="000D6450">
              <w:rPr>
                <w:lang w:val="fr-CH"/>
              </w:rPr>
              <w:t xml:space="preserve"> </w:t>
            </w:r>
          </w:p>
        </w:tc>
      </w:tr>
      <w:tr w:rsidR="00CA41E5" w:rsidRPr="00F02C7C" w:rsidTr="00CA41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</w:tcPr>
          <w:p w:rsidR="00CA41E5" w:rsidRPr="00CA41E5" w:rsidRDefault="00CA41E5" w:rsidP="00CA41E5">
            <w:pPr>
              <w:pStyle w:val="Title1"/>
              <w:rPr>
                <w:lang w:val="fr-FR"/>
              </w:rPr>
            </w:pPr>
            <w:bookmarkStart w:id="4" w:name="dtitle1" w:colFirst="0" w:colLast="0"/>
            <w:bookmarkEnd w:id="3"/>
            <w:r w:rsidRPr="00CA41E5">
              <w:rPr>
                <w:lang w:val="fr-CH"/>
              </w:rPr>
              <w:t>NOTE TECHNIQUE SUR LA QUESTION</w:t>
            </w:r>
            <w:r w:rsidRPr="00CA41E5">
              <w:rPr>
                <w:lang w:val="fr-CH"/>
              </w:rPr>
              <w:br/>
              <w:t>DU DIVIDENDE NUMERIQUE EN AFRIQUE :</w:t>
            </w:r>
            <w:r w:rsidRPr="00CA41E5">
              <w:rPr>
                <w:lang w:val="fr-CH"/>
              </w:rPr>
              <w:br/>
              <w:t>NECESSITE DE DISPOSER DE PLUS DE SPECTRE</w:t>
            </w:r>
          </w:p>
        </w:tc>
      </w:tr>
      <w:bookmarkEnd w:id="4"/>
    </w:tbl>
    <w:p w:rsidR="00CA41E5" w:rsidRDefault="00CA41E5" w:rsidP="00CA41E5">
      <w:pPr>
        <w:jc w:val="center"/>
        <w:rPr>
          <w:rFonts w:hAnsi="Times New Roman Bold"/>
          <w:caps/>
          <w:szCs w:val="24"/>
          <w:lang w:val="fr-CH"/>
        </w:rPr>
      </w:pPr>
    </w:p>
    <w:p w:rsidR="00CA41E5" w:rsidRDefault="00CA41E5" w:rsidP="00CA41E5">
      <w:pPr>
        <w:jc w:val="center"/>
        <w:rPr>
          <w:rFonts w:hAnsi="Times New Roman Bold"/>
          <w:caps/>
          <w:szCs w:val="24"/>
          <w:lang w:val="fr-CH"/>
        </w:rPr>
      </w:pPr>
    </w:p>
    <w:p w:rsidR="00FE57EA" w:rsidRPr="00FE57EA" w:rsidRDefault="00FE57EA" w:rsidP="00FE57EA">
      <w:pPr>
        <w:rPr>
          <w:b/>
          <w:u w:val="single"/>
        </w:rPr>
      </w:pPr>
      <w:r w:rsidRPr="00FE57EA">
        <w:rPr>
          <w:b/>
          <w:u w:val="single"/>
        </w:rPr>
        <w:t>ARGUMENTAIRE</w:t>
      </w:r>
    </w:p>
    <w:p w:rsidR="00A35D48" w:rsidRPr="0024001A" w:rsidRDefault="007417D1" w:rsidP="0024001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Dans de nombreux pays </w:t>
      </w:r>
      <w:r w:rsidR="008B2B82">
        <w:rPr>
          <w:color w:val="000000" w:themeColor="text1"/>
        </w:rPr>
        <w:t>africains</w:t>
      </w:r>
      <w:r>
        <w:rPr>
          <w:color w:val="000000" w:themeColor="text1"/>
        </w:rPr>
        <w:t>, l</w:t>
      </w:r>
      <w:r w:rsidR="00814D79" w:rsidRPr="0024001A">
        <w:rPr>
          <w:color w:val="000000" w:themeColor="text1"/>
        </w:rPr>
        <w:t>a bande 790 – 862 MHz considérée comme la bande du dividende numérique par essence et désignée par l’acronyme « </w:t>
      </w:r>
      <w:r w:rsidR="00814D79" w:rsidRPr="004263E7">
        <w:rPr>
          <w:i/>
          <w:color w:val="000000" w:themeColor="text1"/>
        </w:rPr>
        <w:t>bande des 800 MHz</w:t>
      </w:r>
      <w:r w:rsidR="00814D79" w:rsidRPr="0024001A">
        <w:rPr>
          <w:color w:val="000000" w:themeColor="text1"/>
        </w:rPr>
        <w:t xml:space="preserve"> » est actuellement utilisée </w:t>
      </w:r>
      <w:r w:rsidR="004263E7">
        <w:rPr>
          <w:color w:val="000000" w:themeColor="text1"/>
        </w:rPr>
        <w:t>à</w:t>
      </w:r>
      <w:r w:rsidR="00814D79" w:rsidRPr="0024001A">
        <w:rPr>
          <w:color w:val="000000" w:themeColor="text1"/>
        </w:rPr>
        <w:t xml:space="preserve"> fins de d’accès fixe sans fil avec </w:t>
      </w:r>
      <w:r w:rsidR="004263E7">
        <w:rPr>
          <w:color w:val="000000" w:themeColor="text1"/>
        </w:rPr>
        <w:t>des</w:t>
      </w:r>
      <w:r w:rsidR="00814D79" w:rsidRPr="0024001A">
        <w:rPr>
          <w:color w:val="000000" w:themeColor="text1"/>
        </w:rPr>
        <w:t xml:space="preserve"> technologie</w:t>
      </w:r>
      <w:r w:rsidR="004263E7">
        <w:rPr>
          <w:color w:val="000000" w:themeColor="text1"/>
        </w:rPr>
        <w:t>s de type</w:t>
      </w:r>
      <w:r w:rsidR="00814D79" w:rsidRPr="0024001A">
        <w:rPr>
          <w:color w:val="000000" w:themeColor="text1"/>
        </w:rPr>
        <w:t xml:space="preserve"> CDMA (CDMA 800) </w:t>
      </w:r>
      <w:r w:rsidR="004263E7">
        <w:rPr>
          <w:color w:val="000000" w:themeColor="text1"/>
        </w:rPr>
        <w:t>fournissant</w:t>
      </w:r>
      <w:r w:rsidR="00814D79" w:rsidRPr="0024001A">
        <w:rPr>
          <w:color w:val="000000" w:themeColor="text1"/>
        </w:rPr>
        <w:t xml:space="preserve"> des services de voix et données (1X, EVDO)</w:t>
      </w:r>
      <w:r w:rsidR="0024001A">
        <w:rPr>
          <w:color w:val="000000" w:themeColor="text1"/>
        </w:rPr>
        <w:t>.</w:t>
      </w:r>
    </w:p>
    <w:p w:rsidR="0024001A" w:rsidRPr="0024001A" w:rsidRDefault="0024001A" w:rsidP="0024001A">
      <w:pPr>
        <w:pStyle w:val="ListParagraph"/>
        <w:jc w:val="both"/>
        <w:rPr>
          <w:color w:val="000000" w:themeColor="text1"/>
        </w:rPr>
      </w:pPr>
    </w:p>
    <w:p w:rsidR="0024001A" w:rsidRDefault="009D2140" w:rsidP="00814D79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>
        <w:t>Pour rappel, le CDMA 800 fonctionne dans la bande 82</w:t>
      </w:r>
      <w:r w:rsidR="004E4FD4">
        <w:t>5</w:t>
      </w:r>
      <w:r>
        <w:t xml:space="preserve"> </w:t>
      </w:r>
      <w:r w:rsidRPr="0024001A">
        <w:rPr>
          <w:color w:val="000000" w:themeColor="text1"/>
        </w:rPr>
        <w:t xml:space="preserve">– </w:t>
      </w:r>
      <w:r w:rsidR="004E4FD4" w:rsidRPr="0024001A">
        <w:rPr>
          <w:color w:val="000000" w:themeColor="text1"/>
        </w:rPr>
        <w:t>890</w:t>
      </w:r>
      <w:r w:rsidRPr="0024001A">
        <w:rPr>
          <w:color w:val="000000" w:themeColor="text1"/>
        </w:rPr>
        <w:t xml:space="preserve"> MHz</w:t>
      </w:r>
      <w:r w:rsidR="004E4FD4" w:rsidRPr="0024001A">
        <w:rPr>
          <w:color w:val="000000" w:themeColor="text1"/>
        </w:rPr>
        <w:t xml:space="preserve"> (</w:t>
      </w:r>
      <w:r w:rsidR="004E4FD4" w:rsidRPr="0024001A">
        <w:rPr>
          <w:i/>
          <w:color w:val="000000" w:themeColor="text1"/>
        </w:rPr>
        <w:t>CDMA Class 0</w:t>
      </w:r>
      <w:r w:rsidR="004E4FD4" w:rsidRPr="0024001A">
        <w:rPr>
          <w:color w:val="000000" w:themeColor="text1"/>
        </w:rPr>
        <w:t>)</w:t>
      </w:r>
      <w:r w:rsidRPr="0024001A">
        <w:rPr>
          <w:color w:val="000000" w:themeColor="text1"/>
        </w:rPr>
        <w:t>.</w:t>
      </w:r>
      <w:r w:rsidR="004E4FD4" w:rsidRPr="0024001A">
        <w:rPr>
          <w:color w:val="000000" w:themeColor="text1"/>
        </w:rPr>
        <w:t xml:space="preserve"> </w:t>
      </w:r>
    </w:p>
    <w:p w:rsidR="00591E5A" w:rsidRPr="0024001A" w:rsidRDefault="004E4FD4" w:rsidP="0024001A">
      <w:pPr>
        <w:ind w:left="708"/>
        <w:jc w:val="both"/>
        <w:rPr>
          <w:color w:val="000000" w:themeColor="text1"/>
        </w:rPr>
      </w:pPr>
      <w:r w:rsidRPr="0024001A">
        <w:rPr>
          <w:color w:val="000000" w:themeColor="text1"/>
        </w:rPr>
        <w:t xml:space="preserve">La coexistence de réseaux CDMA 800 et de réseaux mobiles à haut débit </w:t>
      </w:r>
      <w:r w:rsidR="00591E5A" w:rsidRPr="0024001A">
        <w:rPr>
          <w:color w:val="000000" w:themeColor="text1"/>
        </w:rPr>
        <w:t xml:space="preserve">(3.99 et 4G) </w:t>
      </w:r>
      <w:r w:rsidRPr="0024001A">
        <w:rPr>
          <w:color w:val="000000" w:themeColor="text1"/>
        </w:rPr>
        <w:t>d</w:t>
      </w:r>
      <w:r w:rsidR="00591E5A" w:rsidRPr="0024001A">
        <w:rPr>
          <w:color w:val="000000" w:themeColor="text1"/>
        </w:rPr>
        <w:t>ans</w:t>
      </w:r>
      <w:r w:rsidRPr="0024001A">
        <w:rPr>
          <w:color w:val="000000" w:themeColor="text1"/>
        </w:rPr>
        <w:t xml:space="preserve"> la bande des 800 MHz bloque</w:t>
      </w:r>
      <w:r w:rsidR="00591E5A" w:rsidRPr="0024001A">
        <w:rPr>
          <w:color w:val="000000" w:themeColor="text1"/>
        </w:rPr>
        <w:t>rait</w:t>
      </w:r>
      <w:r w:rsidRPr="0024001A">
        <w:rPr>
          <w:color w:val="000000" w:themeColor="text1"/>
        </w:rPr>
        <w:t xml:space="preserve"> </w:t>
      </w:r>
      <w:r w:rsidR="00591E5A" w:rsidRPr="0024001A">
        <w:rPr>
          <w:b/>
          <w:color w:val="000000" w:themeColor="text1"/>
        </w:rPr>
        <w:t>37 MHz</w:t>
      </w:r>
      <w:r w:rsidR="00591E5A" w:rsidRPr="0024001A">
        <w:rPr>
          <w:color w:val="000000" w:themeColor="text1"/>
        </w:rPr>
        <w:t xml:space="preserve"> du</w:t>
      </w:r>
      <w:r w:rsidRPr="0024001A">
        <w:rPr>
          <w:color w:val="000000" w:themeColor="text1"/>
        </w:rPr>
        <w:t xml:space="preserve"> dividende numérique</w:t>
      </w:r>
      <w:r w:rsidR="00591E5A" w:rsidRPr="0024001A">
        <w:rPr>
          <w:color w:val="000000" w:themeColor="text1"/>
        </w:rPr>
        <w:t xml:space="preserve"> </w:t>
      </w:r>
      <w:r w:rsidR="00591E5A" w:rsidRPr="0024001A">
        <w:rPr>
          <w:b/>
          <w:color w:val="000000" w:themeColor="text1"/>
        </w:rPr>
        <w:t>(</w:t>
      </w:r>
      <w:r w:rsidR="00591E5A" w:rsidRPr="0024001A">
        <w:rPr>
          <w:b/>
          <w:i/>
          <w:color w:val="000000" w:themeColor="text1"/>
        </w:rPr>
        <w:t>862 – 825 = 3</w:t>
      </w:r>
      <w:r w:rsidR="00E2163A">
        <w:rPr>
          <w:b/>
          <w:i/>
          <w:color w:val="000000" w:themeColor="text1"/>
        </w:rPr>
        <w:t>7</w:t>
      </w:r>
      <w:r w:rsidR="00591E5A" w:rsidRPr="0024001A">
        <w:rPr>
          <w:b/>
          <w:i/>
          <w:color w:val="000000" w:themeColor="text1"/>
        </w:rPr>
        <w:t xml:space="preserve"> MHz</w:t>
      </w:r>
      <w:r w:rsidR="00591E5A" w:rsidRPr="0024001A">
        <w:rPr>
          <w:b/>
          <w:color w:val="000000" w:themeColor="text1"/>
        </w:rPr>
        <w:t xml:space="preserve">), </w:t>
      </w:r>
      <w:r w:rsidR="00591E5A" w:rsidRPr="0024001A">
        <w:rPr>
          <w:color w:val="000000" w:themeColor="text1"/>
        </w:rPr>
        <w:t>autrement dit, seuls</w:t>
      </w:r>
      <w:r w:rsidR="00591E5A" w:rsidRPr="0024001A">
        <w:rPr>
          <w:b/>
          <w:color w:val="000000" w:themeColor="text1"/>
        </w:rPr>
        <w:t xml:space="preserve"> 35 MHz</w:t>
      </w:r>
      <w:r w:rsidR="00591E5A" w:rsidRPr="0024001A">
        <w:rPr>
          <w:color w:val="000000" w:themeColor="text1"/>
        </w:rPr>
        <w:t xml:space="preserve"> de ce dividende numérique seraient utilisables. </w:t>
      </w:r>
    </w:p>
    <w:p w:rsidR="0024001A" w:rsidRPr="0024001A" w:rsidRDefault="0024001A" w:rsidP="0024001A">
      <w:pPr>
        <w:pStyle w:val="ListParagraph"/>
        <w:numPr>
          <w:ilvl w:val="0"/>
          <w:numId w:val="1"/>
        </w:numPr>
        <w:jc w:val="both"/>
      </w:pPr>
      <w:r w:rsidRPr="0024001A">
        <w:t>Par ailleurs, l</w:t>
      </w:r>
      <w:r w:rsidR="00814D79">
        <w:t xml:space="preserve">a bande 2500 – 2700 MHz complémentaire à la bande des 800 MHz </w:t>
      </w:r>
      <w:r>
        <w:t xml:space="preserve">et pressentie pour satisfaire la demande en spectre </w:t>
      </w:r>
      <w:r w:rsidR="00814D79">
        <w:t xml:space="preserve">dans le cadre des applications mobiles très haut débit 3.99 et 4 G se trouve également occupée par les réseaux de distribution de programmes </w:t>
      </w:r>
      <w:r w:rsidR="00C548CD">
        <w:t>radiophoniques et télévisuels</w:t>
      </w:r>
      <w:r w:rsidR="004263E7">
        <w:t xml:space="preserve"> de type MMDS</w:t>
      </w:r>
      <w:r>
        <w:t>.</w:t>
      </w:r>
    </w:p>
    <w:p w:rsidR="0024001A" w:rsidRPr="0024001A" w:rsidRDefault="0024001A" w:rsidP="0024001A">
      <w:pPr>
        <w:pStyle w:val="ListParagraph"/>
        <w:jc w:val="both"/>
        <w:rPr>
          <w:color w:val="FF0000"/>
        </w:rPr>
      </w:pPr>
    </w:p>
    <w:p w:rsidR="00C548CD" w:rsidRPr="0024001A" w:rsidRDefault="00C548CD" w:rsidP="0024001A">
      <w:pPr>
        <w:pStyle w:val="ListParagraph"/>
        <w:numPr>
          <w:ilvl w:val="0"/>
          <w:numId w:val="1"/>
        </w:numPr>
        <w:jc w:val="both"/>
      </w:pPr>
      <w:r>
        <w:t xml:space="preserve">A la suite de la </w:t>
      </w:r>
      <w:proofErr w:type="spellStart"/>
      <w:r>
        <w:t>replanification</w:t>
      </w:r>
      <w:proofErr w:type="spellEnd"/>
      <w:r>
        <w:t xml:space="preserve"> des bandes fréquences de la radiodiffusion télévisuelle intervenue lors de la CRR-06, il est apparu comme résultat majeur du processus, que les Administrations ont vu l’essentiel de leurs besoins en spectre satisfait en vue de l’implémentation de nouveaux de radiodiffusion numérique de Terre, </w:t>
      </w:r>
      <w:r w:rsidR="00FE57EA">
        <w:t xml:space="preserve">se retrouvant </w:t>
      </w:r>
      <w:r w:rsidR="004263E7">
        <w:t xml:space="preserve">ainsi </w:t>
      </w:r>
      <w:r w:rsidR="00FE57EA">
        <w:t xml:space="preserve">avec </w:t>
      </w:r>
      <w:r>
        <w:t xml:space="preserve">5 à 8 </w:t>
      </w:r>
      <w:r w:rsidR="00FE57EA">
        <w:t>couches multiplex</w:t>
      </w:r>
      <w:r w:rsidR="004263E7" w:rsidRPr="004263E7">
        <w:t xml:space="preserve"> </w:t>
      </w:r>
      <w:r w:rsidR="004263E7">
        <w:t>en moyenne</w:t>
      </w:r>
      <w:r w:rsidR="00FE57EA">
        <w:t xml:space="preserve">. Grâce à une bonne combinaison des choix </w:t>
      </w:r>
      <w:r w:rsidR="004263E7">
        <w:t>techniques (n</w:t>
      </w:r>
      <w:r w:rsidR="00FE57EA">
        <w:t>ormes de diffusion, mode de compression numérique, type de multiplexage et de définition…)</w:t>
      </w:r>
      <w:r w:rsidR="004263E7">
        <w:t xml:space="preserve">, il est possible en TNT d’obtenir jusqu’à 17 programmes </w:t>
      </w:r>
      <w:r w:rsidR="00FE57EA">
        <w:t xml:space="preserve"> </w:t>
      </w:r>
      <w:r w:rsidR="004263E7">
        <w:t>SD et 5 en HD. (Exemple d’</w:t>
      </w:r>
      <w:r w:rsidR="00FE57EA">
        <w:t>une couche multiplex en DVB-T2 avec une compression numérique MPEG-4 et un multiplexage statique</w:t>
      </w:r>
      <w:r w:rsidR="004263E7">
        <w:t xml:space="preserve">). </w:t>
      </w:r>
    </w:p>
    <w:p w:rsidR="004F47F4" w:rsidRPr="004F47F4" w:rsidRDefault="004F47F4" w:rsidP="0024001A">
      <w:pPr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 xml:space="preserve">Si cet exemple est pris pour hypothèse, il s’avère que le nombre de </w:t>
      </w:r>
      <w:r w:rsidR="004263E7">
        <w:rPr>
          <w:color w:val="000000" w:themeColor="text1"/>
        </w:rPr>
        <w:t>canaux</w:t>
      </w:r>
      <w:r>
        <w:rPr>
          <w:color w:val="000000" w:themeColor="text1"/>
        </w:rPr>
        <w:t xml:space="preserve"> </w:t>
      </w:r>
      <w:r w:rsidR="004263E7">
        <w:rPr>
          <w:color w:val="000000" w:themeColor="text1"/>
        </w:rPr>
        <w:t>assignés (couches multiplex) lors de la CRR-06</w:t>
      </w:r>
      <w:r>
        <w:rPr>
          <w:color w:val="000000" w:themeColor="text1"/>
        </w:rPr>
        <w:t xml:space="preserve"> couvre largement nos besoins et quelque fois </w:t>
      </w:r>
      <w:r w:rsidR="004263E7">
        <w:rPr>
          <w:color w:val="000000" w:themeColor="text1"/>
        </w:rPr>
        <w:t xml:space="preserve">même </w:t>
      </w:r>
      <w:r>
        <w:rPr>
          <w:color w:val="000000" w:themeColor="text1"/>
        </w:rPr>
        <w:t xml:space="preserve">va au-delà des nos capacités. A cela s’ajoute la possibilité pour chaque Administration de procéder à </w:t>
      </w:r>
      <w:r w:rsidR="005567F6">
        <w:rPr>
          <w:color w:val="000000" w:themeColor="text1"/>
        </w:rPr>
        <w:t xml:space="preserve">l’établissement des couches multiplex selon une configuration nationale, régionale, locale, etc.  </w:t>
      </w:r>
      <w:r>
        <w:rPr>
          <w:color w:val="000000" w:themeColor="text1"/>
        </w:rPr>
        <w:t xml:space="preserve"> </w:t>
      </w:r>
    </w:p>
    <w:p w:rsidR="001219CF" w:rsidRDefault="005567F6" w:rsidP="00992839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B2B82">
        <w:rPr>
          <w:color w:val="000000" w:themeColor="text1"/>
        </w:rPr>
        <w:t>Par ailleurs, l</w:t>
      </w:r>
      <w:r w:rsidR="00FE57EA" w:rsidRPr="008B2B82">
        <w:rPr>
          <w:color w:val="000000" w:themeColor="text1"/>
        </w:rPr>
        <w:t>e continent africain est</w:t>
      </w:r>
      <w:r w:rsidRPr="008B2B82">
        <w:rPr>
          <w:color w:val="000000" w:themeColor="text1"/>
        </w:rPr>
        <w:t xml:space="preserve"> considéré comme</w:t>
      </w:r>
      <w:r w:rsidR="00FE57EA" w:rsidRPr="008B2B82">
        <w:rPr>
          <w:color w:val="000000" w:themeColor="text1"/>
        </w:rPr>
        <w:t xml:space="preserve"> le continent où le mobile connait l’une des croissances les plus </w:t>
      </w:r>
      <w:r w:rsidRPr="008B2B82">
        <w:rPr>
          <w:color w:val="000000" w:themeColor="text1"/>
        </w:rPr>
        <w:t>fortes</w:t>
      </w:r>
      <w:r w:rsidR="00992839">
        <w:rPr>
          <w:color w:val="000000" w:themeColor="text1"/>
        </w:rPr>
        <w:t xml:space="preserve"> </w:t>
      </w:r>
      <w:r w:rsidR="00FE57EA" w:rsidRPr="008B2B82">
        <w:rPr>
          <w:color w:val="000000" w:themeColor="text1"/>
        </w:rPr>
        <w:t>alors que le taux de pénétration internet</w:t>
      </w:r>
      <w:r w:rsidRPr="008B2B82">
        <w:rPr>
          <w:color w:val="000000" w:themeColor="text1"/>
        </w:rPr>
        <w:t xml:space="preserve"> est l’un des </w:t>
      </w:r>
      <w:r w:rsidR="00FE57EA" w:rsidRPr="008B2B82">
        <w:rPr>
          <w:color w:val="000000" w:themeColor="text1"/>
        </w:rPr>
        <w:t xml:space="preserve">plus bas dans le monde </w:t>
      </w:r>
      <w:r w:rsidR="00FE57EA" w:rsidRPr="00992839">
        <w:rPr>
          <w:color w:val="000000" w:themeColor="text1"/>
        </w:rPr>
        <w:t>(</w:t>
      </w:r>
      <w:r w:rsidR="00FD7A8E" w:rsidRPr="00992839">
        <w:rPr>
          <w:color w:val="000000" w:themeColor="text1"/>
        </w:rPr>
        <w:t xml:space="preserve">5.34 % </w:t>
      </w:r>
      <w:r w:rsidR="00992839">
        <w:rPr>
          <w:color w:val="000000" w:themeColor="text1"/>
        </w:rPr>
        <w:t xml:space="preserve">pour l’Afrique </w:t>
      </w:r>
      <w:r w:rsidR="00992839" w:rsidRPr="00992839">
        <w:rPr>
          <w:color w:val="000000" w:themeColor="text1"/>
        </w:rPr>
        <w:t xml:space="preserve">en 2008 </w:t>
      </w:r>
      <w:r w:rsidR="00FD7A8E" w:rsidRPr="00992839">
        <w:rPr>
          <w:color w:val="000000" w:themeColor="text1"/>
        </w:rPr>
        <w:t>c</w:t>
      </w:r>
      <w:r w:rsidR="00FE57EA" w:rsidRPr="008B2B82">
        <w:rPr>
          <w:color w:val="000000" w:themeColor="text1"/>
        </w:rPr>
        <w:t xml:space="preserve">ontre </w:t>
      </w:r>
      <w:r w:rsidR="00992839" w:rsidRPr="00992839">
        <w:rPr>
          <w:color w:val="000000" w:themeColor="text1"/>
        </w:rPr>
        <w:t>41.54</w:t>
      </w:r>
      <w:r w:rsidR="00FE57EA" w:rsidRPr="00992839">
        <w:rPr>
          <w:color w:val="000000" w:themeColor="text1"/>
        </w:rPr>
        <w:t xml:space="preserve">  %  pour </w:t>
      </w:r>
      <w:r w:rsidR="00992839" w:rsidRPr="00992839">
        <w:rPr>
          <w:color w:val="000000" w:themeColor="text1"/>
        </w:rPr>
        <w:t>l’Europe en 2003</w:t>
      </w:r>
      <w:r w:rsidR="004F47F4" w:rsidRPr="00992839">
        <w:rPr>
          <w:color w:val="000000" w:themeColor="text1"/>
        </w:rPr>
        <w:t>)</w:t>
      </w:r>
      <w:r w:rsidR="00992839" w:rsidRPr="00992839">
        <w:rPr>
          <w:color w:val="000000" w:themeColor="text1"/>
        </w:rPr>
        <w:t xml:space="preserve"> /</w:t>
      </w:r>
      <w:r w:rsidR="00992839">
        <w:rPr>
          <w:color w:val="FF0000"/>
        </w:rPr>
        <w:t xml:space="preserve"> </w:t>
      </w:r>
      <w:r w:rsidR="00992839">
        <w:rPr>
          <w:color w:val="000000" w:themeColor="text1"/>
        </w:rPr>
        <w:t>[</w:t>
      </w:r>
      <w:r w:rsidR="00992839" w:rsidRPr="00992839">
        <w:rPr>
          <w:i/>
          <w:color w:val="000000" w:themeColor="text1"/>
        </w:rPr>
        <w:t xml:space="preserve">Source ITU-D </w:t>
      </w:r>
      <w:proofErr w:type="spellStart"/>
      <w:r w:rsidR="00992839" w:rsidRPr="00992839">
        <w:rPr>
          <w:i/>
          <w:color w:val="000000" w:themeColor="text1"/>
        </w:rPr>
        <w:t>website</w:t>
      </w:r>
      <w:proofErr w:type="spellEnd"/>
      <w:r w:rsidR="00992839">
        <w:rPr>
          <w:color w:val="000000" w:themeColor="text1"/>
        </w:rPr>
        <w:t>]</w:t>
      </w:r>
      <w:r w:rsidRPr="00250862">
        <w:rPr>
          <w:color w:val="FF0000"/>
        </w:rPr>
        <w:t>.</w:t>
      </w:r>
      <w:r w:rsidRPr="008B2B82">
        <w:rPr>
          <w:color w:val="000000" w:themeColor="text1"/>
        </w:rPr>
        <w:t xml:space="preserve"> Fort de ce constat, l’un des défis majeurs auxquels le continent africain doit faire face, c’est bien naturellement </w:t>
      </w:r>
      <w:r w:rsidR="004263E7">
        <w:rPr>
          <w:color w:val="000000" w:themeColor="text1"/>
        </w:rPr>
        <w:t xml:space="preserve">celui de développer </w:t>
      </w:r>
      <w:r w:rsidRPr="008B2B82">
        <w:rPr>
          <w:color w:val="000000" w:themeColor="text1"/>
        </w:rPr>
        <w:t>l’accès au haut débit et l’amélioration de la pénétration internet.</w:t>
      </w:r>
    </w:p>
    <w:p w:rsidR="001219CF" w:rsidRDefault="001219CF" w:rsidP="001219CF">
      <w:pPr>
        <w:pStyle w:val="ListParagraph"/>
        <w:jc w:val="both"/>
        <w:rPr>
          <w:color w:val="000000" w:themeColor="text1"/>
        </w:rPr>
      </w:pPr>
    </w:p>
    <w:p w:rsidR="0024001A" w:rsidRDefault="005567F6" w:rsidP="001219CF">
      <w:pPr>
        <w:pStyle w:val="ListParagraph"/>
        <w:jc w:val="both"/>
        <w:rPr>
          <w:color w:val="000000" w:themeColor="text1"/>
        </w:rPr>
      </w:pPr>
      <w:r w:rsidRPr="008B2B82">
        <w:rPr>
          <w:color w:val="000000" w:themeColor="text1"/>
        </w:rPr>
        <w:t>Or</w:t>
      </w:r>
      <w:r w:rsidR="00250862">
        <w:rPr>
          <w:color w:val="000000" w:themeColor="text1"/>
        </w:rPr>
        <w:t>,</w:t>
      </w:r>
      <w:r w:rsidRPr="008B2B82">
        <w:rPr>
          <w:color w:val="000000" w:themeColor="text1"/>
        </w:rPr>
        <w:t xml:space="preserve"> pour ce</w:t>
      </w:r>
      <w:r w:rsidR="00097E95" w:rsidRPr="008B2B82">
        <w:rPr>
          <w:color w:val="000000" w:themeColor="text1"/>
        </w:rPr>
        <w:t xml:space="preserve">la, les nouvelles technologies 3.99 et 4G fonctionnant principalement dans </w:t>
      </w:r>
      <w:r w:rsidR="00992839">
        <w:rPr>
          <w:color w:val="000000" w:themeColor="text1"/>
        </w:rPr>
        <w:t>les</w:t>
      </w:r>
      <w:r w:rsidR="00097E95" w:rsidRPr="008B2B82">
        <w:rPr>
          <w:color w:val="000000" w:themeColor="text1"/>
        </w:rPr>
        <w:t xml:space="preserve"> bande</w:t>
      </w:r>
      <w:r w:rsidR="00992839">
        <w:rPr>
          <w:color w:val="000000" w:themeColor="text1"/>
        </w:rPr>
        <w:t>s</w:t>
      </w:r>
      <w:r w:rsidR="00097E95" w:rsidRPr="008B2B82">
        <w:rPr>
          <w:color w:val="000000" w:themeColor="text1"/>
        </w:rPr>
        <w:t xml:space="preserve"> 800 </w:t>
      </w:r>
      <w:r w:rsidR="00992839" w:rsidRPr="008B2B82">
        <w:rPr>
          <w:color w:val="000000" w:themeColor="text1"/>
        </w:rPr>
        <w:t xml:space="preserve">MHz </w:t>
      </w:r>
      <w:r w:rsidR="00992839">
        <w:rPr>
          <w:color w:val="000000" w:themeColor="text1"/>
        </w:rPr>
        <w:t xml:space="preserve">et 2.6 GHz </w:t>
      </w:r>
      <w:r w:rsidR="001219CF">
        <w:rPr>
          <w:color w:val="000000" w:themeColor="text1"/>
        </w:rPr>
        <w:t xml:space="preserve">s’avèrent très </w:t>
      </w:r>
      <w:r w:rsidR="00097E95" w:rsidRPr="008B2B82">
        <w:rPr>
          <w:color w:val="000000" w:themeColor="text1"/>
        </w:rPr>
        <w:t>précieuse</w:t>
      </w:r>
      <w:r w:rsidR="001219CF">
        <w:rPr>
          <w:color w:val="000000" w:themeColor="text1"/>
        </w:rPr>
        <w:t>s</w:t>
      </w:r>
      <w:r w:rsidR="00097E95" w:rsidRPr="008B2B82">
        <w:rPr>
          <w:color w:val="000000" w:themeColor="text1"/>
        </w:rPr>
        <w:t xml:space="preserve">. </w:t>
      </w:r>
    </w:p>
    <w:p w:rsidR="00992839" w:rsidRDefault="00992839" w:rsidP="001219CF">
      <w:pPr>
        <w:pStyle w:val="ListParagraph"/>
        <w:jc w:val="both"/>
        <w:rPr>
          <w:color w:val="000000" w:themeColor="text1"/>
        </w:rPr>
      </w:pPr>
    </w:p>
    <w:p w:rsidR="00FE57EA" w:rsidRPr="005567F6" w:rsidRDefault="00097E95" w:rsidP="003E6129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Le continent africain devra faire en sorte qu’il soit possible d’implémenter ces solutions pour une réduction rapide du gap numérique. Toutefois, au vu de la situation quasi-similaire dans la plupart de nos pays, caractérisée notamment par </w:t>
      </w:r>
      <w:r w:rsidR="00042337">
        <w:rPr>
          <w:color w:val="000000" w:themeColor="text1"/>
        </w:rPr>
        <w:t>les contraintes d’</w:t>
      </w:r>
      <w:r>
        <w:rPr>
          <w:color w:val="000000" w:themeColor="text1"/>
        </w:rPr>
        <w:t>occupation de</w:t>
      </w:r>
      <w:r w:rsidR="00042337">
        <w:rPr>
          <w:color w:val="000000" w:themeColor="text1"/>
        </w:rPr>
        <w:t xml:space="preserve">s </w:t>
      </w:r>
      <w:r>
        <w:rPr>
          <w:color w:val="000000" w:themeColor="text1"/>
        </w:rPr>
        <w:t>bande</w:t>
      </w:r>
      <w:r w:rsidR="00042337">
        <w:rPr>
          <w:color w:val="000000" w:themeColor="text1"/>
        </w:rPr>
        <w:t>s</w:t>
      </w:r>
      <w:r>
        <w:rPr>
          <w:color w:val="000000" w:themeColor="text1"/>
        </w:rPr>
        <w:t xml:space="preserve"> 800 MHz</w:t>
      </w:r>
      <w:r w:rsidR="00042337">
        <w:rPr>
          <w:color w:val="000000" w:themeColor="text1"/>
        </w:rPr>
        <w:t xml:space="preserve"> et 2.6 GHz décrite</w:t>
      </w:r>
      <w:r w:rsidR="00992839">
        <w:rPr>
          <w:color w:val="000000" w:themeColor="text1"/>
        </w:rPr>
        <w:t>s</w:t>
      </w:r>
      <w:r w:rsidR="00042337">
        <w:rPr>
          <w:color w:val="000000" w:themeColor="text1"/>
        </w:rPr>
        <w:t xml:space="preserve"> plus haut, il s’avère plus que jamais nécessaire de disposer de capacités spectrales additionnelles</w:t>
      </w:r>
      <w:r w:rsidR="003E6129">
        <w:rPr>
          <w:color w:val="000000" w:themeColor="text1"/>
        </w:rPr>
        <w:t xml:space="preserve">. Les </w:t>
      </w:r>
      <w:r w:rsidR="00042337">
        <w:rPr>
          <w:color w:val="000000" w:themeColor="text1"/>
        </w:rPr>
        <w:t>mécanisme</w:t>
      </w:r>
      <w:r w:rsidR="008B2B82">
        <w:rPr>
          <w:color w:val="000000" w:themeColor="text1"/>
        </w:rPr>
        <w:t>s</w:t>
      </w:r>
      <w:r w:rsidR="00042337">
        <w:rPr>
          <w:color w:val="000000" w:themeColor="text1"/>
        </w:rPr>
        <w:t xml:space="preserve"> </w:t>
      </w:r>
      <w:r w:rsidR="003E6129">
        <w:rPr>
          <w:color w:val="000000" w:themeColor="text1"/>
        </w:rPr>
        <w:t xml:space="preserve">pourraient en être les </w:t>
      </w:r>
      <w:r w:rsidR="00042337">
        <w:rPr>
          <w:color w:val="000000" w:themeColor="text1"/>
        </w:rPr>
        <w:t>suivant</w:t>
      </w:r>
      <w:r w:rsidR="008B2B82">
        <w:rPr>
          <w:color w:val="000000" w:themeColor="text1"/>
        </w:rPr>
        <w:t>s</w:t>
      </w:r>
      <w:r w:rsidR="00042337">
        <w:rPr>
          <w:color w:val="000000" w:themeColor="text1"/>
        </w:rPr>
        <w:t>:</w:t>
      </w:r>
    </w:p>
    <w:p w:rsidR="00861E83" w:rsidRDefault="00861E83" w:rsidP="00814D79">
      <w:pPr>
        <w:jc w:val="both"/>
        <w:rPr>
          <w:b/>
          <w:u w:val="single"/>
        </w:rPr>
      </w:pPr>
      <w:r>
        <w:rPr>
          <w:b/>
          <w:u w:val="single"/>
        </w:rPr>
        <w:t>MECANISMES</w:t>
      </w:r>
    </w:p>
    <w:p w:rsidR="008C3687" w:rsidRPr="00702C6A" w:rsidRDefault="008B2B82" w:rsidP="008C3687">
      <w:pPr>
        <w:spacing w:before="120" w:line="280" w:lineRule="auto"/>
        <w:ind w:left="708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M</w:t>
      </w:r>
      <w:r w:rsidR="008C3687" w:rsidRPr="00702C6A">
        <w:rPr>
          <w:i/>
          <w:sz w:val="24"/>
          <w:szCs w:val="24"/>
          <w:u w:val="single"/>
        </w:rPr>
        <w:t>écanisme 1 :</w:t>
      </w:r>
    </w:p>
    <w:p w:rsidR="00861E83" w:rsidRPr="00861E83" w:rsidRDefault="00861E83" w:rsidP="00861E83">
      <w:pPr>
        <w:pStyle w:val="ListParagraph"/>
        <w:numPr>
          <w:ilvl w:val="0"/>
          <w:numId w:val="7"/>
        </w:numPr>
        <w:jc w:val="both"/>
        <w:rPr>
          <w:b/>
          <w:u w:val="single"/>
        </w:rPr>
      </w:pPr>
      <w:r>
        <w:rPr>
          <w:i/>
        </w:rPr>
        <w:t>Procéder à la m</w:t>
      </w:r>
      <w:r w:rsidRPr="00861E83">
        <w:rPr>
          <w:i/>
        </w:rPr>
        <w:t>odifi</w:t>
      </w:r>
      <w:r>
        <w:rPr>
          <w:i/>
        </w:rPr>
        <w:t>cation du</w:t>
      </w:r>
      <w:r w:rsidRPr="00861E83">
        <w:rPr>
          <w:i/>
        </w:rPr>
        <w:t xml:space="preserve"> point d’ordre du jour 1.17 de la CMR- 12 </w:t>
      </w:r>
      <w:r>
        <w:rPr>
          <w:i/>
        </w:rPr>
        <w:t xml:space="preserve">telle que </w:t>
      </w:r>
      <w:r w:rsidRPr="00861E83">
        <w:rPr>
          <w:i/>
        </w:rPr>
        <w:t>propos</w:t>
      </w:r>
      <w:r>
        <w:rPr>
          <w:i/>
        </w:rPr>
        <w:t>ée par</w:t>
      </w:r>
      <w:r w:rsidRPr="00861E83">
        <w:rPr>
          <w:i/>
        </w:rPr>
        <w:t xml:space="preserve"> l</w:t>
      </w:r>
      <w:r>
        <w:rPr>
          <w:i/>
        </w:rPr>
        <w:t>’ASMG</w:t>
      </w:r>
      <w:r w:rsidRPr="00861E83">
        <w:rPr>
          <w:i/>
        </w:rPr>
        <w:t xml:space="preserve"> et y examiner </w:t>
      </w:r>
      <w:r>
        <w:rPr>
          <w:i/>
        </w:rPr>
        <w:t xml:space="preserve">directement </w:t>
      </w:r>
      <w:r w:rsidRPr="00861E83">
        <w:rPr>
          <w:i/>
        </w:rPr>
        <w:t xml:space="preserve">la question </w:t>
      </w:r>
      <w:r w:rsidR="00522FC5">
        <w:rPr>
          <w:i/>
        </w:rPr>
        <w:t xml:space="preserve">des </w:t>
      </w:r>
      <w:r w:rsidRPr="00861E83">
        <w:rPr>
          <w:i/>
        </w:rPr>
        <w:t xml:space="preserve">capacités additionnelles </w:t>
      </w:r>
      <w:r w:rsidR="00992839">
        <w:rPr>
          <w:i/>
        </w:rPr>
        <w:t>dans</w:t>
      </w:r>
      <w:r>
        <w:rPr>
          <w:i/>
        </w:rPr>
        <w:t xml:space="preserve"> </w:t>
      </w:r>
      <w:r w:rsidRPr="00861E83">
        <w:rPr>
          <w:i/>
        </w:rPr>
        <w:t>la bande 800 MHz</w:t>
      </w:r>
      <w:r w:rsidR="00992839">
        <w:rPr>
          <w:i/>
        </w:rPr>
        <w:t>.</w:t>
      </w:r>
    </w:p>
    <w:p w:rsidR="008C3687" w:rsidRPr="00702C6A" w:rsidRDefault="008B2B82" w:rsidP="008C3687">
      <w:pPr>
        <w:spacing w:before="120" w:line="280" w:lineRule="auto"/>
        <w:ind w:left="708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M</w:t>
      </w:r>
      <w:r w:rsidR="008C3687" w:rsidRPr="00702C6A">
        <w:rPr>
          <w:i/>
          <w:sz w:val="24"/>
          <w:szCs w:val="24"/>
          <w:u w:val="single"/>
        </w:rPr>
        <w:t xml:space="preserve">écanisme </w:t>
      </w:r>
      <w:r w:rsidR="008C3687">
        <w:rPr>
          <w:i/>
          <w:sz w:val="24"/>
          <w:szCs w:val="24"/>
          <w:u w:val="single"/>
        </w:rPr>
        <w:t>2</w:t>
      </w:r>
      <w:r w:rsidR="008C3687" w:rsidRPr="00702C6A">
        <w:rPr>
          <w:i/>
          <w:sz w:val="24"/>
          <w:szCs w:val="24"/>
          <w:u w:val="single"/>
        </w:rPr>
        <w:t> :</w:t>
      </w:r>
    </w:p>
    <w:p w:rsidR="00861E83" w:rsidRPr="00E2163A" w:rsidRDefault="00861E83" w:rsidP="00861E83">
      <w:pPr>
        <w:pStyle w:val="ListParagraph"/>
        <w:numPr>
          <w:ilvl w:val="0"/>
          <w:numId w:val="7"/>
        </w:numPr>
        <w:jc w:val="both"/>
        <w:rPr>
          <w:b/>
          <w:u w:val="single"/>
        </w:rPr>
      </w:pPr>
      <w:r>
        <w:rPr>
          <w:i/>
        </w:rPr>
        <w:t>Envisager d’étudier la question à la CMR-15 (</w:t>
      </w:r>
      <w:r w:rsidR="008C3687">
        <w:rPr>
          <w:i/>
        </w:rPr>
        <w:t>l’</w:t>
      </w:r>
      <w:r>
        <w:rPr>
          <w:i/>
        </w:rPr>
        <w:t>extinction de la radiodiffusion analogique dans la plupart de</w:t>
      </w:r>
      <w:r w:rsidR="003E6129">
        <w:rPr>
          <w:i/>
        </w:rPr>
        <w:t xml:space="preserve"> no</w:t>
      </w:r>
      <w:r>
        <w:rPr>
          <w:i/>
        </w:rPr>
        <w:t xml:space="preserve">s pays </w:t>
      </w:r>
      <w:r w:rsidR="00522FC5">
        <w:rPr>
          <w:i/>
        </w:rPr>
        <w:t>intervenant à cette période)</w:t>
      </w:r>
      <w:r w:rsidR="00E2163A">
        <w:rPr>
          <w:i/>
        </w:rPr>
        <w:t>.</w:t>
      </w:r>
    </w:p>
    <w:p w:rsidR="00E2163A" w:rsidRDefault="003E6129" w:rsidP="00E2163A">
      <w:pPr>
        <w:ind w:left="708"/>
        <w:jc w:val="both"/>
        <w:rPr>
          <w:i/>
        </w:rPr>
      </w:pPr>
      <w:r>
        <w:rPr>
          <w:i/>
        </w:rPr>
        <w:t xml:space="preserve">A cet effet, il </w:t>
      </w:r>
      <w:r w:rsidR="00E2163A" w:rsidRPr="00E2163A">
        <w:rPr>
          <w:i/>
        </w:rPr>
        <w:t>s‘agi</w:t>
      </w:r>
      <w:r w:rsidR="008B03D0">
        <w:rPr>
          <w:i/>
        </w:rPr>
        <w:t>ra</w:t>
      </w:r>
      <w:r w:rsidR="00E2163A" w:rsidRPr="00E2163A">
        <w:rPr>
          <w:i/>
        </w:rPr>
        <w:t xml:space="preserve"> d’inscrire à l’ordre du jour de la prochaine CMR-15, à partir du point 8.2 de la CMR-12, un point pour demander l’extension de la bande 790 – 862 MHz à partir sa borne inférieure. En d’autres termes, vu les ressources suffisamment attribuées à la TNT, il s’</w:t>
      </w:r>
      <w:r w:rsidR="008B03D0">
        <w:rPr>
          <w:i/>
        </w:rPr>
        <w:t>agira</w:t>
      </w:r>
      <w:r w:rsidR="00E2163A" w:rsidRPr="00E2163A">
        <w:rPr>
          <w:i/>
        </w:rPr>
        <w:t xml:space="preserve"> de réduire de </w:t>
      </w:r>
      <w:r w:rsidR="008C3687" w:rsidRPr="008C3687">
        <w:rPr>
          <w:i/>
          <w:color w:val="000000" w:themeColor="text1"/>
        </w:rPr>
        <w:t>40</w:t>
      </w:r>
      <w:r w:rsidR="00E2163A" w:rsidRPr="008C3687">
        <w:rPr>
          <w:i/>
          <w:color w:val="000000" w:themeColor="text1"/>
        </w:rPr>
        <w:t xml:space="preserve"> </w:t>
      </w:r>
      <w:r w:rsidR="00E2163A" w:rsidRPr="00E2163A">
        <w:rPr>
          <w:i/>
        </w:rPr>
        <w:t>MHz</w:t>
      </w:r>
      <w:r w:rsidR="008B03D0">
        <w:rPr>
          <w:i/>
        </w:rPr>
        <w:t>,</w:t>
      </w:r>
      <w:r w:rsidR="00E2163A" w:rsidRPr="00E2163A">
        <w:rPr>
          <w:i/>
        </w:rPr>
        <w:t xml:space="preserve"> l’attribution faite au service de radiodiffusion, ce qui pourra se traduire par l’annulation d’au moins deux à trois de nos couches multiplex nationales.</w:t>
      </w:r>
      <w:r w:rsidR="00E2163A">
        <w:rPr>
          <w:i/>
        </w:rPr>
        <w:t xml:space="preserve"> </w:t>
      </w:r>
    </w:p>
    <w:p w:rsidR="00E30066" w:rsidRDefault="00E30066" w:rsidP="00E2163A">
      <w:pPr>
        <w:ind w:left="708"/>
        <w:jc w:val="both"/>
        <w:rPr>
          <w:i/>
        </w:rPr>
      </w:pPr>
    </w:p>
    <w:p w:rsidR="008C3687" w:rsidRPr="00702C6A" w:rsidRDefault="008B2B82" w:rsidP="008C3687">
      <w:pPr>
        <w:spacing w:before="120" w:line="280" w:lineRule="auto"/>
        <w:ind w:left="708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M</w:t>
      </w:r>
      <w:r w:rsidR="008C3687" w:rsidRPr="00702C6A">
        <w:rPr>
          <w:i/>
          <w:sz w:val="24"/>
          <w:szCs w:val="24"/>
          <w:u w:val="single"/>
        </w:rPr>
        <w:t xml:space="preserve">écanisme </w:t>
      </w:r>
      <w:r w:rsidR="008B03D0">
        <w:rPr>
          <w:i/>
          <w:sz w:val="24"/>
          <w:szCs w:val="24"/>
          <w:u w:val="single"/>
        </w:rPr>
        <w:t>3</w:t>
      </w:r>
      <w:r w:rsidR="008C3687" w:rsidRPr="00702C6A">
        <w:rPr>
          <w:i/>
          <w:sz w:val="24"/>
          <w:szCs w:val="24"/>
          <w:u w:val="single"/>
        </w:rPr>
        <w:t> :</w:t>
      </w:r>
    </w:p>
    <w:p w:rsidR="00861E83" w:rsidRPr="00861E83" w:rsidRDefault="00861E83" w:rsidP="00861E83">
      <w:pPr>
        <w:pStyle w:val="ListParagraph"/>
        <w:numPr>
          <w:ilvl w:val="0"/>
          <w:numId w:val="7"/>
        </w:numPr>
        <w:jc w:val="both"/>
        <w:rPr>
          <w:b/>
          <w:u w:val="single"/>
        </w:rPr>
      </w:pPr>
      <w:r>
        <w:rPr>
          <w:i/>
        </w:rPr>
        <w:lastRenderedPageBreak/>
        <w:t xml:space="preserve">Faute d’accord entre les Administrations sur le premier et le deuxième mécanisme, procéder par une méthode de renvoi </w:t>
      </w:r>
      <w:r w:rsidR="008B03D0">
        <w:rPr>
          <w:i/>
        </w:rPr>
        <w:t>(</w:t>
      </w:r>
      <w:r w:rsidR="008B03D0" w:rsidRPr="00992839">
        <w:t>foot note</w:t>
      </w:r>
      <w:r w:rsidR="008B03D0">
        <w:rPr>
          <w:i/>
        </w:rPr>
        <w:t xml:space="preserve">) </w:t>
      </w:r>
      <w:r>
        <w:rPr>
          <w:i/>
        </w:rPr>
        <w:t>p</w:t>
      </w:r>
      <w:r w:rsidR="00F63250">
        <w:rPr>
          <w:i/>
        </w:rPr>
        <w:t>ar</w:t>
      </w:r>
      <w:r>
        <w:rPr>
          <w:i/>
        </w:rPr>
        <w:t xml:space="preserve"> les pays ayant les mêmes intérêts appartenant à une même zone géographique ou non. </w:t>
      </w:r>
    </w:p>
    <w:p w:rsidR="00570295" w:rsidRDefault="00570295" w:rsidP="00814D79">
      <w:pPr>
        <w:jc w:val="both"/>
        <w:rPr>
          <w:b/>
          <w:u w:val="single"/>
        </w:rPr>
      </w:pPr>
      <w:r w:rsidRPr="00570295">
        <w:rPr>
          <w:b/>
          <w:u w:val="single"/>
        </w:rPr>
        <w:t xml:space="preserve">FORMULATION </w:t>
      </w:r>
      <w:r w:rsidR="008B2B82">
        <w:rPr>
          <w:b/>
          <w:u w:val="single"/>
        </w:rPr>
        <w:t xml:space="preserve">ET MISE EN ŒUVRE </w:t>
      </w:r>
      <w:r>
        <w:rPr>
          <w:b/>
          <w:u w:val="single"/>
        </w:rPr>
        <w:t xml:space="preserve">DE LA </w:t>
      </w:r>
      <w:r w:rsidR="008B2B82">
        <w:rPr>
          <w:b/>
          <w:u w:val="single"/>
        </w:rPr>
        <w:t>PROPOSITION</w:t>
      </w:r>
      <w:r>
        <w:rPr>
          <w:b/>
          <w:u w:val="single"/>
        </w:rPr>
        <w:t xml:space="preserve"> </w:t>
      </w:r>
    </w:p>
    <w:p w:rsidR="00E2163A" w:rsidRDefault="00E2163A" w:rsidP="00E2163A">
      <w:pPr>
        <w:spacing w:before="120" w:line="280" w:lineRule="auto"/>
        <w:ind w:left="708"/>
        <w:jc w:val="both"/>
        <w:rPr>
          <w:i/>
          <w:sz w:val="24"/>
          <w:szCs w:val="24"/>
          <w:u w:val="single"/>
        </w:rPr>
      </w:pPr>
      <w:r w:rsidRPr="00702C6A">
        <w:rPr>
          <w:i/>
          <w:sz w:val="24"/>
          <w:szCs w:val="24"/>
          <w:u w:val="single"/>
        </w:rPr>
        <w:t xml:space="preserve">Cas du mécanisme </w:t>
      </w:r>
      <w:r w:rsidR="00244D9B">
        <w:rPr>
          <w:i/>
          <w:sz w:val="24"/>
          <w:szCs w:val="24"/>
          <w:u w:val="single"/>
        </w:rPr>
        <w:t>1</w:t>
      </w:r>
      <w:r w:rsidRPr="00702C6A">
        <w:rPr>
          <w:i/>
          <w:sz w:val="24"/>
          <w:szCs w:val="24"/>
          <w:u w:val="single"/>
        </w:rPr>
        <w:t> :</w:t>
      </w:r>
    </w:p>
    <w:p w:rsidR="00244D9B" w:rsidRDefault="00244D9B" w:rsidP="00E2163A">
      <w:pPr>
        <w:spacing w:before="120" w:line="280" w:lineRule="auto"/>
        <w:ind w:left="708"/>
        <w:jc w:val="both"/>
        <w:rPr>
          <w:i/>
        </w:rPr>
      </w:pPr>
      <w:r w:rsidRPr="00244D9B">
        <w:rPr>
          <w:i/>
        </w:rPr>
        <w:t xml:space="preserve">Adopter la proposition de l’ASMG </w:t>
      </w:r>
      <w:r>
        <w:rPr>
          <w:i/>
        </w:rPr>
        <w:t xml:space="preserve">consistant à examiner la question dans le cadre de l’agenda de la CMR-12, notamment au </w:t>
      </w:r>
      <w:r w:rsidR="00F63250">
        <w:rPr>
          <w:i/>
        </w:rPr>
        <w:t xml:space="preserve">niveau du </w:t>
      </w:r>
      <w:r>
        <w:rPr>
          <w:i/>
        </w:rPr>
        <w:t xml:space="preserve">point 1.17. Toutefois, l’on devra veiller à limiter la </w:t>
      </w:r>
      <w:r w:rsidRPr="00244D9B">
        <w:rPr>
          <w:i/>
        </w:rPr>
        <w:t xml:space="preserve"> bande </w:t>
      </w:r>
      <w:r>
        <w:rPr>
          <w:i/>
        </w:rPr>
        <w:t xml:space="preserve">entre 750 - 790 MHz </w:t>
      </w:r>
      <w:r w:rsidR="00A472FE">
        <w:rPr>
          <w:i/>
        </w:rPr>
        <w:t>ou simplement 75</w:t>
      </w:r>
      <w:r>
        <w:rPr>
          <w:i/>
        </w:rPr>
        <w:t>0 – 862 MHz.</w:t>
      </w:r>
    </w:p>
    <w:p w:rsidR="007417D1" w:rsidRPr="00702C6A" w:rsidRDefault="007417D1" w:rsidP="007417D1">
      <w:pPr>
        <w:spacing w:before="120" w:line="280" w:lineRule="auto"/>
        <w:ind w:left="708"/>
        <w:jc w:val="both"/>
        <w:rPr>
          <w:i/>
          <w:sz w:val="24"/>
          <w:szCs w:val="24"/>
          <w:u w:val="single"/>
        </w:rPr>
      </w:pPr>
      <w:r w:rsidRPr="00702C6A">
        <w:rPr>
          <w:i/>
          <w:sz w:val="24"/>
          <w:szCs w:val="24"/>
          <w:u w:val="single"/>
        </w:rPr>
        <w:t xml:space="preserve">Cas du mécanisme </w:t>
      </w:r>
      <w:r>
        <w:rPr>
          <w:i/>
          <w:sz w:val="24"/>
          <w:szCs w:val="24"/>
          <w:u w:val="single"/>
        </w:rPr>
        <w:t>2</w:t>
      </w:r>
      <w:r w:rsidRPr="00702C6A">
        <w:rPr>
          <w:i/>
          <w:sz w:val="24"/>
          <w:szCs w:val="24"/>
          <w:u w:val="single"/>
        </w:rPr>
        <w:t> :</w:t>
      </w:r>
    </w:p>
    <w:p w:rsidR="007417D1" w:rsidRDefault="007417D1" w:rsidP="007417D1">
      <w:pPr>
        <w:spacing w:before="120" w:line="280" w:lineRule="auto"/>
        <w:ind w:left="708"/>
        <w:jc w:val="both"/>
        <w:rPr>
          <w:i/>
        </w:rPr>
      </w:pPr>
      <w:r w:rsidRPr="00E2163A">
        <w:rPr>
          <w:i/>
        </w:rPr>
        <w:t xml:space="preserve">«Etudier les modalités techniques et réglementaires </w:t>
      </w:r>
      <w:r>
        <w:rPr>
          <w:i/>
        </w:rPr>
        <w:t>pour l</w:t>
      </w:r>
      <w:r w:rsidRPr="00E2163A">
        <w:rPr>
          <w:i/>
        </w:rPr>
        <w:t>’attribu</w:t>
      </w:r>
      <w:r>
        <w:rPr>
          <w:i/>
        </w:rPr>
        <w:t>tion</w:t>
      </w:r>
      <w:r w:rsidRPr="00E2163A">
        <w:rPr>
          <w:i/>
        </w:rPr>
        <w:t xml:space="preserve"> </w:t>
      </w:r>
      <w:r w:rsidRPr="00E2163A">
        <w:rPr>
          <w:rFonts w:ascii="Calibri" w:eastAsia="Calibri" w:hAnsi="Calibri" w:cs="Times New Roman"/>
          <w:i/>
        </w:rPr>
        <w:t>à titre primaire</w:t>
      </w:r>
      <w:r>
        <w:rPr>
          <w:i/>
        </w:rPr>
        <w:t>,</w:t>
      </w:r>
      <w:r w:rsidRPr="00E2163A">
        <w:rPr>
          <w:rFonts w:ascii="Calibri" w:eastAsia="Calibri" w:hAnsi="Calibri" w:cs="Times New Roman"/>
          <w:i/>
        </w:rPr>
        <w:t xml:space="preserve"> </w:t>
      </w:r>
      <w:r>
        <w:rPr>
          <w:i/>
        </w:rPr>
        <w:t xml:space="preserve">de la bande 750  – 790 MHz au service mobile en complément de la bande 790 – 862 MHz en vue de faciliter un meilleur développement </w:t>
      </w:r>
      <w:r w:rsidRPr="00E2163A">
        <w:rPr>
          <w:rFonts w:ascii="Calibri" w:eastAsia="Calibri" w:hAnsi="Calibri" w:cs="Times New Roman"/>
          <w:i/>
        </w:rPr>
        <w:t>des systèmes m</w:t>
      </w:r>
      <w:r>
        <w:rPr>
          <w:i/>
        </w:rPr>
        <w:t>ob</w:t>
      </w:r>
      <w:r w:rsidRPr="00E2163A">
        <w:rPr>
          <w:rFonts w:ascii="Calibri" w:eastAsia="Calibri" w:hAnsi="Calibri" w:cs="Times New Roman"/>
          <w:i/>
        </w:rPr>
        <w:t>iles terrestre à haut</w:t>
      </w:r>
      <w:r w:rsidRPr="00E2163A">
        <w:rPr>
          <w:i/>
        </w:rPr>
        <w:t xml:space="preserve"> débit</w:t>
      </w:r>
      <w:r>
        <w:rPr>
          <w:i/>
        </w:rPr>
        <w:t xml:space="preserve"> dans certain</w:t>
      </w:r>
      <w:r w:rsidR="00F63250">
        <w:rPr>
          <w:i/>
        </w:rPr>
        <w:t>e</w:t>
      </w:r>
      <w:r>
        <w:rPr>
          <w:i/>
        </w:rPr>
        <w:t>s régions UIT</w:t>
      </w:r>
      <w:r w:rsidRPr="00E2163A">
        <w:rPr>
          <w:rFonts w:ascii="Calibri" w:eastAsia="Calibri" w:hAnsi="Calibri" w:cs="Times New Roman"/>
          <w:i/>
        </w:rPr>
        <w:t>»</w:t>
      </w:r>
      <w:r>
        <w:rPr>
          <w:i/>
        </w:rPr>
        <w:t xml:space="preserve">. </w:t>
      </w:r>
    </w:p>
    <w:p w:rsidR="000F78B7" w:rsidRDefault="00E2163A" w:rsidP="007417D1">
      <w:pPr>
        <w:spacing w:before="120" w:line="280" w:lineRule="auto"/>
        <w:ind w:left="708"/>
        <w:jc w:val="both"/>
        <w:rPr>
          <w:i/>
          <w:sz w:val="24"/>
          <w:szCs w:val="24"/>
          <w:u w:val="single"/>
        </w:rPr>
      </w:pPr>
      <w:r w:rsidRPr="00702C6A">
        <w:rPr>
          <w:i/>
          <w:sz w:val="24"/>
          <w:szCs w:val="24"/>
          <w:u w:val="single"/>
        </w:rPr>
        <w:t>Cas du mécanisme 3:</w:t>
      </w:r>
    </w:p>
    <w:p w:rsidR="000F78B7" w:rsidRDefault="008B03D0" w:rsidP="006D6059">
      <w:pPr>
        <w:spacing w:before="120" w:line="280" w:lineRule="auto"/>
        <w:ind w:left="708"/>
        <w:jc w:val="both"/>
        <w:rPr>
          <w:i/>
        </w:rPr>
      </w:pPr>
      <w:r>
        <w:rPr>
          <w:i/>
        </w:rPr>
        <w:t>Sous l’égide de l’UAT, i</w:t>
      </w:r>
      <w:r w:rsidR="007417D1" w:rsidRPr="007417D1">
        <w:rPr>
          <w:i/>
        </w:rPr>
        <w:t>dentifier les pays concernés</w:t>
      </w:r>
      <w:r w:rsidR="007417D1">
        <w:rPr>
          <w:i/>
        </w:rPr>
        <w:t xml:space="preserve"> et rédiger un renvoi à inclure dans l’article 5 du RR.</w:t>
      </w:r>
    </w:p>
    <w:p w:rsidR="00E30066" w:rsidRDefault="00E30066" w:rsidP="006D6059">
      <w:pPr>
        <w:spacing w:before="120" w:line="280" w:lineRule="auto"/>
        <w:ind w:left="708"/>
        <w:jc w:val="both"/>
        <w:rPr>
          <w:i/>
        </w:rPr>
      </w:pPr>
    </w:p>
    <w:p w:rsidR="00E30066" w:rsidRDefault="00E30066" w:rsidP="006D6059">
      <w:pPr>
        <w:spacing w:before="120" w:line="280" w:lineRule="auto"/>
        <w:ind w:left="708"/>
        <w:jc w:val="both"/>
        <w:rPr>
          <w:i/>
        </w:rPr>
      </w:pPr>
    </w:p>
    <w:p w:rsidR="00E30066" w:rsidRDefault="00E30066" w:rsidP="006D6059">
      <w:pPr>
        <w:spacing w:before="120" w:line="280" w:lineRule="auto"/>
        <w:ind w:left="708"/>
        <w:jc w:val="both"/>
        <w:rPr>
          <w:i/>
        </w:rPr>
      </w:pPr>
    </w:p>
    <w:p w:rsidR="00E30066" w:rsidRPr="00E30066" w:rsidRDefault="00E30066" w:rsidP="00E30066">
      <w:pPr>
        <w:spacing w:before="120" w:line="280" w:lineRule="auto"/>
        <w:ind w:left="708"/>
        <w:jc w:val="center"/>
        <w:rPr>
          <w:iCs/>
        </w:rPr>
      </w:pPr>
      <w:r>
        <w:rPr>
          <w:iCs/>
        </w:rPr>
        <w:t>________________</w:t>
      </w:r>
    </w:p>
    <w:sectPr w:rsidR="00E30066" w:rsidRPr="00E30066" w:rsidSect="00CA41E5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E5" w:rsidRDefault="00CA41E5" w:rsidP="00CA41E5">
      <w:pPr>
        <w:spacing w:after="0" w:line="240" w:lineRule="auto"/>
      </w:pPr>
      <w:r>
        <w:separator/>
      </w:r>
    </w:p>
  </w:endnote>
  <w:endnote w:type="continuationSeparator" w:id="0">
    <w:p w:rsidR="00CA41E5" w:rsidRDefault="00CA41E5" w:rsidP="00CA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1E5" w:rsidRDefault="00E30066" w:rsidP="00E30066">
    <w:pPr>
      <w:pStyle w:val="Footer"/>
      <w:tabs>
        <w:tab w:val="clear" w:pos="4680"/>
        <w:tab w:val="center" w:pos="6379"/>
      </w:tabs>
    </w:pPr>
    <w:fldSimple w:instr=" FILENAME  \p  \* MERGEFORMAT ">
      <w:r>
        <w:rPr>
          <w:noProof/>
        </w:rPr>
        <w:t>L:\BRSGD\WRC-12\ATU\Input Docs\004-f.docx</w:t>
      </w:r>
    </w:fldSimple>
    <w:r>
      <w:tab/>
    </w:r>
    <w:r>
      <w:fldChar w:fldCharType="begin"/>
    </w:r>
    <w:r>
      <w:instrText xml:space="preserve"> TIME \@ "dd.MM.yy" </w:instrText>
    </w:r>
    <w:r>
      <w:fldChar w:fldCharType="separate"/>
    </w:r>
    <w:r>
      <w:rPr>
        <w:noProof/>
      </w:rPr>
      <w:t>08.11.11</w:t>
    </w:r>
    <w:r>
      <w:fldChar w:fldCharType="end"/>
    </w:r>
    <w:r>
      <w:tab/>
    </w:r>
    <w:r>
      <w:fldChar w:fldCharType="begin"/>
    </w:r>
    <w:r>
      <w:instrText xml:space="preserve"> TIME \@ "dd.MM.yy" </w:instrText>
    </w:r>
    <w:r>
      <w:fldChar w:fldCharType="separate"/>
    </w:r>
    <w:r>
      <w:rPr>
        <w:noProof/>
      </w:rPr>
      <w:t>08.11.11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1E5" w:rsidRDefault="00CA41E5" w:rsidP="00E30066">
    <w:pPr>
      <w:pStyle w:val="Footer"/>
      <w:tabs>
        <w:tab w:val="clear" w:pos="4680"/>
        <w:tab w:val="center" w:pos="6379"/>
      </w:tabs>
    </w:pPr>
    <w:fldSimple w:instr=" FILENAME  \p  \* MERGEFORMAT ">
      <w:r>
        <w:rPr>
          <w:noProof/>
        </w:rPr>
        <w:t>L:\BRSGD\WRC-12\ATU\Input Docs\004-f.docx</w:t>
      </w:r>
    </w:fldSimple>
    <w:r>
      <w:tab/>
    </w:r>
    <w:r>
      <w:fldChar w:fldCharType="begin"/>
    </w:r>
    <w:r>
      <w:instrText xml:space="preserve"> TIME \@ "dd.MM.yy" </w:instrText>
    </w:r>
    <w:r>
      <w:fldChar w:fldCharType="separate"/>
    </w:r>
    <w:r>
      <w:rPr>
        <w:noProof/>
      </w:rPr>
      <w:t>08.11.11</w:t>
    </w:r>
    <w:r>
      <w:fldChar w:fldCharType="end"/>
    </w:r>
    <w:r>
      <w:tab/>
    </w:r>
    <w:r w:rsidR="00E30066">
      <w:fldChar w:fldCharType="begin"/>
    </w:r>
    <w:r w:rsidR="00E30066">
      <w:instrText xml:space="preserve"> TIME \@ "dd.MM.yy" </w:instrText>
    </w:r>
    <w:r w:rsidR="00E30066">
      <w:fldChar w:fldCharType="separate"/>
    </w:r>
    <w:r w:rsidR="00E30066">
      <w:rPr>
        <w:noProof/>
      </w:rPr>
      <w:t>08.11.11</w:t>
    </w:r>
    <w:r w:rsidR="00E3006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E5" w:rsidRDefault="00CA41E5" w:rsidP="00CA41E5">
      <w:pPr>
        <w:spacing w:after="0" w:line="240" w:lineRule="auto"/>
      </w:pPr>
      <w:r>
        <w:separator/>
      </w:r>
    </w:p>
  </w:footnote>
  <w:footnote w:type="continuationSeparator" w:id="0">
    <w:p w:rsidR="00CA41E5" w:rsidRDefault="00CA41E5" w:rsidP="00CA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66" w:rsidRDefault="00E30066" w:rsidP="00E30066">
    <w:pPr>
      <w:pStyle w:val="Header"/>
      <w:jc w:val="center"/>
      <w:rPr>
        <w:lang w:val="es-ES"/>
      </w:rPr>
    </w:pPr>
    <w:r>
      <w:rPr>
        <w:lang w:val="es-ES"/>
      </w:rPr>
      <w:t xml:space="preserve">- </w:t>
    </w:r>
    <w:fldSimple w:instr=" PAGE ">
      <w:r>
        <w:rPr>
          <w:noProof/>
        </w:rPr>
        <w:t>2</w:t>
      </w:r>
    </w:fldSimple>
    <w:r>
      <w:rPr>
        <w:lang w:val="es-ES"/>
      </w:rPr>
      <w:t xml:space="preserve"> -</w:t>
    </w:r>
  </w:p>
  <w:p w:rsidR="00E30066" w:rsidRDefault="00E30066" w:rsidP="00E30066">
    <w:pPr>
      <w:pStyle w:val="Header"/>
      <w:jc w:val="center"/>
      <w:rPr>
        <w:lang w:val="es-ES"/>
      </w:rPr>
    </w:pPr>
    <w:r w:rsidRPr="007B38E4">
      <w:rPr>
        <w:lang w:val="es-ES"/>
      </w:rPr>
      <w:t>WRC12ATU11/</w:t>
    </w:r>
    <w:r>
      <w:rPr>
        <w:lang w:val="es-ES"/>
      </w:rPr>
      <w:t>4-F</w:t>
    </w:r>
  </w:p>
  <w:p w:rsidR="00CA41E5" w:rsidRDefault="00CA41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14_"/>
      </v:shape>
    </w:pict>
  </w:numPicBullet>
  <w:abstractNum w:abstractNumId="0">
    <w:nsid w:val="022E5358"/>
    <w:multiLevelType w:val="hybridMultilevel"/>
    <w:tmpl w:val="1C3EEA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233D0"/>
    <w:multiLevelType w:val="hybridMultilevel"/>
    <w:tmpl w:val="93164012"/>
    <w:lvl w:ilvl="0" w:tplc="25E66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0A67"/>
    <w:multiLevelType w:val="hybridMultilevel"/>
    <w:tmpl w:val="AA3412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62CFF"/>
    <w:multiLevelType w:val="hybridMultilevel"/>
    <w:tmpl w:val="C87CE1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12498"/>
    <w:multiLevelType w:val="hybridMultilevel"/>
    <w:tmpl w:val="1478AA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C4DD2"/>
    <w:multiLevelType w:val="hybridMultilevel"/>
    <w:tmpl w:val="83E69BF8"/>
    <w:lvl w:ilvl="0" w:tplc="40F420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07DB1"/>
    <w:multiLevelType w:val="hybridMultilevel"/>
    <w:tmpl w:val="E17A8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D79"/>
    <w:rsid w:val="00042337"/>
    <w:rsid w:val="00097E95"/>
    <w:rsid w:val="000F78B7"/>
    <w:rsid w:val="001219CF"/>
    <w:rsid w:val="001D5B6C"/>
    <w:rsid w:val="0024001A"/>
    <w:rsid w:val="00244D9B"/>
    <w:rsid w:val="00247709"/>
    <w:rsid w:val="00250862"/>
    <w:rsid w:val="003D3FA1"/>
    <w:rsid w:val="003E6129"/>
    <w:rsid w:val="004263E7"/>
    <w:rsid w:val="004E4FD4"/>
    <w:rsid w:val="004F47F4"/>
    <w:rsid w:val="00522FC5"/>
    <w:rsid w:val="00532A2C"/>
    <w:rsid w:val="005567F6"/>
    <w:rsid w:val="00570295"/>
    <w:rsid w:val="00591E5A"/>
    <w:rsid w:val="00622F4C"/>
    <w:rsid w:val="006D6059"/>
    <w:rsid w:val="00702C6A"/>
    <w:rsid w:val="007417D1"/>
    <w:rsid w:val="00747A1D"/>
    <w:rsid w:val="00766653"/>
    <w:rsid w:val="00814D79"/>
    <w:rsid w:val="00861E83"/>
    <w:rsid w:val="008776EA"/>
    <w:rsid w:val="008B03D0"/>
    <w:rsid w:val="008B2B82"/>
    <w:rsid w:val="008C3687"/>
    <w:rsid w:val="00992839"/>
    <w:rsid w:val="009D2140"/>
    <w:rsid w:val="00A2006B"/>
    <w:rsid w:val="00A35D48"/>
    <w:rsid w:val="00A472FE"/>
    <w:rsid w:val="00B557FC"/>
    <w:rsid w:val="00B76806"/>
    <w:rsid w:val="00C548CD"/>
    <w:rsid w:val="00C75913"/>
    <w:rsid w:val="00CA41E5"/>
    <w:rsid w:val="00E17401"/>
    <w:rsid w:val="00E2163A"/>
    <w:rsid w:val="00E30066"/>
    <w:rsid w:val="00EB3D6D"/>
    <w:rsid w:val="00F63250"/>
    <w:rsid w:val="00F677B6"/>
    <w:rsid w:val="00FD7A8E"/>
    <w:rsid w:val="00FE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1A"/>
    <w:pPr>
      <w:ind w:left="720"/>
      <w:contextualSpacing/>
    </w:pPr>
  </w:style>
  <w:style w:type="paragraph" w:customStyle="1" w:styleId="Source">
    <w:name w:val="Source"/>
    <w:basedOn w:val="Normal"/>
    <w:next w:val="Normal"/>
    <w:rsid w:val="00CA41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CA41E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character" w:styleId="Hyperlink">
    <w:name w:val="Hyperlink"/>
    <w:basedOn w:val="DefaultParagraphFont"/>
    <w:uiPriority w:val="99"/>
    <w:semiHidden/>
    <w:unhideWhenUsed/>
    <w:rsid w:val="00CA41E5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paragraph" w:styleId="Header">
    <w:name w:val="header"/>
    <w:basedOn w:val="Normal"/>
    <w:link w:val="HeaderChar"/>
    <w:unhideWhenUsed/>
    <w:rsid w:val="00CA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1E5"/>
  </w:style>
  <w:style w:type="paragraph" w:styleId="Footer">
    <w:name w:val="footer"/>
    <w:basedOn w:val="Normal"/>
    <w:link w:val="FooterChar"/>
    <w:uiPriority w:val="99"/>
    <w:semiHidden/>
    <w:unhideWhenUsed/>
    <w:rsid w:val="00CA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huguet</cp:lastModifiedBy>
  <cp:revision>3</cp:revision>
  <cp:lastPrinted>2011-11-08T16:27:00Z</cp:lastPrinted>
  <dcterms:created xsi:type="dcterms:W3CDTF">2011-11-08T16:19:00Z</dcterms:created>
  <dcterms:modified xsi:type="dcterms:W3CDTF">2011-11-08T16:31:00Z</dcterms:modified>
</cp:coreProperties>
</file>