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rsidRPr="00187C22">
        <w:trPr>
          <w:cantSplit/>
        </w:trPr>
        <w:tc>
          <w:tcPr>
            <w:tcW w:w="6771" w:type="dxa"/>
          </w:tcPr>
          <w:p w:rsidR="006E291F" w:rsidRPr="00187C22" w:rsidRDefault="006E291F" w:rsidP="00E72EA7">
            <w:pPr>
              <w:shd w:val="solid" w:color="FFFFFF" w:fill="FFFFFF"/>
              <w:spacing w:before="360" w:after="240"/>
              <w:rPr>
                <w:rFonts w:ascii="Verdana" w:hAnsi="Verdana"/>
                <w:b/>
                <w:bCs/>
                <w:lang w:val="es-ES"/>
              </w:rPr>
            </w:pPr>
            <w:r w:rsidRPr="00187C22">
              <w:rPr>
                <w:rFonts w:ascii="Verdana" w:hAnsi="Verdana" w:cs="Times New Roman Bold"/>
                <w:b/>
                <w:sz w:val="26"/>
                <w:szCs w:val="26"/>
                <w:lang w:val="es-ES"/>
              </w:rPr>
              <w:t xml:space="preserve">Grupo Asesor </w:t>
            </w:r>
            <w:r w:rsidR="00610642" w:rsidRPr="00187C22">
              <w:rPr>
                <w:rFonts w:ascii="Verdana" w:hAnsi="Verdana" w:cs="Times New Roman Bold"/>
                <w:b/>
                <w:sz w:val="26"/>
                <w:szCs w:val="26"/>
                <w:lang w:val="es-ES"/>
              </w:rPr>
              <w:t>d</w:t>
            </w:r>
            <w:r w:rsidRPr="00187C22">
              <w:rPr>
                <w:rFonts w:ascii="Verdana" w:hAnsi="Verdana" w:cs="Times New Roman Bold"/>
                <w:b/>
                <w:sz w:val="26"/>
                <w:szCs w:val="26"/>
                <w:lang w:val="es-ES"/>
              </w:rPr>
              <w:t>e Radiocomunicaciones</w:t>
            </w:r>
            <w:r w:rsidRPr="00187C22">
              <w:rPr>
                <w:b/>
                <w:caps/>
                <w:sz w:val="32"/>
                <w:lang w:val="es-ES"/>
              </w:rPr>
              <w:br/>
            </w:r>
            <w:r w:rsidRPr="00187C22">
              <w:rPr>
                <w:rFonts w:ascii="Verdana" w:hAnsi="Verdana" w:cs="Times New Roman Bold"/>
                <w:b/>
                <w:bCs/>
                <w:sz w:val="20"/>
                <w:lang w:val="es-ES"/>
              </w:rPr>
              <w:t xml:space="preserve">Ginebra, </w:t>
            </w:r>
            <w:r w:rsidR="00591C54" w:rsidRPr="00187C22">
              <w:rPr>
                <w:rFonts w:ascii="Verdana" w:hAnsi="Verdana" w:cs="Times New Roman Bold"/>
                <w:b/>
                <w:bCs/>
                <w:sz w:val="20"/>
                <w:lang w:val="es-ES"/>
              </w:rPr>
              <w:t>25-27 de junio de 2012</w:t>
            </w:r>
          </w:p>
        </w:tc>
        <w:tc>
          <w:tcPr>
            <w:tcW w:w="3118" w:type="dxa"/>
          </w:tcPr>
          <w:p w:rsidR="006E291F" w:rsidRPr="00187C22" w:rsidRDefault="006A42AB" w:rsidP="00CB7A43">
            <w:pPr>
              <w:shd w:val="solid" w:color="FFFFFF" w:fill="FFFFFF"/>
              <w:spacing w:before="0" w:line="240" w:lineRule="atLeast"/>
              <w:rPr>
                <w:lang w:val="es-ES"/>
              </w:rPr>
            </w:pPr>
            <w:r w:rsidRPr="00187C22">
              <w:rPr>
                <w:rFonts w:ascii="Verdana" w:hAnsi="Verdana"/>
                <w:b/>
                <w:bCs/>
                <w:szCs w:val="24"/>
                <w:lang w:val="es-ES" w:eastAsia="zh-CN"/>
              </w:rPr>
              <w:drawing>
                <wp:inline distT="0" distB="0" distL="0" distR="0" wp14:anchorId="4A36316A" wp14:editId="1C129018">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187C22">
        <w:trPr>
          <w:cantSplit/>
        </w:trPr>
        <w:tc>
          <w:tcPr>
            <w:tcW w:w="6771" w:type="dxa"/>
            <w:tcBorders>
              <w:bottom w:val="single" w:sz="12" w:space="0" w:color="auto"/>
            </w:tcBorders>
          </w:tcPr>
          <w:p w:rsidR="006E291F" w:rsidRPr="00187C22" w:rsidRDefault="006E291F" w:rsidP="00CB7A43">
            <w:pPr>
              <w:shd w:val="solid" w:color="FFFFFF" w:fill="FFFFFF"/>
              <w:spacing w:before="0" w:after="48"/>
              <w:rPr>
                <w:rFonts w:ascii="Verdana" w:hAnsi="Verdana" w:cs="Times New Roman Bold"/>
                <w:b/>
                <w:sz w:val="22"/>
                <w:szCs w:val="22"/>
                <w:lang w:val="es-ES"/>
              </w:rPr>
            </w:pPr>
          </w:p>
        </w:tc>
        <w:tc>
          <w:tcPr>
            <w:tcW w:w="3118" w:type="dxa"/>
            <w:tcBorders>
              <w:bottom w:val="single" w:sz="12" w:space="0" w:color="auto"/>
            </w:tcBorders>
          </w:tcPr>
          <w:p w:rsidR="006E291F" w:rsidRPr="00187C22" w:rsidRDefault="006E291F" w:rsidP="00CB7A43">
            <w:pPr>
              <w:shd w:val="solid" w:color="FFFFFF" w:fill="FFFFFF"/>
              <w:spacing w:before="0" w:after="48" w:line="240" w:lineRule="atLeast"/>
              <w:rPr>
                <w:sz w:val="22"/>
                <w:szCs w:val="22"/>
                <w:lang w:val="es-ES"/>
              </w:rPr>
            </w:pPr>
          </w:p>
        </w:tc>
      </w:tr>
      <w:tr w:rsidR="006E291F" w:rsidRPr="00187C22">
        <w:trPr>
          <w:cantSplit/>
        </w:trPr>
        <w:tc>
          <w:tcPr>
            <w:tcW w:w="6771" w:type="dxa"/>
            <w:tcBorders>
              <w:top w:val="single" w:sz="12" w:space="0" w:color="auto"/>
            </w:tcBorders>
          </w:tcPr>
          <w:p w:rsidR="006E291F" w:rsidRPr="00187C22" w:rsidRDefault="006E291F" w:rsidP="00CB7A43">
            <w:pPr>
              <w:shd w:val="solid" w:color="FFFFFF" w:fill="FFFFFF"/>
              <w:spacing w:before="0" w:after="48"/>
              <w:rPr>
                <w:rFonts w:ascii="Verdana" w:hAnsi="Verdana" w:cs="Times New Roman Bold"/>
                <w:bCs/>
                <w:sz w:val="22"/>
                <w:szCs w:val="22"/>
                <w:lang w:val="es-ES"/>
              </w:rPr>
            </w:pPr>
          </w:p>
        </w:tc>
        <w:tc>
          <w:tcPr>
            <w:tcW w:w="3118" w:type="dxa"/>
            <w:tcBorders>
              <w:top w:val="single" w:sz="12" w:space="0" w:color="auto"/>
            </w:tcBorders>
          </w:tcPr>
          <w:p w:rsidR="006E291F" w:rsidRPr="00187C22" w:rsidRDefault="006E291F" w:rsidP="00CB7A43">
            <w:pPr>
              <w:shd w:val="solid" w:color="FFFFFF" w:fill="FFFFFF"/>
              <w:spacing w:before="0" w:after="48" w:line="240" w:lineRule="atLeast"/>
              <w:rPr>
                <w:rFonts w:ascii="Verdana" w:hAnsi="Verdana"/>
                <w:sz w:val="22"/>
                <w:szCs w:val="22"/>
                <w:lang w:val="es-ES"/>
              </w:rPr>
            </w:pPr>
          </w:p>
        </w:tc>
      </w:tr>
      <w:tr w:rsidR="006E291F" w:rsidRPr="00187C22">
        <w:trPr>
          <w:cantSplit/>
        </w:trPr>
        <w:tc>
          <w:tcPr>
            <w:tcW w:w="6771" w:type="dxa"/>
            <w:vMerge w:val="restart"/>
          </w:tcPr>
          <w:p w:rsidR="006E291F" w:rsidRPr="00187C22" w:rsidRDefault="006E291F" w:rsidP="00CB7A43">
            <w:pPr>
              <w:shd w:val="solid" w:color="FFFFFF" w:fill="FFFFFF"/>
              <w:spacing w:after="240"/>
              <w:rPr>
                <w:sz w:val="20"/>
                <w:lang w:val="es-ES"/>
              </w:rPr>
            </w:pPr>
            <w:bookmarkStart w:id="0" w:name="dnum" w:colFirst="1" w:colLast="1"/>
          </w:p>
        </w:tc>
        <w:tc>
          <w:tcPr>
            <w:tcW w:w="3118" w:type="dxa"/>
          </w:tcPr>
          <w:p w:rsidR="006E291F" w:rsidRPr="00187C22" w:rsidRDefault="00591C54" w:rsidP="00192D5D">
            <w:pPr>
              <w:shd w:val="solid" w:color="FFFFFF" w:fill="FFFFFF"/>
              <w:spacing w:before="0" w:line="240" w:lineRule="atLeast"/>
              <w:rPr>
                <w:rFonts w:ascii="Verdana" w:hAnsi="Verdana"/>
                <w:sz w:val="20"/>
                <w:lang w:val="es-ES"/>
              </w:rPr>
            </w:pPr>
            <w:r w:rsidRPr="00187C22">
              <w:rPr>
                <w:rFonts w:ascii="Verdana" w:hAnsi="Verdana"/>
                <w:b/>
                <w:sz w:val="20"/>
                <w:lang w:val="es-ES"/>
              </w:rPr>
              <w:t>Documento RAG12</w:t>
            </w:r>
            <w:r w:rsidR="00192D5D" w:rsidRPr="00187C22">
              <w:rPr>
                <w:rFonts w:ascii="Verdana" w:hAnsi="Verdana"/>
                <w:b/>
                <w:sz w:val="20"/>
                <w:lang w:val="es-ES"/>
              </w:rPr>
              <w:t>-1/</w:t>
            </w:r>
            <w:r w:rsidRPr="00187C22">
              <w:rPr>
                <w:rFonts w:ascii="Verdana" w:hAnsi="Verdana"/>
                <w:b/>
                <w:sz w:val="20"/>
                <w:lang w:val="es-ES"/>
              </w:rPr>
              <w:t>1</w:t>
            </w:r>
            <w:r w:rsidR="00192D5D" w:rsidRPr="00187C22">
              <w:rPr>
                <w:rFonts w:ascii="Verdana" w:hAnsi="Verdana"/>
                <w:b/>
                <w:sz w:val="20"/>
                <w:lang w:val="es-ES"/>
              </w:rPr>
              <w:t>-S</w:t>
            </w:r>
          </w:p>
        </w:tc>
      </w:tr>
      <w:tr w:rsidR="006E291F" w:rsidRPr="00187C22">
        <w:trPr>
          <w:cantSplit/>
        </w:trPr>
        <w:tc>
          <w:tcPr>
            <w:tcW w:w="6771" w:type="dxa"/>
            <w:vMerge/>
          </w:tcPr>
          <w:p w:rsidR="006E291F" w:rsidRPr="00187C22" w:rsidRDefault="006E291F" w:rsidP="00CB7A43">
            <w:pPr>
              <w:spacing w:before="60"/>
              <w:jc w:val="center"/>
              <w:rPr>
                <w:b/>
                <w:smallCaps/>
                <w:sz w:val="32"/>
                <w:lang w:val="es-ES"/>
              </w:rPr>
            </w:pPr>
            <w:bookmarkStart w:id="1" w:name="ddate" w:colFirst="1" w:colLast="1"/>
            <w:bookmarkEnd w:id="0"/>
          </w:p>
        </w:tc>
        <w:tc>
          <w:tcPr>
            <w:tcW w:w="3118" w:type="dxa"/>
          </w:tcPr>
          <w:p w:rsidR="006E291F" w:rsidRPr="00187C22" w:rsidRDefault="00591C54" w:rsidP="00591C54">
            <w:pPr>
              <w:shd w:val="solid" w:color="FFFFFF" w:fill="FFFFFF"/>
              <w:spacing w:before="0" w:line="240" w:lineRule="atLeast"/>
              <w:rPr>
                <w:rFonts w:ascii="Verdana" w:hAnsi="Verdana"/>
                <w:sz w:val="20"/>
                <w:lang w:val="es-ES"/>
              </w:rPr>
            </w:pPr>
            <w:r w:rsidRPr="00187C22">
              <w:rPr>
                <w:rFonts w:ascii="Verdana" w:hAnsi="Verdana"/>
                <w:b/>
                <w:sz w:val="20"/>
                <w:lang w:val="es-ES"/>
              </w:rPr>
              <w:t xml:space="preserve">30 de abril </w:t>
            </w:r>
            <w:r w:rsidR="00192D5D" w:rsidRPr="00187C22">
              <w:rPr>
                <w:rFonts w:ascii="Verdana" w:hAnsi="Verdana"/>
                <w:b/>
                <w:sz w:val="20"/>
                <w:lang w:val="es-ES"/>
              </w:rPr>
              <w:t>de 2012</w:t>
            </w:r>
          </w:p>
        </w:tc>
      </w:tr>
      <w:tr w:rsidR="006E291F" w:rsidRPr="00187C22">
        <w:trPr>
          <w:cantSplit/>
        </w:trPr>
        <w:tc>
          <w:tcPr>
            <w:tcW w:w="6771" w:type="dxa"/>
            <w:vMerge/>
          </w:tcPr>
          <w:p w:rsidR="006E291F" w:rsidRPr="00187C22" w:rsidRDefault="006E291F" w:rsidP="00CB7A43">
            <w:pPr>
              <w:spacing w:before="60"/>
              <w:jc w:val="center"/>
              <w:rPr>
                <w:b/>
                <w:smallCaps/>
                <w:sz w:val="32"/>
                <w:lang w:val="es-ES"/>
              </w:rPr>
            </w:pPr>
            <w:bookmarkStart w:id="2" w:name="dorlang" w:colFirst="1" w:colLast="1"/>
            <w:bookmarkEnd w:id="1"/>
          </w:p>
        </w:tc>
        <w:tc>
          <w:tcPr>
            <w:tcW w:w="3118" w:type="dxa"/>
          </w:tcPr>
          <w:p w:rsidR="006E291F" w:rsidRPr="00187C22" w:rsidRDefault="00192D5D" w:rsidP="00192D5D">
            <w:pPr>
              <w:shd w:val="solid" w:color="FFFFFF" w:fill="FFFFFF"/>
              <w:spacing w:before="0" w:after="120" w:line="240" w:lineRule="atLeast"/>
              <w:rPr>
                <w:rFonts w:ascii="Verdana" w:hAnsi="Verdana"/>
                <w:sz w:val="20"/>
                <w:lang w:val="es-ES"/>
              </w:rPr>
            </w:pPr>
            <w:r w:rsidRPr="00187C22">
              <w:rPr>
                <w:rFonts w:ascii="Verdana" w:hAnsi="Verdana"/>
                <w:b/>
                <w:sz w:val="20"/>
                <w:lang w:val="es-ES"/>
              </w:rPr>
              <w:t>Original: inglés</w:t>
            </w:r>
          </w:p>
        </w:tc>
      </w:tr>
      <w:tr w:rsidR="006E291F" w:rsidRPr="00187C22">
        <w:trPr>
          <w:cantSplit/>
        </w:trPr>
        <w:tc>
          <w:tcPr>
            <w:tcW w:w="9889" w:type="dxa"/>
            <w:gridSpan w:val="2"/>
          </w:tcPr>
          <w:p w:rsidR="006E291F" w:rsidRPr="00187C22" w:rsidRDefault="00591C54" w:rsidP="00CB7A43">
            <w:pPr>
              <w:pStyle w:val="Source"/>
              <w:rPr>
                <w:lang w:val="es-ES"/>
              </w:rPr>
            </w:pPr>
            <w:bookmarkStart w:id="3" w:name="dsource" w:colFirst="0" w:colLast="0"/>
            <w:bookmarkEnd w:id="2"/>
            <w:r w:rsidRPr="00187C22">
              <w:rPr>
                <w:lang w:val="es-ES"/>
              </w:rPr>
              <w:t>Director de la Oficina de Radiocomunicaciones</w:t>
            </w:r>
          </w:p>
        </w:tc>
      </w:tr>
      <w:tr w:rsidR="006E291F" w:rsidRPr="00187C22">
        <w:trPr>
          <w:cantSplit/>
        </w:trPr>
        <w:tc>
          <w:tcPr>
            <w:tcW w:w="9889" w:type="dxa"/>
            <w:gridSpan w:val="2"/>
          </w:tcPr>
          <w:p w:rsidR="006E291F" w:rsidRPr="00187C22" w:rsidRDefault="00591C54" w:rsidP="00F91653">
            <w:pPr>
              <w:pStyle w:val="Title1"/>
              <w:rPr>
                <w:lang w:val="es-ES"/>
              </w:rPr>
            </w:pPr>
            <w:bookmarkStart w:id="4" w:name="dtitle1" w:colFirst="0" w:colLast="0"/>
            <w:bookmarkEnd w:id="3"/>
            <w:r w:rsidRPr="00187C22">
              <w:rPr>
                <w:lang w:val="es-ES"/>
              </w:rPr>
              <w:t>INFORME DE LA DECIMO</w:t>
            </w:r>
            <w:r w:rsidR="00F91653">
              <w:rPr>
                <w:lang w:val="es-ES"/>
              </w:rPr>
              <w:t xml:space="preserve">novena </w:t>
            </w:r>
            <w:r w:rsidRPr="00187C22">
              <w:rPr>
                <w:lang w:val="es-ES"/>
              </w:rPr>
              <w:t xml:space="preserve">REUNIÓN DEL </w:t>
            </w:r>
            <w:r w:rsidRPr="00187C22">
              <w:rPr>
                <w:lang w:val="es-ES"/>
              </w:rPr>
              <w:br/>
              <w:t>GRUPO ASESOR DE RADIOCOMUNICACIONES</w:t>
            </w:r>
          </w:p>
        </w:tc>
      </w:tr>
    </w:tbl>
    <w:bookmarkEnd w:id="4"/>
    <w:p w:rsidR="00591C54" w:rsidRPr="00187C22" w:rsidRDefault="00591C54" w:rsidP="00591C54">
      <w:pPr>
        <w:pStyle w:val="Heading1"/>
        <w:rPr>
          <w:lang w:val="es-ES"/>
        </w:rPr>
      </w:pPr>
      <w:r w:rsidRPr="00187C22">
        <w:rPr>
          <w:lang w:val="es-ES"/>
        </w:rPr>
        <w:t>1</w:t>
      </w:r>
      <w:r w:rsidRPr="00187C22">
        <w:rPr>
          <w:lang w:val="es-ES"/>
        </w:rPr>
        <w:tab/>
        <w:t>Introducción</w:t>
      </w:r>
    </w:p>
    <w:p w:rsidR="00591C54" w:rsidRPr="00187C22" w:rsidRDefault="00591C54" w:rsidP="00F91653">
      <w:pPr>
        <w:spacing w:after="120"/>
        <w:rPr>
          <w:lang w:val="es-ES"/>
        </w:rPr>
      </w:pPr>
      <w:r w:rsidRPr="00187C22">
        <w:rPr>
          <w:lang w:val="es-ES"/>
        </w:rPr>
        <w:t>El presente Informe tiene por objeto rendir cuenta de la marcha de los trabajos y proporcionar información de antecedentes sobre algunos de los temas que figuran en el orden del día provisional</w:t>
      </w:r>
      <w:r w:rsidRPr="00187C22">
        <w:rPr>
          <w:rFonts w:asciiTheme="majorBidi" w:hAnsiTheme="majorBidi" w:cstheme="majorBidi"/>
          <w:szCs w:val="24"/>
          <w:lang w:val="es-ES"/>
        </w:rPr>
        <w:t xml:space="preserve"> de la 19ª reunión del GAR (véase </w:t>
      </w:r>
      <w:hyperlink r:id="rId9" w:history="1">
        <w:r w:rsidRPr="00187C22">
          <w:rPr>
            <w:rStyle w:val="Hyperlink"/>
            <w:lang w:val="es-ES"/>
          </w:rPr>
          <w:t>CA/202</w:t>
        </w:r>
      </w:hyperlink>
      <w:r w:rsidRPr="00187C22">
        <w:rPr>
          <w:lang w:val="es-ES"/>
        </w:rPr>
        <w:t xml:space="preserve"> de 12.03.12) con el fin de ayudar a los participantes en la reunión a examinar los correspondientes puntos del orden del día.</w:t>
      </w:r>
    </w:p>
    <w:p w:rsidR="00591C54" w:rsidRPr="00187C22" w:rsidRDefault="00591C54" w:rsidP="00591C54">
      <w:pPr>
        <w:rPr>
          <w:lang w:val="es-ES"/>
        </w:rPr>
      </w:pPr>
      <w:r w:rsidRPr="00187C22">
        <w:rPr>
          <w:lang w:val="es-ES"/>
        </w:rPr>
        <w:t>Se presentarán Informes separados para algunos de los puntos del orden del día.</w:t>
      </w:r>
    </w:p>
    <w:p w:rsidR="00591C54" w:rsidRPr="00187C22" w:rsidRDefault="00591C54" w:rsidP="00591C54">
      <w:pPr>
        <w:pStyle w:val="Heading1"/>
        <w:rPr>
          <w:lang w:val="es-ES"/>
        </w:rPr>
      </w:pPr>
      <w:r w:rsidRPr="00187C22">
        <w:rPr>
          <w:lang w:val="es-ES"/>
        </w:rPr>
        <w:t>2</w:t>
      </w:r>
      <w:r w:rsidRPr="00187C22">
        <w:rPr>
          <w:lang w:val="es-ES"/>
        </w:rPr>
        <w:tab/>
        <w:t>Asuntos examinados por el Consejo</w:t>
      </w:r>
    </w:p>
    <w:p w:rsidR="00591C54" w:rsidRPr="00187C22" w:rsidRDefault="00591C54" w:rsidP="00591C54">
      <w:pPr>
        <w:rPr>
          <w:rFonts w:asciiTheme="majorBidi" w:hAnsiTheme="majorBidi" w:cstheme="majorBidi"/>
          <w:szCs w:val="24"/>
          <w:lang w:val="es-ES"/>
        </w:rPr>
      </w:pPr>
      <w:r w:rsidRPr="00187C22">
        <w:rPr>
          <w:rFonts w:asciiTheme="majorBidi" w:hAnsiTheme="majorBidi" w:cstheme="majorBidi"/>
          <w:szCs w:val="24"/>
          <w:lang w:val="es-ES"/>
        </w:rPr>
        <w:t xml:space="preserve">En esta sección se abordan los asuntos examinados por el Consejo en su reunión de 2011 (véase: </w:t>
      </w:r>
      <w:hyperlink r:id="rId10" w:history="1">
        <w:r w:rsidRPr="00187C22">
          <w:rPr>
            <w:rStyle w:val="Hyperlink"/>
            <w:lang w:val="es-ES"/>
          </w:rPr>
          <w:t>http://www.itu.int/council/C2011/</w:t>
        </w:r>
      </w:hyperlink>
      <w:r w:rsidRPr="00187C22">
        <w:rPr>
          <w:rFonts w:asciiTheme="majorBidi" w:hAnsiTheme="majorBidi" w:cstheme="majorBidi"/>
          <w:szCs w:val="24"/>
          <w:lang w:val="es-ES"/>
        </w:rPr>
        <w:t>).</w:t>
      </w:r>
    </w:p>
    <w:p w:rsidR="00591C54" w:rsidRPr="00187C22" w:rsidRDefault="00591C54" w:rsidP="00591C54">
      <w:pPr>
        <w:pStyle w:val="Heading2"/>
        <w:rPr>
          <w:lang w:val="es-ES"/>
        </w:rPr>
      </w:pPr>
      <w:r w:rsidRPr="00187C22">
        <w:rPr>
          <w:lang w:val="es-ES"/>
        </w:rPr>
        <w:t>2.1</w:t>
      </w:r>
      <w:r w:rsidRPr="00187C22">
        <w:rPr>
          <w:lang w:val="es-ES"/>
        </w:rPr>
        <w:tab/>
        <w:t>Calendario de futuras conferencias</w:t>
      </w:r>
    </w:p>
    <w:p w:rsidR="00591C54" w:rsidRPr="00187C22" w:rsidRDefault="00591C54" w:rsidP="00F91653">
      <w:pPr>
        <w:rPr>
          <w:lang w:val="es-ES"/>
        </w:rPr>
      </w:pPr>
      <w:r w:rsidRPr="00187C22">
        <w:rPr>
          <w:lang w:val="es-ES"/>
        </w:rPr>
        <w:t>El Consejo acordó celebrar la Conferencia Mundial de Radiocomunicaciones de 2015 (CMR-15). La CMR-12 adoptó la Resolución</w:t>
      </w:r>
      <w:r w:rsidR="00A56075" w:rsidRPr="00187C22">
        <w:rPr>
          <w:lang w:val="es-ES"/>
        </w:rPr>
        <w:t xml:space="preserve"> </w:t>
      </w:r>
      <w:r w:rsidRPr="00187C22">
        <w:rPr>
          <w:lang w:val="es-ES"/>
        </w:rPr>
        <w:t xml:space="preserve">807 (CMR-12), que establece la propuesta de </w:t>
      </w:r>
      <w:r w:rsidR="00F91653">
        <w:rPr>
          <w:lang w:val="es-ES"/>
        </w:rPr>
        <w:t>«</w:t>
      </w:r>
      <w:r w:rsidRPr="00187C22">
        <w:rPr>
          <w:lang w:val="es-ES"/>
        </w:rPr>
        <w:t>orden del día de la Conferencia Mundial de Radiocomunicaciones de 2015</w:t>
      </w:r>
      <w:r w:rsidR="00F91653">
        <w:rPr>
          <w:lang w:val="es-ES"/>
        </w:rPr>
        <w:t>»</w:t>
      </w:r>
      <w:r w:rsidRPr="00187C22">
        <w:rPr>
          <w:lang w:val="es-ES"/>
        </w:rPr>
        <w:t>. El Consejo convino en celebrar la CMR</w:t>
      </w:r>
      <w:r w:rsidR="00F91653">
        <w:rPr>
          <w:lang w:val="es-ES"/>
        </w:rPr>
        <w:noBreakHyphen/>
      </w:r>
      <w:r w:rsidRPr="00187C22">
        <w:rPr>
          <w:lang w:val="es-ES"/>
        </w:rPr>
        <w:t>15 en</w:t>
      </w:r>
      <w:r w:rsidR="00F91653">
        <w:rPr>
          <w:lang w:val="es-ES"/>
        </w:rPr>
        <w:t xml:space="preserve"> el</w:t>
      </w:r>
      <w:r w:rsidRPr="00187C22">
        <w:rPr>
          <w:lang w:val="es-ES"/>
        </w:rPr>
        <w:t xml:space="preserve"> cuarto trimestre de 2015. Las fechas y el lugar de celebración propuestos se considerarán en la próxima reunión del Consejo. </w:t>
      </w:r>
    </w:p>
    <w:p w:rsidR="00591C54" w:rsidRPr="00187C22" w:rsidRDefault="00591C54" w:rsidP="00B75D33">
      <w:pPr>
        <w:pStyle w:val="Heading2"/>
        <w:rPr>
          <w:lang w:val="es-ES"/>
        </w:rPr>
      </w:pPr>
      <w:r w:rsidRPr="00187C22">
        <w:rPr>
          <w:lang w:val="es-ES"/>
        </w:rPr>
        <w:t>2.2</w:t>
      </w:r>
      <w:r w:rsidRPr="00187C22">
        <w:rPr>
          <w:lang w:val="es-ES"/>
        </w:rPr>
        <w:tab/>
        <w:t>Presupuesto para 2012-2013</w:t>
      </w:r>
    </w:p>
    <w:p w:rsidR="00591C54" w:rsidRPr="00187C22" w:rsidRDefault="00591C54" w:rsidP="00F91653">
      <w:pPr>
        <w:rPr>
          <w:lang w:val="es-ES" w:eastAsia="zh-CN"/>
        </w:rPr>
      </w:pPr>
      <w:r w:rsidRPr="00187C22">
        <w:rPr>
          <w:lang w:val="es-ES" w:eastAsia="zh-CN"/>
        </w:rPr>
        <w:t>El Consejo aprobó el presupuesto de la UIT (</w:t>
      </w:r>
      <w:r w:rsidRPr="00187C22">
        <w:rPr>
          <w:lang w:val="es-ES"/>
        </w:rPr>
        <w:t>Resolución 1337</w:t>
      </w:r>
      <w:r w:rsidRPr="00187C22">
        <w:rPr>
          <w:lang w:val="es-ES" w:eastAsia="zh-CN"/>
        </w:rPr>
        <w:t>) por un valor de 323 834 000 CHF para el bienio 2012-2013, equilibrado con una detracción de la cuenta de reserva de 6</w:t>
      </w:r>
      <w:r w:rsidR="00F91653">
        <w:rPr>
          <w:lang w:val="es-ES" w:eastAsia="zh-CN"/>
        </w:rPr>
        <w:t>,</w:t>
      </w:r>
      <w:r w:rsidRPr="00187C22">
        <w:rPr>
          <w:lang w:val="es-ES" w:eastAsia="zh-CN"/>
        </w:rPr>
        <w:t>614 millones CHF. Las partidas del presupuesto correspondientes al presupuesto para 2012-2013 del UIT-R se reproducen en el Anexo a título informativo.</w:t>
      </w:r>
    </w:p>
    <w:p w:rsidR="00591C54" w:rsidRPr="00187C22" w:rsidRDefault="00591C54" w:rsidP="00B75D33">
      <w:pPr>
        <w:rPr>
          <w:lang w:val="es-ES" w:eastAsia="zh-CN"/>
        </w:rPr>
      </w:pPr>
      <w:r w:rsidRPr="00187C22">
        <w:rPr>
          <w:lang w:val="es-ES" w:eastAsia="zh-CN"/>
        </w:rPr>
        <w:t>Cabe destacar que las provisiones para las actividades posteriores a la CMR-12 no se incluyeron en el presupuesto.</w:t>
      </w:r>
    </w:p>
    <w:p w:rsidR="00591C54" w:rsidRPr="00187C22" w:rsidRDefault="00591C54" w:rsidP="00B75D33">
      <w:pPr>
        <w:pStyle w:val="Heading2"/>
        <w:rPr>
          <w:lang w:val="es-ES"/>
        </w:rPr>
      </w:pPr>
      <w:r w:rsidRPr="00187C22">
        <w:rPr>
          <w:lang w:val="es-ES"/>
        </w:rPr>
        <w:t>2.3</w:t>
      </w:r>
      <w:r w:rsidRPr="00187C22">
        <w:rPr>
          <w:lang w:val="es-ES"/>
        </w:rPr>
        <w:tab/>
        <w:t>Asuntos relativos a los Miembros</w:t>
      </w:r>
    </w:p>
    <w:p w:rsidR="00591C54" w:rsidRPr="00187C22" w:rsidRDefault="00591C54" w:rsidP="00591C54">
      <w:pPr>
        <w:tabs>
          <w:tab w:val="clear" w:pos="794"/>
          <w:tab w:val="clear" w:pos="1191"/>
          <w:tab w:val="clear" w:pos="1588"/>
          <w:tab w:val="clear" w:pos="1985"/>
        </w:tabs>
        <w:overflowPunct/>
        <w:autoSpaceDE/>
        <w:autoSpaceDN/>
        <w:snapToGrid w:val="0"/>
        <w:spacing w:after="120"/>
        <w:textAlignment w:val="auto"/>
        <w:rPr>
          <w:rFonts w:asciiTheme="majorBidi" w:eastAsia="ヒラギノ角ゴ Pro W3" w:hAnsiTheme="majorBidi" w:cstheme="majorBidi"/>
          <w:color w:val="000000"/>
          <w:szCs w:val="24"/>
          <w:lang w:val="es-ES"/>
        </w:rPr>
      </w:pPr>
      <w:r w:rsidRPr="00187C22">
        <w:rPr>
          <w:rFonts w:asciiTheme="majorBidi" w:eastAsia="ヒラギノ角ゴ Pro W3" w:hAnsiTheme="majorBidi" w:cstheme="majorBidi"/>
          <w:color w:val="000000"/>
          <w:lang w:val="es-ES"/>
        </w:rPr>
        <w:t xml:space="preserve">El Consejo examinó las propuestas relativas </w:t>
      </w:r>
      <w:r w:rsidR="0058008A">
        <w:rPr>
          <w:rFonts w:asciiTheme="majorBidi" w:eastAsia="ヒラギノ角ゴ Pro W3" w:hAnsiTheme="majorBidi" w:cstheme="majorBidi"/>
          <w:color w:val="000000"/>
          <w:lang w:val="es-ES"/>
        </w:rPr>
        <w:t xml:space="preserve">a </w:t>
      </w:r>
      <w:r w:rsidRPr="00187C22">
        <w:rPr>
          <w:rFonts w:asciiTheme="majorBidi" w:eastAsia="ヒラギノ角ゴ Pro W3" w:hAnsiTheme="majorBidi" w:cstheme="majorBidi"/>
          <w:color w:val="000000"/>
          <w:lang w:val="es-ES"/>
        </w:rPr>
        <w:t>mantener los existentes y atraer nuevos Miembros de Sector</w:t>
      </w:r>
      <w:r w:rsidRPr="00187C22">
        <w:rPr>
          <w:rFonts w:asciiTheme="majorBidi" w:eastAsia="ヒラギノ角ゴ Pro W3" w:hAnsiTheme="majorBidi" w:cstheme="majorBidi"/>
          <w:color w:val="000000"/>
          <w:szCs w:val="24"/>
          <w:lang w:val="es-ES"/>
        </w:rPr>
        <w:t xml:space="preserve">, Asociados e instituciones académicas y convino en incluir el seguimiento de las decisiones del </w:t>
      </w:r>
      <w:r w:rsidRPr="00187C22">
        <w:rPr>
          <w:rFonts w:asciiTheme="majorBidi" w:eastAsia="ヒラギノ角ゴ Pro W3" w:hAnsiTheme="majorBidi" w:cstheme="majorBidi"/>
          <w:bCs/>
          <w:color w:val="000000"/>
          <w:szCs w:val="24"/>
          <w:lang w:val="es-ES"/>
        </w:rPr>
        <w:t xml:space="preserve">PP-10 relacionadas con los Miembros de Sector en el Grupo de Trabajo del Consejo sobre Recursos Humanos y Financieros, cuyo mandato se modificó para </w:t>
      </w:r>
      <w:r w:rsidR="00F91653">
        <w:rPr>
          <w:rFonts w:asciiTheme="majorBidi" w:eastAsia="ヒラギノ角ゴ Pro W3" w:hAnsiTheme="majorBidi" w:cstheme="majorBidi"/>
          <w:color w:val="000000"/>
          <w:szCs w:val="24"/>
          <w:lang w:val="es-ES"/>
        </w:rPr>
        <w:t>«</w:t>
      </w:r>
      <w:r w:rsidRPr="00187C22">
        <w:rPr>
          <w:rFonts w:asciiTheme="majorBidi" w:eastAsia="ヒラギノ角ゴ Pro W3" w:hAnsiTheme="majorBidi" w:cstheme="majorBidi"/>
          <w:color w:val="000000"/>
          <w:szCs w:val="24"/>
          <w:lang w:val="es-ES"/>
        </w:rPr>
        <w:t xml:space="preserve">tratar todo lo que le encomiende </w:t>
      </w:r>
      <w:r w:rsidRPr="00187C22">
        <w:rPr>
          <w:rFonts w:asciiTheme="majorBidi" w:eastAsia="ヒラギノ角ゴ Pro W3" w:hAnsiTheme="majorBidi" w:cstheme="majorBidi"/>
          <w:color w:val="000000"/>
          <w:szCs w:val="24"/>
          <w:lang w:val="es-ES"/>
        </w:rPr>
        <w:lastRenderedPageBreak/>
        <w:t>el Consejo y/o la Conferencia de Plenipotenciarios sobre</w:t>
      </w:r>
      <w:r w:rsidRPr="00187C22">
        <w:rPr>
          <w:rFonts w:asciiTheme="majorBidi" w:eastAsia="ヒラギノ角ゴ Pro W3" w:hAnsiTheme="majorBidi" w:cstheme="majorBidi"/>
          <w:color w:val="000000"/>
          <w:lang w:val="es-ES"/>
        </w:rPr>
        <w:t xml:space="preserve"> un gran número de cuestiones, como las identificadas en el </w:t>
      </w:r>
      <w:r w:rsidR="00F91653">
        <w:rPr>
          <w:rFonts w:asciiTheme="majorBidi" w:eastAsia="ヒラギノ角ゴ Pro W3" w:hAnsiTheme="majorBidi" w:cstheme="majorBidi"/>
          <w:color w:val="000000"/>
          <w:lang w:val="es-ES"/>
        </w:rPr>
        <w:t>«</w:t>
      </w:r>
      <w:r w:rsidRPr="00187C22">
        <w:rPr>
          <w:rFonts w:asciiTheme="majorBidi" w:eastAsia="ヒラギノ角ゴ Pro W3" w:hAnsiTheme="majorBidi" w:cstheme="majorBidi"/>
          <w:color w:val="000000"/>
          <w:lang w:val="es-ES"/>
        </w:rPr>
        <w:t>resuelve encargar al Consejo</w:t>
      </w:r>
      <w:r w:rsidR="00F91653">
        <w:rPr>
          <w:rFonts w:asciiTheme="majorBidi" w:eastAsia="ヒラギノ角ゴ Pro W3" w:hAnsiTheme="majorBidi" w:cstheme="majorBidi"/>
          <w:color w:val="000000"/>
          <w:lang w:val="es-ES"/>
        </w:rPr>
        <w:t>»</w:t>
      </w:r>
      <w:r w:rsidRPr="00187C22">
        <w:rPr>
          <w:rFonts w:asciiTheme="majorBidi" w:eastAsia="ヒラギノ角ゴ Pro W3" w:hAnsiTheme="majorBidi" w:cstheme="majorBidi"/>
          <w:color w:val="000000"/>
          <w:lang w:val="es-ES"/>
        </w:rPr>
        <w:t xml:space="preserve"> de la Resolución 158 (Rev. Guadalajara, 2010)</w:t>
      </w:r>
      <w:r w:rsidR="00F91653">
        <w:rPr>
          <w:rFonts w:asciiTheme="majorBidi" w:eastAsia="ヒラギノ角ゴ Pro W3" w:hAnsiTheme="majorBidi" w:cstheme="majorBidi"/>
          <w:color w:val="000000"/>
          <w:szCs w:val="24"/>
          <w:lang w:val="es-ES"/>
        </w:rPr>
        <w:t>»</w:t>
      </w:r>
      <w:r w:rsidRPr="00187C22">
        <w:rPr>
          <w:rFonts w:asciiTheme="majorBidi" w:eastAsia="ヒラギノ角ゴ Pro W3" w:hAnsiTheme="majorBidi" w:cstheme="majorBidi"/>
          <w:color w:val="000000"/>
          <w:szCs w:val="24"/>
          <w:lang w:val="es-ES"/>
        </w:rPr>
        <w:t>.</w:t>
      </w:r>
    </w:p>
    <w:p w:rsidR="00591C54" w:rsidRPr="00187C22" w:rsidRDefault="00591C54" w:rsidP="00B75D33">
      <w:pPr>
        <w:pStyle w:val="Heading2"/>
        <w:rPr>
          <w:lang w:val="es-ES"/>
        </w:rPr>
      </w:pPr>
      <w:r w:rsidRPr="00187C22">
        <w:rPr>
          <w:lang w:val="es-ES"/>
        </w:rPr>
        <w:t>2.4</w:t>
      </w:r>
      <w:r w:rsidRPr="00187C22">
        <w:rPr>
          <w:lang w:val="es-ES"/>
        </w:rPr>
        <w:tab/>
        <w:t>Publicaciones</w:t>
      </w:r>
    </w:p>
    <w:p w:rsidR="00591C54" w:rsidRPr="00187C22" w:rsidRDefault="00591C54" w:rsidP="00A56075">
      <w:pPr>
        <w:rPr>
          <w:lang w:val="es-ES"/>
        </w:rPr>
      </w:pPr>
      <w:r w:rsidRPr="00187C22">
        <w:rPr>
          <w:lang w:val="es-ES"/>
        </w:rPr>
        <w:t>Varios consejeros elogiaron la política de acceso gratuito en línea, que contribuye a aumentar la proyección de la UIT y de su labor, en particular en los países en desarrollo y entre los jóvenes profesionales. También se acogieron con satisfacción los beneficios ambientales de esta política.</w:t>
      </w:r>
      <w:r w:rsidR="00A56075" w:rsidRPr="00187C22">
        <w:rPr>
          <w:lang w:val="es-ES"/>
        </w:rPr>
        <w:t xml:space="preserve"> </w:t>
      </w:r>
      <w:r w:rsidRPr="00187C22">
        <w:rPr>
          <w:lang w:val="es-ES"/>
        </w:rPr>
        <w:t xml:space="preserve">Se manifestó apoyo a ampliar la política de acceso gratuito en línea con el fin de incluir, en particular, el Reglamento de Radiocomunicaciones; algunos consejeros pidieron información sobre las posibles repercusiones financieras que tendría esta decisión. Se destacó la necesidad de llegar a un equilibrio entre las publicaciones gratuitas y de pago, y un consejero propuso que se considerase la posibilidad de realizar ediciones económicas, especialmente para los países en desarrollo. </w:t>
      </w:r>
    </w:p>
    <w:p w:rsidR="00591C54" w:rsidRPr="00187C22" w:rsidRDefault="00591C54" w:rsidP="00B75D33">
      <w:pPr>
        <w:rPr>
          <w:lang w:val="es-ES"/>
        </w:rPr>
      </w:pPr>
      <w:r w:rsidRPr="00187C22">
        <w:rPr>
          <w:rFonts w:asciiTheme="majorBidi" w:hAnsiTheme="majorBidi" w:cstheme="majorBidi"/>
          <w:lang w:val="es-ES"/>
        </w:rPr>
        <w:t xml:space="preserve">El Consejo solicitó al Secretario General que publicara el </w:t>
      </w:r>
      <w:r w:rsidR="0058008A" w:rsidRPr="00187C22">
        <w:rPr>
          <w:rFonts w:asciiTheme="majorBidi" w:hAnsiTheme="majorBidi" w:cstheme="majorBidi"/>
          <w:lang w:val="es-ES"/>
        </w:rPr>
        <w:t xml:space="preserve">Informe </w:t>
      </w:r>
      <w:r w:rsidRPr="00187C22">
        <w:rPr>
          <w:rFonts w:asciiTheme="majorBidi" w:hAnsiTheme="majorBidi" w:cstheme="majorBidi"/>
          <w:lang w:val="es-ES"/>
        </w:rPr>
        <w:t xml:space="preserve">sobre la venta de publicaciones de la UIT, conforme a la Decisión </w:t>
      </w:r>
      <w:r w:rsidRPr="00187C22">
        <w:rPr>
          <w:szCs w:val="22"/>
          <w:lang w:val="es-ES" w:eastAsia="ar-SA"/>
        </w:rPr>
        <w:t xml:space="preserve">12 de la PP-10 </w:t>
      </w:r>
      <w:r w:rsidRPr="00187C22">
        <w:rPr>
          <w:lang w:val="es-ES" w:eastAsia="ar-SA"/>
        </w:rPr>
        <w:t>a más tardar 45 días antes de las reuniones anuales del Consejo de la UIT</w:t>
      </w:r>
      <w:r w:rsidRPr="00187C22">
        <w:rPr>
          <w:lang w:val="es-ES"/>
        </w:rPr>
        <w:t xml:space="preserve">, para que los Estados </w:t>
      </w:r>
      <w:r w:rsidR="0058008A" w:rsidRPr="00187C22">
        <w:rPr>
          <w:lang w:val="es-ES"/>
        </w:rPr>
        <w:t xml:space="preserve">Miembros </w:t>
      </w:r>
      <w:r w:rsidRPr="00187C22">
        <w:rPr>
          <w:lang w:val="es-ES"/>
        </w:rPr>
        <w:t xml:space="preserve">puedan analizarlo y preparar a tiempo contribuciones al Consejo acerca del acceso gratuito en línea a las publicaciones de la UIT, y que incluyese en dicho </w:t>
      </w:r>
      <w:r w:rsidR="0058008A" w:rsidRPr="00187C22">
        <w:rPr>
          <w:lang w:val="es-ES"/>
        </w:rPr>
        <w:t xml:space="preserve">Informe </w:t>
      </w:r>
      <w:r w:rsidRPr="00187C22">
        <w:rPr>
          <w:lang w:val="es-ES"/>
        </w:rPr>
        <w:t>datos sobre todas las publicaciones y, en particular, sobre el Reglamento de Radiocomunicaciones.</w:t>
      </w:r>
    </w:p>
    <w:p w:rsidR="00591C54" w:rsidRPr="00187C22" w:rsidRDefault="00591C54" w:rsidP="00B75D33">
      <w:pPr>
        <w:pStyle w:val="Heading2"/>
        <w:rPr>
          <w:lang w:val="es-ES"/>
        </w:rPr>
      </w:pPr>
      <w:r w:rsidRPr="00187C22">
        <w:rPr>
          <w:lang w:val="es-ES"/>
        </w:rPr>
        <w:t>2.5</w:t>
      </w:r>
      <w:r w:rsidRPr="00187C22">
        <w:rPr>
          <w:lang w:val="es-ES"/>
        </w:rPr>
        <w:tab/>
        <w:t>Recuperación de costes en las notificaciones de redes de satélite</w:t>
      </w:r>
      <w:r w:rsidR="0058008A">
        <w:rPr>
          <w:lang w:val="es-ES"/>
        </w:rPr>
        <w:t>s</w:t>
      </w:r>
    </w:p>
    <w:p w:rsidR="00591C54" w:rsidRPr="00187C22" w:rsidRDefault="00591C54" w:rsidP="00A56075">
      <w:pPr>
        <w:rPr>
          <w:caps/>
          <w:lang w:val="es-ES"/>
        </w:rPr>
      </w:pPr>
      <w:r w:rsidRPr="00187C22">
        <w:rPr>
          <w:lang w:val="es-ES"/>
        </w:rPr>
        <w:t>El Consejo examinó una propuesta relativa a</w:t>
      </w:r>
      <w:r w:rsidR="00A56075" w:rsidRPr="00187C22">
        <w:rPr>
          <w:lang w:val="es-ES"/>
        </w:rPr>
        <w:t xml:space="preserve"> </w:t>
      </w:r>
      <w:r w:rsidRPr="00187C22">
        <w:rPr>
          <w:lang w:val="es-ES"/>
        </w:rPr>
        <w:t>considerar la posibilidad de revisar su Acuerdo 482 para ampliar el método actual de recuperación de costes con el fin de incluir los costes de mantenimiento del Registro Internacional de Frecuencias (MIFR), en particular, la posibilidad de establecer un canon anual a las redes de satélite</w:t>
      </w:r>
      <w:r w:rsidR="0058008A">
        <w:rPr>
          <w:lang w:val="es-ES"/>
        </w:rPr>
        <w:t>s</w:t>
      </w:r>
      <w:r w:rsidRPr="00187C22">
        <w:rPr>
          <w:lang w:val="es-ES"/>
        </w:rPr>
        <w:t xml:space="preserve"> en concepto de utilización de órbitas/espectro, a los efectos de promover la utilización eficiente y racional de este recurso.</w:t>
      </w:r>
    </w:p>
    <w:p w:rsidR="00591C54" w:rsidRPr="00187C22" w:rsidRDefault="00591C54" w:rsidP="00591C54">
      <w:pPr>
        <w:rPr>
          <w:szCs w:val="24"/>
          <w:lang w:val="es-ES"/>
        </w:rPr>
      </w:pPr>
      <w:r w:rsidRPr="00187C22">
        <w:rPr>
          <w:lang w:val="es-ES"/>
        </w:rPr>
        <w:t>El</w:t>
      </w:r>
      <w:r w:rsidRPr="00187C22">
        <w:rPr>
          <w:szCs w:val="24"/>
          <w:lang w:val="es-ES"/>
        </w:rPr>
        <w:t xml:space="preserve"> Consejo observó que el acceso a los recursos de órbita/espectro es una cuestión peliaguda que está totalmente comprendida en el ámbito de competencia y mandato de la CMR. La cuestión del establecimiento o no de un canon anual de recuperación de costes por las asignaciones inscritas en el Registro pertenece al ámbito de competencia y al mandato del Consejo, habida cuenta de los resultados de las deliberaciones en la CMR, según lo notificado por el Director de la BR. Se subrayó que el mecanismo vigente de recuperación de costes, estipulado en el Acuerdo 482, ha dado resultados bastante satisfactorios tanto para los Miembros como para la Oficina. Este hecho se señaló en el Informe del Director de la Oficina de Radiocomunicaciones al Consejo de 2011. </w:t>
      </w:r>
    </w:p>
    <w:p w:rsidR="00591C54" w:rsidRPr="00187C22" w:rsidRDefault="00591C54" w:rsidP="0058008A">
      <w:pPr>
        <w:rPr>
          <w:szCs w:val="24"/>
          <w:lang w:val="es-ES"/>
        </w:rPr>
      </w:pPr>
      <w:r w:rsidRPr="00187C22">
        <w:rPr>
          <w:szCs w:val="24"/>
          <w:lang w:val="es-ES"/>
        </w:rPr>
        <w:t>El Consejo ha llegado a la conclusión de que es imperativo mantener tal cual la versión actual del Acuerdo 482 (MOD 2008), sin modificación alguna, a menos que se lleven a cabo estudios pormenorizados, en los que se recomiende revisar dicha Decisión con una justificación o argumentos legítimos y bien fundados. El Consejo encargó al Director que sometiera el referido resumen de las deliberaciones del Consejo a la CMR-12 y que informara al Consejo de 2012 sobre este particular, el cual, en función de las medidas adoptadas por la CMR-12, podrá examinar el asunto y tomar las medidas que estime necesarias, habida cuenta de los objetivos de recuperación de costes consignados en la Resolución 91 (Rev. Guadalajara, 2010).</w:t>
      </w:r>
    </w:p>
    <w:p w:rsidR="00591C54" w:rsidRPr="00187C22" w:rsidRDefault="00591C54" w:rsidP="00187C22">
      <w:pPr>
        <w:rPr>
          <w:rFonts w:asciiTheme="majorBidi" w:hAnsiTheme="majorBidi" w:cstheme="majorBidi"/>
          <w:lang w:val="es-ES"/>
        </w:rPr>
      </w:pPr>
      <w:r w:rsidRPr="00187C22">
        <w:rPr>
          <w:lang w:val="es-ES"/>
        </w:rPr>
        <w:t>Siguiendo</w:t>
      </w:r>
      <w:r w:rsidRPr="00187C22">
        <w:rPr>
          <w:rFonts w:asciiTheme="majorBidi" w:hAnsiTheme="majorBidi" w:cstheme="majorBidi"/>
          <w:bCs/>
          <w:color w:val="000000"/>
          <w:lang w:val="es-ES"/>
        </w:rPr>
        <w:t xml:space="preserve"> las instrucciones de la reunión de 2011 del Consejo, el Secretario General señaló a la atención de la CMR-12 en el </w:t>
      </w:r>
      <w:hyperlink r:id="rId11" w:history="1">
        <w:r w:rsidRPr="00187C22">
          <w:rPr>
            <w:rFonts w:asciiTheme="majorBidi" w:hAnsiTheme="majorBidi" w:cstheme="majorBidi"/>
            <w:bCs/>
            <w:color w:val="0000FF"/>
            <w:u w:val="single"/>
            <w:lang w:val="es-ES"/>
          </w:rPr>
          <w:t>Documento CMR12/33</w:t>
        </w:r>
      </w:hyperlink>
      <w:r w:rsidRPr="00187C22">
        <w:rPr>
          <w:rFonts w:asciiTheme="majorBidi" w:hAnsiTheme="majorBidi" w:cstheme="majorBidi"/>
          <w:bCs/>
          <w:color w:val="000000"/>
          <w:lang w:val="es-ES"/>
        </w:rPr>
        <w:t>, el resumen de los debates sobre la aplicación de la recuperación de costes a la tramitación de notificaciones de redes de satélite</w:t>
      </w:r>
      <w:r w:rsidR="0058008A">
        <w:rPr>
          <w:rFonts w:asciiTheme="majorBidi" w:hAnsiTheme="majorBidi" w:cstheme="majorBidi"/>
          <w:bCs/>
          <w:color w:val="000000"/>
          <w:lang w:val="es-ES"/>
        </w:rPr>
        <w:t>s</w:t>
      </w:r>
      <w:r w:rsidRPr="00187C22">
        <w:rPr>
          <w:rFonts w:asciiTheme="majorBidi" w:hAnsiTheme="majorBidi" w:cstheme="majorBidi"/>
          <w:bCs/>
          <w:color w:val="000000"/>
          <w:lang w:val="es-ES"/>
        </w:rPr>
        <w:t>, que figura en el Anexo J al Informe del Presidente de la Comisión Permanente sobre Administración y Gestión (</w:t>
      </w:r>
      <w:hyperlink r:id="rId12" w:history="1">
        <w:r w:rsidRPr="00187C22">
          <w:rPr>
            <w:rFonts w:asciiTheme="majorBidi" w:hAnsiTheme="majorBidi" w:cstheme="majorBidi"/>
            <w:bCs/>
            <w:color w:val="0000FF"/>
            <w:u w:val="single"/>
            <w:lang w:val="es-ES"/>
          </w:rPr>
          <w:t>Documento C11/89 (Rev.1)</w:t>
        </w:r>
      </w:hyperlink>
      <w:r w:rsidR="00187C22" w:rsidRPr="00187C22">
        <w:t>)</w:t>
      </w:r>
      <w:r w:rsidRPr="00187C22">
        <w:rPr>
          <w:rFonts w:asciiTheme="majorBidi" w:hAnsiTheme="majorBidi" w:cstheme="majorBidi"/>
          <w:bCs/>
          <w:color w:val="000000"/>
          <w:lang w:val="es-ES"/>
        </w:rPr>
        <w:t xml:space="preserve">. El Documento CMR12/33 se presentó en el Grupo de Trabajo </w:t>
      </w:r>
      <w:r w:rsidRPr="00187C22">
        <w:rPr>
          <w:rFonts w:asciiTheme="majorBidi" w:hAnsiTheme="majorBidi" w:cstheme="majorBidi"/>
          <w:lang w:val="es-ES"/>
        </w:rPr>
        <w:t xml:space="preserve">5B de la CMR-12 </w:t>
      </w:r>
      <w:r w:rsidRPr="00187C22">
        <w:rPr>
          <w:rFonts w:asciiTheme="majorBidi" w:hAnsiTheme="majorBidi" w:cstheme="majorBidi"/>
          <w:bCs/>
          <w:color w:val="000000"/>
          <w:lang w:val="es-ES"/>
        </w:rPr>
        <w:t xml:space="preserve">y se examinó más detenidamente en el Subgrupo de Trabajo </w:t>
      </w:r>
      <w:r w:rsidRPr="00187C22">
        <w:rPr>
          <w:rFonts w:asciiTheme="majorBidi" w:hAnsiTheme="majorBidi" w:cstheme="majorBidi"/>
          <w:lang w:val="es-ES"/>
        </w:rPr>
        <w:t>5B4, donde se tomó nota del mismo.</w:t>
      </w:r>
    </w:p>
    <w:p w:rsidR="00591C54" w:rsidRPr="00187C22" w:rsidRDefault="00591C54" w:rsidP="0058008A">
      <w:pPr>
        <w:pStyle w:val="Heading2"/>
        <w:rPr>
          <w:lang w:val="es-ES"/>
        </w:rPr>
      </w:pPr>
      <w:r w:rsidRPr="00187C22">
        <w:rPr>
          <w:lang w:val="es-ES"/>
        </w:rPr>
        <w:lastRenderedPageBreak/>
        <w:t>2.6</w:t>
      </w:r>
      <w:r w:rsidRPr="00187C22">
        <w:rPr>
          <w:lang w:val="es-ES"/>
        </w:rPr>
        <w:tab/>
        <w:t>Papel de la UIT como autoridad supervisora del futuro sistema de registro</w:t>
      </w:r>
      <w:r w:rsidR="0058008A">
        <w:rPr>
          <w:lang w:val="es-ES"/>
        </w:rPr>
        <w:br/>
      </w:r>
      <w:r w:rsidRPr="00187C22">
        <w:rPr>
          <w:lang w:val="es-ES"/>
        </w:rPr>
        <w:t>internacional para bienes de equipo espaciales en virtud del proyecto de</w:t>
      </w:r>
      <w:r w:rsidR="0058008A">
        <w:rPr>
          <w:lang w:val="es-ES"/>
        </w:rPr>
        <w:br/>
      </w:r>
      <w:r w:rsidRPr="00187C22">
        <w:rPr>
          <w:lang w:val="es-ES"/>
        </w:rPr>
        <w:t>protocolo del espacio</w:t>
      </w:r>
    </w:p>
    <w:p w:rsidR="00591C54" w:rsidRPr="00187C22" w:rsidRDefault="00591C54" w:rsidP="00591C54">
      <w:pPr>
        <w:rPr>
          <w:lang w:val="es-ES"/>
        </w:rPr>
      </w:pPr>
      <w:r w:rsidRPr="00187C22">
        <w:rPr>
          <w:lang w:val="es-ES"/>
        </w:rPr>
        <w:t xml:space="preserve">El Consejo examinó la información sobre la posible función de la UIT como Autoridad Supervisora del futuro sistema de registro internacional de recursos espaciales con arreglo al </w:t>
      </w:r>
      <w:r w:rsidRPr="00187C22">
        <w:rPr>
          <w:rFonts w:cstheme="minorHAnsi"/>
          <w:szCs w:val="24"/>
          <w:lang w:val="es-ES"/>
        </w:rPr>
        <w:t>Protocolo sobre cuestiones específicas de los bienes de equipo espacial, del Convenio relativo a garantías internacionales sobre elementos de equipo móvil</w:t>
      </w:r>
      <w:r w:rsidRPr="00187C22">
        <w:rPr>
          <w:lang w:val="es-ES"/>
        </w:rPr>
        <w:t xml:space="preserve"> que está preparando UNIDROIT. La iniciativa UNIDROIT tiene por objeto facilitar el desarrollo de servicios por satélite mediante la creación de un nuevo régimen internacional de financiación espacial comercial. Esta actividad se complementará, sin duplicar tareas, con las actividades de la UIT en materia de gestión de recursos de espectro/órbita para redes de satélites.</w:t>
      </w:r>
    </w:p>
    <w:p w:rsidR="00591C54" w:rsidRPr="00187C22" w:rsidRDefault="00591C54" w:rsidP="0058008A">
      <w:pPr>
        <w:rPr>
          <w:iCs/>
          <w:szCs w:val="24"/>
          <w:lang w:val="es-ES"/>
        </w:rPr>
      </w:pPr>
      <w:r w:rsidRPr="00187C22">
        <w:rPr>
          <w:iCs/>
          <w:szCs w:val="24"/>
          <w:lang w:val="es-ES"/>
        </w:rPr>
        <w:t xml:space="preserve">El Consejo convino en autorizar al Secretario </w:t>
      </w:r>
      <w:r w:rsidRPr="00187C22">
        <w:rPr>
          <w:rFonts w:asciiTheme="majorBidi" w:hAnsiTheme="majorBidi" w:cstheme="majorBidi"/>
          <w:iCs/>
          <w:szCs w:val="24"/>
          <w:lang w:val="es-ES"/>
        </w:rPr>
        <w:t xml:space="preserve">General a asistir en calidad de observador a la Conferencia </w:t>
      </w:r>
      <w:r w:rsidR="0058008A" w:rsidRPr="00187C22">
        <w:rPr>
          <w:rFonts w:asciiTheme="majorBidi" w:hAnsiTheme="majorBidi" w:cstheme="majorBidi"/>
          <w:iCs/>
          <w:szCs w:val="24"/>
          <w:lang w:val="es-ES"/>
        </w:rPr>
        <w:t xml:space="preserve">Diplomática </w:t>
      </w:r>
      <w:r w:rsidRPr="00187C22">
        <w:rPr>
          <w:rFonts w:asciiTheme="majorBidi" w:hAnsiTheme="majorBidi" w:cstheme="majorBidi"/>
          <w:iCs/>
          <w:szCs w:val="24"/>
          <w:lang w:val="es-ES"/>
        </w:rPr>
        <w:t xml:space="preserve">prevista en </w:t>
      </w:r>
      <w:r w:rsidRPr="00187C22">
        <w:rPr>
          <w:rFonts w:asciiTheme="majorBidi" w:hAnsiTheme="majorBidi" w:cstheme="majorBidi"/>
          <w:lang w:val="es-ES"/>
        </w:rPr>
        <w:t>Berlín (Alemania) del 27 de febrero al 9 de marzo de 2012</w:t>
      </w:r>
      <w:r w:rsidRPr="00187C22">
        <w:rPr>
          <w:rFonts w:asciiTheme="majorBidi" w:hAnsiTheme="majorBidi" w:cstheme="majorBidi"/>
          <w:iCs/>
          <w:szCs w:val="24"/>
          <w:lang w:val="es-ES"/>
        </w:rPr>
        <w:t>; no conviene dar por supuesto que la UIT se convertirá en la Autoridad Supervisora</w:t>
      </w:r>
      <w:r w:rsidRPr="00187C22">
        <w:rPr>
          <w:iCs/>
          <w:szCs w:val="24"/>
          <w:lang w:val="es-ES"/>
        </w:rPr>
        <w:t>;</w:t>
      </w:r>
      <w:r w:rsidR="00A56075" w:rsidRPr="00187C22">
        <w:rPr>
          <w:iCs/>
          <w:szCs w:val="24"/>
          <w:lang w:val="es-ES"/>
        </w:rPr>
        <w:t xml:space="preserve"> </w:t>
      </w:r>
      <w:r w:rsidRPr="00187C22">
        <w:rPr>
          <w:iCs/>
          <w:szCs w:val="24"/>
          <w:lang w:val="es-ES"/>
        </w:rPr>
        <w:t>no obstante, el Secretario General de la UIT seguirá manifestando interés a este respecto, e informará al Consejo de</w:t>
      </w:r>
      <w:r w:rsidR="0058008A">
        <w:rPr>
          <w:iCs/>
          <w:szCs w:val="24"/>
          <w:lang w:val="es-ES"/>
        </w:rPr>
        <w:t> </w:t>
      </w:r>
      <w:r w:rsidRPr="00187C22">
        <w:rPr>
          <w:iCs/>
          <w:szCs w:val="24"/>
          <w:lang w:val="es-ES"/>
        </w:rPr>
        <w:t xml:space="preserve">2012, que podrá examinar el asunto habida cuenta de los resultados de la </w:t>
      </w:r>
      <w:r w:rsidR="0058008A">
        <w:rPr>
          <w:iCs/>
          <w:szCs w:val="24"/>
          <w:lang w:val="es-ES"/>
        </w:rPr>
        <w:t>Conferencia Diplomática</w:t>
      </w:r>
      <w:r w:rsidR="0058008A" w:rsidRPr="00187C22">
        <w:rPr>
          <w:iCs/>
          <w:szCs w:val="24"/>
          <w:lang w:val="es-ES"/>
        </w:rPr>
        <w:t xml:space="preserve"> </w:t>
      </w:r>
      <w:r w:rsidRPr="00187C22">
        <w:rPr>
          <w:iCs/>
          <w:szCs w:val="24"/>
          <w:lang w:val="es-ES"/>
        </w:rPr>
        <w:t>y de las repercusiones financieras, jurídicas y técnicas.</w:t>
      </w:r>
    </w:p>
    <w:p w:rsidR="00591C54" w:rsidRPr="00187C22" w:rsidRDefault="00591C54" w:rsidP="0058008A">
      <w:pPr>
        <w:rPr>
          <w:rFonts w:cstheme="minorHAnsi"/>
          <w:szCs w:val="24"/>
          <w:lang w:val="es-ES"/>
        </w:rPr>
      </w:pPr>
      <w:r w:rsidRPr="00187C22">
        <w:rPr>
          <w:lang w:val="es-ES"/>
        </w:rPr>
        <w:t>La</w:t>
      </w:r>
      <w:r w:rsidRPr="00187C22">
        <w:rPr>
          <w:rFonts w:cstheme="minorHAnsi"/>
          <w:szCs w:val="24"/>
          <w:lang w:val="es-ES"/>
        </w:rPr>
        <w:t xml:space="preserve"> Conferencia Diplomática adoptó el texto del Protocolo sobre cuestiones específicas de los bienes de equipo espacial, del Convenio relativo a garantías internacionales sobre elementos de equipo móvil </w:t>
      </w:r>
      <w:r w:rsidRPr="00187C22">
        <w:rPr>
          <w:rFonts w:cstheme="minorHAnsi"/>
          <w:szCs w:val="24"/>
          <w:u w:val="single"/>
          <w:lang w:val="es-ES"/>
        </w:rPr>
        <w:t>(</w:t>
      </w:r>
      <w:hyperlink r:id="rId13" w:history="1">
        <w:r w:rsidRPr="00187C22">
          <w:rPr>
            <w:rFonts w:cstheme="minorHAnsi"/>
            <w:color w:val="0000FF"/>
            <w:szCs w:val="24"/>
            <w:u w:val="single"/>
            <w:lang w:val="es-ES"/>
          </w:rPr>
          <w:t>Protocolo del Espacio</w:t>
        </w:r>
      </w:hyperlink>
      <w:r w:rsidRPr="00187C22">
        <w:rPr>
          <w:rFonts w:cstheme="minorHAnsi"/>
          <w:szCs w:val="24"/>
          <w:u w:val="single"/>
          <w:lang w:val="es-ES"/>
        </w:rPr>
        <w:t>)</w:t>
      </w:r>
      <w:r w:rsidRPr="00187C22">
        <w:rPr>
          <w:rFonts w:cstheme="minorHAnsi"/>
          <w:szCs w:val="24"/>
          <w:lang w:val="es-ES"/>
        </w:rPr>
        <w:t>, que quedó abierto a la firma en Roma el día siguiente a la clausura de la Conferencia (9 de marzo de 2012) hasta su entrada en vigor.</w:t>
      </w:r>
      <w:r w:rsidRPr="00187C22">
        <w:rPr>
          <w:rFonts w:cstheme="minorHAnsi"/>
          <w:color w:val="000000"/>
          <w:szCs w:val="24"/>
          <w:lang w:val="es-ES"/>
        </w:rPr>
        <w:t xml:space="preserve"> Siguiendo las instrucciones del Consejo de 2011, </w:t>
      </w:r>
      <w:r w:rsidRPr="00187C22">
        <w:rPr>
          <w:rFonts w:cstheme="minorHAnsi"/>
          <w:szCs w:val="24"/>
          <w:lang w:val="es-ES"/>
        </w:rPr>
        <w:t>el observador representante del Secretario General de la UIT manifestó su interés por que la UIT se convierta en la Autoridad Supervisora del Registro Internacional de bienes de equipo espaciales, a reserva de la consideración del asunto por los órganos rectores de la UIT y sin perjuicio de la decisión que tomen a este respecto, habida cuenta del resultado de la Conferencia y de las repercusiones financieras, jurídicas y técnicas que tendría esa decisión.</w:t>
      </w:r>
    </w:p>
    <w:p w:rsidR="00591C54" w:rsidRPr="00187C22" w:rsidRDefault="00591C54" w:rsidP="00B75D33">
      <w:pPr>
        <w:rPr>
          <w:lang w:val="es-ES"/>
        </w:rPr>
      </w:pPr>
      <w:r w:rsidRPr="00187C22">
        <w:rPr>
          <w:lang w:val="es-ES"/>
        </w:rPr>
        <w:t xml:space="preserve">La Conferencia Diplomática también adoptó una resolución sobre la creación de una Comisión Preparatoria para el establecimiento del Registro Internacional de </w:t>
      </w:r>
      <w:r w:rsidR="0058008A" w:rsidRPr="00187C22">
        <w:rPr>
          <w:lang w:val="es-ES"/>
        </w:rPr>
        <w:t xml:space="preserve">bienes de equipo espaciales </w:t>
      </w:r>
      <w:r w:rsidRPr="00187C22">
        <w:rPr>
          <w:lang w:val="es-ES"/>
        </w:rPr>
        <w:t>que actuaría de Autoridad Supervisora provisional con plena potestad para el establecimiento de dicho Registro. Esta Comisión Preparatoria estará formada por personas, con las cualificaciones y experiencia necesarias, nombradas por un tercio de los Estados que negocian, y por observadores, comprendida la UIT. Se ha previsto una reunión bajo los auspicios de UNIDROIT antes de fines de</w:t>
      </w:r>
      <w:r w:rsidR="00B75D33" w:rsidRPr="00187C22">
        <w:rPr>
          <w:lang w:val="es-ES"/>
        </w:rPr>
        <w:t> </w:t>
      </w:r>
      <w:r w:rsidRPr="00187C22">
        <w:rPr>
          <w:lang w:val="es-ES"/>
        </w:rPr>
        <w:t>2012 para crear la Comisión Preparatoria.</w:t>
      </w:r>
    </w:p>
    <w:p w:rsidR="00591C54" w:rsidRPr="00187C22" w:rsidRDefault="00591C54" w:rsidP="00B75D33">
      <w:pPr>
        <w:rPr>
          <w:lang w:val="es-ES"/>
        </w:rPr>
      </w:pPr>
      <w:r w:rsidRPr="00187C22">
        <w:rPr>
          <w:lang w:val="es-ES"/>
        </w:rPr>
        <w:t>En la próxima reunión del Consejo se presentarán los resultados de la Conferencia Diplomática junto con una solicitud para que se autorice al Secretario General a seguir manifestando el interés de la UIT por convertirse en la Autoridad Supervisora y a participar en la labor de la Comisión Preparatoria en calidad de observador.</w:t>
      </w:r>
    </w:p>
    <w:p w:rsidR="00591C54" w:rsidRPr="00187C22" w:rsidRDefault="00591C54" w:rsidP="00B75D33">
      <w:pPr>
        <w:pStyle w:val="Heading1"/>
        <w:rPr>
          <w:rFonts w:eastAsia="SimSun"/>
          <w:lang w:val="es-ES" w:eastAsia="zh-CN"/>
        </w:rPr>
      </w:pPr>
      <w:r w:rsidRPr="00187C22">
        <w:rPr>
          <w:rFonts w:eastAsia="SimSun"/>
          <w:lang w:val="es-ES" w:eastAsia="zh-CN"/>
        </w:rPr>
        <w:t>3</w:t>
      </w:r>
      <w:r w:rsidRPr="00187C22">
        <w:rPr>
          <w:rFonts w:eastAsia="SimSun"/>
          <w:lang w:val="es-ES" w:eastAsia="zh-CN"/>
        </w:rPr>
        <w:tab/>
        <w:t>Resultados de la AR-12 y la CMR-12</w:t>
      </w:r>
    </w:p>
    <w:p w:rsidR="00591C54" w:rsidRPr="00187C22" w:rsidRDefault="00591C54" w:rsidP="00FF795F">
      <w:pPr>
        <w:pStyle w:val="Heading2"/>
        <w:rPr>
          <w:lang w:val="es-ES"/>
        </w:rPr>
      </w:pPr>
      <w:r w:rsidRPr="00187C22">
        <w:rPr>
          <w:lang w:val="es-ES"/>
        </w:rPr>
        <w:t>3.1</w:t>
      </w:r>
      <w:r w:rsidRPr="00187C22">
        <w:rPr>
          <w:lang w:val="es-ES"/>
        </w:rPr>
        <w:tab/>
        <w:t xml:space="preserve">Resultados </w:t>
      </w:r>
      <w:r w:rsidR="00FF795F">
        <w:rPr>
          <w:lang w:val="es-ES"/>
        </w:rPr>
        <w:t>de la</w:t>
      </w:r>
      <w:r w:rsidRPr="00187C22">
        <w:rPr>
          <w:lang w:val="es-ES"/>
        </w:rPr>
        <w:t xml:space="preserve"> AR-12</w:t>
      </w:r>
    </w:p>
    <w:p w:rsidR="00591C54" w:rsidRPr="00187C22" w:rsidRDefault="00591C54" w:rsidP="00591C54">
      <w:pPr>
        <w:rPr>
          <w:lang w:val="es-ES"/>
        </w:rPr>
      </w:pPr>
      <w:r w:rsidRPr="00187C22">
        <w:rPr>
          <w:lang w:val="es-ES"/>
        </w:rPr>
        <w:t xml:space="preserve">La Asamblea de Radiocomunicaciones de 2012 (AR-12) se celebró del 16 al 20 de enero de 2012 en Ginebra, justo antes de la CMR-12, presidida por el Dr. Alan Jamieson (Nueva Zelandia). </w:t>
      </w:r>
    </w:p>
    <w:p w:rsidR="00591C54" w:rsidRPr="00187C22" w:rsidRDefault="00591C54" w:rsidP="00F91653">
      <w:pPr>
        <w:rPr>
          <w:lang w:val="es-ES"/>
        </w:rPr>
      </w:pPr>
      <w:r w:rsidRPr="00187C22">
        <w:rPr>
          <w:lang w:val="es-ES"/>
        </w:rPr>
        <w:t>Según se acordó en la reunión de 2011 del GAR, el Libro de Resoluciones del UIT-R se preparó y</w:t>
      </w:r>
      <w:r w:rsidR="00A56075" w:rsidRPr="00187C22">
        <w:rPr>
          <w:lang w:val="es-ES"/>
        </w:rPr>
        <w:t xml:space="preserve"> </w:t>
      </w:r>
      <w:r w:rsidRPr="00187C22">
        <w:rPr>
          <w:lang w:val="es-ES"/>
        </w:rPr>
        <w:t xml:space="preserve">distribuyó en solamente formato electrónico, en los seis idiomas, inmediatamente después del último día de la Asamblea, tras la aprobación de 32 Resoluciones UIT-R nuevas y modificadas. Entre las Resoluciones revisadas cabe destacar las relativas a los métodos y procedimientos de </w:t>
      </w:r>
      <w:r w:rsidRPr="00187C22">
        <w:rPr>
          <w:lang w:val="es-ES"/>
        </w:rPr>
        <w:lastRenderedPageBreak/>
        <w:t xml:space="preserve">trabajo, que comprenden una recopilación del texto de las Cuestiones UIT-R, que se han distribuido entre las Resoluciones UIT-R 1 y UIT-R 5 y la supresión de la Resolución UIT-R 45. El texto relativo a la adopción y aprobación de Recomendaciones se ha simplificado con el procedimiento PAAS (procedimiento de adopción y aprobación simultáneas) que se ha designado el procedimiento </w:t>
      </w:r>
      <w:r w:rsidR="00F91653">
        <w:rPr>
          <w:lang w:val="es-ES"/>
        </w:rPr>
        <w:t>«</w:t>
      </w:r>
      <w:r w:rsidRPr="00187C22">
        <w:rPr>
          <w:lang w:val="es-ES"/>
        </w:rPr>
        <w:t>por omisión</w:t>
      </w:r>
      <w:r w:rsidR="00F91653">
        <w:rPr>
          <w:lang w:val="es-ES"/>
        </w:rPr>
        <w:t>»</w:t>
      </w:r>
      <w:r w:rsidRPr="00187C22">
        <w:rPr>
          <w:lang w:val="es-ES"/>
        </w:rPr>
        <w:t>. Se han armonizado todos los periodos de consulta, que ahora tiene</w:t>
      </w:r>
      <w:r w:rsidR="00FF795F">
        <w:rPr>
          <w:lang w:val="es-ES"/>
        </w:rPr>
        <w:t>n</w:t>
      </w:r>
      <w:r w:rsidRPr="00187C22">
        <w:rPr>
          <w:lang w:val="es-ES"/>
        </w:rPr>
        <w:t xml:space="preserve"> una duración de dos meses. El plazo para la presentación de contribuciones fue objeto de prolongados debates y se llegó a la solución de compromiso de instar a que se presenten 12 días naturales antes del principio de la reunión, que la Secretaría las publicará en una página web prevista especialmente para el caso con la indicación de </w:t>
      </w:r>
      <w:r w:rsidR="00F91653">
        <w:rPr>
          <w:lang w:val="es-ES"/>
        </w:rPr>
        <w:t>«</w:t>
      </w:r>
      <w:r w:rsidRPr="00187C22">
        <w:rPr>
          <w:lang w:val="es-ES"/>
        </w:rPr>
        <w:t>recibidas</w:t>
      </w:r>
      <w:r w:rsidR="00F91653">
        <w:rPr>
          <w:lang w:val="es-ES"/>
        </w:rPr>
        <w:t>»</w:t>
      </w:r>
      <w:r w:rsidRPr="00187C22">
        <w:rPr>
          <w:lang w:val="es-ES"/>
        </w:rPr>
        <w:t xml:space="preserve">; el plazo sigue siendo siete días naturales antes del comienzo de la reunión. Este procedimiento se ha puesto en práctica para las series de reuniones que comenzaron en abril de 2012. </w:t>
      </w:r>
    </w:p>
    <w:p w:rsidR="00591C54" w:rsidRPr="00187C22" w:rsidRDefault="00591C54" w:rsidP="00591C54">
      <w:pPr>
        <w:rPr>
          <w:lang w:val="es-ES"/>
        </w:rPr>
      </w:pPr>
      <w:r w:rsidRPr="00187C22">
        <w:rPr>
          <w:lang w:val="es-ES"/>
        </w:rPr>
        <w:t xml:space="preserve">Se ha revisado la Resolución UIT-R 2 para incluir un nuevo Anexo relativo a las directrices para la preparación del proyecto de </w:t>
      </w:r>
      <w:r w:rsidR="00FF795F" w:rsidRPr="00187C22">
        <w:rPr>
          <w:lang w:val="es-ES"/>
        </w:rPr>
        <w:t xml:space="preserve">Informe </w:t>
      </w:r>
      <w:r w:rsidRPr="00187C22">
        <w:rPr>
          <w:lang w:val="es-ES"/>
        </w:rPr>
        <w:t>de la RPC, información que solía facilitarse en los documentos del Presidente dirigidos a los grupos responsables y/o en Circulares Administrativas.</w:t>
      </w:r>
    </w:p>
    <w:p w:rsidR="00591C54" w:rsidRPr="00187C22" w:rsidRDefault="00591C54" w:rsidP="00591C54">
      <w:pPr>
        <w:rPr>
          <w:lang w:val="es-ES"/>
        </w:rPr>
      </w:pPr>
      <w:r w:rsidRPr="00187C22">
        <w:rPr>
          <w:lang w:val="es-ES"/>
        </w:rPr>
        <w:t xml:space="preserve">Se modificó la Resolución UIT-R 15 a tenor de la Resolución 166 (PP-10), para incluir un nuevo </w:t>
      </w:r>
      <w:r w:rsidR="00FF795F" w:rsidRPr="00187C22">
        <w:rPr>
          <w:lang w:val="es-ES"/>
        </w:rPr>
        <w:t xml:space="preserve">Anexo </w:t>
      </w:r>
      <w:r w:rsidRPr="00187C22">
        <w:rPr>
          <w:lang w:val="es-ES"/>
        </w:rPr>
        <w:t>que contiene directrices sobre el número óptimo de Vicepresidentes.</w:t>
      </w:r>
    </w:p>
    <w:p w:rsidR="00591C54" w:rsidRPr="00187C22" w:rsidRDefault="00591C54" w:rsidP="00591C54">
      <w:pPr>
        <w:rPr>
          <w:lang w:val="es-ES"/>
        </w:rPr>
      </w:pPr>
      <w:r w:rsidRPr="00187C22">
        <w:rPr>
          <w:lang w:val="es-ES"/>
        </w:rPr>
        <w:t>Reconociendo la admisión de instituciones académicas, universidades y sus centros de investigación asociados en los trabajos de la UIT con arreglo a la Resolución 169 (PP-10), la AR-12 aprobó la Resolución UIT-R 63 en la que se estipulan las condiciones de su participación en las actividades del UIT-R.</w:t>
      </w:r>
    </w:p>
    <w:p w:rsidR="00591C54" w:rsidRPr="00187C22" w:rsidRDefault="00591C54" w:rsidP="00FF795F">
      <w:pPr>
        <w:rPr>
          <w:lang w:val="es-ES"/>
        </w:rPr>
      </w:pPr>
      <w:r w:rsidRPr="00187C22">
        <w:rPr>
          <w:lang w:val="es-ES"/>
        </w:rPr>
        <w:t>En el campo específico de las tecnologías IMT, se ha aprobado una nueva Recomendación (UIT-R M.2012) y se han revisado las Resoluciones UIT-R 17, 47, 56 y 57. En lo que respecta a la revisión de la Recomendación U</w:t>
      </w:r>
      <w:r w:rsidRPr="00187C22">
        <w:rPr>
          <w:szCs w:val="24"/>
          <w:lang w:val="es-ES"/>
        </w:rPr>
        <w:t>IT-R TF.460-6 para adoptar una referencia horaria continua</w:t>
      </w:r>
      <w:r w:rsidRPr="00187C22">
        <w:rPr>
          <w:lang w:val="es-ES"/>
        </w:rPr>
        <w:t>, la AR-12 solicitó a la CE</w:t>
      </w:r>
      <w:r w:rsidR="00187C22">
        <w:rPr>
          <w:lang w:val="es-ES"/>
        </w:rPr>
        <w:t xml:space="preserve"> </w:t>
      </w:r>
      <w:r w:rsidRPr="00187C22">
        <w:rPr>
          <w:lang w:val="es-ES"/>
        </w:rPr>
        <w:t xml:space="preserve">7 que examinara el asunto con mayor detenimiento a fin de resolver los problemas de los países que utilizan el sistema actual de segundos intercalares en el Tiempo Universal Coordinado (UTC). La CMR-12 incluyó este tema ulteriormente en el orden </w:t>
      </w:r>
      <w:r w:rsidR="00FF795F">
        <w:rPr>
          <w:lang w:val="es-ES"/>
        </w:rPr>
        <w:t>del día provisional para la CMR</w:t>
      </w:r>
      <w:r w:rsidRPr="00187C22">
        <w:rPr>
          <w:lang w:val="es-ES"/>
        </w:rPr>
        <w:t>-15.</w:t>
      </w:r>
    </w:p>
    <w:p w:rsidR="00591C54" w:rsidRPr="00187C22" w:rsidRDefault="00591C54" w:rsidP="00A56075">
      <w:pPr>
        <w:rPr>
          <w:lang w:val="es-ES"/>
        </w:rPr>
      </w:pPr>
      <w:r w:rsidRPr="00187C22">
        <w:rPr>
          <w:lang w:val="es-ES"/>
        </w:rPr>
        <w:t>La AR-12 adoptó la Resolución UIT-R 62 relativa a estudios sobre pruebas de conformidad con las Recomendaciones UIT</w:t>
      </w:r>
      <w:r w:rsidRPr="00187C22">
        <w:rPr>
          <w:lang w:val="es-ES"/>
        </w:rPr>
        <w:noBreakHyphen/>
        <w:t xml:space="preserve">R y de compatibilidad de equipos y sistemas de radiocomunicaciones. En el </w:t>
      </w:r>
      <w:r w:rsidR="00187C22" w:rsidRPr="00187C22">
        <w:rPr>
          <w:lang w:val="es-ES"/>
        </w:rPr>
        <w:t>Addéndum</w:t>
      </w:r>
      <w:r w:rsidRPr="00187C22">
        <w:rPr>
          <w:lang w:val="es-ES"/>
        </w:rPr>
        <w:t xml:space="preserve"> al presente documento se adjunta un </w:t>
      </w:r>
      <w:r w:rsidR="00FF795F" w:rsidRPr="00187C22">
        <w:rPr>
          <w:lang w:val="es-ES"/>
        </w:rPr>
        <w:t xml:space="preserve">Informe </w:t>
      </w:r>
      <w:r w:rsidRPr="00187C22">
        <w:rPr>
          <w:lang w:val="es-ES"/>
        </w:rPr>
        <w:t>sobre la marcha de las actividades realizadas por la UIT sobre este tema.</w:t>
      </w:r>
      <w:r w:rsidR="00A56075" w:rsidRPr="00187C22">
        <w:rPr>
          <w:lang w:val="es-ES"/>
        </w:rPr>
        <w:t xml:space="preserve"> </w:t>
      </w:r>
    </w:p>
    <w:p w:rsidR="00591C54" w:rsidRPr="00187C22" w:rsidRDefault="00591C54" w:rsidP="00591C54">
      <w:pPr>
        <w:rPr>
          <w:lang w:val="es-ES"/>
        </w:rPr>
      </w:pPr>
      <w:r w:rsidRPr="00187C22">
        <w:rPr>
          <w:lang w:val="es-ES"/>
        </w:rPr>
        <w:t xml:space="preserve">Se aprobaron cinco nuevas Resoluciones UIT-R relativas a sistemas de radiocomunicaciones inteligentes, sistemas de periodismo electrónico (ENG), protección ambiental, mitigación del cambio climático, CMSI y conformidad y compatibilidad. En estas </w:t>
      </w:r>
      <w:r w:rsidR="00FF795F" w:rsidRPr="00187C22">
        <w:rPr>
          <w:lang w:val="es-ES"/>
        </w:rPr>
        <w:t xml:space="preserve">Resoluciones </w:t>
      </w:r>
      <w:r w:rsidRPr="00187C22">
        <w:rPr>
          <w:lang w:val="es-ES"/>
        </w:rPr>
        <w:t xml:space="preserve">se invita al UIT-R </w:t>
      </w:r>
      <w:r w:rsidR="00FF795F">
        <w:rPr>
          <w:lang w:val="es-ES"/>
        </w:rPr>
        <w:t xml:space="preserve">a </w:t>
      </w:r>
      <w:r w:rsidRPr="00187C22">
        <w:rPr>
          <w:lang w:val="es-ES"/>
        </w:rPr>
        <w:t>que contribuya y/o dirija los estudios afines o que ayude y colabore con otros sectores en los ámbitos pertinentes.</w:t>
      </w:r>
    </w:p>
    <w:p w:rsidR="00591C54" w:rsidRPr="00187C22" w:rsidRDefault="00591C54" w:rsidP="00B75D33">
      <w:pPr>
        <w:pStyle w:val="Heading3"/>
        <w:rPr>
          <w:lang w:val="es-ES"/>
        </w:rPr>
      </w:pPr>
      <w:r w:rsidRPr="00187C22">
        <w:rPr>
          <w:lang w:val="es-ES"/>
        </w:rPr>
        <w:t>3.1.1</w:t>
      </w:r>
      <w:r w:rsidRPr="00187C22">
        <w:rPr>
          <w:lang w:val="es-ES"/>
        </w:rPr>
        <w:tab/>
        <w:t>Grupos por correspondencia</w:t>
      </w:r>
    </w:p>
    <w:p w:rsidR="00591C54" w:rsidRPr="00187C22" w:rsidRDefault="00B75D33" w:rsidP="00B75D33">
      <w:pPr>
        <w:pStyle w:val="enumlev1"/>
        <w:rPr>
          <w:lang w:val="es-ES"/>
        </w:rPr>
      </w:pPr>
      <w:r w:rsidRPr="00187C22">
        <w:rPr>
          <w:lang w:val="es-ES"/>
        </w:rPr>
        <w:t>•</w:t>
      </w:r>
      <w:r w:rsidRPr="00187C22">
        <w:rPr>
          <w:lang w:val="es-ES"/>
        </w:rPr>
        <w:tab/>
      </w:r>
      <w:r w:rsidR="00591C54" w:rsidRPr="00187C22">
        <w:rPr>
          <w:lang w:val="es-ES"/>
        </w:rPr>
        <w:t xml:space="preserve">Según se indica en el resumen de los debates de la quinta y sexta sesiones plenarias de la AR-12 (Documento </w:t>
      </w:r>
      <w:hyperlink r:id="rId14" w:history="1">
        <w:r w:rsidR="00591C54" w:rsidRPr="00187C22">
          <w:rPr>
            <w:color w:val="0000FF"/>
            <w:u w:val="single"/>
            <w:lang w:val="es-ES"/>
          </w:rPr>
          <w:t>RA-12/PLEN/116</w:t>
        </w:r>
      </w:hyperlink>
      <w:r w:rsidR="00591C54" w:rsidRPr="00187C22">
        <w:rPr>
          <w:lang w:val="es-ES"/>
        </w:rPr>
        <w:t>), la Asamblea decidió crear un Grupo por Correspondencia (CG RecFormat) que se encargará de examinar en primer lugar los formatos de Recomendaciones UIT-R y formular directrices al respecto. El mandato de este Grupo por Correspondencia figura en la última página del Documento RA-12/PLEN/116. Este Grupo informará al GAR sobre sus conclusiones, quien a su vez informará de los resultados definitivos a la AR-15 por conducto del Director.</w:t>
      </w:r>
    </w:p>
    <w:p w:rsidR="00591C54" w:rsidRPr="00187C22" w:rsidRDefault="00091BC8" w:rsidP="00FF795F">
      <w:pPr>
        <w:pStyle w:val="enumlev1"/>
        <w:rPr>
          <w:lang w:val="es-ES"/>
        </w:rPr>
      </w:pPr>
      <w:r w:rsidRPr="00187C22">
        <w:rPr>
          <w:lang w:val="es-ES"/>
        </w:rPr>
        <w:t>•</w:t>
      </w:r>
      <w:r w:rsidRPr="00187C22">
        <w:rPr>
          <w:lang w:val="es-ES"/>
        </w:rPr>
        <w:tab/>
      </w:r>
      <w:r w:rsidR="00591C54" w:rsidRPr="00187C22">
        <w:rPr>
          <w:lang w:val="es-ES"/>
        </w:rPr>
        <w:t xml:space="preserve">Se decidió transmitir al GAR otras dos cuestiones relacionadas con la Resolución UIT-R 1. Una sobre la restructuración de la Resolución UIT-R 1, cuya correspondiente decisión </w:t>
      </w:r>
      <w:r w:rsidR="00591C54" w:rsidRPr="00187C22">
        <w:rPr>
          <w:lang w:val="es-ES"/>
        </w:rPr>
        <w:lastRenderedPageBreak/>
        <w:t>figura en la sección 5.2 del resumen de los debates de la quinta y sexta reuniones de la AR</w:t>
      </w:r>
      <w:r w:rsidR="00591C54" w:rsidRPr="00187C22">
        <w:rPr>
          <w:lang w:val="es-ES"/>
        </w:rPr>
        <w:noBreakHyphen/>
        <w:t xml:space="preserve">12 (Documento RA12/PLEN/116) : </w:t>
      </w:r>
      <w:r w:rsidR="00F91653">
        <w:rPr>
          <w:lang w:val="es-ES"/>
        </w:rPr>
        <w:t>«</w:t>
      </w:r>
      <w:r w:rsidR="00591C54" w:rsidRPr="00187C22">
        <w:rPr>
          <w:lang w:val="es-ES"/>
        </w:rPr>
        <w:t xml:space="preserve">De conformidad con el § 1.7 de la Resolución UIT-R 1-6 y la Resolución UIT-R 52, se invita al GAR a que proponga un proyecto de revisión de la Resolución UIT-R 1-6 para su consideración por la Asamblea de Radiocomunicaciones de 2015, teniendo en cuenta la estructura indicada en el Apéndice 2 del Documento </w:t>
      </w:r>
      <w:hyperlink r:id="rId15" w:history="1">
        <w:r w:rsidR="00591C54" w:rsidRPr="00187C22">
          <w:rPr>
            <w:color w:val="0000FF"/>
            <w:u w:val="single"/>
            <w:lang w:val="es-ES"/>
          </w:rPr>
          <w:t>RA12/PLEN/16</w:t>
        </w:r>
      </w:hyperlink>
      <w:r w:rsidR="00F91653">
        <w:rPr>
          <w:lang w:val="es-ES"/>
        </w:rPr>
        <w:t>»</w:t>
      </w:r>
      <w:r w:rsidR="00FF795F">
        <w:rPr>
          <w:lang w:val="es-ES"/>
        </w:rPr>
        <w:t>.</w:t>
      </w:r>
      <w:r w:rsidR="00591C54" w:rsidRPr="00187C22">
        <w:rPr>
          <w:lang w:val="es-ES"/>
        </w:rPr>
        <w:t xml:space="preserve"> Por consiguiente, el GAR debe crear un Grupo por Correspondencia (CG-Res1Structure) para que desempeñe la labor mencionada.</w:t>
      </w:r>
      <w:r w:rsidR="00591C54" w:rsidRPr="00187C22">
        <w:rPr>
          <w:lang w:val="es-ES"/>
        </w:rPr>
        <w:br/>
        <w:t xml:space="preserve">En el Documento </w:t>
      </w:r>
      <w:hyperlink r:id="rId16" w:history="1">
        <w:r w:rsidR="00591C54" w:rsidRPr="00187C22">
          <w:rPr>
            <w:color w:val="0000FF"/>
            <w:u w:val="single"/>
            <w:lang w:val="es-ES"/>
          </w:rPr>
          <w:t>RA12/PLEN/10</w:t>
        </w:r>
      </w:hyperlink>
      <w:r w:rsidR="00591C54" w:rsidRPr="00187C22">
        <w:rPr>
          <w:lang w:val="es-ES"/>
        </w:rPr>
        <w:t xml:space="preserve"> se propone incluir una nota relativa a la utilización de los verbos modales </w:t>
      </w:r>
      <w:r w:rsidR="00F91653">
        <w:rPr>
          <w:lang w:val="es-ES"/>
        </w:rPr>
        <w:t>«</w:t>
      </w:r>
      <w:r w:rsidR="00591C54" w:rsidRPr="00187C22">
        <w:rPr>
          <w:lang w:val="es-ES"/>
        </w:rPr>
        <w:t>shall</w:t>
      </w:r>
      <w:r w:rsidR="00F91653">
        <w:rPr>
          <w:lang w:val="es-ES"/>
        </w:rPr>
        <w:t>»</w:t>
      </w:r>
      <w:r w:rsidR="00591C54" w:rsidRPr="00187C22">
        <w:rPr>
          <w:lang w:val="es-ES"/>
        </w:rPr>
        <w:t xml:space="preserve"> y </w:t>
      </w:r>
      <w:r w:rsidR="00F91653">
        <w:rPr>
          <w:lang w:val="es-ES"/>
        </w:rPr>
        <w:t>«</w:t>
      </w:r>
      <w:r w:rsidR="00591C54" w:rsidRPr="00187C22">
        <w:rPr>
          <w:lang w:val="es-ES"/>
        </w:rPr>
        <w:t>must</w:t>
      </w:r>
      <w:r w:rsidR="00F91653">
        <w:rPr>
          <w:lang w:val="es-ES"/>
        </w:rPr>
        <w:t>»</w:t>
      </w:r>
      <w:r w:rsidR="00591C54" w:rsidRPr="00187C22">
        <w:rPr>
          <w:lang w:val="es-ES"/>
        </w:rPr>
        <w:t>, que la Comisión 5 (A</w:t>
      </w:r>
      <w:r w:rsidR="00FF795F">
        <w:rPr>
          <w:lang w:val="es-ES"/>
        </w:rPr>
        <w:t>R</w:t>
      </w:r>
      <w:r w:rsidR="00591C54" w:rsidRPr="00187C22">
        <w:rPr>
          <w:lang w:val="es-ES"/>
        </w:rPr>
        <w:t>-12) decidió someter a la consideración del GAR.</w:t>
      </w:r>
      <w:r w:rsidR="00591C54" w:rsidRPr="00187C22">
        <w:rPr>
          <w:lang w:val="es-ES"/>
        </w:rPr>
        <w:br/>
        <w:t xml:space="preserve">En el Documento </w:t>
      </w:r>
      <w:hyperlink r:id="rId17" w:history="1">
        <w:r w:rsidR="00591C54" w:rsidRPr="00187C22">
          <w:rPr>
            <w:color w:val="0000FF"/>
            <w:u w:val="single"/>
            <w:lang w:val="es-ES"/>
          </w:rPr>
          <w:t>RA12/PLEN/31</w:t>
        </w:r>
      </w:hyperlink>
      <w:r w:rsidR="00591C54" w:rsidRPr="00187C22">
        <w:rPr>
          <w:lang w:val="es-ES"/>
        </w:rPr>
        <w:t xml:space="preserve"> se propone añadir a la Resolución UIT-R 1 un diagrama de flujo que describa el proceso de adopción y aprobación de Recomendaciones UIT-R. La Comisión 5 de la Asamblea decidió que esta cuestión también debe transmitirse al GC del GAR pertinente para que examine su inclusión en las directrices.</w:t>
      </w:r>
      <w:r w:rsidR="00187C22">
        <w:rPr>
          <w:lang w:val="es-ES"/>
        </w:rPr>
        <w:t xml:space="preserve"> </w:t>
      </w:r>
      <w:r w:rsidR="00187C22">
        <w:rPr>
          <w:lang w:val="es-ES"/>
        </w:rPr>
        <w:br/>
      </w:r>
      <w:r w:rsidR="00591C54" w:rsidRPr="00187C22">
        <w:rPr>
          <w:lang w:val="es-ES"/>
        </w:rPr>
        <w:t>Por consiguiente, se propone que el CG-Res1Structure examine estas cuestiones y recomiende la forma de proceder.</w:t>
      </w:r>
    </w:p>
    <w:p w:rsidR="00591C54" w:rsidRPr="00187C22" w:rsidRDefault="00091BC8" w:rsidP="00A56075">
      <w:pPr>
        <w:pStyle w:val="enumlev1"/>
        <w:rPr>
          <w:lang w:val="es-ES"/>
        </w:rPr>
      </w:pPr>
      <w:r w:rsidRPr="00187C22">
        <w:rPr>
          <w:lang w:val="es-ES"/>
        </w:rPr>
        <w:t>•</w:t>
      </w:r>
      <w:r w:rsidRPr="00187C22">
        <w:rPr>
          <w:lang w:val="es-ES"/>
        </w:rPr>
        <w:tab/>
      </w:r>
      <w:r w:rsidR="00591C54" w:rsidRPr="00187C22">
        <w:rPr>
          <w:lang w:val="es-ES"/>
        </w:rPr>
        <w:t>En la sección 5.2 del resumen de los debates de la quinta</w:t>
      </w:r>
      <w:r w:rsidR="00FF795F">
        <w:rPr>
          <w:lang w:val="es-ES"/>
        </w:rPr>
        <w:t xml:space="preserve"> y sexta reuniones de la AR-</w:t>
      </w:r>
      <w:r w:rsidR="00591C54" w:rsidRPr="00187C22">
        <w:rPr>
          <w:lang w:val="es-ES"/>
        </w:rPr>
        <w:t>12</w:t>
      </w:r>
      <w:r w:rsidR="00A56075" w:rsidRPr="00187C22">
        <w:rPr>
          <w:lang w:val="es-ES"/>
        </w:rPr>
        <w:t xml:space="preserve"> </w:t>
      </w:r>
      <w:r w:rsidR="00591C54" w:rsidRPr="00187C22">
        <w:rPr>
          <w:lang w:val="es-ES"/>
        </w:rPr>
        <w:t>(Documento RA12/PLEN/116) se refiere a la aprobación del</w:t>
      </w:r>
      <w:r w:rsidR="00FF795F">
        <w:rPr>
          <w:lang w:val="es-ES"/>
        </w:rPr>
        <w:t xml:space="preserve"> Documento</w:t>
      </w:r>
      <w:r w:rsidR="00591C54" w:rsidRPr="00187C22">
        <w:rPr>
          <w:lang w:val="es-ES"/>
        </w:rPr>
        <w:t xml:space="preserve"> </w:t>
      </w:r>
      <w:hyperlink r:id="rId18" w:history="1">
        <w:r w:rsidR="00591C54" w:rsidRPr="00187C22">
          <w:rPr>
            <w:color w:val="0000FF"/>
            <w:u w:val="single"/>
            <w:lang w:val="es-ES"/>
          </w:rPr>
          <w:t>RA12/PLEN/96(Rev.1)</w:t>
        </w:r>
      </w:hyperlink>
      <w:r w:rsidR="00591C54" w:rsidRPr="00187C22">
        <w:rPr>
          <w:lang w:val="es-ES"/>
        </w:rPr>
        <w:t>, en la que la AR-12 aceptó el siguiente texto:</w:t>
      </w:r>
      <w:r w:rsidR="00591C54" w:rsidRPr="00187C22">
        <w:rPr>
          <w:lang w:val="es-ES"/>
        </w:rPr>
        <w:br/>
      </w:r>
      <w:r w:rsidR="00F91653">
        <w:rPr>
          <w:lang w:val="es-ES" w:eastAsia="zh-CN"/>
        </w:rPr>
        <w:t>«</w:t>
      </w:r>
      <w:r w:rsidR="00591C54" w:rsidRPr="00187C22">
        <w:rPr>
          <w:lang w:val="es-ES"/>
        </w:rPr>
        <w:t>Habida cuenta del § 1.7 de la Resolución UIT-R 1 y la Resolución UIT-R 52, invitar al GAR a proponer un proyecto de revisión de la Resolución UIT-R 6 en su reunión de 2013 teniendo en cuenta las medidas adoptadas por el GANT y la AMNT para modificar la Resolución UIT-T 18.</w:t>
      </w:r>
      <w:r w:rsidR="00F91653">
        <w:rPr>
          <w:lang w:val="es-ES"/>
        </w:rPr>
        <w:t>»</w:t>
      </w:r>
      <w:r w:rsidR="00591C54" w:rsidRPr="00187C22">
        <w:rPr>
          <w:lang w:val="es-ES"/>
        </w:rPr>
        <w:br/>
        <w:t xml:space="preserve">Se refiere a la revisión de la Resolución UIT-R 6-1 (presentada en el Documento </w:t>
      </w:r>
      <w:hyperlink r:id="rId19" w:history="1">
        <w:r w:rsidR="00591C54" w:rsidRPr="00187C22">
          <w:rPr>
            <w:color w:val="0000FF"/>
            <w:u w:val="single"/>
            <w:lang w:val="es-ES"/>
          </w:rPr>
          <w:t>RA12/PLEN/12</w:t>
        </w:r>
      </w:hyperlink>
      <w:r w:rsidR="00591C54" w:rsidRPr="00187C22">
        <w:rPr>
          <w:lang w:val="es-ES"/>
        </w:rPr>
        <w:t>) para prever la creación de Grupos de Relator Intersectoriales en el UIT-R y el UIT-T. Se decidió someter este asunto a la consideración del GAR, de conformidad con el texto anterior. Por consiguiente, se invita al GAR a crear un Grupo por Correspondencia (CG-Res6Revision) para llevar a cabo esta tarea.</w:t>
      </w:r>
    </w:p>
    <w:p w:rsidR="00591C54" w:rsidRPr="00187C22" w:rsidRDefault="00591C54" w:rsidP="00091BC8">
      <w:pPr>
        <w:pStyle w:val="Heading2"/>
        <w:rPr>
          <w:lang w:val="es-ES"/>
        </w:rPr>
      </w:pPr>
      <w:r w:rsidRPr="00187C22">
        <w:rPr>
          <w:lang w:val="es-ES"/>
        </w:rPr>
        <w:t>3.2</w:t>
      </w:r>
      <w:r w:rsidRPr="00187C22">
        <w:rPr>
          <w:lang w:val="es-ES"/>
        </w:rPr>
        <w:tab/>
        <w:t>Resultados de la CMR-12</w:t>
      </w:r>
    </w:p>
    <w:p w:rsidR="00591C54" w:rsidRPr="00187C22" w:rsidRDefault="00591C54" w:rsidP="00591C54">
      <w:pPr>
        <w:rPr>
          <w:lang w:val="es-ES" w:eastAsia="zh-CN"/>
        </w:rPr>
      </w:pPr>
      <w:r w:rsidRPr="00187C22">
        <w:rPr>
          <w:lang w:val="es-ES" w:eastAsia="zh-CN"/>
        </w:rPr>
        <w:t xml:space="preserve">La Conferencia examinó satisfactoriamente los 33 </w:t>
      </w:r>
      <w:r w:rsidR="0071103C" w:rsidRPr="00187C22">
        <w:rPr>
          <w:lang w:val="es-ES" w:eastAsia="zh-CN"/>
        </w:rPr>
        <w:t xml:space="preserve">puntos </w:t>
      </w:r>
      <w:r w:rsidRPr="00187C22">
        <w:rPr>
          <w:lang w:val="es-ES" w:eastAsia="zh-CN"/>
        </w:rPr>
        <w:t>de su orden del día y aprobó oportunamente sus conclusiones, consignadas en las Actas Finales de la CMR-12, cuya versión provisional se distribuyó en los seis idiomas antes de la plenaria de clausura.</w:t>
      </w:r>
    </w:p>
    <w:p w:rsidR="00591C54" w:rsidRPr="00187C22" w:rsidRDefault="00591C54" w:rsidP="00FF795F">
      <w:pPr>
        <w:rPr>
          <w:lang w:val="es-ES" w:eastAsia="zh-CN"/>
        </w:rPr>
      </w:pPr>
      <w:r w:rsidRPr="00187C22">
        <w:rPr>
          <w:lang w:val="es-ES" w:eastAsia="zh-CN"/>
        </w:rPr>
        <w:t xml:space="preserve">Esta Conferencia de la UIT también ha sido memorable en cuanto a la gestión y la logística. Se llevó a cabo prácticamente sin papel y se gestionaron más de 26 000 documentos electrónicos; además de casi 19 000 ficheros de propuestas individuales que se publicaron para casi 3 000 propuestas individuales de los Estados Miembros; en total se realizaron casi dos millones de descargas directas desde el sitio web de la CMR-12 de la UIT. Para ayudar a los delegados a trabajar por medios electrónicos, la Secretaría desarrolló varias herramientas informáticas para la descarga de documentos (por ejemplo, </w:t>
      </w:r>
      <w:hyperlink r:id="rId20" w:history="1">
        <w:r w:rsidRPr="00187C22">
          <w:rPr>
            <w:lang w:val="es-ES"/>
          </w:rPr>
          <w:t xml:space="preserve">la </w:t>
        </w:r>
        <w:r w:rsidRPr="00187C22">
          <w:rPr>
            <w:color w:val="0000FF"/>
            <w:u w:val="single"/>
            <w:lang w:val="es-ES"/>
          </w:rPr>
          <w:t>aplicación de sincronización de la CMR-12</w:t>
        </w:r>
      </w:hyperlink>
      <w:r w:rsidRPr="00187C22">
        <w:rPr>
          <w:lang w:val="es-ES"/>
        </w:rPr>
        <w:t xml:space="preserve">), el acceso y seguimiento de propuestas (por ejemplo, el </w:t>
      </w:r>
      <w:hyperlink r:id="rId21" w:tgtFrame="_blank" w:history="1">
        <w:r w:rsidRPr="00187C22">
          <w:rPr>
            <w:color w:val="0000FF"/>
            <w:u w:val="single"/>
            <w:lang w:val="es-ES"/>
          </w:rPr>
          <w:t xml:space="preserve">Sistema de Gestión de Propuestas de la CMR-12 </w:t>
        </w:r>
      </w:hyperlink>
      <w:r w:rsidRPr="00187C22">
        <w:rPr>
          <w:lang w:val="es-ES"/>
        </w:rPr>
        <w:t xml:space="preserve">), y el intercambio de documentos entre los participantes </w:t>
      </w:r>
      <w:r w:rsidRPr="00187C22">
        <w:rPr>
          <w:lang w:val="es-ES" w:eastAsia="zh-CN"/>
        </w:rPr>
        <w:t xml:space="preserve">(por ejemplo, el </w:t>
      </w:r>
      <w:hyperlink r:id="rId22" w:tgtFrame="_blank" w:history="1">
        <w:r w:rsidRPr="00187C22">
          <w:rPr>
            <w:color w:val="0000FF"/>
            <w:u w:val="single"/>
            <w:lang w:val="es-ES"/>
          </w:rPr>
          <w:t>sitio de intercambio de la CMR</w:t>
        </w:r>
        <w:r w:rsidR="00FF795F">
          <w:rPr>
            <w:color w:val="0000FF"/>
            <w:u w:val="single"/>
            <w:lang w:val="es-ES"/>
          </w:rPr>
          <w:noBreakHyphen/>
        </w:r>
        <w:r w:rsidRPr="00187C22">
          <w:rPr>
            <w:color w:val="0000FF"/>
            <w:u w:val="single"/>
            <w:lang w:val="es-ES"/>
          </w:rPr>
          <w:t xml:space="preserve">12 </w:t>
        </w:r>
      </w:hyperlink>
      <w:r w:rsidRPr="00187C22">
        <w:rPr>
          <w:lang w:val="es-ES" w:eastAsia="zh-CN"/>
        </w:rPr>
        <w:t xml:space="preserve">). </w:t>
      </w:r>
    </w:p>
    <w:p w:rsidR="00591C54" w:rsidRPr="00187C22" w:rsidRDefault="00591C54" w:rsidP="00091BC8">
      <w:pPr>
        <w:rPr>
          <w:lang w:val="es-ES" w:eastAsia="zh-CN"/>
        </w:rPr>
      </w:pPr>
      <w:r w:rsidRPr="00187C22">
        <w:rPr>
          <w:lang w:val="es-ES" w:eastAsia="zh-CN"/>
        </w:rPr>
        <w:t xml:space="preserve">Los participantes en la </w:t>
      </w:r>
      <w:r w:rsidR="00FF795F" w:rsidRPr="00187C22">
        <w:rPr>
          <w:lang w:val="es-ES" w:eastAsia="zh-CN"/>
        </w:rPr>
        <w:t xml:space="preserve">Conferencia </w:t>
      </w:r>
      <w:r w:rsidRPr="00187C22">
        <w:rPr>
          <w:lang w:val="es-ES" w:eastAsia="zh-CN"/>
        </w:rPr>
        <w:t xml:space="preserve">conectaron casi 8 000 dispositivos (portátiles, tabletas, teléfonos) a las redes alámbricas e inalámbricas de la UIT, llegando a más de 5 700 conexiones </w:t>
      </w:r>
      <w:r w:rsidR="00FF795F">
        <w:rPr>
          <w:lang w:val="es-ES" w:eastAsia="zh-CN"/>
        </w:rPr>
        <w:t>l</w:t>
      </w:r>
      <w:r w:rsidRPr="00187C22">
        <w:rPr>
          <w:lang w:val="es-ES" w:eastAsia="zh-CN"/>
        </w:rPr>
        <w:t>os días más concurridos.</w:t>
      </w:r>
    </w:p>
    <w:p w:rsidR="00591C54" w:rsidRPr="00187C22" w:rsidRDefault="00591C54" w:rsidP="00591C54">
      <w:pPr>
        <w:rPr>
          <w:lang w:val="es-ES" w:eastAsia="zh-CN"/>
        </w:rPr>
      </w:pPr>
      <w:r w:rsidRPr="00187C22">
        <w:rPr>
          <w:lang w:val="es-ES" w:eastAsia="zh-CN"/>
        </w:rPr>
        <w:t>Se difundieron por la web más de 170 reuniones, que llegaron casi a 20 000 acceso</w:t>
      </w:r>
      <w:r w:rsidR="00FF795F">
        <w:rPr>
          <w:lang w:val="es-ES" w:eastAsia="zh-CN"/>
        </w:rPr>
        <w:t>s</w:t>
      </w:r>
      <w:r w:rsidRPr="00187C22">
        <w:rPr>
          <w:lang w:val="es-ES" w:eastAsia="zh-CN"/>
        </w:rPr>
        <w:t xml:space="preserve"> a los canales en directo y más de 90 000 accesos a los archivos almacenados. Durante la Conferencia tuvieron lugar </w:t>
      </w:r>
      <w:r w:rsidRPr="00187C22">
        <w:rPr>
          <w:lang w:val="es-ES" w:eastAsia="zh-CN"/>
        </w:rPr>
        <w:lastRenderedPageBreak/>
        <w:t>más de 1</w:t>
      </w:r>
      <w:r w:rsidR="00FF795F">
        <w:rPr>
          <w:lang w:val="es-ES" w:eastAsia="zh-CN"/>
        </w:rPr>
        <w:t> </w:t>
      </w:r>
      <w:r w:rsidRPr="00187C22">
        <w:rPr>
          <w:lang w:val="es-ES" w:eastAsia="zh-CN"/>
        </w:rPr>
        <w:t>000 reuniones, de las cuales más de 150 contaron c</w:t>
      </w:r>
      <w:r w:rsidR="00FF795F">
        <w:rPr>
          <w:lang w:val="es-ES" w:eastAsia="zh-CN"/>
        </w:rPr>
        <w:t>on servicio de interpretación –</w:t>
      </w:r>
      <w:r w:rsidRPr="00187C22">
        <w:rPr>
          <w:lang w:val="es-ES" w:eastAsia="zh-CN"/>
        </w:rPr>
        <w:t>se efectuaron en total alrededor de 3 500 horas de interpretación en los seis idiomas oficiales de la Unión. El servicio de traducción produjo más de 10 000 páginas de documentación durante la Conferencia.</w:t>
      </w:r>
    </w:p>
    <w:p w:rsidR="00591C54" w:rsidRPr="00187C22" w:rsidRDefault="00591C54" w:rsidP="00091BC8">
      <w:pPr>
        <w:pStyle w:val="Heading3"/>
        <w:rPr>
          <w:lang w:val="es-ES"/>
        </w:rPr>
      </w:pPr>
      <w:r w:rsidRPr="00187C22">
        <w:rPr>
          <w:lang w:val="es-ES"/>
        </w:rPr>
        <w:t>3.2.1</w:t>
      </w:r>
      <w:r w:rsidRPr="00187C22">
        <w:rPr>
          <w:lang w:val="es-ES"/>
        </w:rPr>
        <w:tab/>
        <w:t xml:space="preserve">Repercusiones financieras de las decisiones de la Conferencia </w:t>
      </w:r>
    </w:p>
    <w:p w:rsidR="00591C54" w:rsidRPr="00187C22" w:rsidRDefault="00591C54" w:rsidP="00591C54">
      <w:pPr>
        <w:rPr>
          <w:lang w:val="es-ES"/>
        </w:rPr>
      </w:pPr>
      <w:r w:rsidRPr="00187C22">
        <w:rPr>
          <w:lang w:val="es-ES"/>
        </w:rPr>
        <w:t>Varias Resoluciones adoptadas por la Conferencia tienen repercusiones financieras para la Unión, en cuanto a gastos adicionales. Se trata de las siguientes Resoluciones:</w:t>
      </w:r>
    </w:p>
    <w:p w:rsidR="00591C54" w:rsidRPr="00187C22" w:rsidRDefault="00091BC8" w:rsidP="00091BC8">
      <w:pPr>
        <w:pStyle w:val="enumlev1"/>
        <w:rPr>
          <w:lang w:val="es-ES"/>
        </w:rPr>
      </w:pPr>
      <w:r w:rsidRPr="00187C22">
        <w:rPr>
          <w:lang w:val="es-ES"/>
        </w:rPr>
        <w:t>•</w:t>
      </w:r>
      <w:r w:rsidRPr="00187C22">
        <w:rPr>
          <w:lang w:val="es-ES"/>
        </w:rPr>
        <w:tab/>
      </w:r>
      <w:r w:rsidR="00591C54" w:rsidRPr="00187C22">
        <w:rPr>
          <w:lang w:val="es-ES"/>
        </w:rPr>
        <w:t>Resolución 907 (CMR-12): Utilización de modernos medios electrónicos de comunicación para la correspondencia administrativa relativa a la publicación anticipada, la coordinación y la notificación de redes de satélites, especialmente las relacionadas con los Apéndices 30, 30A y 30B, estaciones terrenas y estaciones de radioastronomía;</w:t>
      </w:r>
    </w:p>
    <w:p w:rsidR="00591C54" w:rsidRPr="00187C22" w:rsidRDefault="00091BC8" w:rsidP="00091BC8">
      <w:pPr>
        <w:pStyle w:val="enumlev1"/>
        <w:rPr>
          <w:rFonts w:ascii="Times New Roman Bold" w:hAnsi="Times New Roman Bold"/>
          <w:lang w:val="es-ES"/>
        </w:rPr>
      </w:pPr>
      <w:r w:rsidRPr="00187C22">
        <w:rPr>
          <w:lang w:val="es-ES"/>
        </w:rPr>
        <w:t>•</w:t>
      </w:r>
      <w:r w:rsidRPr="00187C22">
        <w:rPr>
          <w:lang w:val="es-ES"/>
        </w:rPr>
        <w:tab/>
      </w:r>
      <w:r w:rsidR="00591C54" w:rsidRPr="00187C22">
        <w:rPr>
          <w:lang w:val="es-ES"/>
        </w:rPr>
        <w:t>Resolución 908 (CMR-12): Presentación y publicación de la información de publicación anticipada en formato electrónico (API);</w:t>
      </w:r>
    </w:p>
    <w:p w:rsidR="00591C54" w:rsidRPr="00187C22" w:rsidRDefault="00091BC8" w:rsidP="00091BC8">
      <w:pPr>
        <w:pStyle w:val="enumlev1"/>
        <w:rPr>
          <w:rFonts w:ascii="Times New Roman Bold" w:hAnsi="Times New Roman Bold"/>
          <w:lang w:val="es-ES"/>
        </w:rPr>
      </w:pPr>
      <w:r w:rsidRPr="00187C22">
        <w:rPr>
          <w:lang w:val="es-ES"/>
        </w:rPr>
        <w:t>•</w:t>
      </w:r>
      <w:r w:rsidRPr="00187C22">
        <w:rPr>
          <w:lang w:val="es-ES"/>
        </w:rPr>
        <w:tab/>
      </w:r>
      <w:r w:rsidR="00591C54" w:rsidRPr="00187C22">
        <w:rPr>
          <w:lang w:val="es-ES"/>
        </w:rPr>
        <w:t>Resolución</w:t>
      </w:r>
      <w:r w:rsidR="00591C54" w:rsidRPr="00187C22">
        <w:rPr>
          <w:rFonts w:ascii="Times" w:hAnsi="Times"/>
          <w:lang w:val="es-ES"/>
        </w:rPr>
        <w:t xml:space="preserve"> 233 </w:t>
      </w:r>
      <w:r w:rsidR="00591C54" w:rsidRPr="00187C22">
        <w:rPr>
          <w:lang w:val="es-ES"/>
        </w:rPr>
        <w:t>(CMR-12): Estudios sobre asuntos relacionados con las frecuencias de las telecomunicaciones móviles internacionales y otras aplicaciones terrenales del servicio móvil de banda ancha</w:t>
      </w:r>
      <w:r w:rsidR="00591C54" w:rsidRPr="00187C22">
        <w:rPr>
          <w:rFonts w:ascii="Times" w:hAnsi="Times"/>
          <w:lang w:val="es-ES"/>
        </w:rPr>
        <w:t>.</w:t>
      </w:r>
    </w:p>
    <w:p w:rsidR="00591C54" w:rsidRPr="00187C22" w:rsidRDefault="00591C54" w:rsidP="00591C54">
      <w:pPr>
        <w:rPr>
          <w:lang w:val="es-ES"/>
        </w:rPr>
      </w:pPr>
      <w:r w:rsidRPr="00187C22">
        <w:rPr>
          <w:lang w:val="es-ES"/>
        </w:rPr>
        <w:t>En el Cuadro 1 se resumen estas decisiones y sus correspondientes repercusiones financieras:</w:t>
      </w:r>
    </w:p>
    <w:p w:rsidR="00591C54" w:rsidRPr="00187C22" w:rsidRDefault="00591C54" w:rsidP="00091BC8">
      <w:pPr>
        <w:pStyle w:val="TableNo"/>
        <w:rPr>
          <w:rFonts w:eastAsia="SimSun"/>
          <w:lang w:val="es-ES" w:eastAsia="zh-CN"/>
        </w:rPr>
      </w:pPr>
      <w:r w:rsidRPr="00187C22">
        <w:rPr>
          <w:rFonts w:eastAsia="SimSun"/>
          <w:lang w:val="es-ES" w:eastAsia="zh-CN"/>
        </w:rPr>
        <w:t>CUADRO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94"/>
        <w:gridCol w:w="1584"/>
        <w:gridCol w:w="1584"/>
        <w:gridCol w:w="1584"/>
        <w:gridCol w:w="1585"/>
      </w:tblGrid>
      <w:tr w:rsidR="00591C54" w:rsidRPr="00187C22" w:rsidTr="00FF795F">
        <w:trPr>
          <w:jc w:val="center"/>
        </w:trPr>
        <w:tc>
          <w:tcPr>
            <w:tcW w:w="2294" w:type="dxa"/>
            <w:shd w:val="clear" w:color="auto" w:fill="auto"/>
          </w:tcPr>
          <w:p w:rsidR="00591C54" w:rsidRPr="00187C22" w:rsidRDefault="00591C54" w:rsidP="00091BC8">
            <w:pPr>
              <w:pStyle w:val="Tablehead"/>
              <w:rPr>
                <w:lang w:val="es-ES"/>
              </w:rPr>
            </w:pPr>
            <w:r w:rsidRPr="00187C22">
              <w:rPr>
                <w:lang w:val="es-ES"/>
              </w:rPr>
              <w:t>Decisión/Resolución</w:t>
            </w:r>
          </w:p>
        </w:tc>
        <w:tc>
          <w:tcPr>
            <w:tcW w:w="1584" w:type="dxa"/>
            <w:shd w:val="clear" w:color="auto" w:fill="auto"/>
          </w:tcPr>
          <w:p w:rsidR="00591C54" w:rsidRPr="00187C22" w:rsidRDefault="00591C54" w:rsidP="00091BC8">
            <w:pPr>
              <w:pStyle w:val="Tablehead"/>
              <w:rPr>
                <w:lang w:val="es-ES"/>
              </w:rPr>
            </w:pPr>
            <w:r w:rsidRPr="00187C22">
              <w:rPr>
                <w:lang w:val="es-ES"/>
              </w:rPr>
              <w:t>2012</w:t>
            </w:r>
          </w:p>
        </w:tc>
        <w:tc>
          <w:tcPr>
            <w:tcW w:w="1584" w:type="dxa"/>
            <w:shd w:val="clear" w:color="auto" w:fill="auto"/>
          </w:tcPr>
          <w:p w:rsidR="00591C54" w:rsidRPr="00187C22" w:rsidRDefault="00591C54" w:rsidP="00091BC8">
            <w:pPr>
              <w:pStyle w:val="Tablehead"/>
              <w:rPr>
                <w:lang w:val="es-ES"/>
              </w:rPr>
            </w:pPr>
            <w:r w:rsidRPr="00187C22">
              <w:rPr>
                <w:lang w:val="es-ES"/>
              </w:rPr>
              <w:t>2013</w:t>
            </w:r>
          </w:p>
        </w:tc>
        <w:tc>
          <w:tcPr>
            <w:tcW w:w="1584" w:type="dxa"/>
            <w:shd w:val="clear" w:color="auto" w:fill="auto"/>
          </w:tcPr>
          <w:p w:rsidR="00591C54" w:rsidRPr="00187C22" w:rsidRDefault="00591C54" w:rsidP="00091BC8">
            <w:pPr>
              <w:pStyle w:val="Tablehead"/>
              <w:rPr>
                <w:lang w:val="es-ES"/>
              </w:rPr>
            </w:pPr>
            <w:r w:rsidRPr="00187C22">
              <w:rPr>
                <w:lang w:val="es-ES"/>
              </w:rPr>
              <w:t>2014</w:t>
            </w:r>
          </w:p>
        </w:tc>
        <w:tc>
          <w:tcPr>
            <w:tcW w:w="1585" w:type="dxa"/>
            <w:shd w:val="clear" w:color="auto" w:fill="auto"/>
          </w:tcPr>
          <w:p w:rsidR="00591C54" w:rsidRPr="00187C22" w:rsidRDefault="00591C54" w:rsidP="00091BC8">
            <w:pPr>
              <w:pStyle w:val="Tablehead"/>
              <w:rPr>
                <w:lang w:val="es-ES"/>
              </w:rPr>
            </w:pPr>
            <w:r w:rsidRPr="00187C22">
              <w:rPr>
                <w:lang w:val="es-ES"/>
              </w:rPr>
              <w:t>Total</w:t>
            </w:r>
          </w:p>
        </w:tc>
      </w:tr>
      <w:tr w:rsidR="00591C54" w:rsidRPr="00187C22" w:rsidTr="00FF795F">
        <w:trPr>
          <w:jc w:val="center"/>
        </w:trPr>
        <w:tc>
          <w:tcPr>
            <w:tcW w:w="2294" w:type="dxa"/>
            <w:shd w:val="clear" w:color="auto" w:fill="auto"/>
          </w:tcPr>
          <w:p w:rsidR="00591C54" w:rsidRPr="00187C22" w:rsidRDefault="00591C54" w:rsidP="00091B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s-ES"/>
              </w:rPr>
            </w:pPr>
            <w:r w:rsidRPr="00187C22">
              <w:rPr>
                <w:lang w:val="es-ES"/>
              </w:rPr>
              <w:t>Resolución 907</w:t>
            </w:r>
          </w:p>
          <w:p w:rsidR="00591C54" w:rsidRPr="00187C22" w:rsidRDefault="00591C54" w:rsidP="00091B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s-ES"/>
              </w:rPr>
            </w:pPr>
            <w:r w:rsidRPr="00187C22">
              <w:rPr>
                <w:lang w:val="es-ES"/>
              </w:rPr>
              <w:t>Resolución 908</w:t>
            </w:r>
          </w:p>
        </w:tc>
        <w:tc>
          <w:tcPr>
            <w:tcW w:w="1584" w:type="dxa"/>
            <w:shd w:val="clear" w:color="auto" w:fill="auto"/>
          </w:tcPr>
          <w:p w:rsidR="00591C54" w:rsidRPr="00187C22" w:rsidRDefault="00591C54" w:rsidP="00091B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s-ES"/>
              </w:rPr>
            </w:pPr>
          </w:p>
          <w:p w:rsidR="00591C54" w:rsidRPr="00187C22" w:rsidRDefault="00091BC8"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lang w:val="es-ES"/>
              </w:rPr>
            </w:pPr>
            <w:r w:rsidRPr="00187C22">
              <w:rPr>
                <w:lang w:val="es-ES"/>
              </w:rPr>
              <w:t>CHF</w:t>
            </w:r>
            <w:r w:rsidRPr="00187C22">
              <w:rPr>
                <w:lang w:val="es-ES"/>
              </w:rPr>
              <w:tab/>
            </w:r>
            <w:r w:rsidR="00591C54" w:rsidRPr="00187C22">
              <w:rPr>
                <w:lang w:val="es-ES"/>
              </w:rPr>
              <w:t>95 000</w:t>
            </w:r>
          </w:p>
        </w:tc>
        <w:tc>
          <w:tcPr>
            <w:tcW w:w="1584" w:type="dxa"/>
            <w:shd w:val="clear" w:color="auto" w:fill="auto"/>
          </w:tcPr>
          <w:p w:rsidR="00591C54" w:rsidRPr="00187C22" w:rsidRDefault="00091BC8"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lang w:val="es-ES"/>
              </w:rPr>
            </w:pPr>
            <w:r w:rsidRPr="00187C22">
              <w:rPr>
                <w:lang w:val="es-ES"/>
              </w:rPr>
              <w:t>CHF</w:t>
            </w:r>
            <w:r w:rsidRPr="00187C22">
              <w:rPr>
                <w:lang w:val="es-ES"/>
              </w:rPr>
              <w:tab/>
            </w:r>
            <w:r w:rsidR="00591C54" w:rsidRPr="00187C22">
              <w:rPr>
                <w:lang w:val="es-ES"/>
              </w:rPr>
              <w:t>310 000</w:t>
            </w:r>
          </w:p>
          <w:p w:rsidR="00591C54" w:rsidRPr="00187C22" w:rsidRDefault="00091BC8"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lang w:val="es-ES"/>
              </w:rPr>
            </w:pPr>
            <w:r w:rsidRPr="00187C22">
              <w:rPr>
                <w:lang w:val="es-ES"/>
              </w:rPr>
              <w:t>CHF</w:t>
            </w:r>
            <w:r w:rsidRPr="00187C22">
              <w:rPr>
                <w:lang w:val="es-ES"/>
              </w:rPr>
              <w:tab/>
            </w:r>
            <w:r w:rsidR="00591C54" w:rsidRPr="00187C22">
              <w:rPr>
                <w:lang w:val="es-ES"/>
              </w:rPr>
              <w:t>95 000</w:t>
            </w:r>
          </w:p>
        </w:tc>
        <w:tc>
          <w:tcPr>
            <w:tcW w:w="1584" w:type="dxa"/>
            <w:shd w:val="clear" w:color="auto" w:fill="auto"/>
          </w:tcPr>
          <w:p w:rsidR="00591C54" w:rsidRPr="00187C22" w:rsidRDefault="00591C54" w:rsidP="00091B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231"/>
              </w:tabs>
              <w:rPr>
                <w:lang w:val="es-ES"/>
              </w:rPr>
            </w:pPr>
          </w:p>
        </w:tc>
        <w:tc>
          <w:tcPr>
            <w:tcW w:w="1585" w:type="dxa"/>
            <w:shd w:val="clear" w:color="auto" w:fill="auto"/>
          </w:tcPr>
          <w:p w:rsidR="00591C54" w:rsidRPr="00187C22" w:rsidRDefault="00091BC8"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lang w:val="es-ES"/>
              </w:rPr>
            </w:pPr>
            <w:r w:rsidRPr="00187C22">
              <w:rPr>
                <w:lang w:val="es-ES"/>
              </w:rPr>
              <w:t>CHF</w:t>
            </w:r>
            <w:r w:rsidRPr="00187C22">
              <w:rPr>
                <w:lang w:val="es-ES"/>
              </w:rPr>
              <w:tab/>
            </w:r>
            <w:r w:rsidR="00591C54" w:rsidRPr="00187C22">
              <w:rPr>
                <w:lang w:val="es-ES"/>
              </w:rPr>
              <w:t>310 000</w:t>
            </w:r>
          </w:p>
          <w:p w:rsidR="00591C54" w:rsidRPr="00187C22" w:rsidRDefault="00091BC8"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lang w:val="es-ES"/>
              </w:rPr>
            </w:pPr>
            <w:r w:rsidRPr="00187C22">
              <w:rPr>
                <w:lang w:val="es-ES"/>
              </w:rPr>
              <w:t>CHF</w:t>
            </w:r>
            <w:r w:rsidRPr="00187C22">
              <w:rPr>
                <w:lang w:val="es-ES"/>
              </w:rPr>
              <w:tab/>
            </w:r>
            <w:r w:rsidR="00591C54" w:rsidRPr="00187C22">
              <w:rPr>
                <w:lang w:val="es-ES"/>
              </w:rPr>
              <w:t>190 000</w:t>
            </w:r>
          </w:p>
        </w:tc>
      </w:tr>
      <w:tr w:rsidR="00591C54" w:rsidRPr="00187C22" w:rsidTr="00FF795F">
        <w:trPr>
          <w:jc w:val="center"/>
        </w:trPr>
        <w:tc>
          <w:tcPr>
            <w:tcW w:w="2294" w:type="dxa"/>
            <w:shd w:val="clear" w:color="auto" w:fill="auto"/>
          </w:tcPr>
          <w:p w:rsidR="00591C54" w:rsidRPr="00187C22" w:rsidRDefault="00591C54" w:rsidP="00091B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s-ES"/>
              </w:rPr>
            </w:pPr>
            <w:r w:rsidRPr="00187C22">
              <w:rPr>
                <w:lang w:val="es-ES"/>
              </w:rPr>
              <w:t xml:space="preserve">Resolución 233 </w:t>
            </w:r>
          </w:p>
        </w:tc>
        <w:tc>
          <w:tcPr>
            <w:tcW w:w="1584" w:type="dxa"/>
            <w:shd w:val="clear" w:color="auto" w:fill="auto"/>
          </w:tcPr>
          <w:p w:rsidR="00591C54" w:rsidRPr="00187C22" w:rsidRDefault="00091BC8"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lang w:val="es-ES"/>
              </w:rPr>
            </w:pPr>
            <w:r w:rsidRPr="00187C22">
              <w:rPr>
                <w:lang w:val="es-ES"/>
              </w:rPr>
              <w:t>CHF</w:t>
            </w:r>
            <w:r w:rsidRPr="00187C22">
              <w:rPr>
                <w:lang w:val="es-ES"/>
              </w:rPr>
              <w:tab/>
            </w:r>
            <w:r w:rsidR="00591C54" w:rsidRPr="00187C22">
              <w:rPr>
                <w:lang w:val="es-ES"/>
              </w:rPr>
              <w:t>120 000</w:t>
            </w:r>
          </w:p>
        </w:tc>
        <w:tc>
          <w:tcPr>
            <w:tcW w:w="1584" w:type="dxa"/>
            <w:shd w:val="clear" w:color="auto" w:fill="auto"/>
          </w:tcPr>
          <w:p w:rsidR="00591C54" w:rsidRPr="00187C22" w:rsidRDefault="00091BC8"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lang w:val="es-ES"/>
              </w:rPr>
            </w:pPr>
            <w:r w:rsidRPr="00187C22">
              <w:rPr>
                <w:lang w:val="es-ES"/>
              </w:rPr>
              <w:t>CHF</w:t>
            </w:r>
            <w:r w:rsidRPr="00187C22">
              <w:rPr>
                <w:lang w:val="es-ES"/>
              </w:rPr>
              <w:tab/>
            </w:r>
            <w:r w:rsidR="00591C54" w:rsidRPr="00187C22">
              <w:rPr>
                <w:lang w:val="es-ES"/>
              </w:rPr>
              <w:t>240 000</w:t>
            </w:r>
          </w:p>
        </w:tc>
        <w:tc>
          <w:tcPr>
            <w:tcW w:w="1584" w:type="dxa"/>
            <w:shd w:val="clear" w:color="auto" w:fill="auto"/>
          </w:tcPr>
          <w:p w:rsidR="00591C54" w:rsidRPr="00187C22" w:rsidRDefault="00091BC8"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lang w:val="es-ES"/>
              </w:rPr>
            </w:pPr>
            <w:r w:rsidRPr="00187C22">
              <w:rPr>
                <w:lang w:val="es-ES"/>
              </w:rPr>
              <w:t>CHF</w:t>
            </w:r>
            <w:r w:rsidRPr="00187C22">
              <w:rPr>
                <w:lang w:val="es-ES"/>
              </w:rPr>
              <w:tab/>
            </w:r>
            <w:r w:rsidR="00591C54" w:rsidRPr="00187C22">
              <w:rPr>
                <w:lang w:val="es-ES"/>
              </w:rPr>
              <w:t>240 000</w:t>
            </w:r>
          </w:p>
        </w:tc>
        <w:tc>
          <w:tcPr>
            <w:tcW w:w="1585" w:type="dxa"/>
            <w:shd w:val="clear" w:color="auto" w:fill="auto"/>
          </w:tcPr>
          <w:p w:rsidR="00591C54" w:rsidRPr="00187C22" w:rsidRDefault="00091BC8"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lang w:val="es-ES"/>
              </w:rPr>
            </w:pPr>
            <w:r w:rsidRPr="00187C22">
              <w:rPr>
                <w:lang w:val="es-ES"/>
              </w:rPr>
              <w:t>CHF</w:t>
            </w:r>
            <w:r w:rsidRPr="00187C22">
              <w:rPr>
                <w:lang w:val="es-ES"/>
              </w:rPr>
              <w:tab/>
            </w:r>
            <w:r w:rsidR="00591C54" w:rsidRPr="00187C22">
              <w:rPr>
                <w:lang w:val="es-ES"/>
              </w:rPr>
              <w:t>600 000</w:t>
            </w:r>
          </w:p>
        </w:tc>
      </w:tr>
      <w:tr w:rsidR="00591C54" w:rsidRPr="00187C22" w:rsidTr="00FF795F">
        <w:trPr>
          <w:jc w:val="center"/>
        </w:trPr>
        <w:tc>
          <w:tcPr>
            <w:tcW w:w="2294" w:type="dxa"/>
            <w:shd w:val="clear" w:color="auto" w:fill="auto"/>
          </w:tcPr>
          <w:p w:rsidR="00591C54" w:rsidRPr="00187C22" w:rsidRDefault="00591C54" w:rsidP="00091BC8">
            <w:pPr>
              <w:tabs>
                <w:tab w:val="clear" w:pos="794"/>
                <w:tab w:val="clear" w:pos="1191"/>
                <w:tab w:val="clear" w:pos="1588"/>
                <w:tab w:val="clear" w:pos="1985"/>
              </w:tabs>
              <w:spacing w:before="40" w:after="40"/>
              <w:rPr>
                <w:sz w:val="22"/>
                <w:szCs w:val="22"/>
                <w:lang w:val="es-ES"/>
              </w:rPr>
            </w:pPr>
            <w:r w:rsidRPr="00187C22">
              <w:rPr>
                <w:b/>
                <w:bCs/>
                <w:sz w:val="22"/>
                <w:szCs w:val="22"/>
                <w:lang w:val="es-ES"/>
              </w:rPr>
              <w:t>Total</w:t>
            </w:r>
          </w:p>
        </w:tc>
        <w:tc>
          <w:tcPr>
            <w:tcW w:w="1584" w:type="dxa"/>
            <w:shd w:val="clear" w:color="auto" w:fill="auto"/>
          </w:tcPr>
          <w:p w:rsidR="00591C54" w:rsidRPr="00187C22" w:rsidRDefault="00091BC8"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b/>
                <w:bCs/>
                <w:lang w:val="es-ES"/>
              </w:rPr>
            </w:pPr>
            <w:r w:rsidRPr="00187C22">
              <w:rPr>
                <w:b/>
                <w:bCs/>
                <w:lang w:val="es-ES"/>
              </w:rPr>
              <w:t>CHF</w:t>
            </w:r>
            <w:r w:rsidRPr="00187C22">
              <w:rPr>
                <w:b/>
                <w:bCs/>
                <w:lang w:val="es-ES"/>
              </w:rPr>
              <w:tab/>
            </w:r>
            <w:r w:rsidR="00591C54" w:rsidRPr="00187C22">
              <w:rPr>
                <w:b/>
                <w:bCs/>
                <w:lang w:val="es-ES"/>
              </w:rPr>
              <w:t>215 000</w:t>
            </w:r>
          </w:p>
        </w:tc>
        <w:tc>
          <w:tcPr>
            <w:tcW w:w="1584" w:type="dxa"/>
            <w:shd w:val="clear" w:color="auto" w:fill="auto"/>
          </w:tcPr>
          <w:p w:rsidR="00591C54" w:rsidRPr="00187C22" w:rsidRDefault="00591C54"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b/>
                <w:bCs/>
                <w:lang w:val="es-ES"/>
              </w:rPr>
            </w:pPr>
            <w:r w:rsidRPr="00187C22">
              <w:rPr>
                <w:b/>
                <w:bCs/>
                <w:lang w:val="es-ES"/>
              </w:rPr>
              <w:t>CHF</w:t>
            </w:r>
            <w:r w:rsidR="00091BC8" w:rsidRPr="00187C22">
              <w:rPr>
                <w:b/>
                <w:bCs/>
                <w:lang w:val="es-ES"/>
              </w:rPr>
              <w:tab/>
            </w:r>
            <w:r w:rsidRPr="00187C22">
              <w:rPr>
                <w:b/>
                <w:bCs/>
                <w:lang w:val="es-ES"/>
              </w:rPr>
              <w:t>645 000</w:t>
            </w:r>
          </w:p>
        </w:tc>
        <w:tc>
          <w:tcPr>
            <w:tcW w:w="1584" w:type="dxa"/>
            <w:shd w:val="clear" w:color="auto" w:fill="auto"/>
          </w:tcPr>
          <w:p w:rsidR="00591C54" w:rsidRPr="00187C22" w:rsidRDefault="00591C54"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b/>
                <w:bCs/>
                <w:lang w:val="es-ES"/>
              </w:rPr>
            </w:pPr>
            <w:r w:rsidRPr="00187C22">
              <w:rPr>
                <w:b/>
                <w:bCs/>
                <w:lang w:val="es-ES"/>
              </w:rPr>
              <w:t>CHF</w:t>
            </w:r>
            <w:r w:rsidR="00091BC8" w:rsidRPr="00187C22">
              <w:rPr>
                <w:b/>
                <w:bCs/>
                <w:lang w:val="es-ES"/>
              </w:rPr>
              <w:tab/>
            </w:r>
            <w:r w:rsidRPr="00187C22">
              <w:rPr>
                <w:b/>
                <w:bCs/>
                <w:lang w:val="es-ES"/>
              </w:rPr>
              <w:t>240 000</w:t>
            </w:r>
          </w:p>
        </w:tc>
        <w:tc>
          <w:tcPr>
            <w:tcW w:w="1585" w:type="dxa"/>
            <w:shd w:val="clear" w:color="auto" w:fill="auto"/>
          </w:tcPr>
          <w:p w:rsidR="00591C54" w:rsidRPr="00187C22" w:rsidRDefault="00091BC8" w:rsidP="00FF795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486"/>
              </w:tabs>
              <w:ind w:firstLine="113"/>
              <w:rPr>
                <w:b/>
                <w:bCs/>
                <w:lang w:val="es-ES"/>
              </w:rPr>
            </w:pPr>
            <w:r w:rsidRPr="00187C22">
              <w:rPr>
                <w:b/>
                <w:bCs/>
                <w:lang w:val="es-ES"/>
              </w:rPr>
              <w:t>CHF</w:t>
            </w:r>
            <w:r w:rsidRPr="00187C22">
              <w:rPr>
                <w:b/>
                <w:bCs/>
                <w:lang w:val="es-ES"/>
              </w:rPr>
              <w:tab/>
            </w:r>
            <w:r w:rsidR="00591C54" w:rsidRPr="00187C22">
              <w:rPr>
                <w:b/>
                <w:bCs/>
                <w:lang w:val="es-ES"/>
              </w:rPr>
              <w:t>1 100 000</w:t>
            </w:r>
          </w:p>
        </w:tc>
      </w:tr>
    </w:tbl>
    <w:p w:rsidR="00591C54" w:rsidRPr="00187C22" w:rsidRDefault="00591C54" w:rsidP="00FF795F">
      <w:pPr>
        <w:spacing w:before="240"/>
        <w:rPr>
          <w:lang w:val="es-ES"/>
        </w:rPr>
      </w:pPr>
      <w:r w:rsidRPr="00187C22">
        <w:rPr>
          <w:lang w:val="es-ES"/>
        </w:rPr>
        <w:t xml:space="preserve">Según este análisis de las consecuencias financieras resultantes de las </w:t>
      </w:r>
      <w:r w:rsidR="001C7B42" w:rsidRPr="00187C22">
        <w:rPr>
          <w:lang w:val="es-ES"/>
        </w:rPr>
        <w:t xml:space="preserve">Decisiones </w:t>
      </w:r>
      <w:r w:rsidRPr="00187C22">
        <w:rPr>
          <w:lang w:val="es-ES"/>
        </w:rPr>
        <w:t xml:space="preserve">y </w:t>
      </w:r>
      <w:r w:rsidR="001C7B42" w:rsidRPr="00187C22">
        <w:rPr>
          <w:lang w:val="es-ES"/>
        </w:rPr>
        <w:t xml:space="preserve">Resoluciones </w:t>
      </w:r>
      <w:r w:rsidRPr="00187C22">
        <w:rPr>
          <w:lang w:val="es-ES"/>
        </w:rPr>
        <w:t>de la CMR-12, se estima que el monto total asciende a 1</w:t>
      </w:r>
      <w:r w:rsidR="00FF795F">
        <w:rPr>
          <w:lang w:val="es-ES"/>
        </w:rPr>
        <w:t> </w:t>
      </w:r>
      <w:r w:rsidRPr="00187C22">
        <w:rPr>
          <w:lang w:val="es-ES"/>
        </w:rPr>
        <w:t>100</w:t>
      </w:r>
      <w:r w:rsidR="00FF795F">
        <w:rPr>
          <w:lang w:val="es-ES"/>
        </w:rPr>
        <w:t> </w:t>
      </w:r>
      <w:r w:rsidRPr="00187C22">
        <w:rPr>
          <w:lang w:val="es-ES"/>
        </w:rPr>
        <w:t>000 CHF. La realización de estas actividades se sufragará inicialmente con ahorros con sujeción al presupuesto atribuido; ahora bien, si la Oficina no pudiera llevar a cabo estas actividades con el presupuesto actual, habrá que prever otras fuentes de financiación.</w:t>
      </w:r>
    </w:p>
    <w:p w:rsidR="00591C54" w:rsidRPr="00187C22" w:rsidRDefault="00591C54" w:rsidP="00591C54">
      <w:pPr>
        <w:rPr>
          <w:lang w:val="es-ES"/>
        </w:rPr>
      </w:pPr>
      <w:r w:rsidRPr="00187C22">
        <w:rPr>
          <w:lang w:val="es-ES"/>
        </w:rPr>
        <w:t>Se observó que en esta reunión del Consejo (</w:t>
      </w:r>
      <w:r w:rsidR="00FF795F" w:rsidRPr="00187C22">
        <w:rPr>
          <w:lang w:val="es-ES"/>
        </w:rPr>
        <w:t>julio</w:t>
      </w:r>
      <w:r w:rsidRPr="00187C22">
        <w:rPr>
          <w:lang w:val="es-ES"/>
        </w:rPr>
        <w:t>, 2012) debe refrendarse el método propuesto por la Oficina, teniendo en cuenta que si hubiese que reconsiderar la posibilidad de un déficit en el futuro, se solicitará al Consejo que considere una atribución de recursos adicionales.</w:t>
      </w:r>
    </w:p>
    <w:p w:rsidR="00591C54" w:rsidRPr="00187C22" w:rsidRDefault="00591C54" w:rsidP="004534A7">
      <w:pPr>
        <w:pStyle w:val="Heading3"/>
        <w:rPr>
          <w:lang w:val="es-ES"/>
        </w:rPr>
      </w:pPr>
      <w:r w:rsidRPr="00187C22">
        <w:rPr>
          <w:lang w:val="es-ES"/>
        </w:rPr>
        <w:t>3.2.2</w:t>
      </w:r>
      <w:r w:rsidRPr="00187C22">
        <w:rPr>
          <w:lang w:val="es-ES"/>
        </w:rPr>
        <w:tab/>
        <w:t>Desarrollo de software para la aplicación de las decisiones de la Conferencia</w:t>
      </w:r>
    </w:p>
    <w:p w:rsidR="00591C54" w:rsidRPr="00187C22" w:rsidRDefault="00591C54" w:rsidP="004534A7">
      <w:pPr>
        <w:rPr>
          <w:lang w:val="es-ES"/>
        </w:rPr>
      </w:pPr>
      <w:r w:rsidRPr="00187C22">
        <w:rPr>
          <w:lang w:val="es-ES"/>
        </w:rPr>
        <w:t>La BR ha comenzado a desarrollar software para aplicar las decisiones de la CMR-12. En el Cuadro</w:t>
      </w:r>
      <w:r w:rsidR="004534A7" w:rsidRPr="00187C22">
        <w:rPr>
          <w:lang w:val="es-ES"/>
        </w:rPr>
        <w:t> </w:t>
      </w:r>
      <w:r w:rsidRPr="00187C22">
        <w:rPr>
          <w:lang w:val="es-ES"/>
        </w:rPr>
        <w:t>2 se resumen las principales tareas en cuestión.</w:t>
      </w:r>
    </w:p>
    <w:p w:rsidR="0071103C" w:rsidRPr="00187C22" w:rsidRDefault="0071103C">
      <w:pPr>
        <w:tabs>
          <w:tab w:val="clear" w:pos="794"/>
          <w:tab w:val="clear" w:pos="1191"/>
          <w:tab w:val="clear" w:pos="1588"/>
          <w:tab w:val="clear" w:pos="1985"/>
        </w:tabs>
        <w:overflowPunct/>
        <w:autoSpaceDE/>
        <w:autoSpaceDN/>
        <w:adjustRightInd/>
        <w:spacing w:before="0"/>
        <w:textAlignment w:val="auto"/>
        <w:rPr>
          <w:lang w:val="es-ES"/>
        </w:rPr>
      </w:pPr>
      <w:r w:rsidRPr="00187C22">
        <w:rPr>
          <w:lang w:val="es-ES"/>
        </w:rPr>
        <w:br w:type="page"/>
      </w:r>
    </w:p>
    <w:p w:rsidR="00591C54" w:rsidRPr="00187C22" w:rsidRDefault="00591C54" w:rsidP="004534A7">
      <w:pPr>
        <w:pStyle w:val="TableNo"/>
        <w:rPr>
          <w:rFonts w:eastAsia="SimSun"/>
          <w:lang w:val="es-ES" w:eastAsia="zh-CN"/>
        </w:rPr>
      </w:pPr>
      <w:r w:rsidRPr="00187C22">
        <w:rPr>
          <w:rFonts w:eastAsia="SimSun"/>
          <w:lang w:val="es-ES" w:eastAsia="zh-CN"/>
        </w:rPr>
        <w:lastRenderedPageBreak/>
        <w:t>CUADRO 2</w:t>
      </w:r>
    </w:p>
    <w:tbl>
      <w:tblPr>
        <w:tblStyle w:val="BalloonTextCha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91C54" w:rsidRPr="00187C22" w:rsidTr="00462242">
        <w:tc>
          <w:tcPr>
            <w:tcW w:w="9463" w:type="dxa"/>
          </w:tcPr>
          <w:p w:rsidR="00591C54" w:rsidRPr="00187C22" w:rsidRDefault="00591C54" w:rsidP="00462242">
            <w:pPr>
              <w:pStyle w:val="Tablehead"/>
              <w:rPr>
                <w:lang w:val="es-ES"/>
              </w:rPr>
            </w:pPr>
            <w:r w:rsidRPr="00187C22">
              <w:rPr>
                <w:lang w:val="es-ES"/>
              </w:rPr>
              <w:t xml:space="preserve">Actividades de desarrollo de software para aplicar las decisiones de la CMR-12 </w:t>
            </w:r>
          </w:p>
        </w:tc>
      </w:tr>
      <w:tr w:rsidR="00591C54" w:rsidRPr="00187C22" w:rsidTr="00462242">
        <w:tc>
          <w:tcPr>
            <w:tcW w:w="9463" w:type="dxa"/>
          </w:tcPr>
          <w:p w:rsidR="00591C54" w:rsidRPr="00187C22" w:rsidRDefault="00591C54" w:rsidP="00462242">
            <w:pPr>
              <w:pStyle w:val="Tablehead"/>
              <w:rPr>
                <w:lang w:val="es-ES"/>
              </w:rPr>
            </w:pPr>
            <w:r w:rsidRPr="00187C22">
              <w:rPr>
                <w:lang w:val="es-ES"/>
              </w:rPr>
              <w:t xml:space="preserve">Modificación de la base de datos SNS </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Nuevos campos de datos del Apéndice 4 introducidos por la CMR-12</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Adición de cuadros para la Resolución 552 [COM5/6] – nuevo procedimiento de debida diligencia para</w:t>
            </w:r>
            <w:r w:rsidR="00462242">
              <w:rPr>
                <w:lang w:val="es-ES"/>
              </w:rPr>
              <w:t> </w:t>
            </w:r>
            <w:r w:rsidRPr="00187C22">
              <w:rPr>
                <w:lang w:val="es-ES"/>
              </w:rPr>
              <w:t>21</w:t>
            </w:r>
            <w:r w:rsidR="00462242">
              <w:rPr>
                <w:lang w:val="es-ES"/>
              </w:rPr>
              <w:t>,</w:t>
            </w:r>
            <w:r w:rsidRPr="00187C22">
              <w:rPr>
                <w:lang w:val="es-ES"/>
              </w:rPr>
              <w:t xml:space="preserve">4-22 GHz </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Adición de campos de datos para la Resolución 554 [COM5/8] – procedimiento especial para la comunicación de asign</w:t>
            </w:r>
            <w:r w:rsidR="00462242">
              <w:rPr>
                <w:lang w:val="es-ES"/>
              </w:rPr>
              <w:t>aciones al SRS en 21,</w:t>
            </w:r>
            <w:r w:rsidRPr="00187C22">
              <w:rPr>
                <w:lang w:val="es-ES"/>
              </w:rPr>
              <w:t>4-22 GHz</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Modificación de la Resolución 908 [COM5/2] –</w:t>
            </w:r>
            <w:r w:rsidR="00462242">
              <w:rPr>
                <w:lang w:val="es-ES"/>
              </w:rPr>
              <w:t xml:space="preserve"> </w:t>
            </w:r>
            <w:r w:rsidRPr="00187C22">
              <w:rPr>
                <w:lang w:val="es-ES"/>
              </w:rPr>
              <w:t>API electrónica</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Modificación del cuadro tr_aff_ntw para suministrar una lista obligatoria de redes de satélite</w:t>
            </w:r>
            <w:r w:rsidR="00462242">
              <w:rPr>
                <w:lang w:val="es-ES"/>
              </w:rPr>
              <w:t>s</w:t>
            </w:r>
            <w:r w:rsidRPr="00187C22">
              <w:rPr>
                <w:lang w:val="es-ES"/>
              </w:rPr>
              <w:t xml:space="preserve"> con arreglo al 9.36.2 y al 9.41</w:t>
            </w:r>
          </w:p>
        </w:tc>
      </w:tr>
      <w:tr w:rsidR="00591C54" w:rsidRPr="00187C22" w:rsidTr="00462242">
        <w:tc>
          <w:tcPr>
            <w:tcW w:w="9463" w:type="dxa"/>
          </w:tcPr>
          <w:p w:rsidR="00591C54" w:rsidRPr="00187C22" w:rsidRDefault="00591C54" w:rsidP="00462242">
            <w:pPr>
              <w:pStyle w:val="Tablehead"/>
              <w:rPr>
                <w:lang w:val="es-ES"/>
              </w:rPr>
            </w:pPr>
            <w:r w:rsidRPr="00187C22">
              <w:rPr>
                <w:lang w:val="es-ES"/>
              </w:rPr>
              <w:t>Modificación del software existentes</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Nueva interfaz de adquisición RS49 para la Resolución 552 [COM5/6]</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 xml:space="preserve">Nueva publicación para la Resolución 552 [COM5/6] </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Modificación del software de examen técnico para la Resolución 553 [COM5/7]</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 xml:space="preserve">Modificación del software de examen técnico para la Resolución 554 [COM5/8] – herramienta de examen con una nueva máscara de dfp dentro del arco de coordinación </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Modificación de la adquisición de conclusiones para la Resolución 553 [COM5/7]</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Modificación de SpaceCom para la Resolución 553 [COM5/7]</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Nueva publicación CR/F para la Resolución 553 [COM5/7]</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Modificación de Spacecap para permitir la adquisición de 20 puntos dentro de la zona de servicio para la Resolución 553 [COM5/7]</w:t>
            </w:r>
          </w:p>
        </w:tc>
      </w:tr>
      <w:tr w:rsidR="00591C54" w:rsidRPr="00187C22" w:rsidTr="00462242">
        <w:tc>
          <w:tcPr>
            <w:tcW w:w="9463" w:type="dxa"/>
          </w:tcPr>
          <w:p w:rsidR="00591C54" w:rsidRPr="00187C22" w:rsidRDefault="00591C54" w:rsidP="00462242">
            <w:pPr>
              <w:pStyle w:val="Tablehead"/>
              <w:rPr>
                <w:lang w:val="es-ES"/>
              </w:rPr>
            </w:pPr>
            <w:r w:rsidRPr="00187C22">
              <w:rPr>
                <w:lang w:val="es-ES"/>
              </w:rPr>
              <w:t>Nuevas aplicaciones</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 xml:space="preserve">Resolución 907 [COM5/1] – creación de una nueva aplicación </w:t>
            </w:r>
            <w:r w:rsidR="00462242" w:rsidRPr="00187C22">
              <w:rPr>
                <w:lang w:val="es-ES"/>
              </w:rPr>
              <w:t xml:space="preserve">web </w:t>
            </w:r>
            <w:r w:rsidRPr="00187C22">
              <w:rPr>
                <w:lang w:val="es-ES"/>
              </w:rPr>
              <w:t xml:space="preserve">para que las </w:t>
            </w:r>
            <w:r w:rsidR="00462242" w:rsidRPr="00187C22">
              <w:rPr>
                <w:lang w:val="es-ES"/>
              </w:rPr>
              <w:t xml:space="preserve">administraciones </w:t>
            </w:r>
            <w:r w:rsidRPr="00187C22">
              <w:rPr>
                <w:lang w:val="es-ES"/>
              </w:rPr>
              <w:t>puedan presentar su correspondencia y notificaciones a la BR en un entorno seguro.</w:t>
            </w:r>
            <w:r w:rsidR="00A56075" w:rsidRPr="00187C22">
              <w:rPr>
                <w:lang w:val="es-ES"/>
              </w:rPr>
              <w:t xml:space="preserve"> </w:t>
            </w:r>
            <w:r w:rsidRPr="00187C22">
              <w:rPr>
                <w:lang w:val="es-ES"/>
              </w:rPr>
              <w:t xml:space="preserve">Toda la correspondencia entre las </w:t>
            </w:r>
            <w:r w:rsidR="00462242" w:rsidRPr="00187C22">
              <w:rPr>
                <w:lang w:val="es-ES"/>
              </w:rPr>
              <w:t xml:space="preserve">administraciones </w:t>
            </w:r>
            <w:r w:rsidR="00462242">
              <w:rPr>
                <w:lang w:val="es-ES"/>
              </w:rPr>
              <w:t>y la BR se almacenará en Docume</w:t>
            </w:r>
            <w:r w:rsidRPr="00187C22">
              <w:rPr>
                <w:lang w:val="es-ES"/>
              </w:rPr>
              <w:t>ntum de la BR.</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 xml:space="preserve">Resolución 908 [COM5/2] – creación de una nueva aplicación para que las </w:t>
            </w:r>
            <w:r w:rsidR="00462242" w:rsidRPr="00187C22">
              <w:rPr>
                <w:lang w:val="es-ES"/>
              </w:rPr>
              <w:t xml:space="preserve">administraciones </w:t>
            </w:r>
            <w:r w:rsidRPr="00187C22">
              <w:rPr>
                <w:lang w:val="es-ES"/>
              </w:rPr>
              <w:t xml:space="preserve">puedan adquirir la información de publicación anticipada sujeta a coordinación con arreglo a la Subsección 1B del Artículo 9. </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 xml:space="preserve">Resolución 908 [COM5/2] – creación de una nueva aplicación </w:t>
            </w:r>
            <w:r w:rsidR="00462242" w:rsidRPr="00187C22">
              <w:rPr>
                <w:lang w:val="es-ES"/>
              </w:rPr>
              <w:t xml:space="preserve">web </w:t>
            </w:r>
            <w:r w:rsidRPr="00187C22">
              <w:rPr>
                <w:lang w:val="es-ES"/>
              </w:rPr>
              <w:t>para publicar la información de publicación anticipada sujeta a coordinación con arreglo a la Subsección 1B del Artículo 9. </w:t>
            </w:r>
          </w:p>
        </w:tc>
      </w:tr>
      <w:tr w:rsidR="00591C54" w:rsidRPr="00187C22" w:rsidTr="00462242">
        <w:tc>
          <w:tcPr>
            <w:tcW w:w="9463" w:type="dxa"/>
          </w:tcPr>
          <w:p w:rsidR="00591C54" w:rsidRPr="00187C22" w:rsidRDefault="00591C54" w:rsidP="00462242">
            <w:pPr>
              <w:pStyle w:val="Tabletext"/>
              <w:rPr>
                <w:lang w:val="es-ES"/>
              </w:rPr>
            </w:pPr>
            <w:r w:rsidRPr="00187C22">
              <w:rPr>
                <w:lang w:val="es-ES"/>
              </w:rPr>
              <w:t>Resolución 908 [COM5/2] – creación de una aplicación para gestionar la API que pondrá a disposición publicaciones para la IFIC y SNL.</w:t>
            </w:r>
            <w:r w:rsidR="00A56075" w:rsidRPr="00187C22">
              <w:rPr>
                <w:lang w:val="es-ES"/>
              </w:rPr>
              <w:t xml:space="preserve"> </w:t>
            </w:r>
            <w:r w:rsidRPr="00187C22">
              <w:rPr>
                <w:lang w:val="es-ES"/>
              </w:rPr>
              <w:t>Suprimir la API una vez trascurridos 2 años si la BR no ha recibido la correspondiente CR o notificación alguna.</w:t>
            </w:r>
          </w:p>
        </w:tc>
      </w:tr>
    </w:tbl>
    <w:p w:rsidR="00462242" w:rsidRDefault="00462242" w:rsidP="00591C54">
      <w:pPr>
        <w:rPr>
          <w:lang w:val="es-ES"/>
        </w:rPr>
      </w:pPr>
    </w:p>
    <w:p w:rsidR="00462242" w:rsidRDefault="00462242">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591C54" w:rsidRPr="00187C22" w:rsidRDefault="00591C54" w:rsidP="004534A7">
      <w:pPr>
        <w:pStyle w:val="Heading3"/>
        <w:rPr>
          <w:lang w:val="es-ES"/>
        </w:rPr>
      </w:pPr>
      <w:r w:rsidRPr="00187C22">
        <w:rPr>
          <w:lang w:val="es-ES"/>
        </w:rPr>
        <w:t>3.2.3</w:t>
      </w:r>
      <w:r w:rsidR="004534A7" w:rsidRPr="00187C22">
        <w:rPr>
          <w:lang w:val="es-ES"/>
        </w:rPr>
        <w:tab/>
      </w:r>
      <w:r w:rsidRPr="00187C22">
        <w:rPr>
          <w:lang w:val="es-ES"/>
        </w:rPr>
        <w:t>Medidas generales para aplicar decisiones de la Conferencia</w:t>
      </w:r>
    </w:p>
    <w:p w:rsidR="00591C54" w:rsidRPr="00187C22" w:rsidRDefault="00591C54" w:rsidP="00591C54">
      <w:pPr>
        <w:rPr>
          <w:lang w:val="es-ES"/>
        </w:rPr>
      </w:pPr>
      <w:r w:rsidRPr="00187C22">
        <w:rPr>
          <w:lang w:val="es-ES"/>
        </w:rPr>
        <w:t>Las siguientes cartas circulares de la BR contienen información sobre las medidas destinadas a aplicar las decisiones de la CMR-12:</w:t>
      </w:r>
    </w:p>
    <w:p w:rsidR="00591C54" w:rsidRPr="00187C22" w:rsidRDefault="00591C54" w:rsidP="00591C54">
      <w:pPr>
        <w:rPr>
          <w:lang w:val="es-ES"/>
        </w:rPr>
      </w:pPr>
      <w:r w:rsidRPr="00187C22">
        <w:rPr>
          <w:lang w:val="es-ES"/>
        </w:rPr>
        <w:t> </w:t>
      </w:r>
    </w:p>
    <w:tbl>
      <w:tblPr>
        <w:tblW w:w="9355" w:type="dxa"/>
        <w:tblInd w:w="392" w:type="dxa"/>
        <w:tblBorders>
          <w:top w:val="nil"/>
          <w:left w:val="nil"/>
          <w:right w:val="nil"/>
        </w:tblBorders>
        <w:tblLayout w:type="fixed"/>
        <w:tblLook w:val="0000" w:firstRow="0" w:lastRow="0" w:firstColumn="0" w:lastColumn="0" w:noHBand="0" w:noVBand="0"/>
      </w:tblPr>
      <w:tblGrid>
        <w:gridCol w:w="1488"/>
        <w:gridCol w:w="1489"/>
        <w:gridCol w:w="6378"/>
      </w:tblGrid>
      <w:tr w:rsidR="00591C54" w:rsidRPr="00187C22" w:rsidTr="00B34EFF">
        <w:tc>
          <w:tcPr>
            <w:tcW w:w="1488" w:type="dxa"/>
            <w:tcBorders>
              <w:top w:val="single" w:sz="8" w:space="0" w:color="000000"/>
              <w:left w:val="single" w:sz="8" w:space="0" w:color="000000"/>
              <w:bottom w:val="single" w:sz="8" w:space="0" w:color="000000"/>
              <w:right w:val="single" w:sz="8" w:space="0" w:color="000000"/>
            </w:tcBorders>
            <w:tcMar>
              <w:top w:w="140" w:type="nil"/>
              <w:right w:w="140" w:type="nil"/>
            </w:tcMar>
          </w:tcPr>
          <w:p w:rsidR="00591C54" w:rsidRPr="00187C22" w:rsidRDefault="00591C54" w:rsidP="00DB70DA">
            <w:pPr>
              <w:pStyle w:val="Tablehead"/>
              <w:rPr>
                <w:lang w:val="es-ES"/>
              </w:rPr>
            </w:pPr>
            <w:r w:rsidRPr="00187C22">
              <w:rPr>
                <w:lang w:val="es-ES"/>
              </w:rPr>
              <w:t>Circular</w:t>
            </w:r>
            <w:r w:rsidR="00DB70DA">
              <w:rPr>
                <w:lang w:val="es-ES"/>
              </w:rPr>
              <w:br/>
            </w:r>
            <w:r w:rsidRPr="00187C22">
              <w:rPr>
                <w:lang w:val="es-ES"/>
              </w:rPr>
              <w:t>de la BR</w:t>
            </w:r>
          </w:p>
        </w:tc>
        <w:tc>
          <w:tcPr>
            <w:tcW w:w="1489" w:type="dxa"/>
            <w:tcBorders>
              <w:top w:val="single" w:sz="8" w:space="0" w:color="000000"/>
              <w:bottom w:val="single" w:sz="8" w:space="0" w:color="000000"/>
              <w:right w:val="single" w:sz="8" w:space="0" w:color="000000"/>
            </w:tcBorders>
            <w:tcMar>
              <w:top w:w="140" w:type="nil"/>
              <w:right w:w="140" w:type="nil"/>
            </w:tcMar>
          </w:tcPr>
          <w:p w:rsidR="00591C54" w:rsidRPr="00187C22" w:rsidRDefault="00591C54" w:rsidP="004534A7">
            <w:pPr>
              <w:pStyle w:val="Tablehead"/>
              <w:rPr>
                <w:lang w:val="es-ES"/>
              </w:rPr>
            </w:pPr>
            <w:r w:rsidRPr="00187C22">
              <w:rPr>
                <w:lang w:val="es-ES"/>
              </w:rPr>
              <w:t>Fecha</w:t>
            </w:r>
          </w:p>
        </w:tc>
        <w:tc>
          <w:tcPr>
            <w:tcW w:w="6378" w:type="dxa"/>
            <w:tcBorders>
              <w:top w:val="single" w:sz="8" w:space="0" w:color="000000"/>
              <w:bottom w:val="single" w:sz="8" w:space="0" w:color="000000"/>
              <w:right w:val="single" w:sz="8" w:space="0" w:color="000000"/>
            </w:tcBorders>
            <w:tcMar>
              <w:top w:w="140" w:type="nil"/>
              <w:right w:w="140" w:type="nil"/>
            </w:tcMar>
          </w:tcPr>
          <w:p w:rsidR="00591C54" w:rsidRPr="00187C22" w:rsidRDefault="00591C54" w:rsidP="004534A7">
            <w:pPr>
              <w:pStyle w:val="Tablehead"/>
              <w:rPr>
                <w:lang w:val="es-ES"/>
              </w:rPr>
            </w:pPr>
            <w:r w:rsidRPr="00187C22">
              <w:rPr>
                <w:lang w:val="es-ES"/>
              </w:rPr>
              <w:t>Asunto</w:t>
            </w:r>
          </w:p>
        </w:tc>
      </w:tr>
      <w:tr w:rsidR="00591C54" w:rsidRPr="00187C22" w:rsidTr="00B34EFF">
        <w:tblPrEx>
          <w:tblBorders>
            <w:top w:val="none" w:sz="0" w:space="0" w:color="auto"/>
          </w:tblBorders>
        </w:tblPrEx>
        <w:tc>
          <w:tcPr>
            <w:tcW w:w="1488" w:type="dxa"/>
            <w:tcBorders>
              <w:left w:val="single" w:sz="8" w:space="0" w:color="000000"/>
              <w:bottom w:val="single" w:sz="8" w:space="0" w:color="000000"/>
              <w:right w:val="single" w:sz="8" w:space="0" w:color="000000"/>
            </w:tcBorders>
            <w:tcMar>
              <w:top w:w="140" w:type="nil"/>
              <w:right w:w="140" w:type="nil"/>
            </w:tcMar>
          </w:tcPr>
          <w:p w:rsidR="00591C54" w:rsidRPr="00187C22" w:rsidRDefault="00591C54" w:rsidP="00B34EFF">
            <w:pPr>
              <w:pStyle w:val="Tabletext"/>
              <w:jc w:val="center"/>
              <w:rPr>
                <w:lang w:val="es-ES"/>
              </w:rPr>
            </w:pPr>
            <w:r w:rsidRPr="00187C22">
              <w:rPr>
                <w:lang w:val="es-ES"/>
              </w:rPr>
              <w:t>CR/331</w:t>
            </w:r>
          </w:p>
        </w:tc>
        <w:tc>
          <w:tcPr>
            <w:tcW w:w="1489" w:type="dxa"/>
            <w:tcBorders>
              <w:bottom w:val="single" w:sz="8" w:space="0" w:color="000000"/>
              <w:right w:val="single" w:sz="8" w:space="0" w:color="000000"/>
            </w:tcBorders>
            <w:tcMar>
              <w:top w:w="140" w:type="nil"/>
              <w:right w:w="140" w:type="nil"/>
            </w:tcMar>
          </w:tcPr>
          <w:p w:rsidR="00591C54" w:rsidRPr="00187C22" w:rsidRDefault="00591C54" w:rsidP="00DB70DA">
            <w:pPr>
              <w:pStyle w:val="Tabletext"/>
              <w:jc w:val="center"/>
              <w:rPr>
                <w:lang w:val="es-ES"/>
              </w:rPr>
            </w:pPr>
            <w:r w:rsidRPr="00187C22">
              <w:rPr>
                <w:lang w:val="es-ES"/>
              </w:rPr>
              <w:t>16.</w:t>
            </w:r>
            <w:r w:rsidR="00DB70DA">
              <w:rPr>
                <w:lang w:val="es-ES"/>
              </w:rPr>
              <w:t>0</w:t>
            </w:r>
            <w:r w:rsidRPr="00187C22">
              <w:rPr>
                <w:lang w:val="es-ES"/>
              </w:rPr>
              <w:t>3.2012</w:t>
            </w:r>
          </w:p>
        </w:tc>
        <w:tc>
          <w:tcPr>
            <w:tcW w:w="6378" w:type="dxa"/>
            <w:tcBorders>
              <w:bottom w:val="single" w:sz="8" w:space="0" w:color="000000"/>
              <w:right w:val="single" w:sz="8" w:space="0" w:color="000000"/>
            </w:tcBorders>
            <w:tcMar>
              <w:top w:w="140" w:type="nil"/>
              <w:right w:w="140" w:type="nil"/>
            </w:tcMar>
          </w:tcPr>
          <w:p w:rsidR="00591C54" w:rsidRPr="00187C22" w:rsidRDefault="00591C54" w:rsidP="004534A7">
            <w:pPr>
              <w:pStyle w:val="Tabletext"/>
              <w:rPr>
                <w:lang w:val="es-ES"/>
              </w:rPr>
            </w:pPr>
            <w:r w:rsidRPr="00187C22">
              <w:rPr>
                <w:lang w:val="es-ES"/>
              </w:rPr>
              <w:t>Aplicación de la Resolución 555 [COM5/9] (CMR-12)</w:t>
            </w:r>
          </w:p>
        </w:tc>
      </w:tr>
      <w:tr w:rsidR="00591C54" w:rsidRPr="00187C22" w:rsidTr="00B34EFF">
        <w:tblPrEx>
          <w:tblBorders>
            <w:top w:val="none" w:sz="0" w:space="0" w:color="auto"/>
          </w:tblBorders>
        </w:tblPrEx>
        <w:tc>
          <w:tcPr>
            <w:tcW w:w="1488" w:type="dxa"/>
            <w:tcBorders>
              <w:left w:val="single" w:sz="8" w:space="0" w:color="000000"/>
              <w:bottom w:val="single" w:sz="8" w:space="0" w:color="000000"/>
              <w:right w:val="single" w:sz="8" w:space="0" w:color="000000"/>
            </w:tcBorders>
            <w:tcMar>
              <w:top w:w="140" w:type="nil"/>
              <w:right w:w="140" w:type="nil"/>
            </w:tcMar>
          </w:tcPr>
          <w:p w:rsidR="00591C54" w:rsidRPr="00187C22" w:rsidRDefault="00591C54" w:rsidP="00B34EFF">
            <w:pPr>
              <w:pStyle w:val="Tabletext"/>
              <w:jc w:val="center"/>
              <w:rPr>
                <w:lang w:val="es-ES"/>
              </w:rPr>
            </w:pPr>
            <w:r w:rsidRPr="00187C22">
              <w:rPr>
                <w:lang w:val="es-ES"/>
              </w:rPr>
              <w:t>CR/333</w:t>
            </w:r>
          </w:p>
        </w:tc>
        <w:tc>
          <w:tcPr>
            <w:tcW w:w="1489" w:type="dxa"/>
            <w:tcBorders>
              <w:bottom w:val="single" w:sz="8" w:space="0" w:color="000000"/>
              <w:right w:val="single" w:sz="8" w:space="0" w:color="000000"/>
            </w:tcBorders>
            <w:tcMar>
              <w:top w:w="140" w:type="nil"/>
              <w:right w:w="140" w:type="nil"/>
            </w:tcMar>
          </w:tcPr>
          <w:p w:rsidR="00591C54" w:rsidRPr="00187C22" w:rsidRDefault="00591C54" w:rsidP="00DB70DA">
            <w:pPr>
              <w:pStyle w:val="Tabletext"/>
              <w:jc w:val="center"/>
              <w:rPr>
                <w:lang w:val="es-ES"/>
              </w:rPr>
            </w:pPr>
            <w:r w:rsidRPr="00187C22">
              <w:rPr>
                <w:bCs/>
                <w:lang w:val="es-ES"/>
              </w:rPr>
              <w:t>01.05.2012</w:t>
            </w:r>
          </w:p>
        </w:tc>
        <w:tc>
          <w:tcPr>
            <w:tcW w:w="6378" w:type="dxa"/>
            <w:tcBorders>
              <w:bottom w:val="single" w:sz="8" w:space="0" w:color="000000"/>
              <w:right w:val="single" w:sz="8" w:space="0" w:color="000000"/>
            </w:tcBorders>
            <w:tcMar>
              <w:top w:w="140" w:type="nil"/>
              <w:right w:w="140" w:type="nil"/>
            </w:tcMar>
          </w:tcPr>
          <w:p w:rsidR="00591C54" w:rsidRPr="00187C22" w:rsidRDefault="00591C54" w:rsidP="004534A7">
            <w:pPr>
              <w:pStyle w:val="Tabletext"/>
              <w:rPr>
                <w:lang w:val="es-ES"/>
              </w:rPr>
            </w:pPr>
            <w:r w:rsidRPr="00187C22">
              <w:rPr>
                <w:lang w:val="es-ES"/>
              </w:rPr>
              <w:t>Decisiones de la CMR-12 incluidas en las actas de la sesión plenaria sobre los procedimientos relativos a los servicios espaciales</w:t>
            </w:r>
          </w:p>
        </w:tc>
      </w:tr>
    </w:tbl>
    <w:p w:rsidR="00591C54" w:rsidRPr="00187C22" w:rsidRDefault="00591C54" w:rsidP="005668CC">
      <w:pPr>
        <w:spacing w:before="360"/>
        <w:rPr>
          <w:lang w:val="es-ES"/>
        </w:rPr>
      </w:pPr>
      <w:r w:rsidRPr="00187C22">
        <w:rPr>
          <w:lang w:val="es-ES"/>
        </w:rPr>
        <w:t>La Oficina ha analizado las decisiones de la CMR-12 y su incidencia en las Reglas de Procedimiento vigentes. A este respecto, la Oficina ha elaborado una lista de las Reglas de Procedimiento existentes que se habrían de revisar en vista de las decisiones de la CMR-12, y una lista preliminar de las disposiciones adoptadas por la CMR-12 que podrían requerir la preparación de nuevas Reglas de Procedimiento.</w:t>
      </w:r>
      <w:r w:rsidR="00A56075" w:rsidRPr="00187C22">
        <w:rPr>
          <w:lang w:val="es-ES"/>
        </w:rPr>
        <w:t xml:space="preserve"> </w:t>
      </w:r>
      <w:r w:rsidRPr="00187C22">
        <w:rPr>
          <w:lang w:val="es-ES"/>
        </w:rPr>
        <w:t>Se presentó a la 59ª reunión de la Junta del Reglamento de Radiocomunicaciones una lista preliminar de las Reglas de Procedimiento existentes, que no guardan relación con las decisiones de la CMR-12, y que quizá deban actualizarse (véase el Documento RRB12-1/4).</w:t>
      </w:r>
    </w:p>
    <w:p w:rsidR="00591C54" w:rsidRPr="00187C22" w:rsidRDefault="00591C54" w:rsidP="004534A7">
      <w:pPr>
        <w:pStyle w:val="Heading1"/>
        <w:rPr>
          <w:lang w:val="es-ES"/>
        </w:rPr>
      </w:pPr>
      <w:r w:rsidRPr="00187C22">
        <w:rPr>
          <w:rFonts w:eastAsia="SimSun"/>
          <w:lang w:val="es-ES" w:eastAsia="zh-CN"/>
        </w:rPr>
        <w:t>4</w:t>
      </w:r>
      <w:r w:rsidRPr="00187C22">
        <w:rPr>
          <w:rFonts w:eastAsia="SimSun"/>
          <w:lang w:val="es-ES" w:eastAsia="zh-CN"/>
        </w:rPr>
        <w:tab/>
        <w:t xml:space="preserve">Actividades de las Comisiones de Estudio </w:t>
      </w:r>
    </w:p>
    <w:p w:rsidR="00591C54" w:rsidRPr="00187C22" w:rsidRDefault="00591C54" w:rsidP="00591C54">
      <w:pPr>
        <w:ind w:right="-284"/>
        <w:rPr>
          <w:lang w:val="es-ES"/>
        </w:rPr>
      </w:pPr>
      <w:r w:rsidRPr="00187C22">
        <w:rPr>
          <w:lang w:val="es-ES"/>
        </w:rPr>
        <w:t xml:space="preserve">Este tema se presenta en el </w:t>
      </w:r>
      <w:r w:rsidR="00187C22" w:rsidRPr="00187C22">
        <w:rPr>
          <w:lang w:val="es-ES"/>
        </w:rPr>
        <w:t>Addéndum</w:t>
      </w:r>
      <w:r w:rsidRPr="00187C22">
        <w:rPr>
          <w:lang w:val="es-ES"/>
        </w:rPr>
        <w:t xml:space="preserve"> al presente documento.</w:t>
      </w:r>
    </w:p>
    <w:p w:rsidR="00591C54" w:rsidRPr="00187C22" w:rsidRDefault="00591C54" w:rsidP="004534A7">
      <w:pPr>
        <w:pStyle w:val="Heading1"/>
        <w:rPr>
          <w:rFonts w:eastAsia="SimSun"/>
          <w:lang w:val="es-ES" w:eastAsia="zh-CN"/>
        </w:rPr>
      </w:pPr>
      <w:r w:rsidRPr="00187C22">
        <w:rPr>
          <w:rFonts w:eastAsia="SimSun"/>
          <w:lang w:val="es-ES" w:eastAsia="zh-CN"/>
        </w:rPr>
        <w:t>5</w:t>
      </w:r>
      <w:r w:rsidRPr="00187C22">
        <w:rPr>
          <w:rFonts w:eastAsia="SimSun"/>
          <w:lang w:val="es-ES" w:eastAsia="zh-CN"/>
        </w:rPr>
        <w:tab/>
        <w:t xml:space="preserve">Preparación de la CMR-15 </w:t>
      </w:r>
    </w:p>
    <w:p w:rsidR="00591C54" w:rsidRPr="00187C22" w:rsidRDefault="00591C54" w:rsidP="00591C54">
      <w:pPr>
        <w:tabs>
          <w:tab w:val="clear" w:pos="794"/>
          <w:tab w:val="clear" w:pos="1191"/>
          <w:tab w:val="clear" w:pos="1588"/>
          <w:tab w:val="clear" w:pos="1985"/>
        </w:tabs>
        <w:overflowPunct/>
        <w:textAlignment w:val="auto"/>
        <w:rPr>
          <w:bCs/>
          <w:lang w:val="es-ES"/>
        </w:rPr>
      </w:pPr>
      <w:r w:rsidRPr="00187C22">
        <w:rPr>
          <w:bCs/>
          <w:lang w:val="es-ES"/>
        </w:rPr>
        <w:t>El orden del día de la CMR-15, consignado en la Resolución 807 (CMR-12) (antes [COM6/6]), se examinará en la reunión de 2012 del Consejo, al que se invitará a adoptar una Resolución con el orden del día e información complementaria sobre el lugar y las fechas exactas de la CMR</w:t>
      </w:r>
      <w:r w:rsidRPr="00187C22">
        <w:rPr>
          <w:bCs/>
          <w:lang w:val="es-ES"/>
        </w:rPr>
        <w:noBreakHyphen/>
        <w:t xml:space="preserve">15. </w:t>
      </w:r>
    </w:p>
    <w:p w:rsidR="00591C54" w:rsidRPr="00187C22" w:rsidRDefault="00591C54" w:rsidP="00591C54">
      <w:pPr>
        <w:tabs>
          <w:tab w:val="clear" w:pos="794"/>
          <w:tab w:val="clear" w:pos="1191"/>
          <w:tab w:val="clear" w:pos="1588"/>
          <w:tab w:val="clear" w:pos="1985"/>
        </w:tabs>
        <w:overflowPunct/>
        <w:textAlignment w:val="auto"/>
        <w:rPr>
          <w:bCs/>
          <w:lang w:val="es-ES"/>
        </w:rPr>
      </w:pPr>
      <w:r w:rsidRPr="00187C22">
        <w:rPr>
          <w:bCs/>
          <w:lang w:val="es-ES"/>
        </w:rPr>
        <w:t>Atendiendo a lo solicitado por la CMR-12, se presentará al Consejo un documento en el que se evalúen las repercusiones de reducir la duración de las CMR.</w:t>
      </w:r>
    </w:p>
    <w:p w:rsidR="00591C54" w:rsidRPr="00187C22" w:rsidRDefault="00591C54" w:rsidP="004534A7">
      <w:pPr>
        <w:pStyle w:val="Heading2"/>
        <w:rPr>
          <w:lang w:val="es-ES" w:eastAsia="zh-CN"/>
        </w:rPr>
      </w:pPr>
      <w:r w:rsidRPr="00187C22">
        <w:rPr>
          <w:lang w:val="es-ES" w:eastAsia="zh-CN"/>
        </w:rPr>
        <w:t>5.1</w:t>
      </w:r>
      <w:r w:rsidRPr="00187C22">
        <w:rPr>
          <w:lang w:val="es-ES" w:eastAsia="zh-CN"/>
        </w:rPr>
        <w:tab/>
        <w:t>RPC15-1</w:t>
      </w:r>
    </w:p>
    <w:p w:rsidR="00591C54" w:rsidRPr="00187C22" w:rsidRDefault="00591C54" w:rsidP="00591C54">
      <w:pPr>
        <w:rPr>
          <w:bCs/>
          <w:lang w:val="es-ES"/>
        </w:rPr>
      </w:pPr>
      <w:r w:rsidRPr="00187C22">
        <w:rPr>
          <w:bCs/>
          <w:lang w:val="es-ES"/>
        </w:rPr>
        <w:t>La primera reunión de la Reunión Preparatoria de la Conferencia para la CMR-15 (RPC15-1) se celebró del 20 al 21 de febrero de 2012 con el fin de organizar los estudios preparatorios de la CMR-15, con arreglo al orden del día de la CMR-15 preparado en la CMR-12 y teniendo en cuenta otras Resoluciones de la CMR-12 en las que se piden estudios del UIT-R y un informe del Director a la CMR-15.</w:t>
      </w:r>
    </w:p>
    <w:p w:rsidR="00591C54" w:rsidRPr="00187C22" w:rsidRDefault="00591C54" w:rsidP="00591C54">
      <w:pPr>
        <w:rPr>
          <w:bCs/>
          <w:lang w:val="es-ES"/>
        </w:rPr>
      </w:pPr>
      <w:r w:rsidRPr="00187C22">
        <w:rPr>
          <w:bCs/>
          <w:lang w:val="es-ES"/>
        </w:rPr>
        <w:t xml:space="preserve">En la Carta Circular </w:t>
      </w:r>
      <w:hyperlink r:id="rId23" w:history="1">
        <w:r w:rsidRPr="00187C22">
          <w:rPr>
            <w:bCs/>
            <w:color w:val="0000FF"/>
            <w:u w:val="single"/>
            <w:lang w:val="es-ES"/>
          </w:rPr>
          <w:t>CA/201</w:t>
        </w:r>
      </w:hyperlink>
      <w:r w:rsidRPr="00187C22">
        <w:rPr>
          <w:bCs/>
          <w:lang w:val="es-ES"/>
        </w:rPr>
        <w:t>, de 19 de marzo de 2012, figuran los resultados de la RPC15-1, en particular las comisiones y grupos de</w:t>
      </w:r>
      <w:r w:rsidR="005668CC">
        <w:rPr>
          <w:bCs/>
          <w:lang w:val="es-ES"/>
        </w:rPr>
        <w:t>l UIT-R responsables y encargado</w:t>
      </w:r>
      <w:r w:rsidRPr="00187C22">
        <w:rPr>
          <w:bCs/>
          <w:lang w:val="es-ES"/>
        </w:rPr>
        <w:t>s de cada punto del orden del día de la CMR-15, comprendido un nuevo Grupo de Tareas Mixto (JTG 4-5-6-7) creado por la RPC15-1 para tratar los puntos 1.1 y 1.2 del orden del día de la CMR-15. Se solicitó a todos los grupos y comisiones que siguieran las directrices para la preparación de proyectos de texto para la RPC que se adjuntan en el Anexo 2 a la Resolución UIT-R 2-6.</w:t>
      </w:r>
    </w:p>
    <w:p w:rsidR="00591C54" w:rsidRPr="00187C22" w:rsidRDefault="00591C54" w:rsidP="00591C54">
      <w:pPr>
        <w:rPr>
          <w:lang w:val="es-ES"/>
        </w:rPr>
      </w:pPr>
      <w:r w:rsidRPr="00187C22">
        <w:rPr>
          <w:lang w:val="es-ES"/>
        </w:rPr>
        <w:t>En la CA/201 también figura información sobre la estructura y el esquema del proyecto de Informe de la RPC a la CMR</w:t>
      </w:r>
      <w:r w:rsidRPr="00187C22">
        <w:rPr>
          <w:lang w:val="es-ES"/>
        </w:rPr>
        <w:noBreakHyphen/>
        <w:t xml:space="preserve">15, que consta de seis capítulos y de ocho relatores de capítulo nombrados </w:t>
      </w:r>
      <w:r w:rsidRPr="00187C22">
        <w:rPr>
          <w:lang w:val="es-ES"/>
        </w:rPr>
        <w:lastRenderedPageBreak/>
        <w:t>para ayudar al Presidente en la gestión del flujo de contribuciones y en la preparación de los proyectos de texto de la RPC.</w:t>
      </w:r>
    </w:p>
    <w:p w:rsidR="00591C54" w:rsidRPr="00187C22" w:rsidRDefault="00591C54" w:rsidP="004534A7">
      <w:pPr>
        <w:pStyle w:val="Heading1"/>
        <w:rPr>
          <w:rFonts w:eastAsia="SimSun"/>
          <w:lang w:val="es-ES" w:eastAsia="zh-CN"/>
        </w:rPr>
      </w:pPr>
      <w:r w:rsidRPr="00187C22">
        <w:rPr>
          <w:rFonts w:eastAsia="SimSun"/>
          <w:lang w:val="es-ES" w:eastAsia="zh-CN"/>
        </w:rPr>
        <w:t>6</w:t>
      </w:r>
      <w:r w:rsidRPr="00187C22">
        <w:rPr>
          <w:rFonts w:eastAsia="SimSun"/>
          <w:lang w:val="es-ES" w:eastAsia="zh-CN"/>
        </w:rPr>
        <w:tab/>
        <w:t>Planificación operacional</w:t>
      </w:r>
    </w:p>
    <w:p w:rsidR="00591C54" w:rsidRPr="00187C22" w:rsidRDefault="00591C54" w:rsidP="00A56075">
      <w:pPr>
        <w:rPr>
          <w:lang w:val="es-ES"/>
        </w:rPr>
      </w:pPr>
      <w:r w:rsidRPr="00187C22">
        <w:rPr>
          <w:lang w:val="es-ES"/>
        </w:rPr>
        <w:t xml:space="preserve">El proyecto de Plan Operacional para el periodo 2013-2016 está disponible en: </w:t>
      </w:r>
      <w:hyperlink r:id="rId24" w:history="1">
        <w:r w:rsidRPr="00187C22">
          <w:rPr>
            <w:rStyle w:val="Hyperlink"/>
            <w:lang w:val="es-ES"/>
          </w:rPr>
          <w:t>http://www.itu.int/ITU-R/go/operational-plans/</w:t>
        </w:r>
      </w:hyperlink>
      <w:r w:rsidR="00A56075" w:rsidRPr="00187C22">
        <w:rPr>
          <w:lang w:val="es-ES"/>
        </w:rPr>
        <w:t xml:space="preserve"> </w:t>
      </w:r>
      <w:r w:rsidRPr="00187C22">
        <w:rPr>
          <w:lang w:val="es-ES"/>
        </w:rPr>
        <w:t>para su consideración por el GAR. Este Plan se ha estructurado con arreglo a los resultados a fin de garantizar una vinculación completa con el presupuesto y otros instrumentos financieros de la Unión. También aborda los aspectos estratégicos del UIT-R y proporciona la vinculación adecuada con el Plan Estratégico de la UIT.</w:t>
      </w:r>
    </w:p>
    <w:p w:rsidR="00591C54" w:rsidRPr="00187C22" w:rsidRDefault="00591C54" w:rsidP="00591C54">
      <w:pPr>
        <w:rPr>
          <w:lang w:val="es-ES"/>
        </w:rPr>
      </w:pPr>
      <w:r w:rsidRPr="00187C22">
        <w:rPr>
          <w:lang w:val="es-ES"/>
        </w:rPr>
        <w:t xml:space="preserve">El Informe de rendimiento de 2011 está disponible en: </w:t>
      </w:r>
      <w:hyperlink r:id="rId25" w:history="1">
        <w:r w:rsidRPr="00187C22">
          <w:rPr>
            <w:rStyle w:val="Hyperlink"/>
            <w:lang w:val="es-ES"/>
          </w:rPr>
          <w:t>http://www.itu.int/ITU-R/go/performance-reports/</w:t>
        </w:r>
      </w:hyperlink>
      <w:r w:rsidRPr="00187C22">
        <w:rPr>
          <w:lang w:val="es-ES"/>
        </w:rPr>
        <w:t>. Su objetivo es proporcionar la información pertinente relativa a la aplicación de los resultados y actividades previstas en el Plan Operacional del UIT-R para 2011. El Informe de rendimiento ofrece una comparación entre los resultados logrados y los resultados esperados así como los respectivos indicadores esenciales de rendimiento, que se especifican con cada objetivo fundamental y en relación a cada resultado pertinente en el documento.</w:t>
      </w:r>
    </w:p>
    <w:p w:rsidR="00591C54" w:rsidRPr="00187C22" w:rsidRDefault="00591C54" w:rsidP="004534A7">
      <w:pPr>
        <w:pStyle w:val="Heading1"/>
        <w:rPr>
          <w:lang w:val="es-ES" w:eastAsia="zh-CN"/>
        </w:rPr>
      </w:pPr>
      <w:r w:rsidRPr="00187C22">
        <w:rPr>
          <w:lang w:val="es-ES" w:eastAsia="zh-CN"/>
        </w:rPr>
        <w:t>7</w:t>
      </w:r>
      <w:r w:rsidRPr="00187C22">
        <w:rPr>
          <w:lang w:val="es-ES" w:eastAsia="zh-CN"/>
        </w:rPr>
        <w:tab/>
        <w:t>Información y asistencia a los Miembros</w:t>
      </w:r>
    </w:p>
    <w:p w:rsidR="00591C54" w:rsidRPr="00187C22" w:rsidRDefault="00591C54" w:rsidP="005668CC">
      <w:pPr>
        <w:rPr>
          <w:rFonts w:cs="Calibri"/>
          <w:lang w:val="es-ES"/>
        </w:rPr>
      </w:pPr>
      <w:r w:rsidRPr="00187C22">
        <w:rPr>
          <w:rFonts w:cs="Calibri"/>
          <w:lang w:val="es-ES"/>
        </w:rPr>
        <w:t>Con el fin de informar y ayudar a los Miembros de la UIT, en particular los países en desarrollo, acerca de asuntos relacionados con las radiocomunicaciones, la BR organiza o participa en diversos talleres, reuniones y actividades de formación en materia de espectro.</w:t>
      </w:r>
      <w:r w:rsidRPr="00187C22">
        <w:rPr>
          <w:lang w:val="es-ES"/>
        </w:rPr>
        <w:t xml:space="preserve"> Estas actividades se llevan a cabo en estrecha cooperación con la BDT, las oficinas regionales y de zona de la UIT y las correspondientes organizaciones internacionales o autoridades nacionales, y contribuyen directamente a la creación de capacidades y el intercambio de experiencias entre los Miembros de la</w:t>
      </w:r>
      <w:r w:rsidR="005668CC">
        <w:rPr>
          <w:lang w:val="es-ES"/>
        </w:rPr>
        <w:t> </w:t>
      </w:r>
      <w:r w:rsidRPr="00187C22">
        <w:rPr>
          <w:lang w:val="es-ES"/>
        </w:rPr>
        <w:t xml:space="preserve">UIT </w:t>
      </w:r>
      <w:r w:rsidRPr="00187C22">
        <w:rPr>
          <w:rFonts w:cs="Calibri"/>
          <w:lang w:val="es-ES"/>
        </w:rPr>
        <w:t>sobre cuestiones de espectro. Se han desplegado esfuerzos especiales para ayudar a los miembros y promover la cooperación en la transición a la televisión digital terrenal y a la atribución del dividendo digital.</w:t>
      </w:r>
    </w:p>
    <w:p w:rsidR="00591C54" w:rsidRPr="00187C22" w:rsidRDefault="00591C54" w:rsidP="00591C54">
      <w:pPr>
        <w:rPr>
          <w:bCs/>
          <w:lang w:val="es-ES" w:eastAsia="zh-CN"/>
        </w:rPr>
      </w:pPr>
      <w:r w:rsidRPr="00187C22">
        <w:rPr>
          <w:bCs/>
          <w:lang w:val="es-ES" w:eastAsia="zh-CN"/>
        </w:rPr>
        <w:t>En los Cuadros que figuran a continuación se enumeran los eventos en los que la BR ha participado o tienen previsto participar en 2011 y 2012.</w:t>
      </w:r>
    </w:p>
    <w:p w:rsidR="004534A7" w:rsidRPr="00187C22" w:rsidRDefault="004534A7">
      <w:pPr>
        <w:tabs>
          <w:tab w:val="clear" w:pos="794"/>
          <w:tab w:val="clear" w:pos="1191"/>
          <w:tab w:val="clear" w:pos="1588"/>
          <w:tab w:val="clear" w:pos="1985"/>
        </w:tabs>
        <w:overflowPunct/>
        <w:autoSpaceDE/>
        <w:autoSpaceDN/>
        <w:adjustRightInd/>
        <w:spacing w:before="0"/>
        <w:textAlignment w:val="auto"/>
        <w:rPr>
          <w:b/>
          <w:bCs/>
          <w:lang w:val="es-ES"/>
        </w:rPr>
      </w:pPr>
      <w:r w:rsidRPr="00187C22">
        <w:rPr>
          <w:b/>
          <w:bCs/>
          <w:lang w:val="es-ES"/>
        </w:rPr>
        <w:br w:type="page"/>
      </w: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4"/>
        <w:gridCol w:w="1560"/>
        <w:gridCol w:w="1417"/>
        <w:gridCol w:w="1418"/>
      </w:tblGrid>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r w:rsidRPr="00187C22">
              <w:rPr>
                <w:rFonts w:asciiTheme="majorBidi" w:hAnsiTheme="majorBidi" w:cstheme="majorBidi"/>
                <w:b/>
                <w:bCs/>
                <w:sz w:val="20"/>
                <w:lang w:val="es-ES" w:eastAsia="zh-CN"/>
              </w:rPr>
              <w:lastRenderedPageBreak/>
              <w:t>2011</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p>
        </w:tc>
      </w:tr>
      <w:tr w:rsidR="00591C54" w:rsidRPr="00187C22" w:rsidTr="0056519E">
        <w:trPr>
          <w:cantSplit/>
          <w:trHeight w:val="225"/>
        </w:trPr>
        <w:tc>
          <w:tcPr>
            <w:tcW w:w="5684" w:type="dxa"/>
            <w:tcBorders>
              <w:bottom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r w:rsidRPr="00187C22">
              <w:rPr>
                <w:rFonts w:asciiTheme="majorBidi" w:hAnsiTheme="majorBidi" w:cstheme="majorBidi"/>
                <w:b/>
                <w:bCs/>
                <w:sz w:val="20"/>
                <w:lang w:val="es-ES" w:eastAsia="zh-CN"/>
              </w:rPr>
              <w:t>Título</w:t>
            </w:r>
          </w:p>
        </w:tc>
        <w:tc>
          <w:tcPr>
            <w:tcW w:w="1560" w:type="dxa"/>
            <w:tcBorders>
              <w:bottom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r w:rsidRPr="00187C22">
              <w:rPr>
                <w:rFonts w:asciiTheme="majorBidi" w:hAnsiTheme="majorBidi" w:cstheme="majorBidi"/>
                <w:b/>
                <w:bCs/>
                <w:sz w:val="20"/>
                <w:lang w:val="es-ES" w:eastAsia="zh-CN"/>
              </w:rPr>
              <w:t>Comienzo</w:t>
            </w:r>
          </w:p>
        </w:tc>
        <w:tc>
          <w:tcPr>
            <w:tcW w:w="1417" w:type="dxa"/>
            <w:tcBorders>
              <w:bottom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r w:rsidRPr="00187C22">
              <w:rPr>
                <w:rFonts w:asciiTheme="majorBidi" w:hAnsiTheme="majorBidi" w:cstheme="majorBidi"/>
                <w:b/>
                <w:bCs/>
                <w:sz w:val="20"/>
                <w:lang w:val="es-ES" w:eastAsia="zh-CN"/>
              </w:rPr>
              <w:t>Fin</w:t>
            </w:r>
          </w:p>
        </w:tc>
        <w:tc>
          <w:tcPr>
            <w:tcW w:w="1418" w:type="dxa"/>
            <w:tcBorders>
              <w:bottom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r w:rsidRPr="00187C22">
              <w:rPr>
                <w:rFonts w:asciiTheme="majorBidi" w:hAnsiTheme="majorBidi" w:cstheme="majorBidi"/>
                <w:b/>
                <w:bCs/>
                <w:sz w:val="20"/>
                <w:lang w:val="es-ES" w:eastAsia="zh-CN"/>
              </w:rPr>
              <w:t>Lugar</w:t>
            </w:r>
          </w:p>
        </w:tc>
      </w:tr>
      <w:tr w:rsidR="00591C54" w:rsidRPr="00187C22" w:rsidTr="0056519E">
        <w:trPr>
          <w:cantSplit/>
          <w:trHeight w:val="225"/>
        </w:trPr>
        <w:tc>
          <w:tcPr>
            <w:tcW w:w="5684"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s-ES" w:eastAsia="zh-CN"/>
              </w:rPr>
            </w:pPr>
            <w:r w:rsidRPr="00187C22">
              <w:rPr>
                <w:rFonts w:asciiTheme="majorBidi" w:hAnsiTheme="majorBidi" w:cstheme="majorBidi"/>
                <w:b/>
                <w:bCs/>
                <w:sz w:val="18"/>
                <w:szCs w:val="18"/>
                <w:lang w:val="es-ES" w:eastAsia="zh-CN"/>
              </w:rPr>
              <w:t>ORGANISMOS ESPECIALIZADOS DE LA NACIONES UNIDAS</w:t>
            </w:r>
          </w:p>
        </w:tc>
        <w:tc>
          <w:tcPr>
            <w:tcW w:w="1560"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p>
        </w:tc>
        <w:tc>
          <w:tcPr>
            <w:tcW w:w="1417"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p>
        </w:tc>
        <w:tc>
          <w:tcPr>
            <w:tcW w:w="1418"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Grupo de Dirección de la OMM sobre coordinación de radiofrecuencias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18 de enero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enero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48ª Reunión del Subcomité Científico y Técnico de COPUOS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febrero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18 de febrero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Viena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15ª Reunión de COMSAR de la OMI</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marzo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 de marzo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Londres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31ª Sesión de la Reunión Interorganismos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marzo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18 de marzo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24ª </w:t>
            </w:r>
            <w:r w:rsidR="005668CC" w:rsidRPr="00187C22">
              <w:rPr>
                <w:rFonts w:asciiTheme="majorBidi" w:hAnsiTheme="majorBidi" w:cstheme="majorBidi"/>
                <w:sz w:val="18"/>
                <w:szCs w:val="18"/>
                <w:lang w:val="es-ES" w:eastAsia="zh-CN"/>
              </w:rPr>
              <w:t xml:space="preserve">Reunión </w:t>
            </w:r>
            <w:r w:rsidRPr="00187C22">
              <w:rPr>
                <w:rFonts w:asciiTheme="majorBidi" w:hAnsiTheme="majorBidi" w:cstheme="majorBidi"/>
                <w:sz w:val="18"/>
                <w:szCs w:val="18"/>
                <w:lang w:val="es-ES" w:eastAsia="zh-CN"/>
              </w:rPr>
              <w:t>del Comité Aeronáutico de la OACI, Panel WG F</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 17 de marzo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marzo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París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Reunión Interorganismos de las Naciones Unidas sobre </w:t>
            </w:r>
            <w:r w:rsidR="00F91653">
              <w:rPr>
                <w:rFonts w:asciiTheme="majorBidi" w:hAnsiTheme="majorBidi" w:cstheme="majorBidi"/>
                <w:sz w:val="18"/>
                <w:szCs w:val="18"/>
                <w:lang w:val="es-ES" w:eastAsia="zh-CN"/>
              </w:rPr>
              <w:t>«</w:t>
            </w:r>
            <w:r w:rsidR="005668CC">
              <w:rPr>
                <w:rFonts w:asciiTheme="majorBidi" w:hAnsiTheme="majorBidi" w:cstheme="majorBidi"/>
                <w:sz w:val="18"/>
                <w:szCs w:val="18"/>
                <w:lang w:val="es-ES" w:eastAsia="zh-CN"/>
              </w:rPr>
              <w:t>Espacio y cambio climático</w:t>
            </w:r>
            <w:r w:rsidR="00F91653">
              <w:rPr>
                <w:rFonts w:asciiTheme="majorBidi" w:hAnsiTheme="majorBidi" w:cstheme="majorBidi"/>
                <w:sz w:val="18"/>
                <w:szCs w:val="18"/>
                <w:lang w:val="es-ES" w:eastAsia="zh-CN"/>
              </w:rPr>
              <w:t>»</w:t>
            </w:r>
            <w:r w:rsidRPr="00187C22">
              <w:rPr>
                <w:rFonts w:asciiTheme="majorBidi" w:hAnsiTheme="majorBidi" w:cstheme="majorBidi"/>
                <w:sz w:val="18"/>
                <w:szCs w:val="18"/>
                <w:lang w:val="es-ES" w:eastAsia="zh-CN"/>
              </w:rPr>
              <w:t xml:space="preserve">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18 de marzo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18 de marzo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Conferencia de seguridad espacial de UNIDIR de 2011</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 de abril</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 de abril</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16º Comité Asesor International OMS/EMF</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17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Ljubljana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16º Congreso Mundial de Meteorología/OMM</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54ª Reunión de COPUOS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Viena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Mesa redonda del CERN sobre ciencia y sociedad</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 de julio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 de julio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7ª Reunión del Grupo mixto de Expertos OMI/UIT</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Londres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Simposio Naciones Unidas/Austria/ESA sobre Programa de satélites pequeños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Graz</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Comité de Dirección de la OMM sobre coordinación de radiofrecuencias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2ª Reunión del Comité Aeronáutico de la OACI, Panel WG F</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10 de octubre </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Dakar</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de Naciones Unidas/Viet</w:t>
            </w:r>
            <w:r w:rsidR="005668CC">
              <w:rPr>
                <w:rFonts w:asciiTheme="majorBidi" w:hAnsiTheme="majorBidi" w:cstheme="majorBidi"/>
                <w:sz w:val="18"/>
                <w:szCs w:val="18"/>
                <w:lang w:val="es-ES" w:eastAsia="zh-CN"/>
              </w:rPr>
              <w:t xml:space="preserve"> </w:t>
            </w:r>
            <w:r w:rsidR="005668CC" w:rsidRPr="00187C22">
              <w:rPr>
                <w:rFonts w:asciiTheme="majorBidi" w:hAnsiTheme="majorBidi" w:cstheme="majorBidi"/>
                <w:sz w:val="18"/>
                <w:szCs w:val="18"/>
                <w:lang w:val="es-ES" w:eastAsia="zh-CN"/>
              </w:rPr>
              <w:t xml:space="preserve">Nam </w:t>
            </w:r>
            <w:r w:rsidRPr="00187C22">
              <w:rPr>
                <w:rFonts w:asciiTheme="majorBidi" w:hAnsiTheme="majorBidi" w:cstheme="majorBidi"/>
                <w:sz w:val="18"/>
                <w:szCs w:val="18"/>
                <w:lang w:val="es-ES" w:eastAsia="zh-CN"/>
              </w:rPr>
              <w:t>sobre aplicaciones de la tecnología espacial</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10 de octubre </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Hanoi</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Conferencia de las Naciones Unidas sobre el cambio climático, COP 17</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 2 de diciembre </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Durban</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OACI – Debate sobre la Autoridad Supervisora del sistema de registro internacional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diciembre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diciembre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Montreal</w:t>
            </w:r>
          </w:p>
        </w:tc>
      </w:tr>
      <w:tr w:rsidR="00591C54" w:rsidRPr="00187C22" w:rsidTr="0056519E">
        <w:trPr>
          <w:cantSplit/>
          <w:trHeight w:val="225"/>
        </w:trPr>
        <w:tc>
          <w:tcPr>
            <w:tcW w:w="5684" w:type="dxa"/>
            <w:tcBorders>
              <w:bottom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Reunión Internacional de Naciones Unidas sobre la aplicación de GNSS</w:t>
            </w:r>
          </w:p>
        </w:tc>
        <w:tc>
          <w:tcPr>
            <w:tcW w:w="1560" w:type="dxa"/>
            <w:tcBorders>
              <w:bottom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diciembre</w:t>
            </w:r>
          </w:p>
        </w:tc>
        <w:tc>
          <w:tcPr>
            <w:tcW w:w="1417" w:type="dxa"/>
            <w:tcBorders>
              <w:bottom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diciembre</w:t>
            </w:r>
          </w:p>
        </w:tc>
        <w:tc>
          <w:tcPr>
            <w:tcW w:w="1418" w:type="dxa"/>
            <w:tcBorders>
              <w:bottom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Viena</w:t>
            </w:r>
          </w:p>
        </w:tc>
      </w:tr>
      <w:tr w:rsidR="00591C54" w:rsidRPr="00187C22" w:rsidTr="0056519E">
        <w:trPr>
          <w:cantSplit/>
          <w:trHeight w:val="225"/>
        </w:trPr>
        <w:tc>
          <w:tcPr>
            <w:tcW w:w="5684"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s-ES" w:eastAsia="zh-CN"/>
              </w:rPr>
            </w:pPr>
            <w:r w:rsidRPr="00187C22">
              <w:rPr>
                <w:rFonts w:asciiTheme="majorBidi" w:hAnsiTheme="majorBidi" w:cstheme="majorBidi"/>
                <w:b/>
                <w:bCs/>
                <w:sz w:val="18"/>
                <w:szCs w:val="18"/>
                <w:lang w:val="es-ES" w:eastAsia="zh-CN"/>
              </w:rPr>
              <w:t>ORGANIZACIONES REGIONALES DE TELECOMUNICACIONES</w:t>
            </w:r>
          </w:p>
        </w:tc>
        <w:tc>
          <w:tcPr>
            <w:tcW w:w="1560"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p>
        </w:tc>
        <w:tc>
          <w:tcPr>
            <w:tcW w:w="1417"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p>
        </w:tc>
        <w:tc>
          <w:tcPr>
            <w:tcW w:w="1418"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A5607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9ª</w:t>
            </w:r>
            <w:r w:rsidR="00A56075" w:rsidRPr="00187C22">
              <w:rPr>
                <w:rFonts w:asciiTheme="majorBidi" w:hAnsiTheme="majorBidi" w:cstheme="majorBidi"/>
                <w:sz w:val="18"/>
                <w:szCs w:val="18"/>
                <w:lang w:val="es-ES" w:eastAsia="zh-CN"/>
              </w:rPr>
              <w:t xml:space="preserve"> </w:t>
            </w:r>
            <w:r w:rsidRPr="00187C22">
              <w:rPr>
                <w:rFonts w:asciiTheme="majorBidi" w:hAnsiTheme="majorBidi" w:cstheme="majorBidi"/>
                <w:sz w:val="18"/>
                <w:szCs w:val="18"/>
                <w:lang w:val="es-ES" w:eastAsia="zh-CN"/>
              </w:rPr>
              <w:t>Reunión de CEPT CPG PTC</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18 de enero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enero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Toulouse</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6º Foro anual sobre la transición a la radiodifusión digital (DBSF-11)</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 de febrero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febrero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Johannesburgo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1ª Reunión preparatoria africana de la CMR-12</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 de febrero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febrero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Abuja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2ª Reunión del Grupo de Expertos RCC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marzo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24 de marzo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Moscú</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10ª Reunión del Grupo Inalámbrico APT (AWG-10)</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marzo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marzo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Bangkok</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CEPT CPG PTA</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marzo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31 de marzo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Copenhague</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10ª Reunión de ECC FM 46</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marzo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31 de marzo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Estambul</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GT RCC sobre los preparativos para la CMR-12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 de abril</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abril</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Tashkent</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10ª </w:t>
            </w:r>
            <w:r w:rsidR="0056519E" w:rsidRPr="00187C22">
              <w:rPr>
                <w:rFonts w:asciiTheme="majorBidi" w:hAnsiTheme="majorBidi" w:cstheme="majorBidi"/>
                <w:sz w:val="18"/>
                <w:szCs w:val="18"/>
                <w:lang w:val="es-ES" w:eastAsia="zh-CN"/>
              </w:rPr>
              <w:t xml:space="preserve">Reunión </w:t>
            </w:r>
            <w:r w:rsidRPr="00187C22">
              <w:rPr>
                <w:rFonts w:asciiTheme="majorBidi" w:hAnsiTheme="majorBidi" w:cstheme="majorBidi"/>
                <w:sz w:val="18"/>
                <w:szCs w:val="18"/>
                <w:lang w:val="es-ES" w:eastAsia="zh-CN"/>
              </w:rPr>
              <w:t>de CEPT CPG PTC</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abril</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abril</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Vilnius</w:t>
            </w:r>
          </w:p>
        </w:tc>
      </w:tr>
      <w:tr w:rsidR="00591C54" w:rsidRPr="00187C22" w:rsidTr="0056519E">
        <w:trPr>
          <w:cantSplit/>
          <w:trHeight w:val="225"/>
        </w:trPr>
        <w:tc>
          <w:tcPr>
            <w:tcW w:w="5684" w:type="dxa"/>
            <w:shd w:val="clear" w:color="auto" w:fill="auto"/>
            <w:noWrap/>
            <w:vAlign w:val="bottom"/>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15ª Reunión anual general de la Asociación de Telecomunicaciones de las Islas del Pacífico</w:t>
            </w:r>
          </w:p>
        </w:tc>
        <w:tc>
          <w:tcPr>
            <w:tcW w:w="1560" w:type="dxa"/>
            <w:shd w:val="clear" w:color="auto" w:fill="auto"/>
            <w:noWrap/>
            <w:vAlign w:val="bottom"/>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abril</w:t>
            </w:r>
          </w:p>
        </w:tc>
        <w:tc>
          <w:tcPr>
            <w:tcW w:w="1417" w:type="dxa"/>
            <w:shd w:val="clear" w:color="auto" w:fill="auto"/>
            <w:noWrap/>
            <w:vAlign w:val="bottom"/>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abril</w:t>
            </w:r>
          </w:p>
        </w:tc>
        <w:tc>
          <w:tcPr>
            <w:tcW w:w="1418" w:type="dxa"/>
            <w:shd w:val="clear" w:color="auto" w:fill="auto"/>
            <w:noWrap/>
            <w:vAlign w:val="bottom"/>
          </w:tcPr>
          <w:p w:rsidR="00591C54" w:rsidRPr="00187C22" w:rsidRDefault="00591C54" w:rsidP="005668C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Numea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57ª Reunión de la Asamblea General de ETSI</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19 de abril</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20 de abril </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Cannes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11ª Reunión de CEPT CPG PTD</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26 de abril</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 29 de abril</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Francia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72ª Reunión de WGFM</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Miesbach</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CITEL PCC II</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17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Santo Domingo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CEPT CPG/PTA</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Bienne</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CEPT CPG/PTE (preparativos para el GAR y la AR-12)</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Bienne</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COSPAS SARSAT JC-25</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Hong Kong</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CPG 12-7</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 de julio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Oxford</w:t>
            </w:r>
          </w:p>
        </w:tc>
      </w:tr>
      <w:tr w:rsidR="00591C54" w:rsidRPr="00187C22" w:rsidTr="0056519E">
        <w:trPr>
          <w:cantSplit/>
          <w:trHeight w:val="225"/>
        </w:trPr>
        <w:tc>
          <w:tcPr>
            <w:tcW w:w="5684" w:type="dxa"/>
            <w:shd w:val="clear" w:color="auto" w:fill="auto"/>
            <w:noWrap/>
            <w:vAlign w:val="bottom"/>
            <w:hideMark/>
          </w:tcPr>
          <w:p w:rsidR="00591C54" w:rsidRPr="00187C22" w:rsidRDefault="00187C22"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Pr>
                <w:rFonts w:asciiTheme="majorBidi" w:hAnsiTheme="majorBidi" w:cstheme="majorBidi"/>
                <w:sz w:val="18"/>
                <w:szCs w:val="18"/>
                <w:lang w:val="es-ES" w:eastAsia="zh-CN"/>
              </w:rPr>
              <w:t>BIPM –</w:t>
            </w:r>
            <w:r w:rsidR="00591C54" w:rsidRPr="00187C22">
              <w:rPr>
                <w:rFonts w:asciiTheme="majorBidi" w:hAnsiTheme="majorBidi" w:cstheme="majorBidi"/>
                <w:sz w:val="18"/>
                <w:szCs w:val="18"/>
                <w:lang w:val="es-ES" w:eastAsia="zh-CN"/>
              </w:rPr>
              <w:t xml:space="preserve"> Taller sobre el desarrollo de técnicas avanzadas de transferencia de tiempo y frecuencia</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28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Sèvres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2º Seminario preparatorio de HBF-ABU sobre la CMR-12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 de julio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julio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Kuala Lumpur</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Reunión RCC/CEPT para la preparación de la CMR-12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 de julio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julio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París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2ª Reunión Preparatoria del Grupo Africano ATU para la CMR-12</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 de julio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julio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Argelia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A5607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Reunión CPG/APG-5 APT</w:t>
            </w:r>
            <w:r w:rsidR="00A56075" w:rsidRPr="00187C22">
              <w:rPr>
                <w:rFonts w:asciiTheme="majorBidi" w:hAnsiTheme="majorBidi" w:cstheme="majorBidi"/>
                <w:sz w:val="18"/>
                <w:szCs w:val="18"/>
                <w:lang w:val="es-ES" w:eastAsia="zh-CN"/>
              </w:rPr>
              <w:t xml:space="preserve"> </w:t>
            </w:r>
            <w:r w:rsidRPr="00187C22">
              <w:rPr>
                <w:rFonts w:asciiTheme="majorBidi" w:hAnsiTheme="majorBidi" w:cstheme="majorBidi"/>
                <w:sz w:val="18"/>
                <w:szCs w:val="18"/>
                <w:lang w:val="es-ES" w:eastAsia="zh-CN"/>
              </w:rPr>
              <w:t xml:space="preserve">para la CMR-12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agosto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Busan</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51ª Reunión del Consejo y 9º Foro anual CTO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Puerto España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11ª </w:t>
            </w:r>
            <w:r w:rsidR="0056519E" w:rsidRPr="00187C22">
              <w:rPr>
                <w:rFonts w:asciiTheme="majorBidi" w:hAnsiTheme="majorBidi" w:cstheme="majorBidi"/>
                <w:sz w:val="18"/>
                <w:szCs w:val="18"/>
                <w:lang w:val="es-ES" w:eastAsia="zh-CN"/>
              </w:rPr>
              <w:t xml:space="preserve">Reunión </w:t>
            </w:r>
            <w:r w:rsidRPr="00187C22">
              <w:rPr>
                <w:rFonts w:asciiTheme="majorBidi" w:hAnsiTheme="majorBidi" w:cstheme="majorBidi"/>
                <w:sz w:val="18"/>
                <w:szCs w:val="18"/>
                <w:lang w:val="es-ES" w:eastAsia="zh-CN"/>
              </w:rPr>
              <w:t>de ECC FM 46</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Tallin</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RCC WG sobre la preparación de la CMR-12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19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Saransk</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Reunión mixta sobre RCC</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Saransk</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ECC/FM 49 – PPDR</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28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Berlín</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11ª Reunión de CEPT CPG PTC</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30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Mainz</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Reunión Preparatoria de ASMG para la CMR-12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Sharm el Sheikh</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CEPT CPG/PTE (preparativos para el GAR y la AR-12)</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Copenhague</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lastRenderedPageBreak/>
              <w:t>CEPT CPG/PTA</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Copenhague</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Grupo UIT de la Commonwealth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Londres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CPG 12-8</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 de noviembre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Rumania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ECC/FM 49 – PPDR</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noviembre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Helsinki</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RCC WG sobre los preparativos para la CMR-12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noviembre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Moscú</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CITEL XVIII PCC.II</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28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diciembre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San Juan</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A5607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58ª Reunión de la Asamblea General de</w:t>
            </w:r>
            <w:r w:rsidR="00A56075" w:rsidRPr="00187C22">
              <w:rPr>
                <w:rFonts w:asciiTheme="majorBidi" w:hAnsiTheme="majorBidi" w:cstheme="majorBidi"/>
                <w:sz w:val="18"/>
                <w:szCs w:val="18"/>
                <w:lang w:val="es-ES" w:eastAsia="zh-CN"/>
              </w:rPr>
              <w:t xml:space="preserve"> </w:t>
            </w:r>
            <w:r w:rsidRPr="00187C22">
              <w:rPr>
                <w:rFonts w:asciiTheme="majorBidi" w:hAnsiTheme="majorBidi" w:cstheme="majorBidi"/>
                <w:sz w:val="18"/>
                <w:szCs w:val="18"/>
                <w:lang w:val="es-ES" w:eastAsia="zh-CN"/>
              </w:rPr>
              <w:t>ETSI</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30 de noviembre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Cannes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Cumbre de ATU sobre transición a digital y política en materia de espectro</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 de diciembre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Nairobi</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36ª Reunión plenaria de GSMA</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diciembre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 de diciembre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El Salvador</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1ª Reunión del Grupo del Foro Marítimo FM (antes FM46)</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diciembre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14 de diciembre </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Copenhague</w:t>
            </w:r>
          </w:p>
        </w:tc>
      </w:tr>
      <w:tr w:rsidR="00591C54" w:rsidRPr="00187C22" w:rsidTr="0056519E">
        <w:trPr>
          <w:cantSplit/>
          <w:trHeight w:val="225"/>
        </w:trPr>
        <w:tc>
          <w:tcPr>
            <w:tcW w:w="5684"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s-ES" w:eastAsia="zh-CN"/>
              </w:rPr>
            </w:pPr>
            <w:r w:rsidRPr="00187C22">
              <w:rPr>
                <w:rFonts w:asciiTheme="majorBidi" w:hAnsiTheme="majorBidi" w:cstheme="majorBidi"/>
                <w:b/>
                <w:bCs/>
                <w:sz w:val="18"/>
                <w:szCs w:val="18"/>
                <w:lang w:val="es-ES" w:eastAsia="zh-CN"/>
              </w:rPr>
              <w:t xml:space="preserve">CONFERENCIAS Y SIMPOSIOS aparte de los de la UIT </w:t>
            </w:r>
          </w:p>
        </w:tc>
        <w:tc>
          <w:tcPr>
            <w:tcW w:w="1560"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p>
        </w:tc>
        <w:tc>
          <w:tcPr>
            <w:tcW w:w="1417"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p>
        </w:tc>
        <w:tc>
          <w:tcPr>
            <w:tcW w:w="1418"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Foro árabe de Telecomunicaciones e Internet (ATIF-2011)</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26 de enero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enero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Beirut</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CERD 2011</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 de febrero</w:t>
            </w:r>
          </w:p>
        </w:tc>
        <w:tc>
          <w:tcPr>
            <w:tcW w:w="1417" w:type="dxa"/>
            <w:shd w:val="clear" w:color="auto" w:fill="auto"/>
            <w:noWrap/>
            <w:vAlign w:val="bottom"/>
            <w:hideMark/>
          </w:tcPr>
          <w:p w:rsidR="00591C54" w:rsidRPr="00187C22" w:rsidRDefault="00591C54" w:rsidP="002867CD">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w:t>
            </w:r>
            <w:r w:rsidR="002867CD" w:rsidRPr="00187C22">
              <w:rPr>
                <w:rFonts w:asciiTheme="majorBidi" w:hAnsiTheme="majorBidi" w:cstheme="majorBidi"/>
                <w:sz w:val="18"/>
                <w:szCs w:val="18"/>
                <w:lang w:val="es-ES" w:eastAsia="zh-CN"/>
              </w:rPr>
              <w:t xml:space="preserve"> de</w:t>
            </w:r>
            <w:r w:rsidRPr="00187C22">
              <w:rPr>
                <w:rFonts w:asciiTheme="majorBidi" w:hAnsiTheme="majorBidi" w:cstheme="majorBidi"/>
                <w:sz w:val="18"/>
                <w:szCs w:val="18"/>
                <w:lang w:val="es-ES" w:eastAsia="zh-CN"/>
              </w:rPr>
              <w:t xml:space="preserve"> </w:t>
            </w:r>
            <w:r w:rsidR="002867CD" w:rsidRPr="00187C22">
              <w:rPr>
                <w:rFonts w:asciiTheme="majorBidi" w:hAnsiTheme="majorBidi" w:cstheme="majorBidi"/>
                <w:sz w:val="18"/>
                <w:szCs w:val="18"/>
                <w:lang w:val="es-ES" w:eastAsia="zh-CN"/>
              </w:rPr>
              <w:t>f</w:t>
            </w:r>
            <w:r w:rsidRPr="00187C22">
              <w:rPr>
                <w:rFonts w:asciiTheme="majorBidi" w:hAnsiTheme="majorBidi" w:cstheme="majorBidi"/>
                <w:sz w:val="18"/>
                <w:szCs w:val="18"/>
                <w:lang w:val="es-ES" w:eastAsia="zh-CN"/>
              </w:rPr>
              <w:t>eb</w:t>
            </w:r>
            <w:r w:rsidR="002867CD" w:rsidRPr="00187C22">
              <w:rPr>
                <w:rFonts w:asciiTheme="majorBidi" w:hAnsiTheme="majorBidi" w:cstheme="majorBidi"/>
                <w:sz w:val="18"/>
                <w:szCs w:val="18"/>
                <w:lang w:val="es-ES" w:eastAsia="zh-CN"/>
              </w:rPr>
              <w:t>rero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Bratislava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II Simposio Internacional de Telecom</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 de febrero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 de febrero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La Habana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5ª </w:t>
            </w:r>
            <w:r w:rsidR="005668CC" w:rsidRPr="00187C22">
              <w:rPr>
                <w:rFonts w:asciiTheme="majorBidi" w:hAnsiTheme="majorBidi" w:cstheme="majorBidi"/>
                <w:sz w:val="18"/>
                <w:szCs w:val="18"/>
                <w:lang w:val="es-ES" w:eastAsia="zh-CN"/>
              </w:rPr>
              <w:t>Reunión</w:t>
            </w:r>
            <w:r w:rsidRPr="00187C22">
              <w:rPr>
                <w:rFonts w:asciiTheme="majorBidi" w:hAnsiTheme="majorBidi" w:cstheme="majorBidi"/>
                <w:sz w:val="18"/>
                <w:szCs w:val="18"/>
                <w:lang w:val="es-ES" w:eastAsia="zh-CN"/>
              </w:rPr>
              <w:t xml:space="preserve"> de Expertos gubernamentales del Comité UNIDROIT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febrero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febrero</w:t>
            </w:r>
          </w:p>
        </w:tc>
        <w:tc>
          <w:tcPr>
            <w:tcW w:w="1418" w:type="dxa"/>
            <w:shd w:val="clear" w:color="auto" w:fill="auto"/>
            <w:noWrap/>
            <w:vAlign w:val="bottom"/>
            <w:hideMark/>
          </w:tcPr>
          <w:p w:rsidR="00591C54" w:rsidRPr="00187C22" w:rsidRDefault="002867CD"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Roma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Cumbre de </w:t>
            </w:r>
            <w:r w:rsidR="00187C22" w:rsidRPr="00187C22">
              <w:rPr>
                <w:rFonts w:asciiTheme="majorBidi" w:hAnsiTheme="majorBidi" w:cstheme="majorBidi"/>
                <w:sz w:val="18"/>
                <w:szCs w:val="18"/>
                <w:lang w:val="es-ES" w:eastAsia="zh-CN"/>
              </w:rPr>
              <w:t>Múnich</w:t>
            </w:r>
            <w:r w:rsidRPr="00187C22">
              <w:rPr>
                <w:rFonts w:asciiTheme="majorBidi" w:hAnsiTheme="majorBidi" w:cstheme="majorBidi"/>
                <w:sz w:val="18"/>
                <w:szCs w:val="18"/>
                <w:lang w:val="es-ES" w:eastAsia="zh-CN"/>
              </w:rPr>
              <w:t xml:space="preserve"> sobre navegación por satélite de 2011</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 de marzo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marzo</w:t>
            </w:r>
          </w:p>
        </w:tc>
        <w:tc>
          <w:tcPr>
            <w:tcW w:w="1418" w:type="dxa"/>
            <w:shd w:val="clear" w:color="auto" w:fill="auto"/>
            <w:noWrap/>
            <w:vAlign w:val="bottom"/>
            <w:hideMark/>
          </w:tcPr>
          <w:p w:rsidR="00591C54" w:rsidRPr="00187C22" w:rsidRDefault="00187C22"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Múnich</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sobre el automóvil totalmente conectado</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marzo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marzo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Palexpo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Conferencia sobre satélites de 2011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marzo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17 de marzo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Washington, DC</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Conferencia de Ingeniería y Gestión de la Radiodifusión de la NAB</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 de abril</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abril</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Las Vegas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Gestión y Comprobación Técnica Internacional del Espectro</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abril</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30 de abril</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Shanghai</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11ª Conferencia Internacional sobre Servicios Inalámbricos de Rio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abril</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28 de abril</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Rio de Janeiro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Spectrum 20/20</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Ottawa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Foro Mundial sobre el Espacio y los Satélites de 2011</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9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Abu Dhabi</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90ª Reunión del Consejo Rector de UNIDROIT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9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Roma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Conferencia Internacional sobre el Espectro Radioeléctrico</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Bucarest</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4G Wireless Asia 2011</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18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Hangzhou</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Foro </w:t>
            </w:r>
            <w:r w:rsidR="00F91653">
              <w:rPr>
                <w:rFonts w:asciiTheme="majorBidi" w:hAnsiTheme="majorBidi" w:cstheme="majorBidi"/>
                <w:sz w:val="18"/>
                <w:szCs w:val="18"/>
                <w:lang w:val="es-ES" w:eastAsia="zh-CN"/>
              </w:rPr>
              <w:t>«</w:t>
            </w:r>
            <w:r w:rsidRPr="00187C22">
              <w:rPr>
                <w:rFonts w:asciiTheme="majorBidi" w:hAnsiTheme="majorBidi" w:cstheme="majorBidi"/>
                <w:sz w:val="18"/>
                <w:szCs w:val="18"/>
                <w:lang w:val="es-ES" w:eastAsia="zh-CN"/>
              </w:rPr>
              <w:t>Televisión Digital Terrestre - Retos y Oportunidades</w:t>
            </w:r>
            <w:r w:rsidR="00F91653">
              <w:rPr>
                <w:rFonts w:asciiTheme="majorBidi" w:hAnsiTheme="majorBidi" w:cstheme="majorBidi"/>
                <w:sz w:val="18"/>
                <w:szCs w:val="18"/>
                <w:lang w:val="es-ES" w:eastAsia="zh-CN"/>
              </w:rPr>
              <w:t>»</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24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24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México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DigiTAG sobre DVB-T2</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24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Moscú</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SatCom 2011 Africa</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30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Johannesburgo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Taller </w:t>
            </w:r>
            <w:r w:rsidR="00F91653">
              <w:rPr>
                <w:rFonts w:asciiTheme="majorBidi" w:hAnsiTheme="majorBidi" w:cstheme="majorBidi"/>
                <w:sz w:val="18"/>
                <w:szCs w:val="18"/>
                <w:lang w:val="es-ES" w:eastAsia="zh-CN"/>
              </w:rPr>
              <w:t>«</w:t>
            </w:r>
            <w:r w:rsidRPr="00187C22">
              <w:rPr>
                <w:rFonts w:asciiTheme="majorBidi" w:hAnsiTheme="majorBidi" w:cstheme="majorBidi"/>
                <w:sz w:val="18"/>
                <w:szCs w:val="18"/>
                <w:lang w:val="es-ES" w:eastAsia="zh-CN"/>
              </w:rPr>
              <w:t>Garantía de la Sostenibilidad del Espacio</w:t>
            </w:r>
            <w:r w:rsidR="00F91653">
              <w:rPr>
                <w:rFonts w:asciiTheme="majorBidi" w:hAnsiTheme="majorBidi" w:cstheme="majorBidi"/>
                <w:sz w:val="18"/>
                <w:szCs w:val="18"/>
                <w:lang w:val="es-ES" w:eastAsia="zh-CN"/>
              </w:rPr>
              <w:t>»</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31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31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Viena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Foro Árabe sobre Telecomunicaciones e Internet (ATIF-2011)</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Beirut</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Grupo 31 de Coordinación de Frecuencias Espaciales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San Francisco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6ª Conferencia anual europea sobre gestión del espectro 2011</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Bruselas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37ª Conferencia del mundo árabe GSM</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Amman</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CommunicAsia 2011, Cumbre sobre comunicaciones por satélite</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24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Singapur</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IV Congreso de Telecomunicaciones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julio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8 de julio </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Quito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EUROCONTROL, reunión sobre registro de estaciones aeronáuticas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 de julio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8 de julio </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Bruselas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Simposio/conmemoración WTISD y 140º aniversario. IET</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julio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22 de julio </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Colombo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Congreso Técnico sobre Televisión + Taller sobre Radiodifusión por cable</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agosto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agosto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São Paulo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Conferencia sobre el espectro Latinoamericano</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México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668C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APSCC 2011 </w:t>
            </w:r>
            <w:r w:rsidR="005668CC">
              <w:rPr>
                <w:rFonts w:asciiTheme="majorBidi" w:hAnsiTheme="majorBidi" w:cstheme="majorBidi"/>
                <w:sz w:val="18"/>
                <w:szCs w:val="18"/>
                <w:lang w:val="es-ES" w:eastAsia="zh-CN"/>
              </w:rPr>
              <w:t>–</w:t>
            </w:r>
            <w:r w:rsidRPr="00187C22">
              <w:rPr>
                <w:rFonts w:asciiTheme="majorBidi" w:hAnsiTheme="majorBidi" w:cstheme="majorBidi"/>
                <w:sz w:val="18"/>
                <w:szCs w:val="18"/>
                <w:lang w:val="es-ES" w:eastAsia="zh-CN"/>
              </w:rPr>
              <w:t xml:space="preserve"> 14ª Conferencia y Exposición sobre Satélites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29 de sept. </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Bali</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42ª Conferencia anual IIC sobre tendencias de las telecomunicaciones mundiales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Johannesburgo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62º Congreso Astronáutico Internacional</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octubre</w:t>
            </w:r>
          </w:p>
        </w:tc>
        <w:tc>
          <w:tcPr>
            <w:tcW w:w="1418" w:type="dxa"/>
            <w:shd w:val="clear" w:color="auto" w:fill="auto"/>
            <w:noWrap/>
            <w:vAlign w:val="bottom"/>
            <w:hideMark/>
          </w:tcPr>
          <w:p w:rsidR="00591C54" w:rsidRPr="00187C22" w:rsidRDefault="005668CC"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Pr>
                <w:rFonts w:asciiTheme="majorBidi" w:hAnsiTheme="majorBidi" w:cstheme="majorBidi"/>
                <w:sz w:val="18"/>
                <w:szCs w:val="18"/>
                <w:lang w:val="es-ES" w:eastAsia="zh-CN"/>
              </w:rPr>
              <w:t>Ciudad del Cabo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Conferencia sobre las perspectivas de desarrollo del mercado de comunicaciones electrónicas en la Unión Europea</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19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Varsovia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Conferencia sobre gestión del espectro en las Américas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19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Washington</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Mesa redonda sobre las TIC ACP-Europa</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Bruselas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13ª </w:t>
            </w:r>
            <w:r w:rsidR="005668CC" w:rsidRPr="00187C22">
              <w:rPr>
                <w:rFonts w:asciiTheme="majorBidi" w:hAnsiTheme="majorBidi" w:cstheme="majorBidi"/>
                <w:sz w:val="18"/>
                <w:szCs w:val="18"/>
                <w:lang w:val="es-ES" w:eastAsia="zh-CN"/>
              </w:rPr>
              <w:t>Reunión</w:t>
            </w:r>
            <w:r w:rsidRPr="00187C22">
              <w:rPr>
                <w:rFonts w:asciiTheme="majorBidi" w:hAnsiTheme="majorBidi" w:cstheme="majorBidi"/>
                <w:sz w:val="18"/>
                <w:szCs w:val="18"/>
                <w:lang w:val="es-ES" w:eastAsia="zh-CN"/>
              </w:rPr>
              <w:t xml:space="preserve"> internacional sobre comprobación técnica del espectro</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París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Conferencia sobre coordinación de la utilización del espectro a partir del dividendo digital en las fronteras exteriores de la UE</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Gdansk</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GSC-16 (Colaboración Mundial de Normalización)</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30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noviembre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Halifax</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UTC para el siglo XXI, Reunión de la Royal Society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 de noviembre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Chicheley Hall</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UNIDROIT Consult. Reunión sobre servicios GNSS de responsabilidad a terceros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 de noviembre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Roma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CCWMC2011 (Conferencia Internacional de Comunicaciones por medios inalámbricos, móviles y por ordenador)</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noviembre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Shanghai</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Foro de gestión del espectro de 2011</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noviembre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París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1º Congreso Internacional de ANE sobre gestión del espectro</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noviembre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Bogotá</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lastRenderedPageBreak/>
              <w:t>ICSSC (Conferencia Internacional sobre Sistemas de Comunicaciones por Satélite)</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28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 de diciembre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Nara</w:t>
            </w:r>
          </w:p>
        </w:tc>
      </w:tr>
      <w:tr w:rsidR="00591C54" w:rsidRPr="00187C22" w:rsidTr="0056519E">
        <w:trPr>
          <w:cantSplit/>
          <w:trHeight w:val="225"/>
        </w:trPr>
        <w:tc>
          <w:tcPr>
            <w:tcW w:w="5684"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s-ES" w:eastAsia="zh-CN"/>
              </w:rPr>
            </w:pPr>
            <w:r w:rsidRPr="00187C22">
              <w:rPr>
                <w:rFonts w:asciiTheme="majorBidi" w:hAnsiTheme="majorBidi" w:cstheme="majorBidi"/>
                <w:b/>
                <w:bCs/>
                <w:sz w:val="18"/>
                <w:szCs w:val="18"/>
                <w:lang w:val="es-ES" w:eastAsia="zh-CN"/>
              </w:rPr>
              <w:t>SEMINARIOS, TALLERES Y REUNIONES DE LA UIT</w:t>
            </w:r>
          </w:p>
        </w:tc>
        <w:tc>
          <w:tcPr>
            <w:tcW w:w="1560"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p>
        </w:tc>
        <w:tc>
          <w:tcPr>
            <w:tcW w:w="1417"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p>
        </w:tc>
        <w:tc>
          <w:tcPr>
            <w:tcW w:w="1418"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Taller UIT-ANFR sobre gestión del espectro en las </w:t>
            </w:r>
            <w:r w:rsidR="00C96C7E" w:rsidRPr="00187C22">
              <w:rPr>
                <w:rFonts w:asciiTheme="majorBidi" w:hAnsiTheme="majorBidi" w:cstheme="majorBidi"/>
                <w:sz w:val="18"/>
                <w:szCs w:val="18"/>
                <w:lang w:val="es-ES" w:eastAsia="zh-CN"/>
              </w:rPr>
              <w:t xml:space="preserve">Islas </w:t>
            </w:r>
            <w:r w:rsidRPr="00187C22">
              <w:rPr>
                <w:rFonts w:asciiTheme="majorBidi" w:hAnsiTheme="majorBidi" w:cstheme="majorBidi"/>
                <w:sz w:val="18"/>
                <w:szCs w:val="18"/>
                <w:lang w:val="es-ES" w:eastAsia="zh-CN"/>
              </w:rPr>
              <w:t>del Pacífico</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 de abril</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abril</w:t>
            </w:r>
          </w:p>
        </w:tc>
        <w:tc>
          <w:tcPr>
            <w:tcW w:w="1418" w:type="dxa"/>
            <w:shd w:val="clear" w:color="auto" w:fill="auto"/>
            <w:noWrap/>
            <w:vAlign w:val="bottom"/>
            <w:hideMark/>
          </w:tcPr>
          <w:p w:rsidR="00591C54" w:rsidRPr="00187C22" w:rsidRDefault="005668CC"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Pr>
                <w:rFonts w:asciiTheme="majorBidi" w:hAnsiTheme="majorBidi" w:cstheme="majorBidi"/>
                <w:sz w:val="18"/>
                <w:szCs w:val="18"/>
                <w:lang w:val="es-ES" w:eastAsia="zh-CN"/>
              </w:rPr>
              <w:t>N</w:t>
            </w:r>
            <w:r w:rsidR="00591C54" w:rsidRPr="00187C22">
              <w:rPr>
                <w:rFonts w:asciiTheme="majorBidi" w:hAnsiTheme="majorBidi" w:cstheme="majorBidi"/>
                <w:sz w:val="18"/>
                <w:szCs w:val="18"/>
                <w:lang w:val="es-ES" w:eastAsia="zh-CN"/>
              </w:rPr>
              <w:t>umea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Seminario Subregional de la UIT sobre radiodifusión de TV digital terrenal</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Györ</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de AICTO sobre radiocomunicaciones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mayo</w:t>
            </w:r>
          </w:p>
        </w:tc>
        <w:tc>
          <w:tcPr>
            <w:tcW w:w="1418" w:type="dxa"/>
            <w:shd w:val="clear" w:color="auto" w:fill="auto"/>
            <w:noWrap/>
            <w:vAlign w:val="bottom"/>
            <w:hideMark/>
          </w:tcPr>
          <w:p w:rsidR="00591C54" w:rsidRPr="00187C22" w:rsidRDefault="00591C54" w:rsidP="00A5607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Amman</w:t>
            </w:r>
            <w:r w:rsidR="00A56075" w:rsidRPr="00187C22">
              <w:rPr>
                <w:rFonts w:asciiTheme="majorBidi" w:hAnsiTheme="majorBidi" w:cstheme="majorBidi"/>
                <w:sz w:val="18"/>
                <w:szCs w:val="18"/>
                <w:lang w:val="es-ES" w:eastAsia="zh-CN"/>
              </w:rPr>
              <w:t xml:space="preserve"> </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Taller regional sobre experiencia en la radiodifusión digital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Hanoi</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regional sobre la transición hacia la radiodifusión digital y el dividendo digital</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26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Hanoi</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3ª </w:t>
            </w:r>
            <w:r w:rsidR="005668CC" w:rsidRPr="00187C22">
              <w:rPr>
                <w:rFonts w:asciiTheme="majorBidi" w:hAnsiTheme="majorBidi" w:cstheme="majorBidi"/>
                <w:sz w:val="18"/>
                <w:szCs w:val="18"/>
                <w:lang w:val="es-ES" w:eastAsia="zh-CN"/>
              </w:rPr>
              <w:t>Reunión</w:t>
            </w:r>
            <w:r w:rsidRPr="00187C22">
              <w:rPr>
                <w:rFonts w:asciiTheme="majorBidi" w:hAnsiTheme="majorBidi" w:cstheme="majorBidi"/>
                <w:sz w:val="18"/>
                <w:szCs w:val="18"/>
                <w:lang w:val="es-ES" w:eastAsia="zh-CN"/>
              </w:rPr>
              <w:t xml:space="preserve"> de la Comisión de la Banda Ancha para el Desarrollo Digital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París</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Regional de BSG para los países de las Islas del Pacífico</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 de julio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julio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Fiji</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de formación UIT/ASP/COE sobre gestión del espectro</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17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Bangkok</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UIT/Novartis </w:t>
            </w:r>
            <w:r w:rsidR="00F91653">
              <w:rPr>
                <w:rFonts w:asciiTheme="majorBidi" w:hAnsiTheme="majorBidi" w:cstheme="majorBidi"/>
                <w:sz w:val="18"/>
                <w:szCs w:val="18"/>
                <w:lang w:val="es-ES" w:eastAsia="zh-CN"/>
              </w:rPr>
              <w:t>«</w:t>
            </w:r>
            <w:r w:rsidRPr="00187C22">
              <w:rPr>
                <w:lang w:val="es-ES"/>
              </w:rPr>
              <w:t xml:space="preserve"> </w:t>
            </w:r>
            <w:r w:rsidRPr="00187C22">
              <w:rPr>
                <w:rFonts w:asciiTheme="majorBidi" w:hAnsiTheme="majorBidi" w:cstheme="majorBidi"/>
                <w:sz w:val="18"/>
                <w:szCs w:val="18"/>
                <w:lang w:val="es-ES" w:eastAsia="zh-CN"/>
              </w:rPr>
              <w:t xml:space="preserve">Diálogo de Ginebra sobre M-salud </w:t>
            </w:r>
            <w:r w:rsidR="00F91653">
              <w:rPr>
                <w:rFonts w:asciiTheme="majorBidi" w:hAnsiTheme="majorBidi" w:cstheme="majorBidi"/>
                <w:sz w:val="18"/>
                <w:szCs w:val="18"/>
                <w:lang w:val="es-ES" w:eastAsia="zh-CN"/>
              </w:rPr>
              <w:t>»</w:t>
            </w:r>
            <w:r w:rsidRPr="00187C22">
              <w:rPr>
                <w:rFonts w:asciiTheme="majorBidi" w:hAnsiTheme="majorBidi" w:cstheme="majorBidi"/>
                <w:sz w:val="18"/>
                <w:szCs w:val="18"/>
                <w:lang w:val="es-ES" w:eastAsia="zh-CN"/>
              </w:rPr>
              <w:t xml:space="preserve"> utilizando tecnología móvil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27 de junio </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6º Simposio de la UIT sobre las TIC, el medio ambiente y el cambio climático</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julio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8 de julio </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Ghana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Seminario de la UIT </w:t>
            </w:r>
            <w:r w:rsidR="00F91653">
              <w:rPr>
                <w:rFonts w:asciiTheme="majorBidi" w:hAnsiTheme="majorBidi" w:cstheme="majorBidi"/>
                <w:sz w:val="18"/>
                <w:szCs w:val="18"/>
                <w:lang w:val="es-ES" w:eastAsia="zh-CN"/>
              </w:rPr>
              <w:t>«</w:t>
            </w:r>
            <w:r w:rsidRPr="00187C22">
              <w:rPr>
                <w:rFonts w:asciiTheme="majorBidi" w:hAnsiTheme="majorBidi" w:cstheme="majorBidi"/>
                <w:sz w:val="18"/>
                <w:szCs w:val="18"/>
                <w:lang w:val="es-ES" w:eastAsia="zh-CN"/>
              </w:rPr>
              <w:t>Gestión avanzada del espectro</w:t>
            </w:r>
            <w:r w:rsidR="00F91653">
              <w:rPr>
                <w:rFonts w:asciiTheme="majorBidi" w:hAnsiTheme="majorBidi" w:cstheme="majorBidi"/>
                <w:sz w:val="18"/>
                <w:szCs w:val="18"/>
                <w:lang w:val="es-ES" w:eastAsia="zh-CN"/>
              </w:rPr>
              <w:t>»</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Almaty</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Taller de la UIT </w:t>
            </w:r>
            <w:r w:rsidR="00F91653">
              <w:rPr>
                <w:rFonts w:asciiTheme="majorBidi" w:hAnsiTheme="majorBidi" w:cstheme="majorBidi"/>
                <w:sz w:val="18"/>
                <w:szCs w:val="18"/>
                <w:lang w:val="es-ES" w:eastAsia="zh-CN"/>
              </w:rPr>
              <w:t>«</w:t>
            </w:r>
            <w:r w:rsidRPr="00187C22">
              <w:rPr>
                <w:rFonts w:asciiTheme="majorBidi" w:hAnsiTheme="majorBidi" w:cstheme="majorBidi"/>
                <w:sz w:val="18"/>
                <w:szCs w:val="18"/>
                <w:lang w:val="es-ES" w:eastAsia="zh-CN"/>
              </w:rPr>
              <w:t>Avances en el programa sobre el clima mediante las TIC ecológicas</w:t>
            </w:r>
            <w:r w:rsidR="00F91653">
              <w:rPr>
                <w:rFonts w:asciiTheme="majorBidi" w:hAnsiTheme="majorBidi" w:cstheme="majorBidi"/>
                <w:sz w:val="18"/>
                <w:szCs w:val="18"/>
                <w:lang w:val="es-ES" w:eastAsia="zh-CN"/>
              </w:rPr>
              <w:t>»</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19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19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Seúl</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Reunión de la CE 5 del UIT-T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Seúl</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Simposio Mundial de Reguladores (GSR)</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Armenia (CLM)</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Regional de BSG</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28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Argelia</w:t>
            </w:r>
          </w:p>
        </w:tc>
      </w:tr>
      <w:tr w:rsidR="00591C54" w:rsidRPr="00187C22" w:rsidTr="0056519E">
        <w:trPr>
          <w:cantSplit/>
          <w:trHeight w:val="225"/>
        </w:trPr>
        <w:tc>
          <w:tcPr>
            <w:tcW w:w="5684"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Seminario Regional de la UIT sobre acceso a la banda ancha para la CEI/ASP/EUR</w:t>
            </w:r>
          </w:p>
        </w:tc>
        <w:tc>
          <w:tcPr>
            <w:tcW w:w="1560"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octubre</w:t>
            </w:r>
          </w:p>
        </w:tc>
        <w:tc>
          <w:tcPr>
            <w:tcW w:w="1417"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octubre</w:t>
            </w:r>
          </w:p>
        </w:tc>
        <w:tc>
          <w:tcPr>
            <w:tcW w:w="1418"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Chisinau</w:t>
            </w:r>
          </w:p>
        </w:tc>
      </w:tr>
      <w:tr w:rsidR="00591C54" w:rsidRPr="00187C22" w:rsidTr="0056519E">
        <w:trPr>
          <w:cantSplit/>
          <w:trHeight w:val="225"/>
        </w:trPr>
        <w:tc>
          <w:tcPr>
            <w:tcW w:w="5684" w:type="dxa"/>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de la UIT/Serbia sobre transición hacia la TV digital y dividendo digital</w:t>
            </w:r>
          </w:p>
        </w:tc>
        <w:tc>
          <w:tcPr>
            <w:tcW w:w="1560"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octubre</w:t>
            </w:r>
          </w:p>
        </w:tc>
        <w:tc>
          <w:tcPr>
            <w:tcW w:w="1417"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octubre</w:t>
            </w:r>
          </w:p>
        </w:tc>
        <w:tc>
          <w:tcPr>
            <w:tcW w:w="1418"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Belgrado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ITU Telecom World 2011</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24 de octubre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octubre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25"/>
        </w:trPr>
        <w:tc>
          <w:tcPr>
            <w:tcW w:w="5684" w:type="dxa"/>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regional de la UIT sobre la transición a la TV digital</w:t>
            </w:r>
          </w:p>
        </w:tc>
        <w:tc>
          <w:tcPr>
            <w:tcW w:w="1560"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noviembre</w:t>
            </w:r>
          </w:p>
        </w:tc>
        <w:tc>
          <w:tcPr>
            <w:tcW w:w="1417"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noviembre</w:t>
            </w:r>
          </w:p>
        </w:tc>
        <w:tc>
          <w:tcPr>
            <w:tcW w:w="1418"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Bangkok</w:t>
            </w:r>
          </w:p>
        </w:tc>
      </w:tr>
      <w:tr w:rsidR="00591C54" w:rsidRPr="00187C22" w:rsidTr="0056519E">
        <w:trPr>
          <w:cantSplit/>
          <w:trHeight w:val="225"/>
        </w:trPr>
        <w:tc>
          <w:tcPr>
            <w:tcW w:w="5684" w:type="dxa"/>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Conferencia Regional sobre procesos de transición a digital </w:t>
            </w:r>
          </w:p>
        </w:tc>
        <w:tc>
          <w:tcPr>
            <w:tcW w:w="1560"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noviembre</w:t>
            </w:r>
          </w:p>
        </w:tc>
        <w:tc>
          <w:tcPr>
            <w:tcW w:w="1417"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23 de noviembre </w:t>
            </w:r>
          </w:p>
        </w:tc>
        <w:tc>
          <w:tcPr>
            <w:tcW w:w="1418" w:type="dxa"/>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Belgrado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de la UIT sobre gestión general del espectro y radiodifusión</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noviembre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Tegucigalpa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Política para cursos de radiodifusión y comunicaciones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28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diciembre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Corea</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Taller sobre gestión del espectro en ARB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 de diciembre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7 de diciembre </w:t>
            </w:r>
          </w:p>
        </w:tc>
        <w:tc>
          <w:tcPr>
            <w:tcW w:w="1418" w:type="dxa"/>
            <w:shd w:val="clear" w:color="auto" w:fill="auto"/>
            <w:noWrap/>
            <w:vAlign w:val="bottom"/>
            <w:hideMark/>
          </w:tcPr>
          <w:p w:rsidR="00591C54" w:rsidRPr="00187C22" w:rsidRDefault="00591C54" w:rsidP="00A5607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Amman</w:t>
            </w:r>
            <w:r w:rsidR="00A56075" w:rsidRPr="00187C22">
              <w:rPr>
                <w:rFonts w:asciiTheme="majorBidi" w:hAnsiTheme="majorBidi" w:cstheme="majorBidi"/>
                <w:sz w:val="18"/>
                <w:szCs w:val="18"/>
                <w:lang w:val="es-ES" w:eastAsia="zh-CN"/>
              </w:rPr>
              <w:t xml:space="preserve"> </w:t>
            </w:r>
          </w:p>
        </w:tc>
      </w:tr>
      <w:tr w:rsidR="00591C54" w:rsidRPr="00187C22" w:rsidTr="0056519E">
        <w:trPr>
          <w:cantSplit/>
          <w:trHeight w:val="214"/>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Seminario Espacial UIT/ATU/ITSO</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 de diciembre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9 de diciembre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Niamey (Níger)</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sobre coordinación de la comprobación técnica del espectro de alta frecuencia en ASEAN</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 de diciembre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9 de diciembre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rPr>
              <w:t>Nha Trang</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2867C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Evento Caleidoscopio de la </w:t>
            </w:r>
            <w:r w:rsidR="002867CD" w:rsidRPr="00187C22">
              <w:rPr>
                <w:rFonts w:asciiTheme="majorBidi" w:hAnsiTheme="majorBidi" w:cstheme="majorBidi"/>
                <w:sz w:val="18"/>
                <w:szCs w:val="18"/>
                <w:lang w:val="es-ES" w:eastAsia="zh-CN"/>
              </w:rPr>
              <w:t>UIT</w:t>
            </w:r>
            <w:r w:rsidRPr="00187C22">
              <w:rPr>
                <w:rFonts w:asciiTheme="majorBidi" w:hAnsiTheme="majorBidi" w:cstheme="majorBidi"/>
                <w:sz w:val="18"/>
                <w:szCs w:val="18"/>
                <w:lang w:val="es-ES" w:eastAsia="zh-CN"/>
              </w:rPr>
              <w:t xml:space="preserve">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diciembre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diciembre</w:t>
            </w:r>
          </w:p>
        </w:tc>
        <w:tc>
          <w:tcPr>
            <w:tcW w:w="1418" w:type="dxa"/>
            <w:shd w:val="clear" w:color="auto" w:fill="auto"/>
            <w:noWrap/>
            <w:vAlign w:val="bottom"/>
            <w:hideMark/>
          </w:tcPr>
          <w:p w:rsidR="00591C54" w:rsidRPr="00187C22" w:rsidRDefault="005668CC"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Pr>
                <w:rFonts w:asciiTheme="majorBidi" w:hAnsiTheme="majorBidi" w:cstheme="majorBidi"/>
                <w:sz w:val="18"/>
                <w:szCs w:val="18"/>
                <w:lang w:val="es-ES" w:eastAsia="zh-CN"/>
              </w:rPr>
              <w:t>Ciudad del Cabo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regional sobre el espacio de la UIT</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diciembre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diciembre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Bangkok</w:t>
            </w:r>
          </w:p>
        </w:tc>
      </w:tr>
      <w:tr w:rsidR="00591C54" w:rsidRPr="00187C22" w:rsidTr="0056519E">
        <w:trPr>
          <w:cantSplit/>
          <w:trHeight w:val="225"/>
        </w:trPr>
        <w:tc>
          <w:tcPr>
            <w:tcW w:w="5684"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s-ES" w:eastAsia="zh-CN"/>
              </w:rPr>
            </w:pPr>
            <w:r w:rsidRPr="00187C22">
              <w:rPr>
                <w:rFonts w:asciiTheme="majorBidi" w:hAnsiTheme="majorBidi" w:cstheme="majorBidi"/>
                <w:b/>
                <w:bCs/>
                <w:sz w:val="18"/>
                <w:szCs w:val="18"/>
                <w:lang w:val="es-ES" w:eastAsia="zh-CN"/>
              </w:rPr>
              <w:t>SOLICITUDES DE ASISTENCIA/INFORMACIÓN</w:t>
            </w:r>
          </w:p>
        </w:tc>
        <w:tc>
          <w:tcPr>
            <w:tcW w:w="1560"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p>
        </w:tc>
        <w:tc>
          <w:tcPr>
            <w:tcW w:w="1417"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p>
        </w:tc>
        <w:tc>
          <w:tcPr>
            <w:tcW w:w="1418" w:type="dxa"/>
            <w:shd w:val="clear" w:color="auto" w:fill="D9D9D9"/>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Asistencia a Malí sobre la hoja de ruta para la transición a la TV digital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febrero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febrero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Bamako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Asistencia a Malí sobre la hoja de ruta para la transición a la TV digital</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 de marzo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17 de marzo </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Bamako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Asistencia a Aze</w:t>
            </w:r>
            <w:r w:rsidR="00C96C7E">
              <w:rPr>
                <w:rFonts w:asciiTheme="majorBidi" w:hAnsiTheme="majorBidi" w:cstheme="majorBidi"/>
                <w:sz w:val="18"/>
                <w:szCs w:val="18"/>
                <w:lang w:val="es-ES" w:eastAsia="zh-CN"/>
              </w:rPr>
              <w:t>rbaiyán sobre redes de satélites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 de abril</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15 de abril </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Bakú</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Invitación de la Agencia de Investigación en radiocomunicaciones para presentaciones de 2 días</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mayo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26 de mayo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Seúl</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Asistencia a Serbia – transición a la radiodifusión digital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junio</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24 de junio</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Belgrado</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Visita al Ministerio de TIC + Seminario de política nacional sobre ciencias de satélite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Bangkok</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1ª </w:t>
            </w:r>
            <w:r w:rsidR="005668CC" w:rsidRPr="00187C22">
              <w:rPr>
                <w:rFonts w:asciiTheme="majorBidi" w:hAnsiTheme="majorBidi" w:cstheme="majorBidi"/>
                <w:sz w:val="18"/>
                <w:szCs w:val="18"/>
                <w:lang w:val="es-ES" w:eastAsia="zh-CN"/>
              </w:rPr>
              <w:t>Reunión</w:t>
            </w:r>
            <w:r w:rsidRPr="00187C22">
              <w:rPr>
                <w:rFonts w:asciiTheme="majorBidi" w:hAnsiTheme="majorBidi" w:cstheme="majorBidi"/>
                <w:sz w:val="18"/>
                <w:szCs w:val="18"/>
                <w:lang w:val="es-ES" w:eastAsia="zh-CN"/>
              </w:rPr>
              <w:t xml:space="preserve"> preparatoria de los grupos de trabajo técnicos de ANE para la CMR-12</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Bogotá</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Asistencia </w:t>
            </w:r>
            <w:r w:rsidR="00C96C7E">
              <w:rPr>
                <w:rFonts w:asciiTheme="majorBidi" w:hAnsiTheme="majorBidi" w:cstheme="majorBidi"/>
                <w:sz w:val="18"/>
                <w:szCs w:val="18"/>
                <w:lang w:val="es-ES" w:eastAsia="zh-CN"/>
              </w:rPr>
              <w:t xml:space="preserve">a </w:t>
            </w:r>
            <w:r w:rsidRPr="00187C22">
              <w:rPr>
                <w:rFonts w:asciiTheme="majorBidi" w:hAnsiTheme="majorBidi" w:cstheme="majorBidi"/>
                <w:sz w:val="18"/>
                <w:szCs w:val="18"/>
                <w:lang w:val="es-ES" w:eastAsia="zh-CN"/>
              </w:rPr>
              <w:t>Sudán del Sur</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28 de sept.</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30 de sept.</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South Sudan</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Visita a Yahsat</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noviembre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noviembre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Abu Dhabi</w:t>
            </w:r>
          </w:p>
        </w:tc>
      </w:tr>
      <w:tr w:rsidR="00591C54" w:rsidRPr="00187C22" w:rsidTr="0056519E">
        <w:trPr>
          <w:cantSplit/>
          <w:trHeight w:val="214"/>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Asistencia a Níger sobre el plan estratégico para la transición a la TV digital </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diciembre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diciembre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Niamey</w:t>
            </w:r>
          </w:p>
        </w:tc>
      </w:tr>
      <w:tr w:rsidR="00591C54" w:rsidRPr="00187C22" w:rsidTr="0056519E">
        <w:trPr>
          <w:cantSplit/>
          <w:trHeight w:val="225"/>
        </w:trPr>
        <w:tc>
          <w:tcPr>
            <w:tcW w:w="5684"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Asistencia a Albania sobre el plan estratégico para la transición a la TV digital</w:t>
            </w:r>
          </w:p>
        </w:tc>
        <w:tc>
          <w:tcPr>
            <w:tcW w:w="1560"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diciembre</w:t>
            </w:r>
          </w:p>
        </w:tc>
        <w:tc>
          <w:tcPr>
            <w:tcW w:w="1417"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diciembre</w:t>
            </w:r>
          </w:p>
        </w:tc>
        <w:tc>
          <w:tcPr>
            <w:tcW w:w="1418" w:type="dxa"/>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Tirana</w:t>
            </w:r>
          </w:p>
        </w:tc>
      </w:tr>
    </w:tbl>
    <w:p w:rsidR="00591C54" w:rsidRPr="00187C22" w:rsidRDefault="00591C54" w:rsidP="00591C54">
      <w:pPr>
        <w:spacing w:before="60" w:after="100" w:line="480" w:lineRule="auto"/>
        <w:jc w:val="center"/>
        <w:textAlignment w:val="auto"/>
        <w:rPr>
          <w:bCs/>
          <w:lang w:val="es-ES" w:eastAsia="zh-CN"/>
        </w:rPr>
        <w:sectPr w:rsidR="00591C54" w:rsidRPr="00187C22" w:rsidSect="00591C54">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pPr>
    </w:p>
    <w:tbl>
      <w:tblPr>
        <w:tblW w:w="9711" w:type="dxa"/>
        <w:tblInd w:w="94" w:type="dxa"/>
        <w:tblLayout w:type="fixed"/>
        <w:tblCellMar>
          <w:left w:w="28" w:type="dxa"/>
          <w:right w:w="28" w:type="dxa"/>
        </w:tblCellMar>
        <w:tblLook w:val="04A0" w:firstRow="1" w:lastRow="0" w:firstColumn="1" w:lastColumn="0" w:noHBand="0" w:noVBand="1"/>
      </w:tblPr>
      <w:tblGrid>
        <w:gridCol w:w="5259"/>
        <w:gridCol w:w="284"/>
        <w:gridCol w:w="425"/>
        <w:gridCol w:w="567"/>
        <w:gridCol w:w="1276"/>
        <w:gridCol w:w="1900"/>
      </w:tblGrid>
      <w:tr w:rsidR="00591C54" w:rsidRPr="00187C22" w:rsidTr="0056519E">
        <w:trPr>
          <w:cantSplit/>
          <w:trHeight w:val="225"/>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r w:rsidRPr="00187C22">
              <w:rPr>
                <w:rFonts w:asciiTheme="majorBidi" w:hAnsiTheme="majorBidi" w:cstheme="majorBidi"/>
                <w:b/>
                <w:bCs/>
                <w:sz w:val="20"/>
                <w:lang w:val="es-ES" w:eastAsia="zh-CN"/>
              </w:rPr>
              <w:lastRenderedPageBreak/>
              <w:t>2012</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lang w:val="es-ES" w:eastAsia="zh-CN"/>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lang w:val="es-ES" w:eastAsia="zh-CN"/>
              </w:rPr>
            </w:pP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lang w:val="es-ES" w:eastAsia="zh-CN"/>
              </w:rPr>
            </w:pPr>
          </w:p>
        </w:tc>
      </w:tr>
      <w:tr w:rsidR="00591C54" w:rsidRPr="00187C22" w:rsidTr="0056519E">
        <w:trPr>
          <w:cantSplit/>
          <w:trHeight w:val="225"/>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r w:rsidRPr="00187C22">
              <w:rPr>
                <w:rFonts w:asciiTheme="majorBidi" w:hAnsiTheme="majorBidi" w:cstheme="majorBidi"/>
                <w:b/>
                <w:bCs/>
                <w:sz w:val="20"/>
                <w:lang w:val="es-ES" w:eastAsia="zh-CN"/>
              </w:rPr>
              <w:t xml:space="preserve">Título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r w:rsidRPr="00187C22">
              <w:rPr>
                <w:rFonts w:asciiTheme="majorBidi" w:hAnsiTheme="majorBidi" w:cstheme="majorBidi"/>
                <w:b/>
                <w:bCs/>
                <w:sz w:val="20"/>
                <w:lang w:val="es-ES" w:eastAsia="zh-CN"/>
              </w:rPr>
              <w:t>Comienzo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r w:rsidRPr="00187C22">
              <w:rPr>
                <w:rFonts w:asciiTheme="majorBidi" w:hAnsiTheme="majorBidi" w:cstheme="majorBidi"/>
                <w:b/>
                <w:bCs/>
                <w:sz w:val="20"/>
                <w:lang w:val="es-ES" w:eastAsia="zh-CN"/>
              </w:rPr>
              <w:t>Fin</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s-ES" w:eastAsia="zh-CN"/>
              </w:rPr>
            </w:pPr>
            <w:r w:rsidRPr="00187C22">
              <w:rPr>
                <w:rFonts w:asciiTheme="majorBidi" w:hAnsiTheme="majorBidi" w:cstheme="majorBidi"/>
                <w:b/>
                <w:bCs/>
                <w:sz w:val="20"/>
                <w:lang w:val="es-ES" w:eastAsia="zh-CN"/>
              </w:rPr>
              <w:t>Lugar</w:t>
            </w:r>
          </w:p>
        </w:tc>
      </w:tr>
      <w:tr w:rsidR="00591C54" w:rsidRPr="00187C22" w:rsidTr="0056519E">
        <w:trPr>
          <w:cantSplit/>
          <w:trHeight w:val="225"/>
        </w:trPr>
        <w:tc>
          <w:tcPr>
            <w:tcW w:w="5543" w:type="dxa"/>
            <w:gridSpan w:val="2"/>
            <w:tcBorders>
              <w:top w:val="single" w:sz="4" w:space="0" w:color="auto"/>
              <w:left w:val="single" w:sz="4" w:space="0" w:color="auto"/>
              <w:bottom w:val="single" w:sz="4" w:space="0" w:color="auto"/>
              <w:right w:val="nil"/>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s-ES" w:eastAsia="zh-CN"/>
              </w:rPr>
            </w:pPr>
            <w:r w:rsidRPr="00187C22">
              <w:rPr>
                <w:rFonts w:asciiTheme="majorBidi" w:hAnsiTheme="majorBidi" w:cstheme="majorBidi"/>
                <w:b/>
                <w:bCs/>
                <w:sz w:val="18"/>
                <w:szCs w:val="18"/>
                <w:lang w:val="es-ES" w:eastAsia="zh-CN"/>
              </w:rPr>
              <w:t>ORGANISMOS ESPECIALIZADOS DE LAS NACIONES UNIDAS</w:t>
            </w:r>
          </w:p>
        </w:tc>
        <w:tc>
          <w:tcPr>
            <w:tcW w:w="992" w:type="dxa"/>
            <w:gridSpan w:val="2"/>
            <w:tcBorders>
              <w:top w:val="single" w:sz="4" w:space="0" w:color="auto"/>
              <w:left w:val="nil"/>
              <w:bottom w:val="single" w:sz="4" w:space="0" w:color="auto"/>
              <w:right w:val="nil"/>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s-ES" w:eastAsia="zh-CN"/>
              </w:rPr>
            </w:pPr>
          </w:p>
        </w:tc>
        <w:tc>
          <w:tcPr>
            <w:tcW w:w="1276" w:type="dxa"/>
            <w:tcBorders>
              <w:top w:val="single" w:sz="4" w:space="0" w:color="auto"/>
              <w:left w:val="nil"/>
              <w:bottom w:val="single" w:sz="4" w:space="0" w:color="auto"/>
              <w:right w:val="nil"/>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s-ES" w:eastAsia="zh-CN"/>
              </w:rPr>
            </w:pPr>
          </w:p>
        </w:tc>
        <w:tc>
          <w:tcPr>
            <w:tcW w:w="1900" w:type="dxa"/>
            <w:tcBorders>
              <w:top w:val="single" w:sz="4" w:space="0" w:color="auto"/>
              <w:left w:val="nil"/>
              <w:bottom w:val="single" w:sz="4" w:space="0" w:color="auto"/>
              <w:right w:val="single" w:sz="4" w:space="0" w:color="auto"/>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s-ES" w:eastAsia="zh-CN"/>
              </w:rPr>
            </w:pP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000000" w:fill="FFFFFF"/>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49ª </w:t>
            </w:r>
            <w:r w:rsidR="005668CC" w:rsidRPr="00187C22">
              <w:rPr>
                <w:rFonts w:asciiTheme="majorBidi" w:hAnsiTheme="majorBidi" w:cstheme="majorBidi"/>
                <w:sz w:val="18"/>
                <w:szCs w:val="18"/>
                <w:lang w:val="es-ES" w:eastAsia="zh-CN"/>
              </w:rPr>
              <w:t>Reunión</w:t>
            </w:r>
            <w:r w:rsidRPr="00187C22">
              <w:rPr>
                <w:rFonts w:asciiTheme="majorBidi" w:hAnsiTheme="majorBidi" w:cstheme="majorBidi"/>
                <w:sz w:val="18"/>
                <w:szCs w:val="18"/>
                <w:lang w:val="es-ES" w:eastAsia="zh-CN"/>
              </w:rPr>
              <w:t xml:space="preserve"> del Subcomité científico y técnico de COPUOS (STS-49)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febrero</w:t>
            </w:r>
          </w:p>
        </w:tc>
        <w:tc>
          <w:tcPr>
            <w:tcW w:w="1276" w:type="dxa"/>
            <w:tcBorders>
              <w:top w:val="nil"/>
              <w:left w:val="nil"/>
              <w:bottom w:val="single" w:sz="4" w:space="0" w:color="auto"/>
              <w:right w:val="single" w:sz="4" w:space="0" w:color="auto"/>
            </w:tcBorders>
            <w:shd w:val="clear" w:color="000000" w:fill="FFFFFF"/>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febrero</w:t>
            </w:r>
          </w:p>
        </w:tc>
        <w:tc>
          <w:tcPr>
            <w:tcW w:w="1900" w:type="dxa"/>
            <w:tcBorders>
              <w:top w:val="nil"/>
              <w:left w:val="nil"/>
              <w:bottom w:val="single" w:sz="4" w:space="0" w:color="auto"/>
              <w:right w:val="single" w:sz="4" w:space="0" w:color="auto"/>
            </w:tcBorders>
            <w:shd w:val="clear" w:color="000000" w:fill="FFFFFF"/>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Viena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A5607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32ª Sesión de la Reunión Interorganismos</w:t>
            </w:r>
            <w:r w:rsidR="00A56075" w:rsidRPr="00187C22">
              <w:rPr>
                <w:rFonts w:asciiTheme="majorBidi" w:hAnsiTheme="majorBidi" w:cstheme="majorBidi"/>
                <w:sz w:val="18"/>
                <w:szCs w:val="18"/>
                <w:lang w:val="es-ES" w:eastAsia="zh-CN"/>
              </w:rPr>
              <w:t xml:space="preserve"> </w:t>
            </w:r>
            <w:r w:rsidRPr="00187C22">
              <w:rPr>
                <w:rFonts w:asciiTheme="majorBidi" w:hAnsiTheme="majorBidi" w:cstheme="majorBidi"/>
                <w:sz w:val="18"/>
                <w:szCs w:val="18"/>
                <w:lang w:val="es-ES" w:eastAsia="zh-CN"/>
              </w:rPr>
              <w:t>sobre asuntos del espacio exterior</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9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Roma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16ª Reunión de COMSAR de la OMI</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A56075">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w:t>
            </w:r>
            <w:r w:rsidR="00A56075" w:rsidRPr="00187C22">
              <w:rPr>
                <w:rFonts w:asciiTheme="majorBidi" w:hAnsiTheme="majorBidi" w:cstheme="majorBidi"/>
                <w:sz w:val="18"/>
                <w:szCs w:val="18"/>
                <w:lang w:val="es-ES" w:eastAsia="zh-CN"/>
              </w:rPr>
              <w:t xml:space="preserve"> </w:t>
            </w:r>
            <w:r w:rsidRPr="00187C22">
              <w:rPr>
                <w:rFonts w:asciiTheme="majorBidi" w:hAnsiTheme="majorBidi" w:cstheme="majorBidi"/>
                <w:sz w:val="18"/>
                <w:szCs w:val="18"/>
                <w:lang w:val="es-ES" w:eastAsia="zh-CN"/>
              </w:rPr>
              <w:t>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Londres</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26ª </w:t>
            </w:r>
            <w:r w:rsidR="005668CC" w:rsidRPr="00187C22">
              <w:rPr>
                <w:rFonts w:asciiTheme="majorBidi" w:hAnsiTheme="majorBidi" w:cstheme="majorBidi"/>
                <w:sz w:val="18"/>
                <w:szCs w:val="18"/>
                <w:lang w:val="es-ES" w:eastAsia="zh-CN"/>
              </w:rPr>
              <w:t>Reunión</w:t>
            </w:r>
            <w:r w:rsidRPr="00187C22">
              <w:rPr>
                <w:rFonts w:asciiTheme="majorBidi" w:hAnsiTheme="majorBidi" w:cstheme="majorBidi"/>
                <w:sz w:val="18"/>
                <w:szCs w:val="18"/>
                <w:lang w:val="es-ES" w:eastAsia="zh-CN"/>
              </w:rPr>
              <w:t xml:space="preserve"> del Comité Aeronáutico de la OACI,</w:t>
            </w:r>
            <w:r w:rsidR="00C96C7E">
              <w:rPr>
                <w:rFonts w:asciiTheme="majorBidi" w:hAnsiTheme="majorBidi" w:cstheme="majorBidi"/>
                <w:sz w:val="18"/>
                <w:szCs w:val="18"/>
                <w:lang w:val="es-ES" w:eastAsia="zh-CN"/>
              </w:rPr>
              <w:t xml:space="preserve"> </w:t>
            </w:r>
            <w:r w:rsidRPr="00187C22">
              <w:rPr>
                <w:rFonts w:asciiTheme="majorBidi" w:hAnsiTheme="majorBidi" w:cstheme="majorBidi"/>
                <w:sz w:val="18"/>
                <w:szCs w:val="18"/>
                <w:lang w:val="es-ES" w:eastAsia="zh-CN"/>
              </w:rPr>
              <w:t>Panel WG-F</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30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Montreal</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51ª Reunión del Comité Jurídico de COPUOS (19-30 de marzo)</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26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28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Viena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12ª Reunión Plenaria Anual de UNGIWG (28-30 de marzo)</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30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Viena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UNIDIR – Conferencia sobre la seguridad espacial</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30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55ª </w:t>
            </w:r>
            <w:r w:rsidR="005668CC" w:rsidRPr="00187C22">
              <w:rPr>
                <w:rFonts w:asciiTheme="majorBidi" w:hAnsiTheme="majorBidi" w:cstheme="majorBidi"/>
                <w:sz w:val="18"/>
                <w:szCs w:val="18"/>
                <w:lang w:val="es-ES" w:eastAsia="zh-CN"/>
              </w:rPr>
              <w:t>Reunión</w:t>
            </w:r>
            <w:r w:rsidRPr="00187C22">
              <w:rPr>
                <w:rFonts w:asciiTheme="majorBidi" w:hAnsiTheme="majorBidi" w:cstheme="majorBidi"/>
                <w:sz w:val="18"/>
                <w:szCs w:val="18"/>
                <w:lang w:val="es-ES" w:eastAsia="zh-CN"/>
              </w:rPr>
              <w:t xml:space="preserve"> de COPUOS</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 de junio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 de junio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Viena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Diálogo sobre Desarrollo Sostenible</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junio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19 de junio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Rio de Janeiro</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Cumbre Rio +20 Summit</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junio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junio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Rio de Janeiro</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27ª </w:t>
            </w:r>
            <w:r w:rsidR="005668CC" w:rsidRPr="00187C22">
              <w:rPr>
                <w:rFonts w:asciiTheme="majorBidi" w:hAnsiTheme="majorBidi" w:cstheme="majorBidi"/>
                <w:sz w:val="18"/>
                <w:szCs w:val="18"/>
                <w:lang w:val="es-ES" w:eastAsia="zh-CN"/>
              </w:rPr>
              <w:t>Reunión</w:t>
            </w:r>
            <w:r w:rsidRPr="00187C22">
              <w:rPr>
                <w:rFonts w:asciiTheme="majorBidi" w:hAnsiTheme="majorBidi" w:cstheme="majorBidi"/>
                <w:sz w:val="18"/>
                <w:szCs w:val="18"/>
                <w:lang w:val="es-ES" w:eastAsia="zh-CN"/>
              </w:rPr>
              <w:t xml:space="preserve"> del Comité Aeronáutico de la OACI. Panel WG-F</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17 de sept.</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26 de sept.</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Montreal</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8ª Reunión del Grupo mixto de Expertos OMI/UIT</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 de octubre</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octubre</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187C2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Londres, </w:t>
            </w:r>
            <w:r w:rsidR="00187C22">
              <w:rPr>
                <w:rFonts w:asciiTheme="majorBidi" w:hAnsiTheme="majorBidi" w:cstheme="majorBidi"/>
                <w:sz w:val="18"/>
                <w:szCs w:val="18"/>
                <w:lang w:val="es-ES" w:eastAsia="zh-CN"/>
              </w:rPr>
              <w:t>Reino Unido</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Conferencia Internacional de la OMI sobre la seguridad de buques de pesca</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9 de octubre</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 de octubre</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668CC"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Pr>
                <w:rFonts w:asciiTheme="majorBidi" w:hAnsiTheme="majorBidi" w:cstheme="majorBidi"/>
                <w:sz w:val="18"/>
                <w:szCs w:val="18"/>
                <w:lang w:val="es-ES" w:eastAsia="zh-CN"/>
              </w:rPr>
              <w:t>Ciudad del Cabo</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C96C7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Simposio sobre nanosatélites </w:t>
            </w:r>
            <w:r w:rsidR="00C96C7E">
              <w:rPr>
                <w:rFonts w:asciiTheme="majorBidi" w:hAnsiTheme="majorBidi" w:cstheme="majorBidi"/>
                <w:sz w:val="18"/>
                <w:szCs w:val="18"/>
                <w:lang w:val="es-ES" w:eastAsia="zh-CN"/>
              </w:rPr>
              <w:t>N</w:t>
            </w:r>
            <w:r w:rsidRPr="00187C22">
              <w:rPr>
                <w:rFonts w:asciiTheme="majorBidi" w:hAnsiTheme="majorBidi" w:cstheme="majorBidi"/>
                <w:sz w:val="18"/>
                <w:szCs w:val="18"/>
                <w:lang w:val="es-ES" w:eastAsia="zh-CN"/>
              </w:rPr>
              <w:t>U/Japón</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 de octubre</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octubre</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Nagoya</w:t>
            </w:r>
          </w:p>
        </w:tc>
      </w:tr>
      <w:tr w:rsidR="00591C54" w:rsidRPr="00187C22" w:rsidTr="0056519E">
        <w:trPr>
          <w:cantSplit/>
          <w:trHeight w:val="225"/>
        </w:trPr>
        <w:tc>
          <w:tcPr>
            <w:tcW w:w="5968" w:type="dxa"/>
            <w:gridSpan w:val="3"/>
            <w:tcBorders>
              <w:top w:val="single" w:sz="4" w:space="0" w:color="auto"/>
              <w:left w:val="single" w:sz="4" w:space="0" w:color="auto"/>
              <w:bottom w:val="single" w:sz="4" w:space="0" w:color="auto"/>
              <w:right w:val="nil"/>
            </w:tcBorders>
            <w:shd w:val="clear" w:color="000000" w:fill="E6E6E6"/>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s-ES" w:eastAsia="zh-CN"/>
              </w:rPr>
            </w:pPr>
            <w:r w:rsidRPr="00187C22">
              <w:rPr>
                <w:rFonts w:asciiTheme="majorBidi" w:hAnsiTheme="majorBidi" w:cstheme="majorBidi"/>
                <w:b/>
                <w:bCs/>
                <w:sz w:val="18"/>
                <w:szCs w:val="18"/>
                <w:lang w:val="es-ES" w:eastAsia="zh-CN"/>
              </w:rPr>
              <w:t>ORGANIZACIONES REGIONALES DE TELECOMUNICACIONES</w:t>
            </w:r>
          </w:p>
        </w:tc>
        <w:tc>
          <w:tcPr>
            <w:tcW w:w="567" w:type="dxa"/>
            <w:tcBorders>
              <w:top w:val="single" w:sz="4" w:space="0" w:color="auto"/>
              <w:left w:val="nil"/>
              <w:bottom w:val="single" w:sz="4" w:space="0" w:color="auto"/>
              <w:right w:val="nil"/>
            </w:tcBorders>
            <w:shd w:val="clear" w:color="000000" w:fill="E6E6E6"/>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w:t>
            </w:r>
          </w:p>
        </w:tc>
        <w:tc>
          <w:tcPr>
            <w:tcW w:w="1276" w:type="dxa"/>
            <w:tcBorders>
              <w:top w:val="single" w:sz="4" w:space="0" w:color="auto"/>
              <w:left w:val="nil"/>
              <w:bottom w:val="single" w:sz="4" w:space="0" w:color="auto"/>
              <w:right w:val="nil"/>
            </w:tcBorders>
            <w:shd w:val="clear" w:color="000000" w:fill="E6E6E6"/>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w:t>
            </w:r>
          </w:p>
        </w:tc>
        <w:tc>
          <w:tcPr>
            <w:tcW w:w="1900" w:type="dxa"/>
            <w:tcBorders>
              <w:top w:val="single" w:sz="4" w:space="0" w:color="auto"/>
              <w:left w:val="nil"/>
              <w:bottom w:val="single" w:sz="4" w:space="0" w:color="auto"/>
              <w:right w:val="single" w:sz="4" w:space="0" w:color="auto"/>
            </w:tcBorders>
            <w:shd w:val="clear" w:color="000000" w:fill="E6E6E6"/>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2ª Reunión del Grupo de Foro Marítimo FM (antiguo PT46)</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Hamburgo</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3ª Reunión del Proyecto WG FM - FM PT 49</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Copenhague</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Reunión Regional de ANCOM sobre armonización del espectro de las comunicaciones móviles</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30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Bucarest</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12ª Reunión del Grupo Inalámbrico APT (AWG-12)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 de abril</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abril</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Xiamen </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C96C7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Reunión CEPT/CPG</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abril</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18 de abril</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Mainz</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16ª Reunión anual general de la Asociación de Telecomunicaciones de las Islas del Pacífico</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abril</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abril</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Norfolk</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74º WGFM</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23 de abril </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abril</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Bern</w:t>
            </w:r>
            <w:r w:rsidR="00C96C7E">
              <w:rPr>
                <w:rFonts w:asciiTheme="majorBidi" w:hAnsiTheme="majorBidi" w:cstheme="majorBidi"/>
                <w:sz w:val="18"/>
                <w:szCs w:val="18"/>
                <w:lang w:val="es-ES" w:eastAsia="zh-CN"/>
              </w:rPr>
              <w:t>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mixto ECC/ETSI/COST-TERRA sobre radiocomunicaciones inteligentes</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Mainz</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GT de RCC sobre los preparativos para la CMR-15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Moscú</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COSPAS SARSAT JC-26</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junio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junio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Montreal</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CEPT FM 49 (PPDR)</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junio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junio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Alemania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Reunión CEPT CPG/PTA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 de sept.</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sept.</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C96C7E"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Pr>
                <w:rFonts w:asciiTheme="majorBidi" w:hAnsiTheme="majorBidi" w:cstheme="majorBidi"/>
                <w:sz w:val="18"/>
                <w:szCs w:val="18"/>
                <w:lang w:val="es-ES" w:eastAsia="zh-CN"/>
              </w:rPr>
              <w:t>Londres</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3ª Reunión del Grupo de Foro Marítimo FM (antiguo PT46)</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sept.</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sept.</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Malta</w:t>
            </w:r>
          </w:p>
        </w:tc>
      </w:tr>
      <w:tr w:rsidR="00591C54" w:rsidRPr="00187C22" w:rsidTr="0056519E">
        <w:trPr>
          <w:cantSplit/>
          <w:trHeight w:val="225"/>
        </w:trPr>
        <w:tc>
          <w:tcPr>
            <w:tcW w:w="5259" w:type="dxa"/>
            <w:tcBorders>
              <w:top w:val="single" w:sz="4" w:space="0" w:color="auto"/>
              <w:left w:val="single" w:sz="4" w:space="0" w:color="auto"/>
              <w:bottom w:val="single" w:sz="4" w:space="0" w:color="auto"/>
              <w:right w:val="nil"/>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s-ES" w:eastAsia="zh-CN"/>
              </w:rPr>
            </w:pPr>
            <w:r w:rsidRPr="00187C22">
              <w:rPr>
                <w:rFonts w:asciiTheme="majorBidi" w:hAnsiTheme="majorBidi" w:cstheme="majorBidi"/>
                <w:b/>
                <w:bCs/>
                <w:sz w:val="18"/>
                <w:szCs w:val="18"/>
                <w:lang w:val="es-ES" w:eastAsia="zh-CN"/>
              </w:rPr>
              <w:t>CONFERENCIAS Y SIMPOSIOS aparte de los de la UIT</w:t>
            </w:r>
          </w:p>
        </w:tc>
        <w:tc>
          <w:tcPr>
            <w:tcW w:w="1276" w:type="dxa"/>
            <w:gridSpan w:val="3"/>
            <w:tcBorders>
              <w:top w:val="single" w:sz="4" w:space="0" w:color="auto"/>
              <w:left w:val="nil"/>
              <w:bottom w:val="single" w:sz="4" w:space="0" w:color="auto"/>
              <w:right w:val="nil"/>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s-ES" w:eastAsia="zh-CN"/>
              </w:rPr>
            </w:pPr>
          </w:p>
        </w:tc>
        <w:tc>
          <w:tcPr>
            <w:tcW w:w="1276" w:type="dxa"/>
            <w:tcBorders>
              <w:top w:val="single" w:sz="4" w:space="0" w:color="auto"/>
              <w:left w:val="nil"/>
              <w:bottom w:val="single" w:sz="4" w:space="0" w:color="auto"/>
              <w:right w:val="nil"/>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s-ES" w:eastAsia="zh-CN"/>
              </w:rPr>
            </w:pPr>
          </w:p>
        </w:tc>
        <w:tc>
          <w:tcPr>
            <w:tcW w:w="1900" w:type="dxa"/>
            <w:tcBorders>
              <w:top w:val="single" w:sz="4" w:space="0" w:color="auto"/>
              <w:left w:val="nil"/>
              <w:bottom w:val="single" w:sz="4" w:space="0" w:color="auto"/>
              <w:right w:val="single" w:sz="4" w:space="0" w:color="auto"/>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s-ES" w:eastAsia="zh-CN"/>
              </w:rPr>
            </w:pP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000000" w:fill="FFFFFF"/>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Reunión de coordinación ABU-HFC y HFCC/ASBU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9 de enero</w:t>
            </w:r>
          </w:p>
        </w:tc>
        <w:tc>
          <w:tcPr>
            <w:tcW w:w="1276" w:type="dxa"/>
            <w:tcBorders>
              <w:top w:val="nil"/>
              <w:left w:val="nil"/>
              <w:bottom w:val="single" w:sz="4" w:space="0" w:color="auto"/>
              <w:right w:val="single" w:sz="4" w:space="0" w:color="auto"/>
            </w:tcBorders>
            <w:shd w:val="clear" w:color="000000" w:fill="FFFFFF"/>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enero</w:t>
            </w:r>
          </w:p>
        </w:tc>
        <w:tc>
          <w:tcPr>
            <w:tcW w:w="1900" w:type="dxa"/>
            <w:tcBorders>
              <w:top w:val="nil"/>
              <w:left w:val="nil"/>
              <w:bottom w:val="single" w:sz="4" w:space="0" w:color="auto"/>
              <w:right w:val="single" w:sz="4" w:space="0" w:color="auto"/>
            </w:tcBorders>
            <w:shd w:val="clear" w:color="000000" w:fill="FFFFFF"/>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Kuala Lumpur</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A5607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63ª Premios anuales EMMY de</w:t>
            </w:r>
            <w:r w:rsidR="00A56075" w:rsidRPr="00187C22">
              <w:rPr>
                <w:rFonts w:asciiTheme="majorBidi" w:hAnsiTheme="majorBidi" w:cstheme="majorBidi"/>
                <w:sz w:val="18"/>
                <w:szCs w:val="18"/>
                <w:lang w:val="es-ES" w:eastAsia="zh-CN"/>
              </w:rPr>
              <w:t xml:space="preserve"> </w:t>
            </w:r>
            <w:r w:rsidRPr="00187C22">
              <w:rPr>
                <w:rFonts w:asciiTheme="majorBidi" w:hAnsiTheme="majorBidi" w:cstheme="majorBidi"/>
                <w:sz w:val="18"/>
                <w:szCs w:val="18"/>
                <w:lang w:val="es-ES" w:eastAsia="zh-CN"/>
              </w:rPr>
              <w:t>Tecnología e Ingeniería</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enero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enero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Las Vegas</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UNIDROIT – Conferencia Diplomática</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27 de febrero </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9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Berlín</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000000" w:fill="FFFFFF"/>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Congreso Mundial Móvil GSMA 2012 – Programa Ministerial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febrero</w:t>
            </w:r>
          </w:p>
        </w:tc>
        <w:tc>
          <w:tcPr>
            <w:tcW w:w="1276" w:type="dxa"/>
            <w:tcBorders>
              <w:top w:val="nil"/>
              <w:left w:val="nil"/>
              <w:bottom w:val="single" w:sz="4" w:space="0" w:color="auto"/>
              <w:right w:val="single" w:sz="4" w:space="0" w:color="auto"/>
            </w:tcBorders>
            <w:shd w:val="clear" w:color="000000" w:fill="FFFFFF"/>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febrero</w:t>
            </w:r>
          </w:p>
        </w:tc>
        <w:tc>
          <w:tcPr>
            <w:tcW w:w="1900" w:type="dxa"/>
            <w:tcBorders>
              <w:top w:val="nil"/>
              <w:left w:val="nil"/>
              <w:bottom w:val="single" w:sz="4" w:space="0" w:color="auto"/>
              <w:right w:val="single" w:sz="4" w:space="0" w:color="auto"/>
            </w:tcBorders>
            <w:shd w:val="clear" w:color="000000" w:fill="FFFFFF"/>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Barcelona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CABSAT &amp; Satellite MENA</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febrero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febrero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Dubai</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Cumbre del Grupo de TV Digital (DTG)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C96C7E"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Pr>
                <w:rFonts w:asciiTheme="majorBidi" w:hAnsiTheme="majorBidi" w:cstheme="majorBidi"/>
                <w:sz w:val="18"/>
                <w:szCs w:val="18"/>
                <w:lang w:val="es-ES" w:eastAsia="zh-CN"/>
              </w:rPr>
              <w:t>Londres</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Conferencia sobre el Espectro Dinámico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Bruselas</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Satellite 2012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Washington</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C96C7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Cumbre de </w:t>
            </w:r>
            <w:r w:rsidR="00187C22">
              <w:rPr>
                <w:rFonts w:asciiTheme="majorBidi" w:hAnsiTheme="majorBidi" w:cstheme="majorBidi"/>
                <w:sz w:val="18"/>
                <w:szCs w:val="18"/>
                <w:lang w:val="es-ES" w:eastAsia="zh-CN"/>
              </w:rPr>
              <w:t>Mú</w:t>
            </w:r>
            <w:r w:rsidRPr="00187C22">
              <w:rPr>
                <w:rFonts w:asciiTheme="majorBidi" w:hAnsiTheme="majorBidi" w:cstheme="majorBidi"/>
                <w:sz w:val="18"/>
                <w:szCs w:val="18"/>
                <w:lang w:val="es-ES" w:eastAsia="zh-CN"/>
              </w:rPr>
              <w:t xml:space="preserve">nich sobre navegación por satélite </w:t>
            </w:r>
            <w:r w:rsidR="00C96C7E">
              <w:rPr>
                <w:rFonts w:asciiTheme="majorBidi" w:hAnsiTheme="majorBidi" w:cstheme="majorBidi"/>
                <w:sz w:val="18"/>
                <w:szCs w:val="18"/>
                <w:lang w:val="es-ES" w:eastAsia="zh-CN"/>
              </w:rPr>
              <w:t>–</w:t>
            </w:r>
            <w:r w:rsidRPr="00187C22">
              <w:rPr>
                <w:rFonts w:asciiTheme="majorBidi" w:hAnsiTheme="majorBidi" w:cstheme="majorBidi"/>
                <w:sz w:val="18"/>
                <w:szCs w:val="18"/>
                <w:lang w:val="es-ES" w:eastAsia="zh-CN"/>
              </w:rPr>
              <w:t xml:space="preserve"> GNSS</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Múnich</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Simposio de Radiocomunicaciones</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Tokio</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Reunión CJK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Miyazaki</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C96C7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8ª Conferencia Anual Profesional de CERD 2012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Bratislava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Conferencia sobre el espectro de Oriente Medio</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Bahréin</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Coloquio Anual de la Revista de Reglamentación</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Paris</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A56075">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2ª Seminario sobre gestión del espectro del Caribe: Transición</w:t>
            </w:r>
            <w:r w:rsidR="00A56075" w:rsidRPr="00187C22">
              <w:rPr>
                <w:rFonts w:asciiTheme="majorBidi" w:hAnsiTheme="majorBidi" w:cstheme="majorBidi"/>
                <w:sz w:val="18"/>
                <w:szCs w:val="18"/>
                <w:lang w:val="es-ES" w:eastAsia="zh-CN"/>
              </w:rPr>
              <w:t xml:space="preserve"> </w:t>
            </w:r>
            <w:r w:rsidRPr="00187C22">
              <w:rPr>
                <w:rFonts w:asciiTheme="majorBidi" w:hAnsiTheme="majorBidi" w:cstheme="majorBidi"/>
                <w:sz w:val="18"/>
                <w:szCs w:val="18"/>
                <w:lang w:val="es-ES" w:eastAsia="zh-CN"/>
              </w:rPr>
              <w:t xml:space="preserve">a Digital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abril</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abril</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Puerto España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Conferencia del Espectro Radioeléctrico de Asia-Pacífico 2012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abril</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13 de abril </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Hong Kong</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Conferencia sobre Televisión Digital del Sudeste de Europa (digi.TV)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19 de abril</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abril</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Trieste</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de IISC sobre la Asociación de Datos de Satélite (SDA)</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9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9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Isla de Man</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Foro SMPTE sobre Tecnologías incipientes de medios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Taller ASBU sobre cuestiones relacionadas con la radiodifusión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17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Túnez</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Taller </w:t>
            </w:r>
            <w:r w:rsidR="00F91653">
              <w:rPr>
                <w:rFonts w:asciiTheme="majorBidi" w:hAnsiTheme="majorBidi" w:cstheme="majorBidi"/>
                <w:sz w:val="18"/>
                <w:szCs w:val="18"/>
                <w:lang w:val="es-ES" w:eastAsia="zh-CN"/>
              </w:rPr>
              <w:t>«</w:t>
            </w:r>
            <w:r w:rsidRPr="00187C22">
              <w:rPr>
                <w:rFonts w:asciiTheme="majorBidi" w:hAnsiTheme="majorBidi" w:cstheme="majorBidi"/>
                <w:sz w:val="18"/>
                <w:szCs w:val="18"/>
                <w:lang w:val="es-ES" w:eastAsia="zh-CN"/>
              </w:rPr>
              <w:t>Las TIC y las mujeres</w:t>
            </w:r>
            <w:r w:rsidR="00F91653">
              <w:rPr>
                <w:rFonts w:asciiTheme="majorBidi" w:hAnsiTheme="majorBidi" w:cstheme="majorBidi"/>
                <w:sz w:val="18"/>
                <w:szCs w:val="18"/>
                <w:lang w:val="es-ES" w:eastAsia="zh-CN"/>
              </w:rPr>
              <w:t>»</w:t>
            </w:r>
            <w:r w:rsidRPr="00187C22">
              <w:rPr>
                <w:rFonts w:asciiTheme="majorBidi" w:hAnsiTheme="majorBidi" w:cstheme="majorBidi"/>
                <w:sz w:val="18"/>
                <w:szCs w:val="18"/>
                <w:lang w:val="es-ES" w:eastAsia="zh-CN"/>
              </w:rPr>
              <w:t xml:space="preserve"> con ocasión del Día Mundial de las Telecomunicaciones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17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17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Izmir</w:t>
            </w:r>
          </w:p>
        </w:tc>
      </w:tr>
      <w:tr w:rsidR="00591C54" w:rsidRPr="00187C22" w:rsidTr="0056519E">
        <w:trPr>
          <w:cantSplit/>
          <w:trHeight w:val="225"/>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C96C7E">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lastRenderedPageBreak/>
              <w:t>12ª Conferencia Internacional Anual sobre Servicios Inalámbricos de</w:t>
            </w:r>
            <w:r w:rsidR="00C96C7E">
              <w:rPr>
                <w:rFonts w:asciiTheme="majorBidi" w:hAnsiTheme="majorBidi" w:cstheme="majorBidi"/>
                <w:sz w:val="18"/>
                <w:szCs w:val="18"/>
                <w:lang w:val="es-ES" w:eastAsia="zh-CN"/>
              </w:rPr>
              <w:t> </w:t>
            </w:r>
            <w:r w:rsidR="00C96C7E" w:rsidRPr="00187C22">
              <w:rPr>
                <w:rFonts w:asciiTheme="majorBidi" w:hAnsiTheme="majorBidi" w:cstheme="majorBidi"/>
                <w:sz w:val="18"/>
                <w:szCs w:val="18"/>
                <w:lang w:val="es-ES" w:eastAsia="zh-CN"/>
              </w:rPr>
              <w:t>Rio</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mayo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mayo</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Rio de Janeiro</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Seminario Internacional sobre la transición a todo digital en el sector de radiocomunicaciones</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Conakry</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Conferencia Mundial sobre exploración espacial</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22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24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Washington </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D04921">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Taller espacial Intl. sobre los resultados de la CMR-12 </w:t>
            </w:r>
            <w:r w:rsidR="00D04921">
              <w:rPr>
                <w:rFonts w:asciiTheme="majorBidi" w:hAnsiTheme="majorBidi" w:cstheme="majorBidi"/>
                <w:sz w:val="18"/>
                <w:szCs w:val="18"/>
                <w:lang w:val="es-ES" w:eastAsia="zh-CN"/>
              </w:rPr>
              <w:t>–</w:t>
            </w:r>
            <w:r w:rsidRPr="00187C22">
              <w:rPr>
                <w:rFonts w:asciiTheme="majorBidi" w:hAnsiTheme="majorBidi" w:cstheme="majorBidi"/>
                <w:sz w:val="18"/>
                <w:szCs w:val="18"/>
                <w:lang w:val="es-ES" w:eastAsia="zh-CN"/>
              </w:rPr>
              <w:t xml:space="preserve"> SES University</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24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Luxemburgo</w:t>
            </w:r>
          </w:p>
        </w:tc>
      </w:tr>
      <w:tr w:rsidR="00591C54" w:rsidRPr="00187C22" w:rsidTr="0056519E">
        <w:trPr>
          <w:cantSplit/>
          <w:trHeight w:val="225"/>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CASETEL </w:t>
            </w:r>
            <w:r w:rsidR="00F91653">
              <w:rPr>
                <w:rFonts w:asciiTheme="majorBidi" w:hAnsiTheme="majorBidi" w:cstheme="majorBidi"/>
                <w:sz w:val="18"/>
                <w:szCs w:val="18"/>
                <w:lang w:val="es-ES" w:eastAsia="zh-CN"/>
              </w:rPr>
              <w:t>«</w:t>
            </w:r>
            <w:r w:rsidRPr="00187C22">
              <w:rPr>
                <w:rFonts w:asciiTheme="majorBidi" w:hAnsiTheme="majorBidi" w:cstheme="majorBidi"/>
                <w:sz w:val="18"/>
                <w:szCs w:val="18"/>
                <w:lang w:val="es-ES" w:eastAsia="zh-CN"/>
              </w:rPr>
              <w:t>Lineamientos para una Agenda Digital</w:t>
            </w:r>
            <w:r w:rsidR="00F91653">
              <w:rPr>
                <w:rFonts w:asciiTheme="majorBidi" w:hAnsiTheme="majorBidi" w:cstheme="majorBidi"/>
                <w:sz w:val="18"/>
                <w:szCs w:val="18"/>
                <w:lang w:val="es-ES" w:eastAsia="zh-CN"/>
              </w:rPr>
              <w:t>»</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junio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junio</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Caracas</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32ª Reunión Anual del Grupo de Coordinación de frecuencias espaciales (SFCG)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junio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junio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Darmstadt</w:t>
            </w:r>
          </w:p>
        </w:tc>
      </w:tr>
      <w:tr w:rsidR="00591C54" w:rsidRPr="00187C22" w:rsidTr="0056519E">
        <w:trPr>
          <w:cantSplit/>
          <w:trHeight w:val="214"/>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Conferencia sobre gestión del espectro en la UE</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19 de junio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junio</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Bruselas</w:t>
            </w:r>
          </w:p>
        </w:tc>
      </w:tr>
      <w:tr w:rsidR="00591C54" w:rsidRPr="00187C22" w:rsidTr="0056519E">
        <w:trPr>
          <w:cantSplit/>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Cumbre CommunicAsia2012 – Rastreo de Comunicaciones por satélite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19 de junio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junio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Singapur</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Toulouse Space Show</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25 de junio </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28 de junio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Toulouse</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Banda ancha para todos – Seminario Anual de Ericsson</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junio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junio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Estocolmo</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 Ships Race</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 de julio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julio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St. Malo</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Gestión y utilización del espectro – Simposio URSI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sept.</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sept.</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668CC"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Pr>
                <w:rFonts w:asciiTheme="majorBidi" w:hAnsiTheme="majorBidi" w:cstheme="majorBidi"/>
                <w:sz w:val="18"/>
                <w:szCs w:val="18"/>
                <w:lang w:val="es-ES" w:eastAsia="zh-CN"/>
              </w:rPr>
              <w:t>Ciudad del Cabo</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Mintel – Seminario sobre gestión del espectro para sociedades científicas</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13 de sept.</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14 de sept. </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Quito</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D04921" w:rsidP="00D04921">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Pr>
                <w:rFonts w:asciiTheme="majorBidi" w:hAnsiTheme="majorBidi" w:cstheme="majorBidi"/>
                <w:sz w:val="18"/>
                <w:szCs w:val="18"/>
                <w:lang w:val="es-ES" w:eastAsia="zh-CN"/>
              </w:rPr>
              <w:t>1</w:t>
            </w:r>
            <w:r w:rsidRPr="00D04921">
              <w:rPr>
                <w:rFonts w:asciiTheme="majorBidi" w:hAnsiTheme="majorBidi" w:cstheme="majorBidi"/>
                <w:sz w:val="18"/>
                <w:szCs w:val="18"/>
                <w:vertAlign w:val="superscript"/>
                <w:lang w:val="es-ES" w:eastAsia="zh-CN"/>
              </w:rPr>
              <w:t>er</w:t>
            </w:r>
            <w:r>
              <w:rPr>
                <w:rFonts w:asciiTheme="majorBidi" w:hAnsiTheme="majorBidi" w:cstheme="majorBidi"/>
                <w:sz w:val="18"/>
                <w:szCs w:val="18"/>
                <w:lang w:val="es-ES" w:eastAsia="zh-CN"/>
              </w:rPr>
              <w:t xml:space="preserve"> </w:t>
            </w:r>
            <w:r w:rsidR="00591C54" w:rsidRPr="00187C22">
              <w:rPr>
                <w:rFonts w:asciiTheme="majorBidi" w:hAnsiTheme="majorBidi" w:cstheme="majorBidi"/>
                <w:sz w:val="18"/>
                <w:szCs w:val="18"/>
                <w:lang w:val="es-ES" w:eastAsia="zh-CN"/>
              </w:rPr>
              <w:t>Congreso Mundial anual de BIT sobre el Océano – Tecnologías inalámbricas</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sept.</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sept.</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Dalian</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63º Congreso Intl. Astronáutico – Resultados de la CMR-12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octubre</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octubre</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Nápoles</w:t>
            </w:r>
          </w:p>
        </w:tc>
      </w:tr>
      <w:tr w:rsidR="00591C54" w:rsidRPr="00187C22" w:rsidTr="0056519E">
        <w:trPr>
          <w:cantSplit/>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WWRF – Taller 2012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octubre</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octubre</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Berlín</w:t>
            </w:r>
          </w:p>
        </w:tc>
      </w:tr>
      <w:tr w:rsidR="00591C54" w:rsidRPr="00187C22" w:rsidTr="0056519E">
        <w:trPr>
          <w:cantSplit/>
          <w:trHeight w:val="225"/>
        </w:trPr>
        <w:tc>
          <w:tcPr>
            <w:tcW w:w="5259" w:type="dxa"/>
            <w:tcBorders>
              <w:top w:val="single" w:sz="4" w:space="0" w:color="auto"/>
              <w:left w:val="single" w:sz="4" w:space="0" w:color="auto"/>
              <w:bottom w:val="single" w:sz="4" w:space="0" w:color="auto"/>
              <w:right w:val="nil"/>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s-ES" w:eastAsia="zh-CN"/>
              </w:rPr>
            </w:pPr>
            <w:r w:rsidRPr="00187C22">
              <w:rPr>
                <w:rFonts w:asciiTheme="majorBidi" w:hAnsiTheme="majorBidi" w:cstheme="majorBidi"/>
                <w:b/>
                <w:bCs/>
                <w:sz w:val="18"/>
                <w:szCs w:val="18"/>
                <w:lang w:val="es-ES" w:eastAsia="zh-CN"/>
              </w:rPr>
              <w:t>SEMINARIOS, TALLERES Y REUNIONES DE LA UIT</w:t>
            </w:r>
          </w:p>
        </w:tc>
        <w:tc>
          <w:tcPr>
            <w:tcW w:w="1276" w:type="dxa"/>
            <w:gridSpan w:val="3"/>
            <w:tcBorders>
              <w:top w:val="single" w:sz="4" w:space="0" w:color="auto"/>
              <w:left w:val="nil"/>
              <w:bottom w:val="single" w:sz="4" w:space="0" w:color="auto"/>
              <w:right w:val="nil"/>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s-ES" w:eastAsia="zh-CN"/>
              </w:rPr>
            </w:pPr>
          </w:p>
        </w:tc>
        <w:tc>
          <w:tcPr>
            <w:tcW w:w="1276" w:type="dxa"/>
            <w:tcBorders>
              <w:top w:val="single" w:sz="4" w:space="0" w:color="auto"/>
              <w:left w:val="nil"/>
              <w:bottom w:val="single" w:sz="4" w:space="0" w:color="auto"/>
              <w:right w:val="nil"/>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s-ES" w:eastAsia="zh-CN"/>
              </w:rPr>
            </w:pPr>
          </w:p>
        </w:tc>
        <w:tc>
          <w:tcPr>
            <w:tcW w:w="1900" w:type="dxa"/>
            <w:tcBorders>
              <w:top w:val="single" w:sz="4" w:space="0" w:color="auto"/>
              <w:left w:val="nil"/>
              <w:bottom w:val="single" w:sz="4" w:space="0" w:color="auto"/>
              <w:right w:val="single" w:sz="4" w:space="0" w:color="auto"/>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s-ES" w:eastAsia="zh-CN"/>
              </w:rPr>
            </w:pP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Taller Regional de la UIT sobre transición a la TV digital </w:t>
            </w:r>
          </w:p>
        </w:tc>
        <w:tc>
          <w:tcPr>
            <w:tcW w:w="1276" w:type="dxa"/>
            <w:gridSpan w:val="3"/>
            <w:tcBorders>
              <w:top w:val="nil"/>
              <w:left w:val="nil"/>
              <w:bottom w:val="single" w:sz="4" w:space="0" w:color="auto"/>
              <w:right w:val="single" w:sz="4" w:space="0" w:color="auto"/>
            </w:tcBorders>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febrero</w:t>
            </w:r>
          </w:p>
        </w:tc>
        <w:tc>
          <w:tcPr>
            <w:tcW w:w="1276" w:type="dxa"/>
            <w:tcBorders>
              <w:top w:val="nil"/>
              <w:left w:val="nil"/>
              <w:bottom w:val="single" w:sz="4" w:space="0" w:color="auto"/>
              <w:right w:val="single" w:sz="4" w:space="0" w:color="auto"/>
            </w:tcBorders>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marzo</w:t>
            </w:r>
          </w:p>
        </w:tc>
        <w:tc>
          <w:tcPr>
            <w:tcW w:w="1900" w:type="dxa"/>
            <w:tcBorders>
              <w:top w:val="nil"/>
              <w:left w:val="nil"/>
              <w:bottom w:val="single" w:sz="4" w:space="0" w:color="auto"/>
              <w:right w:val="single" w:sz="4" w:space="0" w:color="auto"/>
            </w:tcBorders>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Bangkok</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Seminario UIT/AICTO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28 de febrero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febrero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Túnez </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D04921">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Cumbre Conectar </w:t>
            </w:r>
            <w:r w:rsidR="00D04921">
              <w:rPr>
                <w:rFonts w:asciiTheme="majorBidi" w:hAnsiTheme="majorBidi" w:cstheme="majorBidi"/>
                <w:sz w:val="18"/>
                <w:szCs w:val="18"/>
                <w:lang w:val="es-ES" w:eastAsia="zh-CN"/>
              </w:rPr>
              <w:t>el Mundo</w:t>
            </w:r>
            <w:r w:rsidRPr="00187C22">
              <w:rPr>
                <w:rFonts w:asciiTheme="majorBidi" w:hAnsiTheme="majorBidi" w:cstheme="majorBidi"/>
                <w:sz w:val="18"/>
                <w:szCs w:val="18"/>
                <w:lang w:val="es-ES" w:eastAsia="zh-CN"/>
              </w:rPr>
              <w:t xml:space="preserve"> Árabe</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Doha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Taller y reunión de coordinación de frecuencias ATU/UIT sobre transición a la TV digital y dividendo digital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12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Bamako</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Formación de Directivos sobre la transición y el dividendo digital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marzo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marzo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D04921"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Pr>
                <w:rFonts w:asciiTheme="majorBidi" w:hAnsiTheme="majorBidi" w:cstheme="majorBidi"/>
                <w:sz w:val="18"/>
                <w:szCs w:val="18"/>
                <w:lang w:val="es-ES" w:eastAsia="zh-CN"/>
              </w:rPr>
              <w:t>Atenas</w:t>
            </w:r>
          </w:p>
        </w:tc>
      </w:tr>
      <w:tr w:rsidR="00591C54" w:rsidRPr="00187C22" w:rsidTr="0056519E">
        <w:trPr>
          <w:cantSplit/>
          <w:trHeight w:val="390"/>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y reunión de coordinación de frecuencias ATU/UIT sobre transición a la TV digital y dividendo digital</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abril</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20 de abril</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Kampala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Foro de Desarrollo Regional para las Américas</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18 de abril</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19 de abril</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México </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Regional de la UIT sobre el Espacio</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abril</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27 de abril</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Bangkok</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sobre gestión del espectro y dividendo digital</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Varsovia </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Foro Regional de Desarrollo para África</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9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11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Kigali</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Reunión Preparatoria de la AMNT-12 para la Región de las Américas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15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Buenos Aires</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Foro de Desarrollo Regional para Asia-Pacífico</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16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18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Bangkok</w:t>
            </w:r>
          </w:p>
        </w:tc>
      </w:tr>
      <w:tr w:rsidR="00591C54" w:rsidRPr="00187C22" w:rsidTr="0056519E">
        <w:trPr>
          <w:cantSplit/>
          <w:trHeight w:val="330"/>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y reunión de coordinación de frecuencias UIT/CTU/CBU sobre transición a la TV digital y dividendo digital</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25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Barbados</w:t>
            </w:r>
          </w:p>
        </w:tc>
      </w:tr>
      <w:tr w:rsidR="00591C54" w:rsidRPr="00187C22" w:rsidTr="0056519E">
        <w:trPr>
          <w:cantSplit/>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Foro Regional de Desarrollo para los países de la CEI</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23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Chisinau</w:t>
            </w:r>
          </w:p>
        </w:tc>
      </w:tr>
      <w:tr w:rsidR="00591C54" w:rsidRPr="00187C22" w:rsidTr="0056519E">
        <w:trPr>
          <w:cantSplit/>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7º Simposio sobre las TIC, el medio ambiente y el cambio climático</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31 de mayo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Montreal</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Taller sobre la transición a la TV digital TV y el dividendo digital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30 de mayo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 de junio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Uruguay</w:t>
            </w:r>
          </w:p>
        </w:tc>
      </w:tr>
      <w:tr w:rsidR="00591C54" w:rsidRPr="00187C22" w:rsidTr="0056519E">
        <w:trPr>
          <w:cantSplit/>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sobre el desarrollo de las radiocomunicaciones en vista de la CMR-12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junio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8 de junio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D04921"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Pr>
                <w:rFonts w:asciiTheme="majorBidi" w:hAnsiTheme="majorBidi" w:cstheme="majorBidi"/>
                <w:sz w:val="18"/>
                <w:szCs w:val="18"/>
                <w:lang w:val="es-ES" w:eastAsia="zh-CN"/>
              </w:rPr>
              <w:t>San Petersburgo</w:t>
            </w:r>
          </w:p>
        </w:tc>
      </w:tr>
      <w:tr w:rsidR="00591C54" w:rsidRPr="00187C22" w:rsidTr="0056519E">
        <w:trPr>
          <w:cantSplit/>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Taller de la UIT sobre gestión del espectro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18 de junio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21 de junio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Bogotá</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Cumbre Conectar las Américas</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17 de julio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19 de julio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Panamá</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Foro multipartito CLM/UIT – Función de las TIC en caso de catástrofe</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24 de julio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26 de julio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Bogotá</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Cumbre ATU/UIT sobre política de espectro y transición a digital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 de sept.</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6 de sept.</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Abuja</w:t>
            </w:r>
          </w:p>
        </w:tc>
      </w:tr>
      <w:tr w:rsidR="00591C54" w:rsidRPr="00187C22" w:rsidTr="0056519E">
        <w:trPr>
          <w:cantSplit/>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Taller sobre comunicaciones por satélite en la banda Ka</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5 de sept.</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7 de sept. </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D04921"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Pr>
                <w:rFonts w:asciiTheme="majorBidi" w:hAnsiTheme="majorBidi" w:cstheme="majorBidi"/>
                <w:sz w:val="18"/>
                <w:szCs w:val="18"/>
                <w:lang w:val="es-ES" w:eastAsia="zh-CN"/>
              </w:rPr>
              <w:t>Kazaj</w:t>
            </w:r>
            <w:r w:rsidR="00591C54" w:rsidRPr="00187C22">
              <w:rPr>
                <w:rFonts w:asciiTheme="majorBidi" w:hAnsiTheme="majorBidi" w:cstheme="majorBidi"/>
                <w:sz w:val="18"/>
                <w:szCs w:val="18"/>
                <w:lang w:val="es-ES" w:eastAsia="zh-CN"/>
              </w:rPr>
              <w:t>stán</w:t>
            </w:r>
          </w:p>
        </w:tc>
      </w:tr>
      <w:tr w:rsidR="00591C54" w:rsidRPr="00187C22" w:rsidTr="0056519E">
        <w:trPr>
          <w:cantSplit/>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Seminario RAPAF – Reguladores de Radiodifusión – transición a la televisión digital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26 de sept.</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28 de sept.</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Libreville</w:t>
            </w:r>
          </w:p>
        </w:tc>
      </w:tr>
      <w:tr w:rsidR="00591C54" w:rsidRPr="00187C22" w:rsidTr="0056519E">
        <w:trPr>
          <w:cantSplit/>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GSR-12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 de octubre</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 de octubre</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Colombo</w:t>
            </w:r>
          </w:p>
        </w:tc>
      </w:tr>
      <w:tr w:rsidR="00591C54" w:rsidRPr="00187C22" w:rsidTr="0056519E">
        <w:trPr>
          <w:cantSplit/>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Seminario Regional UIT/APBU sobre las TIC, medio ambiente y cambio climático</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31 de octubre</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 de noviembre </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Yakarta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Seminario de Radiocomunicaciones de la UIT</w:t>
            </w:r>
          </w:p>
        </w:tc>
        <w:tc>
          <w:tcPr>
            <w:tcW w:w="1276" w:type="dxa"/>
            <w:gridSpan w:val="3"/>
            <w:tcBorders>
              <w:top w:val="nil"/>
              <w:left w:val="nil"/>
              <w:bottom w:val="single" w:sz="4" w:space="0" w:color="auto"/>
              <w:right w:val="single" w:sz="4" w:space="0" w:color="auto"/>
            </w:tcBorders>
            <w:shd w:val="clear" w:color="auto" w:fill="auto"/>
            <w:vAlign w:val="center"/>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3 de diciembre</w:t>
            </w:r>
          </w:p>
        </w:tc>
        <w:tc>
          <w:tcPr>
            <w:tcW w:w="1276" w:type="dxa"/>
            <w:tcBorders>
              <w:top w:val="nil"/>
              <w:left w:val="nil"/>
              <w:bottom w:val="single" w:sz="4" w:space="0" w:color="auto"/>
              <w:right w:val="single" w:sz="4" w:space="0" w:color="auto"/>
            </w:tcBorders>
            <w:shd w:val="clear" w:color="auto" w:fill="auto"/>
            <w:vAlign w:val="center"/>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7 de diciembre </w:t>
            </w:r>
          </w:p>
        </w:tc>
        <w:tc>
          <w:tcPr>
            <w:tcW w:w="1900" w:type="dxa"/>
            <w:tcBorders>
              <w:top w:val="nil"/>
              <w:left w:val="nil"/>
              <w:bottom w:val="single" w:sz="4" w:space="0" w:color="auto"/>
              <w:right w:val="single" w:sz="4" w:space="0" w:color="auto"/>
            </w:tcBorders>
            <w:shd w:val="clear" w:color="auto" w:fill="auto"/>
            <w:vAlign w:val="center"/>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GSS y AMNT-12</w:t>
            </w:r>
          </w:p>
        </w:tc>
        <w:tc>
          <w:tcPr>
            <w:tcW w:w="1276" w:type="dxa"/>
            <w:gridSpan w:val="3"/>
            <w:tcBorders>
              <w:top w:val="nil"/>
              <w:left w:val="nil"/>
              <w:bottom w:val="single" w:sz="4" w:space="0" w:color="auto"/>
              <w:right w:val="single" w:sz="4" w:space="0" w:color="auto"/>
            </w:tcBorders>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18 de noviembre </w:t>
            </w:r>
          </w:p>
        </w:tc>
        <w:tc>
          <w:tcPr>
            <w:tcW w:w="1276" w:type="dxa"/>
            <w:tcBorders>
              <w:top w:val="nil"/>
              <w:left w:val="nil"/>
              <w:bottom w:val="single" w:sz="4" w:space="0" w:color="auto"/>
              <w:right w:val="single" w:sz="4" w:space="0" w:color="auto"/>
            </w:tcBorders>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29 de noviembre</w:t>
            </w:r>
          </w:p>
        </w:tc>
        <w:tc>
          <w:tcPr>
            <w:tcW w:w="1900" w:type="dxa"/>
            <w:tcBorders>
              <w:top w:val="nil"/>
              <w:left w:val="nil"/>
              <w:bottom w:val="single" w:sz="4" w:space="0" w:color="auto"/>
              <w:right w:val="single" w:sz="4" w:space="0" w:color="auto"/>
            </w:tcBorders>
            <w:shd w:val="clear" w:color="auto" w:fill="auto"/>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Dubai</w:t>
            </w:r>
          </w:p>
        </w:tc>
      </w:tr>
      <w:tr w:rsidR="00591C54" w:rsidRPr="00187C22" w:rsidTr="0056519E">
        <w:trPr>
          <w:cantSplit/>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CMTI-12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xml:space="preserve">2 de diciembre </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14 de diciembre</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Dubai</w:t>
            </w:r>
          </w:p>
        </w:tc>
      </w:tr>
      <w:tr w:rsidR="00591C54" w:rsidRPr="00187C22" w:rsidTr="0056519E">
        <w:trPr>
          <w:cantSplit/>
          <w:trHeight w:val="214"/>
        </w:trPr>
        <w:tc>
          <w:tcPr>
            <w:tcW w:w="5259" w:type="dxa"/>
            <w:tcBorders>
              <w:top w:val="single" w:sz="4" w:space="0" w:color="auto"/>
              <w:left w:val="single" w:sz="4" w:space="0" w:color="auto"/>
              <w:bottom w:val="single" w:sz="4" w:space="0" w:color="auto"/>
              <w:right w:val="nil"/>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s-ES" w:eastAsia="zh-CN"/>
              </w:rPr>
            </w:pPr>
            <w:r w:rsidRPr="00187C22">
              <w:rPr>
                <w:rFonts w:asciiTheme="majorBidi" w:hAnsiTheme="majorBidi" w:cstheme="majorBidi"/>
                <w:b/>
                <w:bCs/>
                <w:sz w:val="18"/>
                <w:szCs w:val="18"/>
                <w:lang w:val="es-ES" w:eastAsia="zh-CN"/>
              </w:rPr>
              <w:t>SOLICITUDES DE ASISTENCIA</w:t>
            </w:r>
          </w:p>
        </w:tc>
        <w:tc>
          <w:tcPr>
            <w:tcW w:w="1276" w:type="dxa"/>
            <w:gridSpan w:val="3"/>
            <w:tcBorders>
              <w:top w:val="single" w:sz="4" w:space="0" w:color="auto"/>
              <w:left w:val="nil"/>
              <w:bottom w:val="single" w:sz="4" w:space="0" w:color="auto"/>
              <w:right w:val="nil"/>
            </w:tcBorders>
            <w:shd w:val="clear" w:color="000000" w:fill="E6E6E6"/>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 </w:t>
            </w:r>
          </w:p>
        </w:tc>
        <w:tc>
          <w:tcPr>
            <w:tcW w:w="1276" w:type="dxa"/>
            <w:tcBorders>
              <w:top w:val="single" w:sz="4" w:space="0" w:color="auto"/>
              <w:left w:val="nil"/>
              <w:bottom w:val="single" w:sz="4" w:space="0" w:color="auto"/>
              <w:right w:val="nil"/>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s-ES" w:eastAsia="zh-CN"/>
              </w:rPr>
            </w:pPr>
          </w:p>
        </w:tc>
        <w:tc>
          <w:tcPr>
            <w:tcW w:w="1900" w:type="dxa"/>
            <w:tcBorders>
              <w:top w:val="single" w:sz="4" w:space="0" w:color="auto"/>
              <w:left w:val="nil"/>
              <w:bottom w:val="single" w:sz="4" w:space="0" w:color="auto"/>
              <w:right w:val="single" w:sz="4" w:space="0" w:color="auto"/>
            </w:tcBorders>
            <w:shd w:val="clear" w:color="000000" w:fill="E6E6E6"/>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s-ES" w:eastAsia="zh-CN"/>
              </w:rPr>
            </w:pPr>
          </w:p>
        </w:tc>
      </w:tr>
      <w:tr w:rsidR="00591C54" w:rsidRPr="00187C22" w:rsidTr="0056519E">
        <w:trPr>
          <w:cantSplit/>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Asistencia a Albania sobre el plan estratégico para la transición a la TV digital</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 de enero</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10 de enero</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Tirana</w:t>
            </w:r>
          </w:p>
        </w:tc>
      </w:tr>
      <w:tr w:rsidR="00591C54" w:rsidRPr="00187C22" w:rsidTr="0056519E">
        <w:trPr>
          <w:cantSplit/>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Formación en servicios espaciales y terrenales para Venezuela</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4 de sept.</w:t>
            </w:r>
          </w:p>
        </w:tc>
        <w:tc>
          <w:tcPr>
            <w:tcW w:w="1276"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7 de sept.</w:t>
            </w:r>
          </w:p>
        </w:tc>
        <w:tc>
          <w:tcPr>
            <w:tcW w:w="1900" w:type="dxa"/>
            <w:tcBorders>
              <w:top w:val="nil"/>
              <w:left w:val="nil"/>
              <w:bottom w:val="single" w:sz="4" w:space="0" w:color="auto"/>
              <w:right w:val="single" w:sz="4" w:space="0" w:color="auto"/>
            </w:tcBorders>
            <w:shd w:val="clear" w:color="auto" w:fill="auto"/>
            <w:noWrap/>
            <w:vAlign w:val="bottom"/>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 w:eastAsia="zh-CN"/>
              </w:rPr>
            </w:pPr>
            <w:r w:rsidRPr="00187C22">
              <w:rPr>
                <w:rFonts w:asciiTheme="majorBidi" w:hAnsiTheme="majorBidi" w:cstheme="majorBidi"/>
                <w:sz w:val="18"/>
                <w:szCs w:val="18"/>
                <w:lang w:val="es-ES" w:eastAsia="zh-CN"/>
              </w:rPr>
              <w:t>Ginebra</w:t>
            </w:r>
          </w:p>
        </w:tc>
      </w:tr>
      <w:tr w:rsidR="00591C54" w:rsidRPr="00187C22" w:rsidTr="0056519E">
        <w:trPr>
          <w:cantSplit/>
          <w:trHeight w:val="276"/>
        </w:trPr>
        <w:tc>
          <w:tcPr>
            <w:tcW w:w="9711" w:type="dxa"/>
            <w:gridSpan w:val="6"/>
            <w:tcBorders>
              <w:top w:val="nil"/>
              <w:left w:val="nil"/>
              <w:bottom w:val="nil"/>
              <w:right w:val="nil"/>
            </w:tcBorders>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u w:val="single"/>
                <w:lang w:val="es-ES" w:eastAsia="zh-CN"/>
              </w:rPr>
            </w:pPr>
          </w:p>
        </w:tc>
      </w:tr>
    </w:tbl>
    <w:p w:rsidR="00591C54" w:rsidRPr="00187C22" w:rsidRDefault="00591C54" w:rsidP="00591C54">
      <w:pPr>
        <w:rPr>
          <w:bCs/>
          <w:lang w:val="es-ES" w:eastAsia="zh-CN"/>
        </w:rPr>
      </w:pPr>
      <w:r w:rsidRPr="00187C22">
        <w:rPr>
          <w:bCs/>
          <w:lang w:val="es-ES" w:eastAsia="zh-CN"/>
        </w:rPr>
        <w:lastRenderedPageBreak/>
        <w:t xml:space="preserve">En la siguiente dirección figura una lista exhaustiva de seminarios y talleres organizados directamente por la </w:t>
      </w:r>
      <w:r w:rsidR="00187C22" w:rsidRPr="00187C22">
        <w:rPr>
          <w:bCs/>
          <w:lang w:val="es-ES" w:eastAsia="zh-CN"/>
        </w:rPr>
        <w:t>UIT</w:t>
      </w:r>
      <w:r w:rsidRPr="00187C22">
        <w:rPr>
          <w:bCs/>
          <w:lang w:val="es-ES" w:eastAsia="zh-CN"/>
        </w:rPr>
        <w:t xml:space="preserve"> o en cooperación con otras entidades regionales o nacionales: </w:t>
      </w:r>
      <w:hyperlink r:id="rId29" w:history="1">
        <w:r w:rsidRPr="00187C22">
          <w:rPr>
            <w:bCs/>
            <w:color w:val="0000FF"/>
            <w:u w:val="single"/>
            <w:lang w:val="es-ES" w:eastAsia="zh-CN"/>
          </w:rPr>
          <w:t>http://www.itu.int/UIT-R/go/seminars</w:t>
        </w:r>
      </w:hyperlink>
      <w:r w:rsidRPr="00187C22">
        <w:rPr>
          <w:bCs/>
          <w:lang w:val="es-ES" w:eastAsia="zh-CN"/>
        </w:rPr>
        <w:t>.</w:t>
      </w:r>
    </w:p>
    <w:p w:rsidR="00591C54" w:rsidRPr="00187C22" w:rsidRDefault="00591C54" w:rsidP="002867CD">
      <w:pPr>
        <w:pStyle w:val="Heading1"/>
        <w:rPr>
          <w:rFonts w:eastAsiaTheme="minorEastAsia"/>
          <w:lang w:val="es-ES"/>
        </w:rPr>
      </w:pPr>
      <w:r w:rsidRPr="00187C22">
        <w:rPr>
          <w:rFonts w:eastAsiaTheme="minorEastAsia"/>
          <w:lang w:val="es-ES"/>
        </w:rPr>
        <w:t>8</w:t>
      </w:r>
      <w:r w:rsidRPr="00187C22">
        <w:rPr>
          <w:rFonts w:eastAsiaTheme="minorEastAsia"/>
          <w:lang w:val="es-ES"/>
        </w:rPr>
        <w:tab/>
        <w:t>Circular Internacional de Información sobre Frecuencias de la BR (BR IFIC)</w:t>
      </w:r>
    </w:p>
    <w:p w:rsidR="00591C54" w:rsidRPr="00187C22" w:rsidRDefault="00591C54" w:rsidP="00591C54">
      <w:pPr>
        <w:rPr>
          <w:rFonts w:eastAsiaTheme="minorEastAsia"/>
          <w:lang w:val="es-ES"/>
        </w:rPr>
      </w:pPr>
      <w:r w:rsidRPr="00187C22">
        <w:rPr>
          <w:lang w:val="es-ES"/>
        </w:rPr>
        <w:t xml:space="preserve">Este tema se presenta en el </w:t>
      </w:r>
      <w:r w:rsidR="00187C22" w:rsidRPr="00187C22">
        <w:rPr>
          <w:lang w:val="es-ES"/>
        </w:rPr>
        <w:t>Addéndum</w:t>
      </w:r>
      <w:r w:rsidRPr="00187C22">
        <w:rPr>
          <w:lang w:val="es-ES"/>
        </w:rPr>
        <w:t xml:space="preserve"> al presente documento.</w:t>
      </w:r>
    </w:p>
    <w:p w:rsidR="00591C54" w:rsidRPr="00187C22" w:rsidRDefault="00591C54" w:rsidP="002867CD">
      <w:pPr>
        <w:pStyle w:val="Heading1"/>
        <w:rPr>
          <w:rFonts w:eastAsiaTheme="minorEastAsia"/>
          <w:lang w:val="es-ES"/>
        </w:rPr>
      </w:pPr>
      <w:r w:rsidRPr="00187C22">
        <w:rPr>
          <w:rFonts w:eastAsiaTheme="minorEastAsia"/>
          <w:lang w:val="es-ES"/>
        </w:rPr>
        <w:t xml:space="preserve">9 </w:t>
      </w:r>
      <w:r w:rsidRPr="00187C22">
        <w:rPr>
          <w:rFonts w:eastAsiaTheme="minorEastAsia"/>
          <w:lang w:val="es-ES"/>
        </w:rPr>
        <w:tab/>
        <w:t>Estadísticas sobre los Miembros de Sector, Asociados e Instituciones Académicas</w:t>
      </w:r>
    </w:p>
    <w:p w:rsidR="00591C54" w:rsidRPr="00187C22" w:rsidRDefault="00591C54" w:rsidP="00591C54">
      <w:pPr>
        <w:ind w:right="-284"/>
        <w:rPr>
          <w:lang w:val="es-ES"/>
        </w:rPr>
      </w:pPr>
      <w:r w:rsidRPr="00187C22">
        <w:rPr>
          <w:lang w:val="es-ES"/>
        </w:rPr>
        <w:t xml:space="preserve">Este tema se presenta en el </w:t>
      </w:r>
      <w:r w:rsidR="00187C22" w:rsidRPr="00187C22">
        <w:rPr>
          <w:lang w:val="es-ES"/>
        </w:rPr>
        <w:t>Addéndum</w:t>
      </w:r>
      <w:r w:rsidRPr="00187C22">
        <w:rPr>
          <w:lang w:val="es-ES"/>
        </w:rPr>
        <w:t xml:space="preserve"> al presente documento.</w:t>
      </w:r>
    </w:p>
    <w:p w:rsidR="00591C54" w:rsidRPr="00187C22" w:rsidRDefault="00591C54" w:rsidP="002867CD">
      <w:pPr>
        <w:spacing w:before="2280"/>
        <w:rPr>
          <w:lang w:val="es-ES"/>
        </w:rPr>
      </w:pPr>
      <w:r w:rsidRPr="00187C22">
        <w:rPr>
          <w:b/>
          <w:bCs/>
          <w:lang w:val="es-ES"/>
        </w:rPr>
        <w:t>Anexo:</w:t>
      </w:r>
      <w:r w:rsidRPr="00187C22">
        <w:rPr>
          <w:lang w:val="es-ES"/>
        </w:rPr>
        <w:tab/>
        <w:t>1</w:t>
      </w:r>
    </w:p>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b/>
          <w:bCs/>
          <w:lang w:val="es-ES"/>
        </w:rPr>
      </w:pPr>
    </w:p>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es-ES"/>
        </w:rPr>
        <w:sectPr w:rsidR="00591C54" w:rsidRPr="00187C22" w:rsidSect="004534A7">
          <w:headerReference w:type="default" r:id="rId30"/>
          <w:footerReference w:type="first" r:id="rId31"/>
          <w:pgSz w:w="11907" w:h="16834"/>
          <w:pgMar w:top="1418" w:right="1134" w:bottom="1418" w:left="1134" w:header="720" w:footer="720" w:gutter="0"/>
          <w:paperSrc w:first="15" w:other="15"/>
          <w:cols w:space="720"/>
          <w:docGrid w:linePitch="326"/>
        </w:sectPr>
      </w:pPr>
    </w:p>
    <w:p w:rsidR="00591C54" w:rsidRPr="00187C22" w:rsidRDefault="00591C54" w:rsidP="00B75D33">
      <w:pPr>
        <w:pStyle w:val="AnnexNotitle"/>
        <w:spacing w:before="360" w:after="240"/>
        <w:rPr>
          <w:lang w:val="es-ES"/>
        </w:rPr>
      </w:pPr>
      <w:r w:rsidRPr="00187C22">
        <w:rPr>
          <w:lang w:val="es-ES"/>
        </w:rPr>
        <w:lastRenderedPageBreak/>
        <w:t>Anex</w:t>
      </w:r>
      <w:r w:rsidR="006037AC" w:rsidRPr="00187C22">
        <w:rPr>
          <w:lang w:val="es-ES"/>
        </w:rPr>
        <w:t>o</w:t>
      </w:r>
    </w:p>
    <w:p w:rsidR="00591C54" w:rsidRPr="00187C22" w:rsidRDefault="00591C54" w:rsidP="00B75D33">
      <w:pPr>
        <w:pBdr>
          <w:top w:val="single" w:sz="12" w:space="1" w:color="000099"/>
          <w:left w:val="single" w:sz="12" w:space="4" w:color="000099"/>
          <w:bottom w:val="single" w:sz="12" w:space="1" w:color="000099"/>
          <w:right w:val="single" w:sz="12" w:space="4" w:color="000099"/>
        </w:pBdr>
        <w:shd w:val="clear" w:color="auto" w:fill="DBE5F1" w:themeFill="accent1" w:themeFillTint="33"/>
        <w:tabs>
          <w:tab w:val="clear" w:pos="794"/>
          <w:tab w:val="clear" w:pos="1191"/>
          <w:tab w:val="clear" w:pos="1588"/>
          <w:tab w:val="clear" w:pos="1985"/>
          <w:tab w:val="left" w:pos="720"/>
          <w:tab w:val="left" w:pos="1080"/>
        </w:tabs>
        <w:spacing w:before="0"/>
        <w:jc w:val="center"/>
        <w:rPr>
          <w:rFonts w:asciiTheme="minorHAnsi" w:hAnsiTheme="minorHAnsi"/>
          <w:color w:val="000099"/>
          <w:sz w:val="18"/>
          <w:szCs w:val="28"/>
          <w:lang w:val="es-ES"/>
        </w:rPr>
      </w:pPr>
      <w:r w:rsidRPr="00187C22">
        <w:rPr>
          <w:rFonts w:asciiTheme="minorHAnsi" w:hAnsiTheme="minorHAnsi"/>
          <w:caps/>
          <w:color w:val="000099"/>
          <w:sz w:val="28"/>
          <w:szCs w:val="28"/>
          <w:lang w:val="es-ES"/>
        </w:rPr>
        <w:t>extract</w:t>
      </w:r>
      <w:r w:rsidR="00B75D33" w:rsidRPr="00187C22">
        <w:rPr>
          <w:rFonts w:asciiTheme="minorHAnsi" w:hAnsiTheme="minorHAnsi"/>
          <w:caps/>
          <w:color w:val="000099"/>
          <w:sz w:val="28"/>
          <w:szCs w:val="28"/>
          <w:lang w:val="es-ES"/>
        </w:rPr>
        <w:t>o</w:t>
      </w:r>
      <w:r w:rsidRPr="00187C22">
        <w:rPr>
          <w:rFonts w:asciiTheme="minorHAnsi" w:hAnsiTheme="minorHAnsi"/>
          <w:caps/>
          <w:color w:val="000099"/>
          <w:sz w:val="28"/>
          <w:szCs w:val="28"/>
          <w:lang w:val="es-ES"/>
        </w:rPr>
        <w:t xml:space="preserve"> </w:t>
      </w:r>
      <w:r w:rsidR="00B75D33" w:rsidRPr="00187C22">
        <w:rPr>
          <w:rFonts w:asciiTheme="minorHAnsi" w:hAnsiTheme="minorHAnsi"/>
          <w:caps/>
          <w:color w:val="000099"/>
          <w:sz w:val="28"/>
          <w:szCs w:val="28"/>
          <w:lang w:val="es-ES"/>
        </w:rPr>
        <w:t xml:space="preserve">del presupuesto bienal de la UIT para </w:t>
      </w:r>
      <w:r w:rsidRPr="00187C22">
        <w:rPr>
          <w:rFonts w:asciiTheme="minorHAnsi" w:hAnsiTheme="minorHAnsi"/>
          <w:caps/>
          <w:color w:val="000099"/>
          <w:sz w:val="28"/>
          <w:szCs w:val="28"/>
          <w:lang w:val="es-ES"/>
        </w:rPr>
        <w:t>2012-2013 (Resolución 1337</w:t>
      </w:r>
      <w:r w:rsidR="00B75D33" w:rsidRPr="00187C22">
        <w:rPr>
          <w:rFonts w:asciiTheme="minorHAnsi" w:hAnsiTheme="minorHAnsi"/>
          <w:caps/>
          <w:color w:val="000099"/>
          <w:sz w:val="28"/>
          <w:szCs w:val="28"/>
          <w:lang w:val="es-ES"/>
        </w:rPr>
        <w:t xml:space="preserve"> del consejo</w:t>
      </w:r>
      <w:r w:rsidRPr="00187C22">
        <w:rPr>
          <w:rFonts w:asciiTheme="minorHAnsi" w:hAnsiTheme="minorHAnsi"/>
          <w:caps/>
          <w:color w:val="000099"/>
          <w:sz w:val="28"/>
          <w:szCs w:val="28"/>
          <w:lang w:val="es-ES"/>
        </w:rPr>
        <w:t>)</w:t>
      </w:r>
    </w:p>
    <w:tbl>
      <w:tblPr>
        <w:tblW w:w="5000" w:type="pct"/>
        <w:tblLook w:val="04A0" w:firstRow="1" w:lastRow="0" w:firstColumn="1" w:lastColumn="0" w:noHBand="0" w:noVBand="1"/>
      </w:tblPr>
      <w:tblGrid>
        <w:gridCol w:w="1193"/>
        <w:gridCol w:w="5341"/>
        <w:gridCol w:w="1220"/>
        <w:gridCol w:w="1220"/>
        <w:gridCol w:w="1572"/>
        <w:gridCol w:w="1220"/>
        <w:gridCol w:w="1220"/>
        <w:gridCol w:w="1228"/>
      </w:tblGrid>
      <w:tr w:rsidR="00591C54" w:rsidRPr="00187C22" w:rsidTr="00591C54">
        <w:trPr>
          <w:trHeight w:val="465"/>
        </w:trPr>
        <w:tc>
          <w:tcPr>
            <w:tcW w:w="2298" w:type="pct"/>
            <w:gridSpan w:val="2"/>
            <w:tcBorders>
              <w:top w:val="nil"/>
              <w:left w:val="nil"/>
              <w:bottom w:val="nil"/>
              <w:right w:val="nil"/>
            </w:tcBorders>
            <w:shd w:val="clear" w:color="auto" w:fill="auto"/>
            <w:noWrap/>
            <w:vAlign w:val="center"/>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40"/>
                <w:szCs w:val="40"/>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color w:val="000099"/>
                <w:sz w:val="40"/>
                <w:szCs w:val="40"/>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40"/>
                <w:szCs w:val="40"/>
                <w:lang w:val="es-ES" w:eastAsia="zh-CN"/>
              </w:rPr>
            </w:pPr>
          </w:p>
        </w:tc>
        <w:tc>
          <w:tcPr>
            <w:tcW w:w="553"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40"/>
                <w:szCs w:val="40"/>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40"/>
                <w:szCs w:val="40"/>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40"/>
                <w:szCs w:val="40"/>
                <w:lang w:val="es-ES" w:eastAsia="zh-CN"/>
              </w:rPr>
            </w:pPr>
          </w:p>
        </w:tc>
        <w:tc>
          <w:tcPr>
            <w:tcW w:w="432"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40"/>
                <w:szCs w:val="40"/>
                <w:lang w:val="es-ES" w:eastAsia="zh-CN"/>
              </w:rPr>
            </w:pPr>
          </w:p>
        </w:tc>
      </w:tr>
      <w:tr w:rsidR="00591C54" w:rsidRPr="00187C22" w:rsidTr="00591C54">
        <w:trPr>
          <w:trHeight w:val="405"/>
        </w:trPr>
        <w:tc>
          <w:tcPr>
            <w:tcW w:w="5000" w:type="pct"/>
            <w:gridSpan w:val="8"/>
            <w:tcBorders>
              <w:top w:val="nil"/>
              <w:left w:val="nil"/>
              <w:bottom w:val="single" w:sz="4" w:space="0" w:color="000099"/>
              <w:right w:val="nil"/>
            </w:tcBorders>
            <w:shd w:val="clear" w:color="000000" w:fill="FFFFFF"/>
            <w:noWrap/>
            <w:vAlign w:val="center"/>
            <w:hideMark/>
          </w:tcPr>
          <w:p w:rsidR="00591C54" w:rsidRPr="00187C22" w:rsidRDefault="006037AC" w:rsidP="006037AC">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28"/>
                <w:szCs w:val="28"/>
                <w:lang w:val="es-ES" w:eastAsia="zh-CN"/>
              </w:rPr>
            </w:pPr>
            <w:r w:rsidRPr="00187C22">
              <w:rPr>
                <w:rFonts w:asciiTheme="minorHAnsi" w:hAnsiTheme="minorHAnsi"/>
                <w:b/>
                <w:bCs/>
                <w:color w:val="000099"/>
                <w:sz w:val="28"/>
                <w:szCs w:val="28"/>
                <w:lang w:val="es-ES" w:eastAsia="zh-CN"/>
              </w:rPr>
              <w:t xml:space="preserve">Presupuesto </w:t>
            </w:r>
            <w:r w:rsidR="00591C54" w:rsidRPr="00187C22">
              <w:rPr>
                <w:rFonts w:ascii="Calibri" w:hAnsi="Calibri"/>
                <w:b/>
                <w:bCs/>
                <w:color w:val="000099"/>
                <w:sz w:val="28"/>
                <w:szCs w:val="28"/>
                <w:lang w:val="es-ES" w:eastAsia="zh-CN"/>
              </w:rPr>
              <w:t xml:space="preserve">2012-2013 </w:t>
            </w:r>
            <w:r w:rsidRPr="00187C22">
              <w:rPr>
                <w:rFonts w:ascii="Calibri" w:hAnsi="Calibri"/>
                <w:b/>
                <w:bCs/>
                <w:color w:val="000099"/>
                <w:sz w:val="28"/>
                <w:szCs w:val="28"/>
                <w:lang w:val="es-ES" w:eastAsia="zh-CN"/>
              </w:rPr>
              <w:t>–</w:t>
            </w:r>
            <w:r w:rsidR="00591C54" w:rsidRPr="00187C22">
              <w:rPr>
                <w:rFonts w:ascii="Calibri" w:hAnsi="Calibri"/>
                <w:b/>
                <w:bCs/>
                <w:color w:val="000099"/>
                <w:sz w:val="28"/>
                <w:szCs w:val="28"/>
                <w:lang w:val="es-ES" w:eastAsia="zh-CN"/>
              </w:rPr>
              <w:t xml:space="preserve"> </w:t>
            </w:r>
            <w:r w:rsidRPr="00187C22">
              <w:rPr>
                <w:rFonts w:ascii="Calibri" w:hAnsi="Calibri"/>
                <w:b/>
                <w:bCs/>
                <w:color w:val="000099"/>
                <w:sz w:val="28"/>
                <w:szCs w:val="28"/>
                <w:lang w:val="es-ES" w:eastAsia="zh-CN"/>
              </w:rPr>
              <w:t>Sector de Radiocomunicaciones</w:t>
            </w:r>
          </w:p>
        </w:tc>
      </w:tr>
      <w:tr w:rsidR="00591C54" w:rsidRPr="00187C22" w:rsidTr="00591C54">
        <w:trPr>
          <w:trHeight w:val="240"/>
        </w:trPr>
        <w:tc>
          <w:tcPr>
            <w:tcW w:w="420" w:type="pct"/>
            <w:tcBorders>
              <w:top w:val="single" w:sz="4" w:space="0" w:color="000099"/>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 </w:t>
            </w:r>
          </w:p>
        </w:tc>
        <w:tc>
          <w:tcPr>
            <w:tcW w:w="1879" w:type="pct"/>
            <w:tcBorders>
              <w:top w:val="single" w:sz="4" w:space="0" w:color="000099"/>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8"/>
                <w:szCs w:val="18"/>
                <w:u w:val="single"/>
                <w:lang w:val="es-ES" w:eastAsia="zh-CN"/>
              </w:rPr>
            </w:pPr>
          </w:p>
        </w:tc>
        <w:tc>
          <w:tcPr>
            <w:tcW w:w="2702" w:type="pct"/>
            <w:gridSpan w:val="6"/>
            <w:tcBorders>
              <w:top w:val="single" w:sz="4" w:space="0" w:color="000099"/>
              <w:left w:val="nil"/>
              <w:bottom w:val="nil"/>
              <w:right w:val="nil"/>
            </w:tcBorders>
            <w:shd w:val="clear" w:color="000000" w:fill="DBE5F1"/>
            <w:noWrap/>
            <w:vAlign w:val="bottom"/>
            <w:hideMark/>
          </w:tcPr>
          <w:p w:rsidR="00591C54" w:rsidRPr="00187C22" w:rsidRDefault="006037AC"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En miles de francos suizos</w:t>
            </w:r>
          </w:p>
        </w:tc>
      </w:tr>
      <w:tr w:rsidR="00591C54" w:rsidRPr="00187C22" w:rsidTr="00591C54">
        <w:trPr>
          <w:trHeight w:val="300"/>
        </w:trPr>
        <w:tc>
          <w:tcPr>
            <w:tcW w:w="2298" w:type="pct"/>
            <w:gridSpan w:val="2"/>
            <w:tcBorders>
              <w:top w:val="nil"/>
              <w:left w:val="nil"/>
              <w:bottom w:val="nil"/>
              <w:right w:val="nil"/>
            </w:tcBorders>
            <w:shd w:val="clear" w:color="000000" w:fill="DBE5F1"/>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Gastos de explotación por sección</w:t>
            </w:r>
          </w:p>
        </w:tc>
        <w:tc>
          <w:tcPr>
            <w:tcW w:w="429" w:type="pct"/>
            <w:tcBorders>
              <w:top w:val="nil"/>
              <w:left w:val="nil"/>
              <w:bottom w:val="nil"/>
              <w:right w:val="nil"/>
            </w:tcBorders>
            <w:shd w:val="clear" w:color="000000" w:fill="DBE5F1"/>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Real</w:t>
            </w:r>
          </w:p>
        </w:tc>
        <w:tc>
          <w:tcPr>
            <w:tcW w:w="429" w:type="pct"/>
            <w:tcBorders>
              <w:top w:val="nil"/>
              <w:left w:val="nil"/>
              <w:bottom w:val="nil"/>
              <w:right w:val="nil"/>
            </w:tcBorders>
            <w:shd w:val="clear" w:color="000000" w:fill="DBE5F1"/>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Presupuesto</w:t>
            </w:r>
          </w:p>
        </w:tc>
        <w:tc>
          <w:tcPr>
            <w:tcW w:w="553" w:type="pct"/>
            <w:tcBorders>
              <w:top w:val="nil"/>
              <w:left w:val="nil"/>
              <w:bottom w:val="nil"/>
              <w:right w:val="nil"/>
            </w:tcBorders>
            <w:shd w:val="clear" w:color="000000" w:fill="DBE5F1"/>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Real</w:t>
            </w:r>
          </w:p>
        </w:tc>
        <w:tc>
          <w:tcPr>
            <w:tcW w:w="429" w:type="pct"/>
            <w:tcBorders>
              <w:top w:val="nil"/>
              <w:left w:val="nil"/>
              <w:bottom w:val="nil"/>
              <w:right w:val="nil"/>
            </w:tcBorders>
            <w:shd w:val="clear" w:color="000000" w:fill="DBE5F1"/>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Estimaciones</w:t>
            </w:r>
          </w:p>
        </w:tc>
        <w:tc>
          <w:tcPr>
            <w:tcW w:w="429" w:type="pct"/>
            <w:tcBorders>
              <w:top w:val="nil"/>
              <w:left w:val="nil"/>
              <w:bottom w:val="nil"/>
              <w:right w:val="nil"/>
            </w:tcBorders>
            <w:shd w:val="clear" w:color="000000" w:fill="DBE5F1"/>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Estimaciones</w:t>
            </w:r>
          </w:p>
        </w:tc>
        <w:tc>
          <w:tcPr>
            <w:tcW w:w="432" w:type="pct"/>
            <w:tcBorders>
              <w:top w:val="nil"/>
              <w:left w:val="nil"/>
              <w:bottom w:val="nil"/>
              <w:right w:val="nil"/>
            </w:tcBorders>
            <w:shd w:val="clear" w:color="000000" w:fill="DBE5F1"/>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Estimaciones</w:t>
            </w:r>
          </w:p>
        </w:tc>
      </w:tr>
      <w:tr w:rsidR="00591C54" w:rsidRPr="00187C22" w:rsidTr="00591C54">
        <w:trPr>
          <w:trHeight w:val="240"/>
        </w:trPr>
        <w:tc>
          <w:tcPr>
            <w:tcW w:w="420"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 </w:t>
            </w:r>
          </w:p>
        </w:tc>
        <w:tc>
          <w:tcPr>
            <w:tcW w:w="1879"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 </w:t>
            </w:r>
          </w:p>
        </w:tc>
        <w:tc>
          <w:tcPr>
            <w:tcW w:w="429" w:type="pct"/>
            <w:tcBorders>
              <w:top w:val="nil"/>
              <w:left w:val="nil"/>
              <w:bottom w:val="single" w:sz="4" w:space="0" w:color="000099"/>
              <w:right w:val="nil"/>
            </w:tcBorders>
            <w:shd w:val="clear" w:color="000000" w:fill="DBE5F1"/>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2008-2009</w:t>
            </w:r>
          </w:p>
        </w:tc>
        <w:tc>
          <w:tcPr>
            <w:tcW w:w="429" w:type="pct"/>
            <w:tcBorders>
              <w:top w:val="nil"/>
              <w:left w:val="nil"/>
              <w:bottom w:val="single" w:sz="4" w:space="0" w:color="000099"/>
              <w:right w:val="nil"/>
            </w:tcBorders>
            <w:shd w:val="clear" w:color="000000" w:fill="DBE5F1"/>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2010-2011</w:t>
            </w:r>
          </w:p>
        </w:tc>
        <w:tc>
          <w:tcPr>
            <w:tcW w:w="553"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2010</w:t>
            </w:r>
          </w:p>
        </w:tc>
        <w:tc>
          <w:tcPr>
            <w:tcW w:w="429" w:type="pct"/>
            <w:tcBorders>
              <w:top w:val="nil"/>
              <w:left w:val="nil"/>
              <w:bottom w:val="single" w:sz="4" w:space="0" w:color="000099"/>
              <w:right w:val="nil"/>
            </w:tcBorders>
            <w:shd w:val="clear" w:color="000000" w:fill="DBE5F1"/>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2012</w:t>
            </w:r>
          </w:p>
        </w:tc>
        <w:tc>
          <w:tcPr>
            <w:tcW w:w="429" w:type="pct"/>
            <w:tcBorders>
              <w:top w:val="nil"/>
              <w:left w:val="nil"/>
              <w:bottom w:val="single" w:sz="4" w:space="0" w:color="000099"/>
              <w:right w:val="nil"/>
            </w:tcBorders>
            <w:shd w:val="clear" w:color="000000" w:fill="DBE5F1"/>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2013</w:t>
            </w:r>
          </w:p>
        </w:tc>
        <w:tc>
          <w:tcPr>
            <w:tcW w:w="432" w:type="pct"/>
            <w:tcBorders>
              <w:top w:val="nil"/>
              <w:left w:val="nil"/>
              <w:bottom w:val="single" w:sz="4" w:space="0" w:color="000099"/>
              <w:right w:val="nil"/>
            </w:tcBorders>
            <w:shd w:val="clear" w:color="000000" w:fill="DBE5F1"/>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2012-2013</w:t>
            </w:r>
          </w:p>
        </w:tc>
      </w:tr>
      <w:tr w:rsidR="00591C54" w:rsidRPr="00187C22" w:rsidTr="00591C54">
        <w:trPr>
          <w:trHeight w:val="199"/>
        </w:trPr>
        <w:tc>
          <w:tcPr>
            <w:tcW w:w="420"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sz w:val="18"/>
                <w:szCs w:val="18"/>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sz w:val="18"/>
                <w:szCs w:val="18"/>
                <w:lang w:val="es-ES" w:eastAsia="zh-CN"/>
              </w:rPr>
            </w:pPr>
          </w:p>
        </w:tc>
        <w:tc>
          <w:tcPr>
            <w:tcW w:w="553"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sz w:val="18"/>
                <w:szCs w:val="18"/>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sz w:val="18"/>
                <w:szCs w:val="18"/>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sz w:val="18"/>
                <w:szCs w:val="18"/>
                <w:lang w:val="es-ES" w:eastAsia="zh-CN"/>
              </w:rPr>
            </w:pPr>
          </w:p>
        </w:tc>
        <w:tc>
          <w:tcPr>
            <w:tcW w:w="432"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sz w:val="18"/>
                <w:szCs w:val="18"/>
                <w:lang w:val="es-ES" w:eastAsia="zh-CN"/>
              </w:rPr>
            </w:pPr>
          </w:p>
        </w:tc>
      </w:tr>
      <w:tr w:rsidR="00591C54" w:rsidRPr="00187C22" w:rsidTr="00591C54">
        <w:trPr>
          <w:trHeight w:val="252"/>
        </w:trPr>
        <w:tc>
          <w:tcPr>
            <w:tcW w:w="420"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 xml:space="preserve">Sección </w:t>
            </w:r>
            <w:r w:rsidR="00591C54" w:rsidRPr="00187C22">
              <w:rPr>
                <w:rFonts w:ascii="Calibri" w:hAnsi="Calibri"/>
                <w:sz w:val="18"/>
                <w:szCs w:val="18"/>
                <w:lang w:val="es-ES" w:eastAsia="zh-CN"/>
              </w:rPr>
              <w:t>3.1</w:t>
            </w:r>
          </w:p>
        </w:tc>
        <w:tc>
          <w:tcPr>
            <w:tcW w:w="1879"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Conferencias Mundiales de Radiocomunicaciones</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256</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0</w:t>
            </w: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0</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3'000</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0</w:t>
            </w: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r w:rsidRPr="00187C22">
              <w:rPr>
                <w:rFonts w:ascii="Calibri" w:hAnsi="Calibri"/>
                <w:b/>
                <w:bCs/>
                <w:sz w:val="18"/>
                <w:szCs w:val="18"/>
                <w:lang w:val="es-ES"/>
              </w:rPr>
              <w:t>3'000</w:t>
            </w:r>
          </w:p>
        </w:tc>
      </w:tr>
      <w:tr w:rsidR="00591C54" w:rsidRPr="00187C22" w:rsidTr="00591C54">
        <w:trPr>
          <w:trHeight w:val="199"/>
        </w:trPr>
        <w:tc>
          <w:tcPr>
            <w:tcW w:w="420"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r>
      <w:tr w:rsidR="00591C54" w:rsidRPr="00187C22" w:rsidTr="00591C54">
        <w:trPr>
          <w:trHeight w:val="252"/>
        </w:trPr>
        <w:tc>
          <w:tcPr>
            <w:tcW w:w="420"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 xml:space="preserve">Sección </w:t>
            </w:r>
            <w:r w:rsidR="00591C54" w:rsidRPr="00187C22">
              <w:rPr>
                <w:rFonts w:ascii="Calibri" w:hAnsi="Calibri"/>
                <w:sz w:val="18"/>
                <w:szCs w:val="18"/>
                <w:lang w:val="es-ES" w:eastAsia="zh-CN"/>
              </w:rPr>
              <w:t>3.2</w:t>
            </w:r>
          </w:p>
        </w:tc>
        <w:tc>
          <w:tcPr>
            <w:tcW w:w="1879"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Asambleas de Radiocomunicaciones</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0</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0</w:t>
            </w: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0</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375</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0</w:t>
            </w: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r w:rsidRPr="00187C22">
              <w:rPr>
                <w:rFonts w:ascii="Calibri" w:hAnsi="Calibri"/>
                <w:b/>
                <w:bCs/>
                <w:sz w:val="18"/>
                <w:szCs w:val="18"/>
                <w:lang w:val="es-ES"/>
              </w:rPr>
              <w:t>375</w:t>
            </w:r>
          </w:p>
        </w:tc>
      </w:tr>
      <w:tr w:rsidR="00591C54" w:rsidRPr="00187C22" w:rsidTr="00591C54">
        <w:trPr>
          <w:trHeight w:val="199"/>
        </w:trPr>
        <w:tc>
          <w:tcPr>
            <w:tcW w:w="420"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r>
      <w:tr w:rsidR="00591C54" w:rsidRPr="00187C22" w:rsidTr="00591C54">
        <w:trPr>
          <w:trHeight w:val="252"/>
        </w:trPr>
        <w:tc>
          <w:tcPr>
            <w:tcW w:w="420"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 xml:space="preserve">Sección </w:t>
            </w:r>
            <w:r w:rsidR="00591C54" w:rsidRPr="00187C22">
              <w:rPr>
                <w:rFonts w:ascii="Calibri" w:hAnsi="Calibri"/>
                <w:sz w:val="18"/>
                <w:szCs w:val="18"/>
                <w:lang w:val="es-ES" w:eastAsia="zh-CN"/>
              </w:rPr>
              <w:t>4.1</w:t>
            </w:r>
          </w:p>
        </w:tc>
        <w:tc>
          <w:tcPr>
            <w:tcW w:w="1879"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Conferencias Regionales de Radiocomunicaciones</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0</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0</w:t>
            </w: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0</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0</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0</w:t>
            </w: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r w:rsidRPr="00187C22">
              <w:rPr>
                <w:rFonts w:ascii="Calibri" w:hAnsi="Calibri"/>
                <w:b/>
                <w:bCs/>
                <w:sz w:val="18"/>
                <w:szCs w:val="18"/>
                <w:lang w:val="es-ES"/>
              </w:rPr>
              <w:t>0</w:t>
            </w:r>
          </w:p>
        </w:tc>
      </w:tr>
      <w:tr w:rsidR="00591C54" w:rsidRPr="00187C22" w:rsidTr="00591C54">
        <w:trPr>
          <w:trHeight w:val="199"/>
        </w:trPr>
        <w:tc>
          <w:tcPr>
            <w:tcW w:w="420"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r>
      <w:tr w:rsidR="00591C54" w:rsidRPr="00187C22" w:rsidTr="00591C54">
        <w:trPr>
          <w:trHeight w:val="252"/>
        </w:trPr>
        <w:tc>
          <w:tcPr>
            <w:tcW w:w="420"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 xml:space="preserve">Sección </w:t>
            </w:r>
            <w:r w:rsidR="00591C54" w:rsidRPr="00187C22">
              <w:rPr>
                <w:rFonts w:ascii="Calibri" w:hAnsi="Calibri"/>
                <w:sz w:val="18"/>
                <w:szCs w:val="18"/>
                <w:lang w:val="es-ES" w:eastAsia="zh-CN"/>
              </w:rPr>
              <w:t>5.1</w:t>
            </w:r>
          </w:p>
        </w:tc>
        <w:tc>
          <w:tcPr>
            <w:tcW w:w="1879"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Junta del Reglamento de Radiocomunicaciones</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1'088</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1'250</w:t>
            </w: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506</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681</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682</w:t>
            </w: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r w:rsidRPr="00187C22">
              <w:rPr>
                <w:rFonts w:ascii="Calibri" w:hAnsi="Calibri"/>
                <w:b/>
                <w:bCs/>
                <w:sz w:val="18"/>
                <w:szCs w:val="18"/>
                <w:lang w:val="es-ES"/>
              </w:rPr>
              <w:t>1'363</w:t>
            </w:r>
          </w:p>
        </w:tc>
      </w:tr>
      <w:tr w:rsidR="00591C54" w:rsidRPr="00187C22" w:rsidTr="00591C54">
        <w:trPr>
          <w:trHeight w:val="199"/>
        </w:trPr>
        <w:tc>
          <w:tcPr>
            <w:tcW w:w="420"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sz w:val="18"/>
                <w:szCs w:val="18"/>
                <w:lang w:val="es-ES" w:eastAsia="zh-CN"/>
              </w:rPr>
            </w:pPr>
          </w:p>
        </w:tc>
        <w:tc>
          <w:tcPr>
            <w:tcW w:w="187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sz w:val="18"/>
                <w:szCs w:val="18"/>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r>
      <w:tr w:rsidR="00591C54" w:rsidRPr="00187C22" w:rsidTr="00591C54">
        <w:trPr>
          <w:trHeight w:val="252"/>
        </w:trPr>
        <w:tc>
          <w:tcPr>
            <w:tcW w:w="420"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 xml:space="preserve">Sección </w:t>
            </w:r>
            <w:r w:rsidR="00591C54" w:rsidRPr="00187C22">
              <w:rPr>
                <w:rFonts w:ascii="Calibri" w:hAnsi="Calibri"/>
                <w:sz w:val="18"/>
                <w:szCs w:val="18"/>
                <w:lang w:val="es-ES" w:eastAsia="zh-CN"/>
              </w:rPr>
              <w:t>5.2</w:t>
            </w:r>
          </w:p>
        </w:tc>
        <w:tc>
          <w:tcPr>
            <w:tcW w:w="1879"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Grupo Asesor de Radiocomunicaciones</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89</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150</w:t>
            </w: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42</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62</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61</w:t>
            </w: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r w:rsidRPr="00187C22">
              <w:rPr>
                <w:rFonts w:ascii="Calibri" w:hAnsi="Calibri"/>
                <w:b/>
                <w:bCs/>
                <w:sz w:val="18"/>
                <w:szCs w:val="18"/>
                <w:lang w:val="es-ES"/>
              </w:rPr>
              <w:t>123</w:t>
            </w:r>
          </w:p>
        </w:tc>
      </w:tr>
      <w:tr w:rsidR="00591C54" w:rsidRPr="00187C22" w:rsidTr="00591C54">
        <w:trPr>
          <w:trHeight w:val="199"/>
        </w:trPr>
        <w:tc>
          <w:tcPr>
            <w:tcW w:w="420"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r>
      <w:tr w:rsidR="00591C54" w:rsidRPr="00187C22" w:rsidTr="00591C54">
        <w:trPr>
          <w:trHeight w:val="252"/>
        </w:trPr>
        <w:tc>
          <w:tcPr>
            <w:tcW w:w="420"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 xml:space="preserve">Sección </w:t>
            </w:r>
            <w:r w:rsidR="00591C54" w:rsidRPr="00187C22">
              <w:rPr>
                <w:rFonts w:ascii="Calibri" w:hAnsi="Calibri"/>
                <w:sz w:val="18"/>
                <w:szCs w:val="18"/>
                <w:lang w:val="es-ES" w:eastAsia="zh-CN"/>
              </w:rPr>
              <w:t>6</w:t>
            </w:r>
          </w:p>
        </w:tc>
        <w:tc>
          <w:tcPr>
            <w:tcW w:w="1879"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Comisiones de Estudio</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1'441</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2'565</w:t>
            </w: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694</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875</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875</w:t>
            </w: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r w:rsidRPr="00187C22">
              <w:rPr>
                <w:rFonts w:ascii="Calibri" w:hAnsi="Calibri"/>
                <w:b/>
                <w:bCs/>
                <w:sz w:val="18"/>
                <w:szCs w:val="18"/>
                <w:lang w:val="es-ES"/>
              </w:rPr>
              <w:t>1'750</w:t>
            </w:r>
          </w:p>
        </w:tc>
      </w:tr>
      <w:tr w:rsidR="00591C54" w:rsidRPr="00187C22" w:rsidTr="00591C54">
        <w:trPr>
          <w:trHeight w:val="199"/>
        </w:trPr>
        <w:tc>
          <w:tcPr>
            <w:tcW w:w="420"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r>
      <w:tr w:rsidR="00591C54" w:rsidRPr="00187C22" w:rsidTr="00591C54">
        <w:trPr>
          <w:trHeight w:val="252"/>
        </w:trPr>
        <w:tc>
          <w:tcPr>
            <w:tcW w:w="420"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 xml:space="preserve">Sección </w:t>
            </w:r>
            <w:r w:rsidR="00591C54" w:rsidRPr="00187C22">
              <w:rPr>
                <w:rFonts w:ascii="Calibri" w:hAnsi="Calibri"/>
                <w:sz w:val="18"/>
                <w:szCs w:val="18"/>
                <w:lang w:val="es-ES" w:eastAsia="zh-CN"/>
              </w:rPr>
              <w:t>7</w:t>
            </w:r>
          </w:p>
        </w:tc>
        <w:tc>
          <w:tcPr>
            <w:tcW w:w="1879"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Actividades y programas</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2'959</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2'490</w:t>
            </w: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1'303</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960</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960</w:t>
            </w: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r w:rsidRPr="00187C22">
              <w:rPr>
                <w:rFonts w:ascii="Calibri" w:hAnsi="Calibri"/>
                <w:b/>
                <w:bCs/>
                <w:sz w:val="18"/>
                <w:szCs w:val="18"/>
                <w:lang w:val="es-ES"/>
              </w:rPr>
              <w:t>1'920</w:t>
            </w:r>
          </w:p>
        </w:tc>
      </w:tr>
      <w:tr w:rsidR="00591C54" w:rsidRPr="00187C22" w:rsidTr="00591C54">
        <w:trPr>
          <w:trHeight w:val="199"/>
        </w:trPr>
        <w:tc>
          <w:tcPr>
            <w:tcW w:w="420"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r>
      <w:tr w:rsidR="00591C54" w:rsidRPr="00187C22" w:rsidTr="00591C54">
        <w:trPr>
          <w:trHeight w:val="252"/>
        </w:trPr>
        <w:tc>
          <w:tcPr>
            <w:tcW w:w="420"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 xml:space="preserve">Sección </w:t>
            </w:r>
            <w:r w:rsidR="00591C54" w:rsidRPr="00187C22">
              <w:rPr>
                <w:rFonts w:ascii="Calibri" w:hAnsi="Calibri"/>
                <w:sz w:val="18"/>
                <w:szCs w:val="18"/>
                <w:lang w:val="es-ES" w:eastAsia="zh-CN"/>
              </w:rPr>
              <w:t>8</w:t>
            </w:r>
          </w:p>
        </w:tc>
        <w:tc>
          <w:tcPr>
            <w:tcW w:w="1879"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Seminarios</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380</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474</w:t>
            </w: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309</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472</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472</w:t>
            </w: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r w:rsidRPr="00187C22">
              <w:rPr>
                <w:rFonts w:ascii="Calibri" w:hAnsi="Calibri"/>
                <w:b/>
                <w:bCs/>
                <w:sz w:val="18"/>
                <w:szCs w:val="18"/>
                <w:lang w:val="es-ES"/>
              </w:rPr>
              <w:t>944</w:t>
            </w:r>
          </w:p>
        </w:tc>
      </w:tr>
      <w:tr w:rsidR="00591C54" w:rsidRPr="00187C22" w:rsidTr="00591C54">
        <w:trPr>
          <w:trHeight w:val="199"/>
        </w:trPr>
        <w:tc>
          <w:tcPr>
            <w:tcW w:w="420"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p>
        </w:tc>
      </w:tr>
      <w:tr w:rsidR="00591C54" w:rsidRPr="00187C22" w:rsidTr="00591C54">
        <w:trPr>
          <w:trHeight w:val="252"/>
        </w:trPr>
        <w:tc>
          <w:tcPr>
            <w:tcW w:w="420"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Calibri" w:hAnsi="Calibri"/>
                <w:sz w:val="18"/>
                <w:szCs w:val="18"/>
                <w:lang w:val="es-ES" w:eastAsia="zh-CN"/>
              </w:rPr>
              <w:t xml:space="preserve">Sección </w:t>
            </w:r>
            <w:r w:rsidR="00591C54" w:rsidRPr="00187C22">
              <w:rPr>
                <w:rFonts w:ascii="Calibri" w:hAnsi="Calibri"/>
                <w:sz w:val="18"/>
                <w:szCs w:val="18"/>
                <w:lang w:val="es-ES" w:eastAsia="zh-CN"/>
              </w:rPr>
              <w:t>9</w:t>
            </w:r>
          </w:p>
        </w:tc>
        <w:tc>
          <w:tcPr>
            <w:tcW w:w="1879" w:type="pct"/>
            <w:tcBorders>
              <w:top w:val="nil"/>
              <w:left w:val="nil"/>
              <w:bottom w:val="nil"/>
              <w:right w:val="nil"/>
            </w:tcBorders>
            <w:shd w:val="clear" w:color="auto" w:fill="auto"/>
            <w:noWrap/>
            <w:vAlign w:val="center"/>
            <w:hideMark/>
          </w:tcPr>
          <w:p w:rsidR="00591C54" w:rsidRPr="00187C22" w:rsidRDefault="006037AC"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r w:rsidRPr="00187C22">
              <w:rPr>
                <w:rFonts w:asciiTheme="minorHAnsi" w:hAnsiTheme="minorHAnsi" w:cstheme="minorHAnsi"/>
                <w:sz w:val="18"/>
                <w:szCs w:val="18"/>
                <w:lang w:val="es-ES" w:eastAsia="zh-CN"/>
              </w:rPr>
              <w:t>Oficina</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54'621</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58'843</w:t>
            </w:r>
          </w:p>
        </w:tc>
        <w:tc>
          <w:tcPr>
            <w:tcW w:w="553"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27'894</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26'168</w:t>
            </w:r>
          </w:p>
        </w:tc>
        <w:tc>
          <w:tcPr>
            <w:tcW w:w="429"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sz w:val="18"/>
                <w:szCs w:val="18"/>
                <w:lang w:val="es-ES"/>
              </w:rPr>
            </w:pPr>
            <w:r w:rsidRPr="00187C22">
              <w:rPr>
                <w:rFonts w:ascii="Calibri" w:hAnsi="Calibri"/>
                <w:sz w:val="18"/>
                <w:szCs w:val="18"/>
                <w:lang w:val="es-ES"/>
              </w:rPr>
              <w:t>26'157</w:t>
            </w:r>
          </w:p>
        </w:tc>
        <w:tc>
          <w:tcPr>
            <w:tcW w:w="432" w:type="pct"/>
            <w:tcBorders>
              <w:top w:val="nil"/>
              <w:left w:val="nil"/>
              <w:bottom w:val="nil"/>
              <w:right w:val="nil"/>
            </w:tcBorders>
            <w:shd w:val="clear" w:color="auto" w:fill="auto"/>
            <w:noWrap/>
            <w:vAlign w:val="center"/>
            <w:hideMark/>
          </w:tcPr>
          <w:p w:rsidR="00591C54" w:rsidRPr="00187C22" w:rsidRDefault="00591C54" w:rsidP="00591C54">
            <w:pPr>
              <w:spacing w:before="0"/>
              <w:jc w:val="right"/>
              <w:rPr>
                <w:rFonts w:ascii="Calibri" w:hAnsi="Calibri"/>
                <w:b/>
                <w:bCs/>
                <w:sz w:val="18"/>
                <w:szCs w:val="18"/>
                <w:lang w:val="es-ES"/>
              </w:rPr>
            </w:pPr>
            <w:r w:rsidRPr="00187C22">
              <w:rPr>
                <w:rFonts w:ascii="Calibri" w:hAnsi="Calibri"/>
                <w:b/>
                <w:bCs/>
                <w:sz w:val="18"/>
                <w:szCs w:val="18"/>
                <w:lang w:val="es-ES"/>
              </w:rPr>
              <w:t>52'325</w:t>
            </w:r>
          </w:p>
        </w:tc>
      </w:tr>
      <w:tr w:rsidR="00C1304E" w:rsidRPr="00187C22" w:rsidTr="00C1304E">
        <w:trPr>
          <w:trHeight w:val="252"/>
        </w:trPr>
        <w:tc>
          <w:tcPr>
            <w:tcW w:w="420" w:type="pct"/>
            <w:tcBorders>
              <w:top w:val="nil"/>
              <w:left w:val="nil"/>
              <w:bottom w:val="nil"/>
              <w:right w:val="nil"/>
            </w:tcBorders>
            <w:shd w:val="clear" w:color="auto" w:fill="auto"/>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8"/>
                <w:szCs w:val="18"/>
                <w:lang w:val="es-ES" w:eastAsia="zh-CN"/>
              </w:rPr>
            </w:pPr>
            <w:r w:rsidRPr="00187C22">
              <w:rPr>
                <w:rFonts w:asciiTheme="minorHAnsi" w:hAnsiTheme="minorHAnsi" w:cstheme="minorHAnsi"/>
                <w:sz w:val="18"/>
                <w:szCs w:val="18"/>
                <w:lang w:val="es-ES" w:eastAsia="zh-CN"/>
              </w:rPr>
              <w:t xml:space="preserve"> - Gastos comunes</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1'489</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1'655</w:t>
            </w:r>
          </w:p>
        </w:tc>
        <w:tc>
          <w:tcPr>
            <w:tcW w:w="553"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1'260</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1'034</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1'034</w:t>
            </w:r>
          </w:p>
        </w:tc>
        <w:tc>
          <w:tcPr>
            <w:tcW w:w="432"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sz w:val="18"/>
                <w:szCs w:val="18"/>
                <w:lang w:val="es-ES"/>
              </w:rPr>
            </w:pPr>
            <w:r w:rsidRPr="00187C22">
              <w:rPr>
                <w:rFonts w:ascii="Calibri" w:hAnsi="Calibri"/>
                <w:b/>
                <w:bCs/>
                <w:sz w:val="18"/>
                <w:szCs w:val="18"/>
                <w:lang w:val="es-ES"/>
              </w:rPr>
              <w:t>2'068</w:t>
            </w:r>
          </w:p>
        </w:tc>
      </w:tr>
      <w:tr w:rsidR="00C1304E" w:rsidRPr="00187C22" w:rsidTr="00C1304E">
        <w:trPr>
          <w:trHeight w:val="252"/>
        </w:trPr>
        <w:tc>
          <w:tcPr>
            <w:tcW w:w="420" w:type="pct"/>
            <w:tcBorders>
              <w:top w:val="nil"/>
              <w:left w:val="nil"/>
              <w:bottom w:val="nil"/>
              <w:right w:val="nil"/>
            </w:tcBorders>
            <w:shd w:val="clear" w:color="auto" w:fill="auto"/>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8"/>
                <w:szCs w:val="18"/>
                <w:lang w:val="es-ES" w:eastAsia="zh-CN"/>
              </w:rPr>
            </w:pPr>
            <w:r w:rsidRPr="00187C22">
              <w:rPr>
                <w:rFonts w:asciiTheme="minorHAnsi" w:hAnsiTheme="minorHAnsi" w:cstheme="minorHAnsi"/>
                <w:sz w:val="18"/>
                <w:szCs w:val="18"/>
                <w:lang w:val="es-ES" w:eastAsia="zh-CN"/>
              </w:rPr>
              <w:t xml:space="preserve"> - Oficina del Director</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1'107</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1'116</w:t>
            </w:r>
          </w:p>
        </w:tc>
        <w:tc>
          <w:tcPr>
            <w:tcW w:w="553"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582</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639</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639</w:t>
            </w:r>
          </w:p>
        </w:tc>
        <w:tc>
          <w:tcPr>
            <w:tcW w:w="432"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sz w:val="18"/>
                <w:szCs w:val="18"/>
                <w:lang w:val="es-ES"/>
              </w:rPr>
            </w:pPr>
            <w:r w:rsidRPr="00187C22">
              <w:rPr>
                <w:rFonts w:ascii="Calibri" w:hAnsi="Calibri"/>
                <w:b/>
                <w:bCs/>
                <w:sz w:val="18"/>
                <w:szCs w:val="18"/>
                <w:lang w:val="es-ES"/>
              </w:rPr>
              <w:t>1'278</w:t>
            </w:r>
          </w:p>
        </w:tc>
      </w:tr>
      <w:tr w:rsidR="00C1304E" w:rsidRPr="00187C22" w:rsidTr="00C1304E">
        <w:trPr>
          <w:trHeight w:val="252"/>
        </w:trPr>
        <w:tc>
          <w:tcPr>
            <w:tcW w:w="420" w:type="pct"/>
            <w:tcBorders>
              <w:top w:val="nil"/>
              <w:left w:val="nil"/>
              <w:bottom w:val="nil"/>
              <w:right w:val="nil"/>
            </w:tcBorders>
            <w:shd w:val="clear" w:color="auto" w:fill="auto"/>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8"/>
                <w:szCs w:val="18"/>
                <w:lang w:val="es-ES" w:eastAsia="zh-CN"/>
              </w:rPr>
            </w:pPr>
            <w:r w:rsidRPr="00187C22">
              <w:rPr>
                <w:rFonts w:asciiTheme="minorHAnsi" w:hAnsiTheme="minorHAnsi" w:cstheme="minorHAnsi"/>
                <w:sz w:val="18"/>
                <w:szCs w:val="18"/>
                <w:lang w:val="es-ES" w:eastAsia="zh-CN"/>
              </w:rPr>
              <w:t xml:space="preserve"> - Departamento de Comisiones de Estudio</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5'722</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6'070</w:t>
            </w:r>
          </w:p>
        </w:tc>
        <w:tc>
          <w:tcPr>
            <w:tcW w:w="553"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3'245</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3'122</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3'121</w:t>
            </w:r>
          </w:p>
        </w:tc>
        <w:tc>
          <w:tcPr>
            <w:tcW w:w="432"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sz w:val="18"/>
                <w:szCs w:val="18"/>
                <w:lang w:val="es-ES"/>
              </w:rPr>
            </w:pPr>
            <w:r w:rsidRPr="00187C22">
              <w:rPr>
                <w:rFonts w:ascii="Calibri" w:hAnsi="Calibri"/>
                <w:b/>
                <w:bCs/>
                <w:sz w:val="18"/>
                <w:szCs w:val="18"/>
                <w:lang w:val="es-ES"/>
              </w:rPr>
              <w:t>6'243</w:t>
            </w:r>
          </w:p>
        </w:tc>
      </w:tr>
      <w:tr w:rsidR="00C1304E" w:rsidRPr="00187C22" w:rsidTr="00C1304E">
        <w:trPr>
          <w:trHeight w:val="252"/>
        </w:trPr>
        <w:tc>
          <w:tcPr>
            <w:tcW w:w="420" w:type="pct"/>
            <w:tcBorders>
              <w:top w:val="nil"/>
              <w:left w:val="nil"/>
              <w:bottom w:val="nil"/>
              <w:right w:val="nil"/>
            </w:tcBorders>
            <w:shd w:val="clear" w:color="auto" w:fill="auto"/>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8"/>
                <w:szCs w:val="18"/>
                <w:lang w:val="es-ES" w:eastAsia="zh-CN"/>
              </w:rPr>
            </w:pPr>
            <w:r w:rsidRPr="00187C22">
              <w:rPr>
                <w:rFonts w:asciiTheme="minorHAnsi" w:hAnsiTheme="minorHAnsi" w:cstheme="minorHAnsi"/>
                <w:sz w:val="18"/>
                <w:szCs w:val="18"/>
                <w:lang w:val="es-ES" w:eastAsia="zh-CN"/>
              </w:rPr>
              <w:t xml:space="preserve"> - Departamento de Servicios Espaciales</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18'898</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18'946</w:t>
            </w:r>
          </w:p>
        </w:tc>
        <w:tc>
          <w:tcPr>
            <w:tcW w:w="553"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8'784</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8'254</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8'242</w:t>
            </w:r>
          </w:p>
        </w:tc>
        <w:tc>
          <w:tcPr>
            <w:tcW w:w="432"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sz w:val="18"/>
                <w:szCs w:val="18"/>
                <w:lang w:val="es-ES"/>
              </w:rPr>
            </w:pPr>
            <w:r w:rsidRPr="00187C22">
              <w:rPr>
                <w:rFonts w:ascii="Calibri" w:hAnsi="Calibri"/>
                <w:b/>
                <w:bCs/>
                <w:sz w:val="18"/>
                <w:szCs w:val="18"/>
                <w:lang w:val="es-ES"/>
              </w:rPr>
              <w:t>16'496</w:t>
            </w:r>
          </w:p>
        </w:tc>
      </w:tr>
      <w:tr w:rsidR="00C1304E" w:rsidRPr="00187C22" w:rsidTr="00C1304E">
        <w:trPr>
          <w:trHeight w:val="252"/>
        </w:trPr>
        <w:tc>
          <w:tcPr>
            <w:tcW w:w="420" w:type="pct"/>
            <w:tcBorders>
              <w:top w:val="nil"/>
              <w:left w:val="nil"/>
              <w:bottom w:val="nil"/>
              <w:right w:val="nil"/>
            </w:tcBorders>
            <w:shd w:val="clear" w:color="auto" w:fill="auto"/>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8"/>
                <w:szCs w:val="18"/>
                <w:lang w:val="es-ES" w:eastAsia="zh-CN"/>
              </w:rPr>
            </w:pPr>
            <w:r w:rsidRPr="00187C22">
              <w:rPr>
                <w:rFonts w:asciiTheme="minorHAnsi" w:hAnsiTheme="minorHAnsi" w:cstheme="minorHAnsi"/>
                <w:sz w:val="18"/>
                <w:szCs w:val="18"/>
                <w:lang w:val="es-ES" w:eastAsia="zh-CN"/>
              </w:rPr>
              <w:t xml:space="preserve"> - Departamento de Servicios Terrenales</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13'762</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15'170</w:t>
            </w:r>
          </w:p>
        </w:tc>
        <w:tc>
          <w:tcPr>
            <w:tcW w:w="553"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7'138</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6'565</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6'566</w:t>
            </w:r>
          </w:p>
        </w:tc>
        <w:tc>
          <w:tcPr>
            <w:tcW w:w="432"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sz w:val="18"/>
                <w:szCs w:val="18"/>
                <w:lang w:val="es-ES"/>
              </w:rPr>
            </w:pPr>
            <w:r w:rsidRPr="00187C22">
              <w:rPr>
                <w:rFonts w:ascii="Calibri" w:hAnsi="Calibri"/>
                <w:b/>
                <w:bCs/>
                <w:sz w:val="18"/>
                <w:szCs w:val="18"/>
                <w:lang w:val="es-ES"/>
              </w:rPr>
              <w:t>13'131</w:t>
            </w:r>
          </w:p>
        </w:tc>
      </w:tr>
      <w:tr w:rsidR="00C1304E" w:rsidRPr="00187C22" w:rsidTr="00C1304E">
        <w:trPr>
          <w:trHeight w:val="252"/>
        </w:trPr>
        <w:tc>
          <w:tcPr>
            <w:tcW w:w="420" w:type="pct"/>
            <w:tcBorders>
              <w:top w:val="nil"/>
              <w:left w:val="nil"/>
              <w:bottom w:val="nil"/>
              <w:right w:val="nil"/>
            </w:tcBorders>
            <w:shd w:val="clear" w:color="auto" w:fill="auto"/>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s-ES" w:eastAsia="zh-CN"/>
              </w:rPr>
            </w:pPr>
          </w:p>
        </w:tc>
        <w:tc>
          <w:tcPr>
            <w:tcW w:w="187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8"/>
                <w:szCs w:val="18"/>
                <w:lang w:val="es-ES" w:eastAsia="zh-CN"/>
              </w:rPr>
            </w:pPr>
            <w:r w:rsidRPr="00187C22">
              <w:rPr>
                <w:rFonts w:asciiTheme="minorHAnsi" w:hAnsiTheme="minorHAnsi" w:cstheme="minorHAnsi"/>
                <w:sz w:val="18"/>
                <w:szCs w:val="18"/>
                <w:lang w:val="es-ES" w:eastAsia="zh-CN"/>
              </w:rPr>
              <w:t xml:space="preserve"> - Departamento de Informática, Administración y Publicaciones</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13'643</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15'886</w:t>
            </w:r>
          </w:p>
        </w:tc>
        <w:tc>
          <w:tcPr>
            <w:tcW w:w="553"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6'884</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6'554</w:t>
            </w:r>
          </w:p>
        </w:tc>
        <w:tc>
          <w:tcPr>
            <w:tcW w:w="42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sz w:val="18"/>
                <w:szCs w:val="18"/>
                <w:lang w:val="es-ES"/>
              </w:rPr>
            </w:pPr>
            <w:r w:rsidRPr="00187C22">
              <w:rPr>
                <w:rFonts w:ascii="Calibri" w:hAnsi="Calibri"/>
                <w:sz w:val="18"/>
                <w:szCs w:val="18"/>
                <w:lang w:val="es-ES"/>
              </w:rPr>
              <w:t>6'555</w:t>
            </w:r>
          </w:p>
        </w:tc>
        <w:tc>
          <w:tcPr>
            <w:tcW w:w="432"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sz w:val="18"/>
                <w:szCs w:val="18"/>
                <w:lang w:val="es-ES"/>
              </w:rPr>
            </w:pPr>
            <w:r w:rsidRPr="00187C22">
              <w:rPr>
                <w:rFonts w:ascii="Calibri" w:hAnsi="Calibri"/>
                <w:b/>
                <w:bCs/>
                <w:sz w:val="18"/>
                <w:szCs w:val="18"/>
                <w:lang w:val="es-ES"/>
              </w:rPr>
              <w:t>13'109</w:t>
            </w:r>
          </w:p>
        </w:tc>
      </w:tr>
      <w:tr w:rsidR="00C1304E" w:rsidRPr="00187C22" w:rsidTr="00591C54">
        <w:trPr>
          <w:trHeight w:val="199"/>
        </w:trPr>
        <w:tc>
          <w:tcPr>
            <w:tcW w:w="420" w:type="pct"/>
            <w:tcBorders>
              <w:top w:val="nil"/>
              <w:left w:val="nil"/>
              <w:bottom w:val="single" w:sz="4" w:space="0" w:color="000099"/>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color w:val="000099"/>
                <w:sz w:val="18"/>
                <w:szCs w:val="18"/>
                <w:lang w:val="es-ES" w:eastAsia="zh-CN"/>
              </w:rPr>
            </w:pPr>
            <w:r w:rsidRPr="00187C22">
              <w:rPr>
                <w:rFonts w:ascii="Calibri" w:hAnsi="Calibri"/>
                <w:color w:val="000099"/>
                <w:sz w:val="18"/>
                <w:szCs w:val="18"/>
                <w:lang w:val="es-ES" w:eastAsia="zh-CN"/>
              </w:rPr>
              <w:t> </w:t>
            </w:r>
          </w:p>
        </w:tc>
        <w:tc>
          <w:tcPr>
            <w:tcW w:w="1879" w:type="pct"/>
            <w:tcBorders>
              <w:top w:val="nil"/>
              <w:left w:val="nil"/>
              <w:bottom w:val="single" w:sz="4" w:space="0" w:color="000099"/>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color w:val="000099"/>
                <w:sz w:val="18"/>
                <w:szCs w:val="18"/>
                <w:lang w:val="es-ES" w:eastAsia="zh-CN"/>
              </w:rPr>
            </w:pPr>
            <w:r w:rsidRPr="00187C22">
              <w:rPr>
                <w:rFonts w:ascii="Calibri" w:hAnsi="Calibri"/>
                <w:color w:val="000099"/>
                <w:sz w:val="18"/>
                <w:szCs w:val="18"/>
                <w:lang w:val="es-ES" w:eastAsia="zh-CN"/>
              </w:rPr>
              <w:t> </w:t>
            </w:r>
          </w:p>
        </w:tc>
        <w:tc>
          <w:tcPr>
            <w:tcW w:w="429" w:type="pct"/>
            <w:tcBorders>
              <w:top w:val="nil"/>
              <w:left w:val="nil"/>
              <w:bottom w:val="single" w:sz="4" w:space="0" w:color="000099"/>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8"/>
                <w:szCs w:val="18"/>
                <w:lang w:val="es-ES"/>
              </w:rPr>
            </w:pPr>
            <w:r w:rsidRPr="00187C22">
              <w:rPr>
                <w:rFonts w:ascii="Calibri" w:hAnsi="Calibri"/>
                <w:color w:val="000099"/>
                <w:sz w:val="18"/>
                <w:szCs w:val="18"/>
                <w:lang w:val="es-ES"/>
              </w:rPr>
              <w:t> </w:t>
            </w:r>
          </w:p>
        </w:tc>
        <w:tc>
          <w:tcPr>
            <w:tcW w:w="429" w:type="pct"/>
            <w:tcBorders>
              <w:top w:val="nil"/>
              <w:left w:val="nil"/>
              <w:bottom w:val="single" w:sz="4" w:space="0" w:color="000099"/>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8"/>
                <w:szCs w:val="18"/>
                <w:lang w:val="es-ES"/>
              </w:rPr>
            </w:pPr>
            <w:r w:rsidRPr="00187C22">
              <w:rPr>
                <w:rFonts w:ascii="Calibri" w:hAnsi="Calibri"/>
                <w:color w:val="000099"/>
                <w:sz w:val="18"/>
                <w:szCs w:val="18"/>
                <w:lang w:val="es-ES"/>
              </w:rPr>
              <w:t> </w:t>
            </w:r>
          </w:p>
        </w:tc>
        <w:tc>
          <w:tcPr>
            <w:tcW w:w="553" w:type="pct"/>
            <w:tcBorders>
              <w:top w:val="nil"/>
              <w:left w:val="nil"/>
              <w:bottom w:val="single" w:sz="4" w:space="0" w:color="000099"/>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8"/>
                <w:szCs w:val="18"/>
                <w:lang w:val="es-ES"/>
              </w:rPr>
            </w:pPr>
            <w:r w:rsidRPr="00187C22">
              <w:rPr>
                <w:rFonts w:ascii="Calibri" w:hAnsi="Calibri"/>
                <w:color w:val="000099"/>
                <w:sz w:val="18"/>
                <w:szCs w:val="18"/>
                <w:lang w:val="es-ES"/>
              </w:rPr>
              <w:t> </w:t>
            </w:r>
          </w:p>
        </w:tc>
        <w:tc>
          <w:tcPr>
            <w:tcW w:w="429" w:type="pct"/>
            <w:tcBorders>
              <w:top w:val="nil"/>
              <w:left w:val="nil"/>
              <w:bottom w:val="single" w:sz="4" w:space="0" w:color="000099"/>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8"/>
                <w:szCs w:val="18"/>
                <w:lang w:val="es-ES"/>
              </w:rPr>
            </w:pPr>
            <w:r w:rsidRPr="00187C22">
              <w:rPr>
                <w:rFonts w:ascii="Calibri" w:hAnsi="Calibri"/>
                <w:color w:val="000099"/>
                <w:sz w:val="18"/>
                <w:szCs w:val="18"/>
                <w:lang w:val="es-ES"/>
              </w:rPr>
              <w:t> </w:t>
            </w:r>
          </w:p>
        </w:tc>
        <w:tc>
          <w:tcPr>
            <w:tcW w:w="429" w:type="pct"/>
            <w:tcBorders>
              <w:top w:val="nil"/>
              <w:left w:val="nil"/>
              <w:bottom w:val="single" w:sz="4" w:space="0" w:color="000099"/>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8"/>
                <w:szCs w:val="18"/>
                <w:lang w:val="es-ES"/>
              </w:rPr>
            </w:pPr>
            <w:r w:rsidRPr="00187C22">
              <w:rPr>
                <w:rFonts w:ascii="Calibri" w:hAnsi="Calibri"/>
                <w:color w:val="000099"/>
                <w:sz w:val="18"/>
                <w:szCs w:val="18"/>
                <w:lang w:val="es-ES"/>
              </w:rPr>
              <w:t> </w:t>
            </w:r>
          </w:p>
        </w:tc>
        <w:tc>
          <w:tcPr>
            <w:tcW w:w="432" w:type="pct"/>
            <w:tcBorders>
              <w:top w:val="nil"/>
              <w:left w:val="nil"/>
              <w:bottom w:val="single" w:sz="4" w:space="0" w:color="000099"/>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8"/>
                <w:szCs w:val="18"/>
                <w:lang w:val="es-ES"/>
              </w:rPr>
            </w:pPr>
            <w:r w:rsidRPr="00187C22">
              <w:rPr>
                <w:rFonts w:ascii="Calibri" w:hAnsi="Calibri"/>
                <w:color w:val="000099"/>
                <w:sz w:val="18"/>
                <w:szCs w:val="18"/>
                <w:lang w:val="es-ES"/>
              </w:rPr>
              <w:t> </w:t>
            </w:r>
          </w:p>
        </w:tc>
      </w:tr>
      <w:tr w:rsidR="00C1304E" w:rsidRPr="00187C22" w:rsidTr="00591C54">
        <w:trPr>
          <w:trHeight w:val="285"/>
        </w:trPr>
        <w:tc>
          <w:tcPr>
            <w:tcW w:w="420" w:type="pct"/>
            <w:tcBorders>
              <w:top w:val="nil"/>
              <w:left w:val="nil"/>
              <w:bottom w:val="single" w:sz="4" w:space="0" w:color="000099"/>
              <w:right w:val="nil"/>
            </w:tcBorders>
            <w:shd w:val="clear" w:color="000000" w:fill="DBE5F1"/>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TOTAL</w:t>
            </w:r>
          </w:p>
        </w:tc>
        <w:tc>
          <w:tcPr>
            <w:tcW w:w="1879" w:type="pct"/>
            <w:tcBorders>
              <w:top w:val="nil"/>
              <w:left w:val="nil"/>
              <w:bottom w:val="single" w:sz="4" w:space="0" w:color="000099"/>
              <w:right w:val="nil"/>
            </w:tcBorders>
            <w:shd w:val="clear" w:color="000000" w:fill="DBE5F1"/>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8"/>
                <w:szCs w:val="18"/>
                <w:lang w:val="es-ES" w:eastAsia="zh-CN"/>
              </w:rPr>
            </w:pPr>
            <w:r w:rsidRPr="00187C22">
              <w:rPr>
                <w:rFonts w:ascii="Calibri" w:hAnsi="Calibri"/>
                <w:b/>
                <w:bCs/>
                <w:color w:val="000099"/>
                <w:sz w:val="18"/>
                <w:szCs w:val="18"/>
                <w:lang w:val="es-ES" w:eastAsia="zh-CN"/>
              </w:rPr>
              <w:t> </w:t>
            </w:r>
          </w:p>
        </w:tc>
        <w:tc>
          <w:tcPr>
            <w:tcW w:w="429" w:type="pct"/>
            <w:tcBorders>
              <w:top w:val="nil"/>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8"/>
                <w:szCs w:val="18"/>
                <w:lang w:val="es-ES"/>
              </w:rPr>
            </w:pPr>
            <w:r w:rsidRPr="00187C22">
              <w:rPr>
                <w:rFonts w:ascii="Calibri" w:hAnsi="Calibri"/>
                <w:b/>
                <w:bCs/>
                <w:color w:val="000099"/>
                <w:sz w:val="18"/>
                <w:szCs w:val="18"/>
                <w:lang w:val="es-ES"/>
              </w:rPr>
              <w:t>60'834</w:t>
            </w:r>
          </w:p>
        </w:tc>
        <w:tc>
          <w:tcPr>
            <w:tcW w:w="429" w:type="pct"/>
            <w:tcBorders>
              <w:top w:val="nil"/>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8"/>
                <w:szCs w:val="18"/>
                <w:lang w:val="es-ES"/>
              </w:rPr>
            </w:pPr>
            <w:r w:rsidRPr="00187C22">
              <w:rPr>
                <w:rFonts w:ascii="Calibri" w:hAnsi="Calibri"/>
                <w:b/>
                <w:bCs/>
                <w:color w:val="000099"/>
                <w:sz w:val="18"/>
                <w:szCs w:val="18"/>
                <w:lang w:val="es-ES"/>
              </w:rPr>
              <w:t>65'772</w:t>
            </w:r>
          </w:p>
        </w:tc>
        <w:tc>
          <w:tcPr>
            <w:tcW w:w="553" w:type="pct"/>
            <w:tcBorders>
              <w:top w:val="nil"/>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8"/>
                <w:szCs w:val="18"/>
                <w:lang w:val="es-ES"/>
              </w:rPr>
            </w:pPr>
            <w:r w:rsidRPr="00187C22">
              <w:rPr>
                <w:rFonts w:ascii="Calibri" w:hAnsi="Calibri"/>
                <w:b/>
                <w:bCs/>
                <w:color w:val="000099"/>
                <w:sz w:val="18"/>
                <w:szCs w:val="18"/>
                <w:lang w:val="es-ES"/>
              </w:rPr>
              <w:t>30'749</w:t>
            </w:r>
          </w:p>
        </w:tc>
        <w:tc>
          <w:tcPr>
            <w:tcW w:w="429" w:type="pct"/>
            <w:tcBorders>
              <w:top w:val="nil"/>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8"/>
                <w:szCs w:val="18"/>
                <w:lang w:val="es-ES"/>
              </w:rPr>
            </w:pPr>
            <w:r w:rsidRPr="00187C22">
              <w:rPr>
                <w:rFonts w:ascii="Calibri" w:hAnsi="Calibri"/>
                <w:b/>
                <w:bCs/>
                <w:color w:val="000099"/>
                <w:sz w:val="18"/>
                <w:szCs w:val="18"/>
                <w:lang w:val="es-ES"/>
              </w:rPr>
              <w:t>32'593</w:t>
            </w:r>
          </w:p>
        </w:tc>
        <w:tc>
          <w:tcPr>
            <w:tcW w:w="429" w:type="pct"/>
            <w:tcBorders>
              <w:top w:val="nil"/>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8"/>
                <w:szCs w:val="18"/>
                <w:lang w:val="es-ES"/>
              </w:rPr>
            </w:pPr>
            <w:r w:rsidRPr="00187C22">
              <w:rPr>
                <w:rFonts w:ascii="Calibri" w:hAnsi="Calibri"/>
                <w:b/>
                <w:bCs/>
                <w:color w:val="000099"/>
                <w:sz w:val="18"/>
                <w:szCs w:val="18"/>
                <w:lang w:val="es-ES"/>
              </w:rPr>
              <w:t>29'207</w:t>
            </w:r>
          </w:p>
        </w:tc>
        <w:tc>
          <w:tcPr>
            <w:tcW w:w="432" w:type="pct"/>
            <w:tcBorders>
              <w:top w:val="nil"/>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8"/>
                <w:szCs w:val="18"/>
                <w:lang w:val="es-ES"/>
              </w:rPr>
            </w:pPr>
            <w:r w:rsidRPr="00187C22">
              <w:rPr>
                <w:rFonts w:ascii="Calibri" w:hAnsi="Calibri"/>
                <w:b/>
                <w:bCs/>
                <w:color w:val="000099"/>
                <w:sz w:val="18"/>
                <w:szCs w:val="18"/>
                <w:lang w:val="es-ES"/>
              </w:rPr>
              <w:t>61'800</w:t>
            </w:r>
          </w:p>
        </w:tc>
      </w:tr>
    </w:tbl>
    <w:p w:rsidR="006037AC" w:rsidRPr="00187C22" w:rsidRDefault="006037AC">
      <w:pPr>
        <w:tabs>
          <w:tab w:val="clear" w:pos="794"/>
          <w:tab w:val="clear" w:pos="1191"/>
          <w:tab w:val="clear" w:pos="1588"/>
          <w:tab w:val="clear" w:pos="1985"/>
        </w:tabs>
        <w:overflowPunct/>
        <w:autoSpaceDE/>
        <w:autoSpaceDN/>
        <w:adjustRightInd/>
        <w:spacing w:before="0"/>
        <w:textAlignment w:val="auto"/>
        <w:rPr>
          <w:sz w:val="20"/>
          <w:lang w:val="es-ES"/>
        </w:rPr>
      </w:pPr>
      <w:r w:rsidRPr="00187C22">
        <w:rPr>
          <w:sz w:val="20"/>
          <w:lang w:val="es-ES"/>
        </w:rPr>
        <w:br w:type="page"/>
      </w:r>
    </w:p>
    <w:tbl>
      <w:tblPr>
        <w:tblW w:w="5000" w:type="pct"/>
        <w:tblLook w:val="04A0" w:firstRow="1" w:lastRow="0" w:firstColumn="1" w:lastColumn="0" w:noHBand="0" w:noVBand="1"/>
      </w:tblPr>
      <w:tblGrid>
        <w:gridCol w:w="4090"/>
        <w:gridCol w:w="863"/>
        <w:gridCol w:w="864"/>
        <w:gridCol w:w="822"/>
        <w:gridCol w:w="1086"/>
        <w:gridCol w:w="1251"/>
        <w:gridCol w:w="1015"/>
        <w:gridCol w:w="1257"/>
        <w:gridCol w:w="1081"/>
        <w:gridCol w:w="1029"/>
        <w:gridCol w:w="856"/>
      </w:tblGrid>
      <w:tr w:rsidR="00591C54" w:rsidRPr="00187C22" w:rsidTr="00591C54">
        <w:trPr>
          <w:trHeight w:hRule="exact" w:val="369"/>
        </w:trPr>
        <w:tc>
          <w:tcPr>
            <w:tcW w:w="5000" w:type="pct"/>
            <w:gridSpan w:val="11"/>
            <w:tcBorders>
              <w:top w:val="nil"/>
              <w:left w:val="nil"/>
              <w:bottom w:val="nil"/>
              <w:right w:val="nil"/>
            </w:tcBorders>
            <w:shd w:val="clear" w:color="000000" w:fill="FFFFFF"/>
            <w:noWrap/>
            <w:vAlign w:val="center"/>
            <w:hideMark/>
          </w:tcPr>
          <w:p w:rsidR="00591C54" w:rsidRPr="00187C22" w:rsidRDefault="00C1304E" w:rsidP="00C1304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28"/>
                <w:szCs w:val="28"/>
                <w:lang w:val="es-ES" w:eastAsia="zh-CN"/>
              </w:rPr>
            </w:pPr>
            <w:r w:rsidRPr="00187C22">
              <w:rPr>
                <w:rFonts w:asciiTheme="minorHAnsi" w:hAnsiTheme="minorHAnsi"/>
                <w:b/>
                <w:bCs/>
                <w:color w:val="000099"/>
                <w:sz w:val="28"/>
                <w:szCs w:val="28"/>
                <w:lang w:val="es-ES" w:eastAsia="zh-CN"/>
              </w:rPr>
              <w:lastRenderedPageBreak/>
              <w:t xml:space="preserve">Presupuesto </w:t>
            </w:r>
            <w:r w:rsidR="00591C54" w:rsidRPr="00187C22">
              <w:rPr>
                <w:rFonts w:ascii="Calibri" w:hAnsi="Calibri"/>
                <w:b/>
                <w:bCs/>
                <w:color w:val="000099"/>
                <w:sz w:val="28"/>
                <w:szCs w:val="28"/>
                <w:lang w:val="es-ES" w:eastAsia="zh-CN"/>
              </w:rPr>
              <w:t xml:space="preserve">2012-2013 </w:t>
            </w:r>
            <w:r w:rsidRPr="00187C22">
              <w:rPr>
                <w:rFonts w:ascii="Calibri" w:hAnsi="Calibri"/>
                <w:b/>
                <w:bCs/>
                <w:color w:val="000099"/>
                <w:sz w:val="28"/>
                <w:szCs w:val="28"/>
                <w:lang w:val="es-ES" w:eastAsia="zh-CN"/>
              </w:rPr>
              <w:t>–</w:t>
            </w:r>
            <w:r w:rsidR="00591C54" w:rsidRPr="00187C22">
              <w:rPr>
                <w:rFonts w:ascii="Calibri" w:hAnsi="Calibri"/>
                <w:b/>
                <w:bCs/>
                <w:color w:val="000099"/>
                <w:sz w:val="28"/>
                <w:szCs w:val="28"/>
                <w:lang w:val="es-ES" w:eastAsia="zh-CN"/>
              </w:rPr>
              <w:t xml:space="preserve"> </w:t>
            </w:r>
            <w:r w:rsidRPr="00187C22">
              <w:rPr>
                <w:rFonts w:ascii="Calibri" w:hAnsi="Calibri"/>
                <w:b/>
                <w:bCs/>
                <w:color w:val="000099"/>
                <w:sz w:val="28"/>
                <w:szCs w:val="28"/>
                <w:lang w:val="es-ES" w:eastAsia="zh-CN"/>
              </w:rPr>
              <w:t>Sector de Radiocomunicaciones</w:t>
            </w:r>
          </w:p>
        </w:tc>
      </w:tr>
      <w:tr w:rsidR="00591C54" w:rsidRPr="00187C22" w:rsidTr="00C1304E">
        <w:trPr>
          <w:cantSplit/>
          <w:trHeight w:val="198"/>
        </w:trPr>
        <w:tc>
          <w:tcPr>
            <w:tcW w:w="1439" w:type="pct"/>
            <w:tcBorders>
              <w:top w:val="single" w:sz="4" w:space="0" w:color="000099"/>
              <w:left w:val="nil"/>
              <w:bottom w:val="nil"/>
              <w:right w:val="nil"/>
            </w:tcBorders>
            <w:shd w:val="clear" w:color="000000" w:fill="DBE5F1"/>
            <w:noWrap/>
            <w:vAlign w:val="center"/>
            <w:hideMark/>
          </w:tcPr>
          <w:p w:rsidR="00591C54"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Gastos de explotación por sección y categoría</w:t>
            </w:r>
          </w:p>
        </w:tc>
        <w:tc>
          <w:tcPr>
            <w:tcW w:w="304" w:type="pct"/>
            <w:tcBorders>
              <w:top w:val="single" w:sz="4" w:space="0" w:color="000099"/>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304" w:type="pct"/>
            <w:tcBorders>
              <w:top w:val="single" w:sz="4" w:space="0" w:color="000099"/>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i/>
                <w:iCs/>
                <w:color w:val="000099"/>
                <w:sz w:val="16"/>
                <w:szCs w:val="16"/>
                <w:lang w:val="es-ES" w:eastAsia="zh-CN"/>
              </w:rPr>
            </w:pPr>
            <w:r w:rsidRPr="00187C22">
              <w:rPr>
                <w:rFonts w:ascii="Calibri" w:hAnsi="Calibri"/>
                <w:b/>
                <w:bCs/>
                <w:i/>
                <w:iCs/>
                <w:color w:val="000099"/>
                <w:sz w:val="16"/>
                <w:szCs w:val="16"/>
                <w:lang w:val="es-ES" w:eastAsia="zh-CN"/>
              </w:rPr>
              <w:t> </w:t>
            </w:r>
          </w:p>
        </w:tc>
        <w:tc>
          <w:tcPr>
            <w:tcW w:w="289" w:type="pct"/>
            <w:tcBorders>
              <w:top w:val="single" w:sz="4" w:space="0" w:color="000099"/>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i/>
                <w:iCs/>
                <w:color w:val="000099"/>
                <w:sz w:val="16"/>
                <w:szCs w:val="16"/>
                <w:lang w:val="es-ES" w:eastAsia="zh-CN"/>
              </w:rPr>
            </w:pPr>
            <w:r w:rsidRPr="00187C22">
              <w:rPr>
                <w:rFonts w:ascii="Calibri" w:hAnsi="Calibri"/>
                <w:b/>
                <w:bCs/>
                <w:i/>
                <w:iCs/>
                <w:color w:val="000099"/>
                <w:sz w:val="16"/>
                <w:szCs w:val="16"/>
                <w:lang w:val="es-ES" w:eastAsia="zh-CN"/>
              </w:rPr>
              <w:t> </w:t>
            </w:r>
          </w:p>
        </w:tc>
        <w:tc>
          <w:tcPr>
            <w:tcW w:w="382" w:type="pct"/>
            <w:tcBorders>
              <w:top w:val="single" w:sz="4" w:space="0" w:color="000099"/>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i/>
                <w:iCs/>
                <w:color w:val="000099"/>
                <w:sz w:val="16"/>
                <w:szCs w:val="16"/>
                <w:lang w:val="es-ES" w:eastAsia="zh-CN"/>
              </w:rPr>
            </w:pPr>
            <w:r w:rsidRPr="00187C22">
              <w:rPr>
                <w:rFonts w:ascii="Calibri" w:hAnsi="Calibri"/>
                <w:b/>
                <w:bCs/>
                <w:i/>
                <w:iCs/>
                <w:color w:val="000099"/>
                <w:sz w:val="16"/>
                <w:szCs w:val="16"/>
                <w:lang w:val="es-ES" w:eastAsia="zh-CN"/>
              </w:rPr>
              <w:t> </w:t>
            </w:r>
          </w:p>
        </w:tc>
        <w:tc>
          <w:tcPr>
            <w:tcW w:w="440" w:type="pct"/>
            <w:tcBorders>
              <w:top w:val="single" w:sz="4" w:space="0" w:color="000099"/>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i/>
                <w:iCs/>
                <w:color w:val="000099"/>
                <w:sz w:val="16"/>
                <w:szCs w:val="16"/>
                <w:lang w:val="es-ES" w:eastAsia="zh-CN"/>
              </w:rPr>
            </w:pPr>
            <w:r w:rsidRPr="00187C22">
              <w:rPr>
                <w:rFonts w:ascii="Calibri" w:hAnsi="Calibri"/>
                <w:b/>
                <w:bCs/>
                <w:i/>
                <w:iCs/>
                <w:color w:val="000099"/>
                <w:sz w:val="16"/>
                <w:szCs w:val="16"/>
                <w:lang w:val="es-ES" w:eastAsia="zh-CN"/>
              </w:rPr>
              <w:t> </w:t>
            </w:r>
          </w:p>
        </w:tc>
        <w:tc>
          <w:tcPr>
            <w:tcW w:w="1843" w:type="pct"/>
            <w:gridSpan w:val="5"/>
            <w:tcBorders>
              <w:top w:val="single" w:sz="4" w:space="0" w:color="000099"/>
              <w:left w:val="nil"/>
              <w:bottom w:val="nil"/>
              <w:right w:val="nil"/>
            </w:tcBorders>
            <w:shd w:val="clear" w:color="000000" w:fill="DBE5F1"/>
            <w:noWrap/>
            <w:vAlign w:val="bottom"/>
            <w:hideMark/>
          </w:tcPr>
          <w:p w:rsidR="00591C54" w:rsidRPr="00187C22" w:rsidRDefault="00C1304E"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En miles de francos suizos</w:t>
            </w:r>
          </w:p>
        </w:tc>
      </w:tr>
      <w:tr w:rsidR="00591C54" w:rsidRPr="00187C22" w:rsidTr="00C1304E">
        <w:trPr>
          <w:cantSplit/>
          <w:trHeight w:hRule="exact" w:val="57"/>
        </w:trPr>
        <w:tc>
          <w:tcPr>
            <w:tcW w:w="1439" w:type="pct"/>
            <w:tcBorders>
              <w:top w:val="nil"/>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304" w:type="pct"/>
            <w:tcBorders>
              <w:top w:val="nil"/>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304" w:type="pct"/>
            <w:tcBorders>
              <w:top w:val="nil"/>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289" w:type="pct"/>
            <w:tcBorders>
              <w:top w:val="nil"/>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382" w:type="pct"/>
            <w:tcBorders>
              <w:top w:val="nil"/>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440" w:type="pct"/>
            <w:tcBorders>
              <w:top w:val="nil"/>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357" w:type="pct"/>
            <w:tcBorders>
              <w:top w:val="nil"/>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442" w:type="pct"/>
            <w:tcBorders>
              <w:top w:val="nil"/>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380" w:type="pct"/>
            <w:tcBorders>
              <w:top w:val="nil"/>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362" w:type="pct"/>
            <w:tcBorders>
              <w:top w:val="nil"/>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301" w:type="pct"/>
            <w:tcBorders>
              <w:top w:val="nil"/>
              <w:left w:val="nil"/>
              <w:bottom w:val="nil"/>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r>
      <w:tr w:rsidR="00591C54" w:rsidRPr="00187C22" w:rsidTr="00C1304E">
        <w:trPr>
          <w:cantSplit/>
          <w:trHeight w:val="198"/>
        </w:trPr>
        <w:tc>
          <w:tcPr>
            <w:tcW w:w="1439" w:type="pct"/>
            <w:tcBorders>
              <w:top w:val="nil"/>
              <w:left w:val="nil"/>
              <w:bottom w:val="nil"/>
              <w:right w:val="nil"/>
            </w:tcBorders>
            <w:shd w:val="clear" w:color="000000" w:fill="DBE5F1"/>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304" w:type="pct"/>
            <w:tcBorders>
              <w:top w:val="nil"/>
              <w:left w:val="nil"/>
              <w:bottom w:val="nil"/>
              <w:right w:val="nil"/>
            </w:tcBorders>
            <w:shd w:val="clear" w:color="000000" w:fill="DBE5F1"/>
            <w:vAlign w:val="center"/>
            <w:hideMark/>
          </w:tcPr>
          <w:p w:rsidR="00591C54" w:rsidRPr="00187C22" w:rsidRDefault="00C1304E"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Gastos de personal</w:t>
            </w:r>
          </w:p>
        </w:tc>
        <w:tc>
          <w:tcPr>
            <w:tcW w:w="304" w:type="pct"/>
            <w:tcBorders>
              <w:top w:val="nil"/>
              <w:left w:val="nil"/>
              <w:bottom w:val="nil"/>
              <w:right w:val="nil"/>
            </w:tcBorders>
            <w:shd w:val="clear" w:color="000000" w:fill="DBE5F1"/>
            <w:vAlign w:val="center"/>
            <w:hideMark/>
          </w:tcPr>
          <w:p w:rsidR="00591C54" w:rsidRPr="00187C22" w:rsidRDefault="00C1304E"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Otros gastos de personal</w:t>
            </w:r>
          </w:p>
        </w:tc>
        <w:tc>
          <w:tcPr>
            <w:tcW w:w="289" w:type="pct"/>
            <w:tcBorders>
              <w:top w:val="nil"/>
              <w:left w:val="nil"/>
              <w:bottom w:val="nil"/>
              <w:right w:val="nil"/>
            </w:tcBorders>
            <w:shd w:val="clear" w:color="000000" w:fill="DBE5F1"/>
            <w:vAlign w:val="center"/>
            <w:hideMark/>
          </w:tcPr>
          <w:p w:rsidR="00591C54" w:rsidRPr="00187C22" w:rsidRDefault="00C1304E"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Gastos de misión</w:t>
            </w:r>
          </w:p>
        </w:tc>
        <w:tc>
          <w:tcPr>
            <w:tcW w:w="382" w:type="pct"/>
            <w:tcBorders>
              <w:top w:val="nil"/>
              <w:left w:val="nil"/>
              <w:bottom w:val="nil"/>
              <w:right w:val="nil"/>
            </w:tcBorders>
            <w:shd w:val="clear" w:color="000000" w:fill="DBE5F1"/>
            <w:vAlign w:val="center"/>
            <w:hideMark/>
          </w:tcPr>
          <w:p w:rsidR="00591C54" w:rsidRPr="00187C22" w:rsidRDefault="00C1304E"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Servicios por contrata</w:t>
            </w:r>
          </w:p>
        </w:tc>
        <w:tc>
          <w:tcPr>
            <w:tcW w:w="440" w:type="pct"/>
            <w:tcBorders>
              <w:top w:val="nil"/>
              <w:left w:val="nil"/>
              <w:bottom w:val="nil"/>
              <w:right w:val="nil"/>
            </w:tcBorders>
            <w:shd w:val="clear" w:color="000000" w:fill="DBE5F1"/>
            <w:vAlign w:val="center"/>
            <w:hideMark/>
          </w:tcPr>
          <w:p w:rsidR="00591C54" w:rsidRPr="00187C22" w:rsidRDefault="00C1304E" w:rsidP="00C1304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Alquiler y mantenimiento de instalaciones y equipos</w:t>
            </w:r>
          </w:p>
        </w:tc>
        <w:tc>
          <w:tcPr>
            <w:tcW w:w="357" w:type="pct"/>
            <w:tcBorders>
              <w:top w:val="nil"/>
              <w:left w:val="nil"/>
              <w:bottom w:val="nil"/>
              <w:right w:val="nil"/>
            </w:tcBorders>
            <w:shd w:val="clear" w:color="000000" w:fill="DBE5F1"/>
            <w:vAlign w:val="center"/>
            <w:hideMark/>
          </w:tcPr>
          <w:p w:rsidR="00591C54" w:rsidRPr="00187C22" w:rsidRDefault="00C1304E"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Materiales y suministros</w:t>
            </w:r>
          </w:p>
        </w:tc>
        <w:tc>
          <w:tcPr>
            <w:tcW w:w="442" w:type="pct"/>
            <w:tcBorders>
              <w:top w:val="nil"/>
              <w:left w:val="nil"/>
              <w:bottom w:val="nil"/>
              <w:right w:val="nil"/>
            </w:tcBorders>
            <w:shd w:val="clear" w:color="000000" w:fill="DBE5F1"/>
            <w:vAlign w:val="center"/>
            <w:hideMark/>
          </w:tcPr>
          <w:p w:rsidR="00591C54" w:rsidRPr="00187C22" w:rsidRDefault="00C1304E" w:rsidP="00C1304E">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Adquisición de instalaciones, mobiliario y equipos</w:t>
            </w:r>
          </w:p>
        </w:tc>
        <w:tc>
          <w:tcPr>
            <w:tcW w:w="380" w:type="pct"/>
            <w:tcBorders>
              <w:top w:val="nil"/>
              <w:left w:val="nil"/>
              <w:bottom w:val="nil"/>
              <w:right w:val="nil"/>
            </w:tcBorders>
            <w:shd w:val="clear" w:color="000000" w:fill="DBE5F1"/>
            <w:vAlign w:val="center"/>
            <w:hideMark/>
          </w:tcPr>
          <w:p w:rsidR="00591C54" w:rsidRPr="00187C22" w:rsidRDefault="00C1304E"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Servicios públicos e instalaciones</w:t>
            </w:r>
          </w:p>
        </w:tc>
        <w:tc>
          <w:tcPr>
            <w:tcW w:w="362" w:type="pct"/>
            <w:tcBorders>
              <w:top w:val="nil"/>
              <w:left w:val="nil"/>
              <w:bottom w:val="nil"/>
              <w:right w:val="nil"/>
            </w:tcBorders>
            <w:shd w:val="clear" w:color="000000" w:fill="DBE5F1"/>
            <w:vAlign w:val="center"/>
            <w:hideMark/>
          </w:tcPr>
          <w:p w:rsidR="00591C54" w:rsidRPr="00187C22" w:rsidRDefault="00C1304E"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Auditoría, cotizaciones a otros organismos y varios</w:t>
            </w:r>
          </w:p>
        </w:tc>
        <w:tc>
          <w:tcPr>
            <w:tcW w:w="301" w:type="pct"/>
            <w:tcBorders>
              <w:top w:val="nil"/>
              <w:left w:val="nil"/>
              <w:bottom w:val="nil"/>
              <w:right w:val="nil"/>
            </w:tcBorders>
            <w:shd w:val="clear" w:color="000000" w:fill="DBE5F1"/>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Total</w:t>
            </w:r>
          </w:p>
        </w:tc>
      </w:tr>
      <w:tr w:rsidR="00591C54" w:rsidRPr="00187C22" w:rsidTr="00C1304E">
        <w:trPr>
          <w:cantSplit/>
          <w:trHeight w:hRule="exact" w:val="198"/>
        </w:trPr>
        <w:tc>
          <w:tcPr>
            <w:tcW w:w="1439"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textAlignment w:val="auto"/>
              <w:rPr>
                <w:rFonts w:ascii="Calibri" w:hAnsi="Calibri"/>
                <w:b/>
                <w:bCs/>
                <w:i/>
                <w:iCs/>
                <w:color w:val="000099"/>
                <w:sz w:val="16"/>
                <w:szCs w:val="16"/>
                <w:lang w:val="es-ES" w:eastAsia="zh-CN"/>
              </w:rPr>
            </w:pPr>
            <w:r w:rsidRPr="00187C22">
              <w:rPr>
                <w:rFonts w:ascii="Calibri" w:hAnsi="Calibri"/>
                <w:b/>
                <w:bCs/>
                <w:i/>
                <w:iCs/>
                <w:color w:val="000099"/>
                <w:sz w:val="16"/>
                <w:szCs w:val="16"/>
                <w:lang w:val="es-ES" w:eastAsia="zh-CN"/>
              </w:rPr>
              <w:t> </w:t>
            </w:r>
          </w:p>
        </w:tc>
        <w:tc>
          <w:tcPr>
            <w:tcW w:w="304"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Cat. 1</w:t>
            </w:r>
          </w:p>
        </w:tc>
        <w:tc>
          <w:tcPr>
            <w:tcW w:w="304"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Cat. 2</w:t>
            </w:r>
          </w:p>
        </w:tc>
        <w:tc>
          <w:tcPr>
            <w:tcW w:w="289"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Cat. 3</w:t>
            </w:r>
          </w:p>
        </w:tc>
        <w:tc>
          <w:tcPr>
            <w:tcW w:w="382"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Cat. 4</w:t>
            </w:r>
          </w:p>
        </w:tc>
        <w:tc>
          <w:tcPr>
            <w:tcW w:w="440"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Cat. 5</w:t>
            </w:r>
          </w:p>
        </w:tc>
        <w:tc>
          <w:tcPr>
            <w:tcW w:w="357"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Cat. 6</w:t>
            </w:r>
          </w:p>
        </w:tc>
        <w:tc>
          <w:tcPr>
            <w:tcW w:w="442"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Cat. 7</w:t>
            </w:r>
          </w:p>
        </w:tc>
        <w:tc>
          <w:tcPr>
            <w:tcW w:w="380"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Cat. 8</w:t>
            </w:r>
          </w:p>
        </w:tc>
        <w:tc>
          <w:tcPr>
            <w:tcW w:w="362"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Cat. 9</w:t>
            </w:r>
          </w:p>
        </w:tc>
        <w:tc>
          <w:tcPr>
            <w:tcW w:w="301" w:type="pct"/>
            <w:tcBorders>
              <w:top w:val="nil"/>
              <w:left w:val="nil"/>
              <w:bottom w:val="single" w:sz="4" w:space="0" w:color="000099"/>
              <w:right w:val="nil"/>
            </w:tcBorders>
            <w:shd w:val="clear" w:color="000000" w:fill="DBE5F1"/>
            <w:noWrap/>
            <w:vAlign w:val="center"/>
            <w:hideMark/>
          </w:tcPr>
          <w:p w:rsidR="00591C54" w:rsidRPr="00187C22" w:rsidRDefault="00591C54" w:rsidP="00591C54">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C1304E">
            <w:pPr>
              <w:tabs>
                <w:tab w:val="clear" w:pos="794"/>
                <w:tab w:val="clear" w:pos="1191"/>
                <w:tab w:val="clear" w:pos="1588"/>
                <w:tab w:val="clear" w:pos="1985"/>
              </w:tabs>
              <w:overflowPunct/>
              <w:autoSpaceDE/>
              <w:autoSpaceDN/>
              <w:adjustRightInd/>
              <w:spacing w:before="0"/>
              <w:textAlignment w:val="auto"/>
              <w:rPr>
                <w:b/>
                <w:bCs/>
                <w:color w:val="000099"/>
                <w:sz w:val="16"/>
                <w:szCs w:val="16"/>
                <w:lang w:val="es-ES" w:eastAsia="zh-CN"/>
              </w:rPr>
            </w:pPr>
            <w:r w:rsidRPr="00187C22">
              <w:rPr>
                <w:rFonts w:ascii="Calibri" w:hAnsi="Calibri"/>
                <w:b/>
                <w:bCs/>
                <w:color w:val="000099"/>
                <w:sz w:val="16"/>
                <w:szCs w:val="16"/>
                <w:lang w:val="es-ES" w:eastAsia="zh-CN"/>
              </w:rPr>
              <w:t>Estimaciones 2012</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s-ES" w:eastAsia="zh-CN"/>
              </w:rPr>
            </w:pPr>
            <w:r w:rsidRPr="00187C22">
              <w:rPr>
                <w:rFonts w:ascii="Calibri" w:hAnsi="Calibri"/>
                <w:color w:val="000099"/>
                <w:sz w:val="16"/>
                <w:szCs w:val="16"/>
                <w:lang w:val="es-ES" w:eastAsia="zh-CN"/>
              </w:rPr>
              <w:t>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s-ES" w:eastAsia="zh-CN"/>
              </w:rPr>
            </w:pPr>
            <w:r w:rsidRPr="00187C22">
              <w:rPr>
                <w:rFonts w:ascii="Calibri" w:hAnsi="Calibri"/>
                <w:color w:val="000099"/>
                <w:sz w:val="16"/>
                <w:szCs w:val="16"/>
                <w:lang w:val="es-ES" w:eastAsia="zh-CN"/>
              </w:rPr>
              <w:t> </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s-ES" w:eastAsia="zh-CN"/>
              </w:rPr>
            </w:pPr>
            <w:r w:rsidRPr="00187C22">
              <w:rPr>
                <w:rFonts w:ascii="Calibri" w:hAnsi="Calibri"/>
                <w:color w:val="000099"/>
                <w:sz w:val="16"/>
                <w:szCs w:val="16"/>
                <w:lang w:val="es-ES" w:eastAsia="zh-CN"/>
              </w:rPr>
              <w:t>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s-ES" w:eastAsia="zh-CN"/>
              </w:rPr>
            </w:pPr>
            <w:r w:rsidRPr="00187C22">
              <w:rPr>
                <w:rFonts w:ascii="Calibri" w:hAnsi="Calibri"/>
                <w:color w:val="000099"/>
                <w:sz w:val="16"/>
                <w:szCs w:val="16"/>
                <w:lang w:val="es-ES" w:eastAsia="zh-CN"/>
              </w:rPr>
              <w:t>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s-ES" w:eastAsia="zh-CN"/>
              </w:rPr>
            </w:pPr>
            <w:r w:rsidRPr="00187C22">
              <w:rPr>
                <w:rFonts w:ascii="Calibri" w:hAnsi="Calibri"/>
                <w:color w:val="000099"/>
                <w:sz w:val="16"/>
                <w:szCs w:val="16"/>
                <w:lang w:val="es-ES" w:eastAsia="zh-CN"/>
              </w:rPr>
              <w:t>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s-ES" w:eastAsia="zh-CN"/>
              </w:rPr>
            </w:pPr>
            <w:r w:rsidRPr="00187C22">
              <w:rPr>
                <w:rFonts w:ascii="Calibri" w:hAnsi="Calibri"/>
                <w:color w:val="000099"/>
                <w:sz w:val="16"/>
                <w:szCs w:val="16"/>
                <w:lang w:val="es-ES" w:eastAsia="zh-CN"/>
              </w:rPr>
              <w:t>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s-ES" w:eastAsia="zh-CN"/>
              </w:rPr>
            </w:pPr>
            <w:r w:rsidRPr="00187C22">
              <w:rPr>
                <w:rFonts w:ascii="Calibri" w:hAnsi="Calibri"/>
                <w:color w:val="000099"/>
                <w:sz w:val="16"/>
                <w:szCs w:val="16"/>
                <w:lang w:val="es-ES" w:eastAsia="zh-CN"/>
              </w:rPr>
              <w:t>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s-ES" w:eastAsia="zh-CN"/>
              </w:rPr>
            </w:pPr>
            <w:r w:rsidRPr="00187C22">
              <w:rPr>
                <w:rFonts w:ascii="Calibri" w:hAnsi="Calibri"/>
                <w:color w:val="000099"/>
                <w:sz w:val="16"/>
                <w:szCs w:val="16"/>
                <w:lang w:val="es-ES" w:eastAsia="zh-CN"/>
              </w:rPr>
              <w:t> </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s-ES" w:eastAsia="zh-CN"/>
              </w:rPr>
            </w:pPr>
            <w:r w:rsidRPr="00187C22">
              <w:rPr>
                <w:rFonts w:ascii="Calibri" w:hAnsi="Calibri"/>
                <w:color w:val="000099"/>
                <w:sz w:val="16"/>
                <w:szCs w:val="16"/>
                <w:lang w:val="es-ES" w:eastAsia="zh-CN"/>
              </w:rPr>
              <w:t> </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Conferencia Mundial de Radiocomunicaciones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2'059</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70</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233</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450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55</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8</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25</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3'000</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Asamblea de Radiocomunicaciones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251</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46</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60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375</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Junta del Reglamento de Radiocomunicaciones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252</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46</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368</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681</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Grupo Asesor de Radiocomunicaciones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52</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62</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Comisiones de Estudio</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692</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47</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61</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20</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15</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875</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Actividades y programas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584</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16</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350</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960</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 xml:space="preserve">Seminarios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231</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31</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158</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35</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7</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472</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Oficina</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 </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 xml:space="preserve"> - Oficina del Director</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427</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112</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100</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639</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 xml:space="preserve"> - Departamentos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19'371</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5'124</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424</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330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75</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80</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55</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25'529</w:t>
            </w:r>
          </w:p>
        </w:tc>
      </w:tr>
      <w:tr w:rsidR="00C1304E" w:rsidRPr="00187C22" w:rsidTr="00C1304E">
        <w:trPr>
          <w:cantSplit/>
          <w:trHeight w:hRule="exact" w:val="57"/>
        </w:trPr>
        <w:tc>
          <w:tcPr>
            <w:tcW w:w="1439" w:type="pct"/>
            <w:tcBorders>
              <w:top w:val="nil"/>
              <w:left w:val="nil"/>
              <w:bottom w:val="nil"/>
              <w:right w:val="nil"/>
            </w:tcBorders>
            <w:shd w:val="clear" w:color="000000" w:fill="FFFFFF"/>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 </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 </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 </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 </w:t>
            </w:r>
          </w:p>
        </w:tc>
      </w:tr>
      <w:tr w:rsidR="00C1304E" w:rsidRPr="00187C22" w:rsidTr="00C1304E">
        <w:trPr>
          <w:cantSplit/>
          <w:trHeight w:val="198"/>
        </w:trPr>
        <w:tc>
          <w:tcPr>
            <w:tcW w:w="1439"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TOTAL</w:t>
            </w:r>
          </w:p>
        </w:tc>
        <w:tc>
          <w:tcPr>
            <w:tcW w:w="304"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23'335</w:t>
            </w:r>
          </w:p>
        </w:tc>
        <w:tc>
          <w:tcPr>
            <w:tcW w:w="304"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5'479</w:t>
            </w:r>
          </w:p>
        </w:tc>
        <w:tc>
          <w:tcPr>
            <w:tcW w:w="289"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1'344</w:t>
            </w:r>
          </w:p>
        </w:tc>
        <w:tc>
          <w:tcPr>
            <w:tcW w:w="382"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1'424</w:t>
            </w:r>
          </w:p>
        </w:tc>
        <w:tc>
          <w:tcPr>
            <w:tcW w:w="440"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210</w:t>
            </w:r>
          </w:p>
        </w:tc>
        <w:tc>
          <w:tcPr>
            <w:tcW w:w="357"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178</w:t>
            </w:r>
          </w:p>
        </w:tc>
        <w:tc>
          <w:tcPr>
            <w:tcW w:w="442"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80</w:t>
            </w:r>
          </w:p>
        </w:tc>
        <w:tc>
          <w:tcPr>
            <w:tcW w:w="380"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441</w:t>
            </w:r>
          </w:p>
        </w:tc>
        <w:tc>
          <w:tcPr>
            <w:tcW w:w="362"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102</w:t>
            </w:r>
          </w:p>
        </w:tc>
        <w:tc>
          <w:tcPr>
            <w:tcW w:w="301"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32'593</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C1304E">
            <w:pPr>
              <w:tabs>
                <w:tab w:val="clear" w:pos="794"/>
                <w:tab w:val="clear" w:pos="1191"/>
                <w:tab w:val="clear" w:pos="1588"/>
                <w:tab w:val="clear" w:pos="1985"/>
              </w:tabs>
              <w:overflowPunct/>
              <w:autoSpaceDE/>
              <w:autoSpaceDN/>
              <w:adjustRightInd/>
              <w:spacing w:before="0"/>
              <w:textAlignment w:val="auto"/>
              <w:rPr>
                <w:b/>
                <w:bCs/>
                <w:color w:val="000099"/>
                <w:sz w:val="16"/>
                <w:szCs w:val="16"/>
                <w:lang w:val="es-ES" w:eastAsia="zh-CN"/>
              </w:rPr>
            </w:pPr>
            <w:r w:rsidRPr="00187C22">
              <w:rPr>
                <w:rFonts w:ascii="Calibri" w:hAnsi="Calibri"/>
                <w:b/>
                <w:bCs/>
                <w:color w:val="000099"/>
                <w:sz w:val="16"/>
                <w:szCs w:val="16"/>
                <w:lang w:val="es-ES" w:eastAsia="zh-CN"/>
              </w:rPr>
              <w:t>Estimaciones 2013</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6"/>
                <w:szCs w:val="16"/>
                <w:lang w:val="es-ES"/>
              </w:rPr>
            </w:pPr>
            <w:r w:rsidRPr="00187C22">
              <w:rPr>
                <w:rFonts w:ascii="Calibri" w:hAnsi="Calibri"/>
                <w:color w:val="000099"/>
                <w:sz w:val="16"/>
                <w:szCs w:val="16"/>
                <w:lang w:val="es-ES"/>
              </w:rPr>
              <w:t>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6"/>
                <w:szCs w:val="16"/>
                <w:lang w:val="es-ES"/>
              </w:rPr>
            </w:pPr>
            <w:r w:rsidRPr="00187C22">
              <w:rPr>
                <w:rFonts w:ascii="Calibri" w:hAnsi="Calibri"/>
                <w:color w:val="000099"/>
                <w:sz w:val="16"/>
                <w:szCs w:val="16"/>
                <w:lang w:val="es-ES"/>
              </w:rPr>
              <w:t> </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6"/>
                <w:szCs w:val="16"/>
                <w:lang w:val="es-ES"/>
              </w:rPr>
            </w:pPr>
            <w:r w:rsidRPr="00187C22">
              <w:rPr>
                <w:rFonts w:ascii="Calibri" w:hAnsi="Calibri"/>
                <w:color w:val="000099"/>
                <w:sz w:val="16"/>
                <w:szCs w:val="16"/>
                <w:lang w:val="es-ES"/>
              </w:rPr>
              <w:t>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6"/>
                <w:szCs w:val="16"/>
                <w:lang w:val="es-ES"/>
              </w:rPr>
            </w:pPr>
            <w:r w:rsidRPr="00187C22">
              <w:rPr>
                <w:rFonts w:ascii="Calibri" w:hAnsi="Calibri"/>
                <w:color w:val="000099"/>
                <w:sz w:val="16"/>
                <w:szCs w:val="16"/>
                <w:lang w:val="es-ES"/>
              </w:rPr>
              <w:t>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6"/>
                <w:szCs w:val="16"/>
                <w:lang w:val="es-ES"/>
              </w:rPr>
            </w:pPr>
            <w:r w:rsidRPr="00187C22">
              <w:rPr>
                <w:rFonts w:ascii="Calibri" w:hAnsi="Calibri"/>
                <w:color w:val="000099"/>
                <w:sz w:val="16"/>
                <w:szCs w:val="16"/>
                <w:lang w:val="es-ES"/>
              </w:rPr>
              <w:t>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6"/>
                <w:szCs w:val="16"/>
                <w:lang w:val="es-ES"/>
              </w:rPr>
            </w:pPr>
            <w:r w:rsidRPr="00187C22">
              <w:rPr>
                <w:rFonts w:ascii="Calibri" w:hAnsi="Calibri"/>
                <w:color w:val="000099"/>
                <w:sz w:val="16"/>
                <w:szCs w:val="16"/>
                <w:lang w:val="es-ES"/>
              </w:rPr>
              <w:t>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6"/>
                <w:szCs w:val="16"/>
                <w:lang w:val="es-ES"/>
              </w:rPr>
            </w:pPr>
            <w:r w:rsidRPr="00187C22">
              <w:rPr>
                <w:rFonts w:ascii="Calibri" w:hAnsi="Calibri"/>
                <w:color w:val="000099"/>
                <w:sz w:val="16"/>
                <w:szCs w:val="16"/>
                <w:lang w:val="es-ES"/>
              </w:rPr>
              <w:t>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6"/>
                <w:szCs w:val="16"/>
                <w:lang w:val="es-ES"/>
              </w:rPr>
            </w:pPr>
            <w:r w:rsidRPr="00187C22">
              <w:rPr>
                <w:rFonts w:ascii="Calibri" w:hAnsi="Calibri"/>
                <w:color w:val="000099"/>
                <w:sz w:val="16"/>
                <w:szCs w:val="16"/>
                <w:lang w:val="es-ES"/>
              </w:rPr>
              <w:t> </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color w:val="000099"/>
                <w:sz w:val="16"/>
                <w:szCs w:val="16"/>
                <w:lang w:val="es-ES"/>
              </w:rPr>
            </w:pPr>
            <w:r w:rsidRPr="00187C22">
              <w:rPr>
                <w:rFonts w:ascii="Calibri" w:hAnsi="Calibri"/>
                <w:color w:val="000099"/>
                <w:sz w:val="16"/>
                <w:szCs w:val="16"/>
                <w:lang w:val="es-ES"/>
              </w:rPr>
              <w:t> </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 </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Conferencia Mundial de Radiocomunicaciones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0</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Asamblea de Radiocomunicaciones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0</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Junta del Reglamento de Radiocomunicaciones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253</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46</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368</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682</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Grupo Asesor de Radiocomunicaciones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52</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61</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Comisiones de Estudio</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692</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47</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61</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20</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15</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875</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Actividades y programas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590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350</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960</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 xml:space="preserve">Seminarios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230</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31</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158</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35</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8</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472</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Oficina</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 </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 xml:space="preserve"> - Oficina del Director</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427</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112</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100</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0</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0 </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639</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 xml:space="preserve"> - Departamentos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19'361</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5'123</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424</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330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75</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80</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55</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25'518</w:t>
            </w:r>
          </w:p>
        </w:tc>
      </w:tr>
      <w:tr w:rsidR="00C1304E" w:rsidRPr="00187C22" w:rsidTr="00C1304E">
        <w:trPr>
          <w:cantSplit/>
          <w:trHeight w:hRule="exact" w:val="57"/>
        </w:trPr>
        <w:tc>
          <w:tcPr>
            <w:tcW w:w="1439" w:type="pct"/>
            <w:tcBorders>
              <w:top w:val="nil"/>
              <w:left w:val="nil"/>
              <w:bottom w:val="nil"/>
              <w:right w:val="nil"/>
            </w:tcBorders>
            <w:shd w:val="clear" w:color="auto" w:fill="auto"/>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s-ES" w:eastAsia="zh-CN"/>
              </w:rPr>
            </w:pP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 </w:t>
            </w:r>
          </w:p>
        </w:tc>
      </w:tr>
      <w:tr w:rsidR="00C1304E" w:rsidRPr="00187C22" w:rsidTr="00C1304E">
        <w:trPr>
          <w:cantSplit/>
          <w:trHeight w:val="198"/>
        </w:trPr>
        <w:tc>
          <w:tcPr>
            <w:tcW w:w="1439"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TOTAL</w:t>
            </w:r>
          </w:p>
        </w:tc>
        <w:tc>
          <w:tcPr>
            <w:tcW w:w="304"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21'015</w:t>
            </w:r>
          </w:p>
        </w:tc>
        <w:tc>
          <w:tcPr>
            <w:tcW w:w="304"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5'362</w:t>
            </w:r>
          </w:p>
        </w:tc>
        <w:tc>
          <w:tcPr>
            <w:tcW w:w="289"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1'111</w:t>
            </w:r>
          </w:p>
        </w:tc>
        <w:tc>
          <w:tcPr>
            <w:tcW w:w="382"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920</w:t>
            </w:r>
          </w:p>
        </w:tc>
        <w:tc>
          <w:tcPr>
            <w:tcW w:w="440"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105</w:t>
            </w:r>
          </w:p>
        </w:tc>
        <w:tc>
          <w:tcPr>
            <w:tcW w:w="357"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111</w:t>
            </w:r>
          </w:p>
        </w:tc>
        <w:tc>
          <w:tcPr>
            <w:tcW w:w="442"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80</w:t>
            </w:r>
          </w:p>
        </w:tc>
        <w:tc>
          <w:tcPr>
            <w:tcW w:w="380"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430</w:t>
            </w:r>
          </w:p>
        </w:tc>
        <w:tc>
          <w:tcPr>
            <w:tcW w:w="362"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73</w:t>
            </w:r>
          </w:p>
        </w:tc>
        <w:tc>
          <w:tcPr>
            <w:tcW w:w="301"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29'207</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C1304E">
            <w:pPr>
              <w:tabs>
                <w:tab w:val="clear" w:pos="794"/>
                <w:tab w:val="clear" w:pos="1191"/>
                <w:tab w:val="clear" w:pos="1588"/>
                <w:tab w:val="clear" w:pos="1985"/>
              </w:tabs>
              <w:overflowPunct/>
              <w:autoSpaceDE/>
              <w:autoSpaceDN/>
              <w:adjustRightInd/>
              <w:spacing w:before="0"/>
              <w:textAlignment w:val="auto"/>
              <w:rPr>
                <w:b/>
                <w:bCs/>
                <w:color w:val="000099"/>
                <w:sz w:val="16"/>
                <w:szCs w:val="16"/>
                <w:lang w:val="es-ES" w:eastAsia="zh-CN"/>
              </w:rPr>
            </w:pPr>
            <w:r w:rsidRPr="00187C22">
              <w:rPr>
                <w:rFonts w:ascii="Calibri" w:hAnsi="Calibri"/>
                <w:b/>
                <w:bCs/>
                <w:color w:val="000099"/>
                <w:sz w:val="16"/>
                <w:szCs w:val="16"/>
                <w:lang w:val="es-ES" w:eastAsia="zh-CN"/>
              </w:rPr>
              <w:t>Estimaciones 2012-2013</w:t>
            </w:r>
          </w:p>
        </w:tc>
        <w:tc>
          <w:tcPr>
            <w:tcW w:w="304"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color w:val="000099"/>
                <w:sz w:val="16"/>
                <w:szCs w:val="16"/>
                <w:lang w:val="es-ES"/>
              </w:rPr>
            </w:pPr>
          </w:p>
        </w:tc>
        <w:tc>
          <w:tcPr>
            <w:tcW w:w="304"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color w:val="000099"/>
                <w:sz w:val="16"/>
                <w:szCs w:val="16"/>
                <w:lang w:val="es-ES"/>
              </w:rPr>
            </w:pPr>
          </w:p>
        </w:tc>
        <w:tc>
          <w:tcPr>
            <w:tcW w:w="289"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color w:val="000099"/>
                <w:sz w:val="16"/>
                <w:szCs w:val="16"/>
                <w:lang w:val="es-ES"/>
              </w:rPr>
            </w:pPr>
          </w:p>
        </w:tc>
        <w:tc>
          <w:tcPr>
            <w:tcW w:w="382"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color w:val="000099"/>
                <w:sz w:val="16"/>
                <w:szCs w:val="16"/>
                <w:lang w:val="es-ES"/>
              </w:rPr>
            </w:pPr>
          </w:p>
        </w:tc>
        <w:tc>
          <w:tcPr>
            <w:tcW w:w="440"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color w:val="000099"/>
                <w:sz w:val="16"/>
                <w:szCs w:val="16"/>
                <w:lang w:val="es-ES"/>
              </w:rPr>
            </w:pPr>
          </w:p>
        </w:tc>
        <w:tc>
          <w:tcPr>
            <w:tcW w:w="357"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color w:val="000099"/>
                <w:sz w:val="16"/>
                <w:szCs w:val="16"/>
                <w:lang w:val="es-ES"/>
              </w:rPr>
            </w:pPr>
          </w:p>
        </w:tc>
        <w:tc>
          <w:tcPr>
            <w:tcW w:w="442"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color w:val="000099"/>
                <w:sz w:val="16"/>
                <w:szCs w:val="16"/>
                <w:lang w:val="es-ES"/>
              </w:rPr>
            </w:pPr>
          </w:p>
        </w:tc>
        <w:tc>
          <w:tcPr>
            <w:tcW w:w="380"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color w:val="000099"/>
                <w:sz w:val="16"/>
                <w:szCs w:val="16"/>
                <w:lang w:val="es-ES"/>
              </w:rPr>
            </w:pPr>
          </w:p>
        </w:tc>
        <w:tc>
          <w:tcPr>
            <w:tcW w:w="362"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color w:val="000099"/>
                <w:sz w:val="16"/>
                <w:szCs w:val="16"/>
                <w:lang w:val="es-ES"/>
              </w:rPr>
            </w:pPr>
          </w:p>
        </w:tc>
        <w:tc>
          <w:tcPr>
            <w:tcW w:w="301" w:type="pct"/>
            <w:tcBorders>
              <w:top w:val="nil"/>
              <w:left w:val="nil"/>
              <w:bottom w:val="nil"/>
              <w:right w:val="nil"/>
            </w:tcBorders>
            <w:shd w:val="clear" w:color="auto" w:fill="auto"/>
            <w:noWrap/>
            <w:vAlign w:val="center"/>
            <w:hideMark/>
          </w:tcPr>
          <w:p w:rsidR="00C1304E" w:rsidRPr="00187C22" w:rsidRDefault="00C1304E" w:rsidP="00591C54">
            <w:pPr>
              <w:spacing w:before="0"/>
              <w:jc w:val="right"/>
              <w:rPr>
                <w:rFonts w:ascii="Calibri" w:hAnsi="Calibri"/>
                <w:b/>
                <w:bCs/>
                <w:color w:val="000099"/>
                <w:sz w:val="16"/>
                <w:szCs w:val="16"/>
                <w:lang w:val="es-ES"/>
              </w:rPr>
            </w:pP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Conferencia Mundial de Radiocomunicaciones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2'059</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70</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233</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450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55</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8</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25</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3'000</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Asamblea de Radiocomunicaciones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251</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46</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60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375</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Junta del Reglamento de Radiocomunicaciones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505</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92</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736</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8</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1'363</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Grupo Asesor de Radiocomunicaciones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104</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6</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123</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Comisiones de Estudio</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1'384</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94</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122</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60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40</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30</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1'750</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Actividades y programas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1'174</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26</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700</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1'920</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 xml:space="preserve">Seminarios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461</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62</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316</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70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15</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944</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Oficina</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 </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 xml:space="preserve"> - Oficina del Director</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854</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224</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200</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1'278</w:t>
            </w:r>
          </w:p>
        </w:tc>
      </w:tr>
      <w:tr w:rsidR="00C1304E" w:rsidRPr="00187C22" w:rsidTr="00C1304E">
        <w:trPr>
          <w:cantSplit/>
          <w:trHeight w:val="198"/>
        </w:trPr>
        <w:tc>
          <w:tcPr>
            <w:tcW w:w="1439" w:type="pct"/>
            <w:tcBorders>
              <w:top w:val="nil"/>
              <w:left w:val="nil"/>
              <w:bottom w:val="nil"/>
              <w:right w:val="nil"/>
            </w:tcBorders>
            <w:shd w:val="clear" w:color="auto" w:fill="auto"/>
            <w:noWrap/>
            <w:vAlign w:val="center"/>
          </w:tcPr>
          <w:p w:rsidR="00C1304E" w:rsidRPr="00187C22" w:rsidRDefault="00C1304E" w:rsidP="00B75D33">
            <w:pPr>
              <w:overflowPunct/>
              <w:autoSpaceDE/>
              <w:autoSpaceDN/>
              <w:adjustRightInd/>
              <w:spacing w:before="0"/>
              <w:textAlignment w:val="auto"/>
              <w:rPr>
                <w:rFonts w:asciiTheme="minorHAnsi" w:hAnsiTheme="minorHAnsi" w:cstheme="minorHAnsi"/>
                <w:sz w:val="16"/>
                <w:szCs w:val="16"/>
                <w:lang w:val="es-ES" w:eastAsia="zh-CN"/>
              </w:rPr>
            </w:pPr>
            <w:r w:rsidRPr="00187C22">
              <w:rPr>
                <w:rFonts w:asciiTheme="minorHAnsi" w:hAnsiTheme="minorHAnsi" w:cstheme="minorHAnsi"/>
                <w:sz w:val="16"/>
                <w:szCs w:val="16"/>
                <w:lang w:val="es-ES" w:eastAsia="zh-CN"/>
              </w:rPr>
              <w:t xml:space="preserve"> - Departamentos</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38'732</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10'247</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848</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660</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80</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150</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160</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110</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60</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51'047</w:t>
            </w:r>
          </w:p>
        </w:tc>
      </w:tr>
      <w:tr w:rsidR="00C1304E" w:rsidRPr="00187C22" w:rsidTr="00C1304E">
        <w:trPr>
          <w:cantSplit/>
          <w:trHeight w:hRule="exact" w:val="57"/>
        </w:trPr>
        <w:tc>
          <w:tcPr>
            <w:tcW w:w="1439" w:type="pct"/>
            <w:tcBorders>
              <w:top w:val="nil"/>
              <w:left w:val="nil"/>
              <w:bottom w:val="nil"/>
              <w:right w:val="nil"/>
            </w:tcBorders>
            <w:shd w:val="clear" w:color="auto" w:fill="auto"/>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s-ES" w:eastAsia="zh-CN"/>
              </w:rPr>
            </w:pP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04"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289"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8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44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57"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44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80"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62"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sz w:val="16"/>
                <w:szCs w:val="16"/>
                <w:lang w:val="es-ES"/>
              </w:rPr>
            </w:pPr>
            <w:r w:rsidRPr="00187C22">
              <w:rPr>
                <w:rFonts w:ascii="Calibri" w:hAnsi="Calibri"/>
                <w:sz w:val="16"/>
                <w:szCs w:val="16"/>
                <w:lang w:val="es-ES"/>
              </w:rPr>
              <w:t> </w:t>
            </w:r>
          </w:p>
        </w:tc>
        <w:tc>
          <w:tcPr>
            <w:tcW w:w="301" w:type="pct"/>
            <w:tcBorders>
              <w:top w:val="nil"/>
              <w:left w:val="nil"/>
              <w:bottom w:val="nil"/>
              <w:right w:val="nil"/>
            </w:tcBorders>
            <w:shd w:val="clear" w:color="000000" w:fill="FFFFFF"/>
            <w:noWrap/>
            <w:vAlign w:val="center"/>
            <w:hideMark/>
          </w:tcPr>
          <w:p w:rsidR="00C1304E" w:rsidRPr="00187C22" w:rsidRDefault="00C1304E" w:rsidP="00591C54">
            <w:pPr>
              <w:spacing w:before="0"/>
              <w:jc w:val="right"/>
              <w:rPr>
                <w:rFonts w:ascii="Calibri" w:hAnsi="Calibri"/>
                <w:b/>
                <w:bCs/>
                <w:sz w:val="16"/>
                <w:szCs w:val="16"/>
                <w:lang w:val="es-ES"/>
              </w:rPr>
            </w:pPr>
            <w:r w:rsidRPr="00187C22">
              <w:rPr>
                <w:rFonts w:ascii="Calibri" w:hAnsi="Calibri"/>
                <w:b/>
                <w:bCs/>
                <w:sz w:val="16"/>
                <w:szCs w:val="16"/>
                <w:lang w:val="es-ES"/>
              </w:rPr>
              <w:t> </w:t>
            </w:r>
          </w:p>
        </w:tc>
      </w:tr>
      <w:tr w:rsidR="00C1304E" w:rsidRPr="00187C22" w:rsidTr="00C1304E">
        <w:trPr>
          <w:cantSplit/>
          <w:trHeight w:val="198"/>
        </w:trPr>
        <w:tc>
          <w:tcPr>
            <w:tcW w:w="1439"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s-ES" w:eastAsia="zh-CN"/>
              </w:rPr>
            </w:pPr>
            <w:r w:rsidRPr="00187C22">
              <w:rPr>
                <w:rFonts w:ascii="Calibri" w:hAnsi="Calibri"/>
                <w:b/>
                <w:bCs/>
                <w:color w:val="000099"/>
                <w:sz w:val="16"/>
                <w:szCs w:val="16"/>
                <w:lang w:val="es-ES" w:eastAsia="zh-CN"/>
              </w:rPr>
              <w:t>TOTAL</w:t>
            </w:r>
          </w:p>
        </w:tc>
        <w:tc>
          <w:tcPr>
            <w:tcW w:w="304"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44'350</w:t>
            </w:r>
          </w:p>
        </w:tc>
        <w:tc>
          <w:tcPr>
            <w:tcW w:w="304"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10'841</w:t>
            </w:r>
          </w:p>
        </w:tc>
        <w:tc>
          <w:tcPr>
            <w:tcW w:w="289"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2'455</w:t>
            </w:r>
          </w:p>
        </w:tc>
        <w:tc>
          <w:tcPr>
            <w:tcW w:w="382"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2'344</w:t>
            </w:r>
          </w:p>
        </w:tc>
        <w:tc>
          <w:tcPr>
            <w:tcW w:w="440"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315</w:t>
            </w:r>
          </w:p>
        </w:tc>
        <w:tc>
          <w:tcPr>
            <w:tcW w:w="357"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289</w:t>
            </w:r>
          </w:p>
        </w:tc>
        <w:tc>
          <w:tcPr>
            <w:tcW w:w="442"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160</w:t>
            </w:r>
          </w:p>
        </w:tc>
        <w:tc>
          <w:tcPr>
            <w:tcW w:w="380"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871</w:t>
            </w:r>
          </w:p>
        </w:tc>
        <w:tc>
          <w:tcPr>
            <w:tcW w:w="362"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175</w:t>
            </w:r>
          </w:p>
        </w:tc>
        <w:tc>
          <w:tcPr>
            <w:tcW w:w="301" w:type="pct"/>
            <w:tcBorders>
              <w:top w:val="single" w:sz="4" w:space="0" w:color="000099"/>
              <w:left w:val="nil"/>
              <w:bottom w:val="single" w:sz="4" w:space="0" w:color="000099"/>
              <w:right w:val="nil"/>
            </w:tcBorders>
            <w:shd w:val="clear" w:color="000000" w:fill="DBE5F1"/>
            <w:noWrap/>
            <w:vAlign w:val="center"/>
            <w:hideMark/>
          </w:tcPr>
          <w:p w:rsidR="00C1304E" w:rsidRPr="00187C22" w:rsidRDefault="00C1304E" w:rsidP="00591C54">
            <w:pPr>
              <w:spacing w:before="0"/>
              <w:jc w:val="right"/>
              <w:rPr>
                <w:rFonts w:ascii="Calibri" w:hAnsi="Calibri"/>
                <w:b/>
                <w:bCs/>
                <w:color w:val="000099"/>
                <w:sz w:val="16"/>
                <w:szCs w:val="16"/>
                <w:lang w:val="es-ES"/>
              </w:rPr>
            </w:pPr>
            <w:r w:rsidRPr="00187C22">
              <w:rPr>
                <w:rFonts w:ascii="Calibri" w:hAnsi="Calibri"/>
                <w:b/>
                <w:bCs/>
                <w:color w:val="000099"/>
                <w:sz w:val="16"/>
                <w:szCs w:val="16"/>
                <w:lang w:val="es-ES"/>
              </w:rPr>
              <w:t>61'800</w:t>
            </w:r>
          </w:p>
        </w:tc>
      </w:tr>
    </w:tbl>
    <w:p w:rsidR="00E72EA7" w:rsidRPr="00187C22" w:rsidRDefault="00591C54" w:rsidP="006037AC">
      <w:pPr>
        <w:jc w:val="center"/>
        <w:rPr>
          <w:bCs/>
          <w:lang w:val="es-ES" w:eastAsia="zh-CN"/>
        </w:rPr>
      </w:pPr>
      <w:r w:rsidRPr="00187C22">
        <w:rPr>
          <w:bCs/>
          <w:lang w:val="es-ES" w:eastAsia="zh-CN"/>
        </w:rPr>
        <w:t>_____________</w:t>
      </w:r>
      <w:bookmarkStart w:id="5" w:name="_GoBack"/>
      <w:bookmarkEnd w:id="5"/>
    </w:p>
    <w:sectPr w:rsidR="00E72EA7" w:rsidRPr="00187C22" w:rsidSect="006037AC">
      <w:headerReference w:type="default" r:id="rId32"/>
      <w:footerReference w:type="first" r:id="rId33"/>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5A7" w:rsidRDefault="004665A7">
      <w:r>
        <w:separator/>
      </w:r>
    </w:p>
  </w:endnote>
  <w:endnote w:type="continuationSeparator" w:id="0">
    <w:p w:rsidR="004665A7" w:rsidRDefault="0046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A7" w:rsidRPr="00591C54" w:rsidRDefault="004665A7" w:rsidP="00591C54">
    <w:pPr>
      <w:pStyle w:val="Footer"/>
    </w:pPr>
    <w:fldSimple w:instr=" FILENAME \p  \* MERGEFORMAT ">
      <w:r>
        <w:t>P:\ESP\ITU-R\AG\RAG12\RAG-1\000\001S.docx</w:t>
      </w:r>
    </w:fldSimple>
    <w:r>
      <w:t xml:space="preserve"> (325518)</w:t>
    </w:r>
    <w:r>
      <w:tab/>
    </w:r>
    <w:r>
      <w:fldChar w:fldCharType="begin"/>
    </w:r>
    <w:r>
      <w:instrText xml:space="preserve"> SAVEDATE \@ DD.MM.YY </w:instrText>
    </w:r>
    <w:r>
      <w:fldChar w:fldCharType="separate"/>
    </w:r>
    <w:r>
      <w:t>30.05.12</w:t>
    </w:r>
    <w:r>
      <w:fldChar w:fldCharType="end"/>
    </w:r>
    <w:r>
      <w:tab/>
    </w:r>
    <w:r>
      <w:fldChar w:fldCharType="begin"/>
    </w:r>
    <w:r>
      <w:instrText xml:space="preserve"> PRINTDATE \@ DD.MM.YY </w:instrText>
    </w:r>
    <w:r>
      <w:fldChar w:fldCharType="separate"/>
    </w:r>
    <w:r>
      <w:t>30.05.12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A7" w:rsidRPr="00591C54" w:rsidRDefault="004665A7" w:rsidP="00591C54">
    <w:pPr>
      <w:pStyle w:val="Footer"/>
    </w:pPr>
    <w:fldSimple w:instr=" FILENAME \p  \* MERGEFORMAT ">
      <w:r>
        <w:t>P:\ESP\ITU-R\AG\RAG12\RAG-1\000\001S.docx</w:t>
      </w:r>
    </w:fldSimple>
    <w:r>
      <w:t xml:space="preserve"> (325518)</w:t>
    </w:r>
    <w:r>
      <w:tab/>
    </w:r>
    <w:r>
      <w:fldChar w:fldCharType="begin"/>
    </w:r>
    <w:r>
      <w:instrText xml:space="preserve"> SAVEDATE \@ DD.MM.YY </w:instrText>
    </w:r>
    <w:r>
      <w:fldChar w:fldCharType="separate"/>
    </w:r>
    <w:r>
      <w:t>30.05.12</w:t>
    </w:r>
    <w:r>
      <w:fldChar w:fldCharType="end"/>
    </w:r>
    <w:r>
      <w:tab/>
    </w:r>
    <w:r>
      <w:fldChar w:fldCharType="begin"/>
    </w:r>
    <w:r>
      <w:instrText xml:space="preserve"> PRINTDATE \@ DD.MM.YY </w:instrText>
    </w:r>
    <w:r>
      <w:fldChar w:fldCharType="separate"/>
    </w:r>
    <w:r>
      <w:t>30.05.12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A7" w:rsidRPr="00CA12CA" w:rsidRDefault="004665A7" w:rsidP="00591C54">
    <w:pPr>
      <w:pStyle w:val="Footer"/>
      <w:rPr>
        <w:lang w:val="en-US"/>
      </w:rPr>
    </w:pPr>
    <w:r>
      <w:rPr>
        <w:noProof w:val="0"/>
        <w:sz w:val="24"/>
      </w:rPr>
      <w:fldChar w:fldCharType="begin"/>
    </w:r>
    <w:r w:rsidRPr="00CA12CA">
      <w:rPr>
        <w:lang w:val="en-US"/>
      </w:rPr>
      <w:instrText xml:space="preserve"> FILENAME \p  \* MERGEFORMAT </w:instrText>
    </w:r>
    <w:r>
      <w:rPr>
        <w:noProof w:val="0"/>
        <w:sz w:val="24"/>
      </w:rPr>
      <w:fldChar w:fldCharType="separate"/>
    </w:r>
    <w:r>
      <w:rPr>
        <w:lang w:val="en-US"/>
      </w:rPr>
      <w:t>P:\ESP\ITU-R\AG\RAG12\RAG-1\000\001S.docx</w:t>
    </w:r>
    <w:r>
      <w:fldChar w:fldCharType="end"/>
    </w:r>
    <w:r w:rsidRPr="00CA12CA">
      <w:rPr>
        <w:lang w:val="en-US"/>
      </w:rPr>
      <w:t xml:space="preserve"> (309222)</w:t>
    </w:r>
    <w:r w:rsidRPr="00CA12CA">
      <w:rPr>
        <w:lang w:val="en-US"/>
      </w:rPr>
      <w:tab/>
    </w:r>
    <w:r>
      <w:fldChar w:fldCharType="begin"/>
    </w:r>
    <w:r>
      <w:instrText xml:space="preserve"> SAVEDATE \@ DD.MM.YY </w:instrText>
    </w:r>
    <w:r>
      <w:fldChar w:fldCharType="separate"/>
    </w:r>
    <w:r>
      <w:t>30.05.12</w:t>
    </w:r>
    <w:r>
      <w:fldChar w:fldCharType="end"/>
    </w:r>
    <w:r w:rsidRPr="00CA12CA">
      <w:rPr>
        <w:lang w:val="en-US"/>
      </w:rPr>
      <w:tab/>
    </w:r>
    <w:r>
      <w:fldChar w:fldCharType="begin"/>
    </w:r>
    <w:r>
      <w:instrText xml:space="preserve"> PRINTDATE \@ DD.MM.YY </w:instrText>
    </w:r>
    <w:r>
      <w:fldChar w:fldCharType="separate"/>
    </w:r>
    <w:r>
      <w:t>30.05.12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A7" w:rsidRDefault="004665A7">
    <w:pPr>
      <w:pStyle w:val="Footer"/>
      <w:rPr>
        <w:lang w:val="en-US"/>
      </w:rPr>
    </w:pPr>
    <w:r>
      <w:fldChar w:fldCharType="begin"/>
    </w:r>
    <w:r w:rsidRPr="00E72EA7">
      <w:rPr>
        <w:lang w:val="en-US"/>
      </w:rPr>
      <w:instrText xml:space="preserve"> FILENAME \p \* MERGEFORMAT </w:instrText>
    </w:r>
    <w:r>
      <w:fldChar w:fldCharType="separate"/>
    </w:r>
    <w:r>
      <w:rPr>
        <w:lang w:val="en-US"/>
      </w:rPr>
      <w:t>P:\ESP\ITU-R\AG\RAG12\RAG-1\000\001S.docx</w:t>
    </w:r>
    <w:r>
      <w:rPr>
        <w:lang w:val="en-US"/>
      </w:rPr>
      <w:fldChar w:fldCharType="end"/>
    </w:r>
    <w:r>
      <w:rPr>
        <w:lang w:val="en-US"/>
      </w:rPr>
      <w:tab/>
    </w:r>
    <w:r>
      <w:fldChar w:fldCharType="begin"/>
    </w:r>
    <w:r>
      <w:instrText xml:space="preserve"> savedate \@ dd.MM.yy </w:instrText>
    </w:r>
    <w:r>
      <w:fldChar w:fldCharType="separate"/>
    </w:r>
    <w:r>
      <w:t>30.05.12</w:t>
    </w:r>
    <w:r>
      <w:fldChar w:fldCharType="end"/>
    </w:r>
    <w:r>
      <w:rPr>
        <w:lang w:val="en-US"/>
      </w:rPr>
      <w:tab/>
    </w:r>
    <w:r>
      <w:fldChar w:fldCharType="begin"/>
    </w:r>
    <w:r>
      <w:instrText xml:space="preserve"> printdate \@ dd.MM.yy </w:instrText>
    </w:r>
    <w:r>
      <w:fldChar w:fldCharType="separate"/>
    </w:r>
    <w:r>
      <w:t>30.05.12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5A7" w:rsidRDefault="004665A7">
      <w:r>
        <w:t>____________________</w:t>
      </w:r>
    </w:p>
  </w:footnote>
  <w:footnote w:type="continuationSeparator" w:id="0">
    <w:p w:rsidR="004665A7" w:rsidRDefault="00466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A7" w:rsidRDefault="004665A7" w:rsidP="00591C54">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4665A7" w:rsidRPr="00591C54" w:rsidRDefault="004665A7" w:rsidP="00591C54">
    <w:pPr>
      <w:pStyle w:val="Header"/>
      <w:rPr>
        <w:lang w:val="es-ES"/>
      </w:rPr>
    </w:pPr>
    <w:r>
      <w:rPr>
        <w:lang w:val="es-ES"/>
      </w:rPr>
      <w:t>RAG12-1/1-S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A7" w:rsidRDefault="004665A7" w:rsidP="004534A7">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rsidR="004665A7" w:rsidRPr="00591C54" w:rsidRDefault="004665A7" w:rsidP="004534A7">
    <w:pPr>
      <w:pStyle w:val="Header"/>
      <w:rPr>
        <w:lang w:val="es-ES"/>
      </w:rPr>
    </w:pPr>
    <w:r>
      <w:rPr>
        <w:lang w:val="es-ES"/>
      </w:rPr>
      <w:t>RAG12-1/1-S</w:t>
    </w:r>
  </w:p>
  <w:p w:rsidR="004665A7" w:rsidRPr="004534A7" w:rsidRDefault="004665A7" w:rsidP="004534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A7" w:rsidRDefault="004665A7">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E265A">
      <w:rPr>
        <w:rStyle w:val="PageNumber"/>
        <w:noProof/>
      </w:rPr>
      <w:t>17</w:t>
    </w:r>
    <w:r>
      <w:rPr>
        <w:rStyle w:val="PageNumber"/>
      </w:rPr>
      <w:fldChar w:fldCharType="end"/>
    </w:r>
  </w:p>
  <w:p w:rsidR="004665A7" w:rsidRDefault="004665A7" w:rsidP="006037AC">
    <w:pPr>
      <w:pStyle w:val="Header"/>
      <w:rPr>
        <w:lang w:val="es-ES"/>
      </w:rPr>
    </w:pPr>
    <w:r>
      <w:rPr>
        <w:lang w:val="es-ES"/>
      </w:rPr>
      <w:t>RAG12-1/1-S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F51C26"/>
    <w:multiLevelType w:val="hybridMultilevel"/>
    <w:tmpl w:val="E6E4534E"/>
    <w:lvl w:ilvl="0" w:tplc="04090001">
      <w:start w:val="1"/>
      <w:numFmt w:val="bullet"/>
      <w:lvlText w:val=""/>
      <w:lvlJc w:val="left"/>
      <w:pPr>
        <w:ind w:left="360" w:hanging="360"/>
      </w:pPr>
      <w:rPr>
        <w:rFonts w:ascii="Symbol" w:hAnsi="Symbol" w:hint="default"/>
      </w:rPr>
    </w:lvl>
    <w:lvl w:ilvl="1" w:tplc="A40E20A2">
      <w:numFmt w:val="bullet"/>
      <w:lvlText w:val="•"/>
      <w:lvlJc w:val="left"/>
      <w:pPr>
        <w:ind w:left="1440" w:hanging="720"/>
      </w:pPr>
      <w:rPr>
        <w:rFonts w:ascii="Bodoni MT" w:eastAsiaTheme="minorEastAsia" w:hAnsi="Bodoni MT"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FD4070"/>
    <w:multiLevelType w:val="hybridMultilevel"/>
    <w:tmpl w:val="96D01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6">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810AC"/>
    <w:multiLevelType w:val="hybridMultilevel"/>
    <w:tmpl w:val="7076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570B62"/>
    <w:multiLevelType w:val="hybridMultilevel"/>
    <w:tmpl w:val="79009158"/>
    <w:lvl w:ilvl="0" w:tplc="ED62498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1276A6"/>
    <w:multiLevelType w:val="hybridMultilevel"/>
    <w:tmpl w:val="3F8C45C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442106"/>
    <w:multiLevelType w:val="hybridMultilevel"/>
    <w:tmpl w:val="34CA9D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C85C2E"/>
    <w:multiLevelType w:val="hybridMultilevel"/>
    <w:tmpl w:val="0F0CB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14B4007"/>
    <w:multiLevelType w:val="hybridMultilevel"/>
    <w:tmpl w:val="3A84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2E0E99"/>
    <w:multiLevelType w:val="hybridMultilevel"/>
    <w:tmpl w:val="0B1CB2EA"/>
    <w:lvl w:ilvl="0" w:tplc="5E5EC7E4">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92157FC"/>
    <w:multiLevelType w:val="hybridMultilevel"/>
    <w:tmpl w:val="F5C0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710F2E95"/>
    <w:multiLevelType w:val="hybridMultilevel"/>
    <w:tmpl w:val="8E9A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5759F1"/>
    <w:multiLevelType w:val="hybridMultilevel"/>
    <w:tmpl w:val="80362F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6"/>
  </w:num>
  <w:num w:numId="3">
    <w:abstractNumId w:val="14"/>
  </w:num>
  <w:num w:numId="4">
    <w:abstractNumId w:val="45"/>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37"/>
  </w:num>
  <w:num w:numId="18">
    <w:abstractNumId w:val="39"/>
  </w:num>
  <w:num w:numId="19">
    <w:abstractNumId w:val="31"/>
  </w:num>
  <w:num w:numId="20">
    <w:abstractNumId w:val="27"/>
  </w:num>
  <w:num w:numId="21">
    <w:abstractNumId w:val="38"/>
  </w:num>
  <w:num w:numId="22">
    <w:abstractNumId w:val="24"/>
  </w:num>
  <w:num w:numId="23">
    <w:abstractNumId w:val="10"/>
  </w:num>
  <w:num w:numId="24">
    <w:abstractNumId w:val="16"/>
  </w:num>
  <w:num w:numId="25">
    <w:abstractNumId w:val="17"/>
  </w:num>
  <w:num w:numId="26">
    <w:abstractNumId w:val="22"/>
  </w:num>
  <w:num w:numId="27">
    <w:abstractNumId w:val="44"/>
  </w:num>
  <w:num w:numId="28">
    <w:abstractNumId w:val="28"/>
  </w:num>
  <w:num w:numId="29">
    <w:abstractNumId w:val="30"/>
  </w:num>
  <w:num w:numId="30">
    <w:abstractNumId w:val="12"/>
  </w:num>
  <w:num w:numId="31">
    <w:abstractNumId w:val="23"/>
  </w:num>
  <w:num w:numId="32">
    <w:abstractNumId w:val="15"/>
  </w:num>
  <w:num w:numId="33">
    <w:abstractNumId w:val="20"/>
  </w:num>
  <w:num w:numId="34">
    <w:abstractNumId w:val="34"/>
  </w:num>
  <w:num w:numId="35">
    <w:abstractNumId w:val="48"/>
  </w:num>
  <w:num w:numId="36">
    <w:abstractNumId w:val="43"/>
  </w:num>
  <w:num w:numId="37">
    <w:abstractNumId w:val="35"/>
  </w:num>
  <w:num w:numId="38">
    <w:abstractNumId w:val="21"/>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47"/>
  </w:num>
  <w:num w:numId="43">
    <w:abstractNumId w:val="40"/>
  </w:num>
  <w:num w:numId="44">
    <w:abstractNumId w:val="26"/>
  </w:num>
  <w:num w:numId="45">
    <w:abstractNumId w:val="42"/>
  </w:num>
  <w:num w:numId="46">
    <w:abstractNumId w:val="25"/>
  </w:num>
  <w:num w:numId="4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5D"/>
    <w:rsid w:val="00091BC8"/>
    <w:rsid w:val="000B4431"/>
    <w:rsid w:val="0012592F"/>
    <w:rsid w:val="00187C22"/>
    <w:rsid w:val="00192D5D"/>
    <w:rsid w:val="001C7B42"/>
    <w:rsid w:val="002867CD"/>
    <w:rsid w:val="0034043B"/>
    <w:rsid w:val="00414D8B"/>
    <w:rsid w:val="004534A7"/>
    <w:rsid w:val="00462242"/>
    <w:rsid w:val="004665A7"/>
    <w:rsid w:val="004D6C09"/>
    <w:rsid w:val="004E3DA1"/>
    <w:rsid w:val="0056519E"/>
    <w:rsid w:val="005668CC"/>
    <w:rsid w:val="00576E83"/>
    <w:rsid w:val="0058008A"/>
    <w:rsid w:val="00591C54"/>
    <w:rsid w:val="005D3E02"/>
    <w:rsid w:val="006037AC"/>
    <w:rsid w:val="00610642"/>
    <w:rsid w:val="00616601"/>
    <w:rsid w:val="006A42AB"/>
    <w:rsid w:val="006E265A"/>
    <w:rsid w:val="006E291F"/>
    <w:rsid w:val="0071103C"/>
    <w:rsid w:val="00A56075"/>
    <w:rsid w:val="00AD50E0"/>
    <w:rsid w:val="00B32E51"/>
    <w:rsid w:val="00B34EFF"/>
    <w:rsid w:val="00B75D33"/>
    <w:rsid w:val="00C1304E"/>
    <w:rsid w:val="00C96C7E"/>
    <w:rsid w:val="00CB7A43"/>
    <w:rsid w:val="00D04921"/>
    <w:rsid w:val="00DB70DA"/>
    <w:rsid w:val="00E72EA7"/>
    <w:rsid w:val="00EC2B0C"/>
    <w:rsid w:val="00F75474"/>
    <w:rsid w:val="00F91653"/>
    <w:rsid w:val="00FC7AF2"/>
    <w:rsid w:val="00FF2B70"/>
    <w:rsid w:val="00FF79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aliases w:val="h3,H3,H31"/>
    <w:basedOn w:val="Heading1"/>
    <w:next w:val="Normal"/>
    <w:link w:val="Heading3Char1"/>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C54"/>
    <w:rPr>
      <w:rFonts w:ascii="Times New Roman" w:hAnsi="Times New Roman"/>
      <w:b/>
      <w:sz w:val="24"/>
      <w:lang w:val="es-ES_tradnl" w:eastAsia="en-US"/>
    </w:rPr>
  </w:style>
  <w:style w:type="character" w:customStyle="1" w:styleId="Heading2Char">
    <w:name w:val="Heading 2 Char"/>
    <w:basedOn w:val="DefaultParagraphFont"/>
    <w:link w:val="Heading2"/>
    <w:rsid w:val="00591C54"/>
    <w:rPr>
      <w:rFonts w:ascii="Times New Roman" w:hAnsi="Times New Roman"/>
      <w:b/>
      <w:sz w:val="24"/>
      <w:lang w:val="es-ES_tradnl" w:eastAsia="en-US"/>
    </w:rPr>
  </w:style>
  <w:style w:type="character" w:customStyle="1" w:styleId="Heading3Char1">
    <w:name w:val="Heading 3 Char1"/>
    <w:aliases w:val="h3 Char,H3 Char,H31 Char"/>
    <w:basedOn w:val="DefaultParagraphFont"/>
    <w:link w:val="Heading3"/>
    <w:rsid w:val="00591C54"/>
    <w:rPr>
      <w:rFonts w:ascii="Times New Roman" w:hAnsi="Times New Roman"/>
      <w:b/>
      <w:sz w:val="24"/>
      <w:lang w:val="es-ES_tradnl" w:eastAsia="en-US"/>
    </w:rPr>
  </w:style>
  <w:style w:type="character" w:customStyle="1" w:styleId="Heading4Char">
    <w:name w:val="Heading 4 Char"/>
    <w:basedOn w:val="DefaultParagraphFont"/>
    <w:link w:val="Heading4"/>
    <w:rsid w:val="00591C54"/>
    <w:rPr>
      <w:rFonts w:ascii="Times New Roman" w:hAnsi="Times New Roman"/>
      <w:b/>
      <w:sz w:val="24"/>
      <w:lang w:val="es-ES_tradnl" w:eastAsia="en-US"/>
    </w:rPr>
  </w:style>
  <w:style w:type="character" w:customStyle="1" w:styleId="Heading5Char">
    <w:name w:val="Heading 5 Char"/>
    <w:basedOn w:val="DefaultParagraphFont"/>
    <w:link w:val="Heading5"/>
    <w:rsid w:val="00591C54"/>
    <w:rPr>
      <w:rFonts w:ascii="Times New Roman" w:hAnsi="Times New Roman"/>
      <w:b/>
      <w:sz w:val="24"/>
      <w:lang w:val="es-ES_tradnl" w:eastAsia="en-US"/>
    </w:rPr>
  </w:style>
  <w:style w:type="character" w:customStyle="1" w:styleId="Heading6Char">
    <w:name w:val="Heading 6 Char"/>
    <w:basedOn w:val="DefaultParagraphFont"/>
    <w:link w:val="Heading6"/>
    <w:rsid w:val="00591C54"/>
    <w:rPr>
      <w:rFonts w:ascii="Times New Roman" w:hAnsi="Times New Roman"/>
      <w:b/>
      <w:sz w:val="24"/>
      <w:lang w:val="es-ES_tradnl" w:eastAsia="en-US"/>
    </w:rPr>
  </w:style>
  <w:style w:type="character" w:customStyle="1" w:styleId="Heading7Char">
    <w:name w:val="Heading 7 Char"/>
    <w:basedOn w:val="DefaultParagraphFont"/>
    <w:link w:val="Heading7"/>
    <w:rsid w:val="00591C54"/>
    <w:rPr>
      <w:rFonts w:ascii="Times New Roman" w:hAnsi="Times New Roman"/>
      <w:b/>
      <w:sz w:val="24"/>
      <w:lang w:val="es-ES_tradnl" w:eastAsia="en-US"/>
    </w:rPr>
  </w:style>
  <w:style w:type="character" w:customStyle="1" w:styleId="Heading8Char">
    <w:name w:val="Heading 8 Char"/>
    <w:basedOn w:val="DefaultParagraphFont"/>
    <w:link w:val="Heading8"/>
    <w:rsid w:val="00591C54"/>
    <w:rPr>
      <w:rFonts w:ascii="Times New Roman" w:hAnsi="Times New Roman"/>
      <w:b/>
      <w:sz w:val="24"/>
      <w:lang w:val="es-ES_tradnl" w:eastAsia="en-US"/>
    </w:rPr>
  </w:style>
  <w:style w:type="character" w:customStyle="1" w:styleId="Heading9Char">
    <w:name w:val="Heading 9 Char"/>
    <w:basedOn w:val="DefaultParagraphFont"/>
    <w:link w:val="Heading9"/>
    <w:rsid w:val="00591C54"/>
    <w:rPr>
      <w:rFonts w:ascii="Times New Roman" w:hAnsi="Times New Roman"/>
      <w:b/>
      <w:sz w:val="24"/>
      <w:lang w:val="es-ES_tradnl" w:eastAsia="en-US"/>
    </w:rPr>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591C54"/>
    <w:rPr>
      <w:rFonts w:ascii="Times New Roman" w:hAnsi="Times New Roman"/>
      <w:sz w:val="22"/>
      <w:lang w:val="es-ES_tradnl" w:eastAsia="en-US"/>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4D6C09"/>
    <w:pPr>
      <w:keepNext/>
      <w:keepLines/>
      <w:spacing w:before="160"/>
      <w:ind w:left="794"/>
    </w:pPr>
    <w:rPr>
      <w:i/>
    </w:rPr>
  </w:style>
  <w:style w:type="character" w:customStyle="1" w:styleId="CallChar">
    <w:name w:val="Call Char"/>
    <w:basedOn w:val="DefaultParagraphFont"/>
    <w:link w:val="Call"/>
    <w:uiPriority w:val="99"/>
    <w:locked/>
    <w:rsid w:val="00591C54"/>
    <w:rPr>
      <w:rFonts w:ascii="Times New Roman" w:hAnsi="Times New Roman"/>
      <w:i/>
      <w:sz w:val="24"/>
      <w:lang w:val="es-ES_tradnl" w:eastAsia="en-US"/>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rsid w:val="004D6C09"/>
    <w:pPr>
      <w:spacing w:before="80"/>
      <w:ind w:left="794" w:hanging="794"/>
    </w:pPr>
  </w:style>
  <w:style w:type="character" w:customStyle="1" w:styleId="enumlev1Char">
    <w:name w:val="enumlev1 Char"/>
    <w:basedOn w:val="DefaultParagraphFont"/>
    <w:link w:val="enumlev1"/>
    <w:uiPriority w:val="99"/>
    <w:rsid w:val="00591C54"/>
    <w:rPr>
      <w:rFonts w:ascii="Times New Roman" w:hAnsi="Times New Roman"/>
      <w:sz w:val="24"/>
      <w:lang w:val="es-ES_tradnl" w:eastAsia="en-US"/>
    </w:r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uiPriority w:val="99"/>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character" w:customStyle="1" w:styleId="RestitleChar">
    <w:name w:val="Res_title Char"/>
    <w:basedOn w:val="DefaultParagraphFont"/>
    <w:link w:val="Restitle"/>
    <w:uiPriority w:val="99"/>
    <w:locked/>
    <w:rsid w:val="00591C54"/>
    <w:rPr>
      <w:rFonts w:ascii="Times New Roman" w:hAnsi="Times New Roman"/>
      <w:b/>
      <w:sz w:val="28"/>
      <w:lang w:val="es-ES_tradnl" w:eastAsia="en-US"/>
    </w:rPr>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91C54"/>
    <w:rPr>
      <w:rFonts w:ascii="Times New Roman" w:hAnsi="Times New Roman"/>
      <w:caps/>
      <w:noProof/>
      <w:sz w:val="16"/>
      <w:lang w:val="es-ES_tradnl" w:eastAsia="en-US"/>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character" w:customStyle="1" w:styleId="FootnoteTextChar">
    <w:name w:val="Footnote Text Char"/>
    <w:basedOn w:val="DefaultParagraphFont"/>
    <w:link w:val="FootnoteText"/>
    <w:rsid w:val="00591C54"/>
    <w:rPr>
      <w:rFonts w:ascii="Times New Roman" w:hAnsi="Times New Roman"/>
      <w:sz w:val="24"/>
      <w:lang w:val="es-ES_tradnl" w:eastAsia="en-US"/>
    </w:rPr>
  </w:style>
  <w:style w:type="paragraph" w:styleId="Header">
    <w:name w:val="header"/>
    <w:aliases w:val="encabezado"/>
    <w:basedOn w:val="Normal"/>
    <w:link w:val="HeaderChar"/>
    <w:rsid w:val="004D6C09"/>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591C54"/>
    <w:rPr>
      <w:rFonts w:ascii="Times New Roman" w:hAnsi="Times New Roman"/>
      <w:sz w:val="18"/>
      <w:lang w:val="es-ES_tradnl" w:eastAsia="en-US"/>
    </w:rPr>
  </w:style>
  <w:style w:type="paragraph" w:customStyle="1" w:styleId="Headingb">
    <w:name w:val="Heading_b"/>
    <w:basedOn w:val="Normal"/>
    <w:next w:val="Normal"/>
    <w:link w:val="HeadingbChar"/>
    <w:qFormat/>
    <w:rsid w:val="004D6C09"/>
    <w:pPr>
      <w:keepNext/>
      <w:spacing w:before="160"/>
    </w:pPr>
    <w:rPr>
      <w:b/>
    </w:rPr>
  </w:style>
  <w:style w:type="character" w:customStyle="1" w:styleId="HeadingbChar">
    <w:name w:val="Heading_b Char"/>
    <w:link w:val="Headingb"/>
    <w:locked/>
    <w:rsid w:val="00591C54"/>
    <w:rPr>
      <w:rFonts w:ascii="Times New Roman" w:hAnsi="Times New Roman"/>
      <w:b/>
      <w:sz w:val="24"/>
      <w:lang w:val="es-ES_tradnl" w:eastAsia="en-US"/>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table" w:styleId="TableGrid">
    <w:name w:val="Table Grid"/>
    <w:basedOn w:val="TableNormal"/>
    <w:uiPriority w:val="59"/>
    <w:rsid w:val="00591C5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1C5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styleId="Hyperlink">
    <w:name w:val="Hyperlink"/>
    <w:basedOn w:val="DefaultParagraphFont"/>
    <w:rsid w:val="00591C54"/>
    <w:rPr>
      <w:color w:val="0000FF"/>
      <w:u w:val="single"/>
    </w:rPr>
  </w:style>
  <w:style w:type="paragraph" w:customStyle="1" w:styleId="TableTitle">
    <w:name w:val="Table_Title"/>
    <w:basedOn w:val="Normal"/>
    <w:next w:val="Tabletext"/>
    <w:rsid w:val="00591C54"/>
    <w:pPr>
      <w:keepNext/>
      <w:tabs>
        <w:tab w:val="clear" w:pos="794"/>
        <w:tab w:val="clear" w:pos="1191"/>
        <w:tab w:val="clear" w:pos="1588"/>
        <w:tab w:val="clear" w:pos="1985"/>
      </w:tabs>
      <w:spacing w:before="0" w:after="120"/>
      <w:jc w:val="center"/>
    </w:pPr>
    <w:rPr>
      <w:rFonts w:ascii="Calibri" w:hAnsi="Calibri"/>
      <w:b/>
      <w:sz w:val="20"/>
      <w:lang w:val="en-GB"/>
    </w:rPr>
  </w:style>
  <w:style w:type="paragraph" w:styleId="BalloonText">
    <w:name w:val="Balloon Text"/>
    <w:basedOn w:val="Normal"/>
    <w:link w:val="BalloonTextChar"/>
    <w:rsid w:val="00591C54"/>
    <w:pPr>
      <w:spacing w:before="0"/>
    </w:pPr>
    <w:rPr>
      <w:rFonts w:ascii="Tahoma" w:hAnsi="Tahoma" w:cs="Tahoma"/>
      <w:sz w:val="16"/>
      <w:szCs w:val="16"/>
    </w:rPr>
  </w:style>
  <w:style w:type="character" w:customStyle="1" w:styleId="BalloonTextChar">
    <w:name w:val="Balloon Text Char"/>
    <w:basedOn w:val="DefaultParagraphFont"/>
    <w:link w:val="BalloonText"/>
    <w:rsid w:val="00591C54"/>
    <w:rPr>
      <w:rFonts w:ascii="Tahoma" w:hAnsi="Tahoma" w:cs="Tahoma"/>
      <w:sz w:val="16"/>
      <w:szCs w:val="16"/>
      <w:lang w:val="es-ES_tradnl" w:eastAsia="en-US"/>
    </w:rPr>
  </w:style>
  <w:style w:type="paragraph" w:styleId="BodyText">
    <w:name w:val="Body Text"/>
    <w:basedOn w:val="Normal"/>
    <w:link w:val="BodyTextChar"/>
    <w:rsid w:val="00591C54"/>
    <w:rPr>
      <w:b/>
      <w:bCs/>
      <w:i/>
      <w:iCs/>
      <w:szCs w:val="24"/>
      <w:lang w:val="en-GB"/>
    </w:rPr>
  </w:style>
  <w:style w:type="character" w:customStyle="1" w:styleId="BodyTextChar">
    <w:name w:val="Body Text Char"/>
    <w:basedOn w:val="DefaultParagraphFont"/>
    <w:link w:val="BodyText"/>
    <w:rsid w:val="00591C54"/>
    <w:rPr>
      <w:rFonts w:ascii="Times New Roman" w:hAnsi="Times New Roman"/>
      <w:b/>
      <w:bCs/>
      <w:i/>
      <w:iCs/>
      <w:sz w:val="24"/>
      <w:szCs w:val="24"/>
      <w:lang w:val="en-GB" w:eastAsia="en-US"/>
    </w:rPr>
  </w:style>
  <w:style w:type="paragraph" w:customStyle="1" w:styleId="TableNo">
    <w:name w:val="Table_No"/>
    <w:basedOn w:val="Normal"/>
    <w:next w:val="Normal"/>
    <w:rsid w:val="00591C54"/>
    <w:pPr>
      <w:keepNext/>
      <w:tabs>
        <w:tab w:val="clear" w:pos="794"/>
        <w:tab w:val="clear" w:pos="1191"/>
        <w:tab w:val="clear" w:pos="1588"/>
        <w:tab w:val="clear" w:pos="1985"/>
        <w:tab w:val="left" w:pos="1134"/>
        <w:tab w:val="left" w:pos="1871"/>
        <w:tab w:val="left" w:pos="2268"/>
      </w:tabs>
      <w:spacing w:before="560" w:after="120"/>
      <w:jc w:val="center"/>
    </w:pPr>
    <w:rPr>
      <w:caps/>
      <w:sz w:val="20"/>
      <w:lang w:val="en-GB"/>
    </w:rPr>
  </w:style>
  <w:style w:type="paragraph" w:customStyle="1" w:styleId="Car">
    <w:name w:val="Car"/>
    <w:basedOn w:val="Normal"/>
    <w:rsid w:val="00591C5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customStyle="1" w:styleId="TableGrid1">
    <w:name w:val="Table Grid1"/>
    <w:basedOn w:val="TableNormal"/>
    <w:next w:val="TableGrid"/>
    <w:rsid w:val="00591C5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91C54"/>
    <w:rPr>
      <w:color w:val="606420"/>
      <w:u w:val="single"/>
    </w:rPr>
  </w:style>
  <w:style w:type="character" w:customStyle="1" w:styleId="itur-title1">
    <w:name w:val="itur-title1"/>
    <w:basedOn w:val="DefaultParagraphFont"/>
    <w:rsid w:val="00591C54"/>
    <w:rPr>
      <w:b/>
      <w:bCs/>
      <w:color w:val="5B84D7"/>
      <w:sz w:val="26"/>
      <w:szCs w:val="26"/>
    </w:rPr>
  </w:style>
  <w:style w:type="character" w:styleId="Strong">
    <w:name w:val="Strong"/>
    <w:basedOn w:val="DefaultParagraphFont"/>
    <w:uiPriority w:val="22"/>
    <w:qFormat/>
    <w:rsid w:val="00591C54"/>
    <w:rPr>
      <w:b/>
      <w:bCs/>
    </w:rPr>
  </w:style>
  <w:style w:type="paragraph" w:customStyle="1" w:styleId="Char">
    <w:name w:val="Char"/>
    <w:basedOn w:val="Normal"/>
    <w:rsid w:val="00591C54"/>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NormalWeb">
    <w:name w:val="Normal (Web)"/>
    <w:basedOn w:val="Normal"/>
    <w:uiPriority w:val="99"/>
    <w:rsid w:val="00591C5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591C54"/>
    <w:rPr>
      <w:b/>
      <w:bCs/>
      <w:color w:val="3366CC"/>
      <w:sz w:val="36"/>
      <w:szCs w:val="36"/>
    </w:rPr>
  </w:style>
  <w:style w:type="character" w:customStyle="1" w:styleId="msoins0">
    <w:name w:val="msoins"/>
    <w:basedOn w:val="DefaultParagraphFont"/>
    <w:rsid w:val="00591C54"/>
  </w:style>
  <w:style w:type="character" w:customStyle="1" w:styleId="msoins00">
    <w:name w:val="msoins0"/>
    <w:basedOn w:val="DefaultParagraphFont"/>
    <w:rsid w:val="00591C54"/>
  </w:style>
  <w:style w:type="paragraph" w:customStyle="1" w:styleId="CharCharCharCharCharChar">
    <w:name w:val="Char Char Char Char Char Char"/>
    <w:basedOn w:val="Normal"/>
    <w:rsid w:val="00591C54"/>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591C54"/>
    <w:rPr>
      <w:rFonts w:ascii="Helvetica" w:eastAsia="ヒラギノ角ゴ Pro W3" w:hAnsi="Helvetica"/>
      <w:color w:val="000000"/>
      <w:sz w:val="24"/>
      <w:lang w:eastAsia="en-US"/>
    </w:rPr>
  </w:style>
  <w:style w:type="paragraph" w:customStyle="1" w:styleId="DecimalAligned">
    <w:name w:val="Decimal Aligned"/>
    <w:basedOn w:val="Normal"/>
    <w:uiPriority w:val="40"/>
    <w:rsid w:val="00591C54"/>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591C54"/>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591C54"/>
    <w:rPr>
      <w:rFonts w:ascii="Cambria" w:eastAsia="SimSun" w:hAnsi="Cambria"/>
      <w:i/>
      <w:iCs/>
      <w:color w:val="4F81BD"/>
      <w:spacing w:val="15"/>
      <w:sz w:val="24"/>
      <w:szCs w:val="24"/>
    </w:rPr>
  </w:style>
  <w:style w:type="paragraph" w:styleId="BodyText2">
    <w:name w:val="Body Text 2"/>
    <w:basedOn w:val="Normal"/>
    <w:link w:val="BodyText2Char"/>
    <w:unhideWhenUsed/>
    <w:rsid w:val="00591C54"/>
    <w:pPr>
      <w:spacing w:after="120" w:line="480" w:lineRule="auto"/>
      <w:textAlignment w:val="auto"/>
    </w:pPr>
    <w:rPr>
      <w:lang w:val="en-GB"/>
    </w:rPr>
  </w:style>
  <w:style w:type="character" w:customStyle="1" w:styleId="BodyText2Char">
    <w:name w:val="Body Text 2 Char"/>
    <w:basedOn w:val="DefaultParagraphFont"/>
    <w:link w:val="BodyText2"/>
    <w:rsid w:val="00591C54"/>
    <w:rPr>
      <w:rFonts w:ascii="Times New Roman" w:hAnsi="Times New Roman"/>
      <w:sz w:val="24"/>
      <w:lang w:val="en-GB" w:eastAsia="en-US"/>
    </w:rPr>
  </w:style>
  <w:style w:type="paragraph" w:styleId="BodyTextIndent">
    <w:name w:val="Body Text Indent"/>
    <w:basedOn w:val="Normal"/>
    <w:link w:val="BodyTextIndentChar"/>
    <w:rsid w:val="00591C54"/>
    <w:pPr>
      <w:spacing w:after="120"/>
      <w:ind w:left="360"/>
    </w:pPr>
    <w:rPr>
      <w:lang w:val="en-GB"/>
    </w:rPr>
  </w:style>
  <w:style w:type="character" w:customStyle="1" w:styleId="BodyTextIndentChar">
    <w:name w:val="Body Text Indent Char"/>
    <w:basedOn w:val="DefaultParagraphFont"/>
    <w:link w:val="BodyTextIndent"/>
    <w:rsid w:val="00591C54"/>
    <w:rPr>
      <w:rFonts w:ascii="Times New Roman" w:hAnsi="Times New Roman"/>
      <w:sz w:val="24"/>
      <w:lang w:val="en-GB" w:eastAsia="en-US"/>
    </w:rPr>
  </w:style>
  <w:style w:type="paragraph" w:customStyle="1" w:styleId="Tabletitle0">
    <w:name w:val="Table_title"/>
    <w:basedOn w:val="Normal"/>
    <w:next w:val="Tabletext"/>
    <w:rsid w:val="00591C54"/>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paragraph" w:customStyle="1" w:styleId="AnnexNo">
    <w:name w:val="Annex_No"/>
    <w:basedOn w:val="Normal"/>
    <w:rsid w:val="00B75D33"/>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aliases w:val="h3,H3,H31"/>
    <w:basedOn w:val="Heading1"/>
    <w:next w:val="Normal"/>
    <w:link w:val="Heading3Char1"/>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C54"/>
    <w:rPr>
      <w:rFonts w:ascii="Times New Roman" w:hAnsi="Times New Roman"/>
      <w:b/>
      <w:sz w:val="24"/>
      <w:lang w:val="es-ES_tradnl" w:eastAsia="en-US"/>
    </w:rPr>
  </w:style>
  <w:style w:type="character" w:customStyle="1" w:styleId="Heading2Char">
    <w:name w:val="Heading 2 Char"/>
    <w:basedOn w:val="DefaultParagraphFont"/>
    <w:link w:val="Heading2"/>
    <w:rsid w:val="00591C54"/>
    <w:rPr>
      <w:rFonts w:ascii="Times New Roman" w:hAnsi="Times New Roman"/>
      <w:b/>
      <w:sz w:val="24"/>
      <w:lang w:val="es-ES_tradnl" w:eastAsia="en-US"/>
    </w:rPr>
  </w:style>
  <w:style w:type="character" w:customStyle="1" w:styleId="Heading3Char1">
    <w:name w:val="Heading 3 Char1"/>
    <w:aliases w:val="h3 Char,H3 Char,H31 Char"/>
    <w:basedOn w:val="DefaultParagraphFont"/>
    <w:link w:val="Heading3"/>
    <w:rsid w:val="00591C54"/>
    <w:rPr>
      <w:rFonts w:ascii="Times New Roman" w:hAnsi="Times New Roman"/>
      <w:b/>
      <w:sz w:val="24"/>
      <w:lang w:val="es-ES_tradnl" w:eastAsia="en-US"/>
    </w:rPr>
  </w:style>
  <w:style w:type="character" w:customStyle="1" w:styleId="Heading4Char">
    <w:name w:val="Heading 4 Char"/>
    <w:basedOn w:val="DefaultParagraphFont"/>
    <w:link w:val="Heading4"/>
    <w:rsid w:val="00591C54"/>
    <w:rPr>
      <w:rFonts w:ascii="Times New Roman" w:hAnsi="Times New Roman"/>
      <w:b/>
      <w:sz w:val="24"/>
      <w:lang w:val="es-ES_tradnl" w:eastAsia="en-US"/>
    </w:rPr>
  </w:style>
  <w:style w:type="character" w:customStyle="1" w:styleId="Heading5Char">
    <w:name w:val="Heading 5 Char"/>
    <w:basedOn w:val="DefaultParagraphFont"/>
    <w:link w:val="Heading5"/>
    <w:rsid w:val="00591C54"/>
    <w:rPr>
      <w:rFonts w:ascii="Times New Roman" w:hAnsi="Times New Roman"/>
      <w:b/>
      <w:sz w:val="24"/>
      <w:lang w:val="es-ES_tradnl" w:eastAsia="en-US"/>
    </w:rPr>
  </w:style>
  <w:style w:type="character" w:customStyle="1" w:styleId="Heading6Char">
    <w:name w:val="Heading 6 Char"/>
    <w:basedOn w:val="DefaultParagraphFont"/>
    <w:link w:val="Heading6"/>
    <w:rsid w:val="00591C54"/>
    <w:rPr>
      <w:rFonts w:ascii="Times New Roman" w:hAnsi="Times New Roman"/>
      <w:b/>
      <w:sz w:val="24"/>
      <w:lang w:val="es-ES_tradnl" w:eastAsia="en-US"/>
    </w:rPr>
  </w:style>
  <w:style w:type="character" w:customStyle="1" w:styleId="Heading7Char">
    <w:name w:val="Heading 7 Char"/>
    <w:basedOn w:val="DefaultParagraphFont"/>
    <w:link w:val="Heading7"/>
    <w:rsid w:val="00591C54"/>
    <w:rPr>
      <w:rFonts w:ascii="Times New Roman" w:hAnsi="Times New Roman"/>
      <w:b/>
      <w:sz w:val="24"/>
      <w:lang w:val="es-ES_tradnl" w:eastAsia="en-US"/>
    </w:rPr>
  </w:style>
  <w:style w:type="character" w:customStyle="1" w:styleId="Heading8Char">
    <w:name w:val="Heading 8 Char"/>
    <w:basedOn w:val="DefaultParagraphFont"/>
    <w:link w:val="Heading8"/>
    <w:rsid w:val="00591C54"/>
    <w:rPr>
      <w:rFonts w:ascii="Times New Roman" w:hAnsi="Times New Roman"/>
      <w:b/>
      <w:sz w:val="24"/>
      <w:lang w:val="es-ES_tradnl" w:eastAsia="en-US"/>
    </w:rPr>
  </w:style>
  <w:style w:type="character" w:customStyle="1" w:styleId="Heading9Char">
    <w:name w:val="Heading 9 Char"/>
    <w:basedOn w:val="DefaultParagraphFont"/>
    <w:link w:val="Heading9"/>
    <w:rsid w:val="00591C54"/>
    <w:rPr>
      <w:rFonts w:ascii="Times New Roman" w:hAnsi="Times New Roman"/>
      <w:b/>
      <w:sz w:val="24"/>
      <w:lang w:val="es-ES_tradnl" w:eastAsia="en-US"/>
    </w:rPr>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591C54"/>
    <w:rPr>
      <w:rFonts w:ascii="Times New Roman" w:hAnsi="Times New Roman"/>
      <w:sz w:val="22"/>
      <w:lang w:val="es-ES_tradnl" w:eastAsia="en-US"/>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rsid w:val="004D6C09"/>
    <w:pPr>
      <w:keepNext/>
      <w:keepLines/>
      <w:spacing w:before="160"/>
      <w:ind w:left="794"/>
    </w:pPr>
    <w:rPr>
      <w:i/>
    </w:rPr>
  </w:style>
  <w:style w:type="character" w:customStyle="1" w:styleId="CallChar">
    <w:name w:val="Call Char"/>
    <w:basedOn w:val="DefaultParagraphFont"/>
    <w:link w:val="Call"/>
    <w:uiPriority w:val="99"/>
    <w:locked/>
    <w:rsid w:val="00591C54"/>
    <w:rPr>
      <w:rFonts w:ascii="Times New Roman" w:hAnsi="Times New Roman"/>
      <w:i/>
      <w:sz w:val="24"/>
      <w:lang w:val="es-ES_tradnl" w:eastAsia="en-US"/>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rsid w:val="004D6C09"/>
    <w:pPr>
      <w:spacing w:before="80"/>
      <w:ind w:left="794" w:hanging="794"/>
    </w:pPr>
  </w:style>
  <w:style w:type="character" w:customStyle="1" w:styleId="enumlev1Char">
    <w:name w:val="enumlev1 Char"/>
    <w:basedOn w:val="DefaultParagraphFont"/>
    <w:link w:val="enumlev1"/>
    <w:uiPriority w:val="99"/>
    <w:rsid w:val="00591C54"/>
    <w:rPr>
      <w:rFonts w:ascii="Times New Roman" w:hAnsi="Times New Roman"/>
      <w:sz w:val="24"/>
      <w:lang w:val="es-ES_tradnl" w:eastAsia="en-US"/>
    </w:r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uiPriority w:val="99"/>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character" w:customStyle="1" w:styleId="RestitleChar">
    <w:name w:val="Res_title Char"/>
    <w:basedOn w:val="DefaultParagraphFont"/>
    <w:link w:val="Restitle"/>
    <w:uiPriority w:val="99"/>
    <w:locked/>
    <w:rsid w:val="00591C54"/>
    <w:rPr>
      <w:rFonts w:ascii="Times New Roman" w:hAnsi="Times New Roman"/>
      <w:b/>
      <w:sz w:val="28"/>
      <w:lang w:val="es-ES_tradnl" w:eastAsia="en-US"/>
    </w:rPr>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91C54"/>
    <w:rPr>
      <w:rFonts w:ascii="Times New Roman" w:hAnsi="Times New Roman"/>
      <w:caps/>
      <w:noProof/>
      <w:sz w:val="16"/>
      <w:lang w:val="es-ES_tradnl" w:eastAsia="en-US"/>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character" w:customStyle="1" w:styleId="FootnoteTextChar">
    <w:name w:val="Footnote Text Char"/>
    <w:basedOn w:val="DefaultParagraphFont"/>
    <w:link w:val="FootnoteText"/>
    <w:rsid w:val="00591C54"/>
    <w:rPr>
      <w:rFonts w:ascii="Times New Roman" w:hAnsi="Times New Roman"/>
      <w:sz w:val="24"/>
      <w:lang w:val="es-ES_tradnl" w:eastAsia="en-US"/>
    </w:rPr>
  </w:style>
  <w:style w:type="paragraph" w:styleId="Header">
    <w:name w:val="header"/>
    <w:aliases w:val="encabezado"/>
    <w:basedOn w:val="Normal"/>
    <w:link w:val="HeaderChar"/>
    <w:rsid w:val="004D6C09"/>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591C54"/>
    <w:rPr>
      <w:rFonts w:ascii="Times New Roman" w:hAnsi="Times New Roman"/>
      <w:sz w:val="18"/>
      <w:lang w:val="es-ES_tradnl" w:eastAsia="en-US"/>
    </w:rPr>
  </w:style>
  <w:style w:type="paragraph" w:customStyle="1" w:styleId="Headingb">
    <w:name w:val="Heading_b"/>
    <w:basedOn w:val="Normal"/>
    <w:next w:val="Normal"/>
    <w:link w:val="HeadingbChar"/>
    <w:qFormat/>
    <w:rsid w:val="004D6C09"/>
    <w:pPr>
      <w:keepNext/>
      <w:spacing w:before="160"/>
    </w:pPr>
    <w:rPr>
      <w:b/>
    </w:rPr>
  </w:style>
  <w:style w:type="character" w:customStyle="1" w:styleId="HeadingbChar">
    <w:name w:val="Heading_b Char"/>
    <w:link w:val="Headingb"/>
    <w:locked/>
    <w:rsid w:val="00591C54"/>
    <w:rPr>
      <w:rFonts w:ascii="Times New Roman" w:hAnsi="Times New Roman"/>
      <w:b/>
      <w:sz w:val="24"/>
      <w:lang w:val="es-ES_tradnl" w:eastAsia="en-US"/>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uiPriority w:val="99"/>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table" w:styleId="TableGrid">
    <w:name w:val="Table Grid"/>
    <w:basedOn w:val="TableNormal"/>
    <w:uiPriority w:val="59"/>
    <w:rsid w:val="00591C5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1C5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styleId="Hyperlink">
    <w:name w:val="Hyperlink"/>
    <w:basedOn w:val="DefaultParagraphFont"/>
    <w:rsid w:val="00591C54"/>
    <w:rPr>
      <w:color w:val="0000FF"/>
      <w:u w:val="single"/>
    </w:rPr>
  </w:style>
  <w:style w:type="paragraph" w:customStyle="1" w:styleId="TableTitle">
    <w:name w:val="Table_Title"/>
    <w:basedOn w:val="Normal"/>
    <w:next w:val="Tabletext"/>
    <w:rsid w:val="00591C54"/>
    <w:pPr>
      <w:keepNext/>
      <w:tabs>
        <w:tab w:val="clear" w:pos="794"/>
        <w:tab w:val="clear" w:pos="1191"/>
        <w:tab w:val="clear" w:pos="1588"/>
        <w:tab w:val="clear" w:pos="1985"/>
      </w:tabs>
      <w:spacing w:before="0" w:after="120"/>
      <w:jc w:val="center"/>
    </w:pPr>
    <w:rPr>
      <w:rFonts w:ascii="Calibri" w:hAnsi="Calibri"/>
      <w:b/>
      <w:sz w:val="20"/>
      <w:lang w:val="en-GB"/>
    </w:rPr>
  </w:style>
  <w:style w:type="paragraph" w:styleId="BalloonText">
    <w:name w:val="Balloon Text"/>
    <w:basedOn w:val="Normal"/>
    <w:link w:val="BalloonTextChar"/>
    <w:rsid w:val="00591C54"/>
    <w:pPr>
      <w:spacing w:before="0"/>
    </w:pPr>
    <w:rPr>
      <w:rFonts w:ascii="Tahoma" w:hAnsi="Tahoma" w:cs="Tahoma"/>
      <w:sz w:val="16"/>
      <w:szCs w:val="16"/>
    </w:rPr>
  </w:style>
  <w:style w:type="character" w:customStyle="1" w:styleId="BalloonTextChar">
    <w:name w:val="Balloon Text Char"/>
    <w:basedOn w:val="DefaultParagraphFont"/>
    <w:link w:val="BalloonText"/>
    <w:rsid w:val="00591C54"/>
    <w:rPr>
      <w:rFonts w:ascii="Tahoma" w:hAnsi="Tahoma" w:cs="Tahoma"/>
      <w:sz w:val="16"/>
      <w:szCs w:val="16"/>
      <w:lang w:val="es-ES_tradnl" w:eastAsia="en-US"/>
    </w:rPr>
  </w:style>
  <w:style w:type="paragraph" w:styleId="BodyText">
    <w:name w:val="Body Text"/>
    <w:basedOn w:val="Normal"/>
    <w:link w:val="BodyTextChar"/>
    <w:rsid w:val="00591C54"/>
    <w:rPr>
      <w:b/>
      <w:bCs/>
      <w:i/>
      <w:iCs/>
      <w:szCs w:val="24"/>
      <w:lang w:val="en-GB"/>
    </w:rPr>
  </w:style>
  <w:style w:type="character" w:customStyle="1" w:styleId="BodyTextChar">
    <w:name w:val="Body Text Char"/>
    <w:basedOn w:val="DefaultParagraphFont"/>
    <w:link w:val="BodyText"/>
    <w:rsid w:val="00591C54"/>
    <w:rPr>
      <w:rFonts w:ascii="Times New Roman" w:hAnsi="Times New Roman"/>
      <w:b/>
      <w:bCs/>
      <w:i/>
      <w:iCs/>
      <w:sz w:val="24"/>
      <w:szCs w:val="24"/>
      <w:lang w:val="en-GB" w:eastAsia="en-US"/>
    </w:rPr>
  </w:style>
  <w:style w:type="paragraph" w:customStyle="1" w:styleId="TableNo">
    <w:name w:val="Table_No"/>
    <w:basedOn w:val="Normal"/>
    <w:next w:val="Normal"/>
    <w:rsid w:val="00591C54"/>
    <w:pPr>
      <w:keepNext/>
      <w:tabs>
        <w:tab w:val="clear" w:pos="794"/>
        <w:tab w:val="clear" w:pos="1191"/>
        <w:tab w:val="clear" w:pos="1588"/>
        <w:tab w:val="clear" w:pos="1985"/>
        <w:tab w:val="left" w:pos="1134"/>
        <w:tab w:val="left" w:pos="1871"/>
        <w:tab w:val="left" w:pos="2268"/>
      </w:tabs>
      <w:spacing w:before="560" w:after="120"/>
      <w:jc w:val="center"/>
    </w:pPr>
    <w:rPr>
      <w:caps/>
      <w:sz w:val="20"/>
      <w:lang w:val="en-GB"/>
    </w:rPr>
  </w:style>
  <w:style w:type="paragraph" w:customStyle="1" w:styleId="Car">
    <w:name w:val="Car"/>
    <w:basedOn w:val="Normal"/>
    <w:rsid w:val="00591C5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customStyle="1" w:styleId="TableGrid1">
    <w:name w:val="Table Grid1"/>
    <w:basedOn w:val="TableNormal"/>
    <w:next w:val="TableGrid"/>
    <w:rsid w:val="00591C5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91C54"/>
    <w:rPr>
      <w:color w:val="606420"/>
      <w:u w:val="single"/>
    </w:rPr>
  </w:style>
  <w:style w:type="character" w:customStyle="1" w:styleId="itur-title1">
    <w:name w:val="itur-title1"/>
    <w:basedOn w:val="DefaultParagraphFont"/>
    <w:rsid w:val="00591C54"/>
    <w:rPr>
      <w:b/>
      <w:bCs/>
      <w:color w:val="5B84D7"/>
      <w:sz w:val="26"/>
      <w:szCs w:val="26"/>
    </w:rPr>
  </w:style>
  <w:style w:type="character" w:styleId="Strong">
    <w:name w:val="Strong"/>
    <w:basedOn w:val="DefaultParagraphFont"/>
    <w:uiPriority w:val="22"/>
    <w:qFormat/>
    <w:rsid w:val="00591C54"/>
    <w:rPr>
      <w:b/>
      <w:bCs/>
    </w:rPr>
  </w:style>
  <w:style w:type="paragraph" w:customStyle="1" w:styleId="Char">
    <w:name w:val="Char"/>
    <w:basedOn w:val="Normal"/>
    <w:rsid w:val="00591C54"/>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NormalWeb">
    <w:name w:val="Normal (Web)"/>
    <w:basedOn w:val="Normal"/>
    <w:uiPriority w:val="99"/>
    <w:rsid w:val="00591C5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591C54"/>
    <w:rPr>
      <w:b/>
      <w:bCs/>
      <w:color w:val="3366CC"/>
      <w:sz w:val="36"/>
      <w:szCs w:val="36"/>
    </w:rPr>
  </w:style>
  <w:style w:type="character" w:customStyle="1" w:styleId="msoins0">
    <w:name w:val="msoins"/>
    <w:basedOn w:val="DefaultParagraphFont"/>
    <w:rsid w:val="00591C54"/>
  </w:style>
  <w:style w:type="character" w:customStyle="1" w:styleId="msoins00">
    <w:name w:val="msoins0"/>
    <w:basedOn w:val="DefaultParagraphFont"/>
    <w:rsid w:val="00591C54"/>
  </w:style>
  <w:style w:type="paragraph" w:customStyle="1" w:styleId="CharCharCharCharCharChar">
    <w:name w:val="Char Char Char Char Char Char"/>
    <w:basedOn w:val="Normal"/>
    <w:rsid w:val="00591C54"/>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591C54"/>
    <w:rPr>
      <w:rFonts w:ascii="Helvetica" w:eastAsia="ヒラギノ角ゴ Pro W3" w:hAnsi="Helvetica"/>
      <w:color w:val="000000"/>
      <w:sz w:val="24"/>
      <w:lang w:eastAsia="en-US"/>
    </w:rPr>
  </w:style>
  <w:style w:type="paragraph" w:customStyle="1" w:styleId="DecimalAligned">
    <w:name w:val="Decimal Aligned"/>
    <w:basedOn w:val="Normal"/>
    <w:uiPriority w:val="40"/>
    <w:rsid w:val="00591C54"/>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591C54"/>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591C54"/>
    <w:rPr>
      <w:rFonts w:ascii="Cambria" w:eastAsia="SimSun" w:hAnsi="Cambria"/>
      <w:i/>
      <w:iCs/>
      <w:color w:val="4F81BD"/>
      <w:spacing w:val="15"/>
      <w:sz w:val="24"/>
      <w:szCs w:val="24"/>
    </w:rPr>
  </w:style>
  <w:style w:type="paragraph" w:styleId="BodyText2">
    <w:name w:val="Body Text 2"/>
    <w:basedOn w:val="Normal"/>
    <w:link w:val="BodyText2Char"/>
    <w:unhideWhenUsed/>
    <w:rsid w:val="00591C54"/>
    <w:pPr>
      <w:spacing w:after="120" w:line="480" w:lineRule="auto"/>
      <w:textAlignment w:val="auto"/>
    </w:pPr>
    <w:rPr>
      <w:lang w:val="en-GB"/>
    </w:rPr>
  </w:style>
  <w:style w:type="character" w:customStyle="1" w:styleId="BodyText2Char">
    <w:name w:val="Body Text 2 Char"/>
    <w:basedOn w:val="DefaultParagraphFont"/>
    <w:link w:val="BodyText2"/>
    <w:rsid w:val="00591C54"/>
    <w:rPr>
      <w:rFonts w:ascii="Times New Roman" w:hAnsi="Times New Roman"/>
      <w:sz w:val="24"/>
      <w:lang w:val="en-GB" w:eastAsia="en-US"/>
    </w:rPr>
  </w:style>
  <w:style w:type="paragraph" w:styleId="BodyTextIndent">
    <w:name w:val="Body Text Indent"/>
    <w:basedOn w:val="Normal"/>
    <w:link w:val="BodyTextIndentChar"/>
    <w:rsid w:val="00591C54"/>
    <w:pPr>
      <w:spacing w:after="120"/>
      <w:ind w:left="360"/>
    </w:pPr>
    <w:rPr>
      <w:lang w:val="en-GB"/>
    </w:rPr>
  </w:style>
  <w:style w:type="character" w:customStyle="1" w:styleId="BodyTextIndentChar">
    <w:name w:val="Body Text Indent Char"/>
    <w:basedOn w:val="DefaultParagraphFont"/>
    <w:link w:val="BodyTextIndent"/>
    <w:rsid w:val="00591C54"/>
    <w:rPr>
      <w:rFonts w:ascii="Times New Roman" w:hAnsi="Times New Roman"/>
      <w:sz w:val="24"/>
      <w:lang w:val="en-GB" w:eastAsia="en-US"/>
    </w:rPr>
  </w:style>
  <w:style w:type="paragraph" w:customStyle="1" w:styleId="Tabletitle0">
    <w:name w:val="Table_title"/>
    <w:basedOn w:val="Normal"/>
    <w:next w:val="Tabletext"/>
    <w:rsid w:val="00591C54"/>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paragraph" w:customStyle="1" w:styleId="AnnexNo">
    <w:name w:val="Annex_No"/>
    <w:basedOn w:val="Normal"/>
    <w:rsid w:val="00B75D3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idroit.org/english/workprogramme/study072/spaceprotocol/conference/documents/dcme-sp-40-corr-e.pdf" TargetMode="External"/><Relationship Id="rId18" Type="http://schemas.openxmlformats.org/officeDocument/2006/relationships/hyperlink" Target="http://www.itu.int/md/R12-RA12-C-0096/en"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itu.int/ITU-R/go/wrc-12-proposal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S11-CL-C-0089/fr" TargetMode="External"/><Relationship Id="rId17" Type="http://schemas.openxmlformats.org/officeDocument/2006/relationships/hyperlink" Target="http://www.itu.int/md/R12-RA12-C-0031/en" TargetMode="External"/><Relationship Id="rId25" Type="http://schemas.openxmlformats.org/officeDocument/2006/relationships/hyperlink" Target="http://www.itu.int/ITU-R/go/performance-reports/"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itu.int/md/R12-RA12-C-0010/en" TargetMode="External"/><Relationship Id="rId20" Type="http://schemas.openxmlformats.org/officeDocument/2006/relationships/hyperlink" Target="http://www.itu.int/ITU-R/go/wrc-12-sync/en" TargetMode="External"/><Relationship Id="rId29" Type="http://schemas.openxmlformats.org/officeDocument/2006/relationships/hyperlink" Target="http://www.itu.int/ITU-R/go/semina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WRC12-C-0033/fr" TargetMode="External"/><Relationship Id="rId24" Type="http://schemas.openxmlformats.org/officeDocument/2006/relationships/hyperlink" Target="http://www.itu.int/ITU-R/go/operational-plan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md/R12-RA12-C-0016/en" TargetMode="External"/><Relationship Id="rId23" Type="http://schemas.openxmlformats.org/officeDocument/2006/relationships/hyperlink" Target="http://www.itu.int/md/R00-CA-CIR-0201/en" TargetMode="External"/><Relationship Id="rId28" Type="http://schemas.openxmlformats.org/officeDocument/2006/relationships/footer" Target="footer2.xml"/><Relationship Id="rId10" Type="http://schemas.openxmlformats.org/officeDocument/2006/relationships/hyperlink" Target="http://www.itu.int/council/C2011/" TargetMode="External"/><Relationship Id="rId19" Type="http://schemas.openxmlformats.org/officeDocument/2006/relationships/hyperlink" Target="http://www.itu.int/md/R12-RA12-C-0012/e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R00-CA-CIR-0202/en" TargetMode="External"/><Relationship Id="rId14" Type="http://schemas.openxmlformats.org/officeDocument/2006/relationships/hyperlink" Target="http://www.itu.int/md/R12-RA12-C-0116/en" TargetMode="External"/><Relationship Id="rId22" Type="http://schemas.openxmlformats.org/officeDocument/2006/relationships/hyperlink" Target="https://extranet.itu.int/sites/wrc-ra/wrc-12/" TargetMode="External"/><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RAG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PS_RAG11</Template>
  <TotalTime>282</TotalTime>
  <Pages>17</Pages>
  <Words>8746</Words>
  <Characters>43430</Characters>
  <Application>Microsoft Office Word</Application>
  <DocSecurity>0</DocSecurity>
  <Lines>2173</Lines>
  <Paragraphs>1600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1	Introducción</vt:lpstr>
      <vt:lpstr>2	Asuntos examinados por el Consejo</vt:lpstr>
      <vt:lpstr>    2.1	Calendario de futuras conferencias</vt:lpstr>
      <vt:lpstr>    2.2	Presupuesto para 2012-2013</vt:lpstr>
      <vt:lpstr>    2.3	Asuntos relativos a los Miembros</vt:lpstr>
      <vt:lpstr>    2.4	Publicaciones</vt:lpstr>
      <vt:lpstr>    2.5	Recuperación de costes en las notificaciones de redes de satélites</vt:lpstr>
      <vt:lpstr>    2.6	Papel de la UIT como autoridad supervisora del futuro sistema de registro in</vt:lpstr>
      <vt:lpstr>3	Resultados de la AR-12 y la CMR-12</vt:lpstr>
      <vt:lpstr>    3.1	Resultados de la AR-12</vt:lpstr>
      <vt:lpstr>        3.1.1	Grupos por correspondencia</vt:lpstr>
      <vt:lpstr>    3.2	Resultados de la CMR-12</vt:lpstr>
      <vt:lpstr>        3.2.1	Repercusiones financieras de las decisiones de la Conferencia </vt:lpstr>
      <vt:lpstr>        3.2.2	Desarrollo de software para la aplicación de las decisiones de la Conferen</vt:lpstr>
      <vt:lpstr>        3.2.3	Medidas generales para aplicar decisiones de la Conferencia</vt:lpstr>
      <vt:lpstr>4	Actividades de las Comisiones de Estudio </vt:lpstr>
      <vt:lpstr>5	Preparación de la CMR-15 </vt:lpstr>
      <vt:lpstr>    5.1	RPC15-1</vt:lpstr>
      <vt:lpstr>6	Planificación operacional</vt:lpstr>
      <vt:lpstr>7	Información y asistencia a los Miembros</vt:lpstr>
      <vt:lpstr>8	Circular Internacional de Información sobre Frecuencias de la BR (BR IFIC)</vt:lpstr>
      <vt:lpstr>9 	Estadísticas sobre los Miembros de Sector, Asociados e Instituciones Académic</vt:lpstr>
    </vt:vector>
  </TitlesOfParts>
  <Manager>General Secretariat - Pool</Manager>
  <Company>International Telecommunication Union (ITU)</Company>
  <LinksUpToDate>false</LinksUpToDate>
  <CharactersWithSpaces>50925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DECIMONOVENA REUNIÓN DEL GRUPO ASESOR DE RADIOCOMUNICACIONES</dc:title>
  <dc:subject>GRUPO ASESOR DE RADIOCOMUNICACIONES</dc:subject>
  <dc:creator>Director de la Oficina de Radiocomunicaciones</dc:creator>
  <cp:keywords>RAG03-1</cp:keywords>
  <dc:description>Documento RAG12-1/1-S  For: _x000d_Document date: 30 de abril de 2012_x000d_Saved by LAT51004695 at 13:46:56 on 30.05.2012</dc:description>
  <cp:lastModifiedBy>De La Rosa Trivino, Maria Dolores</cp:lastModifiedBy>
  <cp:revision>21</cp:revision>
  <cp:lastPrinted>2012-05-30T11:42:00Z</cp:lastPrinted>
  <dcterms:created xsi:type="dcterms:W3CDTF">2012-05-30T06:19:00Z</dcterms:created>
  <dcterms:modified xsi:type="dcterms:W3CDTF">2012-05-30T11:46:00Z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RAG12-1/1-S</vt:lpwstr>
  </property>
  <property fmtid="{D5CDD505-2E9C-101B-9397-08002B2CF9AE}" pid="3" name="Docdate">
    <vt:lpwstr>30 de abril de 2012</vt:lpwstr>
  </property>
  <property fmtid="{D5CDD505-2E9C-101B-9397-08002B2CF9AE}" pid="4" name="Docorlang">
    <vt:lpwstr>Original: inglés</vt:lpwstr>
  </property>
  <property fmtid="{D5CDD505-2E9C-101B-9397-08002B2CF9AE}" pid="5" name="Docauthor">
    <vt:lpwstr>Director de la Oficina de Radiocomunicaciones</vt:lpwstr>
  </property>
</Properties>
</file>