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889" w:type="dxa"/>
        <w:tblLayout w:type="fixed"/>
        <w:tblLook w:val="0000"/>
      </w:tblPr>
      <w:tblGrid>
        <w:gridCol w:w="6629"/>
        <w:gridCol w:w="3260"/>
      </w:tblGrid>
      <w:tr w:rsidR="0051782D" w:rsidRPr="0097429F" w:rsidTr="000379F6">
        <w:trPr>
          <w:cantSplit/>
        </w:trPr>
        <w:tc>
          <w:tcPr>
            <w:tcW w:w="6629" w:type="dxa"/>
          </w:tcPr>
          <w:p w:rsidR="0051782D" w:rsidRPr="0097429F" w:rsidRDefault="000E036E" w:rsidP="002E107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97429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97429F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97429F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2E1076" w:rsidRPr="0097429F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25</w:t>
            </w:r>
            <w:r w:rsidR="001B00F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2E1076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1B00F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июня</w:t>
            </w:r>
            <w:r w:rsidR="006262A3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2E1076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6262A3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260" w:type="dxa"/>
          </w:tcPr>
          <w:p w:rsidR="0051782D" w:rsidRPr="0097429F" w:rsidRDefault="00A14551" w:rsidP="00675D35">
            <w:pPr>
              <w:shd w:val="solid" w:color="FFFFFF" w:fill="FFFFFF"/>
              <w:spacing w:before="0"/>
              <w:rPr>
                <w:lang w:val="ru-RU"/>
              </w:rPr>
            </w:pPr>
            <w:r w:rsidRPr="0097429F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7429F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97429F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97429F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97429F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97429F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97429F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0379F6" w:rsidTr="000379F6">
        <w:trPr>
          <w:cantSplit/>
        </w:trPr>
        <w:tc>
          <w:tcPr>
            <w:tcW w:w="6629" w:type="dxa"/>
            <w:vMerge w:val="restart"/>
          </w:tcPr>
          <w:p w:rsidR="0051782D" w:rsidRPr="0097429F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51782D" w:rsidRPr="000379F6" w:rsidRDefault="000379F6" w:rsidP="000379F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Дополнительный документ 2 к </w:t>
            </w:r>
            <w:r w:rsidR="006262A3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у</w:t>
            </w:r>
            <w:r w:rsidR="00BD7223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5B4113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BD7223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-1/1-</w:t>
            </w:r>
            <w:r w:rsidR="008E282B" w:rsidRPr="000379F6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0379F6" w:rsidTr="000379F6">
        <w:trPr>
          <w:cantSplit/>
        </w:trPr>
        <w:tc>
          <w:tcPr>
            <w:tcW w:w="6629" w:type="dxa"/>
            <w:vMerge/>
          </w:tcPr>
          <w:p w:rsidR="0051782D" w:rsidRPr="0097429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51782D" w:rsidRPr="0097429F" w:rsidRDefault="005B4113" w:rsidP="000379F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30 </w:t>
            </w:r>
            <w:r w:rsidR="000379F6">
              <w:rPr>
                <w:rFonts w:ascii="Verdana" w:hAnsi="Verdana"/>
                <w:b/>
                <w:sz w:val="18"/>
                <w:szCs w:val="18"/>
                <w:lang w:val="ru-RU"/>
              </w:rPr>
              <w:t>мая</w:t>
            </w:r>
            <w:r w:rsidR="006262A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B00F1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201</w:t>
            </w: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6262A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0379F6" w:rsidTr="000379F6">
        <w:trPr>
          <w:cantSplit/>
        </w:trPr>
        <w:tc>
          <w:tcPr>
            <w:tcW w:w="6629" w:type="dxa"/>
            <w:vMerge/>
          </w:tcPr>
          <w:p w:rsidR="0051782D" w:rsidRPr="0097429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51782D" w:rsidRPr="0097429F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0379F6" w:rsidTr="00675D35">
        <w:trPr>
          <w:cantSplit/>
        </w:trPr>
        <w:tc>
          <w:tcPr>
            <w:tcW w:w="9889" w:type="dxa"/>
            <w:gridSpan w:val="2"/>
          </w:tcPr>
          <w:p w:rsidR="00093C73" w:rsidRPr="0097429F" w:rsidRDefault="00587219" w:rsidP="00811F29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97429F">
              <w:rPr>
                <w:lang w:val="ru-RU"/>
              </w:rPr>
              <w:t>Директор Бюро радиосвязи</w:t>
            </w:r>
          </w:p>
        </w:tc>
      </w:tr>
      <w:tr w:rsidR="00093C73" w:rsidRPr="000379F6" w:rsidTr="00675D35">
        <w:trPr>
          <w:cantSplit/>
        </w:trPr>
        <w:tc>
          <w:tcPr>
            <w:tcW w:w="9889" w:type="dxa"/>
            <w:gridSpan w:val="2"/>
          </w:tcPr>
          <w:p w:rsidR="00093C73" w:rsidRPr="0097429F" w:rsidRDefault="00587219" w:rsidP="002E1076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97429F">
              <w:rPr>
                <w:lang w:val="ru-RU"/>
              </w:rPr>
              <w:t xml:space="preserve">отчет </w:t>
            </w:r>
            <w:r w:rsidR="002E1076" w:rsidRPr="0097429F">
              <w:rPr>
                <w:lang w:val="ru-RU"/>
              </w:rPr>
              <w:t>девят</w:t>
            </w:r>
            <w:r w:rsidR="00B820B1" w:rsidRPr="0097429F">
              <w:rPr>
                <w:lang w:val="ru-RU"/>
              </w:rPr>
              <w:t xml:space="preserve">НАДЦАТОМУ </w:t>
            </w:r>
            <w:r w:rsidRPr="0097429F">
              <w:rPr>
                <w:lang w:val="ru-RU"/>
              </w:rPr>
              <w:t>собранию</w:t>
            </w:r>
            <w:r w:rsidRPr="0097429F">
              <w:rPr>
                <w:lang w:val="ru-RU"/>
              </w:rPr>
              <w:br/>
              <w:t>консультативной группы по радиосвязи</w:t>
            </w:r>
          </w:p>
        </w:tc>
      </w:tr>
      <w:tr w:rsidR="000379F6" w:rsidRPr="000379F6" w:rsidTr="00675D35">
        <w:trPr>
          <w:cantSplit/>
        </w:trPr>
        <w:tc>
          <w:tcPr>
            <w:tcW w:w="9889" w:type="dxa"/>
            <w:gridSpan w:val="2"/>
          </w:tcPr>
          <w:p w:rsidR="000379F6" w:rsidRPr="0097429F" w:rsidRDefault="000379F6" w:rsidP="002E1076">
            <w:pPr>
              <w:pStyle w:val="Title1"/>
              <w:rPr>
                <w:lang w:val="ru-RU"/>
              </w:rPr>
            </w:pPr>
            <w:r w:rsidRPr="00212A74">
              <w:rPr>
                <w:caps w:val="0"/>
                <w:szCs w:val="26"/>
                <w:lang w:val="ru-RU"/>
              </w:rPr>
              <w:t>Деятельность исследовательских комиссий</w:t>
            </w:r>
          </w:p>
        </w:tc>
      </w:tr>
    </w:tbl>
    <w:bookmarkEnd w:id="4"/>
    <w:p w:rsidR="000379F6" w:rsidRPr="00CA4549" w:rsidRDefault="000379F6" w:rsidP="00CA4549">
      <w:pPr>
        <w:spacing w:before="72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1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Методы работы</w:t>
      </w:r>
    </w:p>
    <w:p w:rsidR="000379F6" w:rsidRPr="00CA4549" w:rsidRDefault="000379F6" w:rsidP="00CA4549">
      <w:pPr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указанными в Оперативном плане МСЭ-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>. Методы работы применялись удовлетворительным образом в соответствии с Резолюциями МСЭ-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1-5 и 1-6 (и соответствующими руководящими указаниями).</w:t>
      </w:r>
    </w:p>
    <w:p w:rsidR="000379F6" w:rsidRPr="00CA4549" w:rsidRDefault="000379F6" w:rsidP="00CA4549">
      <w:pPr>
        <w:pStyle w:val="TimesNewRoman"/>
        <w:keepLines w:val="0"/>
        <w:rPr>
          <w:rFonts w:cstheme="majorBidi"/>
          <w:szCs w:val="22"/>
          <w:lang w:val="ru-RU"/>
        </w:rPr>
      </w:pPr>
      <w:r w:rsidRPr="00CA4549">
        <w:rPr>
          <w:rFonts w:cstheme="majorBidi"/>
          <w:szCs w:val="22"/>
          <w:lang w:val="ru-RU"/>
        </w:rPr>
        <w:t>2</w:t>
      </w:r>
      <w:r w:rsidRPr="00CA4549">
        <w:rPr>
          <w:rFonts w:cstheme="majorBidi"/>
          <w:szCs w:val="22"/>
          <w:lang w:val="ru-RU"/>
        </w:rPr>
        <w:tab/>
        <w:t>Доступ к документам собраний</w:t>
      </w:r>
    </w:p>
    <w:p w:rsidR="000379F6" w:rsidRPr="00CA4549" w:rsidRDefault="000379F6" w:rsidP="000379F6">
      <w:pPr>
        <w:tabs>
          <w:tab w:val="left" w:pos="0"/>
        </w:tabs>
        <w:spacing w:after="120"/>
        <w:rPr>
          <w:rFonts w:asciiTheme="majorBidi" w:hAnsiTheme="majorBidi" w:cstheme="majorBidi"/>
          <w:szCs w:val="22"/>
          <w:lang w:val="ru-RU"/>
        </w:rPr>
      </w:pPr>
      <w:proofErr w:type="gramStart"/>
      <w:r w:rsidRPr="00CA4549">
        <w:rPr>
          <w:rFonts w:asciiTheme="majorBidi" w:hAnsiTheme="majorBidi" w:cstheme="majorBidi"/>
          <w:szCs w:val="22"/>
          <w:lang w:val="ru-RU"/>
        </w:rPr>
        <w:t xml:space="preserve">В соответствии с поправками, внесенными в Резолюцию МСЭ-R 1 на АР-12, документы собрания в настоящее время публикуются в исходном виде сотрудниками </w:t>
      </w:r>
      <w:r w:rsidRPr="00CA4549">
        <w:rPr>
          <w:rFonts w:asciiTheme="majorBidi" w:hAnsiTheme="majorBidi" w:cstheme="majorBidi"/>
          <w:szCs w:val="22"/>
          <w:lang w:val="en-US"/>
        </w:rPr>
        <w:t>SGD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на созданной для этого веб-странице в течение одного рабочего дня, а их официальные версии размещаются на веб-сайте в течение трех рабочих дней.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Рассматривается вопрос о создании системы, позволяющей авторам загружать свои вклады напрямую в каталог для документов в исходном виде.</w:t>
      </w:r>
    </w:p>
    <w:p w:rsidR="000379F6" w:rsidRPr="00CA4549" w:rsidRDefault="000379F6" w:rsidP="000379F6">
      <w:pPr>
        <w:tabs>
          <w:tab w:val="left" w:pos="0"/>
        </w:tabs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Все более пристальное внимание уделялось использованию электронных средств, которые были весьма полезны делегатам, а также обеспечили значительную экономию бумаги. Доступ к документации в ходе собраний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через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специализированный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веб-сайт Sharepoint стал стандартной практикой, при этом для проводимых в Женеве собраний печатается лишь минимальное количество бумажных копий. В будущем все собрания исследовательских комиссий и рабочих групп будут проводиться полностью на безбумажной основе, как уже проводится бóльшая часть собраний МСЭ</w:t>
      </w:r>
      <w:r w:rsidRPr="00CA4549">
        <w:rPr>
          <w:rFonts w:asciiTheme="majorBidi" w:hAnsiTheme="majorBidi" w:cstheme="majorBidi"/>
          <w:szCs w:val="22"/>
          <w:lang w:val="ru-RU"/>
        </w:rPr>
        <w:noBreakHyphen/>
      </w:r>
      <w:proofErr w:type="gramStart"/>
      <w:r w:rsidRPr="00CA4549">
        <w:rPr>
          <w:rFonts w:asciiTheme="majorBidi" w:hAnsiTheme="majorBidi" w:cstheme="majorBidi"/>
          <w:szCs w:val="22"/>
          <w:lang w:val="en-US"/>
        </w:rPr>
        <w:t>T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>. Использование средств Sharepoint распространялось также на собрания за пределами Женевы, и теперь все такие собрания проводятся полностью на безбумажной основе.</w:t>
      </w:r>
    </w:p>
    <w:p w:rsidR="000379F6" w:rsidRPr="00CA4549" w:rsidRDefault="000379F6" w:rsidP="000379F6">
      <w:pPr>
        <w:tabs>
          <w:tab w:val="left" w:pos="0"/>
        </w:tabs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 время собраний.</w:t>
      </w:r>
    </w:p>
    <w:p w:rsidR="000379F6" w:rsidRPr="00CA4549" w:rsidRDefault="000379F6" w:rsidP="00CA4549">
      <w:pPr>
        <w:keepNext/>
        <w:tabs>
          <w:tab w:val="left" w:pos="0"/>
        </w:tabs>
        <w:spacing w:before="36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3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Залы заседаний</w:t>
      </w:r>
    </w:p>
    <w:p w:rsidR="000379F6" w:rsidRPr="00CA4549" w:rsidRDefault="000379F6" w:rsidP="000379F6">
      <w:pPr>
        <w:keepNext/>
        <w:tabs>
          <w:tab w:val="left" w:pos="851"/>
        </w:tabs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Все чаще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нехватка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залов заседаний в штаб-квартире МСЭ серьезно затрудняет эффективное планирование собраний. Проблема усугубляется следующими факторами:</w:t>
      </w:r>
    </w:p>
    <w:p w:rsidR="000379F6" w:rsidRPr="00CA4549" w:rsidRDefault="000379F6" w:rsidP="000379F6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left" w:pos="851"/>
        </w:tabs>
        <w:spacing w:before="60"/>
        <w:ind w:left="851" w:hanging="56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возрастает количество собраний, организуемых Секторами и Генеральным секретариатом;</w:t>
      </w:r>
    </w:p>
    <w:p w:rsidR="000379F6" w:rsidRPr="00CA4549" w:rsidRDefault="000379F6" w:rsidP="000379F6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left" w:pos="851"/>
        </w:tabs>
        <w:spacing w:before="60"/>
        <w:ind w:left="851" w:hanging="56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недостаточное количество залов заседаний, рассчитанных на примерно 150–200 участников;</w:t>
      </w:r>
    </w:p>
    <w:p w:rsidR="000379F6" w:rsidRPr="00CA4549" w:rsidRDefault="000379F6" w:rsidP="000379F6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left" w:pos="851"/>
        </w:tabs>
        <w:spacing w:before="60"/>
        <w:ind w:left="851" w:hanging="56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lastRenderedPageBreak/>
        <w:t>необходимость недопущения частичного совпадения и совмещения дат проведения собраний;</w:t>
      </w:r>
    </w:p>
    <w:p w:rsidR="000379F6" w:rsidRPr="00CA4549" w:rsidRDefault="000379F6" w:rsidP="000379F6">
      <w:pPr>
        <w:pStyle w:val="ListParagraph"/>
        <w:numPr>
          <w:ilvl w:val="0"/>
          <w:numId w:val="4"/>
        </w:numPr>
        <w:tabs>
          <w:tab w:val="clear" w:pos="794"/>
          <w:tab w:val="clear" w:pos="1191"/>
          <w:tab w:val="left" w:pos="851"/>
        </w:tabs>
        <w:spacing w:before="60"/>
        <w:ind w:left="851" w:hanging="56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ограниченное предложение альтернативных площадей, таких как ЦКВ и МЦКЖ, бронирование которых необходимо осуществлять за весьма значительный период времени.</w:t>
      </w:r>
    </w:p>
    <w:p w:rsidR="000379F6" w:rsidRPr="00CA4549" w:rsidRDefault="000379F6" w:rsidP="00CA4549">
      <w:pPr>
        <w:keepNext/>
        <w:tabs>
          <w:tab w:val="left" w:pos="851"/>
        </w:tabs>
        <w:spacing w:before="36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4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Список участников</w:t>
      </w:r>
    </w:p>
    <w:p w:rsidR="000379F6" w:rsidRPr="00CA4549" w:rsidRDefault="000379F6" w:rsidP="000379F6">
      <w:pPr>
        <w:tabs>
          <w:tab w:val="left" w:pos="851"/>
        </w:tabs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Позднее в текущем году планируется внедрить онлайновую версию списка участников. Доступ к онлайновой версии получат только пользователи </w:t>
      </w:r>
      <w:r w:rsidRPr="00CA4549">
        <w:rPr>
          <w:rFonts w:asciiTheme="majorBidi" w:hAnsiTheme="majorBidi" w:cstheme="majorBidi"/>
          <w:szCs w:val="22"/>
          <w:lang w:val="en-US"/>
        </w:rPr>
        <w:t>TIES</w:t>
      </w:r>
      <w:r w:rsidRPr="00CA4549">
        <w:rPr>
          <w:rFonts w:asciiTheme="majorBidi" w:hAnsiTheme="majorBidi" w:cstheme="majorBidi"/>
          <w:szCs w:val="22"/>
          <w:lang w:val="ru-RU"/>
        </w:rPr>
        <w:t>. В динамическом списке возможен будет поиск по параметрам, таким как фамилия, член и функции в составе делегации.</w:t>
      </w:r>
    </w:p>
    <w:p w:rsidR="000379F6" w:rsidRPr="00CA4549" w:rsidRDefault="000379F6" w:rsidP="00CA4549">
      <w:pPr>
        <w:keepNext/>
        <w:tabs>
          <w:tab w:val="left" w:pos="851"/>
        </w:tabs>
        <w:spacing w:before="36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5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Устный перевод</w:t>
      </w:r>
    </w:p>
    <w:p w:rsidR="000379F6" w:rsidRPr="00CA4549" w:rsidRDefault="000379F6" w:rsidP="000379F6">
      <w:pPr>
        <w:tabs>
          <w:tab w:val="left" w:pos="720"/>
        </w:tabs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Что касается собраний, которые планируются с устным переводом, следует иметь в виду, что такой перевод фактически обеспечивается только по запросу Государств-Членов. Запросы на устный перевод следует направлять в секретариат БР (</w:t>
      </w:r>
      <w:hyperlink r:id="rId9" w:history="1">
        <w:r w:rsidRPr="00CA4549">
          <w:rPr>
            <w:rStyle w:val="Hyperlink"/>
            <w:rFonts w:asciiTheme="majorBidi" w:hAnsiTheme="majorBidi" w:cstheme="majorBidi"/>
            <w:szCs w:val="22"/>
          </w:rPr>
          <w:t>brsgd</w:t>
        </w:r>
        <w:r w:rsidRPr="00CA4549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CA4549">
          <w:rPr>
            <w:rStyle w:val="Hyperlink"/>
            <w:rFonts w:asciiTheme="majorBidi" w:hAnsiTheme="majorBidi" w:cstheme="majorBidi"/>
            <w:szCs w:val="22"/>
          </w:rPr>
          <w:t>itu</w:t>
        </w:r>
        <w:r w:rsidRPr="00CA4549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CA4549">
          <w:rPr>
            <w:rStyle w:val="Hyperlink"/>
            <w:rFonts w:asciiTheme="majorBidi" w:hAnsiTheme="majorBidi" w:cstheme="majorBidi"/>
            <w:szCs w:val="22"/>
          </w:rPr>
          <w:t>int</w:t>
        </w:r>
      </w:hyperlink>
      <w:r w:rsidRPr="00CA4549">
        <w:rPr>
          <w:rFonts w:asciiTheme="majorBidi" w:hAnsiTheme="majorBidi" w:cstheme="majorBidi"/>
          <w:szCs w:val="22"/>
          <w:lang w:val="ru-RU"/>
        </w:rPr>
        <w:t xml:space="preserve">) не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позднее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чем за один месяц до начала собрания. Этот предельный срок требуется для того, чтобы секретариат принял необходимые меры с целью обеспечения устного перевода.</w:t>
      </w:r>
    </w:p>
    <w:p w:rsidR="000379F6" w:rsidRPr="00CA4549" w:rsidRDefault="000379F6" w:rsidP="00CA4549">
      <w:pPr>
        <w:keepNext/>
        <w:tabs>
          <w:tab w:val="left" w:pos="851"/>
        </w:tabs>
        <w:spacing w:before="36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6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Дистанционное участие</w:t>
      </w:r>
    </w:p>
    <w:p w:rsidR="000379F6" w:rsidRPr="00CA4549" w:rsidRDefault="000379F6" w:rsidP="000379F6">
      <w:pPr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В Резолюции 167 (Гвадалахара, 2010 г.) поручается Директорам Бюро принять меры на основе консультаций с консультативными группами Секторов в целях обеспечения соответствующих средств электронного участия или наблюдения в собраниях Секторов для делегатов, не имеющих возможности присутствовать на очных собраниях.</w:t>
      </w:r>
    </w:p>
    <w:p w:rsidR="000379F6" w:rsidRPr="00CA4549" w:rsidRDefault="000379F6" w:rsidP="000379F6">
      <w:pPr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В Бюро радиосвязи успешно проведен ряд масштабных испытаний программного обеспечения для дистанционного участия в рамках собраний исследовательских комиссий и рабочих групп в сентябре-октябре 2011 года и апреле-мае 2012 года. Эти испытания были направлены на обеспечение подачи звукового сигнала и просмотра документов, редактируемых на пленарных заседаниях. В настоящее время в процессе исследования находятся более современные функции, такие как совместное редактирование документов и полное дистанционное участие. Средства дистанционного участия также недавно использовались во время проведения семинара ИК5. Несмотря на успех этих испытаний, они повлекли ряд процедурных, а также технических и эксплуатационных вопросов, требующих дальнейшего рассмотрения. Эти вопросы рассматриваются в Приложении 1.</w:t>
      </w:r>
    </w:p>
    <w:p w:rsidR="000379F6" w:rsidRPr="00CA4549" w:rsidRDefault="000379F6" w:rsidP="00CA4549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На будущих пленарных заседаниях исследовательских комиссий будет обеспечиваться звуковая веб-трансляция на всех используемых языках (т. е. на всех языках, в отношении которых был сделан запрос,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см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. раздел 5). Для доступа к веб-трансляции не будет требоваться регистрация </w:t>
      </w:r>
      <w:r w:rsidR="00CA4549" w:rsidRPr="00CA4549">
        <w:rPr>
          <w:rFonts w:asciiTheme="majorBidi" w:hAnsiTheme="majorBidi" w:cstheme="majorBidi"/>
          <w:szCs w:val="22"/>
          <w:lang w:val="ru-RU"/>
        </w:rPr>
        <w:t>для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участия в собрании.</w:t>
      </w:r>
    </w:p>
    <w:p w:rsidR="000379F6" w:rsidRPr="00CA4549" w:rsidRDefault="000379F6" w:rsidP="000379F6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На пленарных заседаниях предстоящих блоков собраний рабочих групп также будут предоставлены средства </w:t>
      </w:r>
      <w:r w:rsidRPr="00CA4549">
        <w:rPr>
          <w:rFonts w:asciiTheme="majorBidi" w:hAnsiTheme="majorBidi" w:cstheme="majorBidi"/>
          <w:szCs w:val="22"/>
          <w:lang w:val="en-US"/>
        </w:rPr>
        <w:t>Adobe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</w:t>
      </w:r>
      <w:r w:rsidRPr="00CA4549">
        <w:rPr>
          <w:rFonts w:asciiTheme="majorBidi" w:hAnsiTheme="majorBidi" w:cstheme="majorBidi"/>
          <w:szCs w:val="22"/>
          <w:lang w:val="en-US"/>
        </w:rPr>
        <w:t>Connect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для веб-трансляции только на английском языке. Дистанционные участники, желающие принимать активное участие (например, представить вклад), должны будут заранее зарегистрироваться для участия в этом собрании и координировать свое активное участие с ответственным по этому вопросу Советником. Для желающих только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следить за ходом мероприятия регистрация необязательна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.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Притом что секретариат сделает все возможное для обеспечения такого активного участия, следует учитывать, что в некоторых случаях оно окажется невозможным по ряду причин, например: не все помещения оборудованы соответствующим образом, ограниченное число обслуживающего персонала и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  <w:proofErr w:type="gramEnd"/>
    </w:p>
    <w:p w:rsidR="000379F6" w:rsidRPr="00CA4549" w:rsidRDefault="000379F6" w:rsidP="000379F6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Отчет о результатах этих дальнейших испытаний будет представлен на следующем собрании КГР.</w:t>
      </w:r>
    </w:p>
    <w:p w:rsidR="000379F6" w:rsidRPr="00CA4549" w:rsidRDefault="000379F6" w:rsidP="00CA4549">
      <w:pPr>
        <w:pStyle w:val="Heading2"/>
        <w:keepLines w:val="0"/>
        <w:spacing w:before="360" w:after="120"/>
        <w:ind w:left="0" w:firstLine="0"/>
        <w:rPr>
          <w:rFonts w:asciiTheme="majorBidi" w:hAnsiTheme="majorBidi" w:cstheme="majorBidi"/>
          <w:szCs w:val="22"/>
        </w:rPr>
      </w:pPr>
      <w:r w:rsidRPr="00CA4549">
        <w:rPr>
          <w:rFonts w:asciiTheme="majorBidi" w:hAnsiTheme="majorBidi" w:cstheme="majorBidi"/>
          <w:szCs w:val="22"/>
        </w:rPr>
        <w:lastRenderedPageBreak/>
        <w:t>7</w:t>
      </w:r>
      <w:r w:rsidRPr="00CA4549">
        <w:rPr>
          <w:rFonts w:asciiTheme="majorBidi" w:hAnsiTheme="majorBidi" w:cstheme="majorBidi"/>
          <w:szCs w:val="22"/>
        </w:rPr>
        <w:tab/>
        <w:t>Значительные виды деятельности исследовательских комиссий</w:t>
      </w:r>
    </w:p>
    <w:p w:rsidR="000379F6" w:rsidRPr="00CA4549" w:rsidRDefault="000379F6" w:rsidP="000379F6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Со времени последнего собрания КГР основными направлениями деятельности исследовательских комиссий стала текущая стандартизация систем радиосвязи, доработка текстов, относящихся к ВКР</w:t>
      </w:r>
      <w:r w:rsidRPr="00CA4549">
        <w:rPr>
          <w:rFonts w:asciiTheme="majorBidi" w:hAnsiTheme="majorBidi" w:cstheme="majorBidi"/>
          <w:szCs w:val="22"/>
          <w:lang w:val="ru-RU"/>
        </w:rPr>
        <w:noBreakHyphen/>
        <w:t>12, и начало исследований, необходимых для ВКР-15.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i/>
          <w:sz w:val="22"/>
          <w:szCs w:val="22"/>
          <w:lang w:val="ru-RU"/>
        </w:rPr>
      </w:pP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С утверждением Рекомендации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SM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.1896, а также Отчетов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SM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.2153,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SM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.2154 и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SM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.2179, которые были признаны в пересмотренной версии Резолюции МСЭ-R 54 на АР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noBreakHyphen/>
        <w:t>12, 1-я Исследовательская комиссия успешно завершила определенный этап согласования устройств малого радиуса действия и продолжит работу в данном направлении во исполнение вышеупомянутой Резолюции.</w:t>
      </w:r>
      <w:proofErr w:type="gramEnd"/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С утверждением Отчета МСЭ-</w:t>
      </w:r>
      <w:r w:rsidRPr="00CA4549">
        <w:rPr>
          <w:rFonts w:asciiTheme="majorBidi" w:hAnsiTheme="majorBidi" w:cstheme="majorBidi"/>
          <w:sz w:val="22"/>
          <w:szCs w:val="22"/>
        </w:rPr>
        <w:t>R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CA4549">
        <w:rPr>
          <w:rFonts w:asciiTheme="majorBidi" w:hAnsiTheme="majorBidi" w:cstheme="majorBidi"/>
          <w:sz w:val="22"/>
          <w:szCs w:val="22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.2176 "Перспективы и требования для спутниковог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о(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ых) радиоинтерфейса(ов) системы </w:t>
      </w:r>
      <w:r w:rsidRPr="00CA4549">
        <w:rPr>
          <w:rFonts w:asciiTheme="majorBidi" w:hAnsiTheme="majorBidi" w:cstheme="majorBidi"/>
          <w:sz w:val="22"/>
          <w:szCs w:val="22"/>
        </w:rPr>
        <w:t>IMT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-</w:t>
      </w:r>
      <w:r w:rsidRPr="00CA4549">
        <w:rPr>
          <w:rFonts w:asciiTheme="majorBidi" w:hAnsiTheme="majorBidi" w:cstheme="majorBidi"/>
          <w:sz w:val="22"/>
          <w:szCs w:val="22"/>
        </w:rPr>
        <w:t>Advanced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" МСЭ-</w:t>
      </w:r>
      <w:r w:rsidRPr="00CA4549">
        <w:rPr>
          <w:rFonts w:asciiTheme="majorBidi" w:hAnsiTheme="majorBidi" w:cstheme="majorBidi"/>
          <w:sz w:val="22"/>
          <w:szCs w:val="22"/>
        </w:rPr>
        <w:t>R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приступил к процессу разработки Рекомендаций МСЭ-</w:t>
      </w:r>
      <w:r w:rsidRPr="00CA4549">
        <w:rPr>
          <w:rFonts w:asciiTheme="majorBidi" w:hAnsiTheme="majorBidi" w:cstheme="majorBidi"/>
          <w:sz w:val="22"/>
          <w:szCs w:val="22"/>
        </w:rPr>
        <w:t>R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для спутникового сегмента радиоинтерфейса(ов) </w:t>
      </w:r>
      <w:r w:rsidRPr="00CA4549">
        <w:rPr>
          <w:rFonts w:asciiTheme="majorBidi" w:hAnsiTheme="majorBidi" w:cstheme="majorBidi"/>
          <w:sz w:val="22"/>
          <w:szCs w:val="22"/>
        </w:rPr>
        <w:t>IMT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-</w:t>
      </w:r>
      <w:r w:rsidRPr="00CA4549">
        <w:rPr>
          <w:rFonts w:asciiTheme="majorBidi" w:hAnsiTheme="majorBidi" w:cstheme="majorBidi"/>
          <w:sz w:val="22"/>
          <w:szCs w:val="22"/>
        </w:rPr>
        <w:t>Advanced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 Эта работа проводится на основе Резолюции МСЭ-</w:t>
      </w:r>
      <w:proofErr w:type="gramStart"/>
      <w:r w:rsidRPr="00CA4549">
        <w:rPr>
          <w:rFonts w:asciiTheme="majorBidi" w:hAnsiTheme="majorBidi" w:cstheme="majorBidi"/>
          <w:sz w:val="22"/>
          <w:szCs w:val="22"/>
        </w:rPr>
        <w:t>R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 57. 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Утверждение Отчета МСЭ-R S.2199 "Исследования в области совместимости систем широкополосного беспроводного доступа (ШБД) и сетей фиксированной спутниковой службы (ФСС) в полосе 3400–4200 МГц" отражает успешную совместную работу ИК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4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и ИК5, которая проводилась соответствующими рабочими группами в обеих исследовательских комиссиях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Значительный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прогресс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достигнут по вопросам критериев защиты оборудования поиска и спасания системы Коспас-Сарсат и терминалов местных пользователей, результатом чего стало утверждение пересмотренных Рекомендаций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.1478-2 и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.1731-2.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Достигнут также значительный прогресс по вопросам использования систем ПСС в случае стихийных бедствий, результатом чего стало утверждение пересмотренной Рекомендации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.1854-1 и Отчета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.2149, а также утверждение серии новых Рекомендаций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.1901–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.1906, в которых рассматриваются характеристики и критерии защиты, относящиеся к радионавигационной спутниковой службе.</w:t>
      </w:r>
      <w:proofErr w:type="gramEnd"/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В соответствии с предусмотренными сроками продолжалась работа по IMT-Advanced. На собрании ИК5 в ноябре 2011 года была одобрена Рекомендация МСЭ-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, содержащая подробные технические спецификации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IMT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-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Advanced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, которая далее была утверждена на АР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noBreakHyphen/>
        <w:t>12.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3-я Исследовательская комиссия представила алгоритм вычисления дифракционных потерь по методу Буллингтона с коррекцией конической погрешности для обеспечения бесшовной передачи между трассами прямой видимости и трансгоризонтными трассами в Рекомендации МСЭ-R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.526-12 и далее применила эту модель в качестве изменения к Рекомендациям МСЭ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noBreakHyphen/>
        <w:t xml:space="preserve">R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.452-15,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.1812-2 и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.2001.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Последняя Рекомендация является полностью новой, и в ней представлена модель наземного распространения радиоволн в широком диапазоне в полосе частот от 30 МГц до 50 ГГц.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В соответствии с новыми положениями Резолюции МСЭ-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> 25-3, 3-я Исследовательская комиссия разработала четыре пересмотренных Рекомендации (</w:t>
      </w:r>
      <w:r w:rsidRPr="00CA4549">
        <w:rPr>
          <w:rFonts w:asciiTheme="majorBidi" w:hAnsiTheme="majorBidi" w:cstheme="majorBidi"/>
          <w:sz w:val="22"/>
          <w:szCs w:val="22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.528-3, </w:t>
      </w:r>
      <w:r w:rsidRPr="00CA4549">
        <w:rPr>
          <w:rFonts w:asciiTheme="majorBidi" w:hAnsiTheme="majorBidi" w:cstheme="majorBidi"/>
          <w:sz w:val="22"/>
          <w:szCs w:val="22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.617-2, </w:t>
      </w:r>
      <w:r w:rsidRPr="00CA4549">
        <w:rPr>
          <w:rFonts w:asciiTheme="majorBidi" w:hAnsiTheme="majorBidi" w:cstheme="majorBidi"/>
          <w:sz w:val="22"/>
          <w:szCs w:val="22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.837-6 и </w:t>
      </w:r>
      <w:r w:rsidRPr="00CA4549">
        <w:rPr>
          <w:rFonts w:asciiTheme="majorBidi" w:hAnsiTheme="majorBidi" w:cstheme="majorBidi"/>
          <w:sz w:val="22"/>
          <w:szCs w:val="22"/>
        </w:rPr>
        <w:t>P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.2001), которые теперь включают наборы данных или программное обеспечение, составляющие часть Рекомендации.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/>
        </w:rPr>
        <w:t>В ходе собрания первого в данном исследовательском цикле блока РГ 5А, 5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B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и 5С был проведен однодневный семинар, посвященный пунктам повестки дня ВКР-15, представляющим интерес для ИК5. На семинаре был сделан обзор высокого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уровня пунктов повестки дня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ВКР-15, по которым являются ответственными или в которых участвуют рабочие группы 5-й Исследовательской комиссии. Около 240 участников собрания, на котором они провели открытое обсуждение вопросов и идей, одобрили данную инициативу.  </w:t>
      </w:r>
    </w:p>
    <w:p w:rsidR="000379F6" w:rsidRPr="00CA4549" w:rsidRDefault="000379F6" w:rsidP="000379F6">
      <w:pPr>
        <w:pStyle w:val="ListParagraph"/>
        <w:numPr>
          <w:ilvl w:val="0"/>
          <w:numId w:val="1"/>
        </w:numPr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6-я Исследовательская комиссия получила премию "Эмми" за работу по стандартизации измерения громкости для использования в звуковом вещании (Рекомендация МСЭ-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R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 xml:space="preserve"> 1770-2). Существенный прогресс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был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 xml:space="preserve"> достигнут в области трехмерного телевидения (3</w:t>
      </w:r>
      <w:r w:rsidRPr="00CA4549">
        <w:rPr>
          <w:rFonts w:asciiTheme="majorBidi" w:hAnsiTheme="majorBidi" w:cstheme="majorBidi"/>
          <w:sz w:val="22"/>
          <w:szCs w:val="22"/>
          <w:lang w:val="en-US" w:eastAsia="ja-JP"/>
        </w:rPr>
        <w:t>DTV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 xml:space="preserve">) и телевидения сверхвысокой четкости (ТСВЧ), и ряд Рекомендаций в настоящее время 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lastRenderedPageBreak/>
        <w:t xml:space="preserve">проходят процедуру </w:t>
      </w:r>
      <w:r w:rsidRPr="00CA4549">
        <w:rPr>
          <w:rFonts w:asciiTheme="majorBidi" w:hAnsiTheme="majorBidi" w:cstheme="majorBidi"/>
          <w:sz w:val="22"/>
          <w:szCs w:val="22"/>
          <w:lang w:val="en-US" w:eastAsia="ja-JP"/>
        </w:rPr>
        <w:t>PSAA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 xml:space="preserve">. Демонстрация ТСВЧ была проведена в МСЭ японской телерадиокомпанией </w:t>
      </w:r>
      <w:r w:rsidRPr="00CA4549">
        <w:rPr>
          <w:rFonts w:asciiTheme="majorBidi" w:hAnsiTheme="majorBidi" w:cstheme="majorBidi"/>
          <w:sz w:val="22"/>
          <w:szCs w:val="22"/>
          <w:lang w:val="en-US" w:eastAsia="ja-JP"/>
        </w:rPr>
        <w:t>NHK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. Делегаты принимают активное участие в работе Оперативной группы МСЭ-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en-US" w:eastAsia="ja-JP"/>
        </w:rPr>
        <w:t>T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 xml:space="preserve"> по доступности аудиовизуальных средств массовой информации (ОГ-</w:t>
      </w:r>
      <w:r w:rsidRPr="00CA4549">
        <w:rPr>
          <w:rFonts w:asciiTheme="majorBidi" w:hAnsiTheme="majorBidi" w:cstheme="majorBidi"/>
          <w:sz w:val="22"/>
          <w:szCs w:val="22"/>
          <w:lang w:val="en-US" w:eastAsia="ja-JP"/>
        </w:rPr>
        <w:t>AVA</w:t>
      </w:r>
      <w:r w:rsidRPr="00CA4549">
        <w:rPr>
          <w:rFonts w:asciiTheme="majorBidi" w:hAnsiTheme="majorBidi" w:cstheme="majorBidi"/>
          <w:sz w:val="22"/>
          <w:szCs w:val="22"/>
          <w:lang w:val="ru-RU" w:eastAsia="ja-JP"/>
        </w:rPr>
        <w:t>).</w:t>
      </w:r>
    </w:p>
    <w:p w:rsidR="000379F6" w:rsidRPr="00CA4549" w:rsidRDefault="000379F6" w:rsidP="00CA4549">
      <w:pPr>
        <w:pStyle w:val="Heading2"/>
        <w:keepLines w:val="0"/>
        <w:spacing w:before="360" w:after="120"/>
        <w:ind w:left="0" w:firstLine="0"/>
        <w:rPr>
          <w:rFonts w:asciiTheme="majorBidi" w:hAnsiTheme="majorBidi" w:cstheme="majorBidi"/>
          <w:szCs w:val="22"/>
        </w:rPr>
      </w:pPr>
      <w:r w:rsidRPr="00CA4549">
        <w:rPr>
          <w:rFonts w:asciiTheme="majorBidi" w:hAnsiTheme="majorBidi" w:cstheme="majorBidi"/>
          <w:szCs w:val="22"/>
        </w:rPr>
        <w:t>8</w:t>
      </w:r>
      <w:r w:rsidRPr="00CA4549">
        <w:rPr>
          <w:rFonts w:asciiTheme="majorBidi" w:hAnsiTheme="majorBidi" w:cstheme="majorBidi"/>
          <w:szCs w:val="22"/>
        </w:rPr>
        <w:tab/>
        <w:t>Взаимодействие и сотрудничество с МСЭ-</w:t>
      </w:r>
      <w:r w:rsidRPr="00CA4549">
        <w:rPr>
          <w:rFonts w:asciiTheme="majorBidi" w:hAnsiTheme="majorBidi" w:cstheme="majorBidi"/>
          <w:szCs w:val="22"/>
          <w:lang w:val="en-US"/>
        </w:rPr>
        <w:t>D</w:t>
      </w:r>
      <w:r w:rsidRPr="00CA4549">
        <w:rPr>
          <w:rFonts w:asciiTheme="majorBidi" w:hAnsiTheme="majorBidi" w:cstheme="majorBidi"/>
          <w:szCs w:val="22"/>
        </w:rPr>
        <w:t>, МСЭ-</w:t>
      </w:r>
      <w:proofErr w:type="gramStart"/>
      <w:r w:rsidRPr="00CA4549">
        <w:rPr>
          <w:rFonts w:asciiTheme="majorBidi" w:hAnsiTheme="majorBidi" w:cstheme="majorBidi"/>
          <w:szCs w:val="22"/>
          <w:lang w:val="en-US"/>
        </w:rPr>
        <w:t>T</w:t>
      </w:r>
      <w:proofErr w:type="gramEnd"/>
      <w:r w:rsidRPr="00CA4549">
        <w:rPr>
          <w:rFonts w:asciiTheme="majorBidi" w:hAnsiTheme="majorBidi" w:cstheme="majorBidi"/>
          <w:szCs w:val="22"/>
        </w:rPr>
        <w:t xml:space="preserve"> и с другими организациями</w:t>
      </w:r>
    </w:p>
    <w:p w:rsidR="000379F6" w:rsidRPr="00CA4549" w:rsidRDefault="000379F6" w:rsidP="000379F6">
      <w:pPr>
        <w:spacing w:after="120"/>
        <w:rPr>
          <w:rFonts w:asciiTheme="majorBidi" w:hAnsiTheme="majorBidi" w:cstheme="majorBidi"/>
          <w:i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 w:eastAsia="ja-JP"/>
        </w:rPr>
        <w:t>В течение данного периода весьма заметной была межсекторальная деятельность, особенно касающаяся приоритетных для МСЭ вопросов изменения климата, связи в чрезвычайных ситуациях и доступности.</w:t>
      </w:r>
    </w:p>
    <w:p w:rsidR="000379F6" w:rsidRPr="00CA4549" w:rsidRDefault="000379F6" w:rsidP="000379F6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i/>
          <w:szCs w:val="22"/>
          <w:lang w:val="ru-RU"/>
        </w:rPr>
        <w:t>В отношении МСЭ-</w:t>
      </w:r>
      <w:r w:rsidRPr="00CA4549">
        <w:rPr>
          <w:rFonts w:asciiTheme="majorBidi" w:hAnsiTheme="majorBidi" w:cstheme="majorBidi"/>
          <w:i/>
          <w:szCs w:val="22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: БР продолжает вносить вклад в проведение форумов БРЭ по вопросам развития.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Эти мероприятия дают возможность представить деятельность МСЭ-</w:t>
      </w:r>
      <w:r w:rsidRPr="00CA4549">
        <w:rPr>
          <w:rFonts w:asciiTheme="majorBidi" w:hAnsiTheme="majorBidi" w:cstheme="majorBidi"/>
          <w:szCs w:val="22"/>
        </w:rPr>
        <w:t>R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по стандартизации и, в свою очередь, продемонстрировать свой вклад в выполнение Резолюции 123 (Пересм.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Анталия, 2006 г.) по преодолению разрыва в стандартизации.</w:t>
      </w:r>
      <w:proofErr w:type="gramEnd"/>
    </w:p>
    <w:p w:rsidR="000379F6" w:rsidRPr="00CA4549" w:rsidRDefault="000379F6" w:rsidP="000379F6">
      <w:pPr>
        <w:spacing w:before="240"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Эксперты ИК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1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МСЭ-R продолжат оказывать помощь по запросу в развитии программного приложения SMS4DC в соответствии с Резолюцией МСЭ-R 11-4.</w:t>
      </w:r>
    </w:p>
    <w:p w:rsidR="000379F6" w:rsidRPr="00CA4549" w:rsidRDefault="000379F6" w:rsidP="000379F6">
      <w:pPr>
        <w:spacing w:before="240"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В связи с деятельностью исследовательских комиссий МСЭ-</w:t>
      </w:r>
      <w:r w:rsidRPr="00CA4549">
        <w:rPr>
          <w:rFonts w:asciiTheme="majorBidi" w:hAnsiTheme="majorBidi" w:cstheme="majorBidi"/>
          <w:szCs w:val="22"/>
          <w:lang w:val="en-US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>:</w:t>
      </w:r>
    </w:p>
    <w:p w:rsidR="000379F6" w:rsidRPr="00CA4549" w:rsidRDefault="000379F6" w:rsidP="000379F6">
      <w:pPr>
        <w:numPr>
          <w:ilvl w:val="0"/>
          <w:numId w:val="2"/>
        </w:numPr>
        <w:ind w:left="714" w:hanging="357"/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БР внесло вклад в собрание Группы Докладчика по Вопросу 9-3/2, представив обзор итогов АР-12 и ВКР-12, имеющих особый интерес для развивающихся стран.</w:t>
      </w:r>
    </w:p>
    <w:p w:rsidR="000379F6" w:rsidRPr="00CA4549" w:rsidRDefault="000379F6" w:rsidP="000379F6">
      <w:pPr>
        <w:numPr>
          <w:ilvl w:val="0"/>
          <w:numId w:val="2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</w:rPr>
        <w:t> </w:t>
      </w:r>
      <w:r w:rsidRPr="00CA4549">
        <w:rPr>
          <w:rFonts w:asciiTheme="majorBidi" w:hAnsiTheme="majorBidi" w:cstheme="majorBidi"/>
          <w:szCs w:val="22"/>
          <w:lang w:val="ru-RU"/>
        </w:rPr>
        <w:t>РГ 7</w:t>
      </w:r>
      <w:r w:rsidRPr="00CA4549">
        <w:rPr>
          <w:rFonts w:asciiTheme="majorBidi" w:hAnsiTheme="majorBidi" w:cstheme="majorBidi"/>
          <w:szCs w:val="22"/>
        </w:rPr>
        <w:t>C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МСЭ-</w:t>
      </w:r>
      <w:proofErr w:type="gramStart"/>
      <w:r w:rsidRPr="00CA4549">
        <w:rPr>
          <w:rFonts w:asciiTheme="majorBidi" w:hAnsiTheme="majorBidi" w:cstheme="majorBidi"/>
          <w:szCs w:val="22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предоставила информацию Группе Докладчика по Вопросу МСЭ-</w:t>
      </w:r>
      <w:r w:rsidRPr="00CA4549">
        <w:rPr>
          <w:rFonts w:asciiTheme="majorBidi" w:hAnsiTheme="majorBidi" w:cstheme="majorBidi"/>
          <w:szCs w:val="22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22/2 о применении дистанционного зондирования, основанного на использовании радиосвязи, для прогнозирования, обнаружения и смягчения последствий бедствий.</w:t>
      </w:r>
    </w:p>
    <w:p w:rsidR="000379F6" w:rsidRPr="00CA4549" w:rsidRDefault="000379F6" w:rsidP="000379F6">
      <w:pPr>
        <w:numPr>
          <w:ilvl w:val="0"/>
          <w:numId w:val="2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ИК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1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МСЭ-R продолжила активное сотрудничество со 2-й Исследовательской комиссией МСЭ-</w:t>
      </w:r>
      <w:r w:rsidRPr="00CA4549">
        <w:rPr>
          <w:rFonts w:asciiTheme="majorBidi" w:hAnsiTheme="majorBidi" w:cstheme="majorBidi"/>
          <w:szCs w:val="22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в реализации нового этапа исследований, подпадающих под Резолюцию 9 МСЭ-</w:t>
      </w:r>
      <w:r w:rsidRPr="00CA4549">
        <w:rPr>
          <w:rFonts w:asciiTheme="majorBidi" w:hAnsiTheme="majorBidi" w:cstheme="majorBidi"/>
          <w:szCs w:val="22"/>
          <w:lang w:val="en-US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(Пересм. </w:t>
      </w:r>
      <w:proofErr w:type="gramStart"/>
      <w:r w:rsidR="00F67549" w:rsidRPr="00CA4549">
        <w:rPr>
          <w:rFonts w:asciiTheme="majorBidi" w:hAnsiTheme="majorBidi" w:cstheme="majorBidi"/>
          <w:szCs w:val="22"/>
          <w:lang w:val="ru-RU"/>
        </w:rPr>
        <w:t>Хайдарабад</w:t>
      </w:r>
      <w:r w:rsidRPr="00CA4549">
        <w:rPr>
          <w:rFonts w:asciiTheme="majorBidi" w:hAnsiTheme="majorBidi" w:cstheme="majorBidi"/>
          <w:szCs w:val="22"/>
          <w:lang w:val="ru-RU"/>
        </w:rPr>
        <w:t>, 2010 г.) и на основе нового утвержденного Справочника по радиоконтролю.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РГ 1С МСЭ-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продолжила предоставление технической информации о контроле за использованием спектра в поддержку исследований, проводимых в рамках Вопроса 23/1 МСЭ-D о стратегии и политике, касающихся воздействия электромагнитных полей на человека.</w:t>
      </w:r>
    </w:p>
    <w:p w:rsidR="000379F6" w:rsidRPr="00CA4549" w:rsidRDefault="000379F6" w:rsidP="000379F6">
      <w:pPr>
        <w:numPr>
          <w:ilvl w:val="0"/>
          <w:numId w:val="2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Отчет о переходе от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аналогового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к цифровому наземному радиовещанию, Отчет МСЭ-R </w:t>
      </w:r>
      <w:r w:rsidRPr="00CA4549">
        <w:rPr>
          <w:rFonts w:asciiTheme="majorBidi" w:hAnsiTheme="majorBidi" w:cstheme="majorBidi"/>
          <w:szCs w:val="22"/>
          <w:lang w:val="en-US"/>
        </w:rPr>
        <w:t>BT</w:t>
      </w:r>
      <w:r w:rsidRPr="00CA4549">
        <w:rPr>
          <w:rFonts w:asciiTheme="majorBidi" w:hAnsiTheme="majorBidi" w:cstheme="majorBidi"/>
          <w:szCs w:val="22"/>
          <w:lang w:val="ru-RU"/>
        </w:rPr>
        <w:t>.2140, продолжает пополняться новой информацией по странам. Продолжается составление Справочника по внедрению цифрового телевидения (ЦТВ), которое планируется завершить в текущем году. Эта работа представляется имеющей особое значение для МСЭ-D.</w:t>
      </w:r>
    </w:p>
    <w:p w:rsidR="000379F6" w:rsidRPr="00CA4549" w:rsidRDefault="000379F6" w:rsidP="000379F6">
      <w:pPr>
        <w:numPr>
          <w:ilvl w:val="0"/>
          <w:numId w:val="2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РГ 4С МСЭ-</w:t>
      </w:r>
      <w:r w:rsidRPr="00CA4549">
        <w:rPr>
          <w:rFonts w:asciiTheme="majorBidi" w:hAnsiTheme="majorBidi" w:cstheme="majorBidi"/>
          <w:szCs w:val="22"/>
        </w:rPr>
        <w:t>R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предоставила ИК2 МСЭ-</w:t>
      </w:r>
      <w:r w:rsidRPr="00CA4549">
        <w:rPr>
          <w:rFonts w:asciiTheme="majorBidi" w:hAnsiTheme="majorBidi" w:cstheme="majorBidi"/>
          <w:szCs w:val="22"/>
        </w:rPr>
        <w:t>D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дополнительную информацию об использовании сетей ПСС в случае стихийных бедствий и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аналогичных чрезвычайных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ситуаций</w:t>
      </w:r>
      <w:r w:rsidRPr="00CA4549">
        <w:rPr>
          <w:rFonts w:asciiTheme="majorBidi" w:hAnsiTheme="majorBidi" w:cstheme="majorBidi"/>
          <w:color w:val="000000"/>
          <w:szCs w:val="22"/>
          <w:shd w:val="clear" w:color="auto" w:fill="F0F0F0"/>
          <w:lang w:val="ru-RU"/>
        </w:rPr>
        <w:t>.</w:t>
      </w:r>
    </w:p>
    <w:p w:rsidR="000379F6" w:rsidRPr="00CA4549" w:rsidRDefault="000379F6" w:rsidP="000379F6">
      <w:pPr>
        <w:spacing w:before="240"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i/>
          <w:szCs w:val="22"/>
          <w:lang w:val="ru-RU"/>
        </w:rPr>
        <w:t>В отношении МСЭ-Т</w:t>
      </w:r>
      <w:r w:rsidRPr="00CA4549">
        <w:rPr>
          <w:rFonts w:asciiTheme="majorBidi" w:hAnsiTheme="majorBidi" w:cstheme="majorBidi"/>
          <w:szCs w:val="22"/>
          <w:lang w:val="ru-RU"/>
        </w:rPr>
        <w:t>: наряду с темами изменения климата и связи в чрезвычайных ситуациях к темам, представляющим взаимный интерес для МСЭ-</w:t>
      </w:r>
      <w:proofErr w:type="gramStart"/>
      <w:r w:rsidRPr="00CA4549">
        <w:rPr>
          <w:rFonts w:asciiTheme="majorBidi" w:hAnsiTheme="majorBidi" w:cstheme="majorBidi"/>
          <w:szCs w:val="22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и МСЭ-Т, относятся:</w:t>
      </w:r>
    </w:p>
    <w:p w:rsidR="000379F6" w:rsidRPr="00CA4549" w:rsidRDefault="000379F6" w:rsidP="000379F6">
      <w:pPr>
        <w:numPr>
          <w:ilvl w:val="0"/>
          <w:numId w:val="3"/>
        </w:numPr>
        <w:ind w:left="714" w:hanging="357"/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Резолюция МСЭ-Т 72 о воздействии радиочастот на человека, в рамках которой были продолжены исследования в ИК5 МСЭ-Т и, в частности, в ИК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1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МСЭ-</w:t>
      </w:r>
      <w:r w:rsidRPr="00CA4549">
        <w:rPr>
          <w:rFonts w:asciiTheme="majorBidi" w:hAnsiTheme="majorBidi" w:cstheme="majorBidi"/>
          <w:szCs w:val="22"/>
        </w:rPr>
        <w:t>R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в отношении контроля и измерения электромагнитных полей. </w:t>
      </w:r>
    </w:p>
    <w:p w:rsidR="000379F6" w:rsidRPr="00CA4549" w:rsidRDefault="000379F6" w:rsidP="000379F6">
      <w:pPr>
        <w:numPr>
          <w:ilvl w:val="0"/>
          <w:numId w:val="3"/>
        </w:numPr>
        <w:tabs>
          <w:tab w:val="clear" w:pos="720"/>
          <w:tab w:val="clear" w:pos="794"/>
          <w:tab w:val="left" w:pos="709"/>
        </w:tabs>
        <w:ind w:left="714" w:hanging="357"/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По результатам состоявшегося в мае 2011 года форума МСЭ по стандартизации систем электросвязи с использованием линий электропередачи (PLT), к участию в котором были привлечены другие организации по стандартизации, ИК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1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МСЭ-R завершила работу утверждением Рекомендации МСЭ-R </w:t>
      </w:r>
      <w:r w:rsidRPr="00CA4549">
        <w:rPr>
          <w:rFonts w:asciiTheme="majorBidi" w:hAnsiTheme="majorBidi" w:cstheme="majorBidi"/>
          <w:szCs w:val="22"/>
          <w:lang w:val="en-US"/>
        </w:rPr>
        <w:t>SM</w:t>
      </w:r>
      <w:r w:rsidRPr="00CA4549">
        <w:rPr>
          <w:rFonts w:asciiTheme="majorBidi" w:hAnsiTheme="majorBidi" w:cstheme="majorBidi"/>
          <w:szCs w:val="22"/>
          <w:lang w:val="ru-RU"/>
        </w:rPr>
        <w:t xml:space="preserve">.1879 и Отчетов МСЭ-R </w:t>
      </w:r>
      <w:r w:rsidRPr="00CA4549">
        <w:rPr>
          <w:rFonts w:asciiTheme="majorBidi" w:hAnsiTheme="majorBidi" w:cstheme="majorBidi"/>
          <w:szCs w:val="22"/>
        </w:rPr>
        <w:t>SM</w:t>
      </w:r>
      <w:r w:rsidRPr="00CA4549">
        <w:rPr>
          <w:rFonts w:asciiTheme="majorBidi" w:hAnsiTheme="majorBidi" w:cstheme="majorBidi"/>
          <w:szCs w:val="22"/>
          <w:lang w:val="ru-RU"/>
        </w:rPr>
        <w:t xml:space="preserve">.2157, </w:t>
      </w:r>
      <w:r w:rsidRPr="00CA4549">
        <w:rPr>
          <w:rFonts w:asciiTheme="majorBidi" w:hAnsiTheme="majorBidi" w:cstheme="majorBidi"/>
          <w:szCs w:val="22"/>
        </w:rPr>
        <w:t>SM</w:t>
      </w:r>
      <w:r w:rsidRPr="00CA4549">
        <w:rPr>
          <w:rFonts w:asciiTheme="majorBidi" w:hAnsiTheme="majorBidi" w:cstheme="majorBidi"/>
          <w:szCs w:val="22"/>
          <w:lang w:val="ru-RU"/>
        </w:rPr>
        <w:t xml:space="preserve">.2158 и </w:t>
      </w:r>
      <w:r w:rsidRPr="00CA4549">
        <w:rPr>
          <w:rFonts w:asciiTheme="majorBidi" w:hAnsiTheme="majorBidi" w:cstheme="majorBidi"/>
          <w:szCs w:val="22"/>
        </w:rPr>
        <w:t>SM</w:t>
      </w:r>
      <w:r w:rsidRPr="00CA4549">
        <w:rPr>
          <w:rFonts w:asciiTheme="majorBidi" w:hAnsiTheme="majorBidi" w:cstheme="majorBidi"/>
          <w:szCs w:val="22"/>
          <w:lang w:val="ru-RU"/>
        </w:rPr>
        <w:t xml:space="preserve">.2212 о влиянии систем </w:t>
      </w:r>
      <w:r w:rsidRPr="00CA4549">
        <w:rPr>
          <w:rFonts w:asciiTheme="majorBidi" w:hAnsiTheme="majorBidi" w:cstheme="majorBidi"/>
          <w:szCs w:val="22"/>
          <w:lang w:val="en-US"/>
        </w:rPr>
        <w:t>PLT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на службы радиосвязи в представляющих интерес полосах частот. Тесное сотрудничество с ИК15 МСЭ-Т по данному вопросу продолжалось в целях мониторинга развития систем </w:t>
      </w:r>
      <w:r w:rsidRPr="00CA4549">
        <w:rPr>
          <w:rFonts w:asciiTheme="majorBidi" w:hAnsiTheme="majorBidi" w:cstheme="majorBidi"/>
          <w:szCs w:val="22"/>
          <w:lang w:val="en-US"/>
        </w:rPr>
        <w:t>PLT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и другой деятельности, связанной со стандартизацией, в частности по организации узкополосных домашних сетей.</w:t>
      </w:r>
    </w:p>
    <w:p w:rsidR="000379F6" w:rsidRPr="00CA4549" w:rsidRDefault="000379F6" w:rsidP="000379F6">
      <w:pPr>
        <w:numPr>
          <w:ilvl w:val="0"/>
          <w:numId w:val="3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Деятельность ИК13 МСЭ-Т в области стандартов будущих сетей и сетей последующих поколений, а также управления мобильностью и конвергенции фиксированной и подвижной </w:t>
      </w:r>
      <w:r w:rsidRPr="00CA4549">
        <w:rPr>
          <w:rFonts w:asciiTheme="majorBidi" w:hAnsiTheme="majorBidi" w:cstheme="majorBidi"/>
          <w:szCs w:val="22"/>
          <w:lang w:val="ru-RU"/>
        </w:rPr>
        <w:lastRenderedPageBreak/>
        <w:t>связи, учитывая, в частности, исследования, проводимые в настоящее время в ИК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4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и ИК5 МСЭ-</w:t>
      </w:r>
      <w:r w:rsidRPr="00CA4549">
        <w:rPr>
          <w:rFonts w:asciiTheme="majorBidi" w:hAnsiTheme="majorBidi" w:cstheme="majorBidi"/>
          <w:szCs w:val="22"/>
        </w:rPr>
        <w:t>R</w:t>
      </w:r>
      <w:r w:rsidRPr="00CA4549">
        <w:rPr>
          <w:rFonts w:asciiTheme="majorBidi" w:hAnsiTheme="majorBidi" w:cstheme="majorBidi"/>
          <w:szCs w:val="22"/>
          <w:lang w:val="ru-RU"/>
        </w:rPr>
        <w:t>.</w:t>
      </w:r>
    </w:p>
    <w:p w:rsidR="000379F6" w:rsidRPr="00CA4549" w:rsidRDefault="000379F6" w:rsidP="000379F6">
      <w:pPr>
        <w:numPr>
          <w:ilvl w:val="0"/>
          <w:numId w:val="3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Недавние совместные обсуждения с МСЭ-Т, ИСО и МЭК вопросов, связанных с правами интеллектуальной собственности (ПИС), включали разработку и утверждение пересмотренных Руководящих указаний по внедрению общей патентной политики МСЭ</w:t>
      </w:r>
      <w:r w:rsidRPr="00CA4549">
        <w:rPr>
          <w:rFonts w:asciiTheme="majorBidi" w:hAnsiTheme="majorBidi" w:cstheme="majorBidi"/>
          <w:szCs w:val="22"/>
          <w:lang w:val="ru-RU"/>
        </w:rPr>
        <w:noBreakHyphen/>
        <w:t>Т/МСЭ-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/ИСО/МЭК.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Это руководящие указания были подготовлены Целевой группой по патентам Всемирного сотрудничества по стандартам (ВСС) и содержат все пересмотры, предложенные МСЭ/ИСО/МЭК со времени принятия Руководящих указаний по общей патентной политике в марте 2007 года, в частности пояснение толкования термина "патент" и введение нового пункта "Присвоение или передача патентных прав".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В дополнение к этому недавние совместные обсуждения с МСЭ-Т включали разработку и утверждение пересмотренных Руководящих указаний МСЭ в области авторских прав на программное обеспечение. </w:t>
      </w:r>
    </w:p>
    <w:p w:rsidR="000379F6" w:rsidRPr="00CA4549" w:rsidRDefault="000379F6" w:rsidP="000379F6">
      <w:pPr>
        <w:numPr>
          <w:ilvl w:val="0"/>
          <w:numId w:val="3"/>
        </w:numPr>
        <w:textAlignment w:val="auto"/>
        <w:rPr>
          <w:rFonts w:asciiTheme="majorBidi" w:eastAsia="MS Mincho" w:hAnsiTheme="majorBidi" w:cstheme="majorBidi"/>
          <w:szCs w:val="22"/>
          <w:lang w:val="ru-RU" w:eastAsia="ja-JP"/>
        </w:rPr>
      </w:pPr>
      <w:r w:rsidRPr="00CA4549">
        <w:rPr>
          <w:rFonts w:asciiTheme="majorBidi" w:eastAsia="MS Mincho" w:hAnsiTheme="majorBidi" w:cstheme="majorBidi"/>
          <w:szCs w:val="22"/>
          <w:lang w:val="ru-RU" w:eastAsia="ja-JP"/>
        </w:rPr>
        <w:t>Деятельность Оперативной группы по доступности аудиовизуальных средств массовой информации (ОГ-</w:t>
      </w:r>
      <w:r w:rsidRPr="00CA4549">
        <w:rPr>
          <w:rFonts w:asciiTheme="majorBidi" w:eastAsia="MS Mincho" w:hAnsiTheme="majorBidi" w:cstheme="majorBidi"/>
          <w:szCs w:val="22"/>
          <w:lang w:val="en-US" w:eastAsia="ja-JP"/>
        </w:rPr>
        <w:t>AVA</w:t>
      </w:r>
      <w:r w:rsidRPr="00CA4549">
        <w:rPr>
          <w:rFonts w:asciiTheme="majorBidi" w:eastAsia="MS Mincho" w:hAnsiTheme="majorBidi" w:cstheme="majorBidi"/>
          <w:szCs w:val="22"/>
          <w:lang w:val="ru-RU" w:eastAsia="ja-JP"/>
        </w:rPr>
        <w:t>) под эгидой 16-й Исследовательской комиссии МСЭ-</w:t>
      </w:r>
      <w:proofErr w:type="gramStart"/>
      <w:r w:rsidRPr="00CA4549">
        <w:rPr>
          <w:rFonts w:asciiTheme="majorBidi" w:eastAsia="MS Mincho" w:hAnsiTheme="majorBidi" w:cstheme="majorBidi"/>
          <w:szCs w:val="22"/>
          <w:lang w:val="ru-RU" w:eastAsia="ja-JP"/>
        </w:rPr>
        <w:t>T</w:t>
      </w:r>
      <w:proofErr w:type="gramEnd"/>
      <w:r w:rsidRPr="00CA4549">
        <w:rPr>
          <w:rFonts w:asciiTheme="majorBidi" w:eastAsia="MS Mincho" w:hAnsiTheme="majorBidi" w:cstheme="majorBidi"/>
          <w:szCs w:val="22"/>
          <w:lang w:val="ru-RU" w:eastAsia="ja-JP"/>
        </w:rPr>
        <w:t xml:space="preserve"> и Группы МСЭ-Т по совместной координационной деятельности по возможностям доступа и человеческим факторам (JCA-AHF), касающаяся новых технических стандартов в помощь лицам с ограниченными возможностями. </w:t>
      </w:r>
    </w:p>
    <w:p w:rsidR="000379F6" w:rsidRPr="00CA4549" w:rsidRDefault="000379F6" w:rsidP="000379F6">
      <w:pPr>
        <w:numPr>
          <w:ilvl w:val="0"/>
          <w:numId w:val="3"/>
        </w:numPr>
        <w:textAlignment w:val="auto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eastAsia="Batang" w:hAnsiTheme="majorBidi" w:cstheme="majorBidi"/>
          <w:szCs w:val="22"/>
          <w:lang w:val="ru-RU" w:eastAsia="ko-KR"/>
        </w:rPr>
        <w:t>БР представило 5-й Исследовательской комиссии МСЭ-</w:t>
      </w:r>
      <w:proofErr w:type="gramStart"/>
      <w:r w:rsidRPr="00CA4549">
        <w:rPr>
          <w:rFonts w:asciiTheme="majorBidi" w:eastAsia="Batang" w:hAnsiTheme="majorBidi" w:cstheme="majorBidi"/>
          <w:szCs w:val="22"/>
          <w:lang w:val="ru-RU" w:eastAsia="ko-KR"/>
        </w:rPr>
        <w:t>T</w:t>
      </w:r>
      <w:proofErr w:type="gramEnd"/>
      <w:r w:rsidRPr="00CA4549">
        <w:rPr>
          <w:rFonts w:asciiTheme="majorBidi" w:eastAsia="Batang" w:hAnsiTheme="majorBidi" w:cstheme="majorBidi"/>
          <w:szCs w:val="22"/>
          <w:lang w:val="ru-RU" w:eastAsia="ko-KR"/>
        </w:rPr>
        <w:t xml:space="preserve"> вклад относительно исследований МСЭ-R в области изменения климата, а также подготовило брошюру "Радиосвязь и изменение климата". </w:t>
      </w:r>
      <w:proofErr w:type="gramStart"/>
      <w:r w:rsidRPr="00CA4549">
        <w:rPr>
          <w:rFonts w:asciiTheme="majorBidi" w:eastAsia="Batang" w:hAnsiTheme="majorBidi" w:cstheme="majorBidi"/>
          <w:szCs w:val="22"/>
          <w:lang w:val="ru-RU" w:eastAsia="ko-KR"/>
        </w:rPr>
        <w:t>В брошюре представлен обзор применения систем радиосвязи для мониторинга различных проявлений изменения климата и их последствий, а также применения ИКТ и радиосвязи в качестве одного из решений задачи глобального сокращения потребления энергии.</w:t>
      </w:r>
      <w:proofErr w:type="gramEnd"/>
    </w:p>
    <w:p w:rsidR="000379F6" w:rsidRPr="00CA4549" w:rsidRDefault="000379F6" w:rsidP="000379F6">
      <w:pPr>
        <w:spacing w:before="240" w:after="120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 xml:space="preserve">Сохраняется требование в отношении тесной координации по ряду тем, рассматриваемых МСЭ-Т, которые пересекаются с вопросами радиосвязи, с 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тем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чтобы уменьшить вероятность частичного совпадения, дублирования и противоречий в работе двух Секторов.</w:t>
      </w:r>
    </w:p>
    <w:p w:rsidR="000379F6" w:rsidRPr="00CA4549" w:rsidRDefault="000379F6" w:rsidP="000379F6">
      <w:pPr>
        <w:spacing w:after="120"/>
        <w:ind w:right="-284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i/>
          <w:szCs w:val="22"/>
          <w:lang w:val="ru-RU"/>
        </w:rPr>
        <w:t>В отношении других организаций</w:t>
      </w:r>
      <w:r w:rsidRPr="00CA4549">
        <w:rPr>
          <w:rFonts w:asciiTheme="majorBidi" w:hAnsiTheme="majorBidi" w:cstheme="majorBidi"/>
          <w:szCs w:val="22"/>
          <w:lang w:val="ru-RU"/>
        </w:rPr>
        <w:t>: продолжалось плодотворное взаимодействие исследовательских комиссий МСЭ-</w:t>
      </w:r>
      <w:proofErr w:type="gramStart"/>
      <w:r w:rsidRPr="00CA4549">
        <w:rPr>
          <w:rFonts w:asciiTheme="majorBidi" w:hAnsiTheme="majorBidi" w:cstheme="majorBidi"/>
          <w:szCs w:val="22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и других организаций при надлежащем учете Резолюции МСЭ-</w:t>
      </w:r>
      <w:r w:rsidRPr="00CA4549">
        <w:rPr>
          <w:rFonts w:asciiTheme="majorBidi" w:hAnsiTheme="majorBidi" w:cstheme="majorBidi"/>
          <w:szCs w:val="22"/>
        </w:rPr>
        <w:t>R</w:t>
      </w:r>
      <w:r w:rsidRPr="00CA4549">
        <w:rPr>
          <w:rFonts w:asciiTheme="majorBidi" w:hAnsiTheme="majorBidi" w:cstheme="majorBidi"/>
          <w:szCs w:val="22"/>
          <w:lang w:val="ru-RU"/>
        </w:rPr>
        <w:t xml:space="preserve"> 9-3 в соответствующих случаях. Представители МСЭ-</w:t>
      </w:r>
      <w:proofErr w:type="gramStart"/>
      <w:r w:rsidRPr="00CA4549">
        <w:rPr>
          <w:rFonts w:asciiTheme="majorBidi" w:hAnsiTheme="majorBidi" w:cstheme="majorBidi"/>
          <w:szCs w:val="22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 xml:space="preserve"> и БР продолжили активно участвовать в работе Глобального сотрудничества по стандартам (ГСС). Кроме того, очевидным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</w:t>
      </w:r>
      <w:r w:rsidRPr="00CA4549">
        <w:rPr>
          <w:rFonts w:asciiTheme="majorBidi" w:hAnsiTheme="majorBidi" w:cstheme="majorBidi"/>
          <w:szCs w:val="22"/>
        </w:rPr>
        <w:t>SFCG</w:t>
      </w:r>
      <w:r w:rsidRPr="00CA4549">
        <w:rPr>
          <w:rFonts w:asciiTheme="majorBidi" w:hAnsiTheme="majorBidi" w:cstheme="majorBidi"/>
          <w:szCs w:val="22"/>
          <w:lang w:val="ru-RU"/>
        </w:rPr>
        <w:t xml:space="preserve">, НАСА, ЕКА, </w:t>
      </w:r>
      <w:r w:rsidRPr="00CA4549">
        <w:rPr>
          <w:rFonts w:asciiTheme="majorBidi" w:hAnsiTheme="majorBidi" w:cstheme="majorBidi"/>
          <w:szCs w:val="22"/>
        </w:rPr>
        <w:t>JAXA</w:t>
      </w:r>
      <w:r w:rsidRPr="00CA4549">
        <w:rPr>
          <w:rFonts w:asciiTheme="majorBidi" w:hAnsiTheme="majorBidi" w:cstheme="majorBidi"/>
          <w:szCs w:val="22"/>
          <w:lang w:val="ru-RU"/>
        </w:rPr>
        <w:t>) и воздействия ЭМП (ВОЗ).</w:t>
      </w:r>
    </w:p>
    <w:p w:rsidR="000379F6" w:rsidRPr="00CA4549" w:rsidRDefault="000379F6" w:rsidP="00CA4549">
      <w:pPr>
        <w:keepNext/>
        <w:spacing w:before="360" w:after="120"/>
        <w:rPr>
          <w:rFonts w:asciiTheme="majorBidi" w:hAnsiTheme="majorBidi" w:cstheme="majorBidi"/>
          <w:b/>
          <w:bCs/>
          <w:szCs w:val="22"/>
          <w:lang w:val="ru-RU"/>
        </w:rPr>
      </w:pPr>
      <w:r w:rsidRPr="00CA4549">
        <w:rPr>
          <w:rFonts w:asciiTheme="majorBidi" w:hAnsiTheme="majorBidi" w:cstheme="majorBidi"/>
          <w:b/>
          <w:bCs/>
          <w:szCs w:val="22"/>
          <w:lang w:val="ru-RU"/>
        </w:rPr>
        <w:t>9</w:t>
      </w:r>
      <w:r w:rsidRPr="00CA4549">
        <w:rPr>
          <w:rFonts w:asciiTheme="majorBidi" w:hAnsiTheme="majorBidi" w:cstheme="majorBidi"/>
          <w:b/>
          <w:bCs/>
          <w:szCs w:val="22"/>
          <w:lang w:val="ru-RU"/>
        </w:rPr>
        <w:tab/>
        <w:t>Межсекторальная деятельность по другим вопросам</w:t>
      </w:r>
    </w:p>
    <w:p w:rsidR="000379F6" w:rsidRPr="00CA4549" w:rsidRDefault="000379F6" w:rsidP="000379F6">
      <w:pPr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БР принимало активное участие в межсекторальной деятельности по другим, актуальным для работы исследовательских комиссий МСЭ-</w:t>
      </w:r>
      <w:proofErr w:type="gramStart"/>
      <w:r w:rsidRPr="00CA4549">
        <w:rPr>
          <w:rFonts w:asciiTheme="majorBidi" w:hAnsiTheme="majorBidi" w:cstheme="majorBidi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Cs w:val="22"/>
          <w:lang w:val="ru-RU"/>
        </w:rPr>
        <w:t>, вопросам, которые представлены ниже.</w:t>
      </w:r>
    </w:p>
    <w:p w:rsidR="000379F6" w:rsidRPr="00CA4549" w:rsidRDefault="000379F6" w:rsidP="000379F6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14" w:hanging="357"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i/>
          <w:sz w:val="22"/>
          <w:szCs w:val="22"/>
          <w:lang w:val="ru-RU"/>
        </w:rPr>
        <w:t>Всемирная встреча на высшем уровне по вопросам информационного общества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: осуществлялся ряд направлений деятельности в соответствии с Резолюцией МСЭ-R 61 (Вклад МСЭ-R в выполнение решений ВВУИО), в частности по Направлениям деятельности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C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2 и С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6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Наряду с участием в Целевой группе МСЭ по ВВУИО эта деятельность включала представление РГ-ВВУИО Совета сводок результатов деятельности МСЭ-R по выполнению решений ВВУИО и Резолюции 140 (Пересм.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Гвадалахара, 2010 г.).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Следует также отметить эффективное участие в </w:t>
      </w:r>
      <w:hyperlink r:id="rId10" w:history="1">
        <w:r w:rsidRPr="00CA4549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Форуме ВВУИО</w:t>
        </w:r>
      </w:hyperlink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(Женева, 14–18 мая 2012 г.), в частности по вопросам, относящимся к Направлению деятельности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C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2, таким как "Инновационные технологии и новые возможности, обеспечивающие доступ к ИКТ: переход от аналогового к цифровому наземному телевидению и цифровой дивиденд", и к Направлению деятельности С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7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по электронной охране окружающей среде с совместной презентацией МСЭ/ВМО по вопросам мониторинга изменения климата и снижения риска бедствий.</w:t>
      </w:r>
    </w:p>
    <w:p w:rsidR="000379F6" w:rsidRPr="00CA4549" w:rsidRDefault="000379F6" w:rsidP="000379F6">
      <w:pPr>
        <w:pStyle w:val="NormalWeb"/>
        <w:numPr>
          <w:ilvl w:val="0"/>
          <w:numId w:val="6"/>
        </w:numPr>
        <w:spacing w:before="120" w:beforeAutospacing="0" w:after="0" w:afterAutospacing="0"/>
        <w:rPr>
          <w:rFonts w:asciiTheme="majorBidi" w:hAnsiTheme="majorBidi" w:cstheme="majorBidi"/>
          <w:sz w:val="22"/>
          <w:szCs w:val="22"/>
          <w:lang w:val="ru-RU"/>
        </w:rPr>
      </w:pPr>
      <w:proofErr w:type="gramStart"/>
      <w:r w:rsidRPr="00CA4549">
        <w:rPr>
          <w:rFonts w:asciiTheme="majorBidi" w:hAnsiTheme="majorBidi" w:cstheme="majorBidi"/>
          <w:i/>
          <w:iCs/>
          <w:sz w:val="22"/>
          <w:szCs w:val="22"/>
          <w:lang w:val="ru-RU"/>
        </w:rPr>
        <w:t>Изменение климата и связь в чрезвычайных ситуациях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межсекторальная деятельность, координируемая Целевой группой МСЭ по изменению климата и радиосвязи в чрезвычайных </w:t>
      </w:r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lastRenderedPageBreak/>
        <w:t>ситуациях и относящаяся к выполнению Резолюции 136 (Пересм.</w:t>
      </w:r>
      <w:proofErr w:type="gramEnd"/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>Гвадалахара, 2010 г.), в которой БР принимает активное участие, включая подготовку участия и участие МСЭ в Конференции Организации Объединенных Наций по устойчивому развитию (</w:t>
      </w:r>
      <w:hyperlink r:id="rId11" w:history="1">
        <w:r w:rsidRPr="00CA4549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Рио+20</w:t>
        </w:r>
      </w:hyperlink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>).</w:t>
      </w:r>
      <w:proofErr w:type="gramEnd"/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color w:val="000000"/>
          <w:sz w:val="22"/>
          <w:szCs w:val="22"/>
          <w:lang w:val="ru-RU"/>
        </w:rPr>
        <w:t>БР также приняло участие в межучрежденческом совещании Организации Объединенных Наций по вопросам использования космического пространства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, внеся свой вклад в отчет об использовании в системе Организации Объединенных Наций космических технологий для решения проблемы изменения климата.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АР-12 приняла</w:t>
      </w:r>
      <w:bookmarkStart w:id="5" w:name="_GoBack"/>
      <w:bookmarkEnd w:id="5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Резолюцию МСЭ-R 60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ИКТ/радиосвязи), которая обусловит выполнение дополнительных видов деятельности.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В связи с этим была подготовлена специальная брошюра, озаглавленная "Радиосвязь и изменение климата", в которой представлен обзор применения систем радиосвязи для мониторинга различных проявлений изменения климата и их влияния, а также применения ИКТ и радиосвязи в качестве одного из решений 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задачи </w:t>
      </w:r>
      <w:r w:rsidRPr="00CA4549">
        <w:rPr>
          <w:rFonts w:asciiTheme="majorBidi" w:eastAsia="Batang" w:hAnsiTheme="majorBidi" w:cstheme="majorBidi"/>
          <w:sz w:val="22"/>
          <w:szCs w:val="22"/>
          <w:lang w:val="ru-RU" w:eastAsia="ko-KR"/>
        </w:rPr>
        <w:t>глобального сокращения потребления энергии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>. МСЭ-</w:t>
      </w:r>
      <w:proofErr w:type="gramStart"/>
      <w:r w:rsidRPr="00CA4549">
        <w:rPr>
          <w:rFonts w:asciiTheme="majorBidi" w:hAnsiTheme="majorBidi" w:cstheme="majorBidi"/>
          <w:sz w:val="22"/>
          <w:szCs w:val="22"/>
          <w:lang w:val="ru-RU"/>
        </w:rPr>
        <w:t>R</w:t>
      </w:r>
      <w:proofErr w:type="gramEnd"/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продолжает деятельность, связанную с выполнением Резолюции МСЭ-R 53 (Использование радиосвязи в целях реагирования и оказания помощи при бедствиях) и Резолюции МСЭ-R 55 (Исследования МСЭ-R в области прогнозирования, обнаружения, смягчения последствий бедствий и оказания помощи при бедствиях).</w:t>
      </w:r>
    </w:p>
    <w:p w:rsidR="000379F6" w:rsidRPr="00CA4549" w:rsidRDefault="000379F6" w:rsidP="000379F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i/>
          <w:sz w:val="22"/>
          <w:szCs w:val="22"/>
          <w:lang w:val="ru-RU"/>
        </w:rPr>
        <w:t>Комиссия по широкополосной связи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: в поддержку деятельности </w:t>
      </w:r>
      <w:hyperlink r:id="rId12" w:history="1">
        <w:r w:rsidRPr="00CA4549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Комиссии по широкополосной связи</w:t>
        </w:r>
      </w:hyperlink>
      <w:r w:rsidRPr="00CA4549">
        <w:rPr>
          <w:rStyle w:val="Hyperlink"/>
          <w:rFonts w:asciiTheme="majorBidi" w:hAnsiTheme="majorBidi" w:cstheme="majorBidi"/>
          <w:sz w:val="22"/>
          <w:szCs w:val="22"/>
          <w:u w:val="none"/>
          <w:lang w:val="ru-RU"/>
        </w:rPr>
        <w:t xml:space="preserve"> 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была сформирована межсекторальная группа МСЭ Комиссии по широкополосной связи. В качестве примера систем ИКТ, способных обеспечить своевременный и эффективный доступ к приложениям широкополосной связи, особо отмечалась роль радиосвязи, в особенности подвижной широкополосной связи, включая системы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IMT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0379F6" w:rsidRPr="00CA4549" w:rsidRDefault="000379F6" w:rsidP="000379F6">
      <w:pPr>
        <w:pStyle w:val="ListParagraph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contextualSpacing w:val="0"/>
        <w:jc w:val="left"/>
        <w:rPr>
          <w:rFonts w:asciiTheme="majorBidi" w:hAnsiTheme="majorBidi" w:cstheme="majorBidi"/>
          <w:sz w:val="22"/>
          <w:szCs w:val="22"/>
          <w:lang w:val="ru-RU"/>
        </w:rPr>
      </w:pPr>
      <w:r w:rsidRPr="00CA4549">
        <w:rPr>
          <w:rFonts w:asciiTheme="majorBidi" w:hAnsiTheme="majorBidi" w:cstheme="majorBidi"/>
          <w:i/>
          <w:iCs/>
          <w:sz w:val="22"/>
          <w:szCs w:val="22"/>
          <w:lang w:val="ru-RU"/>
        </w:rPr>
        <w:t>Подготовка к собраниям МСЭ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: БР принимает участие в деятельности по подготовке к мероприятиям, конференциям и собраниям МСЭ, включая Всемирное мероприятие </w:t>
      </w:r>
      <w:r w:rsidRPr="00CA4549">
        <w:rPr>
          <w:rFonts w:asciiTheme="majorBidi" w:hAnsiTheme="majorBidi" w:cstheme="majorBidi"/>
          <w:sz w:val="22"/>
          <w:szCs w:val="22"/>
          <w:lang w:val="en-US"/>
        </w:rPr>
        <w:t>ITU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CA4549">
        <w:rPr>
          <w:rFonts w:asciiTheme="majorBidi" w:hAnsiTheme="majorBidi" w:cstheme="majorBidi"/>
          <w:sz w:val="22"/>
          <w:szCs w:val="22"/>
        </w:rPr>
        <w:t>Telecom</w:t>
      </w:r>
      <w:r w:rsidRPr="00CA4549">
        <w:rPr>
          <w:rFonts w:asciiTheme="majorBidi" w:hAnsiTheme="majorBidi" w:cstheme="majorBidi"/>
          <w:sz w:val="22"/>
          <w:szCs w:val="22"/>
          <w:lang w:val="ru-RU"/>
        </w:rPr>
        <w:t>-2012, ВКМЭ-12, ВАСЭ-12 и ВФПЭ-13.</w:t>
      </w:r>
    </w:p>
    <w:p w:rsidR="000379F6" w:rsidRPr="00CA4549" w:rsidRDefault="000379F6" w:rsidP="00D76C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0"/>
        <w:ind w:left="357"/>
        <w:rPr>
          <w:rFonts w:asciiTheme="majorBidi" w:hAnsiTheme="majorBidi" w:cstheme="majorBidi"/>
          <w:szCs w:val="22"/>
          <w:lang w:val="ru-RU"/>
        </w:rPr>
      </w:pPr>
      <w:r w:rsidRPr="00CA4549">
        <w:rPr>
          <w:rFonts w:asciiTheme="majorBidi" w:hAnsiTheme="majorBidi" w:cstheme="majorBidi"/>
          <w:szCs w:val="22"/>
          <w:lang w:val="ru-RU"/>
        </w:rPr>
        <w:t>Приложение: 1</w:t>
      </w:r>
    </w:p>
    <w:p w:rsidR="000379F6" w:rsidRPr="001678CB" w:rsidRDefault="000379F6" w:rsidP="000379F6">
      <w:pPr>
        <w:keepNext/>
        <w:keepLines/>
        <w:pageBreakBefore/>
        <w:spacing w:before="240" w:after="120"/>
        <w:jc w:val="center"/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</w:pPr>
      <w:r w:rsidRPr="001678CB"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lastRenderedPageBreak/>
        <w:t>ПРИЛОЖЕНИЕ 1</w:t>
      </w:r>
    </w:p>
    <w:p w:rsidR="000379F6" w:rsidRPr="001678CB" w:rsidRDefault="000379F6" w:rsidP="000379F6">
      <w:pPr>
        <w:spacing w:before="360" w:after="600"/>
        <w:jc w:val="center"/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</w:pPr>
      <w:r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>СООБРАЖЕНИЯ ОТНОСИТЕЛЬНО</w:t>
      </w:r>
      <w:r w:rsidRPr="001678CB"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 xml:space="preserve"> ДИСТАНЦИОННОГО УЧАСТИЯ В</w:t>
      </w:r>
      <w:r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> </w:t>
      </w:r>
      <w:r w:rsidRPr="001678CB"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>СОБРАНИЯХ МСЭ-</w:t>
      </w:r>
      <w:proofErr w:type="gramStart"/>
      <w:r w:rsidRPr="001678CB"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>R</w:t>
      </w:r>
      <w:proofErr w:type="gramEnd"/>
      <w:r w:rsidRPr="001678CB">
        <w:rPr>
          <w:rFonts w:asciiTheme="majorBidi" w:hAnsiTheme="majorBidi" w:cstheme="majorBidi"/>
          <w:bCs/>
          <w:caps/>
          <w:sz w:val="28"/>
          <w:szCs w:val="28"/>
          <w:lang w:val="ru-RU" w:eastAsia="ja-JP"/>
        </w:rPr>
        <w:t xml:space="preserve"> </w:t>
      </w:r>
    </w:p>
    <w:p w:rsidR="000379F6" w:rsidRPr="001678CB" w:rsidRDefault="000379F6" w:rsidP="000379F6">
      <w:pPr>
        <w:spacing w:before="360"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>Некоторые делегаты уже прин</w:t>
      </w:r>
      <w:r>
        <w:rPr>
          <w:rFonts w:asciiTheme="majorBidi" w:hAnsiTheme="majorBidi" w:cstheme="majorBidi"/>
          <w:szCs w:val="24"/>
          <w:lang w:val="ru-RU"/>
        </w:rPr>
        <w:t>има</w:t>
      </w:r>
      <w:r w:rsidRPr="001678CB">
        <w:rPr>
          <w:rFonts w:asciiTheme="majorBidi" w:hAnsiTheme="majorBidi" w:cstheme="majorBidi"/>
          <w:szCs w:val="24"/>
          <w:lang w:val="ru-RU"/>
        </w:rPr>
        <w:t>ли дистанционное участие в собраниях МСЭ</w:t>
      </w:r>
      <w:r>
        <w:rPr>
          <w:rFonts w:asciiTheme="majorBidi" w:hAnsiTheme="majorBidi" w:cstheme="majorBidi"/>
          <w:szCs w:val="24"/>
          <w:lang w:val="ru-RU"/>
        </w:rPr>
        <w:t>.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 xml:space="preserve">Это были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собрания 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1678CB">
        <w:rPr>
          <w:rFonts w:asciiTheme="majorBidi" w:hAnsiTheme="majorBidi" w:cstheme="majorBidi"/>
          <w:szCs w:val="24"/>
          <w:lang w:val="ru-RU"/>
        </w:rPr>
        <w:t>сследовательских комиссий и рабочих групп МСЭ-</w:t>
      </w:r>
      <w:proofErr w:type="gramStart"/>
      <w:r w:rsidRPr="001678CB">
        <w:rPr>
          <w:rFonts w:asciiTheme="majorBidi" w:hAnsiTheme="majorBidi" w:cstheme="majorBidi"/>
          <w:szCs w:val="24"/>
          <w:lang w:val="ru-RU"/>
        </w:rPr>
        <w:t>T</w:t>
      </w:r>
      <w:proofErr w:type="gramEnd"/>
      <w:r w:rsidRPr="001678CB">
        <w:rPr>
          <w:rFonts w:asciiTheme="majorBidi" w:hAnsiTheme="majorBidi" w:cstheme="majorBidi"/>
          <w:szCs w:val="24"/>
          <w:lang w:val="ru-RU"/>
        </w:rPr>
        <w:t xml:space="preserve">, семинары-практикумы, собрания рабочих групп Совета МСЭ, собрания МСЭ-D, а также заседания Комиссии по широкополосной связи и Форум ВВУИО. Таким образом, электронное участие становится </w:t>
      </w:r>
      <w:r>
        <w:rPr>
          <w:rFonts w:asciiTheme="majorBidi" w:hAnsiTheme="majorBidi" w:cstheme="majorBidi"/>
          <w:szCs w:val="24"/>
          <w:lang w:val="ru-RU"/>
        </w:rPr>
        <w:t>неотъемлемой чертой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методов работы МСЭ.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>Одним из главных преимуществ электронного участия является возможность увеличения</w:t>
      </w:r>
      <w:r>
        <w:rPr>
          <w:rFonts w:asciiTheme="majorBidi" w:hAnsiTheme="majorBidi" w:cstheme="majorBidi"/>
          <w:szCs w:val="24"/>
          <w:lang w:val="ru-RU"/>
        </w:rPr>
        <w:t xml:space="preserve"> масштаба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регионального участия и более </w:t>
      </w:r>
      <w:r>
        <w:rPr>
          <w:rFonts w:asciiTheme="majorBidi" w:hAnsiTheme="majorBidi" w:cstheme="majorBidi"/>
          <w:szCs w:val="24"/>
          <w:lang w:val="ru-RU"/>
        </w:rPr>
        <w:t>полного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представительства делегатов </w:t>
      </w:r>
      <w:r>
        <w:rPr>
          <w:rFonts w:asciiTheme="majorBidi" w:hAnsiTheme="majorBidi" w:cstheme="majorBidi"/>
          <w:szCs w:val="24"/>
          <w:lang w:val="ru-RU"/>
        </w:rPr>
        <w:t>от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развивающихся стран. Помимо обеспечения гибкости для делегатов электронное участие является одним из важных элементов непрерывности деятельности, </w:t>
      </w:r>
      <w:proofErr w:type="gramStart"/>
      <w:r w:rsidRPr="001678CB">
        <w:rPr>
          <w:rFonts w:asciiTheme="majorBidi" w:hAnsiTheme="majorBidi" w:cstheme="majorBidi"/>
          <w:szCs w:val="24"/>
          <w:lang w:val="ru-RU"/>
        </w:rPr>
        <w:t>например</w:t>
      </w:r>
      <w:proofErr w:type="gramEnd"/>
      <w:r w:rsidRPr="001678CB">
        <w:rPr>
          <w:rFonts w:asciiTheme="majorBidi" w:hAnsiTheme="majorBidi" w:cstheme="majorBidi"/>
          <w:szCs w:val="24"/>
          <w:lang w:val="ru-RU"/>
        </w:rPr>
        <w:t xml:space="preserve"> когда собрания прерываются </w:t>
      </w:r>
      <w:r>
        <w:rPr>
          <w:rFonts w:asciiTheme="majorBidi" w:hAnsiTheme="majorBidi" w:cstheme="majorBidi"/>
          <w:szCs w:val="24"/>
          <w:lang w:val="ru-RU"/>
        </w:rPr>
        <w:t xml:space="preserve">в результате </w:t>
      </w:r>
      <w:r w:rsidRPr="001678CB">
        <w:rPr>
          <w:rFonts w:asciiTheme="majorBidi" w:hAnsiTheme="majorBidi" w:cstheme="majorBidi"/>
          <w:szCs w:val="24"/>
          <w:lang w:val="ru-RU"/>
        </w:rPr>
        <w:t>непредвиденны</w:t>
      </w:r>
      <w:r>
        <w:rPr>
          <w:rFonts w:asciiTheme="majorBidi" w:hAnsiTheme="majorBidi" w:cstheme="majorBidi"/>
          <w:szCs w:val="24"/>
          <w:lang w:val="ru-RU"/>
        </w:rPr>
        <w:t>х событий</w:t>
      </w:r>
      <w:r w:rsidRPr="001678CB">
        <w:rPr>
          <w:rFonts w:asciiTheme="majorBidi" w:hAnsiTheme="majorBidi" w:cstheme="majorBidi"/>
          <w:szCs w:val="24"/>
          <w:lang w:val="ru-RU"/>
        </w:rPr>
        <w:t>. Внедрение этой технологии позволит обеспечить более широкое участие в деятельности МСЭ и экономию средств</w:t>
      </w:r>
      <w:r>
        <w:rPr>
          <w:rFonts w:asciiTheme="majorBidi" w:hAnsiTheme="majorBidi" w:cstheme="majorBidi"/>
          <w:szCs w:val="24"/>
          <w:lang w:val="ru-RU"/>
        </w:rPr>
        <w:t>,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в первую очередь для </w:t>
      </w:r>
      <w:r>
        <w:rPr>
          <w:rFonts w:asciiTheme="majorBidi" w:hAnsiTheme="majorBidi" w:cstheme="majorBidi"/>
          <w:szCs w:val="24"/>
          <w:lang w:val="ru-RU"/>
        </w:rPr>
        <w:t>ч</w:t>
      </w:r>
      <w:r w:rsidRPr="001678CB">
        <w:rPr>
          <w:rFonts w:asciiTheme="majorBidi" w:hAnsiTheme="majorBidi" w:cstheme="majorBidi"/>
          <w:szCs w:val="24"/>
          <w:lang w:val="ru-RU"/>
        </w:rPr>
        <w:t xml:space="preserve">ленов, </w:t>
      </w:r>
      <w:r>
        <w:rPr>
          <w:rFonts w:asciiTheme="majorBidi" w:hAnsiTheme="majorBidi" w:cstheme="majorBidi"/>
          <w:szCs w:val="24"/>
          <w:lang w:val="ru-RU"/>
        </w:rPr>
        <w:t>например в результате сокращения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путевы</w:t>
      </w:r>
      <w:r>
        <w:rPr>
          <w:rFonts w:asciiTheme="majorBidi" w:hAnsiTheme="majorBidi" w:cstheme="majorBidi"/>
          <w:szCs w:val="24"/>
          <w:lang w:val="ru-RU"/>
        </w:rPr>
        <w:t>х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затрат</w:t>
      </w:r>
      <w:r w:rsidRPr="001678CB"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212A74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Накопленный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к настоящему </w:t>
      </w:r>
      <w:r>
        <w:rPr>
          <w:rFonts w:asciiTheme="majorBidi" w:hAnsiTheme="majorBidi" w:cstheme="majorBidi"/>
          <w:szCs w:val="24"/>
          <w:lang w:val="ru-RU"/>
        </w:rPr>
        <w:t>времени опыт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 xml:space="preserve">позволил </w:t>
      </w:r>
      <w:r w:rsidRPr="001678CB">
        <w:rPr>
          <w:rFonts w:asciiTheme="majorBidi" w:hAnsiTheme="majorBidi" w:cstheme="majorBidi"/>
          <w:szCs w:val="24"/>
          <w:lang w:val="ru-RU"/>
        </w:rPr>
        <w:t>выяви</w:t>
      </w:r>
      <w:r>
        <w:rPr>
          <w:rFonts w:asciiTheme="majorBidi" w:hAnsiTheme="majorBidi" w:cstheme="majorBidi"/>
          <w:szCs w:val="24"/>
          <w:lang w:val="ru-RU"/>
        </w:rPr>
        <w:t>ть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ряд процедурных</w:t>
      </w:r>
      <w:r w:rsidRPr="00745B74">
        <w:rPr>
          <w:szCs w:val="22"/>
          <w:lang w:val="ru-RU"/>
        </w:rPr>
        <w:t>, а также технических и эксплуатационных вопросов, требующих дальнейшего рассмотрения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. </w:t>
      </w:r>
      <w:r>
        <w:rPr>
          <w:rFonts w:asciiTheme="majorBidi" w:hAnsiTheme="majorBidi" w:cstheme="majorBidi"/>
          <w:szCs w:val="24"/>
          <w:lang w:val="ru-RU"/>
        </w:rPr>
        <w:t>Эти вопросы представлены</w:t>
      </w:r>
      <w:r w:rsidRPr="00212A74"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>в</w:t>
      </w:r>
      <w:r w:rsidRPr="00212A74"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>следующих</w:t>
      </w:r>
      <w:r>
        <w:rPr>
          <w:rFonts w:asciiTheme="majorBidi" w:hAnsiTheme="majorBidi" w:cstheme="majorBidi"/>
          <w:szCs w:val="24"/>
          <w:lang w:val="ru-RU"/>
        </w:rPr>
        <w:t xml:space="preserve"> ниже</w:t>
      </w:r>
      <w:r w:rsidRPr="00212A74"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>разделах</w:t>
      </w:r>
      <w:r w:rsidRPr="00212A74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настоящего</w:t>
      </w:r>
      <w:r w:rsidRPr="00212A74"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>Приложения</w:t>
      </w:r>
      <w:r w:rsidRPr="00212A74"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1678CB" w:rsidRDefault="000379F6" w:rsidP="00F67549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 xml:space="preserve">Несмотря на </w:t>
      </w:r>
      <w:r>
        <w:rPr>
          <w:rFonts w:asciiTheme="majorBidi" w:hAnsiTheme="majorBidi" w:cstheme="majorBidi"/>
          <w:szCs w:val="24"/>
          <w:lang w:val="ru-RU"/>
        </w:rPr>
        <w:t xml:space="preserve">существующие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проблемы, развертывание программы полностью дистанционного участия </w:t>
      </w:r>
      <w:r>
        <w:rPr>
          <w:rFonts w:asciiTheme="majorBidi" w:hAnsiTheme="majorBidi" w:cstheme="majorBidi"/>
          <w:szCs w:val="24"/>
          <w:lang w:val="ru-RU"/>
        </w:rPr>
        <w:t>может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вывести МСЭ на передовые позиции по сравнению с другими международными учреждениями и организациями ИКТ</w:t>
      </w:r>
      <w:r>
        <w:rPr>
          <w:rFonts w:asciiTheme="majorBidi" w:hAnsiTheme="majorBidi" w:cstheme="majorBidi"/>
          <w:szCs w:val="24"/>
          <w:lang w:val="ru-RU"/>
        </w:rPr>
        <w:t>, содейст</w:t>
      </w:r>
      <w:r w:rsidRPr="001678CB">
        <w:rPr>
          <w:rFonts w:asciiTheme="majorBidi" w:hAnsiTheme="majorBidi" w:cstheme="majorBidi"/>
          <w:szCs w:val="24"/>
          <w:lang w:val="ru-RU"/>
        </w:rPr>
        <w:t>в</w:t>
      </w:r>
      <w:r>
        <w:rPr>
          <w:rFonts w:asciiTheme="majorBidi" w:hAnsiTheme="majorBidi" w:cstheme="majorBidi"/>
          <w:szCs w:val="24"/>
          <w:lang w:val="ru-RU"/>
        </w:rPr>
        <w:t>уя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использованию технологи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1678CB">
        <w:rPr>
          <w:rFonts w:asciiTheme="majorBidi" w:hAnsiTheme="majorBidi" w:cstheme="majorBidi"/>
          <w:szCs w:val="24"/>
          <w:lang w:val="ru-RU"/>
        </w:rPr>
        <w:t>, котор</w:t>
      </w:r>
      <w:r>
        <w:rPr>
          <w:rFonts w:asciiTheme="majorBidi" w:hAnsiTheme="majorBidi" w:cstheme="majorBidi"/>
          <w:szCs w:val="24"/>
          <w:lang w:val="ru-RU"/>
        </w:rPr>
        <w:t>ая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расширя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т </w:t>
      </w:r>
      <w:r>
        <w:rPr>
          <w:rFonts w:asciiTheme="majorBidi" w:hAnsiTheme="majorBidi" w:cstheme="majorBidi"/>
          <w:szCs w:val="24"/>
          <w:lang w:val="ru-RU"/>
        </w:rPr>
        <w:t xml:space="preserve">масштабы </w:t>
      </w:r>
      <w:r w:rsidRPr="001678CB">
        <w:rPr>
          <w:rFonts w:asciiTheme="majorBidi" w:hAnsiTheme="majorBidi" w:cstheme="majorBidi"/>
          <w:szCs w:val="24"/>
          <w:lang w:val="ru-RU"/>
        </w:rPr>
        <w:t>участи</w:t>
      </w:r>
      <w:r>
        <w:rPr>
          <w:rFonts w:asciiTheme="majorBidi" w:hAnsiTheme="majorBidi" w:cstheme="majorBidi"/>
          <w:szCs w:val="24"/>
          <w:lang w:val="ru-RU"/>
        </w:rPr>
        <w:t>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 облада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т возможностью </w:t>
      </w:r>
      <w:r>
        <w:rPr>
          <w:rFonts w:asciiTheme="majorBidi" w:hAnsiTheme="majorBidi" w:cstheme="majorBidi"/>
          <w:szCs w:val="24"/>
          <w:lang w:val="ru-RU"/>
        </w:rPr>
        <w:t>сокр</w:t>
      </w:r>
      <w:r w:rsidR="00F67549">
        <w:rPr>
          <w:rFonts w:asciiTheme="majorBidi" w:hAnsiTheme="majorBidi" w:cstheme="majorBidi"/>
          <w:szCs w:val="24"/>
          <w:lang w:val="ru-RU"/>
        </w:rPr>
        <w:t>а</w:t>
      </w:r>
      <w:r>
        <w:rPr>
          <w:rFonts w:asciiTheme="majorBidi" w:hAnsiTheme="majorBidi" w:cstheme="majorBidi"/>
          <w:szCs w:val="24"/>
          <w:lang w:val="ru-RU"/>
        </w:rPr>
        <w:t>щения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количества поездок и, следовательно, выбросов парниковых газов.</w:t>
      </w:r>
    </w:p>
    <w:p w:rsidR="000379F6" w:rsidRPr="001678CB" w:rsidRDefault="000379F6" w:rsidP="000379F6">
      <w:pPr>
        <w:spacing w:before="240" w:after="120"/>
        <w:rPr>
          <w:rFonts w:asciiTheme="majorBidi" w:hAnsiTheme="majorBidi" w:cstheme="majorBidi"/>
          <w:b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1</w:t>
      </w:r>
      <w:r w:rsidRPr="001678CB">
        <w:rPr>
          <w:rFonts w:asciiTheme="majorBidi" w:hAnsiTheme="majorBidi" w:cstheme="majorBidi"/>
          <w:b/>
          <w:szCs w:val="24"/>
          <w:lang w:val="ru-RU"/>
        </w:rPr>
        <w:tab/>
        <w:t>Проблемы процедурного характера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>Потребуется пересмотреть процедурные и правовые аспекты, которые в настоящее время базируются на предположении об очном характере собраний, проводимых в одном месте</w:t>
      </w:r>
      <w:r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FC7756">
        <w:rPr>
          <w:lang w:val="ru-RU"/>
        </w:rPr>
        <w:t>Проблемы заключаются в том, как</w:t>
      </w:r>
      <w:r>
        <w:rPr>
          <w:lang w:val="ru-RU"/>
        </w:rPr>
        <w:t>им образом</w:t>
      </w:r>
      <w:r w:rsidRPr="00FC7756">
        <w:rPr>
          <w:lang w:val="ru-RU"/>
        </w:rPr>
        <w:t xml:space="preserve"> в условиях дистанционного </w:t>
      </w:r>
      <w:proofErr w:type="gramStart"/>
      <w:r w:rsidRPr="00FC7756">
        <w:rPr>
          <w:lang w:val="ru-RU"/>
        </w:rPr>
        <w:t>участия</w:t>
      </w:r>
      <w:proofErr w:type="gramEnd"/>
      <w:r w:rsidRPr="00FC7756">
        <w:rPr>
          <w:lang w:val="ru-RU"/>
        </w:rPr>
        <w:t xml:space="preserve"> </w:t>
      </w:r>
      <w:r>
        <w:rPr>
          <w:lang w:val="ru-RU"/>
        </w:rPr>
        <w:t>воз</w:t>
      </w:r>
      <w:r w:rsidRPr="00FC7756">
        <w:rPr>
          <w:lang w:val="ru-RU"/>
        </w:rPr>
        <w:t xml:space="preserve">можно гарантировать соблюдение принципа </w:t>
      </w:r>
      <w:hyperlink r:id="rId13" w:history="1">
        <w:r w:rsidRPr="004E6924">
          <w:rPr>
            <w:rStyle w:val="Hyperlink"/>
            <w:lang w:val="ru-RU"/>
          </w:rPr>
          <w:t>Общего регламента конференций, ассамблей и собраний Союза</w:t>
        </w:r>
      </w:hyperlink>
      <w:r w:rsidRPr="00FC7756">
        <w:rPr>
          <w:lang w:val="ru-RU"/>
        </w:rPr>
        <w:t xml:space="preserve"> (Глава II, раздел 11</w:t>
      </w:r>
      <w:r>
        <w:rPr>
          <w:lang w:val="ru-RU"/>
        </w:rPr>
        <w:t>, пункт 61</w:t>
      </w:r>
      <w:r w:rsidRPr="00FC7756">
        <w:rPr>
          <w:lang w:val="ru-RU"/>
        </w:rPr>
        <w:t>), согласно которому "обязанностью председателя является защита права каждой делегации свободно и полно высказывать свое мнение по обсуждаемому вопросу"</w:t>
      </w:r>
      <w:r w:rsidRPr="001678CB"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color w:val="231F20"/>
          <w:szCs w:val="24"/>
          <w:lang w:val="ru-RU"/>
        </w:rPr>
      </w:pP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В </w:t>
      </w:r>
      <w:proofErr w:type="gramStart"/>
      <w:r w:rsidRPr="001678CB">
        <w:rPr>
          <w:rFonts w:asciiTheme="majorBidi" w:hAnsiTheme="majorBidi" w:cstheme="majorBidi"/>
          <w:color w:val="231F20"/>
          <w:szCs w:val="24"/>
          <w:lang w:val="ru-RU"/>
        </w:rPr>
        <w:t>случае</w:t>
      </w:r>
      <w:proofErr w:type="gramEnd"/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 когда какой-либо вопрос </w:t>
      </w:r>
      <w:r>
        <w:rPr>
          <w:rFonts w:asciiTheme="majorBidi" w:hAnsiTheme="majorBidi" w:cstheme="majorBidi"/>
          <w:color w:val="231F20"/>
          <w:szCs w:val="24"/>
          <w:lang w:val="ru-RU"/>
        </w:rPr>
        <w:t>выносится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 на голосование,</w:t>
      </w:r>
      <w:r>
        <w:rPr>
          <w:rFonts w:asciiTheme="majorBidi" w:hAnsiTheme="majorBidi" w:cstheme="majorBidi"/>
          <w:color w:val="231F20"/>
          <w:szCs w:val="24"/>
          <w:lang w:val="ru-RU"/>
        </w:rPr>
        <w:t xml:space="preserve"> также необходимо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 </w:t>
      </w:r>
      <w:r>
        <w:rPr>
          <w:rFonts w:asciiTheme="majorBidi" w:hAnsiTheme="majorBidi" w:cstheme="majorBidi"/>
          <w:color w:val="231F20"/>
          <w:szCs w:val="24"/>
          <w:lang w:val="ru-RU"/>
        </w:rPr>
        <w:t>пояснить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 порядок применения пункта</w:t>
      </w:r>
      <w:r>
        <w:rPr>
          <w:rFonts w:asciiTheme="majorBidi" w:hAnsiTheme="majorBidi" w:cstheme="majorBidi"/>
          <w:color w:val="231F20"/>
          <w:szCs w:val="24"/>
          <w:lang w:val="ru-RU"/>
        </w:rPr>
        <w:t> 1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>15 вышеупомянут</w:t>
      </w:r>
      <w:r>
        <w:rPr>
          <w:rFonts w:asciiTheme="majorBidi" w:hAnsiTheme="majorBidi" w:cstheme="majorBidi"/>
          <w:color w:val="231F20"/>
          <w:szCs w:val="24"/>
          <w:lang w:val="ru-RU"/>
        </w:rPr>
        <w:t xml:space="preserve">ого </w:t>
      </w:r>
      <w:r w:rsidRPr="004E6924">
        <w:rPr>
          <w:rFonts w:asciiTheme="majorBidi" w:hAnsiTheme="majorBidi" w:cstheme="majorBidi"/>
          <w:color w:val="231F20"/>
          <w:szCs w:val="24"/>
          <w:lang w:val="ru-RU"/>
        </w:rPr>
        <w:t>Общего регламента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: </w:t>
      </w:r>
      <w:r>
        <w:rPr>
          <w:rFonts w:asciiTheme="majorBidi" w:hAnsiTheme="majorBidi" w:cstheme="majorBidi"/>
          <w:color w:val="231F20"/>
          <w:szCs w:val="24"/>
          <w:lang w:val="ru-RU"/>
        </w:rPr>
        <w:t>"</w:t>
      </w:r>
      <w:r w:rsidRPr="00013E13">
        <w:rPr>
          <w:bCs/>
          <w:lang w:val="ru-RU"/>
        </w:rPr>
        <w:t>Большинство составляет более половины присут</w:t>
      </w:r>
      <w:r>
        <w:rPr>
          <w:bCs/>
          <w:lang w:val="ru-RU"/>
        </w:rPr>
        <w:t>с</w:t>
      </w:r>
      <w:r w:rsidRPr="00013E13">
        <w:rPr>
          <w:bCs/>
          <w:lang w:val="ru-RU"/>
        </w:rPr>
        <w:t>твующих и участвующих в голосовании делегаций</w:t>
      </w:r>
      <w:r>
        <w:rPr>
          <w:bCs/>
          <w:lang w:val="ru-RU"/>
        </w:rPr>
        <w:t>".</w:t>
      </w:r>
      <w:r w:rsidRPr="001678CB">
        <w:rPr>
          <w:rFonts w:asciiTheme="majorBidi" w:hAnsiTheme="majorBidi" w:cstheme="majorBidi"/>
          <w:color w:val="231F20"/>
          <w:szCs w:val="24"/>
          <w:lang w:val="ru-RU"/>
        </w:rPr>
        <w:t xml:space="preserve"> 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 xml:space="preserve">Следовательно, </w:t>
      </w:r>
      <w:r>
        <w:rPr>
          <w:rFonts w:asciiTheme="majorBidi" w:hAnsiTheme="majorBidi" w:cstheme="majorBidi"/>
          <w:szCs w:val="24"/>
          <w:lang w:val="ru-RU"/>
        </w:rPr>
        <w:t>в отношении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собрани</w:t>
      </w:r>
      <w:r>
        <w:rPr>
          <w:rFonts w:asciiTheme="majorBidi" w:hAnsiTheme="majorBidi" w:cstheme="majorBidi"/>
          <w:szCs w:val="24"/>
          <w:lang w:val="ru-RU"/>
        </w:rPr>
        <w:t>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исследовательск</w:t>
      </w:r>
      <w:r>
        <w:rPr>
          <w:rFonts w:asciiTheme="majorBidi" w:hAnsiTheme="majorBidi" w:cstheme="majorBidi"/>
          <w:szCs w:val="24"/>
          <w:lang w:val="ru-RU"/>
        </w:rPr>
        <w:t>их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комисси</w:t>
      </w:r>
      <w:r>
        <w:rPr>
          <w:rFonts w:asciiTheme="majorBidi" w:hAnsiTheme="majorBidi" w:cstheme="majorBidi"/>
          <w:szCs w:val="24"/>
          <w:lang w:val="ru-RU"/>
        </w:rPr>
        <w:t>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или рабоч</w:t>
      </w:r>
      <w:r>
        <w:rPr>
          <w:rFonts w:asciiTheme="majorBidi" w:hAnsiTheme="majorBidi" w:cstheme="majorBidi"/>
          <w:szCs w:val="24"/>
          <w:lang w:val="ru-RU"/>
        </w:rPr>
        <w:t>их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групп</w:t>
      </w:r>
      <w:r>
        <w:rPr>
          <w:rFonts w:asciiTheme="majorBidi" w:hAnsiTheme="majorBidi" w:cstheme="majorBidi"/>
          <w:szCs w:val="24"/>
          <w:lang w:val="ru-RU"/>
        </w:rPr>
        <w:t>, на которых принимаются решения,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"дистанционное участие" в настоящее время должно быть ограничено дистанционным наблюдением, а все решения должны приниматься только физически присутствующими участниками. Учитывая,</w:t>
      </w:r>
      <w:r>
        <w:rPr>
          <w:rFonts w:asciiTheme="majorBidi" w:hAnsiTheme="majorBidi" w:cstheme="majorBidi"/>
          <w:szCs w:val="24"/>
          <w:lang w:val="ru-RU"/>
        </w:rPr>
        <w:t xml:space="preserve"> что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основная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част</w:t>
      </w:r>
      <w:r>
        <w:rPr>
          <w:rFonts w:asciiTheme="majorBidi" w:hAnsiTheme="majorBidi" w:cstheme="majorBidi"/>
          <w:szCs w:val="24"/>
          <w:lang w:val="ru-RU"/>
        </w:rPr>
        <w:t>ь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собраний 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1678CB">
        <w:rPr>
          <w:rFonts w:asciiTheme="majorBidi" w:hAnsiTheme="majorBidi" w:cstheme="majorBidi"/>
          <w:szCs w:val="24"/>
          <w:lang w:val="ru-RU"/>
        </w:rPr>
        <w:t>сследовательских комиссий МСЭ-</w:t>
      </w:r>
      <w:proofErr w:type="gramStart"/>
      <w:r w:rsidRPr="001678CB">
        <w:rPr>
          <w:rFonts w:asciiTheme="majorBidi" w:hAnsiTheme="majorBidi" w:cstheme="majorBidi"/>
          <w:szCs w:val="24"/>
          <w:lang w:val="ru-RU"/>
        </w:rPr>
        <w:t>R</w:t>
      </w:r>
      <w:proofErr w:type="gramEnd"/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посвящена принятию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решени</w:t>
      </w:r>
      <w:r>
        <w:rPr>
          <w:rFonts w:asciiTheme="majorBidi" w:hAnsiTheme="majorBidi" w:cstheme="majorBidi"/>
          <w:szCs w:val="24"/>
          <w:lang w:val="ru-RU"/>
        </w:rPr>
        <w:t>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, </w:t>
      </w:r>
      <w:r>
        <w:rPr>
          <w:rFonts w:asciiTheme="majorBidi" w:hAnsiTheme="majorBidi" w:cstheme="majorBidi"/>
          <w:szCs w:val="24"/>
          <w:lang w:val="ru-RU"/>
        </w:rPr>
        <w:t xml:space="preserve">активное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дистанционное участие </w:t>
      </w:r>
      <w:r>
        <w:rPr>
          <w:rFonts w:asciiTheme="majorBidi" w:hAnsiTheme="majorBidi" w:cstheme="majorBidi"/>
          <w:szCs w:val="24"/>
          <w:lang w:val="ru-RU"/>
        </w:rPr>
        <w:t>на данном этапе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будет ограничено</w:t>
      </w:r>
      <w:r>
        <w:rPr>
          <w:rFonts w:asciiTheme="majorBidi" w:hAnsiTheme="majorBidi" w:cstheme="majorBidi"/>
          <w:szCs w:val="24"/>
          <w:lang w:val="ru-RU"/>
        </w:rPr>
        <w:t xml:space="preserve"> только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собраниями рабочих групп МСЭ-R.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szCs w:val="24"/>
          <w:lang w:val="ru-RU"/>
        </w:rPr>
        <w:t>Одной из п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роблем является </w:t>
      </w:r>
      <w:r>
        <w:rPr>
          <w:rFonts w:asciiTheme="majorBidi" w:hAnsiTheme="majorBidi" w:cstheme="majorBidi"/>
          <w:szCs w:val="24"/>
          <w:lang w:val="ru-RU"/>
        </w:rPr>
        <w:t>способ раз</w:t>
      </w:r>
      <w:r w:rsidRPr="001678CB">
        <w:rPr>
          <w:rFonts w:asciiTheme="majorBidi" w:hAnsiTheme="majorBidi" w:cstheme="majorBidi"/>
          <w:szCs w:val="24"/>
          <w:lang w:val="ru-RU"/>
        </w:rPr>
        <w:t>решени</w:t>
      </w:r>
      <w:r>
        <w:rPr>
          <w:rFonts w:asciiTheme="majorBidi" w:hAnsiTheme="majorBidi" w:cstheme="majorBidi"/>
          <w:szCs w:val="24"/>
          <w:lang w:val="ru-RU"/>
        </w:rPr>
        <w:t>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сложных вопросов,</w:t>
      </w:r>
      <w:r>
        <w:rPr>
          <w:rFonts w:asciiTheme="majorBidi" w:hAnsiTheme="majorBidi" w:cstheme="majorBidi"/>
          <w:szCs w:val="24"/>
          <w:lang w:val="ru-RU"/>
        </w:rPr>
        <w:t xml:space="preserve"> поднимаемых в ходе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собрания дистанционным участником. Традиционно подобные вопросы решаются </w:t>
      </w:r>
      <w:r>
        <w:rPr>
          <w:rFonts w:asciiTheme="majorBidi" w:hAnsiTheme="majorBidi" w:cstheme="majorBidi"/>
          <w:szCs w:val="24"/>
          <w:lang w:val="ru-RU"/>
        </w:rPr>
        <w:t>в рамках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дискусси</w:t>
      </w:r>
      <w:r>
        <w:rPr>
          <w:rFonts w:asciiTheme="majorBidi" w:hAnsiTheme="majorBidi" w:cstheme="majorBidi"/>
          <w:szCs w:val="24"/>
          <w:lang w:val="ru-RU"/>
        </w:rPr>
        <w:t>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во время </w:t>
      </w:r>
      <w:r>
        <w:rPr>
          <w:rFonts w:asciiTheme="majorBidi" w:hAnsiTheme="majorBidi" w:cstheme="majorBidi"/>
          <w:szCs w:val="24"/>
          <w:lang w:val="ru-RU"/>
        </w:rPr>
        <w:t>перерывов на кофе</w:t>
      </w:r>
      <w:r w:rsidRPr="001678CB">
        <w:rPr>
          <w:rFonts w:asciiTheme="majorBidi" w:hAnsiTheme="majorBidi" w:cstheme="majorBidi"/>
          <w:szCs w:val="24"/>
          <w:lang w:val="ru-RU"/>
        </w:rPr>
        <w:t>, но при дистанционном участии данный вариант недоступен.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>Еще одна проблема</w:t>
      </w:r>
      <w:r>
        <w:rPr>
          <w:rFonts w:asciiTheme="majorBidi" w:hAnsiTheme="majorBidi" w:cstheme="majorBidi"/>
          <w:szCs w:val="24"/>
          <w:lang w:val="ru-RU"/>
        </w:rPr>
        <w:t> </w:t>
      </w:r>
      <w:r w:rsidRPr="001678CB">
        <w:rPr>
          <w:rFonts w:asciiTheme="majorBidi" w:hAnsiTheme="majorBidi" w:cstheme="majorBidi"/>
          <w:szCs w:val="24"/>
          <w:lang w:val="ru-RU"/>
        </w:rPr>
        <w:t>–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сложность одновременного руководства </w:t>
      </w:r>
      <w:r>
        <w:rPr>
          <w:rFonts w:asciiTheme="majorBidi" w:hAnsiTheme="majorBidi" w:cstheme="majorBidi"/>
          <w:szCs w:val="24"/>
          <w:lang w:val="ru-RU"/>
        </w:rPr>
        <w:t>физически присутствующими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 дистанционными участниками. По мере нарастания тенденции</w:t>
      </w:r>
      <w:r>
        <w:rPr>
          <w:rFonts w:asciiTheme="majorBidi" w:hAnsiTheme="majorBidi" w:cstheme="majorBidi"/>
          <w:szCs w:val="24"/>
          <w:lang w:val="ru-RU"/>
        </w:rPr>
        <w:t xml:space="preserve"> к дистанционному участию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может потребоваться дополнительн</w:t>
      </w:r>
      <w:r>
        <w:rPr>
          <w:rFonts w:asciiTheme="majorBidi" w:hAnsiTheme="majorBidi" w:cstheme="majorBidi"/>
          <w:szCs w:val="24"/>
          <w:lang w:val="ru-RU"/>
        </w:rPr>
        <w:t>ая подготовка председателей 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 xml:space="preserve">оказание им </w:t>
      </w:r>
      <w:r w:rsidRPr="001678CB">
        <w:rPr>
          <w:rFonts w:asciiTheme="majorBidi" w:hAnsiTheme="majorBidi" w:cstheme="majorBidi"/>
          <w:szCs w:val="24"/>
          <w:lang w:val="ru-RU"/>
        </w:rPr>
        <w:t>помощ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. 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lastRenderedPageBreak/>
        <w:t>Кроме того, по мере</w:t>
      </w:r>
      <w:r>
        <w:rPr>
          <w:rFonts w:asciiTheme="majorBidi" w:hAnsiTheme="majorBidi" w:cstheme="majorBidi"/>
          <w:szCs w:val="24"/>
          <w:lang w:val="ru-RU"/>
        </w:rPr>
        <w:t xml:space="preserve"> расширения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внедрения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электронного участия организаторам собраний потребуется принимать во внимание</w:t>
      </w:r>
      <w:r>
        <w:rPr>
          <w:rFonts w:asciiTheme="majorBidi" w:hAnsiTheme="majorBidi" w:cstheme="majorBidi"/>
          <w:szCs w:val="24"/>
          <w:lang w:val="ru-RU"/>
        </w:rPr>
        <w:t>, что участвующие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делегат</w:t>
      </w:r>
      <w:r>
        <w:rPr>
          <w:rFonts w:asciiTheme="majorBidi" w:hAnsiTheme="majorBidi" w:cstheme="majorBidi"/>
          <w:szCs w:val="24"/>
          <w:lang w:val="ru-RU"/>
        </w:rPr>
        <w:t>ы находятся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в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разных часовых пояс</w:t>
      </w:r>
      <w:r>
        <w:rPr>
          <w:rFonts w:asciiTheme="majorBidi" w:hAnsiTheme="majorBidi" w:cstheme="majorBidi"/>
          <w:szCs w:val="24"/>
          <w:lang w:val="ru-RU"/>
        </w:rPr>
        <w:t>ах</w:t>
      </w:r>
      <w:r w:rsidRPr="001678CB">
        <w:rPr>
          <w:rFonts w:asciiTheme="majorBidi" w:hAnsiTheme="majorBidi" w:cstheme="majorBidi"/>
          <w:szCs w:val="24"/>
          <w:lang w:val="ru-RU"/>
        </w:rPr>
        <w:t>.</w:t>
      </w:r>
    </w:p>
    <w:p w:rsidR="000379F6" w:rsidRPr="001678CB" w:rsidRDefault="000379F6" w:rsidP="000379F6">
      <w:pPr>
        <w:spacing w:before="240" w:after="120"/>
        <w:rPr>
          <w:rFonts w:asciiTheme="majorBidi" w:hAnsiTheme="majorBidi" w:cstheme="majorBidi"/>
          <w:b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2</w:t>
      </w:r>
      <w:r w:rsidRPr="001678CB">
        <w:rPr>
          <w:rFonts w:asciiTheme="majorBidi" w:hAnsiTheme="majorBidi" w:cstheme="majorBidi"/>
          <w:b/>
          <w:szCs w:val="24"/>
          <w:lang w:val="ru-RU"/>
        </w:rPr>
        <w:tab/>
        <w:t>Проблемы технического</w:t>
      </w:r>
      <w:r>
        <w:rPr>
          <w:rFonts w:asciiTheme="majorBidi" w:hAnsiTheme="majorBidi" w:cstheme="majorBidi"/>
          <w:b/>
          <w:szCs w:val="24"/>
          <w:lang w:val="ru-RU"/>
        </w:rPr>
        <w:t>/</w:t>
      </w:r>
      <w:r w:rsidRPr="001678CB">
        <w:rPr>
          <w:rFonts w:asciiTheme="majorBidi" w:hAnsiTheme="majorBidi" w:cstheme="majorBidi"/>
          <w:b/>
          <w:szCs w:val="24"/>
          <w:lang w:val="ru-RU"/>
        </w:rPr>
        <w:t>эксплуатационного характера, связанные с дистанционным участием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Безопасность и аутентификация</w:t>
      </w:r>
      <w:r w:rsidRPr="001678CB">
        <w:rPr>
          <w:rFonts w:asciiTheme="majorBidi" w:hAnsiTheme="majorBidi" w:cstheme="majorBidi"/>
          <w:szCs w:val="24"/>
          <w:lang w:val="ru-RU"/>
        </w:rPr>
        <w:t>. Процесс аккредитац</w:t>
      </w:r>
      <w:proofErr w:type="gramStart"/>
      <w:r w:rsidRPr="001678CB">
        <w:rPr>
          <w:rFonts w:asciiTheme="majorBidi" w:hAnsiTheme="majorBidi" w:cstheme="majorBidi"/>
          <w:szCs w:val="24"/>
          <w:lang w:val="ru-RU"/>
        </w:rPr>
        <w:t>ии и ау</w:t>
      </w:r>
      <w:proofErr w:type="gramEnd"/>
      <w:r w:rsidRPr="001678CB">
        <w:rPr>
          <w:rFonts w:asciiTheme="majorBidi" w:hAnsiTheme="majorBidi" w:cstheme="majorBidi"/>
          <w:szCs w:val="24"/>
          <w:lang w:val="ru-RU"/>
        </w:rPr>
        <w:t>тентификации при электронном участии является фактически таким же, как и для очно присутствующих делегатов. МСЭ тестир</w:t>
      </w:r>
      <w:r>
        <w:rPr>
          <w:rFonts w:asciiTheme="majorBidi" w:hAnsiTheme="majorBidi" w:cstheme="majorBidi"/>
          <w:szCs w:val="24"/>
          <w:lang w:val="ru-RU"/>
        </w:rPr>
        <w:t>ует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несколько платформ </w:t>
      </w:r>
      <w:proofErr w:type="gramStart"/>
      <w:r w:rsidRPr="001678CB">
        <w:rPr>
          <w:rFonts w:asciiTheme="majorBidi" w:hAnsiTheme="majorBidi" w:cstheme="majorBidi"/>
          <w:szCs w:val="24"/>
          <w:lang w:val="ru-RU"/>
        </w:rPr>
        <w:t>конференц-связи</w:t>
      </w:r>
      <w:proofErr w:type="gramEnd"/>
      <w:r w:rsidRPr="001678CB">
        <w:rPr>
          <w:rFonts w:asciiTheme="majorBidi" w:hAnsiTheme="majorBidi" w:cstheme="majorBidi"/>
          <w:szCs w:val="24"/>
          <w:lang w:val="ru-RU"/>
        </w:rPr>
        <w:t>, которые могут обеспечить требуемые уровни аутентификации (в привязке к службе аутентификации МСЭ, которая включает TIES). Эти платформы гарантируют организаторам собраний, что только зарегистрированные делегаты могут получить доступ к тому или иному конкретному залу электронного собрания или записи электронного собрания.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Языки</w:t>
      </w:r>
      <w:r w:rsidRPr="001678CB">
        <w:rPr>
          <w:rFonts w:asciiTheme="majorBidi" w:hAnsiTheme="majorBidi" w:cstheme="majorBidi"/>
          <w:szCs w:val="24"/>
          <w:lang w:val="ru-RU"/>
        </w:rPr>
        <w:t>. Первоначальные испытания выявили проблемы качеств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звук</w:t>
      </w:r>
      <w:r>
        <w:rPr>
          <w:rFonts w:asciiTheme="majorBidi" w:hAnsiTheme="majorBidi" w:cstheme="majorBidi"/>
          <w:szCs w:val="24"/>
          <w:lang w:val="ru-RU"/>
        </w:rPr>
        <w:t>ового сигнала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, затрудняющие устный перевод. Качество звука было достаточным для того, чтобы участники, протоколисты и составители субтитров могли следить за ходом заседаний, но недостаточным для целей </w:t>
      </w:r>
      <w:r w:rsidRPr="00DF1B8A">
        <w:rPr>
          <w:rFonts w:asciiTheme="majorBidi" w:hAnsiTheme="majorBidi" w:cstheme="majorBidi"/>
          <w:szCs w:val="24"/>
          <w:lang w:val="ru-RU"/>
        </w:rPr>
        <w:t>устного перевода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, из-за чего </w:t>
      </w:r>
      <w:r>
        <w:rPr>
          <w:rFonts w:asciiTheme="majorBidi" w:hAnsiTheme="majorBidi" w:cstheme="majorBidi"/>
          <w:szCs w:val="24"/>
          <w:lang w:val="ru-RU"/>
        </w:rPr>
        <w:t xml:space="preserve">устные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переводчики </w:t>
      </w:r>
      <w:r>
        <w:rPr>
          <w:rFonts w:asciiTheme="majorBidi" w:hAnsiTheme="majorBidi" w:cstheme="majorBidi"/>
          <w:szCs w:val="24"/>
          <w:lang w:val="ru-RU"/>
        </w:rPr>
        <w:t>иногда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не имели возможности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перев</w:t>
      </w:r>
      <w:r>
        <w:rPr>
          <w:rFonts w:asciiTheme="majorBidi" w:hAnsiTheme="majorBidi" w:cstheme="majorBidi"/>
          <w:szCs w:val="24"/>
          <w:lang w:val="ru-RU"/>
        </w:rPr>
        <w:t>одить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выступления дистанционных участников. При подаче звука недоставало </w:t>
      </w:r>
      <w:r>
        <w:rPr>
          <w:rFonts w:asciiTheme="majorBidi" w:hAnsiTheme="majorBidi" w:cstheme="majorBidi"/>
          <w:szCs w:val="24"/>
          <w:lang w:val="ru-RU"/>
        </w:rPr>
        <w:t>требуемой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глубины, которая позволила бы полностью понимать речь</w:t>
      </w:r>
      <w:r>
        <w:rPr>
          <w:rFonts w:asciiTheme="majorBidi" w:hAnsiTheme="majorBidi" w:cstheme="majorBidi"/>
          <w:szCs w:val="24"/>
          <w:lang w:val="ru-RU"/>
        </w:rPr>
        <w:t xml:space="preserve"> оратора</w:t>
      </w:r>
      <w:r w:rsidRPr="001678CB">
        <w:rPr>
          <w:rFonts w:asciiTheme="majorBidi" w:hAnsiTheme="majorBidi" w:cstheme="majorBidi"/>
          <w:szCs w:val="24"/>
          <w:lang w:val="ru-RU"/>
        </w:rPr>
        <w:t>, в частности значимые перемены интонации, которые являются ключевыми для понимания и верной передачи выступления</w:t>
      </w:r>
      <w:r>
        <w:rPr>
          <w:rFonts w:asciiTheme="majorBidi" w:hAnsiTheme="majorBidi" w:cstheme="majorBidi"/>
          <w:szCs w:val="24"/>
          <w:lang w:val="ru-RU"/>
        </w:rPr>
        <w:t xml:space="preserve"> устным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переводчиком. Порой </w:t>
      </w:r>
      <w:r>
        <w:rPr>
          <w:rFonts w:asciiTheme="majorBidi" w:hAnsiTheme="majorBidi" w:cstheme="majorBidi"/>
          <w:szCs w:val="24"/>
          <w:lang w:val="ru-RU"/>
        </w:rPr>
        <w:t>искажался смысл</w:t>
      </w:r>
      <w:r w:rsidRPr="001678CB">
        <w:rPr>
          <w:rFonts w:asciiTheme="majorBidi" w:hAnsiTheme="majorBidi" w:cstheme="majorBidi"/>
          <w:szCs w:val="24"/>
          <w:lang w:val="ru-RU"/>
        </w:rPr>
        <w:t>. До тех</w:t>
      </w:r>
      <w:r>
        <w:rPr>
          <w:rFonts w:asciiTheme="majorBidi" w:hAnsiTheme="majorBidi" w:cstheme="majorBidi"/>
          <w:szCs w:val="24"/>
          <w:lang w:val="ru-RU"/>
        </w:rPr>
        <w:t xml:space="preserve"> пор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пока технология не будет проверена и испытана и </w:t>
      </w:r>
      <w:r>
        <w:rPr>
          <w:rFonts w:asciiTheme="majorBidi" w:hAnsiTheme="majorBidi" w:cstheme="majorBidi"/>
          <w:szCs w:val="24"/>
          <w:lang w:val="ru-RU"/>
        </w:rPr>
        <w:t xml:space="preserve">не будет обеспечена подача чистого звукового сигнала устным </w:t>
      </w:r>
      <w:r w:rsidRPr="001678CB">
        <w:rPr>
          <w:rFonts w:asciiTheme="majorBidi" w:hAnsiTheme="majorBidi" w:cstheme="majorBidi"/>
          <w:szCs w:val="24"/>
          <w:lang w:val="ru-RU"/>
        </w:rPr>
        <w:t>переводчикам</w:t>
      </w:r>
      <w:r>
        <w:rPr>
          <w:rFonts w:asciiTheme="majorBidi" w:hAnsiTheme="majorBidi" w:cstheme="majorBidi"/>
          <w:szCs w:val="24"/>
          <w:lang w:val="ru-RU"/>
        </w:rPr>
        <w:t>, важно уведомить все участвующие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стороны о временном характере этого вида деятельности и сделать необходимые оговорки для защиты результатов работы устных переводчиков.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>Были про</w:t>
      </w:r>
      <w:r>
        <w:rPr>
          <w:rFonts w:asciiTheme="majorBidi" w:hAnsiTheme="majorBidi" w:cstheme="majorBidi"/>
          <w:szCs w:val="24"/>
          <w:lang w:val="ru-RU"/>
        </w:rPr>
        <w:t>ведены дополнительные испытания,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 их результат</w:t>
      </w:r>
      <w:r>
        <w:rPr>
          <w:rFonts w:asciiTheme="majorBidi" w:hAnsiTheme="majorBidi" w:cstheme="majorBidi"/>
          <w:szCs w:val="24"/>
          <w:lang w:val="ru-RU"/>
        </w:rPr>
        <w:t>ы позволяют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Департамент</w:t>
      </w:r>
      <w:r>
        <w:rPr>
          <w:rFonts w:asciiTheme="majorBidi" w:hAnsiTheme="majorBidi" w:cstheme="majorBidi"/>
          <w:szCs w:val="24"/>
          <w:lang w:val="ru-RU"/>
        </w:rPr>
        <w:t>у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>IS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наде</w:t>
      </w:r>
      <w:r>
        <w:rPr>
          <w:rFonts w:asciiTheme="majorBidi" w:hAnsiTheme="majorBidi" w:cstheme="majorBidi"/>
          <w:szCs w:val="24"/>
          <w:lang w:val="ru-RU"/>
        </w:rPr>
        <w:t>яться на то</w:t>
      </w:r>
      <w:r w:rsidRPr="001678CB">
        <w:rPr>
          <w:rFonts w:asciiTheme="majorBidi" w:hAnsiTheme="majorBidi" w:cstheme="majorBidi"/>
          <w:szCs w:val="24"/>
          <w:lang w:val="ru-RU"/>
        </w:rPr>
        <w:t>, что проблема многоязы</w:t>
      </w:r>
      <w:r>
        <w:rPr>
          <w:rFonts w:asciiTheme="majorBidi" w:hAnsiTheme="majorBidi" w:cstheme="majorBidi"/>
          <w:szCs w:val="24"/>
          <w:lang w:val="ru-RU"/>
        </w:rPr>
        <w:t>чн</w:t>
      </w:r>
      <w:r w:rsidRPr="001678CB">
        <w:rPr>
          <w:rFonts w:asciiTheme="majorBidi" w:hAnsiTheme="majorBidi" w:cstheme="majorBidi"/>
          <w:szCs w:val="24"/>
          <w:lang w:val="ru-RU"/>
        </w:rPr>
        <w:t>ой поддержки дистанционного участия будет решена.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Качество работы оборудования</w:t>
      </w:r>
      <w:r>
        <w:rPr>
          <w:rFonts w:asciiTheme="majorBidi" w:hAnsiTheme="majorBidi" w:cstheme="majorBidi"/>
          <w:b/>
          <w:szCs w:val="24"/>
          <w:lang w:val="ru-RU"/>
        </w:rPr>
        <w:t>.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Для </w:t>
      </w:r>
      <w:r>
        <w:rPr>
          <w:rFonts w:asciiTheme="majorBidi" w:hAnsiTheme="majorBidi" w:cstheme="majorBidi"/>
          <w:szCs w:val="24"/>
          <w:lang w:val="ru-RU"/>
        </w:rPr>
        <w:t>снижения зависимости участников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от места проведения очного собрания они должны быть уверены в инфраструктуре</w:t>
      </w:r>
      <w:r>
        <w:rPr>
          <w:rFonts w:asciiTheme="majorBidi" w:hAnsiTheme="majorBidi" w:cstheme="majorBidi"/>
          <w:szCs w:val="24"/>
          <w:lang w:val="ru-RU"/>
        </w:rPr>
        <w:t xml:space="preserve"> связи</w:t>
      </w:r>
      <w:r w:rsidRPr="001678CB">
        <w:rPr>
          <w:rFonts w:asciiTheme="majorBidi" w:hAnsiTheme="majorBidi" w:cstheme="majorBidi"/>
          <w:szCs w:val="24"/>
          <w:lang w:val="ru-RU"/>
        </w:rPr>
        <w:t>.</w:t>
      </w:r>
      <w:r>
        <w:rPr>
          <w:rFonts w:asciiTheme="majorBidi" w:hAnsiTheme="majorBidi" w:cstheme="majorBidi"/>
          <w:szCs w:val="24"/>
          <w:lang w:val="ru-RU"/>
        </w:rPr>
        <w:t xml:space="preserve">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Хорошее качество звука и высокая надежность остаются </w:t>
      </w:r>
      <w:r>
        <w:rPr>
          <w:rFonts w:asciiTheme="majorBidi" w:hAnsiTheme="majorBidi" w:cstheme="majorBidi"/>
          <w:szCs w:val="24"/>
          <w:lang w:val="ru-RU"/>
        </w:rPr>
        <w:t>ключевыми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требованиями. </w:t>
      </w:r>
      <w:r>
        <w:rPr>
          <w:rFonts w:asciiTheme="majorBidi" w:hAnsiTheme="majorBidi" w:cstheme="majorBidi"/>
          <w:szCs w:val="24"/>
          <w:lang w:val="ru-RU"/>
        </w:rPr>
        <w:t>Эта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проблема </w:t>
      </w:r>
      <w:r>
        <w:rPr>
          <w:rFonts w:asciiTheme="majorBidi" w:hAnsiTheme="majorBidi" w:cstheme="majorBidi"/>
          <w:szCs w:val="24"/>
          <w:lang w:val="ru-RU"/>
        </w:rPr>
        <w:t>по-прежнему является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наиболее острой для обеспечения устного перевода.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szCs w:val="24"/>
          <w:lang w:val="ru-RU"/>
        </w:rPr>
        <w:t xml:space="preserve">Следует разработать </w:t>
      </w:r>
      <w:r>
        <w:rPr>
          <w:rFonts w:asciiTheme="majorBidi" w:hAnsiTheme="majorBidi" w:cstheme="majorBidi"/>
          <w:szCs w:val="24"/>
          <w:lang w:val="ru-RU"/>
        </w:rPr>
        <w:t>руководящие указания</w:t>
      </w:r>
      <w:r w:rsidRPr="001678CB">
        <w:rPr>
          <w:rFonts w:asciiTheme="majorBidi" w:hAnsiTheme="majorBidi" w:cstheme="majorBidi"/>
          <w:szCs w:val="24"/>
          <w:lang w:val="ru-RU"/>
        </w:rPr>
        <w:t>, в которы</w:t>
      </w:r>
      <w:r>
        <w:rPr>
          <w:rFonts w:asciiTheme="majorBidi" w:hAnsiTheme="majorBidi" w:cstheme="majorBidi"/>
          <w:szCs w:val="24"/>
          <w:lang w:val="ru-RU"/>
        </w:rPr>
        <w:t>х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указывались бы минимальные стандарты </w:t>
      </w:r>
      <w:r>
        <w:rPr>
          <w:rFonts w:asciiTheme="majorBidi" w:hAnsiTheme="majorBidi" w:cstheme="majorBidi"/>
          <w:szCs w:val="24"/>
          <w:lang w:val="ru-RU"/>
        </w:rPr>
        <w:t xml:space="preserve">для </w:t>
      </w:r>
      <w:r w:rsidRPr="001678CB">
        <w:rPr>
          <w:rFonts w:asciiTheme="majorBidi" w:hAnsiTheme="majorBidi" w:cstheme="majorBidi"/>
          <w:szCs w:val="24"/>
          <w:lang w:val="ru-RU"/>
        </w:rPr>
        <w:t>оборудования пользователя</w:t>
      </w:r>
      <w:r>
        <w:rPr>
          <w:rFonts w:asciiTheme="majorBidi" w:hAnsiTheme="majorBidi" w:cstheme="majorBidi"/>
          <w:szCs w:val="24"/>
          <w:lang w:val="ru-RU"/>
        </w:rPr>
        <w:t>, обеспечивающие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удовлетворительн</w:t>
      </w:r>
      <w:r>
        <w:rPr>
          <w:rFonts w:asciiTheme="majorBidi" w:hAnsiTheme="majorBidi" w:cstheme="majorBidi"/>
          <w:szCs w:val="24"/>
          <w:lang w:val="ru-RU"/>
        </w:rPr>
        <w:t>ую работу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(например, минимальные требования к аппаратному обеспечению, ширина</w:t>
      </w:r>
      <w:r>
        <w:rPr>
          <w:rFonts w:asciiTheme="majorBidi" w:hAnsiTheme="majorBidi" w:cstheme="majorBidi"/>
          <w:szCs w:val="24"/>
          <w:lang w:val="ru-RU"/>
        </w:rPr>
        <w:t xml:space="preserve"> полосы цифрового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канала </w:t>
      </w:r>
      <w:r>
        <w:rPr>
          <w:rFonts w:asciiTheme="majorBidi" w:hAnsiTheme="majorBidi" w:cstheme="majorBidi"/>
          <w:szCs w:val="24"/>
          <w:lang w:val="ru-RU"/>
        </w:rPr>
        <w:t>соединения с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интернет</w:t>
      </w:r>
      <w:r>
        <w:rPr>
          <w:rFonts w:asciiTheme="majorBidi" w:hAnsiTheme="majorBidi" w:cstheme="majorBidi"/>
          <w:szCs w:val="24"/>
          <w:lang w:val="ru-RU"/>
        </w:rPr>
        <w:t>ом</w:t>
      </w:r>
      <w:r w:rsidRPr="001678CB">
        <w:rPr>
          <w:rFonts w:asciiTheme="majorBidi" w:hAnsiTheme="majorBidi" w:cstheme="majorBidi"/>
          <w:szCs w:val="24"/>
          <w:lang w:val="ru-RU"/>
        </w:rPr>
        <w:t>, использование качественной гарнитуры, надежная телефонная связь).</w:t>
      </w:r>
    </w:p>
    <w:p w:rsidR="000379F6" w:rsidRPr="001678CB" w:rsidRDefault="000379F6" w:rsidP="000379F6">
      <w:pPr>
        <w:spacing w:after="120"/>
        <w:rPr>
          <w:rFonts w:asciiTheme="majorBidi" w:hAnsiTheme="majorBidi" w:cstheme="majorBidi"/>
          <w:szCs w:val="24"/>
          <w:lang w:val="ru-RU"/>
        </w:rPr>
      </w:pPr>
      <w:r w:rsidRPr="001678CB">
        <w:rPr>
          <w:rFonts w:asciiTheme="majorBidi" w:hAnsiTheme="majorBidi" w:cstheme="majorBidi"/>
          <w:b/>
          <w:szCs w:val="24"/>
          <w:lang w:val="ru-RU"/>
        </w:rPr>
        <w:t>Эксплуатационные процедуры</w:t>
      </w:r>
      <w:r>
        <w:rPr>
          <w:rFonts w:asciiTheme="majorBidi" w:hAnsiTheme="majorBidi" w:cstheme="majorBidi"/>
          <w:szCs w:val="24"/>
          <w:lang w:val="ru-RU"/>
        </w:rPr>
        <w:t>.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Аналогичным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образом, </w:t>
      </w:r>
      <w:r>
        <w:rPr>
          <w:rFonts w:asciiTheme="majorBidi" w:hAnsiTheme="majorBidi" w:cstheme="majorBidi"/>
          <w:szCs w:val="24"/>
          <w:lang w:val="ru-RU"/>
        </w:rPr>
        <w:t>во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избежани</w:t>
      </w:r>
      <w:r>
        <w:rPr>
          <w:rFonts w:asciiTheme="majorBidi" w:hAnsiTheme="majorBidi" w:cstheme="majorBidi"/>
          <w:szCs w:val="24"/>
          <w:lang w:val="ru-RU"/>
        </w:rPr>
        <w:t>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задержек и </w:t>
      </w:r>
      <w:r>
        <w:rPr>
          <w:rFonts w:asciiTheme="majorBidi" w:hAnsiTheme="majorBidi" w:cstheme="majorBidi"/>
          <w:szCs w:val="24"/>
          <w:lang w:val="ru-RU"/>
        </w:rPr>
        <w:t>нарушений работы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во время собраний следует разработать </w:t>
      </w:r>
      <w:r>
        <w:rPr>
          <w:rFonts w:asciiTheme="majorBidi" w:hAnsiTheme="majorBidi" w:cstheme="majorBidi"/>
          <w:szCs w:val="24"/>
          <w:lang w:val="ru-RU"/>
        </w:rPr>
        <w:t>руководящие указания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по эксплуатационным процедурам (например, </w:t>
      </w:r>
      <w:r>
        <w:rPr>
          <w:rFonts w:asciiTheme="majorBidi" w:hAnsiTheme="majorBidi" w:cstheme="majorBidi"/>
          <w:szCs w:val="24"/>
          <w:lang w:val="ru-RU"/>
        </w:rPr>
        <w:t>выступление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 скоростью диктовки, устранение </w:t>
      </w:r>
      <w:r>
        <w:rPr>
          <w:rFonts w:asciiTheme="majorBidi" w:hAnsiTheme="majorBidi" w:cstheme="majorBidi"/>
          <w:szCs w:val="24"/>
          <w:lang w:val="ru-RU"/>
        </w:rPr>
        <w:t>акустического шума окружающей среды</w:t>
      </w:r>
      <w:r w:rsidRPr="001678CB">
        <w:rPr>
          <w:rFonts w:asciiTheme="majorBidi" w:hAnsiTheme="majorBidi" w:cstheme="majorBidi"/>
          <w:szCs w:val="24"/>
          <w:lang w:val="ru-RU"/>
        </w:rPr>
        <w:t>, инструкции по использованию программного обеспечения).</w:t>
      </w:r>
    </w:p>
    <w:p w:rsidR="000379F6" w:rsidRPr="001678CB" w:rsidRDefault="000379F6" w:rsidP="000379F6">
      <w:pPr>
        <w:tabs>
          <w:tab w:val="left" w:pos="851"/>
        </w:tabs>
        <w:spacing w:after="120"/>
        <w:rPr>
          <w:rFonts w:asciiTheme="majorBidi" w:hAnsiTheme="majorBidi" w:cstheme="majorBidi"/>
          <w:szCs w:val="24"/>
          <w:lang w:val="ru-RU"/>
        </w:rPr>
      </w:pPr>
      <w:r>
        <w:rPr>
          <w:rFonts w:asciiTheme="majorBidi" w:hAnsiTheme="majorBidi" w:cstheme="majorBidi"/>
          <w:b/>
          <w:szCs w:val="24"/>
          <w:lang w:val="ru-RU"/>
        </w:rPr>
        <w:t>П</w:t>
      </w:r>
      <w:r w:rsidRPr="001678CB">
        <w:rPr>
          <w:rFonts w:asciiTheme="majorBidi" w:hAnsiTheme="majorBidi" w:cstheme="majorBidi"/>
          <w:b/>
          <w:szCs w:val="24"/>
          <w:lang w:val="ru-RU"/>
        </w:rPr>
        <w:t>оддержка</w:t>
      </w:r>
      <w:r>
        <w:rPr>
          <w:rFonts w:asciiTheme="majorBidi" w:hAnsiTheme="majorBidi" w:cstheme="majorBidi"/>
          <w:b/>
          <w:szCs w:val="24"/>
          <w:lang w:val="ru-RU"/>
        </w:rPr>
        <w:t>.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</w:t>
      </w:r>
      <w:r>
        <w:rPr>
          <w:rFonts w:asciiTheme="majorBidi" w:hAnsiTheme="majorBidi" w:cstheme="majorBidi"/>
          <w:szCs w:val="24"/>
          <w:lang w:val="ru-RU"/>
        </w:rPr>
        <w:t>Наряду с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процедурной поддержк</w:t>
      </w:r>
      <w:r>
        <w:rPr>
          <w:rFonts w:asciiTheme="majorBidi" w:hAnsiTheme="majorBidi" w:cstheme="majorBidi"/>
          <w:szCs w:val="24"/>
          <w:lang w:val="ru-RU"/>
        </w:rPr>
        <w:t>ой</w:t>
      </w:r>
      <w:r w:rsidRPr="001678CB">
        <w:rPr>
          <w:rFonts w:asciiTheme="majorBidi" w:hAnsiTheme="majorBidi" w:cstheme="majorBidi"/>
          <w:szCs w:val="24"/>
          <w:lang w:val="ru-RU"/>
        </w:rPr>
        <w:t xml:space="preserve">, обеспечиваемой </w:t>
      </w:r>
      <w:r>
        <w:rPr>
          <w:rFonts w:asciiTheme="majorBidi" w:hAnsiTheme="majorBidi" w:cstheme="majorBidi"/>
          <w:szCs w:val="24"/>
          <w:lang w:val="ru-RU"/>
        </w:rPr>
        <w:t>П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редседателем и Советником, существует необходимость в технической поддержке для </w:t>
      </w:r>
      <w:r>
        <w:rPr>
          <w:rFonts w:asciiTheme="majorBidi" w:hAnsiTheme="majorBidi" w:cstheme="majorBidi"/>
          <w:szCs w:val="24"/>
          <w:lang w:val="ru-RU"/>
        </w:rPr>
        <w:t>сопровождения средств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дистанционного участия. В настоящее время </w:t>
      </w:r>
      <w:r>
        <w:rPr>
          <w:rFonts w:asciiTheme="majorBidi" w:hAnsiTheme="majorBidi" w:cstheme="majorBidi"/>
          <w:szCs w:val="24"/>
          <w:lang w:val="ru-RU"/>
        </w:rPr>
        <w:t>для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каждо</w:t>
      </w:r>
      <w:r>
        <w:rPr>
          <w:rFonts w:asciiTheme="majorBidi" w:hAnsiTheme="majorBidi" w:cstheme="majorBidi"/>
          <w:szCs w:val="24"/>
          <w:lang w:val="ru-RU"/>
        </w:rPr>
        <w:t>го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собрани</w:t>
      </w:r>
      <w:r>
        <w:rPr>
          <w:rFonts w:asciiTheme="majorBidi" w:hAnsiTheme="majorBidi" w:cstheme="majorBidi"/>
          <w:szCs w:val="24"/>
          <w:lang w:val="ru-RU"/>
        </w:rPr>
        <w:t>я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необходим</w:t>
      </w:r>
      <w:r>
        <w:rPr>
          <w:rFonts w:asciiTheme="majorBidi" w:hAnsiTheme="majorBidi" w:cstheme="majorBidi"/>
          <w:szCs w:val="24"/>
          <w:lang w:val="ru-RU"/>
        </w:rPr>
        <w:t>ы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дв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технических специалист</w:t>
      </w:r>
      <w:r>
        <w:rPr>
          <w:rFonts w:asciiTheme="majorBidi" w:hAnsiTheme="majorBidi" w:cstheme="majorBidi"/>
          <w:szCs w:val="24"/>
          <w:lang w:val="ru-RU"/>
        </w:rPr>
        <w:t>а</w:t>
      </w:r>
      <w:r w:rsidRPr="001678CB">
        <w:rPr>
          <w:rFonts w:asciiTheme="majorBidi" w:hAnsiTheme="majorBidi" w:cstheme="majorBidi"/>
          <w:szCs w:val="24"/>
          <w:lang w:val="ru-RU"/>
        </w:rPr>
        <w:t xml:space="preserve">, </w:t>
      </w:r>
      <w:r>
        <w:rPr>
          <w:rFonts w:asciiTheme="majorBidi" w:hAnsiTheme="majorBidi" w:cstheme="majorBidi"/>
          <w:szCs w:val="24"/>
          <w:lang w:val="ru-RU"/>
        </w:rPr>
        <w:t xml:space="preserve">и </w:t>
      </w:r>
      <w:r w:rsidRPr="001678CB">
        <w:rPr>
          <w:rFonts w:asciiTheme="majorBidi" w:hAnsiTheme="majorBidi" w:cstheme="majorBidi"/>
          <w:szCs w:val="24"/>
          <w:lang w:val="ru-RU"/>
        </w:rPr>
        <w:t xml:space="preserve">соответствующим образом должен быть оборудован зал заседаний. Данные требования накладывают ограничения на количество </w:t>
      </w:r>
      <w:r>
        <w:rPr>
          <w:rFonts w:asciiTheme="majorBidi" w:hAnsiTheme="majorBidi" w:cstheme="majorBidi"/>
          <w:szCs w:val="24"/>
          <w:lang w:val="ru-RU"/>
        </w:rPr>
        <w:t>одновременно</w:t>
      </w:r>
      <w:r w:rsidRPr="001678CB">
        <w:rPr>
          <w:rFonts w:asciiTheme="majorBidi" w:hAnsiTheme="majorBidi" w:cstheme="majorBidi"/>
          <w:szCs w:val="24"/>
          <w:lang w:val="ru-RU"/>
        </w:rPr>
        <w:t xml:space="preserve"> проводимых собраний</w:t>
      </w:r>
      <w:r>
        <w:rPr>
          <w:rFonts w:asciiTheme="majorBidi" w:hAnsiTheme="majorBidi" w:cstheme="majorBidi"/>
          <w:szCs w:val="24"/>
          <w:lang w:val="ru-RU"/>
        </w:rPr>
        <w:t xml:space="preserve">, для которых обеспечивается </w:t>
      </w:r>
      <w:r w:rsidRPr="001678CB">
        <w:rPr>
          <w:rFonts w:asciiTheme="majorBidi" w:hAnsiTheme="majorBidi" w:cstheme="majorBidi"/>
          <w:szCs w:val="24"/>
          <w:lang w:val="ru-RU"/>
        </w:rPr>
        <w:t>возможность дистанционного участия.</w:t>
      </w:r>
    </w:p>
    <w:p w:rsidR="000379F6" w:rsidRPr="001678CB" w:rsidRDefault="000379F6" w:rsidP="000379F6">
      <w:pPr>
        <w:spacing w:after="120"/>
        <w:rPr>
          <w:lang w:val="ru-RU"/>
        </w:rPr>
      </w:pPr>
    </w:p>
    <w:p w:rsidR="002E6A33" w:rsidRPr="00CA4549" w:rsidRDefault="000379F6" w:rsidP="00D76CF3">
      <w:pPr>
        <w:spacing w:after="120"/>
        <w:jc w:val="center"/>
        <w:rPr>
          <w:lang w:val="ru-RU"/>
        </w:rPr>
      </w:pPr>
      <w:r w:rsidRPr="001678CB">
        <w:t>_________________</w:t>
      </w:r>
    </w:p>
    <w:sectPr w:rsidR="002E6A33" w:rsidRPr="00CA4549" w:rsidSect="00CA4549">
      <w:headerReference w:type="default" r:id="rId14"/>
      <w:footerReference w:type="default" r:id="rId15"/>
      <w:footerReference w:type="first" r:id="rId1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F3" w:rsidRDefault="00D76CF3">
      <w:r>
        <w:separator/>
      </w:r>
    </w:p>
  </w:endnote>
  <w:endnote w:type="continuationSeparator" w:id="0">
    <w:p w:rsidR="00D76CF3" w:rsidRDefault="00D7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F3" w:rsidRPr="007568B4" w:rsidRDefault="00D76CF3" w:rsidP="00CA4549">
    <w:pPr>
      <w:pStyle w:val="Footer"/>
      <w:tabs>
        <w:tab w:val="clear" w:pos="5954"/>
        <w:tab w:val="clear" w:pos="9639"/>
        <w:tab w:val="left" w:pos="9072"/>
        <w:tab w:val="right" w:pos="15735"/>
      </w:tabs>
    </w:pPr>
    <w:fldSimple w:instr=" FILENAME \p  \* MERGEFORMAT ">
      <w:r>
        <w:t>P:\RUS\ITU-R\AG\RAG12\RAG-1\000\001R.docx</w:t>
      </w:r>
    </w:fldSimple>
    <w:r w:rsidRPr="007568B4">
      <w:t xml:space="preserve"> (3</w:t>
    </w:r>
    <w:r w:rsidRPr="0097429F">
      <w:rPr>
        <w:lang w:val="en-US"/>
      </w:rPr>
      <w:t>2</w:t>
    </w:r>
    <w:r w:rsidR="00CA4549" w:rsidRPr="00CA4549">
      <w:rPr>
        <w:lang w:val="en-US"/>
      </w:rPr>
      <w:t>7583</w:t>
    </w:r>
    <w:r w:rsidRPr="007568B4">
      <w:t>)</w:t>
    </w:r>
    <w:r w:rsidRPr="007568B4">
      <w:tab/>
    </w:r>
    <w:r>
      <w:fldChar w:fldCharType="begin"/>
    </w:r>
    <w:r>
      <w:instrText xml:space="preserve"> SAVEDATE \@ DD.MM.YY </w:instrText>
    </w:r>
    <w:r>
      <w:fldChar w:fldCharType="separate"/>
    </w:r>
    <w:r w:rsidR="00F67549">
      <w:t>11.06.12</w:t>
    </w:r>
    <w:r>
      <w:fldChar w:fldCharType="end"/>
    </w:r>
    <w:r w:rsidRPr="007568B4">
      <w:tab/>
    </w:r>
    <w:r>
      <w:fldChar w:fldCharType="begin"/>
    </w:r>
    <w:r>
      <w:instrText xml:space="preserve"> PRINTDATE \@ DD.MM.YY </w:instrText>
    </w:r>
    <w:r>
      <w:fldChar w:fldCharType="separate"/>
    </w:r>
    <w:r>
      <w:t>23.05.12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F3" w:rsidRPr="007568B4" w:rsidRDefault="00D76CF3" w:rsidP="00CA4549">
    <w:pPr>
      <w:pStyle w:val="Footer"/>
      <w:tabs>
        <w:tab w:val="clear" w:pos="5954"/>
        <w:tab w:val="clear" w:pos="9639"/>
        <w:tab w:val="left" w:pos="9072"/>
        <w:tab w:val="right" w:pos="15735"/>
      </w:tabs>
    </w:pPr>
    <w:fldSimple w:instr=" FILENAME \p  \* MERGEFORMAT ">
      <w:r>
        <w:t>P:\RUS\ITU-R\AG\RAG12\RAG-1\000\001R.docx</w:t>
      </w:r>
    </w:fldSimple>
    <w:r w:rsidRPr="007568B4">
      <w:t xml:space="preserve"> (</w:t>
    </w:r>
    <w:r w:rsidR="00CA4549" w:rsidRPr="00CA4549">
      <w:rPr>
        <w:lang w:val="en-US"/>
      </w:rPr>
      <w:t>327583</w:t>
    </w:r>
    <w:r w:rsidRPr="007568B4">
      <w:t>)</w:t>
    </w:r>
    <w:r w:rsidRPr="007568B4">
      <w:tab/>
    </w:r>
    <w:r>
      <w:fldChar w:fldCharType="begin"/>
    </w:r>
    <w:r>
      <w:instrText xml:space="preserve"> SAVEDATE \@ DD.MM.YY </w:instrText>
    </w:r>
    <w:r>
      <w:fldChar w:fldCharType="separate"/>
    </w:r>
    <w:r w:rsidR="00F67549">
      <w:t>11.06.12</w:t>
    </w:r>
    <w:r>
      <w:fldChar w:fldCharType="end"/>
    </w:r>
    <w:r w:rsidRPr="007568B4">
      <w:tab/>
    </w:r>
    <w:r>
      <w:fldChar w:fldCharType="begin"/>
    </w:r>
    <w:r>
      <w:instrText xml:space="preserve"> PRINTDATE \@ DD.MM.YY </w:instrText>
    </w:r>
    <w:r>
      <w:fldChar w:fldCharType="separate"/>
    </w:r>
    <w:r>
      <w:t>23.05.12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F3" w:rsidRDefault="00D76CF3">
      <w:r>
        <w:t>____________________</w:t>
      </w:r>
    </w:p>
  </w:footnote>
  <w:footnote w:type="continuationSeparator" w:id="0">
    <w:p w:rsidR="00D76CF3" w:rsidRDefault="00D76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F3" w:rsidRPr="00E90D4B" w:rsidRDefault="00D76CF3" w:rsidP="00E90D4B">
    <w:pPr>
      <w:pStyle w:val="Header"/>
    </w:pPr>
    <w:r>
      <w:rPr>
        <w:lang w:val="es-ES"/>
      </w:rPr>
      <w:t xml:space="preserve">- </w:t>
    </w:r>
    <w:fldSimple w:instr=" PAGE ">
      <w:r w:rsidR="00F67549">
        <w:rPr>
          <w:noProof/>
        </w:rPr>
        <w:t>8</w:t>
      </w:r>
    </w:fldSimple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12</w:t>
    </w:r>
    <w:r>
      <w:rPr>
        <w:lang w:val="es-ES"/>
      </w:rPr>
      <w:t>-1/1</w:t>
    </w:r>
    <w:r w:rsidR="00CA4549">
      <w:rPr>
        <w:lang w:val="ru-RU"/>
      </w:rPr>
      <w:t>(</w:t>
    </w:r>
    <w:r w:rsidR="00CA4549">
      <w:rPr>
        <w:lang w:val="en-US"/>
      </w:rPr>
      <w:t>Add.2)</w:t>
    </w:r>
    <w:r>
      <w:rPr>
        <w:lang w:val="es-ES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C0D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01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384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01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E226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105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E24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D8F2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624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42E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0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7A299C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311CF"/>
    <w:rsid w:val="0003455F"/>
    <w:rsid w:val="000365C9"/>
    <w:rsid w:val="000379F6"/>
    <w:rsid w:val="00047081"/>
    <w:rsid w:val="00050979"/>
    <w:rsid w:val="00055FEE"/>
    <w:rsid w:val="00060A29"/>
    <w:rsid w:val="0006402C"/>
    <w:rsid w:val="000653E0"/>
    <w:rsid w:val="0006614B"/>
    <w:rsid w:val="00066577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20FB"/>
    <w:rsid w:val="001F6592"/>
    <w:rsid w:val="001F6CBE"/>
    <w:rsid w:val="00200E65"/>
    <w:rsid w:val="00203844"/>
    <w:rsid w:val="002052B1"/>
    <w:rsid w:val="002135E2"/>
    <w:rsid w:val="0021570F"/>
    <w:rsid w:val="002160DD"/>
    <w:rsid w:val="00217144"/>
    <w:rsid w:val="00217585"/>
    <w:rsid w:val="00222354"/>
    <w:rsid w:val="00222516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A0170"/>
    <w:rsid w:val="002A0B6D"/>
    <w:rsid w:val="002A42BA"/>
    <w:rsid w:val="002A6FC3"/>
    <w:rsid w:val="002A7323"/>
    <w:rsid w:val="002A78EC"/>
    <w:rsid w:val="002B09B0"/>
    <w:rsid w:val="002B224F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1B27"/>
    <w:rsid w:val="002F340E"/>
    <w:rsid w:val="002F3B90"/>
    <w:rsid w:val="002F5FD6"/>
    <w:rsid w:val="002F7456"/>
    <w:rsid w:val="00300E02"/>
    <w:rsid w:val="003011A3"/>
    <w:rsid w:val="00303349"/>
    <w:rsid w:val="003059A3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22D4"/>
    <w:rsid w:val="00355F7A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3A5"/>
    <w:rsid w:val="00390C86"/>
    <w:rsid w:val="003915C9"/>
    <w:rsid w:val="00391E87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78C"/>
    <w:rsid w:val="003F2683"/>
    <w:rsid w:val="003F7E93"/>
    <w:rsid w:val="004014E1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92435"/>
    <w:rsid w:val="004B358C"/>
    <w:rsid w:val="004B468C"/>
    <w:rsid w:val="004B5692"/>
    <w:rsid w:val="004C01AA"/>
    <w:rsid w:val="004C1CE6"/>
    <w:rsid w:val="004C6851"/>
    <w:rsid w:val="004C6B2A"/>
    <w:rsid w:val="004C6B80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773B"/>
    <w:rsid w:val="00611199"/>
    <w:rsid w:val="00615E55"/>
    <w:rsid w:val="00616C43"/>
    <w:rsid w:val="0061785E"/>
    <w:rsid w:val="00620255"/>
    <w:rsid w:val="006202DD"/>
    <w:rsid w:val="00624E06"/>
    <w:rsid w:val="006262A3"/>
    <w:rsid w:val="00632DDD"/>
    <w:rsid w:val="00633D6D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6BF6"/>
    <w:rsid w:val="00782996"/>
    <w:rsid w:val="00782AEA"/>
    <w:rsid w:val="007854A5"/>
    <w:rsid w:val="007873EB"/>
    <w:rsid w:val="007922A7"/>
    <w:rsid w:val="007955F2"/>
    <w:rsid w:val="007A0A02"/>
    <w:rsid w:val="007A299C"/>
    <w:rsid w:val="007B6753"/>
    <w:rsid w:val="007C175A"/>
    <w:rsid w:val="007C1EBA"/>
    <w:rsid w:val="007C3994"/>
    <w:rsid w:val="007C4F8B"/>
    <w:rsid w:val="007D0ECE"/>
    <w:rsid w:val="007D1EFB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2E01"/>
    <w:rsid w:val="008A56A5"/>
    <w:rsid w:val="008A6101"/>
    <w:rsid w:val="008B06FC"/>
    <w:rsid w:val="008B5089"/>
    <w:rsid w:val="008C1346"/>
    <w:rsid w:val="008C34A4"/>
    <w:rsid w:val="008C3808"/>
    <w:rsid w:val="008C7E12"/>
    <w:rsid w:val="008D7DE1"/>
    <w:rsid w:val="008E1D3D"/>
    <w:rsid w:val="008E282B"/>
    <w:rsid w:val="008E63AD"/>
    <w:rsid w:val="008F1E05"/>
    <w:rsid w:val="008F1F07"/>
    <w:rsid w:val="008F53DD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56BE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7DFB"/>
    <w:rsid w:val="00A823B3"/>
    <w:rsid w:val="00A84AEC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AC4"/>
    <w:rsid w:val="00B72EF3"/>
    <w:rsid w:val="00B75496"/>
    <w:rsid w:val="00B820B1"/>
    <w:rsid w:val="00B82BEC"/>
    <w:rsid w:val="00B8548B"/>
    <w:rsid w:val="00B87B3E"/>
    <w:rsid w:val="00B87F53"/>
    <w:rsid w:val="00B912A0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C73"/>
    <w:rsid w:val="00BD7DDC"/>
    <w:rsid w:val="00BE1F57"/>
    <w:rsid w:val="00BE36D6"/>
    <w:rsid w:val="00BE3942"/>
    <w:rsid w:val="00BE5431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2892"/>
    <w:rsid w:val="00D42BEE"/>
    <w:rsid w:val="00D4389A"/>
    <w:rsid w:val="00D45252"/>
    <w:rsid w:val="00D45618"/>
    <w:rsid w:val="00D476FB"/>
    <w:rsid w:val="00D510CA"/>
    <w:rsid w:val="00D5284E"/>
    <w:rsid w:val="00D57D8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6419"/>
    <w:rsid w:val="00DF19EE"/>
    <w:rsid w:val="00DF3182"/>
    <w:rsid w:val="00DF3D87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2169"/>
    <w:rsid w:val="00EB27F8"/>
    <w:rsid w:val="00EB3101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62A3"/>
    <w:rsid w:val="00FC3D94"/>
    <w:rsid w:val="00FC42B3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net/about/basic-texts/rul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adbandcommission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csd2012.org/rio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roups.itu.int/Default.aspx?alias=groups.itu.int/wsis-forum201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D778-F500-4726-9E71-0A0C45F5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10</TotalTime>
  <Pages>8</Pages>
  <Words>3212</Words>
  <Characters>22853</Characters>
  <Application>Microsoft Office Word</Application>
  <DocSecurity>0</DocSecurity>
  <Lines>190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26013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/>
  <cp:lastModifiedBy>beliaeva</cp:lastModifiedBy>
  <cp:revision>4</cp:revision>
  <cp:lastPrinted>2012-05-23T15:07:00Z</cp:lastPrinted>
  <dcterms:created xsi:type="dcterms:W3CDTF">2012-06-11T09:10:00Z</dcterms:created>
  <dcterms:modified xsi:type="dcterms:W3CDTF">2012-06-11T09:20:00Z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