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6487"/>
        <w:gridCol w:w="3402"/>
      </w:tblGrid>
      <w:tr w:rsidR="0051782D" w:rsidTr="00507DA3">
        <w:trPr>
          <w:cantSplit/>
        </w:trPr>
        <w:tc>
          <w:tcPr>
            <w:tcW w:w="6487" w:type="dxa"/>
          </w:tcPr>
          <w:p w:rsidR="0051782D" w:rsidRPr="0051782D" w:rsidRDefault="0051782D" w:rsidP="00D211BC">
            <w:pPr>
              <w:framePr w:hSpace="181" w:wrap="around" w:vAnchor="page" w:hAnchor="margin" w:x="1" w:y="852"/>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D211BC">
              <w:rPr>
                <w:rFonts w:ascii="Verdana" w:hAnsi="Verdana" w:cs="Times New Roman Bold"/>
                <w:b/>
                <w:bCs/>
                <w:sz w:val="20"/>
              </w:rPr>
              <w:t>25</w:t>
            </w:r>
            <w:r>
              <w:rPr>
                <w:rFonts w:ascii="Verdana" w:hAnsi="Verdana" w:cs="Times New Roman Bold"/>
                <w:b/>
                <w:bCs/>
                <w:sz w:val="20"/>
              </w:rPr>
              <w:t>-</w:t>
            </w:r>
            <w:r w:rsidR="00D211BC">
              <w:rPr>
                <w:rFonts w:ascii="Verdana" w:hAnsi="Verdana" w:cs="Times New Roman Bold"/>
                <w:b/>
                <w:bCs/>
                <w:sz w:val="20"/>
              </w:rPr>
              <w:t>27</w:t>
            </w:r>
            <w:r>
              <w:rPr>
                <w:rFonts w:ascii="Verdana" w:hAnsi="Verdana" w:cs="Times New Roman Bold"/>
                <w:b/>
                <w:bCs/>
                <w:sz w:val="20"/>
              </w:rPr>
              <w:t xml:space="preserve"> </w:t>
            </w:r>
            <w:r w:rsidR="001E41A0">
              <w:rPr>
                <w:rFonts w:ascii="Verdana" w:hAnsi="Verdana" w:cs="Times New Roman Bold"/>
                <w:b/>
                <w:bCs/>
                <w:sz w:val="20"/>
              </w:rPr>
              <w:t>June</w:t>
            </w:r>
            <w:r>
              <w:rPr>
                <w:rFonts w:ascii="Verdana" w:hAnsi="Verdana" w:cs="Times New Roman Bold"/>
                <w:b/>
                <w:bCs/>
                <w:sz w:val="20"/>
              </w:rPr>
              <w:t xml:space="preserve"> 20</w:t>
            </w:r>
            <w:r w:rsidR="00DD3BF8">
              <w:rPr>
                <w:rFonts w:ascii="Verdana" w:hAnsi="Verdana" w:cs="Times New Roman Bold"/>
                <w:b/>
                <w:bCs/>
                <w:sz w:val="20"/>
              </w:rPr>
              <w:t>1</w:t>
            </w:r>
            <w:r w:rsidR="00D211BC">
              <w:rPr>
                <w:rFonts w:ascii="Verdana" w:hAnsi="Verdana" w:cs="Times New Roman Bold"/>
                <w:b/>
                <w:bCs/>
                <w:sz w:val="20"/>
              </w:rPr>
              <w:t>2</w:t>
            </w:r>
          </w:p>
        </w:tc>
        <w:tc>
          <w:tcPr>
            <w:tcW w:w="3402" w:type="dxa"/>
          </w:tcPr>
          <w:p w:rsidR="0051782D" w:rsidRDefault="00FC1E29" w:rsidP="0051782D">
            <w:pPr>
              <w:framePr w:hSpace="181" w:wrap="around" w:vAnchor="page" w:hAnchor="margin" w:x="1" w:y="852"/>
              <w:shd w:val="solid" w:color="FFFFFF" w:fill="FFFFFF"/>
              <w:spacing w:before="0" w:line="240" w:lineRule="atLeast"/>
            </w:pPr>
            <w:r>
              <w:rPr>
                <w:noProof/>
                <w:lang w:val="en-US" w:eastAsia="zh-CN"/>
              </w:rPr>
              <w:drawing>
                <wp:inline distT="0" distB="0" distL="0" distR="0">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51782D" w:rsidTr="00507DA3">
        <w:trPr>
          <w:cantSplit/>
        </w:trPr>
        <w:tc>
          <w:tcPr>
            <w:tcW w:w="6487" w:type="dxa"/>
            <w:tcBorders>
              <w:bottom w:val="single" w:sz="12" w:space="0" w:color="auto"/>
            </w:tcBorders>
          </w:tcPr>
          <w:p w:rsidR="0051782D" w:rsidRPr="0051782D" w:rsidRDefault="0051782D" w:rsidP="0051782D">
            <w:pPr>
              <w:framePr w:hSpace="181" w:wrap="around" w:vAnchor="page" w:hAnchor="margin" w:x="1" w:y="852"/>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51782D">
            <w:pPr>
              <w:framePr w:hSpace="181" w:wrap="around" w:vAnchor="page" w:hAnchor="margin" w:x="1" w:y="852"/>
              <w:shd w:val="solid" w:color="FFFFFF" w:fill="FFFFFF"/>
              <w:spacing w:before="0" w:after="48" w:line="240" w:lineRule="atLeast"/>
              <w:rPr>
                <w:sz w:val="22"/>
                <w:szCs w:val="22"/>
                <w:lang w:val="en-US"/>
              </w:rPr>
            </w:pPr>
          </w:p>
        </w:tc>
      </w:tr>
      <w:tr w:rsidR="0051782D" w:rsidTr="00507DA3">
        <w:trPr>
          <w:cantSplit/>
        </w:trPr>
        <w:tc>
          <w:tcPr>
            <w:tcW w:w="6487" w:type="dxa"/>
            <w:tcBorders>
              <w:top w:val="single" w:sz="12" w:space="0" w:color="auto"/>
            </w:tcBorders>
          </w:tcPr>
          <w:p w:rsidR="0051782D" w:rsidRPr="0051782D" w:rsidRDefault="0051782D" w:rsidP="0051782D">
            <w:pPr>
              <w:framePr w:hSpace="181" w:wrap="around" w:vAnchor="page" w:hAnchor="margin" w:x="1" w:y="852"/>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51782D">
            <w:pPr>
              <w:framePr w:hSpace="181" w:wrap="around" w:vAnchor="page" w:hAnchor="margin" w:x="1" w:y="852"/>
              <w:shd w:val="solid" w:color="FFFFFF" w:fill="FFFFFF"/>
              <w:spacing w:before="0" w:after="48" w:line="240" w:lineRule="atLeast"/>
              <w:rPr>
                <w:lang w:val="en-US"/>
              </w:rPr>
            </w:pPr>
          </w:p>
        </w:tc>
      </w:tr>
      <w:tr w:rsidR="0051782D" w:rsidTr="00507DA3">
        <w:trPr>
          <w:cantSplit/>
        </w:trPr>
        <w:tc>
          <w:tcPr>
            <w:tcW w:w="6487" w:type="dxa"/>
            <w:vMerge w:val="restart"/>
          </w:tcPr>
          <w:p w:rsidR="0051782D" w:rsidRDefault="0051782D" w:rsidP="0051782D">
            <w:pPr>
              <w:framePr w:hSpace="181" w:wrap="around" w:vAnchor="page" w:hAnchor="margin" w:x="1" w:y="852"/>
              <w:shd w:val="solid" w:color="FFFFFF" w:fill="FFFFFF"/>
              <w:spacing w:after="240"/>
              <w:rPr>
                <w:sz w:val="20"/>
              </w:rPr>
            </w:pPr>
            <w:bookmarkStart w:id="0" w:name="dnum" w:colFirst="1" w:colLast="1"/>
          </w:p>
        </w:tc>
        <w:tc>
          <w:tcPr>
            <w:tcW w:w="3402" w:type="dxa"/>
          </w:tcPr>
          <w:p w:rsidR="0051782D" w:rsidRPr="000D7CF3" w:rsidRDefault="000D7CF3" w:rsidP="000D7CF3">
            <w:pPr>
              <w:framePr w:hSpace="181" w:wrap="around" w:vAnchor="page" w:hAnchor="margin" w:x="1" w:y="852"/>
              <w:shd w:val="solid" w:color="FFFFFF" w:fill="FFFFFF"/>
              <w:spacing w:before="0" w:line="240" w:lineRule="atLeast"/>
              <w:rPr>
                <w:rFonts w:ascii="Verdana" w:hAnsi="Verdana"/>
                <w:sz w:val="20"/>
              </w:rPr>
            </w:pPr>
            <w:r>
              <w:rPr>
                <w:rFonts w:ascii="Verdana" w:hAnsi="Verdana"/>
                <w:b/>
                <w:sz w:val="20"/>
              </w:rPr>
              <w:t>Document RAG12-1/7-E</w:t>
            </w:r>
          </w:p>
        </w:tc>
      </w:tr>
      <w:tr w:rsidR="0051782D" w:rsidTr="00507DA3">
        <w:trPr>
          <w:cantSplit/>
        </w:trPr>
        <w:tc>
          <w:tcPr>
            <w:tcW w:w="6487" w:type="dxa"/>
            <w:vMerge/>
          </w:tcPr>
          <w:p w:rsidR="0051782D" w:rsidRDefault="0051782D" w:rsidP="0051782D">
            <w:pPr>
              <w:framePr w:hSpace="181" w:wrap="around" w:vAnchor="page" w:hAnchor="margin" w:x="1" w:y="852"/>
              <w:spacing w:before="60"/>
              <w:jc w:val="center"/>
              <w:rPr>
                <w:b/>
                <w:smallCaps/>
                <w:sz w:val="32"/>
              </w:rPr>
            </w:pPr>
            <w:bookmarkStart w:id="1" w:name="ddate" w:colFirst="1" w:colLast="1"/>
            <w:bookmarkEnd w:id="0"/>
          </w:p>
        </w:tc>
        <w:tc>
          <w:tcPr>
            <w:tcW w:w="3402" w:type="dxa"/>
          </w:tcPr>
          <w:p w:rsidR="0051782D" w:rsidRPr="000D7CF3" w:rsidRDefault="00E67175" w:rsidP="000D7CF3">
            <w:pPr>
              <w:framePr w:hSpace="181" w:wrap="around" w:vAnchor="page" w:hAnchor="margin" w:x="1" w:y="852"/>
              <w:shd w:val="solid" w:color="FFFFFF" w:fill="FFFFFF"/>
              <w:spacing w:before="0" w:line="240" w:lineRule="atLeast"/>
              <w:rPr>
                <w:rFonts w:ascii="Verdana" w:hAnsi="Verdana"/>
                <w:sz w:val="20"/>
              </w:rPr>
            </w:pPr>
            <w:r>
              <w:rPr>
                <w:rFonts w:ascii="Verdana" w:hAnsi="Verdana"/>
                <w:b/>
                <w:sz w:val="20"/>
              </w:rPr>
              <w:t>25 May</w:t>
            </w:r>
            <w:r w:rsidR="0075202E">
              <w:rPr>
                <w:rFonts w:ascii="Verdana" w:hAnsi="Verdana"/>
                <w:b/>
                <w:sz w:val="20"/>
              </w:rPr>
              <w:t xml:space="preserve"> </w:t>
            </w:r>
            <w:r w:rsidR="000D7CF3">
              <w:rPr>
                <w:rFonts w:ascii="Verdana" w:hAnsi="Verdana"/>
                <w:b/>
                <w:sz w:val="20"/>
              </w:rPr>
              <w:t>2012</w:t>
            </w:r>
          </w:p>
        </w:tc>
      </w:tr>
      <w:tr w:rsidR="0051782D" w:rsidTr="00507DA3">
        <w:trPr>
          <w:cantSplit/>
        </w:trPr>
        <w:tc>
          <w:tcPr>
            <w:tcW w:w="6487" w:type="dxa"/>
            <w:vMerge/>
          </w:tcPr>
          <w:p w:rsidR="0051782D" w:rsidRDefault="0051782D" w:rsidP="0051782D">
            <w:pPr>
              <w:framePr w:hSpace="181" w:wrap="around" w:vAnchor="page" w:hAnchor="margin" w:x="1" w:y="852"/>
              <w:spacing w:before="60"/>
              <w:jc w:val="center"/>
              <w:rPr>
                <w:b/>
                <w:smallCaps/>
                <w:sz w:val="32"/>
              </w:rPr>
            </w:pPr>
            <w:bookmarkStart w:id="2" w:name="dorlang" w:colFirst="1" w:colLast="1"/>
            <w:bookmarkEnd w:id="1"/>
          </w:p>
        </w:tc>
        <w:tc>
          <w:tcPr>
            <w:tcW w:w="3402" w:type="dxa"/>
          </w:tcPr>
          <w:p w:rsidR="0051782D" w:rsidRPr="000D7CF3" w:rsidRDefault="000D7CF3" w:rsidP="000D7CF3">
            <w:pPr>
              <w:framePr w:hSpace="181" w:wrap="around" w:vAnchor="page" w:hAnchor="margin" w:x="1" w:y="852"/>
              <w:shd w:val="solid" w:color="FFFFFF" w:fill="FFFFFF"/>
              <w:spacing w:before="0" w:after="120" w:line="240" w:lineRule="atLeast"/>
              <w:rPr>
                <w:rFonts w:ascii="Verdana" w:hAnsi="Verdana"/>
                <w:sz w:val="20"/>
              </w:rPr>
            </w:pPr>
            <w:r>
              <w:rPr>
                <w:rFonts w:ascii="Verdana" w:hAnsi="Verdana"/>
                <w:b/>
                <w:sz w:val="20"/>
              </w:rPr>
              <w:t>Original: Russian</w:t>
            </w:r>
          </w:p>
        </w:tc>
      </w:tr>
    </w:tbl>
    <w:tbl>
      <w:tblPr>
        <w:tblW w:w="9889" w:type="dxa"/>
        <w:tblLayout w:type="fixed"/>
        <w:tblLook w:val="0000" w:firstRow="0" w:lastRow="0" w:firstColumn="0" w:lastColumn="0" w:noHBand="0" w:noVBand="0"/>
      </w:tblPr>
      <w:tblGrid>
        <w:gridCol w:w="9889"/>
      </w:tblGrid>
      <w:tr w:rsidR="00093C73">
        <w:trPr>
          <w:cantSplit/>
        </w:trPr>
        <w:tc>
          <w:tcPr>
            <w:tcW w:w="9889" w:type="dxa"/>
          </w:tcPr>
          <w:p w:rsidR="00093C73" w:rsidRDefault="008A65C9" w:rsidP="00E67175">
            <w:pPr>
              <w:pStyle w:val="Source"/>
            </w:pPr>
            <w:bookmarkStart w:id="3" w:name="dsource" w:colFirst="0" w:colLast="0"/>
            <w:bookmarkEnd w:id="2"/>
            <w:r>
              <w:t>Russian Federation</w:t>
            </w:r>
            <w:r>
              <w:rPr>
                <w:rStyle w:val="FootnoteReference"/>
                <w:bCs/>
              </w:rPr>
              <w:footnoteReference w:customMarkFollows="1" w:id="1"/>
              <w:t>*</w:t>
            </w:r>
          </w:p>
          <w:p w:rsidR="008A65C9" w:rsidRPr="008A65C9" w:rsidRDefault="008A65C9" w:rsidP="008A65C9">
            <w:pPr>
              <w:rPr>
                <w:b/>
                <w:bCs/>
              </w:rPr>
            </w:pPr>
          </w:p>
        </w:tc>
      </w:tr>
      <w:tr w:rsidR="00093C73">
        <w:trPr>
          <w:cantSplit/>
        </w:trPr>
        <w:tc>
          <w:tcPr>
            <w:tcW w:w="9889" w:type="dxa"/>
          </w:tcPr>
          <w:p w:rsidR="00093C73" w:rsidRDefault="008A65C9" w:rsidP="008A65C9">
            <w:pPr>
              <w:jc w:val="center"/>
            </w:pPr>
            <w:bookmarkStart w:id="4" w:name="dtitle1" w:colFirst="0" w:colLast="0"/>
            <w:bookmarkEnd w:id="3"/>
            <w:r>
              <w:t>IMPLEMENTATION OF STUDIES ON ITU-R RESOLUTIONS</w:t>
            </w:r>
          </w:p>
        </w:tc>
      </w:tr>
    </w:tbl>
    <w:bookmarkEnd w:id="4"/>
    <w:p w:rsidR="000D7CF3" w:rsidRDefault="008A65C9" w:rsidP="00E67175">
      <w:pPr>
        <w:pStyle w:val="Heading1"/>
      </w:pPr>
      <w:r>
        <w:t>Introduction</w:t>
      </w:r>
    </w:p>
    <w:p w:rsidR="008A65C9" w:rsidRDefault="008A65C9" w:rsidP="00E67175">
      <w:r>
        <w:t xml:space="preserve">The Radiocommunication Assembly adopted a number of ITU-R resolutions which call for studies </w:t>
      </w:r>
      <w:r w:rsidR="00892D4C">
        <w:t>to be carried out</w:t>
      </w:r>
      <w:r w:rsidR="00DF34F5">
        <w:t xml:space="preserve"> </w:t>
      </w:r>
      <w:r>
        <w:t>within the ITU-R study groups. ITU-R resolutions, togeth</w:t>
      </w:r>
      <w:r w:rsidR="0075202E">
        <w:t xml:space="preserve">er with ITU-R Questions and WRC </w:t>
      </w:r>
      <w:r>
        <w:t xml:space="preserve">resolutions, are one of the means of </w:t>
      </w:r>
      <w:r w:rsidR="00892D4C">
        <w:t>setting up</w:t>
      </w:r>
      <w:r>
        <w:t xml:space="preserve"> studies within an SG.</w:t>
      </w:r>
    </w:p>
    <w:p w:rsidR="008A65C9" w:rsidRDefault="008A65C9" w:rsidP="00E67175">
      <w:r>
        <w:t xml:space="preserve">ITU-R studies conducted in accordance with adopted ITU-R Questions or in accordance with WRC resolutions (on WRC agenda items) provide for a specific organization of work. </w:t>
      </w:r>
    </w:p>
    <w:p w:rsidR="008A65C9" w:rsidRDefault="00892D4C" w:rsidP="00E67175">
      <w:r>
        <w:t>Hence</w:t>
      </w:r>
      <w:r w:rsidR="008A65C9">
        <w:t xml:space="preserve">, ITU-R Questions include the adoption of a work programme (i.e. milestones for the progress of the study and expected date of completion) and indicate the form in which the response should be prepared (e.g. as a Recommendation). </w:t>
      </w:r>
    </w:p>
    <w:p w:rsidR="008A65C9" w:rsidRDefault="008A65C9" w:rsidP="00E67175">
      <w:r>
        <w:t xml:space="preserve">In the case of WRC resolutions, the corresponding CPM meeting identifies the responsible working party or study group as well as working parties or study groups that </w:t>
      </w:r>
      <w:r w:rsidR="00892D4C">
        <w:t xml:space="preserve">are concerned by </w:t>
      </w:r>
      <w:r>
        <w:t xml:space="preserve">the work. Moreover, studies in relation to WRC resolutions are </w:t>
      </w:r>
      <w:r w:rsidR="00892D4C">
        <w:t>included</w:t>
      </w:r>
      <w:r>
        <w:t xml:space="preserve"> in the relevant CPM report.</w:t>
      </w:r>
    </w:p>
    <w:p w:rsidR="008A65C9" w:rsidRDefault="008A65C9" w:rsidP="00E67175">
      <w:r>
        <w:t xml:space="preserve">For studies under ITU-R resolutions, on the other hand, there is no provision for the same kind of organization of studies in ITU-R, and this could lead to uncoordinated work in the study groups and working parties, and also to difficulties in </w:t>
      </w:r>
      <w:r w:rsidR="00892D4C">
        <w:t xml:space="preserve">setting </w:t>
      </w:r>
      <w:r>
        <w:t xml:space="preserve">a completion date for the studies and </w:t>
      </w:r>
      <w:r w:rsidR="00892D4C">
        <w:t xml:space="preserve">stipulating </w:t>
      </w:r>
      <w:r>
        <w:t>the form in which the results are to be presented.</w:t>
      </w:r>
    </w:p>
    <w:p w:rsidR="008A65C9" w:rsidRDefault="008A65C9" w:rsidP="00E67175">
      <w:pPr>
        <w:pStyle w:val="Heading1"/>
      </w:pPr>
      <w:r>
        <w:t>Proposal</w:t>
      </w:r>
    </w:p>
    <w:p w:rsidR="008A65C9" w:rsidRPr="008A65C9" w:rsidRDefault="008A65C9" w:rsidP="00E67175">
      <w:pPr>
        <w:sectPr w:rsidR="008A65C9" w:rsidRPr="008A65C9" w:rsidSect="00F749FF">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pPr>
      <w:r>
        <w:t xml:space="preserve">It is proposed to consider the possibility of organizing studies under ITU-R resolutions in the same way as studies are organized under WRC resolutions for preparation of the CPM report. To this end, RAG should </w:t>
      </w:r>
      <w:r w:rsidR="00892D4C">
        <w:t xml:space="preserve">identify </w:t>
      </w:r>
      <w:r>
        <w:t xml:space="preserve">responsible and </w:t>
      </w:r>
      <w:r w:rsidR="00892D4C">
        <w:t xml:space="preserve">concerned </w:t>
      </w:r>
      <w:r>
        <w:t xml:space="preserve">working parties for each ITU-R resolution, </w:t>
      </w:r>
      <w:r w:rsidR="00892D4C">
        <w:t xml:space="preserve">as well as </w:t>
      </w:r>
      <w:r>
        <w:t>the date of completion of the studies (as a rule, by the next radiocommunication assembly) a</w:t>
      </w:r>
      <w:r w:rsidR="00892D4C">
        <w:t>nd</w:t>
      </w:r>
      <w:r>
        <w:t xml:space="preserve"> the form in which the </w:t>
      </w:r>
      <w:r w:rsidR="00892D4C">
        <w:t xml:space="preserve">study </w:t>
      </w:r>
      <w:r>
        <w:t>results should be presented. The Annex to this document puts forward a template for the organization of studies under ITU-R resolutions, for consideration by RAG.</w:t>
      </w:r>
    </w:p>
    <w:p w:rsidR="00F46C62" w:rsidRDefault="00F46C62" w:rsidP="00F46C62">
      <w:pPr>
        <w:jc w:val="center"/>
      </w:pPr>
      <w:r>
        <w:rPr>
          <w:b/>
        </w:rPr>
        <w:lastRenderedPageBreak/>
        <w:t>Annex</w:t>
      </w:r>
    </w:p>
    <w:tbl>
      <w:tblPr>
        <w:tblStyle w:val="TableGrid"/>
        <w:tblW w:w="13491" w:type="dxa"/>
        <w:tblLook w:val="04A0" w:firstRow="1" w:lastRow="0" w:firstColumn="1" w:lastColumn="0" w:noHBand="0" w:noVBand="1"/>
      </w:tblPr>
      <w:tblGrid>
        <w:gridCol w:w="2721"/>
        <w:gridCol w:w="1417"/>
        <w:gridCol w:w="5102"/>
        <w:gridCol w:w="1417"/>
        <w:gridCol w:w="1417"/>
        <w:gridCol w:w="1417"/>
      </w:tblGrid>
      <w:tr w:rsidR="00676EE4" w:rsidTr="00892D4C">
        <w:trPr>
          <w:tblHeader/>
        </w:trPr>
        <w:tc>
          <w:tcPr>
            <w:tcW w:w="2721" w:type="dxa"/>
          </w:tcPr>
          <w:p w:rsidR="00676EE4" w:rsidRDefault="00F46C62" w:rsidP="00676EE4">
            <w:pPr>
              <w:pStyle w:val="Tablehead"/>
            </w:pPr>
            <w:bookmarkStart w:id="5" w:name="_GoBack"/>
            <w:bookmarkEnd w:id="5"/>
            <w:r>
              <w:t>Subject</w:t>
            </w:r>
          </w:p>
        </w:tc>
        <w:tc>
          <w:tcPr>
            <w:tcW w:w="1417" w:type="dxa"/>
          </w:tcPr>
          <w:p w:rsidR="00676EE4" w:rsidRDefault="00F46C62" w:rsidP="00676EE4">
            <w:pPr>
              <w:pStyle w:val="Tablehead"/>
            </w:pPr>
            <w:r>
              <w:t>Responsible group</w:t>
            </w:r>
          </w:p>
        </w:tc>
        <w:tc>
          <w:tcPr>
            <w:tcW w:w="5102" w:type="dxa"/>
          </w:tcPr>
          <w:p w:rsidR="00676EE4" w:rsidRDefault="00F46C62" w:rsidP="00676EE4">
            <w:pPr>
              <w:pStyle w:val="Tablehead"/>
            </w:pPr>
            <w:r>
              <w:t>Action to be taken by the group</w:t>
            </w:r>
          </w:p>
        </w:tc>
        <w:tc>
          <w:tcPr>
            <w:tcW w:w="1417" w:type="dxa"/>
          </w:tcPr>
          <w:p w:rsidR="00676EE4" w:rsidRDefault="00F46C62" w:rsidP="00676EE4">
            <w:pPr>
              <w:pStyle w:val="Tablehead"/>
            </w:pPr>
            <w:r>
              <w:t>Concerned group</w:t>
            </w:r>
            <w:r>
              <w:rPr>
                <w:rStyle w:val="FootnoteReference"/>
              </w:rPr>
              <w:footnoteReference w:id="2"/>
            </w:r>
          </w:p>
        </w:tc>
        <w:tc>
          <w:tcPr>
            <w:tcW w:w="1417" w:type="dxa"/>
          </w:tcPr>
          <w:p w:rsidR="00676EE4" w:rsidRDefault="00F46C62" w:rsidP="00676EE4">
            <w:pPr>
              <w:pStyle w:val="Tablehead"/>
            </w:pPr>
            <w:r>
              <w:t>Completion date</w:t>
            </w:r>
          </w:p>
        </w:tc>
        <w:tc>
          <w:tcPr>
            <w:tcW w:w="1417" w:type="dxa"/>
          </w:tcPr>
          <w:p w:rsidR="00676EE4" w:rsidRDefault="00F46C62" w:rsidP="00676EE4">
            <w:pPr>
              <w:pStyle w:val="Tablehead"/>
            </w:pPr>
            <w:r>
              <w:t>Form of presentation of results</w:t>
            </w:r>
          </w:p>
        </w:tc>
      </w:tr>
      <w:tr w:rsidR="00676EE4" w:rsidTr="00792EF3">
        <w:tc>
          <w:tcPr>
            <w:tcW w:w="2721" w:type="dxa"/>
          </w:tcPr>
          <w:p w:rsidR="00676EE4" w:rsidRDefault="00676EE4" w:rsidP="00676EE4">
            <w:pPr>
              <w:pStyle w:val="Tabletext"/>
            </w:pPr>
            <w:bookmarkStart w:id="6" w:name="dbreak"/>
            <w:bookmarkEnd w:id="6"/>
            <w:r w:rsidRPr="0085475C">
              <w:t xml:space="preserve">RESOLUTION </w:t>
            </w:r>
            <w:r>
              <w:t>ITU</w:t>
            </w:r>
            <w:r>
              <w:noBreakHyphen/>
            </w:r>
            <w:r w:rsidRPr="0085475C">
              <w:t>R 50-</w:t>
            </w:r>
            <w:r>
              <w:t>2</w:t>
            </w:r>
          </w:p>
          <w:p w:rsidR="00676EE4" w:rsidRDefault="00676EE4" w:rsidP="000110AB">
            <w:pPr>
              <w:pStyle w:val="Tabletext"/>
            </w:pPr>
            <w:bookmarkStart w:id="7" w:name="_Toc180537922"/>
            <w:bookmarkStart w:id="8" w:name="dtitle2" w:colFirst="0" w:colLast="0"/>
            <w:r w:rsidRPr="0085475C">
              <w:t>Role of the Radiocommunication Sector</w:t>
            </w:r>
            <w:r>
              <w:t xml:space="preserve"> </w:t>
            </w:r>
            <w:r w:rsidRPr="0085475C">
              <w:t>in the ongoing development of IMT</w:t>
            </w:r>
            <w:bookmarkEnd w:id="7"/>
            <w:bookmarkEnd w:id="8"/>
          </w:p>
        </w:tc>
        <w:tc>
          <w:tcPr>
            <w:tcW w:w="1417" w:type="dxa"/>
          </w:tcPr>
          <w:p w:rsidR="00676EE4" w:rsidRDefault="00676EE4" w:rsidP="00D211BC"/>
        </w:tc>
        <w:tc>
          <w:tcPr>
            <w:tcW w:w="5102" w:type="dxa"/>
          </w:tcPr>
          <w:p w:rsidR="00676EE4" w:rsidRPr="00676EE4" w:rsidRDefault="00792EF3" w:rsidP="00792EF3">
            <w:pPr>
              <w:pStyle w:val="Tabletext"/>
              <w:rPr>
                <w:i/>
                <w:iCs/>
              </w:rPr>
            </w:pPr>
            <w:r>
              <w:rPr>
                <w:i/>
                <w:iCs/>
              </w:rPr>
              <w:tab/>
            </w:r>
            <w:r w:rsidR="00676EE4" w:rsidRPr="00676EE4">
              <w:rPr>
                <w:i/>
                <w:iCs/>
              </w:rPr>
              <w:t>resolves</w:t>
            </w:r>
          </w:p>
          <w:p w:rsidR="00676EE4" w:rsidRDefault="00676EE4" w:rsidP="00676EE4">
            <w:pPr>
              <w:pStyle w:val="Tabletext"/>
            </w:pPr>
            <w:r w:rsidRPr="0085475C">
              <w:t>1</w:t>
            </w:r>
            <w:r w:rsidRPr="0085475C">
              <w:tab/>
              <w:t xml:space="preserve">that a roadmap for </w:t>
            </w:r>
            <w:r>
              <w:t>ITU</w:t>
            </w:r>
            <w:r>
              <w:noBreakHyphen/>
            </w:r>
            <w:r w:rsidRPr="0085475C">
              <w:t xml:space="preserve">R activities on IMT </w:t>
            </w:r>
            <w:r>
              <w:t xml:space="preserve">should </w:t>
            </w:r>
            <w:r w:rsidRPr="0085475C">
              <w:t>be developed by the relevant Radiocommunication Study Group to ensure that this work is progressed effectively and efficiently with organizations external to ITU;</w:t>
            </w:r>
          </w:p>
          <w:p w:rsidR="00676EE4" w:rsidRDefault="00676EE4" w:rsidP="00676EE4">
            <w:pPr>
              <w:pStyle w:val="Tabletext"/>
            </w:pPr>
            <w:r w:rsidRPr="0085475C">
              <w:t>2</w:t>
            </w:r>
            <w:r w:rsidRPr="0085475C">
              <w:tab/>
              <w:t xml:space="preserve">that the effective coordination currently established between </w:t>
            </w:r>
            <w:r>
              <w:t>ITU</w:t>
            </w:r>
            <w:r>
              <w:noBreakHyphen/>
            </w:r>
            <w:r w:rsidRPr="0085475C">
              <w:t xml:space="preserve">T and </w:t>
            </w:r>
            <w:r>
              <w:t>ITU</w:t>
            </w:r>
            <w:r>
              <w:noBreakHyphen/>
            </w:r>
            <w:r w:rsidRPr="0085475C">
              <w:t>R for IMT, Mobile Telecommunication Networks and Next Generation Networks activities</w:t>
            </w:r>
            <w:r>
              <w:t xml:space="preserve"> should</w:t>
            </w:r>
            <w:r w:rsidRPr="0085475C">
              <w:t xml:space="preserve"> be continued</w:t>
            </w:r>
            <w:r>
              <w:t>;</w:t>
            </w:r>
          </w:p>
          <w:p w:rsidR="00676EE4" w:rsidRDefault="00676EE4" w:rsidP="00676EE4">
            <w:pPr>
              <w:pStyle w:val="Tabletext"/>
            </w:pPr>
            <w:r w:rsidRPr="00E64838">
              <w:rPr>
                <w:rFonts w:eastAsia="Malgun Gothic"/>
                <w:lang w:eastAsia="ko-KR"/>
              </w:rPr>
              <w:t>3</w:t>
            </w:r>
            <w:r w:rsidRPr="00200CAF">
              <w:rPr>
                <w:rFonts w:eastAsia="Malgun Gothic"/>
                <w:bCs/>
                <w:lang w:eastAsia="ko-KR"/>
              </w:rPr>
              <w:tab/>
            </w:r>
            <w:r w:rsidRPr="00777938">
              <w:rPr>
                <w:rFonts w:eastAsia="Malgun Gothic"/>
                <w:bCs/>
                <w:lang w:eastAsia="ko-KR"/>
              </w:rPr>
              <w:t xml:space="preserve">that work </w:t>
            </w:r>
            <w:r w:rsidRPr="00777938">
              <w:t xml:space="preserve">carried out by </w:t>
            </w:r>
            <w:r>
              <w:t xml:space="preserve">the </w:t>
            </w:r>
            <w:r w:rsidRPr="00777938">
              <w:t>Radiocommunication Sector on IMT</w:t>
            </w:r>
            <w:r w:rsidRPr="00777938">
              <w:rPr>
                <w:rFonts w:eastAsia="Malgun Gothic"/>
                <w:lang w:eastAsia="ko-KR"/>
              </w:rPr>
              <w:t xml:space="preserve"> </w:t>
            </w:r>
            <w:r>
              <w:rPr>
                <w:rFonts w:eastAsia="Malgun Gothic"/>
                <w:lang w:eastAsia="ko-KR"/>
              </w:rPr>
              <w:t xml:space="preserve">should </w:t>
            </w:r>
            <w:r w:rsidRPr="00777938">
              <w:rPr>
                <w:rFonts w:eastAsia="Malgun Gothic"/>
                <w:lang w:eastAsia="ko-KR"/>
              </w:rPr>
              <w:t xml:space="preserve">be communicated to the </w:t>
            </w:r>
            <w:r w:rsidRPr="00777938">
              <w:t>Director of BDT</w:t>
            </w:r>
            <w:r>
              <w:t>,</w:t>
            </w:r>
          </w:p>
        </w:tc>
        <w:tc>
          <w:tcPr>
            <w:tcW w:w="1417" w:type="dxa"/>
          </w:tcPr>
          <w:p w:rsidR="00676EE4" w:rsidRDefault="00676EE4" w:rsidP="00D211BC"/>
        </w:tc>
        <w:tc>
          <w:tcPr>
            <w:tcW w:w="1417" w:type="dxa"/>
          </w:tcPr>
          <w:p w:rsidR="00676EE4" w:rsidRDefault="00676EE4" w:rsidP="00D211BC"/>
        </w:tc>
        <w:tc>
          <w:tcPr>
            <w:tcW w:w="1417" w:type="dxa"/>
          </w:tcPr>
          <w:p w:rsidR="00676EE4" w:rsidRDefault="00676EE4" w:rsidP="00D211BC"/>
        </w:tc>
      </w:tr>
      <w:tr w:rsidR="00676EE4" w:rsidTr="00792EF3">
        <w:tc>
          <w:tcPr>
            <w:tcW w:w="2721" w:type="dxa"/>
          </w:tcPr>
          <w:p w:rsidR="00676EE4" w:rsidRDefault="00676EE4" w:rsidP="00676EE4">
            <w:pPr>
              <w:pStyle w:val="Tabletext"/>
            </w:pPr>
            <w:r>
              <w:t>RESOLUTION ITU</w:t>
            </w:r>
            <w:r>
              <w:noBreakHyphen/>
            </w:r>
            <w:r w:rsidRPr="006556D6">
              <w:t>R 53</w:t>
            </w:r>
            <w:r>
              <w:noBreakHyphen/>
              <w:t>1</w:t>
            </w:r>
          </w:p>
          <w:p w:rsidR="00676EE4" w:rsidRDefault="00676EE4" w:rsidP="00676EE4">
            <w:pPr>
              <w:pStyle w:val="Tabletext"/>
            </w:pPr>
            <w:bookmarkStart w:id="9" w:name="_Toc180537926"/>
            <w:r w:rsidRPr="006556D6">
              <w:t>The use of radiocommunications in disaster response and relief</w:t>
            </w:r>
            <w:bookmarkEnd w:id="9"/>
          </w:p>
        </w:tc>
        <w:tc>
          <w:tcPr>
            <w:tcW w:w="1417" w:type="dxa"/>
          </w:tcPr>
          <w:p w:rsidR="00676EE4" w:rsidRDefault="00676EE4" w:rsidP="00D211BC"/>
        </w:tc>
        <w:tc>
          <w:tcPr>
            <w:tcW w:w="5102" w:type="dxa"/>
          </w:tcPr>
          <w:p w:rsidR="00676EE4" w:rsidRPr="00676EE4" w:rsidRDefault="00792EF3" w:rsidP="00792EF3">
            <w:pPr>
              <w:pStyle w:val="Tabletext"/>
              <w:rPr>
                <w:i/>
                <w:iCs/>
              </w:rPr>
            </w:pPr>
            <w:r>
              <w:rPr>
                <w:i/>
                <w:iCs/>
              </w:rPr>
              <w:tab/>
            </w:r>
            <w:r w:rsidR="00676EE4" w:rsidRPr="00676EE4">
              <w:rPr>
                <w:i/>
                <w:iCs/>
              </w:rPr>
              <w:t>resolves</w:t>
            </w:r>
          </w:p>
          <w:p w:rsidR="00676EE4" w:rsidRPr="006556D6" w:rsidRDefault="00676EE4" w:rsidP="00676EE4">
            <w:pPr>
              <w:pStyle w:val="Tabletext"/>
            </w:pPr>
            <w:r w:rsidRPr="006556D6">
              <w:t xml:space="preserve">that, given the importance of the effective use of the radio-frequency spectrum for radiocommunications in disaster situations, the concerned </w:t>
            </w:r>
            <w:r>
              <w:t>ITU</w:t>
            </w:r>
            <w:r>
              <w:noBreakHyphen/>
            </w:r>
            <w:r w:rsidRPr="006556D6">
              <w:t xml:space="preserve">R study groups undertake studies and develop guidelines related to the management of radiocommunications in disaster prediction, detection, mitigation and relief collaboratively and cooperatively within ITU and with organizations external to the Union, </w:t>
            </w:r>
          </w:p>
          <w:p w:rsidR="00676EE4" w:rsidRDefault="00676EE4" w:rsidP="00D211BC"/>
        </w:tc>
        <w:tc>
          <w:tcPr>
            <w:tcW w:w="1417" w:type="dxa"/>
          </w:tcPr>
          <w:p w:rsidR="00676EE4" w:rsidRDefault="00676EE4" w:rsidP="00D211BC"/>
        </w:tc>
        <w:tc>
          <w:tcPr>
            <w:tcW w:w="1417" w:type="dxa"/>
          </w:tcPr>
          <w:p w:rsidR="00676EE4" w:rsidRDefault="00676EE4" w:rsidP="00D211BC"/>
        </w:tc>
        <w:tc>
          <w:tcPr>
            <w:tcW w:w="1417" w:type="dxa"/>
          </w:tcPr>
          <w:p w:rsidR="00676EE4" w:rsidRDefault="00676EE4" w:rsidP="00D211BC"/>
        </w:tc>
      </w:tr>
      <w:tr w:rsidR="00676EE4" w:rsidTr="00792EF3">
        <w:tc>
          <w:tcPr>
            <w:tcW w:w="2721" w:type="dxa"/>
          </w:tcPr>
          <w:p w:rsidR="00676EE4" w:rsidRPr="002B6CD4" w:rsidRDefault="00676EE4" w:rsidP="00676EE4">
            <w:pPr>
              <w:pStyle w:val="Tabletext"/>
            </w:pPr>
            <w:r w:rsidRPr="002B6CD4">
              <w:t>RESOLUTION ITU</w:t>
            </w:r>
            <w:r w:rsidRPr="002B6CD4">
              <w:noBreakHyphen/>
              <w:t>R 54</w:t>
            </w:r>
            <w:r w:rsidRPr="002B6CD4">
              <w:noBreakHyphen/>
              <w:t>1</w:t>
            </w:r>
          </w:p>
          <w:p w:rsidR="00676EE4" w:rsidRDefault="00676EE4" w:rsidP="00676EE4">
            <w:pPr>
              <w:pStyle w:val="Tabletext"/>
            </w:pPr>
            <w:r w:rsidRPr="002B6CD4">
              <w:t>Studies to achieve harmonization for short-</w:t>
            </w:r>
            <w:r w:rsidRPr="002B6CD4">
              <w:lastRenderedPageBreak/>
              <w:t>range devices</w:t>
            </w:r>
          </w:p>
        </w:tc>
        <w:tc>
          <w:tcPr>
            <w:tcW w:w="1417" w:type="dxa"/>
          </w:tcPr>
          <w:p w:rsidR="00676EE4" w:rsidRDefault="00676EE4" w:rsidP="00D211BC"/>
        </w:tc>
        <w:tc>
          <w:tcPr>
            <w:tcW w:w="5102" w:type="dxa"/>
          </w:tcPr>
          <w:p w:rsidR="00676EE4" w:rsidRPr="000110AB" w:rsidRDefault="00792EF3" w:rsidP="00792EF3">
            <w:pPr>
              <w:pStyle w:val="Tabletext"/>
              <w:rPr>
                <w:i/>
                <w:iCs/>
              </w:rPr>
            </w:pPr>
            <w:r>
              <w:tab/>
            </w:r>
            <w:r w:rsidR="00676EE4" w:rsidRPr="000110AB">
              <w:rPr>
                <w:i/>
                <w:iCs/>
              </w:rPr>
              <w:t>resolves</w:t>
            </w:r>
          </w:p>
          <w:p w:rsidR="00676EE4" w:rsidRPr="002B6CD4" w:rsidRDefault="00676EE4" w:rsidP="00676EE4">
            <w:pPr>
              <w:pStyle w:val="Tabletext"/>
            </w:pPr>
            <w:r w:rsidRPr="002B6CD4">
              <w:t>1</w:t>
            </w:r>
            <w:r w:rsidRPr="002B6CD4">
              <w:tab/>
              <w:t xml:space="preserve">to </w:t>
            </w:r>
            <w:r w:rsidRPr="002B6CD4">
              <w:rPr>
                <w:rFonts w:eastAsia="SimSun"/>
                <w:lang w:eastAsia="zh-CN"/>
              </w:rPr>
              <w:t xml:space="preserve">continue </w:t>
            </w:r>
            <w:r w:rsidRPr="002B6CD4">
              <w:t xml:space="preserve">studies, in collaboration with standardization organizations and scientific and </w:t>
            </w:r>
            <w:r w:rsidRPr="002B6CD4">
              <w:lastRenderedPageBreak/>
              <w:t>industrial organizations, on the regional and/or global harmonization of technical and operating parameters, including frequency ranges</w:t>
            </w:r>
            <w:r w:rsidRPr="002B6CD4">
              <w:rPr>
                <w:rFonts w:eastAsia="SimSun"/>
                <w:lang w:eastAsia="zh-CN"/>
              </w:rPr>
              <w:t xml:space="preserve"> and interference mitigation techniques </w:t>
            </w:r>
            <w:r w:rsidRPr="002B6CD4">
              <w:t>for SRDs;</w:t>
            </w:r>
          </w:p>
          <w:p w:rsidR="00676EE4" w:rsidRPr="002B6CD4" w:rsidRDefault="00676EE4" w:rsidP="00676EE4">
            <w:pPr>
              <w:pStyle w:val="Tabletext"/>
            </w:pPr>
            <w:r w:rsidRPr="002B6CD4">
              <w:rPr>
                <w:rFonts w:eastAsia="Malgun Gothic"/>
                <w:lang w:eastAsia="ko-KR"/>
              </w:rPr>
              <w:t>2</w:t>
            </w:r>
            <w:r w:rsidRPr="002B6CD4">
              <w:tab/>
              <w:t>to continue to develop the necessary monitoring and measurement procedures in order to enable administrations to verify technical and operating parameters of SRDs and to examine the effect of emissions from SRDs on radiocommunication services;</w:t>
            </w:r>
          </w:p>
          <w:p w:rsidR="00676EE4" w:rsidRPr="002B6CD4" w:rsidRDefault="00676EE4" w:rsidP="00676EE4">
            <w:pPr>
              <w:pStyle w:val="Tabletext"/>
            </w:pPr>
            <w:r w:rsidRPr="002B6CD4">
              <w:t>3</w:t>
            </w:r>
            <w:r w:rsidRPr="002B6CD4">
              <w:tab/>
              <w:t>to promote and maintain an ongoing exchange of information on SRDs between ITU</w:t>
            </w:r>
            <w:r w:rsidRPr="002B6CD4">
              <w:noBreakHyphen/>
              <w:t>R members and other organizations, as per Resolution ITU</w:t>
            </w:r>
            <w:r w:rsidRPr="002B6CD4">
              <w:noBreakHyphen/>
              <w:t xml:space="preserve">R 9; </w:t>
            </w:r>
          </w:p>
          <w:p w:rsidR="00676EE4" w:rsidRPr="002B6CD4" w:rsidRDefault="00676EE4" w:rsidP="00676EE4">
            <w:pPr>
              <w:pStyle w:val="Tabletext"/>
            </w:pPr>
            <w:r w:rsidRPr="002B6CD4">
              <w:t>4</w:t>
            </w:r>
            <w:r w:rsidRPr="002B6CD4">
              <w:tab/>
              <w:t>to study spectrum utilization and technical requirements of SRDs to promote the efficient use of spectrum;</w:t>
            </w:r>
          </w:p>
          <w:p w:rsidR="00676EE4" w:rsidRPr="002B6CD4" w:rsidRDefault="00676EE4" w:rsidP="00676EE4">
            <w:pPr>
              <w:pStyle w:val="Tabletext"/>
            </w:pPr>
            <w:r w:rsidRPr="002B6CD4">
              <w:t>5</w:t>
            </w:r>
            <w:r w:rsidRPr="002B6CD4">
              <w:tab/>
              <w:t>to conduct technical studies to evaluate the feasibility of deploying SRDs in specific frequency bands that could be harmonized globally or regionally;</w:t>
            </w:r>
          </w:p>
          <w:p w:rsidR="00676EE4" w:rsidRPr="002B6CD4" w:rsidRDefault="00676EE4" w:rsidP="00676EE4">
            <w:pPr>
              <w:pStyle w:val="Tabletext"/>
            </w:pPr>
            <w:r w:rsidRPr="002B6CD4">
              <w:t>6</w:t>
            </w:r>
            <w:r w:rsidRPr="002B6CD4">
              <w:tab/>
              <w:t>to continue studies to enable implementation of advanced technologies for SRDs, thereby in particular focusing on a strategy for the future;</w:t>
            </w:r>
          </w:p>
          <w:p w:rsidR="00676EE4" w:rsidRPr="002B6CD4" w:rsidRDefault="00676EE4" w:rsidP="00676EE4">
            <w:pPr>
              <w:pStyle w:val="Tabletext"/>
            </w:pPr>
            <w:r w:rsidRPr="002B6CD4">
              <w:t>7</w:t>
            </w:r>
            <w:r w:rsidRPr="002B6CD4">
              <w:tab/>
              <w:t>that in particular the following studies should be conducted:</w:t>
            </w:r>
          </w:p>
          <w:p w:rsidR="00676EE4" w:rsidRPr="002B6CD4" w:rsidRDefault="00676EE4" w:rsidP="00676EE4">
            <w:pPr>
              <w:pStyle w:val="Tabletext"/>
            </w:pPr>
            <w:r w:rsidRPr="002B6CD4">
              <w:rPr>
                <w:i/>
                <w:iCs/>
              </w:rPr>
              <w:t>a)</w:t>
            </w:r>
            <w:r w:rsidRPr="002B6CD4">
              <w:tab/>
              <w:t>to collect information on SRDs which use advanced spectrum access and frequency tuning range techniques in order to understand their capabilities, meanwhile ensuring protection to radiocommunication services;</w:t>
            </w:r>
          </w:p>
          <w:p w:rsidR="00676EE4" w:rsidRPr="002B6CD4" w:rsidRDefault="00676EE4" w:rsidP="00676EE4">
            <w:pPr>
              <w:pStyle w:val="Tabletext"/>
            </w:pPr>
            <w:r w:rsidRPr="002B6CD4">
              <w:rPr>
                <w:i/>
                <w:iCs/>
              </w:rPr>
              <w:t>b)</w:t>
            </w:r>
            <w:r w:rsidRPr="002B6CD4">
              <w:tab/>
              <w:t>to advise on a mechanism, based on 7</w:t>
            </w:r>
            <w:r w:rsidRPr="002B6CD4">
              <w:rPr>
                <w:i/>
                <w:iCs/>
              </w:rPr>
              <w:t xml:space="preserve"> a) </w:t>
            </w:r>
            <w:r w:rsidRPr="002B6CD4">
              <w:t xml:space="preserve">above, that may ease the use of relevant frequency bands and/or frequency tuning ranges, preferably on a global or </w:t>
            </w:r>
            <w:r w:rsidRPr="002B6CD4">
              <w:lastRenderedPageBreak/>
              <w:t>regional basis, suitable for SRDs;</w:t>
            </w:r>
          </w:p>
          <w:p w:rsidR="00676EE4" w:rsidRPr="002B6CD4" w:rsidRDefault="00676EE4" w:rsidP="00676EE4">
            <w:pPr>
              <w:pStyle w:val="Tabletext"/>
            </w:pPr>
            <w:r w:rsidRPr="002B6CD4">
              <w:rPr>
                <w:i/>
                <w:iCs/>
              </w:rPr>
              <w:t>c)</w:t>
            </w:r>
            <w:r w:rsidRPr="002B6CD4">
              <w:tab/>
              <w:t>to update information on frequency bands commonly used by SRDs;</w:t>
            </w:r>
          </w:p>
          <w:p w:rsidR="00676EE4" w:rsidRDefault="00676EE4" w:rsidP="008D6EC0">
            <w:pPr>
              <w:pStyle w:val="Tabletext"/>
            </w:pPr>
            <w:r w:rsidRPr="002B6CD4">
              <w:t>8</w:t>
            </w:r>
            <w:r w:rsidRPr="002B6CD4">
              <w:tab/>
              <w:t>to document these studies in ITU</w:t>
            </w:r>
            <w:r w:rsidRPr="002B6CD4">
              <w:noBreakHyphen/>
              <w:t>R Recommendations and Reports, revised on a regular basis,</w:t>
            </w:r>
          </w:p>
        </w:tc>
        <w:tc>
          <w:tcPr>
            <w:tcW w:w="1417" w:type="dxa"/>
          </w:tcPr>
          <w:p w:rsidR="00676EE4" w:rsidRDefault="00676EE4" w:rsidP="00D211BC"/>
        </w:tc>
        <w:tc>
          <w:tcPr>
            <w:tcW w:w="1417" w:type="dxa"/>
          </w:tcPr>
          <w:p w:rsidR="00676EE4" w:rsidRDefault="00676EE4" w:rsidP="00D211BC"/>
        </w:tc>
        <w:tc>
          <w:tcPr>
            <w:tcW w:w="1417" w:type="dxa"/>
          </w:tcPr>
          <w:p w:rsidR="00676EE4" w:rsidRDefault="00676EE4" w:rsidP="00D211BC"/>
        </w:tc>
      </w:tr>
      <w:tr w:rsidR="00676EE4" w:rsidTr="00792EF3">
        <w:tc>
          <w:tcPr>
            <w:tcW w:w="2721" w:type="dxa"/>
          </w:tcPr>
          <w:p w:rsidR="008D6EC0" w:rsidRDefault="008D6EC0" w:rsidP="008D6EC0">
            <w:pPr>
              <w:pStyle w:val="Tabletext"/>
              <w:rPr>
                <w:lang w:val="en-US"/>
              </w:rPr>
            </w:pPr>
            <w:r w:rsidRPr="00092367">
              <w:lastRenderedPageBreak/>
              <w:t xml:space="preserve">Resolution </w:t>
            </w:r>
            <w:r w:rsidRPr="00092367">
              <w:rPr>
                <w:rFonts w:eastAsia="MS Mincho"/>
              </w:rPr>
              <w:t>ITU</w:t>
            </w:r>
            <w:r w:rsidRPr="00092367">
              <w:rPr>
                <w:rFonts w:eastAsia="MS Mincho"/>
              </w:rPr>
              <w:noBreakHyphen/>
              <w:t>R</w:t>
            </w:r>
            <w:r>
              <w:rPr>
                <w:rFonts w:eastAsia="MS Mincho"/>
              </w:rPr>
              <w:t> 58</w:t>
            </w:r>
          </w:p>
          <w:p w:rsidR="00676EE4" w:rsidRPr="008D6EC0" w:rsidRDefault="008D6EC0" w:rsidP="008D6EC0">
            <w:pPr>
              <w:pStyle w:val="Tabletext"/>
              <w:rPr>
                <w:lang w:val="en-US"/>
              </w:rPr>
            </w:pPr>
            <w:r w:rsidRPr="00092367">
              <w:rPr>
                <w:lang w:eastAsia="zh-CN"/>
              </w:rPr>
              <w:t>Studies on the implementation and use of cognitive radio systems</w:t>
            </w:r>
          </w:p>
        </w:tc>
        <w:tc>
          <w:tcPr>
            <w:tcW w:w="1417" w:type="dxa"/>
          </w:tcPr>
          <w:p w:rsidR="00676EE4" w:rsidRDefault="00676EE4" w:rsidP="00D211BC"/>
        </w:tc>
        <w:tc>
          <w:tcPr>
            <w:tcW w:w="5102" w:type="dxa"/>
          </w:tcPr>
          <w:p w:rsidR="008D6EC0" w:rsidRPr="008D6EC0" w:rsidRDefault="00792EF3" w:rsidP="00792EF3">
            <w:pPr>
              <w:pStyle w:val="Tabletext"/>
              <w:rPr>
                <w:i/>
                <w:iCs/>
                <w:lang w:eastAsia="zh-CN"/>
              </w:rPr>
            </w:pPr>
            <w:r>
              <w:rPr>
                <w:i/>
                <w:iCs/>
                <w:lang w:eastAsia="zh-CN"/>
              </w:rPr>
              <w:tab/>
            </w:r>
            <w:r w:rsidR="008D6EC0" w:rsidRPr="008D6EC0">
              <w:rPr>
                <w:i/>
                <w:iCs/>
                <w:lang w:eastAsia="zh-CN"/>
              </w:rPr>
              <w:t>resolves</w:t>
            </w:r>
          </w:p>
          <w:p w:rsidR="008D6EC0" w:rsidRPr="00092367" w:rsidRDefault="008D6EC0" w:rsidP="008D6EC0">
            <w:pPr>
              <w:pStyle w:val="Tabletext"/>
              <w:rPr>
                <w:szCs w:val="24"/>
              </w:rPr>
            </w:pPr>
            <w:r w:rsidRPr="00092367">
              <w:rPr>
                <w:szCs w:val="24"/>
              </w:rPr>
              <w:t>1</w:t>
            </w:r>
            <w:r w:rsidRPr="00092367">
              <w:rPr>
                <w:szCs w:val="24"/>
              </w:rPr>
              <w:tab/>
              <w:t xml:space="preserve">to </w:t>
            </w:r>
            <w:r w:rsidRPr="00092367">
              <w:rPr>
                <w:szCs w:val="24"/>
                <w:lang w:eastAsia="zh-CN"/>
              </w:rPr>
              <w:t>continue studies for</w:t>
            </w:r>
            <w:r w:rsidRPr="00092367">
              <w:rPr>
                <w:szCs w:val="24"/>
              </w:rPr>
              <w:t xml:space="preserve"> the implementation and use of CRS in radiocommunication services;</w:t>
            </w:r>
          </w:p>
          <w:p w:rsidR="008D6EC0" w:rsidRPr="00092367" w:rsidRDefault="008D6EC0" w:rsidP="008D6EC0">
            <w:pPr>
              <w:pStyle w:val="Tabletext"/>
              <w:rPr>
                <w:szCs w:val="24"/>
              </w:rPr>
            </w:pPr>
            <w:r w:rsidRPr="00092367">
              <w:rPr>
                <w:bCs/>
                <w:szCs w:val="24"/>
              </w:rPr>
              <w:t>2</w:t>
            </w:r>
            <w:r w:rsidRPr="00092367">
              <w:rPr>
                <w:szCs w:val="24"/>
              </w:rPr>
              <w:tab/>
              <w:t>to study operational and technical requirements, characteristics, performance and possible benefits associated with the implementation and use of CRS in relevant radiocommunication services</w:t>
            </w:r>
            <w:r w:rsidRPr="00092367">
              <w:rPr>
                <w:lang w:eastAsia="zh-CN"/>
              </w:rPr>
              <w:t xml:space="preserve"> and related frequency bands</w:t>
            </w:r>
            <w:r w:rsidRPr="00092367">
              <w:rPr>
                <w:szCs w:val="24"/>
              </w:rPr>
              <w:t>;</w:t>
            </w:r>
          </w:p>
          <w:p w:rsidR="008D6EC0" w:rsidRPr="00092367" w:rsidRDefault="008D6EC0" w:rsidP="008D6EC0">
            <w:pPr>
              <w:pStyle w:val="Tabletext"/>
              <w:rPr>
                <w:lang w:eastAsia="zh-CN"/>
              </w:rPr>
            </w:pPr>
            <w:r w:rsidRPr="00092367">
              <w:rPr>
                <w:lang w:eastAsia="zh-CN"/>
              </w:rPr>
              <w:t>3</w:t>
            </w:r>
            <w:r w:rsidRPr="00092367">
              <w:rPr>
                <w:lang w:eastAsia="zh-CN"/>
              </w:rPr>
              <w:tab/>
              <w:t>to give particular attention to enhanc</w:t>
            </w:r>
            <w:r>
              <w:rPr>
                <w:lang w:eastAsia="zh-CN"/>
              </w:rPr>
              <w:t>ing</w:t>
            </w:r>
            <w:r w:rsidRPr="00092367">
              <w:rPr>
                <w:lang w:eastAsia="zh-CN"/>
              </w:rPr>
              <w:t xml:space="preserve"> coexistence and sharing among radiocommunication services;</w:t>
            </w:r>
          </w:p>
          <w:p w:rsidR="00676EE4" w:rsidRDefault="008D6EC0" w:rsidP="008D6EC0">
            <w:pPr>
              <w:pStyle w:val="Tabletext"/>
            </w:pPr>
            <w:r w:rsidRPr="00092367">
              <w:rPr>
                <w:lang w:eastAsia="zh-CN"/>
              </w:rPr>
              <w:t>4</w:t>
            </w:r>
            <w:r w:rsidRPr="00092367">
              <w:rPr>
                <w:lang w:eastAsia="zh-CN"/>
              </w:rPr>
              <w:tab/>
              <w:t>to develop relevant ITU</w:t>
            </w:r>
            <w:r w:rsidRPr="00092367">
              <w:rPr>
                <w:lang w:eastAsia="zh-CN"/>
              </w:rPr>
              <w:noBreakHyphen/>
              <w:t>R Recommendations and/or Reports based on the aforementioned studies</w:t>
            </w:r>
            <w:r>
              <w:rPr>
                <w:lang w:eastAsia="zh-CN"/>
              </w:rPr>
              <w:t>,</w:t>
            </w:r>
            <w:r w:rsidRPr="00092367">
              <w:rPr>
                <w:lang w:eastAsia="zh-CN"/>
              </w:rPr>
              <w:t xml:space="preserve"> as appropriate,</w:t>
            </w:r>
          </w:p>
        </w:tc>
        <w:tc>
          <w:tcPr>
            <w:tcW w:w="1417" w:type="dxa"/>
          </w:tcPr>
          <w:p w:rsidR="00676EE4" w:rsidRDefault="00676EE4" w:rsidP="00D211BC"/>
        </w:tc>
        <w:tc>
          <w:tcPr>
            <w:tcW w:w="1417" w:type="dxa"/>
          </w:tcPr>
          <w:p w:rsidR="00676EE4" w:rsidRDefault="00676EE4" w:rsidP="00D211BC"/>
        </w:tc>
        <w:tc>
          <w:tcPr>
            <w:tcW w:w="1417" w:type="dxa"/>
          </w:tcPr>
          <w:p w:rsidR="00676EE4" w:rsidRDefault="00676EE4" w:rsidP="00D211BC"/>
        </w:tc>
      </w:tr>
      <w:tr w:rsidR="00676EE4" w:rsidTr="00792EF3">
        <w:tc>
          <w:tcPr>
            <w:tcW w:w="2721" w:type="dxa"/>
          </w:tcPr>
          <w:p w:rsidR="008D6EC0" w:rsidRDefault="008D6EC0" w:rsidP="008D6EC0">
            <w:pPr>
              <w:pStyle w:val="Tabletext"/>
              <w:rPr>
                <w:lang w:val="en-US"/>
              </w:rPr>
            </w:pPr>
            <w:r w:rsidRPr="005421A9">
              <w:t>RESOLUTION ITU</w:t>
            </w:r>
            <w:r w:rsidRPr="005421A9">
              <w:noBreakHyphen/>
              <w:t>R</w:t>
            </w:r>
            <w:r>
              <w:t> 59</w:t>
            </w:r>
          </w:p>
          <w:p w:rsidR="00676EE4" w:rsidRPr="008D6EC0" w:rsidRDefault="008D6EC0" w:rsidP="000110AB">
            <w:pPr>
              <w:pStyle w:val="Tabletext"/>
              <w:rPr>
                <w:lang w:val="en-US"/>
              </w:rPr>
            </w:pPr>
            <w:r w:rsidRPr="005421A9">
              <w:rPr>
                <w:lang w:eastAsia="nl-NL"/>
              </w:rPr>
              <w:t xml:space="preserve">Studies on availability of frequency bands and/or tuning ranges </w:t>
            </w:r>
            <w:r w:rsidRPr="005421A9">
              <w:t xml:space="preserve">for worldwide and/or regional </w:t>
            </w:r>
            <w:r w:rsidRPr="005421A9">
              <w:rPr>
                <w:lang w:eastAsia="nl-NL"/>
              </w:rPr>
              <w:t xml:space="preserve">harmonization and conditions for </w:t>
            </w:r>
            <w:r>
              <w:rPr>
                <w:lang w:eastAsia="nl-NL"/>
              </w:rPr>
              <w:t>their</w:t>
            </w:r>
            <w:r w:rsidRPr="0074480D">
              <w:t xml:space="preserve"> </w:t>
            </w:r>
            <w:r w:rsidRPr="005421A9">
              <w:t>use</w:t>
            </w:r>
            <w:r w:rsidR="000110AB">
              <w:t xml:space="preserve"> </w:t>
            </w:r>
            <w:r w:rsidRPr="005421A9">
              <w:t>by terrestrial electronic news gathering systems</w:t>
            </w:r>
          </w:p>
        </w:tc>
        <w:tc>
          <w:tcPr>
            <w:tcW w:w="1417" w:type="dxa"/>
          </w:tcPr>
          <w:p w:rsidR="00676EE4" w:rsidRDefault="00676EE4" w:rsidP="00D211BC"/>
        </w:tc>
        <w:tc>
          <w:tcPr>
            <w:tcW w:w="5102" w:type="dxa"/>
          </w:tcPr>
          <w:p w:rsidR="008D6EC0" w:rsidRPr="008D6EC0" w:rsidRDefault="00792EF3" w:rsidP="00792EF3">
            <w:pPr>
              <w:pStyle w:val="Tabletext"/>
              <w:rPr>
                <w:i/>
                <w:iCs/>
              </w:rPr>
            </w:pPr>
            <w:r>
              <w:rPr>
                <w:i/>
                <w:iCs/>
              </w:rPr>
              <w:tab/>
            </w:r>
            <w:r w:rsidR="008D6EC0" w:rsidRPr="008D6EC0">
              <w:rPr>
                <w:i/>
                <w:iCs/>
              </w:rPr>
              <w:t>resolves</w:t>
            </w:r>
          </w:p>
          <w:p w:rsidR="008D6EC0" w:rsidRPr="005421A9" w:rsidRDefault="008D6EC0" w:rsidP="008D6EC0">
            <w:pPr>
              <w:pStyle w:val="Tabletext"/>
            </w:pPr>
            <w:r w:rsidRPr="005421A9">
              <w:rPr>
                <w:bCs/>
                <w:lang w:eastAsia="nl-NL"/>
              </w:rPr>
              <w:t>1</w:t>
            </w:r>
            <w:r w:rsidRPr="005421A9">
              <w:rPr>
                <w:lang w:eastAsia="nl-NL"/>
              </w:rPr>
              <w:tab/>
              <w:t xml:space="preserve">to </w:t>
            </w:r>
            <w:r w:rsidRPr="005421A9">
              <w:t>carry out studies regarding possible solutions</w:t>
            </w:r>
            <w:r w:rsidRPr="005421A9">
              <w:rPr>
                <w:lang w:eastAsia="ja-JP"/>
              </w:rPr>
              <w:t xml:space="preserve"> for global/regional harmonization of </w:t>
            </w:r>
            <w:r w:rsidRPr="005421A9">
              <w:t>frequency bands and tuning ranges for ENG use in bands already allocated to the fixed, mobile or broadcasting services</w:t>
            </w:r>
            <w:r w:rsidRPr="005421A9">
              <w:rPr>
                <w:lang w:eastAsia="ja-JP"/>
              </w:rPr>
              <w:t>, taking into account:</w:t>
            </w:r>
          </w:p>
          <w:p w:rsidR="008D6EC0" w:rsidRPr="005421A9" w:rsidRDefault="008D6EC0" w:rsidP="008D6EC0">
            <w:pPr>
              <w:pStyle w:val="Tabletext"/>
              <w:rPr>
                <w:lang w:eastAsia="ja-JP"/>
              </w:rPr>
            </w:pPr>
            <w:r w:rsidRPr="005421A9">
              <w:t>–</w:t>
            </w:r>
            <w:r w:rsidRPr="005421A9">
              <w:tab/>
              <w:t>available technologies to maximize efficient and flexible use of spectrum;</w:t>
            </w:r>
          </w:p>
          <w:p w:rsidR="008D6EC0" w:rsidRPr="005421A9" w:rsidRDefault="008D6EC0" w:rsidP="008D6EC0">
            <w:pPr>
              <w:pStyle w:val="Tabletext"/>
            </w:pPr>
            <w:r w:rsidRPr="005421A9">
              <w:t>–</w:t>
            </w:r>
            <w:r w:rsidRPr="005421A9">
              <w:tab/>
              <w:t>system characteristics and operational practices which facilitate the implementation of these solutions;</w:t>
            </w:r>
          </w:p>
          <w:p w:rsidR="008D6EC0" w:rsidRPr="005421A9" w:rsidRDefault="008D6EC0" w:rsidP="008D6EC0">
            <w:pPr>
              <w:pStyle w:val="Tabletext"/>
            </w:pPr>
            <w:r w:rsidRPr="005421A9">
              <w:t>2</w:t>
            </w:r>
            <w:r w:rsidRPr="005421A9">
              <w:tab/>
              <w:t>to develop ITU</w:t>
            </w:r>
            <w:r w:rsidRPr="005421A9">
              <w:noBreakHyphen/>
              <w:t>R Recommendations and/or ITU</w:t>
            </w:r>
            <w:r w:rsidRPr="005421A9">
              <w:noBreakHyphen/>
              <w:t>R Reports based on the aforementioned studies</w:t>
            </w:r>
            <w:r>
              <w:t>,</w:t>
            </w:r>
            <w:r w:rsidRPr="005421A9">
              <w:t xml:space="preserve"> as </w:t>
            </w:r>
            <w:r w:rsidRPr="005421A9">
              <w:lastRenderedPageBreak/>
              <w:t>appropriate,</w:t>
            </w:r>
          </w:p>
          <w:p w:rsidR="008D6EC0" w:rsidRPr="000110AB" w:rsidRDefault="000110AB" w:rsidP="008D6EC0">
            <w:pPr>
              <w:pStyle w:val="Tabletext"/>
              <w:rPr>
                <w:rFonts w:eastAsia="Calibri"/>
                <w:i/>
                <w:iCs/>
              </w:rPr>
            </w:pPr>
            <w:r>
              <w:rPr>
                <w:rFonts w:eastAsia="Calibri"/>
                <w:i/>
                <w:iCs/>
              </w:rPr>
              <w:tab/>
            </w:r>
            <w:r w:rsidR="008D6EC0" w:rsidRPr="000110AB">
              <w:rPr>
                <w:rFonts w:eastAsia="Calibri"/>
                <w:i/>
                <w:iCs/>
              </w:rPr>
              <w:t>further resolves</w:t>
            </w:r>
          </w:p>
          <w:p w:rsidR="008D6EC0" w:rsidRPr="005421A9" w:rsidRDefault="008D6EC0" w:rsidP="008D6EC0">
            <w:pPr>
              <w:pStyle w:val="Tabletext"/>
              <w:rPr>
                <w:rFonts w:eastAsia="Calibri"/>
              </w:rPr>
            </w:pPr>
            <w:r w:rsidRPr="005421A9">
              <w:rPr>
                <w:rFonts w:eastAsia="Calibri"/>
              </w:rPr>
              <w:t>1</w:t>
            </w:r>
            <w:r w:rsidRPr="005421A9">
              <w:rPr>
                <w:rFonts w:eastAsia="Calibri"/>
              </w:rPr>
              <w:tab/>
              <w:t xml:space="preserve">to encourage </w:t>
            </w:r>
            <w:r w:rsidRPr="005421A9">
              <w:t>administrations to develop relevant information concerning their national ENG use (</w:t>
            </w:r>
            <w:r w:rsidRPr="005421A9">
              <w:rPr>
                <w:rFonts w:eastAsia="Calibri"/>
              </w:rPr>
              <w:t>e.g. a list of frequency bands or tuning ranges available for ENG, spectrum management practices, technical and operational requirements, and spectrum authorization points of contact</w:t>
            </w:r>
            <w:r>
              <w:rPr>
                <w:rFonts w:eastAsia="Calibri"/>
              </w:rPr>
              <w:t>,</w:t>
            </w:r>
            <w:r w:rsidRPr="005421A9">
              <w:rPr>
                <w:rFonts w:eastAsia="Calibri"/>
              </w:rPr>
              <w:t xml:space="preserve"> as appropriate…) for use by foreign entities during worldwide newsworthy events;</w:t>
            </w:r>
          </w:p>
          <w:p w:rsidR="00676EE4" w:rsidRDefault="008D6EC0" w:rsidP="008D6EC0">
            <w:pPr>
              <w:pStyle w:val="Tabletext"/>
            </w:pPr>
            <w:r w:rsidRPr="005421A9">
              <w:rPr>
                <w:rFonts w:eastAsia="Calibri"/>
              </w:rPr>
              <w:t>2</w:t>
            </w:r>
            <w:r w:rsidRPr="005421A9">
              <w:rPr>
                <w:rFonts w:eastAsia="Calibri"/>
              </w:rPr>
              <w:tab/>
              <w:t>to encourage administrations to consider, for harmonization purposes, frequency bands/</w:t>
            </w:r>
            <w:r w:rsidRPr="005421A9">
              <w:t xml:space="preserve">tuning </w:t>
            </w:r>
            <w:r w:rsidRPr="005421A9">
              <w:rPr>
                <w:rFonts w:eastAsia="Calibri"/>
              </w:rPr>
              <w:t xml:space="preserve">ranges used for ENG </w:t>
            </w:r>
            <w:r w:rsidRPr="005421A9">
              <w:t>by other administrations</w:t>
            </w:r>
            <w:r w:rsidRPr="005421A9">
              <w:rPr>
                <w:rFonts w:eastAsia="Calibri"/>
              </w:rPr>
              <w:t>,</w:t>
            </w:r>
          </w:p>
        </w:tc>
        <w:tc>
          <w:tcPr>
            <w:tcW w:w="1417" w:type="dxa"/>
          </w:tcPr>
          <w:p w:rsidR="00676EE4" w:rsidRDefault="00676EE4" w:rsidP="00D211BC"/>
        </w:tc>
        <w:tc>
          <w:tcPr>
            <w:tcW w:w="1417" w:type="dxa"/>
          </w:tcPr>
          <w:p w:rsidR="00676EE4" w:rsidRDefault="00676EE4" w:rsidP="00D211BC"/>
        </w:tc>
        <w:tc>
          <w:tcPr>
            <w:tcW w:w="1417" w:type="dxa"/>
          </w:tcPr>
          <w:p w:rsidR="00676EE4" w:rsidRDefault="00676EE4" w:rsidP="00D211BC"/>
        </w:tc>
      </w:tr>
      <w:tr w:rsidR="00676EE4" w:rsidTr="00792EF3">
        <w:tc>
          <w:tcPr>
            <w:tcW w:w="2721" w:type="dxa"/>
          </w:tcPr>
          <w:p w:rsidR="008D6EC0" w:rsidRDefault="008D6EC0" w:rsidP="008D6EC0">
            <w:pPr>
              <w:pStyle w:val="Tabletext"/>
            </w:pPr>
            <w:r>
              <w:rPr>
                <w:lang w:eastAsia="zh-CN"/>
              </w:rPr>
              <w:lastRenderedPageBreak/>
              <w:t>Resolution </w:t>
            </w:r>
            <w:r>
              <w:rPr>
                <w:rFonts w:eastAsia="MS Mincho"/>
                <w:lang w:eastAsia="ja-JP"/>
              </w:rPr>
              <w:t>ITU</w:t>
            </w:r>
            <w:r>
              <w:rPr>
                <w:rFonts w:eastAsia="MS Mincho"/>
                <w:lang w:eastAsia="ja-JP"/>
              </w:rPr>
              <w:noBreakHyphen/>
            </w:r>
            <w:r w:rsidRPr="009608FA">
              <w:rPr>
                <w:rFonts w:eastAsia="MS Mincho"/>
                <w:lang w:eastAsia="ja-JP"/>
              </w:rPr>
              <w:t>R </w:t>
            </w:r>
            <w:r>
              <w:rPr>
                <w:rFonts w:eastAsia="MS Mincho"/>
                <w:lang w:eastAsia="ja-JP"/>
              </w:rPr>
              <w:t>60</w:t>
            </w:r>
          </w:p>
          <w:p w:rsidR="00676EE4" w:rsidRDefault="008D6EC0" w:rsidP="008D6EC0">
            <w:pPr>
              <w:pStyle w:val="Tabletext"/>
            </w:pPr>
            <w:r w:rsidRPr="009608FA">
              <w:t>Reduction of energy consumption for environmental protection and</w:t>
            </w:r>
            <w:r w:rsidRPr="009608FA">
              <w:br/>
              <w:t>mitigating climate change by use of ICT/radiocommunication</w:t>
            </w:r>
            <w:r w:rsidRPr="009608FA">
              <w:br/>
              <w:t>technologies and systems</w:t>
            </w:r>
          </w:p>
        </w:tc>
        <w:tc>
          <w:tcPr>
            <w:tcW w:w="1417" w:type="dxa"/>
          </w:tcPr>
          <w:p w:rsidR="00676EE4" w:rsidRDefault="00676EE4" w:rsidP="00D211BC"/>
        </w:tc>
        <w:tc>
          <w:tcPr>
            <w:tcW w:w="5102" w:type="dxa"/>
          </w:tcPr>
          <w:p w:rsidR="008D6EC0" w:rsidRPr="008D6EC0" w:rsidRDefault="00792EF3" w:rsidP="00792EF3">
            <w:pPr>
              <w:pStyle w:val="Tabletext"/>
              <w:rPr>
                <w:i/>
                <w:iCs/>
              </w:rPr>
            </w:pPr>
            <w:r>
              <w:rPr>
                <w:i/>
                <w:iCs/>
              </w:rPr>
              <w:tab/>
            </w:r>
            <w:r w:rsidR="008D6EC0" w:rsidRPr="008D6EC0">
              <w:rPr>
                <w:i/>
                <w:iCs/>
              </w:rPr>
              <w:t>resolves</w:t>
            </w:r>
          </w:p>
          <w:p w:rsidR="008D6EC0" w:rsidRPr="009608FA" w:rsidRDefault="008D6EC0" w:rsidP="008D6EC0">
            <w:pPr>
              <w:pStyle w:val="Tabletext"/>
              <w:rPr>
                <w:i/>
              </w:rPr>
            </w:pPr>
            <w:r w:rsidRPr="009608FA">
              <w:t>1</w:t>
            </w:r>
            <w:r w:rsidRPr="009608FA">
              <w:tab/>
              <w:t xml:space="preserve">that </w:t>
            </w:r>
            <w:r>
              <w:t>ITU</w:t>
            </w:r>
            <w:r>
              <w:noBreakHyphen/>
            </w:r>
            <w:r w:rsidRPr="009608FA">
              <w:t>R Study Groups should develop Recommendations, Reports or Handbooks on:</w:t>
            </w:r>
          </w:p>
          <w:p w:rsidR="008D6EC0" w:rsidRPr="009608FA" w:rsidRDefault="008D6EC0" w:rsidP="008D6EC0">
            <w:pPr>
              <w:pStyle w:val="Tabletext"/>
            </w:pPr>
            <w:r w:rsidRPr="009608FA">
              <w:t>•</w:t>
            </w:r>
            <w:r w:rsidRPr="009608FA">
              <w:tab/>
              <w:t xml:space="preserve">best practices in place to reduce energy consumption within ICT systems, equipment or applications operating in a radiocommunication service; </w:t>
            </w:r>
          </w:p>
          <w:p w:rsidR="008D6EC0" w:rsidRPr="009608FA" w:rsidRDefault="008D6EC0" w:rsidP="008D6EC0">
            <w:pPr>
              <w:pStyle w:val="Tabletext"/>
            </w:pPr>
            <w:r w:rsidRPr="009608FA">
              <w:t>•</w:t>
            </w:r>
            <w:r w:rsidRPr="009608FA">
              <w:tab/>
              <w:t>possible development and use of radio systems or applications which can support reduction of energy consumption in non-radiocommunication sectors;</w:t>
            </w:r>
          </w:p>
          <w:p w:rsidR="008D6EC0" w:rsidRPr="009608FA" w:rsidRDefault="008D6EC0" w:rsidP="008D6EC0">
            <w:pPr>
              <w:pStyle w:val="Tabletext"/>
            </w:pPr>
            <w:r w:rsidRPr="009608FA">
              <w:t>•</w:t>
            </w:r>
            <w:r w:rsidRPr="009608FA">
              <w:tab/>
              <w:t>effective systems for monitoring the environment and monitoring and predicting climate change, and ensuring reliable operation of such systems;</w:t>
            </w:r>
          </w:p>
          <w:p w:rsidR="008D6EC0" w:rsidRPr="009608FA" w:rsidRDefault="008D6EC0" w:rsidP="008D6EC0">
            <w:pPr>
              <w:pStyle w:val="Tabletext"/>
            </w:pPr>
            <w:r w:rsidRPr="009608FA">
              <w:t>2</w:t>
            </w:r>
            <w:r w:rsidRPr="009608FA">
              <w:tab/>
              <w:t xml:space="preserve">that </w:t>
            </w:r>
            <w:r>
              <w:t>ITU</w:t>
            </w:r>
            <w:r>
              <w:noBreakHyphen/>
            </w:r>
            <w:r w:rsidRPr="009608FA">
              <w:t xml:space="preserve">R Study Groups, when developing new </w:t>
            </w:r>
            <w:r>
              <w:t>ITU</w:t>
            </w:r>
            <w:r>
              <w:noBreakHyphen/>
            </w:r>
            <w:r w:rsidRPr="009608FA">
              <w:t>R Recommendations, Handbooks, or Reports or reviewing existing Recommendations or Reports</w:t>
            </w:r>
            <w:r>
              <w:t>,</w:t>
            </w:r>
            <w:r w:rsidRPr="009608FA">
              <w:t xml:space="preserve"> take into account, as appropriate, energy consumption as well as best practices to conserve energy;</w:t>
            </w:r>
          </w:p>
          <w:p w:rsidR="00676EE4" w:rsidRDefault="008D6EC0" w:rsidP="008D6EC0">
            <w:pPr>
              <w:pStyle w:val="Tabletext"/>
            </w:pPr>
            <w:r w:rsidRPr="009608FA">
              <w:t>3</w:t>
            </w:r>
            <w:r w:rsidRPr="009608FA">
              <w:tab/>
              <w:t xml:space="preserve">to maintain close cooperation and to regularly liaise </w:t>
            </w:r>
            <w:r>
              <w:t>with</w:t>
            </w:r>
            <w:r w:rsidRPr="009608FA">
              <w:t xml:space="preserve"> </w:t>
            </w:r>
            <w:r>
              <w:t>ITU</w:t>
            </w:r>
            <w:r>
              <w:noBreakHyphen/>
            </w:r>
            <w:r w:rsidRPr="009608FA">
              <w:t xml:space="preserve">T, </w:t>
            </w:r>
            <w:r>
              <w:t>ITU</w:t>
            </w:r>
            <w:r>
              <w:noBreakHyphen/>
            </w:r>
            <w:r w:rsidRPr="009608FA">
              <w:t xml:space="preserve">D and the General Secretariat, and to </w:t>
            </w:r>
            <w:r w:rsidRPr="009608FA">
              <w:lastRenderedPageBreak/>
              <w:t>take into account the results of the work carried out in these Sectors and avoid duplication,</w:t>
            </w:r>
          </w:p>
        </w:tc>
        <w:tc>
          <w:tcPr>
            <w:tcW w:w="1417" w:type="dxa"/>
          </w:tcPr>
          <w:p w:rsidR="00676EE4" w:rsidRDefault="00676EE4" w:rsidP="00D211BC"/>
        </w:tc>
        <w:tc>
          <w:tcPr>
            <w:tcW w:w="1417" w:type="dxa"/>
          </w:tcPr>
          <w:p w:rsidR="00676EE4" w:rsidRDefault="00676EE4" w:rsidP="00D211BC"/>
        </w:tc>
        <w:tc>
          <w:tcPr>
            <w:tcW w:w="1417" w:type="dxa"/>
          </w:tcPr>
          <w:p w:rsidR="00676EE4" w:rsidRDefault="00676EE4" w:rsidP="00D211BC"/>
        </w:tc>
      </w:tr>
      <w:tr w:rsidR="00676EE4" w:rsidTr="00792EF3">
        <w:tc>
          <w:tcPr>
            <w:tcW w:w="2721" w:type="dxa"/>
          </w:tcPr>
          <w:p w:rsidR="008D6EC0" w:rsidRDefault="008D6EC0" w:rsidP="008D6EC0">
            <w:pPr>
              <w:pStyle w:val="Tabletext"/>
            </w:pPr>
            <w:r>
              <w:lastRenderedPageBreak/>
              <w:t>RESOLUTION ITU</w:t>
            </w:r>
            <w:r>
              <w:noBreakHyphen/>
            </w:r>
            <w:r w:rsidRPr="008346E0">
              <w:t xml:space="preserve">R </w:t>
            </w:r>
            <w:r>
              <w:t>61</w:t>
            </w:r>
          </w:p>
          <w:p w:rsidR="00676EE4" w:rsidRDefault="008D6EC0" w:rsidP="008D6EC0">
            <w:pPr>
              <w:pStyle w:val="Tabletext"/>
            </w:pPr>
            <w:r>
              <w:t>ITU</w:t>
            </w:r>
            <w:r>
              <w:noBreakHyphen/>
            </w:r>
            <w:r w:rsidRPr="008346E0">
              <w:t xml:space="preserve">R’s contribution in implementing the outcomes of the </w:t>
            </w:r>
            <w:r w:rsidRPr="008346E0">
              <w:br/>
              <w:t>World Summit on the Information Society</w:t>
            </w:r>
          </w:p>
        </w:tc>
        <w:tc>
          <w:tcPr>
            <w:tcW w:w="1417" w:type="dxa"/>
          </w:tcPr>
          <w:p w:rsidR="00676EE4" w:rsidRDefault="00676EE4" w:rsidP="00D211BC"/>
        </w:tc>
        <w:tc>
          <w:tcPr>
            <w:tcW w:w="5102" w:type="dxa"/>
          </w:tcPr>
          <w:p w:rsidR="008D6EC0" w:rsidRPr="00792EF3" w:rsidRDefault="00792EF3" w:rsidP="00792EF3">
            <w:pPr>
              <w:pStyle w:val="Tabletext"/>
              <w:rPr>
                <w:i/>
                <w:iCs/>
              </w:rPr>
            </w:pPr>
            <w:r>
              <w:tab/>
            </w:r>
            <w:r w:rsidR="008D6EC0" w:rsidRPr="00792EF3">
              <w:rPr>
                <w:i/>
                <w:iCs/>
              </w:rPr>
              <w:t>resolves</w:t>
            </w:r>
          </w:p>
          <w:p w:rsidR="008D6EC0" w:rsidRPr="008346E0" w:rsidRDefault="008D6EC0" w:rsidP="008D6EC0">
            <w:pPr>
              <w:pStyle w:val="Tabletext"/>
            </w:pPr>
            <w:r w:rsidRPr="008346E0">
              <w:t>1</w:t>
            </w:r>
            <w:r w:rsidRPr="008346E0">
              <w:tab/>
              <w:t xml:space="preserve">to continue </w:t>
            </w:r>
            <w:r>
              <w:t>ITU</w:t>
            </w:r>
            <w:r>
              <w:noBreakHyphen/>
            </w:r>
            <w:r w:rsidRPr="008346E0">
              <w:t>R’s work on WSIS implementation and follow-up activities within its mandate;</w:t>
            </w:r>
          </w:p>
          <w:p w:rsidR="00676EE4" w:rsidRDefault="008D6EC0" w:rsidP="008D6EC0">
            <w:pPr>
              <w:pStyle w:val="Tabletext"/>
            </w:pPr>
            <w:r w:rsidRPr="008346E0">
              <w:t>2</w:t>
            </w:r>
            <w:r w:rsidRPr="008346E0">
              <w:tab/>
              <w:t xml:space="preserve">that </w:t>
            </w:r>
            <w:r>
              <w:t>ITU</w:t>
            </w:r>
            <w:r>
              <w:noBreakHyphen/>
            </w:r>
            <w:r w:rsidRPr="008346E0">
              <w:t>R should carry out those activities that come within its mandate and participate with other stakeholders, as appropriate, in the implementation of all relevant action lines and other WSIS outcomes,</w:t>
            </w:r>
          </w:p>
        </w:tc>
        <w:tc>
          <w:tcPr>
            <w:tcW w:w="1417" w:type="dxa"/>
          </w:tcPr>
          <w:p w:rsidR="00676EE4" w:rsidRDefault="00676EE4" w:rsidP="00D211BC"/>
        </w:tc>
        <w:tc>
          <w:tcPr>
            <w:tcW w:w="1417" w:type="dxa"/>
          </w:tcPr>
          <w:p w:rsidR="00676EE4" w:rsidRDefault="00676EE4" w:rsidP="00D211BC"/>
        </w:tc>
        <w:tc>
          <w:tcPr>
            <w:tcW w:w="1417" w:type="dxa"/>
          </w:tcPr>
          <w:p w:rsidR="00676EE4" w:rsidRDefault="00676EE4" w:rsidP="00D211BC"/>
        </w:tc>
      </w:tr>
      <w:tr w:rsidR="00676EE4" w:rsidTr="00792EF3">
        <w:tc>
          <w:tcPr>
            <w:tcW w:w="2721" w:type="dxa"/>
          </w:tcPr>
          <w:p w:rsidR="008D6EC0" w:rsidRPr="0071685A" w:rsidRDefault="008D6EC0" w:rsidP="008D6EC0">
            <w:pPr>
              <w:pStyle w:val="Tabletext"/>
              <w:rPr>
                <w:lang w:eastAsia="zh-CN"/>
              </w:rPr>
            </w:pPr>
            <w:r w:rsidRPr="0071685A">
              <w:t>Resolution ITU</w:t>
            </w:r>
            <w:r w:rsidRPr="0071685A">
              <w:noBreakHyphen/>
              <w:t>R 62</w:t>
            </w:r>
          </w:p>
          <w:p w:rsidR="00676EE4" w:rsidRDefault="008D6EC0" w:rsidP="008D6EC0">
            <w:pPr>
              <w:pStyle w:val="Tabletext"/>
            </w:pPr>
            <w:r w:rsidRPr="0071685A">
              <w:t>Studies related to testing for conformance with ITU</w:t>
            </w:r>
            <w:r w:rsidRPr="0071685A">
              <w:noBreakHyphen/>
              <w:t>R Recommendations and interoperability of radiocommunication equipment and systems</w:t>
            </w:r>
          </w:p>
        </w:tc>
        <w:tc>
          <w:tcPr>
            <w:tcW w:w="1417" w:type="dxa"/>
          </w:tcPr>
          <w:p w:rsidR="00676EE4" w:rsidRDefault="00676EE4" w:rsidP="00D211BC"/>
        </w:tc>
        <w:tc>
          <w:tcPr>
            <w:tcW w:w="5102" w:type="dxa"/>
          </w:tcPr>
          <w:p w:rsidR="008D6EC0" w:rsidRPr="008D6EC0" w:rsidRDefault="00792EF3" w:rsidP="00792EF3">
            <w:pPr>
              <w:pStyle w:val="Tabletext"/>
              <w:rPr>
                <w:i/>
                <w:iCs/>
              </w:rPr>
            </w:pPr>
            <w:r>
              <w:rPr>
                <w:i/>
                <w:iCs/>
              </w:rPr>
              <w:tab/>
            </w:r>
            <w:r w:rsidR="008D6EC0" w:rsidRPr="008D6EC0">
              <w:rPr>
                <w:i/>
                <w:iCs/>
              </w:rPr>
              <w:t>resolves</w:t>
            </w:r>
          </w:p>
          <w:p w:rsidR="00676EE4" w:rsidRDefault="008D6EC0" w:rsidP="008D6EC0">
            <w:pPr>
              <w:pStyle w:val="Tabletext"/>
            </w:pPr>
            <w:r w:rsidRPr="0071685A">
              <w:t>that ITU</w:t>
            </w:r>
            <w:r w:rsidRPr="0071685A">
              <w:noBreakHyphen/>
              <w:t>R collaborate with, and provide information when requested by, ITU</w:t>
            </w:r>
            <w:r w:rsidRPr="0071685A">
              <w:noBreakHyphen/>
              <w:t>T and ITU</w:t>
            </w:r>
            <w:r w:rsidRPr="0071685A">
              <w:noBreakHyphen/>
              <w:t>D on conformance and interoperability testing within its existing mandate consistent with Resolution 177 (Guadalajara, 2010) (see noting </w:t>
            </w:r>
            <w:r w:rsidRPr="0071685A">
              <w:rPr>
                <w:i/>
              </w:rPr>
              <w:t>b)</w:t>
            </w:r>
            <w:r w:rsidRPr="0071685A">
              <w:t>),</w:t>
            </w:r>
          </w:p>
        </w:tc>
        <w:tc>
          <w:tcPr>
            <w:tcW w:w="1417" w:type="dxa"/>
          </w:tcPr>
          <w:p w:rsidR="00676EE4" w:rsidRDefault="00676EE4" w:rsidP="00D211BC"/>
        </w:tc>
        <w:tc>
          <w:tcPr>
            <w:tcW w:w="1417" w:type="dxa"/>
          </w:tcPr>
          <w:p w:rsidR="00676EE4" w:rsidRDefault="00676EE4" w:rsidP="00D211BC"/>
        </w:tc>
        <w:tc>
          <w:tcPr>
            <w:tcW w:w="1417" w:type="dxa"/>
          </w:tcPr>
          <w:p w:rsidR="00676EE4" w:rsidRDefault="00676EE4" w:rsidP="00D211BC"/>
        </w:tc>
      </w:tr>
    </w:tbl>
    <w:p w:rsidR="008D6EC0" w:rsidRDefault="008D6EC0" w:rsidP="008D6EC0">
      <w:pPr>
        <w:pStyle w:val="Reasons"/>
      </w:pPr>
    </w:p>
    <w:p w:rsidR="008D6EC0" w:rsidRDefault="008D6EC0">
      <w:pPr>
        <w:jc w:val="center"/>
      </w:pPr>
      <w:r>
        <w:t>______________</w:t>
      </w:r>
    </w:p>
    <w:sectPr w:rsidR="008D6EC0" w:rsidSect="008D6EC0">
      <w:footerReference w:type="default" r:id="rId13"/>
      <w:headerReference w:type="first" r:id="rId14"/>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175" w:rsidRDefault="00E67175">
      <w:r>
        <w:separator/>
      </w:r>
    </w:p>
  </w:endnote>
  <w:endnote w:type="continuationSeparator" w:id="0">
    <w:p w:rsidR="00E67175" w:rsidRDefault="00E6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altName w:val="Arial Unicode MS"/>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75" w:rsidRDefault="00E67175">
    <w:pPr>
      <w:pStyle w:val="Footer"/>
    </w:pPr>
    <w:fldSimple w:instr=" FILENAME \p  \* MERGEFORMAT ">
      <w:r w:rsidR="00E2486C">
        <w:t>P:\ENG\ITU-R\AG\RAG12\RAG-1\000\007E.docx</w:t>
      </w:r>
    </w:fldSimple>
    <w:r>
      <w:t xml:space="preserve"> (328304)</w:t>
    </w:r>
    <w:r>
      <w:tab/>
    </w:r>
    <w:r>
      <w:fldChar w:fldCharType="begin"/>
    </w:r>
    <w:r>
      <w:instrText xml:space="preserve"> SAVEDATE \@ DD.MM.YY </w:instrText>
    </w:r>
    <w:r>
      <w:fldChar w:fldCharType="separate"/>
    </w:r>
    <w:r w:rsidR="00E2486C">
      <w:t>12.06.12</w:t>
    </w:r>
    <w:r>
      <w:fldChar w:fldCharType="end"/>
    </w:r>
    <w:r>
      <w:tab/>
    </w:r>
    <w:r>
      <w:fldChar w:fldCharType="begin"/>
    </w:r>
    <w:r>
      <w:instrText xml:space="preserve"> PRINTDATE \@ DD.MM.YY </w:instrText>
    </w:r>
    <w:r>
      <w:fldChar w:fldCharType="separate"/>
    </w:r>
    <w:r w:rsidR="00E2486C">
      <w:t>12.06.12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75" w:rsidRDefault="00E67175">
    <w:pPr>
      <w:pStyle w:val="Footer"/>
    </w:pPr>
    <w:fldSimple w:instr=" FILENAME \p  \* MERGEFORMAT ">
      <w:r w:rsidR="00E2486C">
        <w:t>P:\ENG\ITU-R\AG\RAG12\RAG-1\000\007E.docx</w:t>
      </w:r>
    </w:fldSimple>
    <w:r>
      <w:t xml:space="preserve"> (328304)</w:t>
    </w:r>
    <w:r>
      <w:tab/>
    </w:r>
    <w:r>
      <w:fldChar w:fldCharType="begin"/>
    </w:r>
    <w:r>
      <w:instrText xml:space="preserve"> SAVEDATE \@ DD.MM.YY </w:instrText>
    </w:r>
    <w:r>
      <w:fldChar w:fldCharType="separate"/>
    </w:r>
    <w:r w:rsidR="00E2486C">
      <w:t>12.06.12</w:t>
    </w:r>
    <w:r>
      <w:fldChar w:fldCharType="end"/>
    </w:r>
    <w:r>
      <w:tab/>
    </w:r>
    <w:r>
      <w:fldChar w:fldCharType="begin"/>
    </w:r>
    <w:r>
      <w:instrText xml:space="preserve"> PRINTDATE \@ DD.MM.YY </w:instrText>
    </w:r>
    <w:r>
      <w:fldChar w:fldCharType="separate"/>
    </w:r>
    <w:r w:rsidR="00E2486C">
      <w:t>12.06.12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75" w:rsidRDefault="00E67175">
    <w:pPr>
      <w:pStyle w:val="Footer"/>
    </w:pPr>
    <w:fldSimple w:instr=" FILENAME \p  \* MERGEFORMAT ">
      <w:r w:rsidR="00E2486C">
        <w:t>P:\ENG\ITU-R\AG\RAG12\RAG-1\000\007E.docx</w:t>
      </w:r>
    </w:fldSimple>
    <w:r>
      <w:t xml:space="preserve"> (328304)</w:t>
    </w:r>
    <w:r>
      <w:tab/>
    </w:r>
    <w:r>
      <w:fldChar w:fldCharType="begin"/>
    </w:r>
    <w:r>
      <w:instrText xml:space="preserve"> SAVEDATE \@ DD.MM.YY </w:instrText>
    </w:r>
    <w:r>
      <w:fldChar w:fldCharType="separate"/>
    </w:r>
    <w:r w:rsidR="00E2486C">
      <w:t>12.06.12</w:t>
    </w:r>
    <w:r>
      <w:fldChar w:fldCharType="end"/>
    </w:r>
    <w:r>
      <w:tab/>
    </w:r>
    <w:r>
      <w:fldChar w:fldCharType="begin"/>
    </w:r>
    <w:r>
      <w:instrText xml:space="preserve"> PRINTDATE \@ DD.MM.YY </w:instrText>
    </w:r>
    <w:r>
      <w:fldChar w:fldCharType="separate"/>
    </w:r>
    <w:r w:rsidR="00E2486C">
      <w:t>12.06.12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175" w:rsidRDefault="00E67175">
      <w:r>
        <w:t>____________________</w:t>
      </w:r>
    </w:p>
  </w:footnote>
  <w:footnote w:type="continuationSeparator" w:id="0">
    <w:p w:rsidR="00E67175" w:rsidRDefault="00E67175">
      <w:r>
        <w:continuationSeparator/>
      </w:r>
    </w:p>
  </w:footnote>
  <w:footnote w:id="1">
    <w:p w:rsidR="00E67175" w:rsidRPr="008A65C9" w:rsidRDefault="00E67175" w:rsidP="00892D4C">
      <w:pPr>
        <w:pStyle w:val="FootnoteText"/>
        <w:rPr>
          <w:lang w:val="en-US"/>
        </w:rPr>
      </w:pPr>
      <w:r>
        <w:rPr>
          <w:rStyle w:val="FootnoteReference"/>
        </w:rPr>
        <w:t>*</w:t>
      </w:r>
      <w:r>
        <w:t xml:space="preserve"> </w:t>
      </w:r>
      <w:r>
        <w:rPr>
          <w:lang w:val="en-US"/>
        </w:rPr>
        <w:t>This document was considered and agreed upon at the second meeting of the Commission on regulation of the use of the radio-frequency spectrum and satellite orbits of the Regional Commonwealth in the field of Communications (RCC)</w:t>
      </w:r>
    </w:p>
  </w:footnote>
  <w:footnote w:id="2">
    <w:p w:rsidR="00E67175" w:rsidRPr="00F46C62" w:rsidRDefault="00E67175">
      <w:pPr>
        <w:pStyle w:val="FootnoteText"/>
        <w:rPr>
          <w:lang w:val="en-US"/>
        </w:rPr>
      </w:pPr>
      <w:r>
        <w:rPr>
          <w:rStyle w:val="FootnoteReference"/>
        </w:rPr>
        <w:footnoteRef/>
      </w:r>
      <w:r>
        <w:t xml:space="preserve"> </w:t>
      </w:r>
      <w:r>
        <w:rPr>
          <w:lang w:val="en-US"/>
        </w:rPr>
        <w:t>A concerned ITU-R group may be either a contributing group on a specific item (indicated in bold type), or an interested group (indicated in square brackets) that will follow the work on a specific issue and act as appropriate.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75" w:rsidRDefault="00E67175" w:rsidP="001E41A0">
    <w:pPr>
      <w:pStyle w:val="Header"/>
      <w:rPr>
        <w:lang w:val="es-ES"/>
      </w:rPr>
    </w:pPr>
    <w:r>
      <w:fldChar w:fldCharType="begin"/>
    </w:r>
    <w:r>
      <w:instrText xml:space="preserve"> PAGE </w:instrText>
    </w:r>
    <w:r>
      <w:fldChar w:fldCharType="separate"/>
    </w:r>
    <w:r w:rsidR="00E2486C">
      <w:rPr>
        <w:noProof/>
      </w:rPr>
      <w:t>2</w:t>
    </w:r>
    <w:r>
      <w:rPr>
        <w:noProof/>
      </w:rPr>
      <w:fldChar w:fldCharType="end"/>
    </w:r>
  </w:p>
  <w:p w:rsidR="00E67175" w:rsidRDefault="00E67175" w:rsidP="008D6EC0">
    <w:pPr>
      <w:pStyle w:val="Header"/>
      <w:rPr>
        <w:lang w:val="es-ES"/>
      </w:rPr>
    </w:pPr>
    <w:r>
      <w:rPr>
        <w:lang w:val="es-ES"/>
      </w:rPr>
      <w:t>RAG12-1/7-E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75" w:rsidRDefault="00E671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F3"/>
    <w:rsid w:val="000110AB"/>
    <w:rsid w:val="00093C73"/>
    <w:rsid w:val="000D7CF3"/>
    <w:rsid w:val="001377D6"/>
    <w:rsid w:val="001E41A0"/>
    <w:rsid w:val="002774E4"/>
    <w:rsid w:val="003D068D"/>
    <w:rsid w:val="004537A4"/>
    <w:rsid w:val="00507DA3"/>
    <w:rsid w:val="0051782D"/>
    <w:rsid w:val="00597657"/>
    <w:rsid w:val="00676EE4"/>
    <w:rsid w:val="00730B3B"/>
    <w:rsid w:val="00746923"/>
    <w:rsid w:val="0075202E"/>
    <w:rsid w:val="00792EF3"/>
    <w:rsid w:val="00806E63"/>
    <w:rsid w:val="00892D4C"/>
    <w:rsid w:val="008A65C9"/>
    <w:rsid w:val="008B3F50"/>
    <w:rsid w:val="008D6EC0"/>
    <w:rsid w:val="0095426A"/>
    <w:rsid w:val="00A16CB2"/>
    <w:rsid w:val="00B52992"/>
    <w:rsid w:val="00C1009A"/>
    <w:rsid w:val="00CC1D49"/>
    <w:rsid w:val="00CD4D80"/>
    <w:rsid w:val="00D211BC"/>
    <w:rsid w:val="00DD3BF8"/>
    <w:rsid w:val="00DF34F5"/>
    <w:rsid w:val="00E2486C"/>
    <w:rsid w:val="00E67175"/>
    <w:rsid w:val="00F46C62"/>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0D7CF3"/>
    <w:pPr>
      <w:spacing w:before="0"/>
    </w:pPr>
    <w:rPr>
      <w:rFonts w:ascii="Tahoma" w:hAnsi="Tahoma" w:cs="Tahoma"/>
      <w:sz w:val="16"/>
      <w:szCs w:val="16"/>
    </w:rPr>
  </w:style>
  <w:style w:type="character" w:customStyle="1" w:styleId="BalloonTextChar">
    <w:name w:val="Balloon Text Char"/>
    <w:basedOn w:val="DefaultParagraphFont"/>
    <w:link w:val="BalloonText"/>
    <w:rsid w:val="000D7CF3"/>
    <w:rPr>
      <w:rFonts w:ascii="Tahoma" w:hAnsi="Tahoma" w:cs="Tahoma"/>
      <w:sz w:val="16"/>
      <w:szCs w:val="16"/>
      <w:lang w:val="en-GB" w:eastAsia="en-US"/>
    </w:rPr>
  </w:style>
  <w:style w:type="table" w:styleId="TableGrid">
    <w:name w:val="Table Grid"/>
    <w:basedOn w:val="TableNormal"/>
    <w:rsid w:val="00676E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llChar">
    <w:name w:val="Call Char"/>
    <w:basedOn w:val="DefaultParagraphFont"/>
    <w:link w:val="Call"/>
    <w:locked/>
    <w:rsid w:val="00676EE4"/>
    <w:rPr>
      <w:rFonts w:ascii="Times New Roman" w:hAnsi="Times New Roman"/>
      <w:i/>
      <w:sz w:val="24"/>
      <w:lang w:val="en-GB" w:eastAsia="en-US"/>
    </w:rPr>
  </w:style>
  <w:style w:type="character" w:customStyle="1" w:styleId="enumlev1Char">
    <w:name w:val="enumlev1 Char"/>
    <w:link w:val="enumlev1"/>
    <w:rsid w:val="00676EE4"/>
    <w:rPr>
      <w:rFonts w:ascii="Times New Roman" w:hAnsi="Times New Roman"/>
      <w:sz w:val="24"/>
      <w:lang w:val="en-GB" w:eastAsia="en-US"/>
    </w:rPr>
  </w:style>
  <w:style w:type="character" w:customStyle="1" w:styleId="RestitleChar">
    <w:name w:val="Res_title Char"/>
    <w:link w:val="Restitle"/>
    <w:locked/>
    <w:rsid w:val="008D6EC0"/>
    <w:rPr>
      <w:rFonts w:ascii="Times New Roman" w:hAnsi="Times New Roman"/>
      <w:b/>
      <w:sz w:val="28"/>
      <w:lang w:val="en-GB" w:eastAsia="en-US"/>
    </w:rPr>
  </w:style>
  <w:style w:type="paragraph" w:customStyle="1" w:styleId="Reasons">
    <w:name w:val="Reasons"/>
    <w:basedOn w:val="Normal"/>
    <w:qFormat/>
    <w:rsid w:val="008D6EC0"/>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0D7CF3"/>
    <w:pPr>
      <w:spacing w:before="0"/>
    </w:pPr>
    <w:rPr>
      <w:rFonts w:ascii="Tahoma" w:hAnsi="Tahoma" w:cs="Tahoma"/>
      <w:sz w:val="16"/>
      <w:szCs w:val="16"/>
    </w:rPr>
  </w:style>
  <w:style w:type="character" w:customStyle="1" w:styleId="BalloonTextChar">
    <w:name w:val="Balloon Text Char"/>
    <w:basedOn w:val="DefaultParagraphFont"/>
    <w:link w:val="BalloonText"/>
    <w:rsid w:val="000D7CF3"/>
    <w:rPr>
      <w:rFonts w:ascii="Tahoma" w:hAnsi="Tahoma" w:cs="Tahoma"/>
      <w:sz w:val="16"/>
      <w:szCs w:val="16"/>
      <w:lang w:val="en-GB" w:eastAsia="en-US"/>
    </w:rPr>
  </w:style>
  <w:style w:type="table" w:styleId="TableGrid">
    <w:name w:val="Table Grid"/>
    <w:basedOn w:val="TableNormal"/>
    <w:rsid w:val="00676E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llChar">
    <w:name w:val="Call Char"/>
    <w:basedOn w:val="DefaultParagraphFont"/>
    <w:link w:val="Call"/>
    <w:locked/>
    <w:rsid w:val="00676EE4"/>
    <w:rPr>
      <w:rFonts w:ascii="Times New Roman" w:hAnsi="Times New Roman"/>
      <w:i/>
      <w:sz w:val="24"/>
      <w:lang w:val="en-GB" w:eastAsia="en-US"/>
    </w:rPr>
  </w:style>
  <w:style w:type="character" w:customStyle="1" w:styleId="enumlev1Char">
    <w:name w:val="enumlev1 Char"/>
    <w:link w:val="enumlev1"/>
    <w:rsid w:val="00676EE4"/>
    <w:rPr>
      <w:rFonts w:ascii="Times New Roman" w:hAnsi="Times New Roman"/>
      <w:sz w:val="24"/>
      <w:lang w:val="en-GB" w:eastAsia="en-US"/>
    </w:rPr>
  </w:style>
  <w:style w:type="character" w:customStyle="1" w:styleId="RestitleChar">
    <w:name w:val="Res_title Char"/>
    <w:link w:val="Restitle"/>
    <w:locked/>
    <w:rsid w:val="008D6EC0"/>
    <w:rPr>
      <w:rFonts w:ascii="Times New Roman" w:hAnsi="Times New Roman"/>
      <w:b/>
      <w:sz w:val="28"/>
      <w:lang w:val="en-GB" w:eastAsia="en-US"/>
    </w:rPr>
  </w:style>
  <w:style w:type="paragraph" w:customStyle="1" w:styleId="Reasons">
    <w:name w:val="Reasons"/>
    <w:basedOn w:val="Normal"/>
    <w:qFormat/>
    <w:rsid w:val="008D6EC0"/>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urican\Application%20Data\Microsoft\Templates\POOL%20E%20-%20ITU\PE_RAG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BD723-849C-408B-A248-118D620A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PE_RAG12</Template>
  <TotalTime>14</TotalTime>
  <Pages>6</Pages>
  <Words>1301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Hourican, Maria</dc:creator>
  <cp:keywords/>
  <dc:description>PE_RAG10.dotm  For: _x000d_Document date: _x000d_Saved by TRA44246 at 12:32:17 on 12.02.2010</dc:description>
  <cp:lastModifiedBy>Hourican, Maria</cp:lastModifiedBy>
  <cp:revision>5</cp:revision>
  <cp:lastPrinted>2012-06-12T09:58:00Z</cp:lastPrinted>
  <dcterms:created xsi:type="dcterms:W3CDTF">2012-06-12T09:47:00Z</dcterms:created>
  <dcterms:modified xsi:type="dcterms:W3CDTF">2012-06-12T10:00:00Z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