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42" w:tblpY="-675"/>
        <w:tblW w:w="10065" w:type="dxa"/>
        <w:tblLayout w:type="fixed"/>
        <w:tblLook w:val="0000" w:firstRow="0" w:lastRow="0" w:firstColumn="0" w:lastColumn="0" w:noHBand="0" w:noVBand="0"/>
      </w:tblPr>
      <w:tblGrid>
        <w:gridCol w:w="6487"/>
        <w:gridCol w:w="3578"/>
      </w:tblGrid>
      <w:tr w:rsidR="0075573C" w:rsidTr="000C6067">
        <w:trPr>
          <w:cantSplit/>
        </w:trPr>
        <w:tc>
          <w:tcPr>
            <w:tcW w:w="6487" w:type="dxa"/>
          </w:tcPr>
          <w:p w:rsidR="0075573C" w:rsidRPr="00C63EB5" w:rsidRDefault="0075573C" w:rsidP="000C6067">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578" w:type="dxa"/>
          </w:tcPr>
          <w:p w:rsidR="0075573C" w:rsidRDefault="0075573C" w:rsidP="000C6067">
            <w:pPr>
              <w:spacing w:line="240" w:lineRule="atLeast"/>
              <w:jc w:val="right"/>
            </w:pPr>
            <w:bookmarkStart w:id="1" w:name="ditulogo"/>
            <w:bookmarkEnd w:id="1"/>
            <w:r>
              <w:rPr>
                <w:noProof/>
                <w:lang w:val="en-GB" w:eastAsia="zh-CN"/>
              </w:rPr>
              <w:drawing>
                <wp:inline distT="0" distB="0" distL="0" distR="0" wp14:anchorId="35CD6FF4" wp14:editId="254CA28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5573C" w:rsidRPr="00617BE4" w:rsidTr="000C6067">
        <w:trPr>
          <w:cantSplit/>
        </w:trPr>
        <w:tc>
          <w:tcPr>
            <w:tcW w:w="6487" w:type="dxa"/>
            <w:tcBorders>
              <w:bottom w:val="single" w:sz="12" w:space="0" w:color="auto"/>
            </w:tcBorders>
          </w:tcPr>
          <w:p w:rsidR="0075573C" w:rsidRPr="00617BE4" w:rsidRDefault="0075573C" w:rsidP="000C6067">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578" w:type="dxa"/>
            <w:tcBorders>
              <w:bottom w:val="single" w:sz="12" w:space="0" w:color="auto"/>
            </w:tcBorders>
          </w:tcPr>
          <w:p w:rsidR="0075573C" w:rsidRPr="00617BE4" w:rsidRDefault="0075573C" w:rsidP="000C6067">
            <w:pPr>
              <w:spacing w:before="0" w:line="240" w:lineRule="atLeast"/>
              <w:rPr>
                <w:rFonts w:ascii="Verdana" w:hAnsi="Verdana"/>
                <w:szCs w:val="24"/>
              </w:rPr>
            </w:pPr>
          </w:p>
        </w:tc>
      </w:tr>
      <w:tr w:rsidR="0075573C" w:rsidRPr="00C324A8" w:rsidTr="000C6067">
        <w:trPr>
          <w:cantSplit/>
        </w:trPr>
        <w:tc>
          <w:tcPr>
            <w:tcW w:w="6487" w:type="dxa"/>
            <w:tcBorders>
              <w:top w:val="single" w:sz="12" w:space="0" w:color="auto"/>
            </w:tcBorders>
          </w:tcPr>
          <w:p w:rsidR="0075573C" w:rsidRPr="00C324A8" w:rsidRDefault="0075573C" w:rsidP="000C6067">
            <w:pPr>
              <w:spacing w:before="0" w:after="48" w:line="240" w:lineRule="atLeast"/>
              <w:rPr>
                <w:rFonts w:ascii="Verdana" w:hAnsi="Verdana"/>
                <w:b/>
                <w:smallCaps/>
                <w:sz w:val="20"/>
              </w:rPr>
            </w:pPr>
          </w:p>
        </w:tc>
        <w:tc>
          <w:tcPr>
            <w:tcW w:w="3578" w:type="dxa"/>
            <w:tcBorders>
              <w:top w:val="single" w:sz="12" w:space="0" w:color="auto"/>
            </w:tcBorders>
          </w:tcPr>
          <w:p w:rsidR="0075573C" w:rsidRPr="00C324A8" w:rsidRDefault="0075573C" w:rsidP="000C6067">
            <w:pPr>
              <w:spacing w:before="0" w:line="240" w:lineRule="atLeast"/>
              <w:rPr>
                <w:rFonts w:ascii="Verdana" w:hAnsi="Verdana"/>
                <w:sz w:val="20"/>
              </w:rPr>
            </w:pPr>
          </w:p>
        </w:tc>
      </w:tr>
      <w:tr w:rsidR="0075573C" w:rsidRPr="00C324A8" w:rsidTr="000C6067">
        <w:trPr>
          <w:cantSplit/>
          <w:trHeight w:val="23"/>
        </w:trPr>
        <w:tc>
          <w:tcPr>
            <w:tcW w:w="6487" w:type="dxa"/>
            <w:vMerge w:val="restart"/>
          </w:tcPr>
          <w:p w:rsidR="0075573C" w:rsidRPr="0075573C" w:rsidRDefault="0075573C" w:rsidP="000C6067">
            <w:pPr>
              <w:tabs>
                <w:tab w:val="left" w:pos="851"/>
              </w:tabs>
              <w:spacing w:before="0" w:line="240" w:lineRule="atLeast"/>
              <w:rPr>
                <w:rFonts w:ascii="Verdana" w:hAnsi="Verdana"/>
                <w:sz w:val="20"/>
              </w:rPr>
            </w:pPr>
            <w:bookmarkStart w:id="3" w:name="dnum" w:colFirst="1" w:colLast="1"/>
            <w:bookmarkStart w:id="4" w:name="dmeeting" w:colFirst="0" w:colLast="0"/>
            <w:bookmarkEnd w:id="2"/>
          </w:p>
        </w:tc>
        <w:tc>
          <w:tcPr>
            <w:tcW w:w="3578" w:type="dxa"/>
          </w:tcPr>
          <w:p w:rsidR="0075573C" w:rsidRPr="0075573C" w:rsidRDefault="0075573C" w:rsidP="000C6067">
            <w:pPr>
              <w:tabs>
                <w:tab w:val="left" w:pos="851"/>
              </w:tabs>
              <w:spacing w:before="0" w:line="240" w:lineRule="atLeast"/>
              <w:rPr>
                <w:rFonts w:ascii="Verdana" w:hAnsi="Verdana"/>
                <w:sz w:val="20"/>
              </w:rPr>
            </w:pPr>
            <w:r>
              <w:rPr>
                <w:rFonts w:ascii="Verdana" w:hAnsi="Verdana"/>
                <w:b/>
                <w:sz w:val="20"/>
              </w:rPr>
              <w:t xml:space="preserve">Documento </w:t>
            </w:r>
            <w:r w:rsidR="002226B3">
              <w:rPr>
                <w:rFonts w:ascii="Verdana" w:hAnsi="Verdana"/>
                <w:b/>
                <w:sz w:val="20"/>
              </w:rPr>
              <w:t>1</w:t>
            </w:r>
            <w:r w:rsidR="00E55476">
              <w:rPr>
                <w:rFonts w:ascii="Verdana" w:hAnsi="Verdana"/>
                <w:b/>
                <w:sz w:val="20"/>
              </w:rPr>
              <w:t>/</w:t>
            </w:r>
            <w:r w:rsidR="002226B3">
              <w:rPr>
                <w:rFonts w:ascii="Verdana" w:hAnsi="Verdana"/>
                <w:b/>
                <w:sz w:val="20"/>
              </w:rPr>
              <w:t>1002</w:t>
            </w:r>
            <w:r>
              <w:rPr>
                <w:rFonts w:ascii="Verdana" w:hAnsi="Verdana"/>
                <w:b/>
                <w:sz w:val="20"/>
              </w:rPr>
              <w:t>-S</w:t>
            </w:r>
          </w:p>
        </w:tc>
      </w:tr>
      <w:tr w:rsidR="0075573C" w:rsidRPr="00C324A8" w:rsidTr="000C6067">
        <w:trPr>
          <w:cantSplit/>
          <w:trHeight w:val="23"/>
        </w:trPr>
        <w:tc>
          <w:tcPr>
            <w:tcW w:w="6487" w:type="dxa"/>
            <w:vMerge/>
          </w:tcPr>
          <w:p w:rsidR="0075573C" w:rsidRPr="00C324A8" w:rsidRDefault="0075573C" w:rsidP="000C6067">
            <w:pPr>
              <w:tabs>
                <w:tab w:val="left" w:pos="851"/>
              </w:tabs>
              <w:spacing w:line="240" w:lineRule="atLeast"/>
              <w:rPr>
                <w:rFonts w:ascii="Verdana" w:hAnsi="Verdana"/>
                <w:b/>
                <w:sz w:val="20"/>
              </w:rPr>
            </w:pPr>
            <w:bookmarkStart w:id="5" w:name="ddate" w:colFirst="1" w:colLast="1"/>
            <w:bookmarkEnd w:id="3"/>
            <w:bookmarkEnd w:id="4"/>
          </w:p>
        </w:tc>
        <w:tc>
          <w:tcPr>
            <w:tcW w:w="3578" w:type="dxa"/>
          </w:tcPr>
          <w:p w:rsidR="0075573C" w:rsidRPr="0075573C" w:rsidRDefault="002226B3" w:rsidP="000C6067">
            <w:pPr>
              <w:tabs>
                <w:tab w:val="left" w:pos="993"/>
              </w:tabs>
              <w:spacing w:before="0"/>
              <w:rPr>
                <w:rFonts w:ascii="Verdana" w:hAnsi="Verdana"/>
                <w:sz w:val="20"/>
              </w:rPr>
            </w:pPr>
            <w:r>
              <w:rPr>
                <w:rFonts w:ascii="Verdana" w:hAnsi="Verdana"/>
                <w:b/>
                <w:sz w:val="20"/>
              </w:rPr>
              <w:t>26</w:t>
            </w:r>
            <w:r w:rsidR="0075573C">
              <w:rPr>
                <w:rFonts w:ascii="Verdana" w:hAnsi="Verdana"/>
                <w:b/>
                <w:sz w:val="20"/>
              </w:rPr>
              <w:t xml:space="preserve"> de </w:t>
            </w:r>
            <w:r>
              <w:rPr>
                <w:rFonts w:ascii="Verdana" w:hAnsi="Verdana"/>
                <w:b/>
                <w:sz w:val="20"/>
              </w:rPr>
              <w:t>agosto</w:t>
            </w:r>
            <w:r w:rsidR="00D26639">
              <w:rPr>
                <w:rFonts w:ascii="Verdana" w:hAnsi="Verdana"/>
                <w:b/>
                <w:sz w:val="20"/>
              </w:rPr>
              <w:t xml:space="preserve"> </w:t>
            </w:r>
            <w:r w:rsidR="0075573C">
              <w:rPr>
                <w:rFonts w:ascii="Verdana" w:hAnsi="Verdana"/>
                <w:b/>
                <w:sz w:val="20"/>
              </w:rPr>
              <w:t>de 2015</w:t>
            </w:r>
          </w:p>
        </w:tc>
      </w:tr>
      <w:tr w:rsidR="0075573C" w:rsidRPr="00C324A8" w:rsidTr="000C6067">
        <w:trPr>
          <w:cantSplit/>
          <w:trHeight w:val="23"/>
        </w:trPr>
        <w:tc>
          <w:tcPr>
            <w:tcW w:w="6487" w:type="dxa"/>
            <w:vMerge/>
          </w:tcPr>
          <w:p w:rsidR="0075573C" w:rsidRPr="00C324A8" w:rsidRDefault="0075573C" w:rsidP="000C6067">
            <w:pPr>
              <w:tabs>
                <w:tab w:val="left" w:pos="851"/>
              </w:tabs>
              <w:spacing w:line="240" w:lineRule="atLeast"/>
              <w:rPr>
                <w:rFonts w:ascii="Verdana" w:hAnsi="Verdana"/>
                <w:b/>
                <w:sz w:val="20"/>
              </w:rPr>
            </w:pPr>
            <w:bookmarkStart w:id="6" w:name="dorlang" w:colFirst="1" w:colLast="1"/>
            <w:bookmarkEnd w:id="5"/>
          </w:p>
        </w:tc>
        <w:tc>
          <w:tcPr>
            <w:tcW w:w="3578" w:type="dxa"/>
          </w:tcPr>
          <w:p w:rsidR="0075573C" w:rsidRPr="0075573C" w:rsidRDefault="0075573C" w:rsidP="000C6067">
            <w:pPr>
              <w:tabs>
                <w:tab w:val="left" w:pos="993"/>
              </w:tabs>
              <w:spacing w:before="0" w:after="120"/>
              <w:rPr>
                <w:rFonts w:ascii="Verdana" w:hAnsi="Verdana"/>
                <w:sz w:val="20"/>
              </w:rPr>
            </w:pPr>
          </w:p>
        </w:tc>
      </w:tr>
    </w:tbl>
    <w:tbl>
      <w:tblPr>
        <w:tblW w:w="10031" w:type="dxa"/>
        <w:tblInd w:w="-108" w:type="dxa"/>
        <w:tblLayout w:type="fixed"/>
        <w:tblLook w:val="0000" w:firstRow="0" w:lastRow="0" w:firstColumn="0" w:lastColumn="0" w:noHBand="0" w:noVBand="0"/>
      </w:tblPr>
      <w:tblGrid>
        <w:gridCol w:w="10031"/>
      </w:tblGrid>
      <w:tr w:rsidR="002226B3" w:rsidTr="002226B3">
        <w:trPr>
          <w:cantSplit/>
        </w:trPr>
        <w:tc>
          <w:tcPr>
            <w:tcW w:w="10031" w:type="dxa"/>
          </w:tcPr>
          <w:bookmarkEnd w:id="0"/>
          <w:bookmarkEnd w:id="6"/>
          <w:p w:rsidR="002226B3" w:rsidRPr="004D114A" w:rsidRDefault="002226B3" w:rsidP="004D114A">
            <w:pPr>
              <w:pStyle w:val="Source"/>
              <w:rPr>
                <w:rFonts w:asciiTheme="minorHAnsi" w:hAnsiTheme="minorHAnsi"/>
                <w:szCs w:val="28"/>
              </w:rPr>
            </w:pPr>
            <w:r w:rsidRPr="00750DCE">
              <w:t>Comisión de Estudio 1 de Radiocomunicaciones</w:t>
            </w:r>
          </w:p>
        </w:tc>
      </w:tr>
      <w:tr w:rsidR="002226B3" w:rsidTr="002226B3">
        <w:trPr>
          <w:cantSplit/>
        </w:trPr>
        <w:tc>
          <w:tcPr>
            <w:tcW w:w="10031" w:type="dxa"/>
          </w:tcPr>
          <w:p w:rsidR="002226B3" w:rsidRPr="002226B3" w:rsidRDefault="006B756B" w:rsidP="004D114A">
            <w:pPr>
              <w:pStyle w:val="Title1"/>
              <w:rPr>
                <w:rFonts w:asciiTheme="minorHAnsi" w:hAnsiTheme="minorHAnsi"/>
                <w:sz w:val="24"/>
                <w:lang w:val="en-GB"/>
              </w:rPr>
            </w:pPr>
            <w:proofErr w:type="spellStart"/>
            <w:r w:rsidRPr="004D114A">
              <w:rPr>
                <w:lang w:val="en-GB"/>
              </w:rPr>
              <w:t>Gestión</w:t>
            </w:r>
            <w:proofErr w:type="spellEnd"/>
            <w:r w:rsidRPr="004D114A">
              <w:rPr>
                <w:lang w:val="en-GB"/>
              </w:rPr>
              <w:t xml:space="preserve"> </w:t>
            </w:r>
            <w:r w:rsidR="002226B3" w:rsidRPr="004D114A">
              <w:rPr>
                <w:lang w:val="en-GB"/>
              </w:rPr>
              <w:t xml:space="preserve">del </w:t>
            </w:r>
            <w:proofErr w:type="spellStart"/>
            <w:r w:rsidR="002226B3" w:rsidRPr="004D114A">
              <w:rPr>
                <w:lang w:val="en-GB"/>
              </w:rPr>
              <w:t>espectro</w:t>
            </w:r>
            <w:proofErr w:type="spellEnd"/>
          </w:p>
        </w:tc>
      </w:tr>
      <w:tr w:rsidR="002226B3" w:rsidTr="002226B3">
        <w:trPr>
          <w:cantSplit/>
        </w:trPr>
        <w:tc>
          <w:tcPr>
            <w:tcW w:w="10031" w:type="dxa"/>
          </w:tcPr>
          <w:p w:rsidR="002226B3" w:rsidRPr="004D114A" w:rsidRDefault="002226B3" w:rsidP="002226B3">
            <w:pPr>
              <w:pStyle w:val="Title2"/>
              <w:rPr>
                <w:lang w:val="en-US"/>
              </w:rPr>
            </w:pPr>
            <w:r w:rsidRPr="004D114A">
              <w:rPr>
                <w:lang w:val="en-US"/>
              </w:rPr>
              <w:t>lista de recomendaciones</w:t>
            </w:r>
          </w:p>
        </w:tc>
      </w:tr>
      <w:tr w:rsidR="002226B3" w:rsidTr="002226B3">
        <w:trPr>
          <w:cantSplit/>
        </w:trPr>
        <w:tc>
          <w:tcPr>
            <w:tcW w:w="10031" w:type="dxa"/>
          </w:tcPr>
          <w:p w:rsidR="002226B3" w:rsidRDefault="002226B3" w:rsidP="002226B3">
            <w:pPr>
              <w:pStyle w:val="Title3"/>
            </w:pPr>
          </w:p>
        </w:tc>
      </w:tr>
    </w:tbl>
    <w:p w:rsidR="002226B3" w:rsidRPr="00721930" w:rsidRDefault="002226B3" w:rsidP="002226B3">
      <w:pPr>
        <w:pStyle w:val="Heading1"/>
      </w:pPr>
      <w:r>
        <w:t>Recomendaciones UIT-R de la SERIE SM</w:t>
      </w:r>
    </w:p>
    <w:p w:rsidR="002226B3" w:rsidRPr="00721930" w:rsidRDefault="002226B3" w:rsidP="002226B3"/>
    <w:p w:rsidR="002226B3" w:rsidRPr="00721930" w:rsidRDefault="002226B3" w:rsidP="002226B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1917"/>
        <w:gridCol w:w="1932"/>
        <w:gridCol w:w="1871"/>
        <w:gridCol w:w="1959"/>
      </w:tblGrid>
      <w:tr w:rsidR="002226B3" w:rsidTr="002226B3">
        <w:trPr>
          <w:jc w:val="center"/>
        </w:trPr>
        <w:tc>
          <w:tcPr>
            <w:tcW w:w="1990" w:type="dxa"/>
          </w:tcPr>
          <w:p w:rsidR="002226B3" w:rsidRDefault="002226B3" w:rsidP="002226B3">
            <w:pPr>
              <w:jc w:val="center"/>
            </w:pPr>
            <w:r>
              <w:rPr>
                <w:b/>
                <w:bCs/>
              </w:rPr>
              <w:t>NOC</w:t>
            </w:r>
            <w:r>
              <w:t xml:space="preserve"> = </w:t>
            </w:r>
            <w:r>
              <w:br/>
            </w:r>
            <w:r>
              <w:rPr>
                <w:lang w:val="es-ES"/>
              </w:rPr>
              <w:t>Mantenido</w:t>
            </w:r>
          </w:p>
        </w:tc>
        <w:tc>
          <w:tcPr>
            <w:tcW w:w="1963" w:type="dxa"/>
          </w:tcPr>
          <w:p w:rsidR="002226B3" w:rsidRDefault="002226B3" w:rsidP="002226B3">
            <w:pPr>
              <w:jc w:val="center"/>
            </w:pPr>
            <w:r>
              <w:rPr>
                <w:b/>
                <w:bCs/>
              </w:rPr>
              <w:t>MOD</w:t>
            </w:r>
            <w:r>
              <w:t xml:space="preserve"> = </w:t>
            </w:r>
            <w:r>
              <w:br/>
              <w:t>Revisado</w:t>
            </w:r>
          </w:p>
        </w:tc>
        <w:tc>
          <w:tcPr>
            <w:tcW w:w="1972" w:type="dxa"/>
          </w:tcPr>
          <w:p w:rsidR="002226B3" w:rsidRDefault="002226B3" w:rsidP="002226B3">
            <w:pPr>
              <w:jc w:val="center"/>
            </w:pPr>
            <w:r>
              <w:rPr>
                <w:b/>
                <w:bCs/>
              </w:rPr>
              <w:t>SUP</w:t>
            </w:r>
            <w:r>
              <w:t xml:space="preserve"> =</w:t>
            </w:r>
            <w:r>
              <w:br/>
              <w:t>Suprimido</w:t>
            </w:r>
          </w:p>
        </w:tc>
        <w:tc>
          <w:tcPr>
            <w:tcW w:w="1932" w:type="dxa"/>
          </w:tcPr>
          <w:p w:rsidR="002226B3" w:rsidRDefault="002226B3" w:rsidP="002226B3">
            <w:pPr>
              <w:jc w:val="center"/>
            </w:pPr>
            <w:r>
              <w:rPr>
                <w:b/>
                <w:bCs/>
              </w:rPr>
              <w:t>ADD</w:t>
            </w:r>
            <w:r>
              <w:t xml:space="preserve"> =</w:t>
            </w:r>
            <w:r>
              <w:br/>
              <w:t>Texto nuevo</w:t>
            </w:r>
          </w:p>
        </w:tc>
        <w:tc>
          <w:tcPr>
            <w:tcW w:w="1998" w:type="dxa"/>
          </w:tcPr>
          <w:p w:rsidR="002226B3" w:rsidRDefault="002226B3" w:rsidP="002226B3">
            <w:pPr>
              <w:jc w:val="center"/>
            </w:pPr>
            <w:r>
              <w:rPr>
                <w:b/>
                <w:bCs/>
              </w:rPr>
              <w:t>UNA</w:t>
            </w:r>
            <w:r>
              <w:t xml:space="preserve"> = </w:t>
            </w:r>
            <w:r>
              <w:br/>
              <w:t>Pendiente de</w:t>
            </w:r>
            <w:r>
              <w:br/>
              <w:t>aprobación</w:t>
            </w:r>
          </w:p>
        </w:tc>
      </w:tr>
    </w:tbl>
    <w:p w:rsidR="002226B3" w:rsidRDefault="002226B3" w:rsidP="002226B3"/>
    <w:p w:rsidR="002226B3" w:rsidRDefault="002226B3" w:rsidP="002226B3"/>
    <w:p w:rsidR="002226B3" w:rsidRDefault="002226B3" w:rsidP="002226B3">
      <w:pPr>
        <w:tabs>
          <w:tab w:val="clear" w:pos="1134"/>
          <w:tab w:val="clear" w:pos="1871"/>
          <w:tab w:val="clear" w:pos="2268"/>
        </w:tabs>
        <w:overflowPunct/>
        <w:autoSpaceDE/>
        <w:autoSpaceDN/>
        <w:adjustRightInd/>
        <w:spacing w:before="0"/>
        <w:textAlignment w:val="auto"/>
      </w:pPr>
    </w:p>
    <w:p w:rsidR="002226B3" w:rsidRDefault="002226B3" w:rsidP="002226B3">
      <w:pPr>
        <w:tabs>
          <w:tab w:val="clear" w:pos="1134"/>
          <w:tab w:val="clear" w:pos="1871"/>
          <w:tab w:val="clear" w:pos="2268"/>
        </w:tabs>
        <w:overflowPunct/>
        <w:autoSpaceDE/>
        <w:autoSpaceDN/>
        <w:adjustRightInd/>
        <w:spacing w:before="0"/>
        <w:textAlignment w:val="auto"/>
      </w:pPr>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2"/>
        <w:gridCol w:w="5813"/>
        <w:gridCol w:w="1350"/>
        <w:gridCol w:w="1598"/>
      </w:tblGrid>
      <w:tr w:rsidR="002226B3" w:rsidTr="004F18AE">
        <w:trPr>
          <w:tblHeader/>
        </w:trPr>
        <w:tc>
          <w:tcPr>
            <w:tcW w:w="1412" w:type="dxa"/>
            <w:vAlign w:val="center"/>
          </w:tcPr>
          <w:p w:rsidR="002226B3" w:rsidRDefault="002226B3" w:rsidP="002226B3">
            <w:pPr>
              <w:pStyle w:val="Tablehead"/>
              <w:rPr>
                <w:szCs w:val="22"/>
                <w:lang w:val="fr-CH"/>
              </w:rPr>
            </w:pPr>
            <w:r>
              <w:rPr>
                <w:szCs w:val="22"/>
                <w:lang w:val="fr-CH"/>
              </w:rPr>
              <w:lastRenderedPageBreak/>
              <w:t>Rec. UIT-R</w:t>
            </w:r>
          </w:p>
        </w:tc>
        <w:tc>
          <w:tcPr>
            <w:tcW w:w="5813" w:type="dxa"/>
            <w:vAlign w:val="center"/>
          </w:tcPr>
          <w:p w:rsidR="002226B3" w:rsidRDefault="002226B3" w:rsidP="002226B3">
            <w:pPr>
              <w:pStyle w:val="Tablehead"/>
            </w:pPr>
            <w:r>
              <w:t>Título de la Recomendación</w:t>
            </w:r>
          </w:p>
        </w:tc>
        <w:tc>
          <w:tcPr>
            <w:tcW w:w="1350" w:type="dxa"/>
            <w:vAlign w:val="center"/>
          </w:tcPr>
          <w:p w:rsidR="002226B3" w:rsidRDefault="002226B3" w:rsidP="002226B3">
            <w:pPr>
              <w:pStyle w:val="Tablehead"/>
            </w:pPr>
            <w:r>
              <w:t>Acciones por la AR</w:t>
            </w:r>
            <w:r>
              <w:noBreakHyphen/>
              <w:t>15</w:t>
            </w:r>
          </w:p>
        </w:tc>
        <w:tc>
          <w:tcPr>
            <w:tcW w:w="1598" w:type="dxa"/>
            <w:vAlign w:val="center"/>
          </w:tcPr>
          <w:p w:rsidR="002226B3" w:rsidRDefault="002226B3" w:rsidP="002226B3">
            <w:pPr>
              <w:pStyle w:val="Tablehead"/>
            </w:pPr>
            <w:r>
              <w:t>Observaciones</w:t>
            </w: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SM.326-7</w:t>
            </w:r>
          </w:p>
        </w:tc>
        <w:tc>
          <w:tcPr>
            <w:tcW w:w="5813" w:type="dxa"/>
          </w:tcPr>
          <w:p w:rsidR="002226B3" w:rsidRDefault="002226B3" w:rsidP="002226B3">
            <w:pPr>
              <w:pStyle w:val="Tabletext"/>
              <w:rPr>
                <w:rFonts w:eastAsia="Arial Unicode MS"/>
              </w:rPr>
            </w:pPr>
            <w:r>
              <w:t>Determinación y medición de la potencia de modulación de amplitud de los transmisores radioeléctricos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SM.328-11</w:t>
            </w:r>
          </w:p>
        </w:tc>
        <w:tc>
          <w:tcPr>
            <w:tcW w:w="5813" w:type="dxa"/>
          </w:tcPr>
          <w:p w:rsidR="002226B3" w:rsidRDefault="002226B3" w:rsidP="002226B3">
            <w:pPr>
              <w:pStyle w:val="Tabletext"/>
              <w:rPr>
                <w:rFonts w:eastAsia="Arial Unicode MS"/>
              </w:rPr>
            </w:pPr>
            <w:r>
              <w:t>Espectros y anchuras de banda de las emisiones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SM.329-11</w:t>
            </w:r>
          </w:p>
        </w:tc>
        <w:tc>
          <w:tcPr>
            <w:tcW w:w="5813" w:type="dxa"/>
          </w:tcPr>
          <w:p w:rsidR="002226B3" w:rsidRDefault="002226B3" w:rsidP="002226B3">
            <w:pPr>
              <w:pStyle w:val="Tabletext"/>
              <w:rPr>
                <w:rFonts w:eastAsia="Arial Unicode MS"/>
              </w:rPr>
            </w:pPr>
            <w:r>
              <w:t xml:space="preserve">Emisiones no deseadas en el dominio no esencial </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SM.331-4</w:t>
            </w:r>
          </w:p>
        </w:tc>
        <w:tc>
          <w:tcPr>
            <w:tcW w:w="5813" w:type="dxa"/>
          </w:tcPr>
          <w:p w:rsidR="002226B3" w:rsidRDefault="002226B3" w:rsidP="002226B3">
            <w:pPr>
              <w:pStyle w:val="Tabletext"/>
              <w:rPr>
                <w:rFonts w:eastAsia="Arial Unicode MS"/>
              </w:rPr>
            </w:pPr>
            <w:r>
              <w:t>Ruido y sensibilidad de los receptores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SM.332-4</w:t>
            </w:r>
          </w:p>
        </w:tc>
        <w:tc>
          <w:tcPr>
            <w:tcW w:w="5813" w:type="dxa"/>
          </w:tcPr>
          <w:p w:rsidR="002226B3" w:rsidRDefault="002226B3" w:rsidP="002226B3">
            <w:pPr>
              <w:pStyle w:val="Tabletext"/>
              <w:rPr>
                <w:rFonts w:eastAsia="Arial Unicode MS"/>
              </w:rPr>
            </w:pPr>
            <w:r>
              <w:t>Selectividad de los receptores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SM.337-6</w:t>
            </w:r>
          </w:p>
        </w:tc>
        <w:tc>
          <w:tcPr>
            <w:tcW w:w="5813" w:type="dxa"/>
          </w:tcPr>
          <w:p w:rsidR="002226B3" w:rsidRDefault="002226B3" w:rsidP="002226B3">
            <w:pPr>
              <w:pStyle w:val="Tabletext"/>
              <w:rPr>
                <w:rFonts w:eastAsia="Arial Unicode MS"/>
              </w:rPr>
            </w:pPr>
            <w:r>
              <w:t>Separaciones de frecuencia y en distancia</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SM.377-4</w:t>
            </w:r>
          </w:p>
        </w:tc>
        <w:tc>
          <w:tcPr>
            <w:tcW w:w="5813" w:type="dxa"/>
          </w:tcPr>
          <w:p w:rsidR="002226B3" w:rsidRDefault="002226B3" w:rsidP="002226B3">
            <w:pPr>
              <w:pStyle w:val="Tabletext"/>
              <w:rPr>
                <w:rFonts w:eastAsia="Arial Unicode MS"/>
              </w:rPr>
            </w:pPr>
            <w:r>
              <w:t>Precisión de las mediciones de frecuencia en las estaciones de comprobación técnica internacional</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SM.378-7</w:t>
            </w:r>
          </w:p>
        </w:tc>
        <w:tc>
          <w:tcPr>
            <w:tcW w:w="5813" w:type="dxa"/>
          </w:tcPr>
          <w:p w:rsidR="002226B3" w:rsidRDefault="002226B3" w:rsidP="002226B3">
            <w:pPr>
              <w:pStyle w:val="Tabletext"/>
              <w:rPr>
                <w:rFonts w:eastAsia="Arial Unicode MS"/>
              </w:rPr>
            </w:pPr>
            <w:r>
              <w:t>Mediciones de la intensidad de campo en las estaciones de comprobación técnica</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SM.443-4</w:t>
            </w:r>
          </w:p>
        </w:tc>
        <w:tc>
          <w:tcPr>
            <w:tcW w:w="5813" w:type="dxa"/>
          </w:tcPr>
          <w:p w:rsidR="002226B3" w:rsidRDefault="002226B3" w:rsidP="002226B3">
            <w:pPr>
              <w:pStyle w:val="Tabletext"/>
              <w:rPr>
                <w:rFonts w:eastAsia="Arial Unicode MS"/>
              </w:rPr>
            </w:pPr>
            <w:r>
              <w:t>Mediciones de la anchura de banda en las estaciones de comprobación técnica de las emisiones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SM.575-</w:t>
            </w:r>
            <w:r>
              <w:rPr>
                <w:b/>
              </w:rPr>
              <w:t>2</w:t>
            </w:r>
          </w:p>
        </w:tc>
        <w:tc>
          <w:tcPr>
            <w:tcW w:w="5813" w:type="dxa"/>
          </w:tcPr>
          <w:p w:rsidR="002226B3" w:rsidRDefault="002226B3" w:rsidP="002226B3">
            <w:pPr>
              <w:pStyle w:val="Tabletext"/>
              <w:rPr>
                <w:rFonts w:eastAsia="Arial Unicode MS"/>
              </w:rPr>
            </w:pPr>
            <w:r>
              <w:t>Protección de las estaciones fijas de comprobación técnica contra la interferencia ocasionada por transmisores lejanos y potentes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SM.668-1</w:t>
            </w:r>
          </w:p>
        </w:tc>
        <w:tc>
          <w:tcPr>
            <w:tcW w:w="5813" w:type="dxa"/>
          </w:tcPr>
          <w:p w:rsidR="002226B3" w:rsidRDefault="002226B3" w:rsidP="002226B3">
            <w:pPr>
              <w:pStyle w:val="Tabletext"/>
              <w:rPr>
                <w:rFonts w:eastAsia="Arial Unicode MS"/>
              </w:rPr>
            </w:pPr>
            <w:r>
              <w:t>Intercambio electrónico de información para la gestión del espectro</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SM.851-1</w:t>
            </w:r>
          </w:p>
        </w:tc>
        <w:tc>
          <w:tcPr>
            <w:tcW w:w="5813" w:type="dxa"/>
          </w:tcPr>
          <w:p w:rsidR="002226B3" w:rsidRDefault="002226B3" w:rsidP="002226B3">
            <w:pPr>
              <w:pStyle w:val="Tabletext"/>
              <w:rPr>
                <w:rFonts w:eastAsia="Arial Unicode MS"/>
              </w:rPr>
            </w:pPr>
            <w:r>
              <w:t>Compartición entre el servicio de radiodifusión y los servicios fijo y/o móvil en las bandas de ondas métricas y decimétricas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SM.852</w:t>
            </w:r>
            <w:r>
              <w:rPr>
                <w:b/>
              </w:rPr>
              <w:t>-0</w:t>
            </w:r>
          </w:p>
        </w:tc>
        <w:tc>
          <w:tcPr>
            <w:tcW w:w="5813" w:type="dxa"/>
          </w:tcPr>
          <w:p w:rsidR="002226B3" w:rsidRDefault="002226B3" w:rsidP="002226B3">
            <w:pPr>
              <w:pStyle w:val="Tabletext"/>
              <w:rPr>
                <w:rFonts w:eastAsia="Arial Unicode MS"/>
              </w:rPr>
            </w:pPr>
            <w:r>
              <w:t>Sensibilidad de los receptores radioeléctricos para la clase de emisión F3E</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SM.853-1</w:t>
            </w:r>
          </w:p>
        </w:tc>
        <w:tc>
          <w:tcPr>
            <w:tcW w:w="5813" w:type="dxa"/>
          </w:tcPr>
          <w:p w:rsidR="002226B3" w:rsidRDefault="002226B3" w:rsidP="002226B3">
            <w:pPr>
              <w:pStyle w:val="Tabletext"/>
              <w:rPr>
                <w:rFonts w:eastAsia="Arial Unicode MS"/>
              </w:rPr>
            </w:pPr>
            <w:r>
              <w:t>Anchura de banda necesaria</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SM.854</w:t>
            </w:r>
            <w:r w:rsidRPr="00945E93">
              <w:rPr>
                <w:b/>
              </w:rPr>
              <w:t>-3</w:t>
            </w:r>
          </w:p>
        </w:tc>
        <w:tc>
          <w:tcPr>
            <w:tcW w:w="5813" w:type="dxa"/>
          </w:tcPr>
          <w:p w:rsidR="002226B3" w:rsidRDefault="002226B3" w:rsidP="002226B3">
            <w:pPr>
              <w:pStyle w:val="Tabletext"/>
              <w:rPr>
                <w:rFonts w:eastAsia="Arial Unicode MS"/>
                <w:lang w:val="es-ES"/>
              </w:rPr>
            </w:pPr>
            <w:r>
              <w:rPr>
                <w:szCs w:val="15"/>
                <w:lang w:val="es-ES"/>
              </w:rPr>
              <w:t>Radiogoniometría y determinación de posición en las estaciones de comprobación técnica</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SM.855-1</w:t>
            </w:r>
          </w:p>
        </w:tc>
        <w:tc>
          <w:tcPr>
            <w:tcW w:w="5813" w:type="dxa"/>
          </w:tcPr>
          <w:p w:rsidR="002226B3" w:rsidRDefault="002226B3" w:rsidP="002226B3">
            <w:pPr>
              <w:pStyle w:val="Tabletext"/>
              <w:rPr>
                <w:rFonts w:eastAsia="Arial Unicode MS"/>
              </w:rPr>
            </w:pPr>
            <w:r>
              <w:t>Sistemas de telecomunicación multiservicio</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SM.856-1</w:t>
            </w:r>
          </w:p>
        </w:tc>
        <w:tc>
          <w:tcPr>
            <w:tcW w:w="5813" w:type="dxa"/>
          </w:tcPr>
          <w:p w:rsidR="002226B3" w:rsidRDefault="002226B3" w:rsidP="002226B3">
            <w:pPr>
              <w:pStyle w:val="Tabletext"/>
              <w:rPr>
                <w:rFonts w:eastAsia="Arial Unicode MS"/>
              </w:rPr>
            </w:pPr>
            <w:r>
              <w:t>Nuevas técnicas y sistemas eficaces desde el punto de vista del espectro</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SM.1009-1</w:t>
            </w:r>
          </w:p>
        </w:tc>
        <w:tc>
          <w:tcPr>
            <w:tcW w:w="5813" w:type="dxa"/>
          </w:tcPr>
          <w:p w:rsidR="002226B3" w:rsidRDefault="002226B3" w:rsidP="002226B3">
            <w:pPr>
              <w:pStyle w:val="Tabletext"/>
              <w:rPr>
                <w:rFonts w:eastAsia="Arial Unicode MS"/>
              </w:rPr>
            </w:pPr>
            <w:r>
              <w:t>Compatibilidad entre el servicio de radiodifusión sonora en la banda de aproximadamente 87-108 MHz y los servicios aeronáuticos en la banda 108-137 MHz</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SM.1045-1</w:t>
            </w:r>
          </w:p>
        </w:tc>
        <w:tc>
          <w:tcPr>
            <w:tcW w:w="5813" w:type="dxa"/>
          </w:tcPr>
          <w:p w:rsidR="002226B3" w:rsidRDefault="002226B3" w:rsidP="002226B3">
            <w:pPr>
              <w:pStyle w:val="Tabletext"/>
              <w:rPr>
                <w:rFonts w:eastAsia="Arial Unicode MS"/>
              </w:rPr>
            </w:pPr>
            <w:r>
              <w:t>Tolerancia de frecuencia en los transmisores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SM.1046-2</w:t>
            </w:r>
          </w:p>
        </w:tc>
        <w:tc>
          <w:tcPr>
            <w:tcW w:w="5813" w:type="dxa"/>
          </w:tcPr>
          <w:p w:rsidR="002226B3" w:rsidRDefault="002226B3" w:rsidP="002226B3">
            <w:pPr>
              <w:pStyle w:val="Tabletext"/>
              <w:rPr>
                <w:rFonts w:eastAsia="Arial Unicode MS"/>
              </w:rPr>
            </w:pPr>
            <w:r>
              <w:t>Definición de la eficacia en la utilización del espectro por un sistema de radiocomunicaciones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SM.1047-</w:t>
            </w:r>
            <w:r>
              <w:rPr>
                <w:b/>
                <w:lang w:val="en-US"/>
              </w:rPr>
              <w:t>2</w:t>
            </w:r>
          </w:p>
        </w:tc>
        <w:tc>
          <w:tcPr>
            <w:tcW w:w="5813" w:type="dxa"/>
          </w:tcPr>
          <w:p w:rsidR="002226B3" w:rsidRDefault="002226B3" w:rsidP="002226B3">
            <w:pPr>
              <w:pStyle w:val="Tabletext"/>
              <w:rPr>
                <w:rFonts w:eastAsia="Arial Unicode MS"/>
              </w:rPr>
            </w:pPr>
            <w:r>
              <w:t>Gestión nacional del espectro</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SM.1049-1</w:t>
            </w:r>
          </w:p>
        </w:tc>
        <w:tc>
          <w:tcPr>
            <w:tcW w:w="5813" w:type="dxa"/>
          </w:tcPr>
          <w:p w:rsidR="002226B3" w:rsidRDefault="002226B3" w:rsidP="002226B3">
            <w:pPr>
              <w:pStyle w:val="Tabletext"/>
              <w:rPr>
                <w:rFonts w:eastAsia="Arial Unicode MS"/>
              </w:rPr>
            </w:pPr>
            <w:r>
              <w:t>Método de gestión del espectro destinado a facilitar el proceso de asignación de frecuencias a estaciones de servicios terrenales en zonas fronterizas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SM.1050</w:t>
            </w:r>
            <w:r w:rsidRPr="00945E93">
              <w:rPr>
                <w:b/>
              </w:rPr>
              <w:t>-2</w:t>
            </w:r>
          </w:p>
        </w:tc>
        <w:tc>
          <w:tcPr>
            <w:tcW w:w="5813" w:type="dxa"/>
          </w:tcPr>
          <w:p w:rsidR="002226B3" w:rsidRDefault="002226B3" w:rsidP="002226B3">
            <w:pPr>
              <w:pStyle w:val="Tabletext"/>
              <w:rPr>
                <w:rFonts w:eastAsia="Arial Unicode MS"/>
              </w:rPr>
            </w:pPr>
            <w:r>
              <w:t>Tareas que ha de realizar el servicio de comprobación técnica de las emisiones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SM.1051-</w:t>
            </w:r>
            <w:r>
              <w:rPr>
                <w:b/>
                <w:lang w:val="en-US"/>
              </w:rPr>
              <w:t>3</w:t>
            </w:r>
          </w:p>
        </w:tc>
        <w:tc>
          <w:tcPr>
            <w:tcW w:w="5813" w:type="dxa"/>
          </w:tcPr>
          <w:p w:rsidR="002226B3" w:rsidRDefault="002226B3" w:rsidP="002226B3">
            <w:pPr>
              <w:pStyle w:val="Tabletext"/>
              <w:rPr>
                <w:rFonts w:eastAsia="Arial Unicode MS"/>
              </w:rPr>
            </w:pPr>
            <w:r>
              <w:t>Prioridad de identificación y supresión de interferencia perjudicial en la banda 406-406,1 MHz</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SM.1054</w:t>
            </w:r>
            <w:r>
              <w:rPr>
                <w:b/>
              </w:rPr>
              <w:t>-0</w:t>
            </w:r>
          </w:p>
        </w:tc>
        <w:tc>
          <w:tcPr>
            <w:tcW w:w="5813" w:type="dxa"/>
          </w:tcPr>
          <w:p w:rsidR="002226B3" w:rsidRDefault="002226B3" w:rsidP="002226B3">
            <w:pPr>
              <w:pStyle w:val="Tabletext"/>
              <w:rPr>
                <w:rFonts w:eastAsia="Arial Unicode MS"/>
              </w:rPr>
            </w:pPr>
            <w:r>
              <w:t>Comprobación técnica de las emisiones de vehículos espaciales en las estaciones de comprobación técnica</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SM.1055</w:t>
            </w:r>
            <w:r>
              <w:rPr>
                <w:b/>
              </w:rPr>
              <w:t>-0</w:t>
            </w:r>
          </w:p>
        </w:tc>
        <w:tc>
          <w:tcPr>
            <w:tcW w:w="5813" w:type="dxa"/>
          </w:tcPr>
          <w:p w:rsidR="002226B3" w:rsidRDefault="002226B3" w:rsidP="002226B3">
            <w:pPr>
              <w:pStyle w:val="Tabletext"/>
              <w:rPr>
                <w:rFonts w:eastAsia="Arial Unicode MS"/>
              </w:rPr>
            </w:pPr>
            <w:r>
              <w:t>Utilización de técnicas de espectro ensanchado</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SM.1056-1</w:t>
            </w:r>
          </w:p>
        </w:tc>
        <w:tc>
          <w:tcPr>
            <w:tcW w:w="5813" w:type="dxa"/>
          </w:tcPr>
          <w:p w:rsidR="002226B3" w:rsidRDefault="002226B3" w:rsidP="002226B3">
            <w:pPr>
              <w:pStyle w:val="Tabletext"/>
              <w:rPr>
                <w:rFonts w:eastAsia="Arial Unicode MS"/>
              </w:rPr>
            </w:pPr>
            <w:r>
              <w:t>Limitación de las radicaciones procedentes de equipos industriales, científicos y médicos (ICM)</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SM.1131</w:t>
            </w:r>
            <w:r>
              <w:rPr>
                <w:b/>
                <w:lang w:val="en-US"/>
              </w:rPr>
              <w:t>-0</w:t>
            </w:r>
          </w:p>
        </w:tc>
        <w:tc>
          <w:tcPr>
            <w:tcW w:w="5813" w:type="dxa"/>
          </w:tcPr>
          <w:p w:rsidR="002226B3" w:rsidRDefault="002226B3" w:rsidP="002226B3">
            <w:pPr>
              <w:pStyle w:val="Tabletext"/>
              <w:rPr>
                <w:rFonts w:eastAsia="Arial Unicode MS"/>
              </w:rPr>
            </w:pPr>
            <w:r>
              <w:t>Factores que intervienen en la atribución de espectro a escala mundial</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lastRenderedPageBreak/>
              <w:t>SM.1132-2</w:t>
            </w:r>
          </w:p>
        </w:tc>
        <w:tc>
          <w:tcPr>
            <w:tcW w:w="5813" w:type="dxa"/>
          </w:tcPr>
          <w:p w:rsidR="002226B3" w:rsidRDefault="002226B3" w:rsidP="002226B3">
            <w:pPr>
              <w:pStyle w:val="Tabletext"/>
              <w:rPr>
                <w:rFonts w:eastAsia="Arial Unicode MS"/>
              </w:rPr>
            </w:pPr>
            <w:r>
              <w:t>Principios y métodos generales de compartición entre servicios de radiocomunicación o entre estaciones radioeléctricas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SM.1133</w:t>
            </w:r>
            <w:r>
              <w:rPr>
                <w:b/>
                <w:lang w:val="en-US"/>
              </w:rPr>
              <w:t>-0</w:t>
            </w:r>
          </w:p>
        </w:tc>
        <w:tc>
          <w:tcPr>
            <w:tcW w:w="5813" w:type="dxa"/>
          </w:tcPr>
          <w:p w:rsidR="002226B3" w:rsidRDefault="002226B3" w:rsidP="002226B3">
            <w:pPr>
              <w:pStyle w:val="Tabletext"/>
              <w:rPr>
                <w:rFonts w:eastAsia="Arial Unicode MS"/>
              </w:rPr>
            </w:pPr>
            <w:r>
              <w:t>Utilización del espectro por servicios definidos en acepción amplia</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SM.1134-1</w:t>
            </w:r>
          </w:p>
        </w:tc>
        <w:tc>
          <w:tcPr>
            <w:tcW w:w="5813" w:type="dxa"/>
          </w:tcPr>
          <w:p w:rsidR="002226B3" w:rsidRDefault="002226B3" w:rsidP="002226B3">
            <w:pPr>
              <w:pStyle w:val="Tabletext"/>
              <w:rPr>
                <w:rFonts w:eastAsia="Arial Unicode MS"/>
              </w:rPr>
            </w:pPr>
            <w:r>
              <w:t>Cálculos de la interferencia de intermodulación en el servicio móvil terrestre</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SM.1135</w:t>
            </w:r>
            <w:r>
              <w:rPr>
                <w:b/>
                <w:lang w:val="en-US"/>
              </w:rPr>
              <w:t>-0</w:t>
            </w:r>
          </w:p>
        </w:tc>
        <w:tc>
          <w:tcPr>
            <w:tcW w:w="5813" w:type="dxa"/>
          </w:tcPr>
          <w:p w:rsidR="002226B3" w:rsidRDefault="002226B3" w:rsidP="002226B3">
            <w:pPr>
              <w:pStyle w:val="Tabletext"/>
              <w:rPr>
                <w:rFonts w:eastAsia="Arial Unicode MS"/>
              </w:rPr>
            </w:pPr>
            <w:r>
              <w:t>Códigos SINPO y SINPFEMO</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SM.1138-2</w:t>
            </w:r>
          </w:p>
        </w:tc>
        <w:tc>
          <w:tcPr>
            <w:tcW w:w="5813" w:type="dxa"/>
          </w:tcPr>
          <w:p w:rsidR="002226B3" w:rsidRDefault="002226B3" w:rsidP="002226B3">
            <w:pPr>
              <w:pStyle w:val="Tabletext"/>
              <w:rPr>
                <w:rFonts w:eastAsia="Arial Unicode MS"/>
              </w:rPr>
            </w:pPr>
            <w:r>
              <w:t>Determinación de las anchuras de banda necesarias, con inclusión de ejemplos de cálculo de las mismas y ejemplos conexos de denominación de emisiones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SM.1139</w:t>
            </w:r>
            <w:r>
              <w:rPr>
                <w:b/>
              </w:rPr>
              <w:t>-0</w:t>
            </w:r>
          </w:p>
        </w:tc>
        <w:tc>
          <w:tcPr>
            <w:tcW w:w="5813" w:type="dxa"/>
          </w:tcPr>
          <w:p w:rsidR="002226B3" w:rsidRDefault="002226B3" w:rsidP="002226B3">
            <w:pPr>
              <w:pStyle w:val="Tabletext"/>
              <w:rPr>
                <w:rFonts w:eastAsia="Arial Unicode MS"/>
              </w:rPr>
            </w:pPr>
            <w:r>
              <w:t>Sistema de comprobación técnica internacional de las emisiones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SM.1140</w:t>
            </w:r>
            <w:r>
              <w:rPr>
                <w:b/>
                <w:lang w:val="en-US"/>
              </w:rPr>
              <w:t>-0</w:t>
            </w:r>
          </w:p>
        </w:tc>
        <w:tc>
          <w:tcPr>
            <w:tcW w:w="5813" w:type="dxa"/>
          </w:tcPr>
          <w:p w:rsidR="002226B3" w:rsidRDefault="002226B3" w:rsidP="002226B3">
            <w:pPr>
              <w:pStyle w:val="Tabletext"/>
              <w:rPr>
                <w:rFonts w:eastAsia="Arial Unicode MS"/>
              </w:rPr>
            </w:pPr>
            <w:r>
              <w:t>Procedimientos de prueba utilizados en las medidas de las características de los receptores aeronáuticos que sirven para determinar la compatibilidad entre el servicio de radiodifusión sonora en la banda de unos 87-108 MHz y los servicios aeronáuticos en la banda 108-118 MHz</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SM.1235</w:t>
            </w:r>
            <w:r>
              <w:rPr>
                <w:b/>
                <w:lang w:val="en-US"/>
              </w:rPr>
              <w:t>-0</w:t>
            </w:r>
          </w:p>
        </w:tc>
        <w:tc>
          <w:tcPr>
            <w:tcW w:w="5813" w:type="dxa"/>
          </w:tcPr>
          <w:p w:rsidR="002226B3" w:rsidRDefault="002226B3" w:rsidP="002226B3">
            <w:pPr>
              <w:pStyle w:val="Tabletext"/>
              <w:rPr>
                <w:rFonts w:eastAsia="Arial Unicode MS"/>
              </w:rPr>
            </w:pPr>
            <w:r>
              <w:t>Funciones de comportamiento de los sistemas de modulación digital en un entorno con interferencia</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SM.1265-1</w:t>
            </w:r>
          </w:p>
        </w:tc>
        <w:tc>
          <w:tcPr>
            <w:tcW w:w="5813" w:type="dxa"/>
          </w:tcPr>
          <w:p w:rsidR="002226B3" w:rsidRDefault="002226B3" w:rsidP="002226B3">
            <w:pPr>
              <w:pStyle w:val="Tabletext"/>
              <w:rPr>
                <w:rFonts w:eastAsia="Arial Unicode MS"/>
              </w:rPr>
            </w:pPr>
            <w:r>
              <w:t>Métodos nacionales de atribución alternativos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SM.1266</w:t>
            </w:r>
            <w:r>
              <w:rPr>
                <w:b/>
                <w:lang w:val="en-US"/>
              </w:rPr>
              <w:t>-0</w:t>
            </w:r>
          </w:p>
        </w:tc>
        <w:tc>
          <w:tcPr>
            <w:tcW w:w="5813" w:type="dxa"/>
          </w:tcPr>
          <w:p w:rsidR="002226B3" w:rsidRDefault="002226B3" w:rsidP="002226B3">
            <w:pPr>
              <w:pStyle w:val="Tabletext"/>
              <w:rPr>
                <w:rFonts w:eastAsia="Arial Unicode MS"/>
              </w:rPr>
            </w:pPr>
            <w:r>
              <w:t>Sistemas adaptables en las bandas de ondas hectométricas/decamétricas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SM.1268-</w:t>
            </w:r>
            <w:r>
              <w:rPr>
                <w:b/>
              </w:rPr>
              <w:t>3</w:t>
            </w:r>
          </w:p>
        </w:tc>
        <w:tc>
          <w:tcPr>
            <w:tcW w:w="5813" w:type="dxa"/>
          </w:tcPr>
          <w:p w:rsidR="002226B3" w:rsidRDefault="002226B3" w:rsidP="002226B3">
            <w:pPr>
              <w:pStyle w:val="Tabletext"/>
              <w:rPr>
                <w:rFonts w:eastAsia="Arial Unicode MS"/>
              </w:rPr>
            </w:pPr>
            <w:r>
              <w:t>Método de medición de la máxima desviación de frecuencia de las emisiones de radiodifusión a utilizar en las estaciones de comprobación técnica</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SM.1270</w:t>
            </w:r>
            <w:r>
              <w:rPr>
                <w:b/>
                <w:lang w:val="en-US"/>
              </w:rPr>
              <w:t>-0</w:t>
            </w:r>
          </w:p>
        </w:tc>
        <w:tc>
          <w:tcPr>
            <w:tcW w:w="5813" w:type="dxa"/>
          </w:tcPr>
          <w:p w:rsidR="002226B3" w:rsidRDefault="002226B3" w:rsidP="002226B3">
            <w:pPr>
              <w:pStyle w:val="Tabletext"/>
              <w:rPr>
                <w:rFonts w:eastAsia="Arial Unicode MS"/>
              </w:rPr>
            </w:pPr>
            <w:r>
              <w:t>Información adicional a efectos de la comprobación técnica relacionada con la clasificación y designación de emisiones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SM.1271</w:t>
            </w:r>
            <w:r>
              <w:rPr>
                <w:b/>
              </w:rPr>
              <w:t>-0</w:t>
            </w:r>
          </w:p>
        </w:tc>
        <w:tc>
          <w:tcPr>
            <w:tcW w:w="5813" w:type="dxa"/>
          </w:tcPr>
          <w:p w:rsidR="002226B3" w:rsidRDefault="002226B3" w:rsidP="002226B3">
            <w:pPr>
              <w:pStyle w:val="Tabletext"/>
              <w:rPr>
                <w:rFonts w:eastAsia="Arial Unicode MS"/>
              </w:rPr>
            </w:pPr>
            <w:r>
              <w:t>Utilización eficaz del espectro empleando métodos probabilísticos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SM.1370-</w:t>
            </w:r>
            <w:r>
              <w:rPr>
                <w:b/>
                <w:lang w:val="en-US"/>
              </w:rPr>
              <w:t>2</w:t>
            </w:r>
          </w:p>
        </w:tc>
        <w:tc>
          <w:tcPr>
            <w:tcW w:w="5813" w:type="dxa"/>
          </w:tcPr>
          <w:p w:rsidR="002226B3" w:rsidRDefault="002226B3" w:rsidP="002226B3">
            <w:pPr>
              <w:pStyle w:val="Tabletext"/>
              <w:rPr>
                <w:rFonts w:eastAsia="Arial Unicode MS"/>
              </w:rPr>
            </w:pPr>
            <w:r>
              <w:t>Directrices de diseño para la elaboración de sistemas de gestión automática del espectro</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rPr>
              <w:t>SM.1392-2</w:t>
            </w:r>
          </w:p>
        </w:tc>
        <w:tc>
          <w:tcPr>
            <w:tcW w:w="5813" w:type="dxa"/>
          </w:tcPr>
          <w:p w:rsidR="002226B3" w:rsidRDefault="002226B3" w:rsidP="002226B3">
            <w:pPr>
              <w:pStyle w:val="Tabletext"/>
            </w:pPr>
            <w:r>
              <w:t>Requisitos esenciales para un sistema de comprobación técnica del espectro para países en desarrollo</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SM.1393</w:t>
            </w:r>
            <w:r>
              <w:rPr>
                <w:b/>
              </w:rPr>
              <w:t>-0</w:t>
            </w:r>
          </w:p>
        </w:tc>
        <w:tc>
          <w:tcPr>
            <w:tcW w:w="5813" w:type="dxa"/>
          </w:tcPr>
          <w:p w:rsidR="002226B3" w:rsidRDefault="002226B3" w:rsidP="002226B3">
            <w:pPr>
              <w:pStyle w:val="Tabletext"/>
              <w:rPr>
                <w:rFonts w:eastAsia="Arial Unicode MS"/>
              </w:rPr>
            </w:pPr>
            <w:r>
              <w:t>Formatos comunes para el intercambio de información entre estaciones de comprobación técnica de las emisiones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SM.1394</w:t>
            </w:r>
            <w:r>
              <w:rPr>
                <w:b/>
              </w:rPr>
              <w:t>-0</w:t>
            </w:r>
          </w:p>
        </w:tc>
        <w:tc>
          <w:tcPr>
            <w:tcW w:w="5813" w:type="dxa"/>
          </w:tcPr>
          <w:p w:rsidR="002226B3" w:rsidRDefault="002226B3" w:rsidP="002226B3">
            <w:pPr>
              <w:pStyle w:val="Tabletext"/>
              <w:rPr>
                <w:rFonts w:eastAsia="Arial Unicode MS"/>
              </w:rPr>
            </w:pPr>
            <w:r>
              <w:t>Formato común para un Memorándum de Entendimiento entre los países que lo acuerden relativo a la cooperación en asuntos de comprobación técnica del espectro</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SM.1413-</w:t>
            </w:r>
            <w:r>
              <w:rPr>
                <w:b/>
                <w:lang w:val="en-US"/>
              </w:rPr>
              <w:t>3</w:t>
            </w:r>
          </w:p>
        </w:tc>
        <w:tc>
          <w:tcPr>
            <w:tcW w:w="5813" w:type="dxa"/>
          </w:tcPr>
          <w:p w:rsidR="002226B3" w:rsidRDefault="002226B3" w:rsidP="002226B3">
            <w:pPr>
              <w:pStyle w:val="Tabletext"/>
              <w:rPr>
                <w:rFonts w:eastAsia="Arial Unicode MS"/>
              </w:rPr>
            </w:pPr>
            <w:r>
              <w:t xml:space="preserve">Diccionario de datos de radiocomunicaciones </w:t>
            </w:r>
            <w:r>
              <w:rPr>
                <w:bCs/>
                <w:lang w:val="es-ES"/>
              </w:rPr>
              <w:t>para notificación y coordinación</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SM.1446</w:t>
            </w:r>
            <w:r>
              <w:rPr>
                <w:b/>
                <w:lang w:val="en-US"/>
              </w:rPr>
              <w:t>-0</w:t>
            </w:r>
          </w:p>
        </w:tc>
        <w:tc>
          <w:tcPr>
            <w:tcW w:w="5813" w:type="dxa"/>
          </w:tcPr>
          <w:p w:rsidR="002226B3" w:rsidRDefault="002226B3" w:rsidP="002226B3">
            <w:pPr>
              <w:pStyle w:val="Tabletext"/>
              <w:rPr>
                <w:rFonts w:eastAsia="Arial Unicode MS"/>
              </w:rPr>
            </w:pPr>
            <w:r>
              <w:t>Definición y medición de los productos de intermodulación en transmisores que utilizan técnicas de modulación de frecuencia, de fase o compleja</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SM.1447</w:t>
            </w:r>
            <w:r>
              <w:rPr>
                <w:b/>
              </w:rPr>
              <w:t>-0</w:t>
            </w:r>
          </w:p>
        </w:tc>
        <w:tc>
          <w:tcPr>
            <w:tcW w:w="5813" w:type="dxa"/>
          </w:tcPr>
          <w:p w:rsidR="002226B3" w:rsidRDefault="002226B3" w:rsidP="002226B3">
            <w:pPr>
              <w:pStyle w:val="Tabletext"/>
              <w:rPr>
                <w:rFonts w:eastAsia="Arial Unicode MS"/>
              </w:rPr>
            </w:pPr>
            <w:r>
              <w:t>Comprobación técnica de la cobertura radioeléctrica de las redes móviles terrestres para verificar su conformidad con una concesión de licencia</w:t>
            </w:r>
          </w:p>
        </w:tc>
        <w:tc>
          <w:tcPr>
            <w:tcW w:w="1350" w:type="dxa"/>
          </w:tcPr>
          <w:p w:rsidR="002226B3" w:rsidRDefault="002226B3" w:rsidP="002226B3">
            <w:pPr>
              <w:pStyle w:val="Tabletext"/>
              <w:jc w:val="center"/>
              <w:rPr>
                <w:lang w:val="en-US"/>
              </w:rPr>
            </w:pPr>
            <w:r>
              <w:rPr>
                <w:lang w:val="en-US"/>
              </w:rPr>
              <w:t>NOC</w:t>
            </w:r>
          </w:p>
        </w:tc>
        <w:tc>
          <w:tcPr>
            <w:tcW w:w="1598" w:type="dxa"/>
          </w:tcPr>
          <w:p w:rsidR="002226B3" w:rsidRDefault="002226B3" w:rsidP="002226B3">
            <w:pPr>
              <w:pStyle w:val="Tabletext"/>
              <w:jc w:val="center"/>
              <w:rPr>
                <w:lang w:val="en-US"/>
              </w:rPr>
            </w:pPr>
          </w:p>
        </w:tc>
      </w:tr>
      <w:tr w:rsidR="002226B3" w:rsidTr="004F18AE">
        <w:tc>
          <w:tcPr>
            <w:tcW w:w="1412" w:type="dxa"/>
          </w:tcPr>
          <w:p w:rsidR="002226B3" w:rsidRPr="00945E93" w:rsidRDefault="002226B3" w:rsidP="002226B3">
            <w:pPr>
              <w:pStyle w:val="Tabletext"/>
              <w:keepNext/>
              <w:jc w:val="center"/>
              <w:rPr>
                <w:b/>
                <w:lang w:val="en-US"/>
              </w:rPr>
            </w:pPr>
            <w:r w:rsidRPr="00945E93">
              <w:rPr>
                <w:b/>
                <w:lang w:val="en-US"/>
              </w:rPr>
              <w:t>SM.1448</w:t>
            </w:r>
            <w:r>
              <w:rPr>
                <w:b/>
                <w:lang w:val="en-US"/>
              </w:rPr>
              <w:t>-0</w:t>
            </w:r>
            <w:r w:rsidRPr="00945E93">
              <w:rPr>
                <w:b/>
                <w:lang w:val="en-US"/>
              </w:rPr>
              <w:br/>
              <w:t>+ Corr.1</w:t>
            </w:r>
          </w:p>
        </w:tc>
        <w:tc>
          <w:tcPr>
            <w:tcW w:w="5813" w:type="dxa"/>
          </w:tcPr>
          <w:p w:rsidR="002226B3" w:rsidRDefault="002226B3" w:rsidP="002226B3">
            <w:pPr>
              <w:pStyle w:val="Tabletext"/>
              <w:keepNext/>
              <w:rPr>
                <w:rFonts w:eastAsia="Arial Unicode MS"/>
              </w:rPr>
            </w:pPr>
            <w:r>
              <w:t>Determinación de la zona de coordinación alrededor de una estación terrena en las bandas de frecuencias entre 100 MHz y 105 GHz</w:t>
            </w:r>
          </w:p>
        </w:tc>
        <w:tc>
          <w:tcPr>
            <w:tcW w:w="1350" w:type="dxa"/>
          </w:tcPr>
          <w:p w:rsidR="002226B3" w:rsidRDefault="002226B3" w:rsidP="002226B3">
            <w:pPr>
              <w:pStyle w:val="Tabletext"/>
              <w:keepNext/>
              <w:jc w:val="center"/>
            </w:pPr>
            <w:r>
              <w:t>NOC</w:t>
            </w:r>
          </w:p>
        </w:tc>
        <w:tc>
          <w:tcPr>
            <w:tcW w:w="1598" w:type="dxa"/>
          </w:tcPr>
          <w:p w:rsidR="002226B3" w:rsidRDefault="002226B3" w:rsidP="002226B3">
            <w:pPr>
              <w:pStyle w:val="Tabletext"/>
              <w:keepN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SM.1535</w:t>
            </w:r>
            <w:r>
              <w:rPr>
                <w:b/>
                <w:lang w:val="en-US"/>
              </w:rPr>
              <w:t>-0</w:t>
            </w:r>
          </w:p>
        </w:tc>
        <w:tc>
          <w:tcPr>
            <w:tcW w:w="5813" w:type="dxa"/>
          </w:tcPr>
          <w:p w:rsidR="002226B3" w:rsidRDefault="002226B3" w:rsidP="002226B3">
            <w:pPr>
              <w:pStyle w:val="Tabletext"/>
              <w:rPr>
                <w:rFonts w:eastAsia="Arial Unicode MS"/>
              </w:rPr>
            </w:pPr>
            <w:r>
              <w:t>Protección de los servicios de seguridad de emisiones no deseadas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SM.1537</w:t>
            </w:r>
            <w:r>
              <w:rPr>
                <w:b/>
                <w:lang w:val="en-US"/>
              </w:rPr>
              <w:t>-1</w:t>
            </w:r>
          </w:p>
        </w:tc>
        <w:tc>
          <w:tcPr>
            <w:tcW w:w="5813" w:type="dxa"/>
          </w:tcPr>
          <w:p w:rsidR="002226B3" w:rsidRDefault="002226B3" w:rsidP="002226B3">
            <w:pPr>
              <w:pStyle w:val="Tabletext"/>
              <w:rPr>
                <w:rFonts w:eastAsia="Arial Unicode MS"/>
              </w:rPr>
            </w:pPr>
            <w:r>
              <w:t>Automatización e integración de los sistemas de comprobación técnica del espectro con la gestión automática del espectro</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lastRenderedPageBreak/>
              <w:t>SM.1539-1</w:t>
            </w:r>
          </w:p>
        </w:tc>
        <w:tc>
          <w:tcPr>
            <w:tcW w:w="5813" w:type="dxa"/>
          </w:tcPr>
          <w:p w:rsidR="002226B3" w:rsidRDefault="002226B3" w:rsidP="002226B3">
            <w:pPr>
              <w:pStyle w:val="Tabletext"/>
              <w:rPr>
                <w:rFonts w:eastAsia="Arial Unicode MS"/>
              </w:rPr>
            </w:pPr>
            <w:r>
              <w:t>Variación del límite entre los dominios de emisión fuera de banda y no esencial requerida para la aplicación de las Recomendaciones UIT-R SM.1541 y UIT-R SM.329</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w:t>
            </w:r>
            <w:r w:rsidRPr="00945E93">
              <w:rPr>
                <w:b/>
              </w:rPr>
              <w:t>1540</w:t>
            </w:r>
            <w:r>
              <w:rPr>
                <w:b/>
              </w:rPr>
              <w:t>-0</w:t>
            </w:r>
          </w:p>
        </w:tc>
        <w:tc>
          <w:tcPr>
            <w:tcW w:w="5813" w:type="dxa"/>
          </w:tcPr>
          <w:p w:rsidR="002226B3" w:rsidRDefault="002226B3" w:rsidP="002226B3">
            <w:pPr>
              <w:pStyle w:val="Tabletext"/>
              <w:rPr>
                <w:rFonts w:eastAsia="Arial Unicode MS"/>
              </w:rPr>
            </w:pPr>
            <w:r>
              <w:t>Emisiones no deseadas en el dominio de las emisiones fuera de banda que caen dentro de las bandas atribuidas adyacentes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SM.1541-</w:t>
            </w:r>
            <w:r>
              <w:rPr>
                <w:b/>
                <w:lang w:val="en-US"/>
              </w:rPr>
              <w:t>6</w:t>
            </w:r>
          </w:p>
        </w:tc>
        <w:tc>
          <w:tcPr>
            <w:tcW w:w="5813" w:type="dxa"/>
          </w:tcPr>
          <w:p w:rsidR="002226B3" w:rsidRDefault="002226B3" w:rsidP="002226B3">
            <w:pPr>
              <w:pStyle w:val="Tabletext"/>
              <w:rPr>
                <w:rFonts w:eastAsia="Arial Unicode MS"/>
              </w:rPr>
            </w:pPr>
            <w:r>
              <w:t>Emisiones no deseadas en el dominio fuera de banda</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lang w:val="en-US"/>
              </w:rPr>
              <w:t>SM.1542</w:t>
            </w:r>
            <w:r>
              <w:rPr>
                <w:b/>
                <w:lang w:val="en-US"/>
              </w:rPr>
              <w:t>-0</w:t>
            </w:r>
          </w:p>
        </w:tc>
        <w:tc>
          <w:tcPr>
            <w:tcW w:w="5813" w:type="dxa"/>
          </w:tcPr>
          <w:p w:rsidR="002226B3" w:rsidRDefault="002226B3" w:rsidP="002226B3">
            <w:pPr>
              <w:pStyle w:val="Tabletext"/>
              <w:rPr>
                <w:rFonts w:eastAsia="Arial Unicode MS"/>
              </w:rPr>
            </w:pPr>
            <w:r>
              <w:t>Protección de los servicios pasivos contra las emisiones no deseadas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rPr>
              <w:t>SM.1598</w:t>
            </w:r>
            <w:r>
              <w:rPr>
                <w:b/>
              </w:rPr>
              <w:t>-0</w:t>
            </w:r>
          </w:p>
        </w:tc>
        <w:tc>
          <w:tcPr>
            <w:tcW w:w="5813" w:type="dxa"/>
          </w:tcPr>
          <w:p w:rsidR="002226B3" w:rsidRDefault="002226B3" w:rsidP="002226B3">
            <w:pPr>
              <w:pStyle w:val="Tabletext"/>
              <w:rPr>
                <w:rFonts w:eastAsia="Arial Unicode MS"/>
              </w:rPr>
            </w:pPr>
            <w:r>
              <w:t xml:space="preserve">Métodos de radiogoniometría y localización de señales de </w:t>
            </w:r>
            <w:r>
              <w:rPr>
                <w:szCs w:val="15"/>
              </w:rPr>
              <w:t>acceso múltiple por división en tiempo y acceso múltiple por división de código</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lang w:val="en-US"/>
              </w:rPr>
            </w:pPr>
            <w:r w:rsidRPr="00945E93">
              <w:rPr>
                <w:b/>
              </w:rPr>
              <w:t>SM.1599-1</w:t>
            </w:r>
          </w:p>
        </w:tc>
        <w:tc>
          <w:tcPr>
            <w:tcW w:w="5813" w:type="dxa"/>
          </w:tcPr>
          <w:p w:rsidR="002226B3" w:rsidRDefault="002226B3" w:rsidP="002226B3">
            <w:pPr>
              <w:pStyle w:val="Tabletext"/>
              <w:rPr>
                <w:rFonts w:eastAsia="Arial Unicode MS"/>
              </w:rPr>
            </w:pPr>
            <w:r>
              <w:t>Determinación de la distribución geográfica y de frecuencias del factor de utilización del espectro a efectos de planificación de frecuencias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SM.1600</w:t>
            </w:r>
            <w:r>
              <w:rPr>
                <w:b/>
              </w:rPr>
              <w:t>-2</w:t>
            </w:r>
          </w:p>
        </w:tc>
        <w:tc>
          <w:tcPr>
            <w:tcW w:w="5813" w:type="dxa"/>
          </w:tcPr>
          <w:p w:rsidR="002226B3" w:rsidRDefault="002226B3" w:rsidP="002226B3">
            <w:pPr>
              <w:pStyle w:val="Tabletext"/>
              <w:rPr>
                <w:rFonts w:eastAsia="Arial Unicode MS"/>
              </w:rPr>
            </w:pPr>
            <w:r>
              <w:t>Identificación técnica de las señales digitales</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b/>
              </w:rPr>
              <w:t>SM.1603</w:t>
            </w:r>
            <w:r>
              <w:rPr>
                <w:b/>
              </w:rPr>
              <w:t>-2</w:t>
            </w:r>
          </w:p>
        </w:tc>
        <w:tc>
          <w:tcPr>
            <w:tcW w:w="5813" w:type="dxa"/>
          </w:tcPr>
          <w:p w:rsidR="002226B3" w:rsidRDefault="002226B3" w:rsidP="002226B3">
            <w:pPr>
              <w:pStyle w:val="Tabletext"/>
              <w:rPr>
                <w:rFonts w:eastAsia="Arial Unicode MS"/>
              </w:rPr>
            </w:pPr>
            <w:r>
              <w:t>Reorganización del espectro como método de gestión nacional del espectro</w:t>
            </w:r>
          </w:p>
        </w:tc>
        <w:tc>
          <w:tcPr>
            <w:tcW w:w="1350" w:type="dxa"/>
          </w:tcPr>
          <w:p w:rsidR="002226B3" w:rsidRDefault="002226B3" w:rsidP="002226B3">
            <w:pPr>
              <w:pStyle w:val="Tabletext"/>
              <w:jc w:val="center"/>
            </w:pPr>
            <w:r>
              <w:t>NOC</w:t>
            </w:r>
          </w:p>
        </w:tc>
        <w:tc>
          <w:tcPr>
            <w:tcW w:w="1598" w:type="dxa"/>
          </w:tcPr>
          <w:p w:rsidR="002226B3" w:rsidRDefault="002226B3" w:rsidP="002226B3">
            <w:pPr>
              <w:pStyle w:val="Tabletext"/>
              <w:jc w:val="center"/>
            </w:pPr>
          </w:p>
        </w:tc>
      </w:tr>
      <w:tr w:rsidR="002226B3" w:rsidTr="004F18AE">
        <w:tc>
          <w:tcPr>
            <w:tcW w:w="1412" w:type="dxa"/>
            <w:tcBorders>
              <w:bottom w:val="single" w:sz="4" w:space="0" w:color="auto"/>
            </w:tcBorders>
          </w:tcPr>
          <w:p w:rsidR="002226B3" w:rsidRPr="00945E93" w:rsidRDefault="002226B3" w:rsidP="002226B3">
            <w:pPr>
              <w:pStyle w:val="Tabletext"/>
              <w:jc w:val="center"/>
              <w:rPr>
                <w:b/>
              </w:rPr>
            </w:pPr>
            <w:r w:rsidRPr="00945E93">
              <w:rPr>
                <w:b/>
              </w:rPr>
              <w:t>SM.1604</w:t>
            </w:r>
            <w:r>
              <w:rPr>
                <w:b/>
              </w:rPr>
              <w:t>-0</w:t>
            </w:r>
          </w:p>
        </w:tc>
        <w:tc>
          <w:tcPr>
            <w:tcW w:w="5813" w:type="dxa"/>
            <w:tcBorders>
              <w:bottom w:val="single" w:sz="4" w:space="0" w:color="auto"/>
            </w:tcBorders>
          </w:tcPr>
          <w:p w:rsidR="002226B3" w:rsidRDefault="002226B3" w:rsidP="002226B3">
            <w:pPr>
              <w:pStyle w:val="Tabletext"/>
              <w:rPr>
                <w:rFonts w:eastAsia="Arial Unicode MS"/>
              </w:rPr>
            </w:pPr>
            <w:r>
              <w:t>Directrices para un sistema perfeccionado de gestión del espectro destinado a los países en desarrollo</w:t>
            </w:r>
          </w:p>
        </w:tc>
        <w:tc>
          <w:tcPr>
            <w:tcW w:w="1350" w:type="dxa"/>
            <w:tcBorders>
              <w:bottom w:val="single" w:sz="4" w:space="0" w:color="auto"/>
            </w:tcBorders>
          </w:tcPr>
          <w:p w:rsidR="002226B3" w:rsidRDefault="002226B3" w:rsidP="002226B3">
            <w:pPr>
              <w:pStyle w:val="Tabletext"/>
              <w:jc w:val="center"/>
            </w:pPr>
            <w:r>
              <w:t>NOC</w:t>
            </w:r>
          </w:p>
        </w:tc>
        <w:tc>
          <w:tcPr>
            <w:tcW w:w="1598" w:type="dxa"/>
            <w:tcBorders>
              <w:bottom w:val="single" w:sz="4" w:space="0" w:color="auto"/>
            </w:tcBorders>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b/>
              </w:rPr>
            </w:pPr>
            <w:r w:rsidRPr="00945E93">
              <w:rPr>
                <w:rFonts w:eastAsia="MS Mincho"/>
                <w:b/>
              </w:rPr>
              <w:t>SM.1633</w:t>
            </w:r>
            <w:r>
              <w:rPr>
                <w:rFonts w:eastAsia="MS Mincho"/>
                <w:b/>
              </w:rPr>
              <w:t>-0</w:t>
            </w:r>
          </w:p>
        </w:tc>
        <w:tc>
          <w:tcPr>
            <w:tcW w:w="5813" w:type="dxa"/>
          </w:tcPr>
          <w:p w:rsidR="002226B3" w:rsidRDefault="002226B3" w:rsidP="002226B3">
            <w:pPr>
              <w:pStyle w:val="Tabletext"/>
            </w:pPr>
            <w:r>
              <w:rPr>
                <w:lang w:val="es-ES"/>
              </w:rPr>
              <w:t>Análisis de compatibilidad entre un servicio pasivo y un servicio activo atribuidos en bandas adyacentes y cercanas</w:t>
            </w:r>
          </w:p>
        </w:tc>
        <w:tc>
          <w:tcPr>
            <w:tcW w:w="1350" w:type="dxa"/>
          </w:tcPr>
          <w:p w:rsidR="002226B3" w:rsidRDefault="002226B3" w:rsidP="002226B3">
            <w:pPr>
              <w:pStyle w:val="Tabletext"/>
              <w:jc w:val="center"/>
              <w:rPr>
                <w:szCs w:val="22"/>
              </w:rPr>
            </w:pPr>
            <w:r>
              <w:rPr>
                <w:szCs w:val="22"/>
              </w:rP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rFonts w:eastAsia="MS Mincho"/>
                <w:b/>
              </w:rPr>
            </w:pPr>
            <w:r w:rsidRPr="00945E93">
              <w:rPr>
                <w:rFonts w:eastAsia="MS Mincho"/>
                <w:b/>
              </w:rPr>
              <w:t>SM.1681</w:t>
            </w:r>
            <w:r>
              <w:rPr>
                <w:rFonts w:eastAsia="MS Mincho"/>
                <w:b/>
              </w:rPr>
              <w:t>-0</w:t>
            </w:r>
          </w:p>
        </w:tc>
        <w:tc>
          <w:tcPr>
            <w:tcW w:w="5813" w:type="dxa"/>
          </w:tcPr>
          <w:p w:rsidR="002226B3" w:rsidRDefault="002226B3" w:rsidP="002226B3">
            <w:pPr>
              <w:pStyle w:val="Tabletext"/>
            </w:pPr>
            <w:r>
              <w:rPr>
                <w:lang w:val="es-ES"/>
              </w:rPr>
              <w:t>Medición de emisiones de bajo nivel procedentes de estaciones espaciales en las estaciones terrenas de comprobación técnica utilizando técnicas de reducción del ruido</w:t>
            </w:r>
          </w:p>
        </w:tc>
        <w:tc>
          <w:tcPr>
            <w:tcW w:w="1350" w:type="dxa"/>
          </w:tcPr>
          <w:p w:rsidR="002226B3" w:rsidRDefault="002226B3" w:rsidP="002226B3">
            <w:pPr>
              <w:pStyle w:val="Tabletext"/>
              <w:jc w:val="center"/>
              <w:rPr>
                <w:szCs w:val="22"/>
              </w:rPr>
            </w:pPr>
            <w:r>
              <w:rPr>
                <w:szCs w:val="22"/>
              </w:rP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rFonts w:eastAsia="MS Mincho"/>
                <w:b/>
              </w:rPr>
            </w:pPr>
            <w:r w:rsidRPr="00945E93">
              <w:rPr>
                <w:rFonts w:eastAsia="MS Mincho"/>
                <w:b/>
              </w:rPr>
              <w:t>SM.1682-1</w:t>
            </w:r>
          </w:p>
        </w:tc>
        <w:tc>
          <w:tcPr>
            <w:tcW w:w="5813" w:type="dxa"/>
          </w:tcPr>
          <w:p w:rsidR="002226B3" w:rsidRDefault="002226B3" w:rsidP="002226B3">
            <w:pPr>
              <w:pStyle w:val="Tabletext"/>
              <w:rPr>
                <w:szCs w:val="22"/>
                <w:lang w:eastAsia="fr-FR"/>
              </w:rPr>
            </w:pPr>
            <w:r>
              <w:rPr>
                <w:lang w:val="es-ES"/>
              </w:rPr>
              <w:t>Métodos para efectuar mediciones en señales de radiodifusión digital</w:t>
            </w:r>
          </w:p>
        </w:tc>
        <w:tc>
          <w:tcPr>
            <w:tcW w:w="1350" w:type="dxa"/>
          </w:tcPr>
          <w:p w:rsidR="002226B3" w:rsidRDefault="002226B3" w:rsidP="002226B3">
            <w:pPr>
              <w:pStyle w:val="Tabletext"/>
              <w:jc w:val="center"/>
              <w:rPr>
                <w:szCs w:val="22"/>
              </w:rPr>
            </w:pPr>
            <w:r>
              <w:rPr>
                <w:szCs w:val="22"/>
              </w:rP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rFonts w:eastAsia="MS Mincho"/>
                <w:b/>
              </w:rPr>
            </w:pPr>
            <w:r w:rsidRPr="00945E93">
              <w:rPr>
                <w:rFonts w:eastAsia="MS Mincho"/>
                <w:b/>
              </w:rPr>
              <w:t>SM.1708-1</w:t>
            </w:r>
          </w:p>
        </w:tc>
        <w:tc>
          <w:tcPr>
            <w:tcW w:w="5813" w:type="dxa"/>
          </w:tcPr>
          <w:p w:rsidR="002226B3" w:rsidRDefault="002226B3" w:rsidP="002226B3">
            <w:pPr>
              <w:pStyle w:val="Tabletext"/>
              <w:rPr>
                <w:szCs w:val="22"/>
                <w:lang w:eastAsia="fr-FR"/>
              </w:rPr>
            </w:pPr>
            <w:r>
              <w:t>Mediciones de intensidad de campo a lo largo de una ruta con registros de las coordenadas geográficas</w:t>
            </w:r>
          </w:p>
        </w:tc>
        <w:tc>
          <w:tcPr>
            <w:tcW w:w="1350" w:type="dxa"/>
          </w:tcPr>
          <w:p w:rsidR="002226B3" w:rsidRDefault="002226B3" w:rsidP="002226B3">
            <w:pPr>
              <w:pStyle w:val="Tabletext"/>
              <w:jc w:val="center"/>
              <w:rPr>
                <w:szCs w:val="22"/>
              </w:rPr>
            </w:pPr>
            <w:r>
              <w:rPr>
                <w:szCs w:val="22"/>
              </w:rP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rFonts w:eastAsia="MS Mincho"/>
                <w:b/>
              </w:rPr>
            </w:pPr>
            <w:r w:rsidRPr="00945E93">
              <w:rPr>
                <w:rFonts w:eastAsia="MS Mincho"/>
                <w:b/>
              </w:rPr>
              <w:t>SM.1723-2</w:t>
            </w:r>
          </w:p>
        </w:tc>
        <w:tc>
          <w:tcPr>
            <w:tcW w:w="5813" w:type="dxa"/>
          </w:tcPr>
          <w:p w:rsidR="002226B3" w:rsidRDefault="002226B3" w:rsidP="002226B3">
            <w:pPr>
              <w:pStyle w:val="Tabletext"/>
            </w:pPr>
            <w:r>
              <w:rPr>
                <w:lang w:val="es-ES"/>
              </w:rPr>
              <w:t>Unidad móvil de comprobación técnica del espectro</w:t>
            </w:r>
          </w:p>
        </w:tc>
        <w:tc>
          <w:tcPr>
            <w:tcW w:w="1350" w:type="dxa"/>
          </w:tcPr>
          <w:p w:rsidR="002226B3" w:rsidRDefault="002226B3" w:rsidP="002226B3">
            <w:pPr>
              <w:pStyle w:val="Tabletext"/>
              <w:jc w:val="center"/>
              <w:rPr>
                <w:szCs w:val="22"/>
              </w:rPr>
            </w:pPr>
            <w:r>
              <w:rPr>
                <w:szCs w:val="22"/>
              </w:rP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rFonts w:eastAsia="MS Mincho"/>
                <w:b/>
              </w:rPr>
            </w:pPr>
            <w:r w:rsidRPr="00945E93">
              <w:rPr>
                <w:rFonts w:eastAsia="MS Mincho"/>
                <w:b/>
              </w:rPr>
              <w:t>SM.1751</w:t>
            </w:r>
            <w:r>
              <w:rPr>
                <w:rFonts w:eastAsia="MS Mincho"/>
                <w:b/>
              </w:rPr>
              <w:t>-0</w:t>
            </w:r>
          </w:p>
        </w:tc>
        <w:tc>
          <w:tcPr>
            <w:tcW w:w="5813" w:type="dxa"/>
          </w:tcPr>
          <w:p w:rsidR="002226B3" w:rsidRDefault="002226B3" w:rsidP="002226B3">
            <w:pPr>
              <w:pStyle w:val="Tabletext"/>
            </w:pPr>
            <w:r>
              <w:t>Metodología adicional para evaluar el efecto de la interferencia entre redes de radiocomunicaciones que funcionan en una banda de frecuencias compartida</w:t>
            </w:r>
          </w:p>
        </w:tc>
        <w:tc>
          <w:tcPr>
            <w:tcW w:w="1350" w:type="dxa"/>
          </w:tcPr>
          <w:p w:rsidR="002226B3" w:rsidRDefault="002226B3" w:rsidP="002226B3">
            <w:pPr>
              <w:pStyle w:val="Tabletext"/>
              <w:jc w:val="center"/>
              <w:rPr>
                <w:szCs w:val="22"/>
              </w:rPr>
            </w:pPr>
            <w:r>
              <w:rPr>
                <w:szCs w:val="22"/>
              </w:rP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rFonts w:eastAsia="MS Mincho"/>
                <w:b/>
              </w:rPr>
            </w:pPr>
            <w:r w:rsidRPr="00945E93">
              <w:rPr>
                <w:rFonts w:eastAsia="MS Mincho"/>
                <w:b/>
              </w:rPr>
              <w:t>SM.1753-</w:t>
            </w:r>
            <w:r>
              <w:rPr>
                <w:rFonts w:eastAsia="MS Mincho"/>
                <w:b/>
              </w:rPr>
              <w:t>2</w:t>
            </w:r>
          </w:p>
        </w:tc>
        <w:tc>
          <w:tcPr>
            <w:tcW w:w="5813" w:type="dxa"/>
          </w:tcPr>
          <w:p w:rsidR="002226B3" w:rsidRDefault="002226B3" w:rsidP="002226B3">
            <w:pPr>
              <w:pStyle w:val="Tabletext"/>
            </w:pPr>
            <w:r>
              <w:t>Métodos para medir el ruido radioeléctrico</w:t>
            </w:r>
          </w:p>
        </w:tc>
        <w:tc>
          <w:tcPr>
            <w:tcW w:w="1350" w:type="dxa"/>
          </w:tcPr>
          <w:p w:rsidR="002226B3" w:rsidRDefault="002226B3" w:rsidP="002226B3">
            <w:pPr>
              <w:pStyle w:val="Tabletext"/>
              <w:jc w:val="center"/>
              <w:rPr>
                <w:szCs w:val="22"/>
              </w:rPr>
            </w:pPr>
            <w:r>
              <w:rPr>
                <w:szCs w:val="22"/>
              </w:rP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rFonts w:eastAsia="MS Mincho"/>
                <w:b/>
              </w:rPr>
            </w:pPr>
            <w:r w:rsidRPr="00945E93">
              <w:rPr>
                <w:rFonts w:eastAsia="MS Mincho"/>
                <w:b/>
              </w:rPr>
              <w:t>SM.1754</w:t>
            </w:r>
            <w:r>
              <w:rPr>
                <w:rFonts w:eastAsia="MS Mincho"/>
                <w:b/>
              </w:rPr>
              <w:t>-0</w:t>
            </w:r>
          </w:p>
        </w:tc>
        <w:tc>
          <w:tcPr>
            <w:tcW w:w="5813" w:type="dxa"/>
          </w:tcPr>
          <w:p w:rsidR="002226B3" w:rsidRDefault="002226B3" w:rsidP="002226B3">
            <w:pPr>
              <w:pStyle w:val="Tabletext"/>
            </w:pPr>
            <w:r>
              <w:t xml:space="preserve">Técnicas de medición de las transmisiones de banda </w:t>
            </w:r>
            <w:proofErr w:type="spellStart"/>
            <w:r>
              <w:t>ultraancha</w:t>
            </w:r>
            <w:proofErr w:type="spellEnd"/>
          </w:p>
        </w:tc>
        <w:tc>
          <w:tcPr>
            <w:tcW w:w="1350" w:type="dxa"/>
          </w:tcPr>
          <w:p w:rsidR="002226B3" w:rsidRDefault="002226B3" w:rsidP="002226B3">
            <w:pPr>
              <w:pStyle w:val="Tabletext"/>
              <w:jc w:val="center"/>
              <w:rPr>
                <w:szCs w:val="22"/>
              </w:rPr>
            </w:pPr>
            <w:r>
              <w:rPr>
                <w:szCs w:val="22"/>
              </w:rPr>
              <w:t>NOC</w:t>
            </w:r>
          </w:p>
        </w:tc>
        <w:tc>
          <w:tcPr>
            <w:tcW w:w="1598" w:type="dxa"/>
          </w:tcPr>
          <w:p w:rsidR="002226B3" w:rsidRDefault="002226B3" w:rsidP="002226B3">
            <w:pPr>
              <w:pStyle w:val="Tabletext"/>
              <w:jc w:val="center"/>
            </w:pPr>
          </w:p>
        </w:tc>
      </w:tr>
      <w:tr w:rsidR="002226B3" w:rsidTr="004F18AE">
        <w:tc>
          <w:tcPr>
            <w:tcW w:w="1412" w:type="dxa"/>
          </w:tcPr>
          <w:p w:rsidR="002226B3" w:rsidRPr="00945E93" w:rsidRDefault="002226B3" w:rsidP="002226B3">
            <w:pPr>
              <w:pStyle w:val="Tabletext"/>
              <w:jc w:val="center"/>
              <w:rPr>
                <w:rFonts w:eastAsia="MS Mincho"/>
                <w:b/>
              </w:rPr>
            </w:pPr>
            <w:r w:rsidRPr="00945E93">
              <w:rPr>
                <w:rFonts w:eastAsia="MS Mincho"/>
                <w:b/>
              </w:rPr>
              <w:t>SM.1755</w:t>
            </w:r>
            <w:r>
              <w:rPr>
                <w:rFonts w:eastAsia="MS Mincho"/>
                <w:b/>
              </w:rPr>
              <w:t>-0</w:t>
            </w:r>
          </w:p>
        </w:tc>
        <w:tc>
          <w:tcPr>
            <w:tcW w:w="5813" w:type="dxa"/>
          </w:tcPr>
          <w:p w:rsidR="002226B3" w:rsidRDefault="002226B3" w:rsidP="002226B3">
            <w:pPr>
              <w:pStyle w:val="Tabletext"/>
            </w:pPr>
            <w:r>
              <w:t xml:space="preserve">Características de la tecnología de </w:t>
            </w:r>
            <w:proofErr w:type="spellStart"/>
            <w:r>
              <w:t>ultrabanda</w:t>
            </w:r>
            <w:proofErr w:type="spellEnd"/>
            <w:r>
              <w:t xml:space="preserve"> ancha</w:t>
            </w:r>
          </w:p>
        </w:tc>
        <w:tc>
          <w:tcPr>
            <w:tcW w:w="1350" w:type="dxa"/>
          </w:tcPr>
          <w:p w:rsidR="002226B3" w:rsidRDefault="002226B3" w:rsidP="002226B3">
            <w:pPr>
              <w:pStyle w:val="Tabletext"/>
              <w:jc w:val="center"/>
              <w:rPr>
                <w:szCs w:val="22"/>
                <w:lang w:val="en-US"/>
              </w:rPr>
            </w:pPr>
            <w:r>
              <w:rPr>
                <w:szCs w:val="22"/>
                <w:lang w:val="en-US"/>
              </w:rPr>
              <w:t>NOC</w:t>
            </w:r>
          </w:p>
        </w:tc>
        <w:tc>
          <w:tcPr>
            <w:tcW w:w="1598" w:type="dxa"/>
          </w:tcPr>
          <w:p w:rsidR="002226B3" w:rsidRDefault="002226B3" w:rsidP="002226B3">
            <w:pPr>
              <w:pStyle w:val="Tabletext"/>
              <w:jc w:val="center"/>
              <w:rPr>
                <w:lang w:val="en-US"/>
              </w:rPr>
            </w:pPr>
          </w:p>
        </w:tc>
      </w:tr>
      <w:tr w:rsidR="002226B3" w:rsidTr="004F18AE">
        <w:tc>
          <w:tcPr>
            <w:tcW w:w="1412" w:type="dxa"/>
          </w:tcPr>
          <w:p w:rsidR="002226B3" w:rsidRPr="00945E93" w:rsidRDefault="002226B3" w:rsidP="002226B3">
            <w:pPr>
              <w:pStyle w:val="Tabletext"/>
              <w:jc w:val="center"/>
              <w:rPr>
                <w:rFonts w:eastAsia="MS Mincho"/>
                <w:b/>
              </w:rPr>
            </w:pPr>
            <w:r w:rsidRPr="00945E93">
              <w:rPr>
                <w:rFonts w:eastAsia="MS Mincho"/>
                <w:b/>
              </w:rPr>
              <w:t>SM.1756</w:t>
            </w:r>
            <w:r>
              <w:rPr>
                <w:rFonts w:eastAsia="MS Mincho"/>
                <w:b/>
              </w:rPr>
              <w:t>-0</w:t>
            </w:r>
          </w:p>
        </w:tc>
        <w:tc>
          <w:tcPr>
            <w:tcW w:w="5813" w:type="dxa"/>
          </w:tcPr>
          <w:p w:rsidR="002226B3" w:rsidRDefault="002226B3" w:rsidP="002226B3">
            <w:pPr>
              <w:pStyle w:val="Tabletext"/>
              <w:rPr>
                <w:lang w:val="es-ES"/>
              </w:rPr>
            </w:pPr>
            <w:r>
              <w:rPr>
                <w:lang w:val="es-ES"/>
              </w:rPr>
              <w:t xml:space="preserve">Marco para la introducción de dispositivos que utilizan </w:t>
            </w:r>
            <w:r>
              <w:t xml:space="preserve">la tecnología de </w:t>
            </w:r>
            <w:proofErr w:type="spellStart"/>
            <w:r>
              <w:t>ultrabanda</w:t>
            </w:r>
            <w:proofErr w:type="spellEnd"/>
            <w:r>
              <w:t xml:space="preserve"> ancha</w:t>
            </w:r>
          </w:p>
        </w:tc>
        <w:tc>
          <w:tcPr>
            <w:tcW w:w="1350" w:type="dxa"/>
          </w:tcPr>
          <w:p w:rsidR="002226B3" w:rsidRDefault="002226B3" w:rsidP="002226B3">
            <w:pPr>
              <w:pStyle w:val="Tabletext"/>
              <w:jc w:val="center"/>
              <w:rPr>
                <w:szCs w:val="22"/>
                <w:lang w:val="en-US"/>
              </w:rPr>
            </w:pPr>
            <w:r>
              <w:rPr>
                <w:szCs w:val="22"/>
                <w:lang w:val="en-US"/>
              </w:rPr>
              <w:t>NOC</w:t>
            </w:r>
          </w:p>
        </w:tc>
        <w:tc>
          <w:tcPr>
            <w:tcW w:w="1598" w:type="dxa"/>
          </w:tcPr>
          <w:p w:rsidR="002226B3" w:rsidRDefault="002226B3" w:rsidP="002226B3">
            <w:pPr>
              <w:pStyle w:val="Tabletext"/>
              <w:jc w:val="center"/>
              <w:rPr>
                <w:lang w:val="en-US"/>
              </w:rPr>
            </w:pPr>
          </w:p>
        </w:tc>
      </w:tr>
      <w:tr w:rsidR="002226B3" w:rsidTr="004F18AE">
        <w:tc>
          <w:tcPr>
            <w:tcW w:w="1412" w:type="dxa"/>
          </w:tcPr>
          <w:p w:rsidR="002226B3" w:rsidRPr="00945E93" w:rsidRDefault="002226B3" w:rsidP="002226B3">
            <w:pPr>
              <w:pStyle w:val="Tabletext"/>
              <w:jc w:val="center"/>
              <w:rPr>
                <w:rFonts w:eastAsia="MS Mincho"/>
                <w:b/>
              </w:rPr>
            </w:pPr>
            <w:r w:rsidRPr="00945E93">
              <w:rPr>
                <w:rFonts w:eastAsia="MS Mincho"/>
                <w:b/>
              </w:rPr>
              <w:t>SM.1757</w:t>
            </w:r>
            <w:r>
              <w:rPr>
                <w:rFonts w:eastAsia="MS Mincho"/>
                <w:b/>
              </w:rPr>
              <w:t>-0</w:t>
            </w:r>
          </w:p>
        </w:tc>
        <w:tc>
          <w:tcPr>
            <w:tcW w:w="5813" w:type="dxa"/>
          </w:tcPr>
          <w:p w:rsidR="002226B3" w:rsidRDefault="002226B3" w:rsidP="002226B3">
            <w:pPr>
              <w:pStyle w:val="Tabletext"/>
              <w:keepNext/>
            </w:pPr>
            <w:r>
              <w:rPr>
                <w:lang w:val="es-ES"/>
              </w:rPr>
              <w:t xml:space="preserve">Efectos de los aparatos que utilizan la tecnología de banda </w:t>
            </w:r>
            <w:proofErr w:type="spellStart"/>
            <w:r>
              <w:rPr>
                <w:lang w:val="es-ES"/>
              </w:rPr>
              <w:t>ultraancha</w:t>
            </w:r>
            <w:proofErr w:type="spellEnd"/>
            <w:r>
              <w:rPr>
                <w:lang w:val="es-ES"/>
              </w:rPr>
              <w:t xml:space="preserve"> en los sistemas de servicios de telecomunicaciones</w:t>
            </w:r>
          </w:p>
        </w:tc>
        <w:tc>
          <w:tcPr>
            <w:tcW w:w="1350" w:type="dxa"/>
          </w:tcPr>
          <w:p w:rsidR="002226B3" w:rsidRDefault="002226B3" w:rsidP="002226B3">
            <w:pPr>
              <w:pStyle w:val="Tabletext"/>
              <w:keepNext/>
              <w:jc w:val="center"/>
              <w:rPr>
                <w:szCs w:val="22"/>
                <w:lang w:val="en-US"/>
              </w:rPr>
            </w:pPr>
            <w:r>
              <w:rPr>
                <w:szCs w:val="22"/>
                <w:lang w:val="en-US"/>
              </w:rPr>
              <w:t>NOC</w:t>
            </w:r>
          </w:p>
        </w:tc>
        <w:tc>
          <w:tcPr>
            <w:tcW w:w="1598" w:type="dxa"/>
          </w:tcPr>
          <w:p w:rsidR="002226B3" w:rsidRDefault="002226B3" w:rsidP="002226B3">
            <w:pPr>
              <w:pStyle w:val="Tabletext"/>
              <w:keepNext/>
              <w:jc w:val="center"/>
              <w:rPr>
                <w:lang w:val="en-US"/>
              </w:rPr>
            </w:pPr>
          </w:p>
        </w:tc>
      </w:tr>
      <w:tr w:rsidR="002226B3" w:rsidTr="004F18AE">
        <w:tc>
          <w:tcPr>
            <w:tcW w:w="1412" w:type="dxa"/>
          </w:tcPr>
          <w:p w:rsidR="002226B3" w:rsidRPr="00945E93" w:rsidRDefault="002226B3" w:rsidP="002226B3">
            <w:pPr>
              <w:pStyle w:val="Tabletext"/>
              <w:jc w:val="center"/>
              <w:rPr>
                <w:rFonts w:eastAsia="MS Mincho"/>
                <w:b/>
              </w:rPr>
            </w:pPr>
            <w:r w:rsidRPr="00945E93">
              <w:rPr>
                <w:rFonts w:eastAsia="MS Mincho"/>
                <w:b/>
              </w:rPr>
              <w:t>SM.1792</w:t>
            </w:r>
            <w:r>
              <w:rPr>
                <w:rFonts w:eastAsia="MS Mincho"/>
                <w:b/>
              </w:rPr>
              <w:t>-0</w:t>
            </w:r>
          </w:p>
        </w:tc>
        <w:tc>
          <w:tcPr>
            <w:tcW w:w="5813" w:type="dxa"/>
          </w:tcPr>
          <w:p w:rsidR="002226B3" w:rsidRDefault="002226B3" w:rsidP="002226B3">
            <w:pPr>
              <w:pStyle w:val="Tabletext"/>
              <w:keepNext/>
              <w:rPr>
                <w:lang w:val="es-ES"/>
              </w:rPr>
            </w:pPr>
            <w:r>
              <w:rPr>
                <w:lang w:val="es-ES"/>
              </w:rPr>
              <w:t>Medición de emisiones en banda lateral de los transmisores de radiodifusión de vídeo digital terrenal y de radiodifusión de audio digital terrenal para fines de comprobación</w:t>
            </w:r>
          </w:p>
        </w:tc>
        <w:tc>
          <w:tcPr>
            <w:tcW w:w="1350" w:type="dxa"/>
          </w:tcPr>
          <w:p w:rsidR="002226B3" w:rsidRDefault="002226B3" w:rsidP="002226B3">
            <w:pPr>
              <w:pStyle w:val="Tabletext"/>
              <w:keepNext/>
              <w:jc w:val="center"/>
              <w:rPr>
                <w:szCs w:val="22"/>
                <w:lang w:val="en-US"/>
              </w:rPr>
            </w:pPr>
            <w:r>
              <w:rPr>
                <w:szCs w:val="22"/>
                <w:lang w:val="en-US"/>
              </w:rPr>
              <w:t>NOC</w:t>
            </w:r>
          </w:p>
        </w:tc>
        <w:tc>
          <w:tcPr>
            <w:tcW w:w="1598" w:type="dxa"/>
          </w:tcPr>
          <w:p w:rsidR="002226B3" w:rsidRDefault="002226B3" w:rsidP="002226B3">
            <w:pPr>
              <w:pStyle w:val="Tabletext"/>
              <w:keepNext/>
              <w:jc w:val="center"/>
              <w:rPr>
                <w:lang w:val="en-US"/>
              </w:rPr>
            </w:pPr>
          </w:p>
        </w:tc>
      </w:tr>
      <w:tr w:rsidR="002226B3" w:rsidTr="004F18AE">
        <w:tc>
          <w:tcPr>
            <w:tcW w:w="1412" w:type="dxa"/>
          </w:tcPr>
          <w:p w:rsidR="002226B3" w:rsidRPr="00945E93" w:rsidRDefault="002226B3" w:rsidP="002226B3">
            <w:pPr>
              <w:pStyle w:val="Tabletext"/>
              <w:keepNext/>
              <w:jc w:val="center"/>
              <w:rPr>
                <w:rFonts w:eastAsia="MS Mincho"/>
                <w:b/>
              </w:rPr>
            </w:pPr>
            <w:r w:rsidRPr="00945E93">
              <w:rPr>
                <w:rFonts w:eastAsia="MS Mincho"/>
                <w:b/>
              </w:rPr>
              <w:t>SM.1794</w:t>
            </w:r>
            <w:r>
              <w:rPr>
                <w:rFonts w:eastAsia="MS Mincho"/>
                <w:b/>
              </w:rPr>
              <w:t>-0</w:t>
            </w:r>
          </w:p>
        </w:tc>
        <w:tc>
          <w:tcPr>
            <w:tcW w:w="5813" w:type="dxa"/>
          </w:tcPr>
          <w:p w:rsidR="002226B3" w:rsidRDefault="002226B3" w:rsidP="002226B3">
            <w:pPr>
              <w:pStyle w:val="Tabletext"/>
              <w:keepNext/>
              <w:rPr>
                <w:szCs w:val="22"/>
              </w:rPr>
            </w:pPr>
            <w:r>
              <w:rPr>
                <w:szCs w:val="22"/>
              </w:rPr>
              <w:t>Sistemas de comprobación técnica del espectro de gran anchura de banda instantánea</w:t>
            </w:r>
          </w:p>
        </w:tc>
        <w:tc>
          <w:tcPr>
            <w:tcW w:w="1350" w:type="dxa"/>
          </w:tcPr>
          <w:p w:rsidR="002226B3" w:rsidRDefault="002226B3" w:rsidP="002226B3">
            <w:pPr>
              <w:pStyle w:val="Tabletext"/>
              <w:keepNext/>
              <w:jc w:val="center"/>
              <w:rPr>
                <w:szCs w:val="22"/>
                <w:lang w:val="en-US"/>
              </w:rPr>
            </w:pPr>
            <w:r>
              <w:rPr>
                <w:szCs w:val="22"/>
                <w:lang w:val="en-US"/>
              </w:rPr>
              <w:t>NOC</w:t>
            </w:r>
          </w:p>
        </w:tc>
        <w:tc>
          <w:tcPr>
            <w:tcW w:w="1598" w:type="dxa"/>
          </w:tcPr>
          <w:p w:rsidR="002226B3" w:rsidRDefault="002226B3" w:rsidP="002226B3">
            <w:pPr>
              <w:pStyle w:val="Tabletext"/>
              <w:keepNext/>
              <w:jc w:val="center"/>
              <w:rPr>
                <w:lang w:val="en-US"/>
              </w:rPr>
            </w:pPr>
          </w:p>
        </w:tc>
      </w:tr>
      <w:tr w:rsidR="002226B3" w:rsidTr="004F18AE">
        <w:tc>
          <w:tcPr>
            <w:tcW w:w="1412" w:type="dxa"/>
          </w:tcPr>
          <w:p w:rsidR="002226B3" w:rsidRPr="00945E93" w:rsidRDefault="002226B3" w:rsidP="002226B3">
            <w:pPr>
              <w:pStyle w:val="Tabletext"/>
              <w:jc w:val="center"/>
              <w:rPr>
                <w:rFonts w:eastAsia="MS Mincho"/>
                <w:b/>
              </w:rPr>
            </w:pPr>
            <w:r w:rsidRPr="00945E93">
              <w:rPr>
                <w:rFonts w:eastAsia="MS Mincho"/>
                <w:b/>
              </w:rPr>
              <w:t>SM.1809</w:t>
            </w:r>
            <w:r>
              <w:rPr>
                <w:rFonts w:eastAsia="MS Mincho"/>
                <w:b/>
              </w:rPr>
              <w:t>-0</w:t>
            </w:r>
          </w:p>
        </w:tc>
        <w:tc>
          <w:tcPr>
            <w:tcW w:w="5813" w:type="dxa"/>
          </w:tcPr>
          <w:p w:rsidR="002226B3" w:rsidRDefault="002226B3" w:rsidP="002226B3">
            <w:pPr>
              <w:pStyle w:val="Tabletext"/>
              <w:rPr>
                <w:lang w:val="es-ES"/>
              </w:rPr>
            </w:pPr>
            <w:r>
              <w:rPr>
                <w:lang w:val="es-ES"/>
              </w:rPr>
              <w:t>Formato de intercambio de datos normalizado para el registro y la medición de bandas de frecuencias en las estaciones de comprobación</w:t>
            </w:r>
          </w:p>
        </w:tc>
        <w:tc>
          <w:tcPr>
            <w:tcW w:w="1350" w:type="dxa"/>
          </w:tcPr>
          <w:p w:rsidR="002226B3" w:rsidRDefault="002226B3" w:rsidP="002226B3">
            <w:pPr>
              <w:pStyle w:val="Tabletext"/>
              <w:jc w:val="center"/>
              <w:rPr>
                <w:szCs w:val="22"/>
                <w:lang w:val="en-US"/>
              </w:rPr>
            </w:pPr>
            <w:r>
              <w:rPr>
                <w:szCs w:val="22"/>
                <w:lang w:val="en-US"/>
              </w:rPr>
              <w:t>NOC</w:t>
            </w:r>
          </w:p>
        </w:tc>
        <w:tc>
          <w:tcPr>
            <w:tcW w:w="1598" w:type="dxa"/>
          </w:tcPr>
          <w:p w:rsidR="002226B3" w:rsidRDefault="002226B3" w:rsidP="002226B3">
            <w:pPr>
              <w:pStyle w:val="Tabletext"/>
              <w:jc w:val="center"/>
              <w:rPr>
                <w:lang w:val="en-US"/>
              </w:rPr>
            </w:pPr>
          </w:p>
        </w:tc>
      </w:tr>
      <w:tr w:rsidR="002226B3" w:rsidTr="004F18AE">
        <w:tc>
          <w:tcPr>
            <w:tcW w:w="1412" w:type="dxa"/>
          </w:tcPr>
          <w:p w:rsidR="002226B3" w:rsidRPr="00945E93" w:rsidRDefault="002226B3" w:rsidP="002226B3">
            <w:pPr>
              <w:pStyle w:val="Tabletext"/>
              <w:jc w:val="center"/>
              <w:rPr>
                <w:rFonts w:eastAsia="MS Mincho"/>
                <w:b/>
              </w:rPr>
            </w:pPr>
            <w:r w:rsidRPr="00945E93">
              <w:rPr>
                <w:rFonts w:eastAsia="MS Mincho"/>
                <w:b/>
              </w:rPr>
              <w:t>SM.1836</w:t>
            </w:r>
            <w:r>
              <w:rPr>
                <w:rFonts w:eastAsia="MS Mincho"/>
                <w:b/>
              </w:rPr>
              <w:t>-0</w:t>
            </w:r>
          </w:p>
        </w:tc>
        <w:tc>
          <w:tcPr>
            <w:tcW w:w="5813" w:type="dxa"/>
          </w:tcPr>
          <w:p w:rsidR="002226B3" w:rsidRDefault="002226B3" w:rsidP="002226B3">
            <w:pPr>
              <w:pStyle w:val="Tabletext"/>
              <w:rPr>
                <w:szCs w:val="22"/>
                <w:lang w:val="es-ES"/>
              </w:rPr>
            </w:pPr>
            <w:r>
              <w:rPr>
                <w:szCs w:val="22"/>
                <w:lang w:val="es-ES"/>
              </w:rPr>
              <w:t>Procedimiento de prueba para medir las propiedades del filtro de frecuencia intermedia de los receptores de comprobación técnica radioeléctrica</w:t>
            </w:r>
          </w:p>
        </w:tc>
        <w:tc>
          <w:tcPr>
            <w:tcW w:w="1350" w:type="dxa"/>
          </w:tcPr>
          <w:p w:rsidR="002226B3" w:rsidRDefault="002226B3" w:rsidP="002226B3">
            <w:pPr>
              <w:pStyle w:val="Tabletext"/>
              <w:jc w:val="center"/>
              <w:rPr>
                <w:szCs w:val="22"/>
                <w:lang w:val="en-US"/>
              </w:rPr>
            </w:pPr>
            <w:r>
              <w:rPr>
                <w:szCs w:val="22"/>
                <w:lang w:val="en-US"/>
              </w:rPr>
              <w:t>NOC</w:t>
            </w:r>
          </w:p>
        </w:tc>
        <w:tc>
          <w:tcPr>
            <w:tcW w:w="1598" w:type="dxa"/>
          </w:tcPr>
          <w:p w:rsidR="002226B3" w:rsidRDefault="002226B3" w:rsidP="002226B3">
            <w:pPr>
              <w:pStyle w:val="Tabletext"/>
              <w:jc w:val="center"/>
              <w:rPr>
                <w:szCs w:val="22"/>
                <w:lang w:val="es-ES"/>
              </w:rPr>
            </w:pPr>
          </w:p>
        </w:tc>
      </w:tr>
      <w:tr w:rsidR="002226B3" w:rsidTr="004F18AE">
        <w:tc>
          <w:tcPr>
            <w:tcW w:w="1412" w:type="dxa"/>
          </w:tcPr>
          <w:p w:rsidR="002226B3" w:rsidRPr="00945E93" w:rsidRDefault="002226B3" w:rsidP="002226B3">
            <w:pPr>
              <w:pStyle w:val="Tabletext"/>
              <w:jc w:val="center"/>
              <w:rPr>
                <w:rFonts w:eastAsia="MS Mincho"/>
                <w:b/>
              </w:rPr>
            </w:pPr>
            <w:r w:rsidRPr="00945E93">
              <w:rPr>
                <w:rFonts w:eastAsia="MS Mincho"/>
                <w:b/>
              </w:rPr>
              <w:lastRenderedPageBreak/>
              <w:t>SM.1837</w:t>
            </w:r>
            <w:r>
              <w:rPr>
                <w:rFonts w:eastAsia="MS Mincho"/>
                <w:b/>
              </w:rPr>
              <w:t>-1</w:t>
            </w:r>
          </w:p>
        </w:tc>
        <w:tc>
          <w:tcPr>
            <w:tcW w:w="5813" w:type="dxa"/>
          </w:tcPr>
          <w:p w:rsidR="002226B3" w:rsidRDefault="002226B3" w:rsidP="002226B3">
            <w:pPr>
              <w:pStyle w:val="Tabletext"/>
              <w:rPr>
                <w:szCs w:val="22"/>
                <w:lang w:val="es-ES"/>
              </w:rPr>
            </w:pPr>
            <w:r>
              <w:rPr>
                <w:iCs/>
                <w:szCs w:val="24"/>
              </w:rPr>
              <w:t>Procedimiento de prueba para medir el nivel del punto de intercepción de 3</w:t>
            </w:r>
            <w:r>
              <w:rPr>
                <w:iCs/>
                <w:szCs w:val="24"/>
                <w:vertAlign w:val="superscript"/>
              </w:rPr>
              <w:t>er</w:t>
            </w:r>
            <w:r>
              <w:rPr>
                <w:iCs/>
                <w:szCs w:val="24"/>
              </w:rPr>
              <w:t xml:space="preserve"> orden (IP</w:t>
            </w:r>
            <w:r w:rsidRPr="00907506">
              <w:rPr>
                <w:iCs/>
                <w:szCs w:val="24"/>
                <w:vertAlign w:val="subscript"/>
              </w:rPr>
              <w:t>3</w:t>
            </w:r>
            <w:r>
              <w:rPr>
                <w:iCs/>
                <w:szCs w:val="24"/>
              </w:rPr>
              <w:t>) de los receptores de comprobación técnica radioeléctrica</w:t>
            </w:r>
          </w:p>
        </w:tc>
        <w:tc>
          <w:tcPr>
            <w:tcW w:w="1350" w:type="dxa"/>
          </w:tcPr>
          <w:p w:rsidR="002226B3" w:rsidRDefault="002226B3" w:rsidP="002226B3">
            <w:pPr>
              <w:pStyle w:val="Tabletext"/>
              <w:jc w:val="center"/>
              <w:rPr>
                <w:szCs w:val="22"/>
              </w:rPr>
            </w:pPr>
            <w:r>
              <w:rPr>
                <w:szCs w:val="22"/>
              </w:rPr>
              <w:t>NOC</w:t>
            </w:r>
          </w:p>
        </w:tc>
        <w:tc>
          <w:tcPr>
            <w:tcW w:w="1598" w:type="dxa"/>
          </w:tcPr>
          <w:p w:rsidR="002226B3" w:rsidRDefault="002226B3" w:rsidP="002226B3">
            <w:pPr>
              <w:pStyle w:val="Tabletext"/>
              <w:jc w:val="center"/>
              <w:rPr>
                <w:szCs w:val="22"/>
                <w:lang w:val="es-ES"/>
              </w:rPr>
            </w:pPr>
          </w:p>
        </w:tc>
      </w:tr>
      <w:tr w:rsidR="002226B3" w:rsidTr="004F18AE">
        <w:tc>
          <w:tcPr>
            <w:tcW w:w="1412" w:type="dxa"/>
          </w:tcPr>
          <w:p w:rsidR="002226B3" w:rsidRPr="00945E93" w:rsidRDefault="002226B3" w:rsidP="002226B3">
            <w:pPr>
              <w:pStyle w:val="Tabletext"/>
              <w:jc w:val="center"/>
              <w:rPr>
                <w:rFonts w:eastAsia="MS Mincho"/>
                <w:b/>
              </w:rPr>
            </w:pPr>
            <w:r w:rsidRPr="00945E93">
              <w:rPr>
                <w:rFonts w:eastAsia="MS Mincho"/>
                <w:b/>
              </w:rPr>
              <w:t>SM.1838</w:t>
            </w:r>
            <w:r>
              <w:rPr>
                <w:rFonts w:eastAsia="MS Mincho"/>
                <w:b/>
              </w:rPr>
              <w:t>-0</w:t>
            </w:r>
          </w:p>
        </w:tc>
        <w:tc>
          <w:tcPr>
            <w:tcW w:w="5813" w:type="dxa"/>
          </w:tcPr>
          <w:p w:rsidR="002226B3" w:rsidRDefault="002226B3" w:rsidP="002226B3">
            <w:pPr>
              <w:pStyle w:val="Tabletext"/>
              <w:rPr>
                <w:szCs w:val="22"/>
                <w:lang w:val="es-ES"/>
              </w:rPr>
            </w:pPr>
            <w:r>
              <w:rPr>
                <w:szCs w:val="22"/>
                <w:lang w:val="es-ES"/>
              </w:rPr>
              <w:t xml:space="preserve">Procedimiento de prueba para medir el ruido de </w:t>
            </w:r>
            <w:r>
              <w:rPr>
                <w:iCs/>
                <w:szCs w:val="24"/>
              </w:rPr>
              <w:t>los receptores de comprobación técnica radioeléctrica</w:t>
            </w:r>
          </w:p>
        </w:tc>
        <w:tc>
          <w:tcPr>
            <w:tcW w:w="1350" w:type="dxa"/>
          </w:tcPr>
          <w:p w:rsidR="002226B3" w:rsidRDefault="002226B3" w:rsidP="002226B3">
            <w:pPr>
              <w:pStyle w:val="Tabletext"/>
              <w:jc w:val="center"/>
              <w:rPr>
                <w:szCs w:val="22"/>
              </w:rPr>
            </w:pPr>
            <w:r>
              <w:rPr>
                <w:szCs w:val="22"/>
              </w:rPr>
              <w:t>NOC</w:t>
            </w:r>
          </w:p>
        </w:tc>
        <w:tc>
          <w:tcPr>
            <w:tcW w:w="1598" w:type="dxa"/>
          </w:tcPr>
          <w:p w:rsidR="002226B3" w:rsidRDefault="002226B3" w:rsidP="002226B3">
            <w:pPr>
              <w:pStyle w:val="Tabletext"/>
              <w:jc w:val="center"/>
              <w:rPr>
                <w:szCs w:val="22"/>
                <w:lang w:val="es-ES"/>
              </w:rPr>
            </w:pPr>
          </w:p>
        </w:tc>
      </w:tr>
      <w:tr w:rsidR="002226B3" w:rsidTr="004F18AE">
        <w:tc>
          <w:tcPr>
            <w:tcW w:w="1412" w:type="dxa"/>
          </w:tcPr>
          <w:p w:rsidR="002226B3" w:rsidRPr="00945E93" w:rsidRDefault="002226B3" w:rsidP="002226B3">
            <w:pPr>
              <w:pStyle w:val="Tabletext"/>
              <w:jc w:val="center"/>
              <w:rPr>
                <w:rFonts w:eastAsia="MS Mincho"/>
                <w:b/>
              </w:rPr>
            </w:pPr>
            <w:r w:rsidRPr="00945E93">
              <w:rPr>
                <w:rFonts w:eastAsia="MS Mincho"/>
                <w:b/>
              </w:rPr>
              <w:t>SM.1839-1</w:t>
            </w:r>
          </w:p>
        </w:tc>
        <w:tc>
          <w:tcPr>
            <w:tcW w:w="5813" w:type="dxa"/>
          </w:tcPr>
          <w:p w:rsidR="002226B3" w:rsidRDefault="002226B3" w:rsidP="002226B3">
            <w:pPr>
              <w:pStyle w:val="Tabletext"/>
              <w:rPr>
                <w:szCs w:val="22"/>
                <w:lang w:val="es-ES"/>
              </w:rPr>
            </w:pPr>
            <w:r>
              <w:rPr>
                <w:szCs w:val="22"/>
                <w:lang w:val="es-ES"/>
              </w:rPr>
              <w:t xml:space="preserve">Procedimiento de prueba para medir la velocidad de exploración de </w:t>
            </w:r>
            <w:r>
              <w:rPr>
                <w:iCs/>
                <w:szCs w:val="24"/>
              </w:rPr>
              <w:t>los receptores de comprobación técnica radioeléctrica</w:t>
            </w:r>
            <w:r>
              <w:rPr>
                <w:szCs w:val="22"/>
                <w:lang w:val="es-ES"/>
              </w:rPr>
              <w:t xml:space="preserve"> </w:t>
            </w:r>
          </w:p>
        </w:tc>
        <w:tc>
          <w:tcPr>
            <w:tcW w:w="1350" w:type="dxa"/>
          </w:tcPr>
          <w:p w:rsidR="002226B3" w:rsidRDefault="002226B3" w:rsidP="002226B3">
            <w:pPr>
              <w:pStyle w:val="Tabletext"/>
              <w:jc w:val="center"/>
              <w:rPr>
                <w:szCs w:val="22"/>
              </w:rPr>
            </w:pPr>
            <w:r>
              <w:rPr>
                <w:szCs w:val="22"/>
              </w:rPr>
              <w:t>NOC</w:t>
            </w:r>
          </w:p>
        </w:tc>
        <w:tc>
          <w:tcPr>
            <w:tcW w:w="1598" w:type="dxa"/>
          </w:tcPr>
          <w:p w:rsidR="002226B3" w:rsidRDefault="002226B3" w:rsidP="002226B3">
            <w:pPr>
              <w:pStyle w:val="Tabletext"/>
              <w:jc w:val="center"/>
              <w:rPr>
                <w:szCs w:val="22"/>
                <w:lang w:val="es-ES"/>
              </w:rPr>
            </w:pPr>
          </w:p>
        </w:tc>
      </w:tr>
      <w:tr w:rsidR="002226B3" w:rsidTr="004F18AE">
        <w:tc>
          <w:tcPr>
            <w:tcW w:w="1412" w:type="dxa"/>
          </w:tcPr>
          <w:p w:rsidR="002226B3" w:rsidRPr="00945E93" w:rsidRDefault="002226B3" w:rsidP="002226B3">
            <w:pPr>
              <w:pStyle w:val="Tabletext"/>
              <w:jc w:val="center"/>
              <w:rPr>
                <w:rFonts w:eastAsia="MS Mincho"/>
                <w:b/>
              </w:rPr>
            </w:pPr>
            <w:r w:rsidRPr="00945E93">
              <w:rPr>
                <w:rFonts w:eastAsia="MS Mincho"/>
                <w:b/>
              </w:rPr>
              <w:t>SM.1840</w:t>
            </w:r>
            <w:r>
              <w:rPr>
                <w:rFonts w:eastAsia="MS Mincho"/>
                <w:b/>
              </w:rPr>
              <w:t>-0</w:t>
            </w:r>
          </w:p>
        </w:tc>
        <w:tc>
          <w:tcPr>
            <w:tcW w:w="5813" w:type="dxa"/>
          </w:tcPr>
          <w:p w:rsidR="002226B3" w:rsidRDefault="002226B3" w:rsidP="002226B3">
            <w:pPr>
              <w:pStyle w:val="Tabletext"/>
              <w:rPr>
                <w:szCs w:val="22"/>
                <w:lang w:val="es-ES"/>
              </w:rPr>
            </w:pPr>
            <w:r>
              <w:rPr>
                <w:szCs w:val="22"/>
                <w:lang w:val="es-ES"/>
              </w:rPr>
              <w:t xml:space="preserve">Procedimiento de prueba para medir la sensibilidad de los </w:t>
            </w:r>
            <w:r>
              <w:rPr>
                <w:iCs/>
                <w:szCs w:val="24"/>
              </w:rPr>
              <w:t>receptores de comprobación técnica radioeléctrica utilizando señales con modulación analógica</w:t>
            </w:r>
          </w:p>
        </w:tc>
        <w:tc>
          <w:tcPr>
            <w:tcW w:w="1350" w:type="dxa"/>
          </w:tcPr>
          <w:p w:rsidR="002226B3" w:rsidRDefault="002226B3" w:rsidP="002226B3">
            <w:pPr>
              <w:pStyle w:val="Tabletext"/>
              <w:jc w:val="center"/>
              <w:rPr>
                <w:szCs w:val="22"/>
                <w:lang w:val="fr-CH"/>
              </w:rPr>
            </w:pPr>
            <w:r>
              <w:rPr>
                <w:szCs w:val="22"/>
                <w:lang w:val="fr-CH"/>
              </w:rPr>
              <w:t>NOC</w:t>
            </w:r>
          </w:p>
        </w:tc>
        <w:tc>
          <w:tcPr>
            <w:tcW w:w="1598" w:type="dxa"/>
          </w:tcPr>
          <w:p w:rsidR="002226B3" w:rsidRDefault="002226B3" w:rsidP="002226B3">
            <w:pPr>
              <w:pStyle w:val="Tabletext"/>
              <w:jc w:val="center"/>
              <w:rPr>
                <w:szCs w:val="22"/>
                <w:lang w:val="es-ES"/>
              </w:rPr>
            </w:pPr>
          </w:p>
        </w:tc>
      </w:tr>
      <w:tr w:rsidR="002226B3" w:rsidTr="004F18AE">
        <w:tc>
          <w:tcPr>
            <w:tcW w:w="1412" w:type="dxa"/>
          </w:tcPr>
          <w:p w:rsidR="002226B3" w:rsidRPr="00945E93" w:rsidRDefault="002226B3" w:rsidP="002226B3">
            <w:pPr>
              <w:pStyle w:val="Tabletext"/>
              <w:jc w:val="center"/>
              <w:rPr>
                <w:rFonts w:eastAsia="MS Mincho"/>
                <w:b/>
              </w:rPr>
            </w:pPr>
            <w:r w:rsidRPr="00945E93">
              <w:rPr>
                <w:rFonts w:eastAsia="MS Mincho"/>
                <w:b/>
              </w:rPr>
              <w:t>SM.1875</w:t>
            </w:r>
            <w:r>
              <w:rPr>
                <w:rFonts w:eastAsia="MS Mincho"/>
                <w:b/>
              </w:rPr>
              <w:t>-2</w:t>
            </w:r>
          </w:p>
        </w:tc>
        <w:tc>
          <w:tcPr>
            <w:tcW w:w="5813" w:type="dxa"/>
          </w:tcPr>
          <w:p w:rsidR="002226B3" w:rsidRDefault="002226B3" w:rsidP="002226B3">
            <w:pPr>
              <w:pStyle w:val="Tabletext"/>
              <w:rPr>
                <w:szCs w:val="22"/>
                <w:lang w:val="es-ES"/>
              </w:rPr>
            </w:pPr>
            <w:r w:rsidRPr="00D51FE4">
              <w:rPr>
                <w:szCs w:val="22"/>
                <w:lang w:val="es-ES"/>
              </w:rPr>
              <w:t>Mediciones de la cobertura de la DVB-T y verificación de los criterios de planificación</w:t>
            </w:r>
          </w:p>
        </w:tc>
        <w:tc>
          <w:tcPr>
            <w:tcW w:w="1350" w:type="dxa"/>
          </w:tcPr>
          <w:p w:rsidR="002226B3" w:rsidRPr="00D51FE4" w:rsidRDefault="002226B3" w:rsidP="002226B3">
            <w:pPr>
              <w:pStyle w:val="Tabletext"/>
              <w:jc w:val="center"/>
              <w:rPr>
                <w:szCs w:val="22"/>
                <w:lang w:val="es-ES"/>
              </w:rPr>
            </w:pPr>
            <w:r>
              <w:rPr>
                <w:szCs w:val="22"/>
                <w:lang w:val="es-ES"/>
              </w:rPr>
              <w:t>NOC</w:t>
            </w:r>
          </w:p>
        </w:tc>
        <w:tc>
          <w:tcPr>
            <w:tcW w:w="1598" w:type="dxa"/>
          </w:tcPr>
          <w:p w:rsidR="002226B3" w:rsidRDefault="002226B3" w:rsidP="002226B3">
            <w:pPr>
              <w:pStyle w:val="Tabletext"/>
              <w:jc w:val="center"/>
              <w:rPr>
                <w:lang w:val="es-ES"/>
              </w:rPr>
            </w:pPr>
          </w:p>
        </w:tc>
      </w:tr>
      <w:tr w:rsidR="002226B3" w:rsidTr="004F18AE">
        <w:tc>
          <w:tcPr>
            <w:tcW w:w="1412" w:type="dxa"/>
          </w:tcPr>
          <w:p w:rsidR="002226B3" w:rsidRPr="00945E93" w:rsidRDefault="002226B3" w:rsidP="002226B3">
            <w:pPr>
              <w:pStyle w:val="Tabletext"/>
              <w:jc w:val="center"/>
              <w:rPr>
                <w:rFonts w:eastAsia="MS Mincho"/>
                <w:b/>
              </w:rPr>
            </w:pPr>
            <w:r w:rsidRPr="00945E93">
              <w:rPr>
                <w:rFonts w:eastAsia="MS Mincho"/>
                <w:b/>
              </w:rPr>
              <w:t>SM.1879-</w:t>
            </w:r>
            <w:r>
              <w:rPr>
                <w:rFonts w:eastAsia="MS Mincho"/>
                <w:b/>
              </w:rPr>
              <w:t>2</w:t>
            </w:r>
          </w:p>
        </w:tc>
        <w:tc>
          <w:tcPr>
            <w:tcW w:w="5813" w:type="dxa"/>
          </w:tcPr>
          <w:p w:rsidR="002226B3" w:rsidRDefault="002226B3" w:rsidP="004F18AE">
            <w:pPr>
              <w:pStyle w:val="Tabletext"/>
              <w:rPr>
                <w:szCs w:val="22"/>
                <w:lang w:val="es-ES"/>
              </w:rPr>
            </w:pPr>
            <w:r w:rsidRPr="00D51FE4">
              <w:rPr>
                <w:szCs w:val="22"/>
                <w:lang w:val="es-ES"/>
              </w:rPr>
              <w:t>Repercusión de los sistemas de telecomunicaciones de alta velocidad de datos por líneas de energía eléctrica</w:t>
            </w:r>
            <w:r w:rsidR="00D34695">
              <w:rPr>
                <w:szCs w:val="22"/>
                <w:lang w:val="es-ES"/>
              </w:rPr>
              <w:t xml:space="preserve"> por debajo de 470</w:t>
            </w:r>
            <w:r w:rsidR="004F18AE">
              <w:rPr>
                <w:szCs w:val="22"/>
                <w:lang w:val="es-ES"/>
              </w:rPr>
              <w:t> </w:t>
            </w:r>
            <w:bookmarkStart w:id="7" w:name="_GoBack"/>
            <w:bookmarkEnd w:id="7"/>
            <w:r w:rsidR="00D34695">
              <w:rPr>
                <w:szCs w:val="22"/>
                <w:lang w:val="es-ES"/>
              </w:rPr>
              <w:t>MHz en los sistemas de radiocomunicaciones</w:t>
            </w:r>
          </w:p>
        </w:tc>
        <w:tc>
          <w:tcPr>
            <w:tcW w:w="1350" w:type="dxa"/>
          </w:tcPr>
          <w:p w:rsidR="002226B3" w:rsidRPr="00D51FE4" w:rsidRDefault="002226B3" w:rsidP="002226B3">
            <w:pPr>
              <w:pStyle w:val="Tabletext"/>
              <w:jc w:val="center"/>
              <w:rPr>
                <w:szCs w:val="22"/>
                <w:lang w:val="es-ES"/>
              </w:rPr>
            </w:pPr>
            <w:r>
              <w:rPr>
                <w:szCs w:val="22"/>
                <w:lang w:val="es-ES"/>
              </w:rPr>
              <w:t>NOC</w:t>
            </w:r>
          </w:p>
        </w:tc>
        <w:tc>
          <w:tcPr>
            <w:tcW w:w="1598" w:type="dxa"/>
          </w:tcPr>
          <w:p w:rsidR="002226B3" w:rsidRDefault="002226B3" w:rsidP="002226B3">
            <w:pPr>
              <w:pStyle w:val="Tabletext"/>
              <w:jc w:val="center"/>
              <w:rPr>
                <w:lang w:val="es-ES"/>
              </w:rPr>
            </w:pPr>
          </w:p>
        </w:tc>
      </w:tr>
      <w:tr w:rsidR="002226B3" w:rsidTr="004F18AE">
        <w:tc>
          <w:tcPr>
            <w:tcW w:w="1412" w:type="dxa"/>
          </w:tcPr>
          <w:p w:rsidR="002226B3" w:rsidRPr="00945E93" w:rsidRDefault="002226B3" w:rsidP="002226B3">
            <w:pPr>
              <w:pStyle w:val="Tabletext"/>
              <w:jc w:val="center"/>
              <w:rPr>
                <w:rFonts w:eastAsia="MS Mincho"/>
                <w:b/>
              </w:rPr>
            </w:pPr>
            <w:r w:rsidRPr="00945E93">
              <w:rPr>
                <w:rFonts w:eastAsia="MS Mincho"/>
                <w:b/>
              </w:rPr>
              <w:t>SM.1880</w:t>
            </w:r>
            <w:r>
              <w:rPr>
                <w:rFonts w:eastAsia="MS Mincho"/>
                <w:b/>
              </w:rPr>
              <w:t>-1</w:t>
            </w:r>
          </w:p>
        </w:tc>
        <w:tc>
          <w:tcPr>
            <w:tcW w:w="5813" w:type="dxa"/>
          </w:tcPr>
          <w:p w:rsidR="002226B3" w:rsidRDefault="002226B3" w:rsidP="002226B3">
            <w:pPr>
              <w:pStyle w:val="Tabletext"/>
              <w:rPr>
                <w:szCs w:val="22"/>
                <w:lang w:val="es-ES"/>
              </w:rPr>
            </w:pPr>
            <w:r w:rsidRPr="00D51FE4">
              <w:rPr>
                <w:szCs w:val="22"/>
                <w:lang w:val="es-ES"/>
              </w:rPr>
              <w:t>Mediciones de la ocupación del espectro</w:t>
            </w:r>
          </w:p>
        </w:tc>
        <w:tc>
          <w:tcPr>
            <w:tcW w:w="1350" w:type="dxa"/>
          </w:tcPr>
          <w:p w:rsidR="002226B3" w:rsidRPr="00D51FE4" w:rsidRDefault="002226B3" w:rsidP="002226B3">
            <w:pPr>
              <w:pStyle w:val="Tabletext"/>
              <w:jc w:val="center"/>
              <w:rPr>
                <w:szCs w:val="22"/>
                <w:lang w:val="es-ES"/>
              </w:rPr>
            </w:pPr>
            <w:r>
              <w:rPr>
                <w:szCs w:val="22"/>
                <w:lang w:val="es-ES"/>
              </w:rPr>
              <w:t>NOC</w:t>
            </w:r>
          </w:p>
        </w:tc>
        <w:tc>
          <w:tcPr>
            <w:tcW w:w="1598" w:type="dxa"/>
          </w:tcPr>
          <w:p w:rsidR="002226B3" w:rsidRDefault="002226B3" w:rsidP="002226B3">
            <w:pPr>
              <w:pStyle w:val="Tabletext"/>
              <w:jc w:val="center"/>
              <w:rPr>
                <w:lang w:val="es-ES"/>
              </w:rPr>
            </w:pPr>
          </w:p>
        </w:tc>
      </w:tr>
      <w:tr w:rsidR="002226B3" w:rsidTr="004F18AE">
        <w:tc>
          <w:tcPr>
            <w:tcW w:w="1412" w:type="dxa"/>
          </w:tcPr>
          <w:p w:rsidR="002226B3" w:rsidRPr="00945E93" w:rsidRDefault="002226B3" w:rsidP="002226B3">
            <w:pPr>
              <w:pStyle w:val="Tabletext"/>
              <w:jc w:val="center"/>
              <w:rPr>
                <w:rFonts w:eastAsia="MS Mincho"/>
                <w:b/>
              </w:rPr>
            </w:pPr>
            <w:r w:rsidRPr="00945E93">
              <w:rPr>
                <w:rFonts w:eastAsia="MS Mincho"/>
                <w:b/>
              </w:rPr>
              <w:t>SM.1896</w:t>
            </w:r>
            <w:r w:rsidR="00D34695">
              <w:rPr>
                <w:rFonts w:eastAsia="MS Mincho"/>
                <w:b/>
              </w:rPr>
              <w:t>-0</w:t>
            </w:r>
          </w:p>
        </w:tc>
        <w:tc>
          <w:tcPr>
            <w:tcW w:w="5813" w:type="dxa"/>
          </w:tcPr>
          <w:p w:rsidR="002226B3" w:rsidRPr="00D51FE4" w:rsidRDefault="002226B3" w:rsidP="002226B3">
            <w:pPr>
              <w:pStyle w:val="Tabletext"/>
              <w:rPr>
                <w:szCs w:val="22"/>
                <w:lang w:val="es-ES"/>
              </w:rPr>
            </w:pPr>
            <w:r w:rsidRPr="00721930">
              <w:t>Gamas de frecuencia para la armonización mundial o regional de los dispositivos de corto alcance (DCA)</w:t>
            </w:r>
          </w:p>
        </w:tc>
        <w:tc>
          <w:tcPr>
            <w:tcW w:w="1350" w:type="dxa"/>
          </w:tcPr>
          <w:p w:rsidR="002226B3" w:rsidRDefault="002226B3" w:rsidP="002226B3">
            <w:pPr>
              <w:pStyle w:val="Tabletext"/>
              <w:jc w:val="center"/>
              <w:rPr>
                <w:szCs w:val="22"/>
                <w:lang w:val="es-ES"/>
              </w:rPr>
            </w:pPr>
            <w:r>
              <w:rPr>
                <w:szCs w:val="22"/>
                <w:lang w:val="en-US"/>
              </w:rPr>
              <w:t>NOC</w:t>
            </w:r>
          </w:p>
        </w:tc>
        <w:tc>
          <w:tcPr>
            <w:tcW w:w="1598" w:type="dxa"/>
          </w:tcPr>
          <w:p w:rsidR="002226B3" w:rsidRDefault="002226B3" w:rsidP="002226B3">
            <w:pPr>
              <w:pStyle w:val="Tabletext"/>
              <w:jc w:val="center"/>
              <w:rPr>
                <w:lang w:val="es-ES"/>
              </w:rPr>
            </w:pPr>
          </w:p>
        </w:tc>
      </w:tr>
      <w:tr w:rsidR="00D34695" w:rsidTr="004F18AE">
        <w:tc>
          <w:tcPr>
            <w:tcW w:w="1412" w:type="dxa"/>
          </w:tcPr>
          <w:p w:rsidR="00D34695" w:rsidRPr="00945E93" w:rsidRDefault="00D34695" w:rsidP="00D34695">
            <w:pPr>
              <w:pStyle w:val="Tabletext"/>
              <w:jc w:val="center"/>
              <w:rPr>
                <w:rFonts w:eastAsia="MS Mincho"/>
                <w:b/>
              </w:rPr>
            </w:pPr>
            <w:r>
              <w:rPr>
                <w:rFonts w:eastAsia="MS Mincho"/>
                <w:b/>
              </w:rPr>
              <w:t>SM.2028-0</w:t>
            </w:r>
          </w:p>
        </w:tc>
        <w:tc>
          <w:tcPr>
            <w:tcW w:w="5813" w:type="dxa"/>
          </w:tcPr>
          <w:p w:rsidR="00D34695" w:rsidRPr="00721930" w:rsidRDefault="00D34695" w:rsidP="00D34695">
            <w:pPr>
              <w:pStyle w:val="Tabletext"/>
            </w:pPr>
            <w:r>
              <w:t>Cálculo de distancia de protección entre sistemas inductivos y servicios de radiocomunicaciones que utilizan frecuencias por debajo de 30 MHz</w:t>
            </w:r>
          </w:p>
        </w:tc>
        <w:tc>
          <w:tcPr>
            <w:tcW w:w="1350" w:type="dxa"/>
          </w:tcPr>
          <w:p w:rsidR="00D34695" w:rsidRPr="00C01667" w:rsidRDefault="00D34695" w:rsidP="00D34695">
            <w:pPr>
              <w:pStyle w:val="Tabletext"/>
              <w:jc w:val="center"/>
            </w:pPr>
            <w:r w:rsidRPr="00C01667">
              <w:t>NOC</w:t>
            </w:r>
          </w:p>
        </w:tc>
        <w:tc>
          <w:tcPr>
            <w:tcW w:w="1598" w:type="dxa"/>
          </w:tcPr>
          <w:p w:rsidR="00D34695" w:rsidRDefault="00D34695" w:rsidP="00D34695">
            <w:pPr>
              <w:pStyle w:val="Tabletext"/>
              <w:jc w:val="center"/>
              <w:rPr>
                <w:lang w:val="es-ES"/>
              </w:rPr>
            </w:pPr>
          </w:p>
        </w:tc>
      </w:tr>
      <w:tr w:rsidR="00D34695" w:rsidTr="004F18AE">
        <w:tc>
          <w:tcPr>
            <w:tcW w:w="1412" w:type="dxa"/>
          </w:tcPr>
          <w:p w:rsidR="00D34695" w:rsidRDefault="00D34695" w:rsidP="00D34695">
            <w:pPr>
              <w:pStyle w:val="Tabletext"/>
              <w:jc w:val="center"/>
              <w:rPr>
                <w:rFonts w:eastAsia="MS Mincho"/>
                <w:b/>
              </w:rPr>
            </w:pPr>
            <w:r>
              <w:rPr>
                <w:rFonts w:eastAsia="MS Mincho"/>
                <w:b/>
              </w:rPr>
              <w:t>SM.2039-0</w:t>
            </w:r>
          </w:p>
        </w:tc>
        <w:tc>
          <w:tcPr>
            <w:tcW w:w="5813" w:type="dxa"/>
          </w:tcPr>
          <w:p w:rsidR="00D34695" w:rsidRPr="00721930" w:rsidRDefault="00D34695" w:rsidP="00D34695">
            <w:pPr>
              <w:pStyle w:val="Tabletext"/>
            </w:pPr>
            <w:r>
              <w:t>Evolución de la comprobación técnica del espectro</w:t>
            </w:r>
          </w:p>
        </w:tc>
        <w:tc>
          <w:tcPr>
            <w:tcW w:w="1350" w:type="dxa"/>
          </w:tcPr>
          <w:p w:rsidR="00D34695" w:rsidRPr="00C01667" w:rsidDel="007C72ED" w:rsidRDefault="00D34695" w:rsidP="00D34695">
            <w:pPr>
              <w:pStyle w:val="Tabletext"/>
              <w:jc w:val="center"/>
            </w:pPr>
            <w:r w:rsidRPr="00C01667">
              <w:t>NOC</w:t>
            </w:r>
          </w:p>
        </w:tc>
        <w:tc>
          <w:tcPr>
            <w:tcW w:w="1598" w:type="dxa"/>
          </w:tcPr>
          <w:p w:rsidR="00D34695" w:rsidRDefault="00D34695" w:rsidP="00D34695">
            <w:pPr>
              <w:pStyle w:val="Tabletext"/>
              <w:jc w:val="center"/>
              <w:rPr>
                <w:lang w:val="es-ES"/>
              </w:rPr>
            </w:pPr>
          </w:p>
        </w:tc>
      </w:tr>
      <w:tr w:rsidR="00D34695" w:rsidTr="004F18AE">
        <w:tc>
          <w:tcPr>
            <w:tcW w:w="1412" w:type="dxa"/>
          </w:tcPr>
          <w:p w:rsidR="00D34695" w:rsidRDefault="00D34695" w:rsidP="00D34695">
            <w:pPr>
              <w:pStyle w:val="Tabletext"/>
              <w:jc w:val="center"/>
              <w:rPr>
                <w:rFonts w:eastAsia="MS Mincho"/>
                <w:b/>
              </w:rPr>
            </w:pPr>
            <w:r>
              <w:rPr>
                <w:rFonts w:eastAsia="MS Mincho"/>
                <w:b/>
              </w:rPr>
              <w:t>SM.2060-0</w:t>
            </w:r>
          </w:p>
        </w:tc>
        <w:tc>
          <w:tcPr>
            <w:tcW w:w="5813" w:type="dxa"/>
          </w:tcPr>
          <w:p w:rsidR="00D34695" w:rsidRPr="00721930" w:rsidRDefault="00D34695" w:rsidP="00D34695">
            <w:pPr>
              <w:pStyle w:val="Tabletext"/>
            </w:pPr>
            <w:r w:rsidRPr="00D34695">
              <w:t>Procedimiento de prueba para medir la precisión de la radiogoniometría</w:t>
            </w:r>
          </w:p>
        </w:tc>
        <w:tc>
          <w:tcPr>
            <w:tcW w:w="1350" w:type="dxa"/>
          </w:tcPr>
          <w:p w:rsidR="00D34695" w:rsidRPr="00C01667" w:rsidRDefault="00D34695" w:rsidP="00D34695">
            <w:pPr>
              <w:pStyle w:val="Tabletext"/>
              <w:jc w:val="center"/>
            </w:pPr>
            <w:r w:rsidRPr="00C01667">
              <w:t>NOC</w:t>
            </w:r>
          </w:p>
        </w:tc>
        <w:tc>
          <w:tcPr>
            <w:tcW w:w="1598" w:type="dxa"/>
          </w:tcPr>
          <w:p w:rsidR="00D34695" w:rsidRDefault="00D34695" w:rsidP="00D34695">
            <w:pPr>
              <w:pStyle w:val="Tabletext"/>
              <w:jc w:val="center"/>
              <w:rPr>
                <w:lang w:val="es-ES"/>
              </w:rPr>
            </w:pPr>
          </w:p>
        </w:tc>
      </w:tr>
      <w:tr w:rsidR="00D34695" w:rsidTr="004F18AE">
        <w:tc>
          <w:tcPr>
            <w:tcW w:w="1412" w:type="dxa"/>
          </w:tcPr>
          <w:p w:rsidR="00D34695" w:rsidRDefault="00D34695" w:rsidP="00D34695">
            <w:pPr>
              <w:pStyle w:val="Tabletext"/>
              <w:jc w:val="center"/>
              <w:rPr>
                <w:rFonts w:eastAsia="MS Mincho"/>
                <w:b/>
              </w:rPr>
            </w:pPr>
            <w:r>
              <w:rPr>
                <w:rFonts w:eastAsia="MS Mincho"/>
                <w:b/>
              </w:rPr>
              <w:t>SM.2061-0</w:t>
            </w:r>
          </w:p>
        </w:tc>
        <w:tc>
          <w:tcPr>
            <w:tcW w:w="5813" w:type="dxa"/>
          </w:tcPr>
          <w:p w:rsidR="00D34695" w:rsidRPr="00721930" w:rsidRDefault="00D34695" w:rsidP="008907C4">
            <w:pPr>
              <w:pStyle w:val="Tabletext"/>
            </w:pPr>
            <w:r>
              <w:t>Procedimiento de prueba para medir la inmunidad de los sistemas</w:t>
            </w:r>
            <w:r w:rsidR="008907C4">
              <w:t xml:space="preserve"> </w:t>
            </w:r>
            <w:r>
              <w:t>de radiogoniometría a la propagación multitrayecto</w:t>
            </w:r>
          </w:p>
        </w:tc>
        <w:tc>
          <w:tcPr>
            <w:tcW w:w="1350" w:type="dxa"/>
          </w:tcPr>
          <w:p w:rsidR="00D34695" w:rsidRPr="00C01667" w:rsidRDefault="00D34695" w:rsidP="00D34695">
            <w:pPr>
              <w:pStyle w:val="Tabletext"/>
              <w:jc w:val="center"/>
            </w:pPr>
            <w:r w:rsidRPr="00C01667">
              <w:t>NOC</w:t>
            </w:r>
          </w:p>
        </w:tc>
        <w:tc>
          <w:tcPr>
            <w:tcW w:w="1598" w:type="dxa"/>
          </w:tcPr>
          <w:p w:rsidR="00D34695" w:rsidRDefault="00D34695" w:rsidP="00D34695">
            <w:pPr>
              <w:pStyle w:val="Tabletext"/>
              <w:jc w:val="center"/>
              <w:rPr>
                <w:lang w:val="es-ES"/>
              </w:rPr>
            </w:pPr>
          </w:p>
        </w:tc>
      </w:tr>
      <w:tr w:rsidR="00D34695" w:rsidTr="004F18AE">
        <w:tc>
          <w:tcPr>
            <w:tcW w:w="1412" w:type="dxa"/>
          </w:tcPr>
          <w:p w:rsidR="00D34695" w:rsidRDefault="00D34695" w:rsidP="00D34695">
            <w:pPr>
              <w:pStyle w:val="Tabletext"/>
              <w:jc w:val="center"/>
              <w:rPr>
                <w:rFonts w:eastAsia="MS Mincho"/>
                <w:b/>
              </w:rPr>
            </w:pPr>
            <w:r>
              <w:rPr>
                <w:rFonts w:eastAsia="MS Mincho"/>
                <w:b/>
              </w:rPr>
              <w:t>SM.2080-0</w:t>
            </w:r>
          </w:p>
        </w:tc>
        <w:tc>
          <w:tcPr>
            <w:tcW w:w="5813" w:type="dxa"/>
          </w:tcPr>
          <w:p w:rsidR="00D34695" w:rsidRPr="00721930" w:rsidRDefault="00D34695" w:rsidP="008907C4">
            <w:pPr>
              <w:pStyle w:val="Tabletext"/>
            </w:pPr>
            <w:r>
              <w:t>Exactitud de la información horaria en los datos a la salida de los receptores de comprobación técnica</w:t>
            </w:r>
          </w:p>
        </w:tc>
        <w:tc>
          <w:tcPr>
            <w:tcW w:w="1350" w:type="dxa"/>
          </w:tcPr>
          <w:p w:rsidR="00D34695" w:rsidRPr="00C01667" w:rsidRDefault="00D34695" w:rsidP="00D34695">
            <w:pPr>
              <w:pStyle w:val="Tabletext"/>
              <w:jc w:val="center"/>
            </w:pPr>
            <w:r>
              <w:t>NOC</w:t>
            </w:r>
          </w:p>
        </w:tc>
        <w:tc>
          <w:tcPr>
            <w:tcW w:w="1598" w:type="dxa"/>
          </w:tcPr>
          <w:p w:rsidR="00D34695" w:rsidRDefault="00D34695" w:rsidP="00D34695">
            <w:pPr>
              <w:pStyle w:val="Tabletext"/>
              <w:jc w:val="center"/>
              <w:rPr>
                <w:lang w:val="es-ES"/>
              </w:rPr>
            </w:pPr>
          </w:p>
        </w:tc>
      </w:tr>
    </w:tbl>
    <w:p w:rsidR="00750DCE" w:rsidRDefault="00750DCE" w:rsidP="0032202E">
      <w:pPr>
        <w:pStyle w:val="Reasons"/>
      </w:pPr>
    </w:p>
    <w:p w:rsidR="00750DCE" w:rsidRDefault="00750DCE">
      <w:pPr>
        <w:jc w:val="center"/>
      </w:pPr>
      <w:r>
        <w:t>______________</w:t>
      </w:r>
    </w:p>
    <w:p w:rsidR="002226B3" w:rsidRPr="00D51FE4" w:rsidRDefault="002226B3" w:rsidP="002226B3">
      <w:pPr>
        <w:rPr>
          <w:lang w:val="en-US"/>
        </w:rPr>
      </w:pPr>
    </w:p>
    <w:sectPr w:rsidR="002226B3" w:rsidRPr="00D51FE4">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6B3" w:rsidRDefault="002226B3">
      <w:r>
        <w:separator/>
      </w:r>
    </w:p>
  </w:endnote>
  <w:endnote w:type="continuationSeparator" w:id="0">
    <w:p w:rsidR="002226B3" w:rsidRDefault="0022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6B3" w:rsidRDefault="002226B3">
    <w:pPr>
      <w:rPr>
        <w:lang w:val="en-US"/>
      </w:rPr>
    </w:pPr>
    <w:r>
      <w:fldChar w:fldCharType="begin"/>
    </w:r>
    <w:r>
      <w:rPr>
        <w:lang w:val="en-US"/>
      </w:rPr>
      <w:instrText xml:space="preserve"> FILENAME \p  \* MERGEFORMAT </w:instrText>
    </w:r>
    <w:r>
      <w:fldChar w:fldCharType="separate"/>
    </w:r>
    <w:r w:rsidR="00C416E8">
      <w:rPr>
        <w:noProof/>
        <w:lang w:val="en-US"/>
      </w:rPr>
      <w:t>P:\ESP\ITU-R\SG-R\SG01\1000\1002S.docx</w:t>
    </w:r>
    <w:r>
      <w:fldChar w:fldCharType="end"/>
    </w:r>
    <w:r>
      <w:rPr>
        <w:lang w:val="en-US"/>
      </w:rPr>
      <w:tab/>
    </w:r>
    <w:r>
      <w:fldChar w:fldCharType="begin"/>
    </w:r>
    <w:r>
      <w:instrText xml:space="preserve"> SAVEDATE \@ DD.MM.YY </w:instrText>
    </w:r>
    <w:r>
      <w:fldChar w:fldCharType="separate"/>
    </w:r>
    <w:r w:rsidR="004D114A">
      <w:rPr>
        <w:noProof/>
      </w:rPr>
      <w:t>19.10.15</w:t>
    </w:r>
    <w:r>
      <w:fldChar w:fldCharType="end"/>
    </w:r>
    <w:r>
      <w:rPr>
        <w:lang w:val="en-US"/>
      </w:rPr>
      <w:tab/>
    </w:r>
    <w:r>
      <w:fldChar w:fldCharType="begin"/>
    </w:r>
    <w:r>
      <w:instrText xml:space="preserve"> PRINTDATE \@ DD.MM.YY </w:instrText>
    </w:r>
    <w:r>
      <w:fldChar w:fldCharType="separate"/>
    </w:r>
    <w:r w:rsidR="00C416E8">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7C4" w:rsidRDefault="008907C4" w:rsidP="008907C4">
    <w:pPr>
      <w:pStyle w:val="Footer"/>
    </w:pPr>
    <w:r>
      <w:fldChar w:fldCharType="begin"/>
    </w:r>
    <w:r>
      <w:instrText xml:space="preserve"> FILENAME \p  \* MERGEFORMAT </w:instrText>
    </w:r>
    <w:r>
      <w:fldChar w:fldCharType="separate"/>
    </w:r>
    <w:r>
      <w:t>P:\ESP\ITU-R\SG-R\SG01\1000\1002S.docx</w:t>
    </w:r>
    <w:r>
      <w:fldChar w:fldCharType="end"/>
    </w:r>
    <w:r>
      <w:t xml:space="preserve"> (383136)</w:t>
    </w:r>
    <w:r>
      <w:tab/>
    </w:r>
    <w:r>
      <w:fldChar w:fldCharType="begin"/>
    </w:r>
    <w:r>
      <w:instrText xml:space="preserve"> SAVEDATE \@ DD.MM.YY </w:instrText>
    </w:r>
    <w:r>
      <w:fldChar w:fldCharType="separate"/>
    </w:r>
    <w:r>
      <w:t>19.10.15</w:t>
    </w:r>
    <w:r>
      <w:fldChar w:fldCharType="end"/>
    </w:r>
    <w:r>
      <w:tab/>
    </w:r>
    <w:r>
      <w:fldChar w:fldCharType="begin"/>
    </w:r>
    <w:r>
      <w:instrText xml:space="preserve"> PRINTDATE \@ DD.MM.YY </w:instrText>
    </w:r>
    <w:r>
      <w:fldChar w:fldCharType="separate"/>
    </w:r>
    <w:r>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6B3" w:rsidRDefault="00C416E8" w:rsidP="008907C4">
    <w:pPr>
      <w:pStyle w:val="Footer"/>
    </w:pPr>
    <w:fldSimple w:instr=" FILENAME \p  \* MERGEFORMAT ">
      <w:r w:rsidR="008907C4">
        <w:t>P:\ESP\ITU-R\SG-R\SG01\1000\1002S.docx</w:t>
      </w:r>
    </w:fldSimple>
    <w:r w:rsidR="002226B3">
      <w:t xml:space="preserve"> (</w:t>
    </w:r>
    <w:r w:rsidR="008907C4">
      <w:t>383136</w:t>
    </w:r>
    <w:r w:rsidR="002226B3">
      <w:t>)</w:t>
    </w:r>
    <w:r w:rsidR="002226B3">
      <w:tab/>
    </w:r>
    <w:r w:rsidR="002226B3">
      <w:fldChar w:fldCharType="begin"/>
    </w:r>
    <w:r w:rsidR="002226B3">
      <w:instrText xml:space="preserve"> SAVEDATE \@ DD.MM.YY </w:instrText>
    </w:r>
    <w:r w:rsidR="002226B3">
      <w:fldChar w:fldCharType="separate"/>
    </w:r>
    <w:r w:rsidR="008907C4">
      <w:t>19.10.15</w:t>
    </w:r>
    <w:r w:rsidR="002226B3">
      <w:fldChar w:fldCharType="end"/>
    </w:r>
    <w:r w:rsidR="002226B3">
      <w:tab/>
    </w:r>
    <w:r w:rsidR="002226B3">
      <w:fldChar w:fldCharType="begin"/>
    </w:r>
    <w:r w:rsidR="002226B3">
      <w:instrText xml:space="preserve"> PRINTDATE \@ DD.MM.YY </w:instrText>
    </w:r>
    <w:r w:rsidR="002226B3">
      <w:fldChar w:fldCharType="separate"/>
    </w:r>
    <w:r w:rsidR="008907C4">
      <w:t>19.10.15</w:t>
    </w:r>
    <w:r w:rsidR="002226B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6B3" w:rsidRDefault="002226B3">
      <w:r>
        <w:rPr>
          <w:b/>
        </w:rPr>
        <w:t>_______________</w:t>
      </w:r>
    </w:p>
  </w:footnote>
  <w:footnote w:type="continuationSeparator" w:id="0">
    <w:p w:rsidR="002226B3" w:rsidRDefault="0022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6B3" w:rsidRDefault="002226B3" w:rsidP="004D114A">
    <w:pPr>
      <w:pStyle w:val="Header"/>
    </w:pPr>
    <w:r>
      <w:fldChar w:fldCharType="begin"/>
    </w:r>
    <w:r>
      <w:instrText xml:space="preserve"> PAGE  \* MERGEFORMAT </w:instrText>
    </w:r>
    <w:r>
      <w:fldChar w:fldCharType="separate"/>
    </w:r>
    <w:r w:rsidR="004F18AE">
      <w:rPr>
        <w:noProof/>
      </w:rPr>
      <w:t>2</w:t>
    </w:r>
    <w:r>
      <w:fldChar w:fldCharType="end"/>
    </w:r>
  </w:p>
  <w:p w:rsidR="002226B3" w:rsidRDefault="004D114A">
    <w:pPr>
      <w:pStyle w:val="Header"/>
    </w:pPr>
    <w:r>
      <w:t>1</w:t>
    </w:r>
    <w:r w:rsidR="002226B3">
      <w:t>/</w:t>
    </w:r>
    <w:r>
      <w:t>1002</w:t>
    </w:r>
    <w:r w:rsidR="002226B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mirrorMargin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48"/>
    <w:rsid w:val="00012B52"/>
    <w:rsid w:val="00016A7C"/>
    <w:rsid w:val="00020ACE"/>
    <w:rsid w:val="000C6067"/>
    <w:rsid w:val="00153F0A"/>
    <w:rsid w:val="001702B0"/>
    <w:rsid w:val="001721DD"/>
    <w:rsid w:val="001C586C"/>
    <w:rsid w:val="002226B3"/>
    <w:rsid w:val="002334F2"/>
    <w:rsid w:val="002B6243"/>
    <w:rsid w:val="00333F35"/>
    <w:rsid w:val="0035114B"/>
    <w:rsid w:val="0043283F"/>
    <w:rsid w:val="00466F3C"/>
    <w:rsid w:val="004D114A"/>
    <w:rsid w:val="004F18AE"/>
    <w:rsid w:val="005335D1"/>
    <w:rsid w:val="005648DF"/>
    <w:rsid w:val="005C4F7E"/>
    <w:rsid w:val="006050EE"/>
    <w:rsid w:val="00693CB4"/>
    <w:rsid w:val="006B756B"/>
    <w:rsid w:val="00716EC9"/>
    <w:rsid w:val="00750DCE"/>
    <w:rsid w:val="0075573C"/>
    <w:rsid w:val="007D3BE0"/>
    <w:rsid w:val="008246E6"/>
    <w:rsid w:val="00847A8E"/>
    <w:rsid w:val="00876AE7"/>
    <w:rsid w:val="008907C4"/>
    <w:rsid w:val="008E02B6"/>
    <w:rsid w:val="009630C4"/>
    <w:rsid w:val="00A72134"/>
    <w:rsid w:val="00AC1C08"/>
    <w:rsid w:val="00AE75B3"/>
    <w:rsid w:val="00AF7660"/>
    <w:rsid w:val="00BF1023"/>
    <w:rsid w:val="00C278F8"/>
    <w:rsid w:val="00C416E8"/>
    <w:rsid w:val="00D26639"/>
    <w:rsid w:val="00D33F73"/>
    <w:rsid w:val="00D34695"/>
    <w:rsid w:val="00DE35E9"/>
    <w:rsid w:val="00DE6448"/>
    <w:rsid w:val="00E01901"/>
    <w:rsid w:val="00E1414B"/>
    <w:rsid w:val="00E55476"/>
    <w:rsid w:val="00EB5C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6601145-A918-42BB-A140-B8B3DEE5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styleId="BalloonText">
    <w:name w:val="Balloon Text"/>
    <w:basedOn w:val="Normal"/>
    <w:link w:val="BalloonTextChar"/>
    <w:semiHidden/>
    <w:unhideWhenUsed/>
    <w:rsid w:val="002226B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226B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S%20-%20ITU\P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PS_RA15.dotx</Template>
  <TotalTime>115</TotalTime>
  <Pages>5</Pages>
  <Words>1472</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10388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Li, Yong</dc:creator>
  <cp:keywords/>
  <dc:description>PS_RA07.dot  Para: _x000d_Fecha del documento: _x000d_Registrado por MM-43480 a 16:09:38 el 16.10.07</dc:description>
  <cp:lastModifiedBy>Spanish</cp:lastModifiedBy>
  <cp:revision>8</cp:revision>
  <cp:lastPrinted>2015-10-19T06:21:00Z</cp:lastPrinted>
  <dcterms:created xsi:type="dcterms:W3CDTF">2015-10-16T12:55:00Z</dcterms:created>
  <dcterms:modified xsi:type="dcterms:W3CDTF">2015-10-19T11:15:00Z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