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9624B" w:rsidTr="0029624B">
        <w:trPr>
          <w:cantSplit/>
        </w:trPr>
        <w:tc>
          <w:tcPr>
            <w:tcW w:w="6345" w:type="dxa"/>
          </w:tcPr>
          <w:p w:rsidR="0029624B" w:rsidRPr="004844C1" w:rsidRDefault="0029624B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proofErr w:type="spellStart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</w:t>
            </w:r>
            <w:proofErr w:type="spellEnd"/>
            <w:r w:rsidRPr="004844C1">
              <w:rPr>
                <w:rFonts w:ascii="Verdana" w:hAnsi="Verdana"/>
                <w:b/>
                <w:sz w:val="26"/>
                <w:szCs w:val="26"/>
              </w:rPr>
              <w:t xml:space="preserve">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29624B" w:rsidRDefault="0029624B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C7889C" wp14:editId="43D0824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24B" w:rsidRPr="00617BE4" w:rsidTr="0029624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9624B" w:rsidRPr="00617BE4" w:rsidRDefault="0029624B" w:rsidP="0029624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9624B" w:rsidRPr="00617BE4" w:rsidRDefault="0029624B" w:rsidP="0029624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9624B" w:rsidRPr="00C324A8" w:rsidTr="0029624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9624B" w:rsidRPr="00C324A8" w:rsidRDefault="0029624B" w:rsidP="0029624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9624B" w:rsidRPr="00C324A8" w:rsidRDefault="0029624B" w:rsidP="0029624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9624B" w:rsidRPr="00C324A8" w:rsidTr="0029624B">
        <w:trPr>
          <w:cantSplit/>
          <w:trHeight w:val="23"/>
        </w:trPr>
        <w:tc>
          <w:tcPr>
            <w:tcW w:w="6345" w:type="dxa"/>
            <w:vMerge w:val="restart"/>
          </w:tcPr>
          <w:p w:rsidR="0029624B" w:rsidRPr="0029624B" w:rsidRDefault="0029624B" w:rsidP="0029624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29624B" w:rsidRPr="0029624B" w:rsidRDefault="0029624B" w:rsidP="0029624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3/1003-E</w:t>
            </w:r>
          </w:p>
        </w:tc>
      </w:tr>
      <w:tr w:rsidR="0029624B" w:rsidRPr="00C324A8" w:rsidTr="0029624B">
        <w:trPr>
          <w:cantSplit/>
          <w:trHeight w:val="23"/>
        </w:trPr>
        <w:tc>
          <w:tcPr>
            <w:tcW w:w="6345" w:type="dxa"/>
            <w:vMerge/>
          </w:tcPr>
          <w:p w:rsidR="0029624B" w:rsidRPr="00C324A8" w:rsidRDefault="0029624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29624B" w:rsidRPr="0029624B" w:rsidRDefault="0029624B" w:rsidP="0029624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August 2015</w:t>
            </w:r>
          </w:p>
        </w:tc>
      </w:tr>
      <w:tr w:rsidR="0029624B" w:rsidRPr="00C324A8" w:rsidTr="0029624B">
        <w:trPr>
          <w:cantSplit/>
          <w:trHeight w:val="23"/>
        </w:trPr>
        <w:tc>
          <w:tcPr>
            <w:tcW w:w="6345" w:type="dxa"/>
            <w:vMerge/>
          </w:tcPr>
          <w:p w:rsidR="0029624B" w:rsidRPr="00C324A8" w:rsidRDefault="0029624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29624B" w:rsidRPr="00C324A8" w:rsidRDefault="0029624B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29624B" w:rsidTr="0029624B">
        <w:trPr>
          <w:cantSplit/>
        </w:trPr>
        <w:tc>
          <w:tcPr>
            <w:tcW w:w="10031" w:type="dxa"/>
            <w:gridSpan w:val="2"/>
          </w:tcPr>
          <w:p w:rsidR="0029624B" w:rsidRPr="00F17405" w:rsidRDefault="0029624B" w:rsidP="0029624B">
            <w:pPr>
              <w:pStyle w:val="Source"/>
            </w:pPr>
            <w:bookmarkStart w:id="5" w:name="dsource" w:colFirst="0" w:colLast="0"/>
            <w:bookmarkEnd w:id="4"/>
            <w:proofErr w:type="spellStart"/>
            <w:r w:rsidRPr="00F17405">
              <w:t>Radiocommunication</w:t>
            </w:r>
            <w:proofErr w:type="spellEnd"/>
            <w:r w:rsidRPr="00F17405">
              <w:t xml:space="preserve"> Study Group 3</w:t>
            </w:r>
          </w:p>
        </w:tc>
      </w:tr>
      <w:tr w:rsidR="0029624B" w:rsidTr="0029624B">
        <w:trPr>
          <w:cantSplit/>
        </w:trPr>
        <w:tc>
          <w:tcPr>
            <w:tcW w:w="10031" w:type="dxa"/>
            <w:gridSpan w:val="2"/>
          </w:tcPr>
          <w:p w:rsidR="0029624B" w:rsidRPr="00F17405" w:rsidRDefault="0029624B" w:rsidP="0029624B">
            <w:pPr>
              <w:pStyle w:val="Title1"/>
            </w:pPr>
            <w:bookmarkStart w:id="6" w:name="dtitle1" w:colFirst="0" w:colLast="0"/>
            <w:bookmarkEnd w:id="5"/>
            <w:r w:rsidRPr="00F17405">
              <w:t>radiowave propagation</w:t>
            </w:r>
          </w:p>
        </w:tc>
      </w:tr>
      <w:tr w:rsidR="0029624B" w:rsidTr="0029624B">
        <w:trPr>
          <w:cantSplit/>
        </w:trPr>
        <w:tc>
          <w:tcPr>
            <w:tcW w:w="10031" w:type="dxa"/>
            <w:gridSpan w:val="2"/>
          </w:tcPr>
          <w:p w:rsidR="0029624B" w:rsidRPr="00F17405" w:rsidRDefault="0029624B" w:rsidP="0029624B">
            <w:pPr>
              <w:pStyle w:val="Title2"/>
            </w:pPr>
            <w:bookmarkStart w:id="7" w:name="dtitle2" w:colFirst="0" w:colLast="0"/>
            <w:bookmarkEnd w:id="6"/>
            <w:r w:rsidRPr="00F17405">
              <w:t>Questions assigned to radiocommunication study group 3</w:t>
            </w:r>
          </w:p>
        </w:tc>
      </w:tr>
      <w:tr w:rsidR="0029624B" w:rsidTr="0029624B">
        <w:trPr>
          <w:cantSplit/>
        </w:trPr>
        <w:tc>
          <w:tcPr>
            <w:tcW w:w="10031" w:type="dxa"/>
            <w:gridSpan w:val="2"/>
          </w:tcPr>
          <w:p w:rsidR="0029624B" w:rsidRDefault="0029624B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29624B" w:rsidRPr="00F17405" w:rsidRDefault="0029624B" w:rsidP="0029624B">
      <w:pPr>
        <w:tabs>
          <w:tab w:val="left" w:pos="851"/>
        </w:tabs>
      </w:pPr>
      <w:bookmarkStart w:id="9" w:name="dbreak"/>
      <w:bookmarkEnd w:id="8"/>
      <w:bookmarkEnd w:id="9"/>
      <w:r w:rsidRPr="00F17405">
        <w:t xml:space="preserve">Attached please find the list of Questions assigned to </w:t>
      </w:r>
      <w:proofErr w:type="spellStart"/>
      <w:r w:rsidRPr="00F17405">
        <w:t>Radiocommunication</w:t>
      </w:r>
      <w:proofErr w:type="spellEnd"/>
      <w:r w:rsidRPr="00F17405">
        <w:t xml:space="preserve"> Study Group 3. The following extract from Resolution ITU-R 5</w:t>
      </w:r>
      <w:r w:rsidRPr="00F17405">
        <w:noBreakHyphen/>
      </w:r>
      <w:r>
        <w:t>6</w:t>
      </w:r>
      <w:r w:rsidRPr="00F17405">
        <w:t xml:space="preserve"> gives the definition of categories of Questions:</w:t>
      </w:r>
    </w:p>
    <w:p w:rsidR="0029624B" w:rsidRPr="00F17405" w:rsidRDefault="0029624B" w:rsidP="0029624B">
      <w:r w:rsidRPr="00F17405">
        <w:t xml:space="preserve">C: </w:t>
      </w:r>
      <w:r w:rsidRPr="00F17405">
        <w:tab/>
        <w:t xml:space="preserve">Conference-oriented Questions associated with work related to specific preparations for, and decisions of, world and regional </w:t>
      </w:r>
      <w:proofErr w:type="spellStart"/>
      <w:r w:rsidRPr="00F17405">
        <w:t>radiocommunication</w:t>
      </w:r>
      <w:proofErr w:type="spellEnd"/>
      <w:r w:rsidRPr="00F17405">
        <w:t xml:space="preserve"> conferences:</w:t>
      </w:r>
    </w:p>
    <w:p w:rsidR="0029624B" w:rsidRPr="00F17405" w:rsidRDefault="0029624B" w:rsidP="0029624B">
      <w:pPr>
        <w:pStyle w:val="enumlev2"/>
      </w:pPr>
      <w:r w:rsidRPr="00F17405">
        <w:t>C1:</w:t>
      </w:r>
      <w:r w:rsidRPr="00F17405">
        <w:tab/>
        <w:t xml:space="preserve">very urgent and priority studies, required for the next World </w:t>
      </w:r>
      <w:proofErr w:type="spellStart"/>
      <w:r w:rsidRPr="00F17405">
        <w:t>Radiocommunication</w:t>
      </w:r>
      <w:proofErr w:type="spellEnd"/>
      <w:r w:rsidRPr="00F17405">
        <w:t xml:space="preserve"> Conference;</w:t>
      </w:r>
    </w:p>
    <w:p w:rsidR="0029624B" w:rsidRPr="00F17405" w:rsidRDefault="0029624B" w:rsidP="0029624B">
      <w:pPr>
        <w:pStyle w:val="enumlev2"/>
      </w:pPr>
      <w:r w:rsidRPr="00F17405">
        <w:t>C2:</w:t>
      </w:r>
      <w:r w:rsidRPr="00F17405">
        <w:tab/>
        <w:t xml:space="preserve">urgent studies, expected to be required for other </w:t>
      </w:r>
      <w:proofErr w:type="spellStart"/>
      <w:r w:rsidRPr="00F17405">
        <w:t>radiocommunication</w:t>
      </w:r>
      <w:proofErr w:type="spellEnd"/>
      <w:r w:rsidRPr="00F17405">
        <w:t xml:space="preserve"> conferences;</w:t>
      </w:r>
    </w:p>
    <w:p w:rsidR="0029624B" w:rsidRPr="00F17405" w:rsidRDefault="0029624B" w:rsidP="0029624B">
      <w:r w:rsidRPr="00F17405">
        <w:t>S:</w:t>
      </w:r>
      <w:r w:rsidRPr="00F17405">
        <w:tab/>
        <w:t>Questions which are intended to respond to:</w:t>
      </w:r>
    </w:p>
    <w:p w:rsidR="0029624B" w:rsidRPr="00F17405" w:rsidRDefault="0029624B" w:rsidP="0029624B">
      <w:pPr>
        <w:pStyle w:val="enumlev1"/>
      </w:pPr>
      <w:r w:rsidRPr="00F17405">
        <w:t>–</w:t>
      </w:r>
      <w:r w:rsidRPr="00F17405">
        <w:tab/>
        <w:t xml:space="preserve">matters referred to the </w:t>
      </w:r>
      <w:proofErr w:type="spellStart"/>
      <w:r w:rsidRPr="00F17405">
        <w:t>Radiocommunication</w:t>
      </w:r>
      <w:proofErr w:type="spellEnd"/>
      <w:r w:rsidRPr="00F17405">
        <w:t xml:space="preserve"> Assembly by the Plenipotentiary Conference, any other conference, the Council, the Radio Regulations Board;</w:t>
      </w:r>
    </w:p>
    <w:p w:rsidR="0029624B" w:rsidRPr="00F17405" w:rsidRDefault="0029624B" w:rsidP="0029624B">
      <w:pPr>
        <w:pStyle w:val="enumlev1"/>
      </w:pPr>
      <w:r w:rsidRPr="00F17405">
        <w:t>–</w:t>
      </w:r>
      <w:r w:rsidRPr="00F17405">
        <w:tab/>
        <w:t xml:space="preserve">advances in </w:t>
      </w:r>
      <w:proofErr w:type="spellStart"/>
      <w:r w:rsidRPr="00F17405">
        <w:t>radiocommunication</w:t>
      </w:r>
      <w:proofErr w:type="spellEnd"/>
      <w:r w:rsidRPr="00F17405">
        <w:t xml:space="preserve"> technology or spectrum management;</w:t>
      </w:r>
    </w:p>
    <w:p w:rsidR="0029624B" w:rsidRPr="00F17405" w:rsidRDefault="0029624B" w:rsidP="0029624B">
      <w:pPr>
        <w:pStyle w:val="enumlev1"/>
      </w:pPr>
      <w:r w:rsidRPr="00F17405">
        <w:t>–</w:t>
      </w:r>
      <w:r w:rsidRPr="00F17405">
        <w:tab/>
        <w:t>changes in radio usage or operation:</w:t>
      </w:r>
    </w:p>
    <w:p w:rsidR="0029624B" w:rsidRPr="00F17405" w:rsidRDefault="0029624B" w:rsidP="0029624B">
      <w:pPr>
        <w:pStyle w:val="enumlev2"/>
      </w:pPr>
      <w:r w:rsidRPr="00F17405">
        <w:t>S1:</w:t>
      </w:r>
      <w:r w:rsidRPr="00F17405">
        <w:tab/>
        <w:t>urgent studies which are intended to be completed within two years;</w:t>
      </w:r>
    </w:p>
    <w:p w:rsidR="0029624B" w:rsidRPr="00F17405" w:rsidRDefault="0029624B" w:rsidP="0029624B">
      <w:pPr>
        <w:pStyle w:val="enumlev2"/>
      </w:pPr>
      <w:r w:rsidRPr="00F17405">
        <w:t>S2:</w:t>
      </w:r>
      <w:r w:rsidRPr="00F17405">
        <w:tab/>
        <w:t xml:space="preserve">important studies, necessary for the development of </w:t>
      </w:r>
      <w:proofErr w:type="spellStart"/>
      <w:r w:rsidRPr="00F17405">
        <w:t>radiocommunications</w:t>
      </w:r>
      <w:proofErr w:type="spellEnd"/>
      <w:r w:rsidRPr="00F17405">
        <w:t>;</w:t>
      </w:r>
    </w:p>
    <w:p w:rsidR="0029624B" w:rsidRPr="00F17405" w:rsidRDefault="0029624B" w:rsidP="0029624B">
      <w:pPr>
        <w:pStyle w:val="enumlev2"/>
      </w:pPr>
      <w:r w:rsidRPr="00F17405">
        <w:t>S3:</w:t>
      </w:r>
      <w:r w:rsidRPr="00F17405">
        <w:tab/>
        <w:t xml:space="preserve">required studies, expected to facilitate the development of </w:t>
      </w:r>
      <w:proofErr w:type="spellStart"/>
      <w:r w:rsidRPr="00F17405">
        <w:t>radiocommunications</w:t>
      </w:r>
      <w:proofErr w:type="spellEnd"/>
      <w:r w:rsidRPr="00F17405">
        <w:t>;</w:t>
      </w:r>
    </w:p>
    <w:p w:rsidR="0029624B" w:rsidRPr="00F17405" w:rsidRDefault="0029624B" w:rsidP="002962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926"/>
        <w:gridCol w:w="1926"/>
        <w:gridCol w:w="1926"/>
        <w:gridCol w:w="1926"/>
      </w:tblGrid>
      <w:tr w:rsidR="0029624B" w:rsidRPr="00F17405" w:rsidTr="002628B9">
        <w:trPr>
          <w:jc w:val="center"/>
        </w:trPr>
        <w:tc>
          <w:tcPr>
            <w:tcW w:w="1925" w:type="dxa"/>
            <w:vAlign w:val="center"/>
          </w:tcPr>
          <w:p w:rsidR="0029624B" w:rsidRPr="00F17405" w:rsidRDefault="0029624B" w:rsidP="002628B9">
            <w:pPr>
              <w:spacing w:after="120"/>
              <w:jc w:val="center"/>
            </w:pPr>
            <w:r w:rsidRPr="00F17405">
              <w:rPr>
                <w:b/>
                <w:bCs/>
              </w:rPr>
              <w:t>NOC</w:t>
            </w:r>
            <w:r w:rsidRPr="00F17405">
              <w:t xml:space="preserve"> = </w:t>
            </w:r>
            <w:r w:rsidRPr="00F17405">
              <w:br/>
              <w:t>Maintained</w:t>
            </w:r>
          </w:p>
        </w:tc>
        <w:tc>
          <w:tcPr>
            <w:tcW w:w="1926" w:type="dxa"/>
            <w:vAlign w:val="center"/>
          </w:tcPr>
          <w:p w:rsidR="0029624B" w:rsidRPr="00F17405" w:rsidRDefault="0029624B" w:rsidP="002628B9">
            <w:pPr>
              <w:spacing w:after="120"/>
              <w:jc w:val="center"/>
            </w:pPr>
            <w:r w:rsidRPr="00F17405">
              <w:rPr>
                <w:b/>
                <w:bCs/>
              </w:rPr>
              <w:t>MOD</w:t>
            </w:r>
            <w:r w:rsidRPr="00F17405">
              <w:t xml:space="preserve"> = </w:t>
            </w:r>
            <w:r w:rsidRPr="00F17405">
              <w:br/>
              <w:t>Revised</w:t>
            </w:r>
          </w:p>
        </w:tc>
        <w:tc>
          <w:tcPr>
            <w:tcW w:w="1926" w:type="dxa"/>
            <w:vAlign w:val="center"/>
          </w:tcPr>
          <w:p w:rsidR="0029624B" w:rsidRPr="00F17405" w:rsidRDefault="0029624B" w:rsidP="002628B9">
            <w:pPr>
              <w:spacing w:after="120"/>
              <w:jc w:val="center"/>
            </w:pPr>
            <w:r w:rsidRPr="00F17405">
              <w:rPr>
                <w:b/>
                <w:bCs/>
              </w:rPr>
              <w:t>SUP</w:t>
            </w:r>
            <w:r w:rsidRPr="00F17405">
              <w:t xml:space="preserve"> =</w:t>
            </w:r>
            <w:r w:rsidRPr="00F17405">
              <w:br/>
              <w:t>Deleted</w:t>
            </w:r>
          </w:p>
        </w:tc>
        <w:tc>
          <w:tcPr>
            <w:tcW w:w="1926" w:type="dxa"/>
            <w:vAlign w:val="center"/>
          </w:tcPr>
          <w:p w:rsidR="0029624B" w:rsidRPr="00F17405" w:rsidRDefault="0029624B" w:rsidP="002628B9">
            <w:pPr>
              <w:spacing w:after="120"/>
              <w:jc w:val="center"/>
            </w:pPr>
            <w:r w:rsidRPr="00F17405">
              <w:rPr>
                <w:b/>
                <w:bCs/>
              </w:rPr>
              <w:t>ADD</w:t>
            </w:r>
            <w:r w:rsidRPr="00F17405">
              <w:t xml:space="preserve"> =</w:t>
            </w:r>
            <w:r w:rsidRPr="00F17405">
              <w:br/>
              <w:t>New text</w:t>
            </w:r>
          </w:p>
        </w:tc>
        <w:tc>
          <w:tcPr>
            <w:tcW w:w="1926" w:type="dxa"/>
            <w:vAlign w:val="center"/>
          </w:tcPr>
          <w:p w:rsidR="0029624B" w:rsidRPr="00F17405" w:rsidRDefault="0029624B" w:rsidP="002628B9">
            <w:pPr>
              <w:spacing w:after="120"/>
              <w:jc w:val="center"/>
            </w:pPr>
            <w:r w:rsidRPr="00F17405">
              <w:rPr>
                <w:b/>
                <w:bCs/>
              </w:rPr>
              <w:t>UNA</w:t>
            </w:r>
            <w:r w:rsidRPr="00F17405">
              <w:t xml:space="preserve"> = </w:t>
            </w:r>
            <w:r w:rsidRPr="00F17405">
              <w:br/>
              <w:t>Undergoing approval</w:t>
            </w:r>
          </w:p>
        </w:tc>
      </w:tr>
    </w:tbl>
    <w:p w:rsidR="0029624B" w:rsidRPr="00F17405" w:rsidRDefault="0029624B" w:rsidP="0029624B"/>
    <w:p w:rsidR="0029624B" w:rsidRPr="00F17405" w:rsidRDefault="0029624B" w:rsidP="0029624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17405">
        <w:br w:type="page"/>
      </w:r>
    </w:p>
    <w:p w:rsidR="0029624B" w:rsidRPr="00F17405" w:rsidRDefault="0029624B" w:rsidP="0029624B">
      <w:pPr>
        <w:pStyle w:val="AnnexNo"/>
      </w:pPr>
      <w:r w:rsidRPr="00F17405">
        <w:lastRenderedPageBreak/>
        <w:t>QUESTIONS ASSIGNED TO radiocommunication STUDY GROUP 3</w:t>
      </w:r>
    </w:p>
    <w:p w:rsidR="0029624B" w:rsidRPr="00F17405" w:rsidRDefault="0029624B" w:rsidP="0029624B">
      <w:pPr>
        <w:pStyle w:val="Annextitle"/>
      </w:pPr>
      <w:proofErr w:type="spellStart"/>
      <w:r w:rsidRPr="00F17405">
        <w:t>Radiowave</w:t>
      </w:r>
      <w:proofErr w:type="spellEnd"/>
      <w:r w:rsidRPr="00F17405">
        <w:t xml:space="preserve"> propagation</w:t>
      </w:r>
    </w:p>
    <w:tbl>
      <w:tblPr>
        <w:tblStyle w:val="TableGrid"/>
        <w:tblW w:w="10031" w:type="dxa"/>
        <w:jc w:val="center"/>
        <w:tblLook w:val="01E0" w:firstRow="1" w:lastRow="1" w:firstColumn="1" w:lastColumn="1" w:noHBand="0" w:noVBand="0"/>
      </w:tblPr>
      <w:tblGrid>
        <w:gridCol w:w="1060"/>
        <w:gridCol w:w="4577"/>
        <w:gridCol w:w="850"/>
        <w:gridCol w:w="1005"/>
        <w:gridCol w:w="1016"/>
        <w:gridCol w:w="1523"/>
      </w:tblGrid>
      <w:tr w:rsidR="0029624B" w:rsidRPr="00F17405" w:rsidTr="0036099F">
        <w:trPr>
          <w:cantSplit/>
          <w:tblHeader/>
          <w:jc w:val="center"/>
        </w:trPr>
        <w:tc>
          <w:tcPr>
            <w:tcW w:w="1060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Question ITU-R</w:t>
            </w:r>
          </w:p>
        </w:tc>
        <w:tc>
          <w:tcPr>
            <w:tcW w:w="4577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Title</w:t>
            </w:r>
          </w:p>
        </w:tc>
        <w:tc>
          <w:tcPr>
            <w:tcW w:w="850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Status</w:t>
            </w:r>
          </w:p>
        </w:tc>
        <w:tc>
          <w:tcPr>
            <w:tcW w:w="1005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Category</w:t>
            </w:r>
          </w:p>
        </w:tc>
        <w:tc>
          <w:tcPr>
            <w:tcW w:w="1016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Proposed target date</w:t>
            </w:r>
          </w:p>
        </w:tc>
        <w:tc>
          <w:tcPr>
            <w:tcW w:w="1523" w:type="dxa"/>
            <w:vAlign w:val="center"/>
          </w:tcPr>
          <w:p w:rsidR="0029624B" w:rsidRPr="00F17405" w:rsidRDefault="0029624B" w:rsidP="0036099F">
            <w:pPr>
              <w:pStyle w:val="Tablehead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Comments</w:t>
            </w: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8" w:history="1">
              <w:r w:rsidR="0029624B" w:rsidRPr="002628B9">
                <w:rPr>
                  <w:rStyle w:val="Hyperlink"/>
                  <w:b/>
                  <w:bCs/>
                </w:rPr>
                <w:t>201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5/3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Radiometeorological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data required for the planning of terrestrial and space communication systems and space research application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9" w:history="1">
              <w:r w:rsidR="0029624B" w:rsidRPr="002628B9">
                <w:rPr>
                  <w:rStyle w:val="Hyperlink"/>
                  <w:b/>
                  <w:bCs/>
                </w:rPr>
                <w:t>2</w:t>
              </w:r>
              <w:r w:rsidR="0029624B" w:rsidRPr="002628B9">
                <w:rPr>
                  <w:rStyle w:val="Hyperlink"/>
                  <w:b/>
                  <w:bCs/>
                </w:rPr>
                <w:t>0</w:t>
              </w:r>
              <w:r w:rsidR="0029624B" w:rsidRPr="002628B9">
                <w:rPr>
                  <w:rStyle w:val="Hyperlink"/>
                  <w:b/>
                  <w:bCs/>
                </w:rPr>
                <w:t xml:space="preserve">2-4/3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Methods for predicting propagation over the surface of the Earth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" w:history="1">
              <w:r w:rsidR="0029624B" w:rsidRPr="002628B9">
                <w:rPr>
                  <w:rStyle w:val="Hyperlink"/>
                  <w:b/>
                  <w:bCs/>
                </w:rPr>
                <w:t>203-</w:t>
              </w:r>
              <w:r w:rsidR="0029624B" w:rsidRPr="002628B9">
                <w:rPr>
                  <w:rStyle w:val="Hyperlink"/>
                  <w:b/>
                  <w:bCs/>
                </w:rPr>
                <w:t>6</w:t>
              </w:r>
              <w:r w:rsidR="0029624B" w:rsidRPr="002628B9">
                <w:rPr>
                  <w:rStyle w:val="Hyperlink"/>
                  <w:b/>
                  <w:bCs/>
                </w:rPr>
                <w:t xml:space="preserve">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Propagation prediction methods for terrestrial broadcasting, fixed (broadband access) and mobile services using frequencies above 30 MHz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" w:history="1">
              <w:r w:rsidR="0029624B" w:rsidRPr="002628B9">
                <w:rPr>
                  <w:rStyle w:val="Hyperlink"/>
                  <w:b/>
                  <w:bCs/>
                </w:rPr>
                <w:t>20</w:t>
              </w:r>
              <w:r w:rsidR="0029624B" w:rsidRPr="002628B9">
                <w:rPr>
                  <w:rStyle w:val="Hyperlink"/>
                  <w:b/>
                  <w:bCs/>
                </w:rPr>
                <w:t>4</w:t>
              </w:r>
              <w:r w:rsidR="0029624B" w:rsidRPr="002628B9">
                <w:rPr>
                  <w:rStyle w:val="Hyperlink"/>
                  <w:b/>
                  <w:bCs/>
                </w:rPr>
                <w:t xml:space="preserve">-6/3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Propagation data and prediction methods required for terrestrial line-of-sight systems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2" w:history="1">
              <w:r w:rsidR="0029624B" w:rsidRPr="002628B9">
                <w:rPr>
                  <w:rStyle w:val="Hyperlink"/>
                  <w:b/>
                  <w:bCs/>
                </w:rPr>
                <w:t>20</w:t>
              </w:r>
              <w:r w:rsidR="0029624B" w:rsidRPr="002628B9">
                <w:rPr>
                  <w:rStyle w:val="Hyperlink"/>
                  <w:b/>
                  <w:bCs/>
                </w:rPr>
                <w:t>5</w:t>
              </w:r>
              <w:r w:rsidR="0029624B" w:rsidRPr="002628B9">
                <w:rPr>
                  <w:rStyle w:val="Hyperlink"/>
                  <w:b/>
                  <w:bCs/>
                </w:rPr>
                <w:t xml:space="preserve">-2/3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Propagation data and prediction methods required for trans-horizon systems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3" w:history="1">
              <w:r w:rsidR="0029624B" w:rsidRPr="002628B9">
                <w:rPr>
                  <w:rStyle w:val="Hyperlink"/>
                  <w:b/>
                  <w:bCs/>
                </w:rPr>
                <w:t>2</w:t>
              </w:r>
              <w:r w:rsidR="0029624B" w:rsidRPr="002628B9">
                <w:rPr>
                  <w:rStyle w:val="Hyperlink"/>
                  <w:b/>
                  <w:bCs/>
                </w:rPr>
                <w:t>0</w:t>
              </w:r>
              <w:r w:rsidR="0029624B" w:rsidRPr="002628B9">
                <w:rPr>
                  <w:rStyle w:val="Hyperlink"/>
                  <w:b/>
                  <w:bCs/>
                </w:rPr>
                <w:t xml:space="preserve">6-4/3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Propagation data and prediction methods for fixed and broadcasting-satellite services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4" w:history="1">
              <w:r w:rsidR="0029624B" w:rsidRPr="002628B9">
                <w:rPr>
                  <w:rStyle w:val="Hyperlink"/>
                  <w:b/>
                  <w:bCs/>
                </w:rPr>
                <w:t>2</w:t>
              </w:r>
              <w:r w:rsidR="0029624B" w:rsidRPr="002628B9">
                <w:rPr>
                  <w:rStyle w:val="Hyperlink"/>
                  <w:b/>
                  <w:bCs/>
                </w:rPr>
                <w:t>0</w:t>
              </w:r>
              <w:r w:rsidR="0029624B" w:rsidRPr="002628B9">
                <w:rPr>
                  <w:rStyle w:val="Hyperlink"/>
                  <w:b/>
                  <w:bCs/>
                </w:rPr>
                <w:t xml:space="preserve">7-5/3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 xml:space="preserve">Propagation data and prediction methods for satellite mobile and 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radiodetermination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services above about 0.1 GHz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5" w:history="1">
              <w:r w:rsidR="0029624B" w:rsidRPr="002628B9">
                <w:rPr>
                  <w:rStyle w:val="Hyperlink"/>
                  <w:b/>
                  <w:bCs/>
                </w:rPr>
                <w:t>208-</w:t>
              </w:r>
              <w:r w:rsidR="0029624B" w:rsidRPr="002628B9">
                <w:rPr>
                  <w:rStyle w:val="Hyperlink"/>
                  <w:b/>
                  <w:bCs/>
                </w:rPr>
                <w:t>5</w:t>
              </w:r>
              <w:r w:rsidR="0029624B" w:rsidRPr="002628B9">
                <w:rPr>
                  <w:rStyle w:val="Hyperlink"/>
                  <w:b/>
                  <w:bCs/>
                </w:rPr>
                <w:t xml:space="preserve">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 xml:space="preserve">Propagation factors in frequency sharing issues affecting </w:t>
            </w:r>
            <w:r>
              <w:rPr>
                <w:rFonts w:eastAsia="SimSun"/>
                <w:color w:val="000000"/>
                <w:lang w:eastAsia="zh-CN"/>
              </w:rPr>
              <w:t xml:space="preserve">space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radiocommunication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Pr="00F17405">
              <w:rPr>
                <w:rFonts w:eastAsia="SimSun"/>
                <w:color w:val="000000"/>
                <w:lang w:eastAsia="zh-CN"/>
              </w:rPr>
              <w:t xml:space="preserve"> services and terrestrial services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6" w:history="1">
              <w:r w:rsidR="0029624B" w:rsidRPr="002628B9">
                <w:rPr>
                  <w:rStyle w:val="Hyperlink"/>
                  <w:b/>
                  <w:bCs/>
                </w:rPr>
                <w:t>209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2/3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Variability and risk parameters in system performance analysis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201</w:t>
            </w: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7" w:history="1">
              <w:r w:rsidR="0029624B" w:rsidRPr="002628B9">
                <w:rPr>
                  <w:rStyle w:val="Hyperlink"/>
                  <w:b/>
                  <w:bCs/>
                </w:rPr>
                <w:t>211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6/3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 xml:space="preserve">Propagation data and propagation models in the frequency range 300 MHz to 100 GHz for the design of short-range wireless 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radiocommunication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systems and wireless local area networks (WLAN)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3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201</w:t>
            </w: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8" w:history="1">
              <w:r w:rsidR="0029624B" w:rsidRPr="002628B9">
                <w:rPr>
                  <w:rStyle w:val="Hyperlink"/>
                  <w:b/>
                  <w:bCs/>
                </w:rPr>
                <w:t>212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3/3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Ionospheric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properties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9" w:history="1">
              <w:r w:rsidR="0029624B" w:rsidRPr="002628B9">
                <w:rPr>
                  <w:rStyle w:val="Hyperlink"/>
                  <w:b/>
                  <w:bCs/>
                </w:rPr>
                <w:t>213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4/3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The short-term forecasting of operational parameters for trans-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ionospheric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radiocommunication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and aeronautical 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radionavigation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services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0" w:history="1">
              <w:r w:rsidR="0029624B" w:rsidRPr="002628B9">
                <w:rPr>
                  <w:rStyle w:val="Hyperlink"/>
                  <w:b/>
                  <w:bCs/>
                </w:rPr>
                <w:t>21</w:t>
              </w:r>
              <w:r w:rsidR="0029624B" w:rsidRPr="002628B9">
                <w:rPr>
                  <w:rStyle w:val="Hyperlink"/>
                  <w:b/>
                  <w:bCs/>
                </w:rPr>
                <w:t>4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>5</w:t>
              </w:r>
              <w:r w:rsidR="0029624B" w:rsidRPr="002628B9">
                <w:rPr>
                  <w:rStyle w:val="Hyperlink"/>
                  <w:b/>
                  <w:bCs/>
                </w:rPr>
                <w:t xml:space="preserve">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Radio noise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1" w:history="1">
              <w:r w:rsidR="0029624B" w:rsidRPr="002628B9">
                <w:rPr>
                  <w:rStyle w:val="Hyperlink"/>
                  <w:b/>
                  <w:bCs/>
                </w:rPr>
                <w:t>218-6</w:t>
              </w:r>
              <w:r w:rsidR="0029624B" w:rsidRPr="002628B9">
                <w:rPr>
                  <w:rStyle w:val="Hyperlink"/>
                  <w:b/>
                  <w:bCs/>
                </w:rPr>
                <w:t>/</w:t>
              </w:r>
              <w:r w:rsidR="0029624B" w:rsidRPr="002628B9">
                <w:rPr>
                  <w:rStyle w:val="Hyperlink"/>
                  <w:b/>
                  <w:bCs/>
                </w:rPr>
                <w:t xml:space="preserve">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Ionospheric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influences on </w:t>
            </w:r>
            <w:r>
              <w:rPr>
                <w:rFonts w:eastAsia="SimSun"/>
                <w:color w:val="000000"/>
                <w:lang w:eastAsia="zh-CN"/>
              </w:rPr>
              <w:t>satellite</w:t>
            </w:r>
            <w:r w:rsidRPr="00F17405">
              <w:rPr>
                <w:rFonts w:eastAsia="SimSun"/>
                <w:color w:val="000000"/>
                <w:lang w:eastAsia="zh-CN"/>
              </w:rPr>
              <w:t xml:space="preserve"> systems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3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2" w:history="1">
              <w:r w:rsidR="0029624B" w:rsidRPr="002628B9">
                <w:rPr>
                  <w:rStyle w:val="Hyperlink"/>
                  <w:b/>
                  <w:bCs/>
                </w:rPr>
                <w:t>222-</w:t>
              </w:r>
              <w:r w:rsidR="0029624B" w:rsidRPr="002628B9">
                <w:rPr>
                  <w:rStyle w:val="Hyperlink"/>
                  <w:b/>
                  <w:bCs/>
                </w:rPr>
                <w:t>4</w:t>
              </w:r>
              <w:r w:rsidR="0029624B" w:rsidRPr="002628B9">
                <w:rPr>
                  <w:rStyle w:val="Hyperlink"/>
                  <w:b/>
                  <w:bCs/>
                </w:rPr>
                <w:t xml:space="preserve">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 xml:space="preserve">Measurements and data banks of </w:t>
            </w: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ionospheric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characteristics and </w:t>
            </w:r>
            <w:r>
              <w:rPr>
                <w:rFonts w:eastAsia="SimSun"/>
                <w:color w:val="000000"/>
                <w:lang w:eastAsia="zh-CN"/>
              </w:rPr>
              <w:t xml:space="preserve">radio </w:t>
            </w:r>
            <w:r w:rsidRPr="00F17405">
              <w:rPr>
                <w:rFonts w:eastAsia="SimSun"/>
                <w:color w:val="000000"/>
                <w:lang w:eastAsia="zh-CN"/>
              </w:rPr>
              <w:t xml:space="preserve">noise 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3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3" w:history="1">
              <w:r w:rsidR="0029624B" w:rsidRPr="002628B9">
                <w:rPr>
                  <w:rStyle w:val="Hyperlink"/>
                  <w:b/>
                  <w:bCs/>
                </w:rPr>
                <w:t>22</w:t>
              </w:r>
              <w:r w:rsidR="0029624B" w:rsidRPr="002628B9">
                <w:rPr>
                  <w:rStyle w:val="Hyperlink"/>
                  <w:b/>
                  <w:bCs/>
                </w:rPr>
                <w:t>5</w:t>
              </w:r>
              <w:r w:rsidR="0029624B" w:rsidRPr="002628B9">
                <w:rPr>
                  <w:rStyle w:val="Hyperlink"/>
                  <w:b/>
                  <w:bCs/>
                </w:rPr>
                <w:t xml:space="preserve">-7/3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The prediction of propagation factors affecting systems at LF and MF including the use of digital modulation techniques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4" w:history="1">
              <w:r w:rsidR="0029624B" w:rsidRPr="002628B9">
                <w:rPr>
                  <w:rStyle w:val="Hyperlink"/>
                  <w:b/>
                  <w:bCs/>
                </w:rPr>
                <w:t>226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5/3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F17405">
              <w:rPr>
                <w:rFonts w:eastAsia="SimSun"/>
                <w:color w:val="000000"/>
                <w:lang w:eastAsia="zh-CN"/>
              </w:rPr>
              <w:t>Ionospheric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and tropospheric characteristics along satellite-to-satellite paths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3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C86806" w:rsidTr="00C86806">
        <w:tblPrEx>
          <w:jc w:val="left"/>
          <w:tblLook w:val="04A0" w:firstRow="1" w:lastRow="0" w:firstColumn="1" w:lastColumn="0" w:noHBand="0" w:noVBand="1"/>
        </w:tblPrEx>
        <w:tc>
          <w:tcPr>
            <w:tcW w:w="1060" w:type="dxa"/>
            <w:hideMark/>
          </w:tcPr>
          <w:p w:rsidR="00C86806" w:rsidRPr="00C86806" w:rsidRDefault="00C86806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5" w:history="1">
              <w:r w:rsidRPr="00C86806">
                <w:rPr>
                  <w:rStyle w:val="Hyperlink"/>
                  <w:b/>
                  <w:bCs/>
                </w:rPr>
                <w:t xml:space="preserve">228-2/3 </w:t>
              </w:r>
            </w:hyperlink>
          </w:p>
        </w:tc>
        <w:tc>
          <w:tcPr>
            <w:tcW w:w="4577" w:type="dxa"/>
            <w:hideMark/>
          </w:tcPr>
          <w:p w:rsidR="00C86806" w:rsidRDefault="00C86806" w:rsidP="007533FB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Propagation data required for the planning of space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radiocommunication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systems and space science service systems operating above 275 GHz</w:t>
            </w:r>
          </w:p>
        </w:tc>
        <w:tc>
          <w:tcPr>
            <w:tcW w:w="850" w:type="dxa"/>
            <w:hideMark/>
          </w:tcPr>
          <w:p w:rsidR="00C86806" w:rsidRDefault="00C8680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  <w:hideMark/>
          </w:tcPr>
          <w:p w:rsidR="00C86806" w:rsidRDefault="00C8680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(C1)</w:t>
            </w:r>
          </w:p>
        </w:tc>
        <w:tc>
          <w:tcPr>
            <w:tcW w:w="1016" w:type="dxa"/>
            <w:hideMark/>
          </w:tcPr>
          <w:p w:rsidR="00C86806" w:rsidRDefault="00C8680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1523" w:type="dxa"/>
          </w:tcPr>
          <w:p w:rsidR="00C86806" w:rsidRDefault="00C86806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6" w:history="1">
              <w:r w:rsidR="0029624B" w:rsidRPr="002628B9">
                <w:rPr>
                  <w:rStyle w:val="Hyperlink"/>
                  <w:b/>
                  <w:bCs/>
                </w:rPr>
                <w:t>22</w:t>
              </w:r>
              <w:r w:rsidR="0029624B" w:rsidRPr="002628B9">
                <w:rPr>
                  <w:rStyle w:val="Hyperlink"/>
                  <w:b/>
                  <w:bCs/>
                </w:rPr>
                <w:t>9</w:t>
              </w:r>
              <w:r w:rsidR="0029624B" w:rsidRPr="002628B9">
                <w:rPr>
                  <w:rStyle w:val="Hyperlink"/>
                  <w:b/>
                  <w:bCs/>
                </w:rPr>
                <w:t xml:space="preserve">-3/3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Prediction of sky-wave propagation conditions, signal intensity, circuit performance and reliability at frequencies between about 1.6 and 30 MHz, in particular for systems using digital modulation techniques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3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7" w:history="1">
              <w:r w:rsidR="0029624B" w:rsidRPr="002628B9">
                <w:rPr>
                  <w:rStyle w:val="Hyperlink"/>
                  <w:b/>
                  <w:bCs/>
                </w:rPr>
                <w:t>230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 xml:space="preserve">3/3 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Prediction methods and models applicable to power line telecommunications systems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</w:t>
            </w:r>
            <w:r>
              <w:rPr>
                <w:rFonts w:eastAsia="SimSun"/>
                <w:lang w:eastAsia="zh-CN"/>
              </w:rPr>
              <w:t>2</w:t>
            </w:r>
            <w:r w:rsidRPr="00F17405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2628B9" w:rsidRDefault="007533FB" w:rsidP="0036099F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8" w:history="1">
              <w:r w:rsidR="0029624B" w:rsidRPr="002628B9">
                <w:rPr>
                  <w:rStyle w:val="Hyperlink"/>
                  <w:b/>
                  <w:bCs/>
                </w:rPr>
                <w:t>231</w:t>
              </w:r>
              <w:r w:rsidR="0029624B" w:rsidRPr="002628B9">
                <w:rPr>
                  <w:rStyle w:val="Hyperlink"/>
                  <w:b/>
                  <w:bCs/>
                </w:rPr>
                <w:t>-</w:t>
              </w:r>
              <w:r w:rsidR="0029624B" w:rsidRPr="002628B9">
                <w:rPr>
                  <w:rStyle w:val="Hyperlink"/>
                  <w:b/>
                  <w:bCs/>
                </w:rPr>
                <w:t>1/3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 xml:space="preserve">The effect of electromagnetic emissions from man-made sources on the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r</w:t>
            </w:r>
            <w:r w:rsidRPr="00F17405">
              <w:rPr>
                <w:rFonts w:eastAsia="SimSun"/>
                <w:color w:val="000000"/>
                <w:lang w:eastAsia="zh-CN"/>
              </w:rPr>
              <w:t>adiocommunication</w:t>
            </w:r>
            <w:proofErr w:type="spellEnd"/>
            <w:r w:rsidRPr="00F17405">
              <w:rPr>
                <w:rFonts w:eastAsia="SimSun"/>
                <w:color w:val="000000"/>
                <w:lang w:eastAsia="zh-CN"/>
              </w:rPr>
              <w:t xml:space="preserve"> systems and networks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F17405" w:rsidDel="001D64C5" w:rsidRDefault="007533FB" w:rsidP="0036099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29" w:history="1">
              <w:r w:rsidR="0029624B" w:rsidRPr="00FA7A16">
                <w:rPr>
                  <w:rStyle w:val="Hyperlink"/>
                  <w:b/>
                  <w:bCs/>
                </w:rPr>
                <w:t>232</w:t>
              </w:r>
              <w:r w:rsidR="0029624B">
                <w:rPr>
                  <w:rStyle w:val="Hyperlink"/>
                  <w:b/>
                  <w:bCs/>
                </w:rPr>
                <w:t>-1</w:t>
              </w:r>
              <w:r w:rsidR="0029624B" w:rsidRPr="00FA7A16">
                <w:rPr>
                  <w:rStyle w:val="Hyperlink"/>
                  <w:b/>
                  <w:bCs/>
                </w:rPr>
                <w:t>/3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rPr>
                <w:rFonts w:eastAsia="SimSun"/>
                <w:color w:val="000000"/>
                <w:lang w:eastAsia="zh-CN"/>
              </w:rPr>
              <w:t>The effect of nanostructure materials on propagation</w:t>
            </w:r>
          </w:p>
        </w:tc>
        <w:tc>
          <w:tcPr>
            <w:tcW w:w="850" w:type="dxa"/>
          </w:tcPr>
          <w:p w:rsidR="0029624B" w:rsidRPr="00F17405" w:rsidDel="001D64C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Del="001D64C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29624B" w:rsidRPr="00F17405" w:rsidTr="0036099F">
        <w:trPr>
          <w:cantSplit/>
          <w:jc w:val="center"/>
        </w:trPr>
        <w:tc>
          <w:tcPr>
            <w:tcW w:w="1060" w:type="dxa"/>
          </w:tcPr>
          <w:p w:rsidR="0029624B" w:rsidRPr="00F17405" w:rsidRDefault="007533FB" w:rsidP="0036099F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30" w:history="1">
              <w:r w:rsidR="0029624B" w:rsidRPr="00FA7A16">
                <w:rPr>
                  <w:rStyle w:val="Hyperlink"/>
                  <w:b/>
                  <w:bCs/>
                </w:rPr>
                <w:t>233</w:t>
              </w:r>
              <w:r w:rsidR="0029624B">
                <w:rPr>
                  <w:rStyle w:val="Hyperlink"/>
                  <w:b/>
                  <w:bCs/>
                </w:rPr>
                <w:t>-1</w:t>
              </w:r>
              <w:r w:rsidR="0029624B" w:rsidRPr="00FA7A16">
                <w:rPr>
                  <w:rStyle w:val="Hyperlink"/>
                  <w:b/>
                  <w:bCs/>
                </w:rPr>
                <w:t>/3</w:t>
              </w:r>
            </w:hyperlink>
          </w:p>
        </w:tc>
        <w:tc>
          <w:tcPr>
            <w:tcW w:w="4577" w:type="dxa"/>
          </w:tcPr>
          <w:p w:rsidR="0029624B" w:rsidRPr="00F17405" w:rsidRDefault="0029624B" w:rsidP="0036099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F17405">
              <w:t>Methods for the prediction of propagation path losses between an airborne platform and a satellite, ground terminal or another airborne plat</w:t>
            </w:r>
            <w:bookmarkStart w:id="10" w:name="_GoBack"/>
            <w:bookmarkEnd w:id="10"/>
            <w:r w:rsidRPr="00F17405">
              <w:t>form</w:t>
            </w:r>
          </w:p>
        </w:tc>
        <w:tc>
          <w:tcPr>
            <w:tcW w:w="850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05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16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F17405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1523" w:type="dxa"/>
          </w:tcPr>
          <w:p w:rsidR="0029624B" w:rsidRPr="00F17405" w:rsidRDefault="0029624B" w:rsidP="0036099F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</w:tbl>
    <w:p w:rsidR="00AD0821" w:rsidRDefault="00AD0821" w:rsidP="00AD0821"/>
    <w:p w:rsidR="00AD0821" w:rsidRDefault="00AD0821" w:rsidP="00AD0821"/>
    <w:p w:rsidR="001F5EAA" w:rsidRDefault="001F5EAA">
      <w:pPr>
        <w:jc w:val="center"/>
      </w:pPr>
      <w:r>
        <w:t>______________</w:t>
      </w:r>
    </w:p>
    <w:sectPr w:rsidR="001F5EAA" w:rsidSect="009447A3"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B" w:rsidRDefault="0029624B">
      <w:r>
        <w:separator/>
      </w:r>
    </w:p>
  </w:endnote>
  <w:endnote w:type="continuationSeparator" w:id="0">
    <w:p w:rsidR="0029624B" w:rsidRDefault="002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9624B">
      <w:rPr>
        <w:noProof/>
        <w:lang w:val="es-ES_tradnl"/>
      </w:rPr>
      <w:t>Document18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8B9">
      <w:rPr>
        <w:noProof/>
      </w:rPr>
      <w:t>02.09.15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624B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59" w:rsidRDefault="007533FB" w:rsidP="00706759">
    <w:pPr>
      <w:pStyle w:val="Footer"/>
      <w:spacing w:before="240"/>
    </w:pPr>
    <w:r>
      <w:fldChar w:fldCharType="begin"/>
    </w:r>
    <w:r>
      <w:instrText xml:space="preserve"> FILENAME \p  \* MERGEFORMAT </w:instrText>
    </w:r>
    <w:r>
      <w:fldChar w:fldCharType="separate"/>
    </w:r>
    <w:r w:rsidR="00706759">
      <w:t>P:\ENG\ITU-R\SG-R\SG03\1000\1003E.docx</w:t>
    </w:r>
    <w:r>
      <w:fldChar w:fldCharType="end"/>
    </w:r>
    <w:r w:rsidR="00706759">
      <w:t xml:space="preserve"> (383141)</w:t>
    </w:r>
    <w:r w:rsidR="00706759">
      <w:tab/>
    </w:r>
    <w:r w:rsidR="00706759">
      <w:fldChar w:fldCharType="begin"/>
    </w:r>
    <w:r w:rsidR="00706759">
      <w:instrText xml:space="preserve"> SAVEDATE \@ DD.MM.YY </w:instrText>
    </w:r>
    <w:r w:rsidR="00706759">
      <w:fldChar w:fldCharType="separate"/>
    </w:r>
    <w:r w:rsidR="002628B9">
      <w:t>02.09.15</w:t>
    </w:r>
    <w:r w:rsidR="00706759">
      <w:fldChar w:fldCharType="end"/>
    </w:r>
    <w:r w:rsidR="00706759">
      <w:tab/>
    </w:r>
    <w:r w:rsidR="00706759">
      <w:fldChar w:fldCharType="begin"/>
    </w:r>
    <w:r w:rsidR="00706759">
      <w:instrText xml:space="preserve"> PRINTDATE \@ DD.MM.YY </w:instrText>
    </w:r>
    <w:r w:rsidR="00706759">
      <w:fldChar w:fldCharType="separate"/>
    </w:r>
    <w:r w:rsidR="00706759">
      <w:t>25.04.03</w:t>
    </w:r>
    <w:r w:rsidR="0070675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59" w:rsidRDefault="00761A64" w:rsidP="00706759">
    <w:pPr>
      <w:pStyle w:val="Footer"/>
      <w:spacing w:before="240"/>
    </w:pPr>
    <w:fldSimple w:instr=" FILENAME \p  \* MERGEFORMAT ">
      <w:r w:rsidR="00706759">
        <w:t>P:\ENG\ITU-R\SG-R\SG03\1000\1003E.docx</w:t>
      </w:r>
    </w:fldSimple>
    <w:r w:rsidR="00706759">
      <w:t xml:space="preserve"> (383141)</w:t>
    </w:r>
    <w:r w:rsidR="00706759">
      <w:tab/>
    </w:r>
    <w:r w:rsidR="00706759">
      <w:fldChar w:fldCharType="begin"/>
    </w:r>
    <w:r w:rsidR="00706759">
      <w:instrText xml:space="preserve"> SAVEDATE \@ DD.MM.YY </w:instrText>
    </w:r>
    <w:r w:rsidR="00706759">
      <w:fldChar w:fldCharType="separate"/>
    </w:r>
    <w:r w:rsidR="002628B9">
      <w:t>02.09.15</w:t>
    </w:r>
    <w:r w:rsidR="00706759">
      <w:fldChar w:fldCharType="end"/>
    </w:r>
    <w:r w:rsidR="00706759">
      <w:tab/>
    </w:r>
    <w:r w:rsidR="00706759">
      <w:fldChar w:fldCharType="begin"/>
    </w:r>
    <w:r w:rsidR="00706759">
      <w:instrText xml:space="preserve"> PRINTDATE \@ DD.MM.YY </w:instrText>
    </w:r>
    <w:r w:rsidR="00706759">
      <w:fldChar w:fldCharType="separate"/>
    </w:r>
    <w:r w:rsidR="00706759">
      <w:t>25.04.03</w:t>
    </w:r>
    <w:r w:rsidR="007067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B" w:rsidRDefault="0029624B">
      <w:r>
        <w:rPr>
          <w:b/>
        </w:rPr>
        <w:t>_______________</w:t>
      </w:r>
    </w:p>
  </w:footnote>
  <w:footnote w:type="continuationSeparator" w:id="0">
    <w:p w:rsidR="0029624B" w:rsidRDefault="0029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B" w:rsidRDefault="0029624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533FB">
      <w:rPr>
        <w:noProof/>
      </w:rPr>
      <w:t>3</w:t>
    </w:r>
    <w:r>
      <w:fldChar w:fldCharType="end"/>
    </w:r>
  </w:p>
  <w:p w:rsidR="0029624B" w:rsidRDefault="00706759">
    <w:pPr>
      <w:pStyle w:val="Header"/>
    </w:pPr>
    <w:r>
      <w:t>3</w:t>
    </w:r>
    <w:r w:rsidR="0029624B">
      <w:t>/</w:t>
    </w:r>
    <w:r>
      <w:t>1003</w:t>
    </w:r>
    <w:r w:rsidR="0029624B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4B"/>
    <w:rsid w:val="000D1293"/>
    <w:rsid w:val="001B225D"/>
    <w:rsid w:val="001F5EAA"/>
    <w:rsid w:val="00206408"/>
    <w:rsid w:val="002628B9"/>
    <w:rsid w:val="0029624B"/>
    <w:rsid w:val="0030579C"/>
    <w:rsid w:val="00425F3D"/>
    <w:rsid w:val="004844C1"/>
    <w:rsid w:val="004D6FFE"/>
    <w:rsid w:val="005151C4"/>
    <w:rsid w:val="005E0BE1"/>
    <w:rsid w:val="005F1974"/>
    <w:rsid w:val="00706759"/>
    <w:rsid w:val="0071246B"/>
    <w:rsid w:val="007533FB"/>
    <w:rsid w:val="00756B1C"/>
    <w:rsid w:val="00761A64"/>
    <w:rsid w:val="007C6911"/>
    <w:rsid w:val="008145E1"/>
    <w:rsid w:val="00880578"/>
    <w:rsid w:val="008A7B8E"/>
    <w:rsid w:val="009447A3"/>
    <w:rsid w:val="00993768"/>
    <w:rsid w:val="009E375D"/>
    <w:rsid w:val="00A05CE9"/>
    <w:rsid w:val="00AD0821"/>
    <w:rsid w:val="00B014C6"/>
    <w:rsid w:val="00BB03AF"/>
    <w:rsid w:val="00BE5003"/>
    <w:rsid w:val="00BF5E61"/>
    <w:rsid w:val="00C46060"/>
    <w:rsid w:val="00C86806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474A6C5F-A8FD-486F-9D1C-29BD354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table" w:styleId="TableGrid">
    <w:name w:val="Table Grid"/>
    <w:basedOn w:val="TableNormal"/>
    <w:rsid w:val="002962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624B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29624B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62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3.201" TargetMode="External"/><Relationship Id="rId13" Type="http://schemas.openxmlformats.org/officeDocument/2006/relationships/hyperlink" Target="http://www.itu.int/pub/R-QUE-SG03.206" TargetMode="External"/><Relationship Id="rId18" Type="http://schemas.openxmlformats.org/officeDocument/2006/relationships/hyperlink" Target="http://www.itu.int/pub/R-QUE-SG03.212" TargetMode="External"/><Relationship Id="rId26" Type="http://schemas.openxmlformats.org/officeDocument/2006/relationships/hyperlink" Target="http://www.itu.int/pub/R-QUE-SG03.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3.218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3.205" TargetMode="External"/><Relationship Id="rId17" Type="http://schemas.openxmlformats.org/officeDocument/2006/relationships/hyperlink" Target="http://www.itu.int/pub/R-QUE-SG03.211" TargetMode="External"/><Relationship Id="rId25" Type="http://schemas.openxmlformats.org/officeDocument/2006/relationships/hyperlink" Target="http://www.itu.int/pub/R-QUE-SG03.228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3.209" TargetMode="External"/><Relationship Id="rId20" Type="http://schemas.openxmlformats.org/officeDocument/2006/relationships/hyperlink" Target="http://www.itu.int/pub/R-QUE-SG03.214" TargetMode="External"/><Relationship Id="rId29" Type="http://schemas.openxmlformats.org/officeDocument/2006/relationships/hyperlink" Target="http://www.itu.int/pub/R-QUE-SG03.2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3.204" TargetMode="External"/><Relationship Id="rId24" Type="http://schemas.openxmlformats.org/officeDocument/2006/relationships/hyperlink" Target="http://www.itu.int/pub/R-QUE-SG03.226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3.208" TargetMode="External"/><Relationship Id="rId23" Type="http://schemas.openxmlformats.org/officeDocument/2006/relationships/hyperlink" Target="http://www.itu.int/pub/R-QUE-SG03.225" TargetMode="External"/><Relationship Id="rId28" Type="http://schemas.openxmlformats.org/officeDocument/2006/relationships/hyperlink" Target="http://www.itu.int/pub/R-QUE-SG03.2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pub/R-QUE-SG03.203" TargetMode="External"/><Relationship Id="rId19" Type="http://schemas.openxmlformats.org/officeDocument/2006/relationships/hyperlink" Target="http://www.itu.int/pub/R-QUE-SG03.213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3.202" TargetMode="External"/><Relationship Id="rId14" Type="http://schemas.openxmlformats.org/officeDocument/2006/relationships/hyperlink" Target="http://www.itu.int/pub/R-QUE-SG03.207" TargetMode="External"/><Relationship Id="rId22" Type="http://schemas.openxmlformats.org/officeDocument/2006/relationships/hyperlink" Target="http://www.itu.int/pub/R-QUE-SG03.222" TargetMode="External"/><Relationship Id="rId27" Type="http://schemas.openxmlformats.org/officeDocument/2006/relationships/hyperlink" Target="http://www.itu.int/pub/R-QUE-SG03.230" TargetMode="External"/><Relationship Id="rId30" Type="http://schemas.openxmlformats.org/officeDocument/2006/relationships/hyperlink" Target="http://www.itu.int/pub/R-QUE-SG03.233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21</TotalTime>
  <Pages>3</Pages>
  <Words>588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Turnbull, Karen</cp:lastModifiedBy>
  <cp:revision>10</cp:revision>
  <cp:lastPrinted>2003-04-25T07:33:00Z</cp:lastPrinted>
  <dcterms:created xsi:type="dcterms:W3CDTF">2015-09-01T12:04:00Z</dcterms:created>
  <dcterms:modified xsi:type="dcterms:W3CDTF">2015-09-10T16:39:00Z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