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F14994">
        <w:trPr>
          <w:cantSplit/>
        </w:trPr>
        <w:tc>
          <w:tcPr>
            <w:tcW w:w="6629" w:type="dxa"/>
          </w:tcPr>
          <w:p w:rsidR="004442E2" w:rsidRPr="00F14994" w:rsidRDefault="00B6219E" w:rsidP="002D5B0A">
            <w:pPr>
              <w:spacing w:before="400" w:after="48"/>
              <w:rPr>
                <w:rFonts w:ascii="Verdana" w:hAnsi="Verdana" w:cs="Times"/>
                <w:b/>
                <w:position w:val="6"/>
                <w:sz w:val="20"/>
                <w:vertAlign w:val="subscript"/>
              </w:rPr>
            </w:pPr>
            <w:r w:rsidRPr="00F14994">
              <w:rPr>
                <w:rFonts w:ascii="Verdana" w:hAnsi="Verdana" w:cs="Times New Roman Bold"/>
                <w:b/>
                <w:szCs w:val="24"/>
              </w:rPr>
              <w:t>Assemblée des r</w:t>
            </w:r>
            <w:r w:rsidR="004442E2" w:rsidRPr="00F14994">
              <w:rPr>
                <w:rFonts w:ascii="Verdana" w:hAnsi="Verdana" w:cs="Times New Roman Bold"/>
                <w:b/>
                <w:szCs w:val="24"/>
              </w:rPr>
              <w:t>adiocommunications (AR-15)</w:t>
            </w:r>
            <w:r w:rsidR="004442E2" w:rsidRPr="00F14994">
              <w:rPr>
                <w:rFonts w:ascii="Verdana" w:hAnsi="Verdana" w:cs="Times New Roman Bold"/>
                <w:b/>
                <w:position w:val="6"/>
                <w:sz w:val="26"/>
                <w:szCs w:val="26"/>
              </w:rPr>
              <w:br/>
            </w:r>
            <w:r w:rsidR="004442E2" w:rsidRPr="00F14994">
              <w:rPr>
                <w:rFonts w:ascii="Verdana" w:hAnsi="Verdana" w:cs="Times"/>
                <w:b/>
                <w:sz w:val="20"/>
              </w:rPr>
              <w:t>Genève, 26-30 octobre 2015</w:t>
            </w:r>
          </w:p>
        </w:tc>
        <w:tc>
          <w:tcPr>
            <w:tcW w:w="3402" w:type="dxa"/>
          </w:tcPr>
          <w:p w:rsidR="004442E2" w:rsidRPr="00F14994" w:rsidRDefault="004442E2" w:rsidP="002D5B0A">
            <w:pPr>
              <w:jc w:val="right"/>
            </w:pPr>
            <w:bookmarkStart w:id="0" w:name="ditulogo"/>
            <w:bookmarkEnd w:id="0"/>
            <w:r w:rsidRPr="00F14994">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F14994">
        <w:trPr>
          <w:cantSplit/>
        </w:trPr>
        <w:tc>
          <w:tcPr>
            <w:tcW w:w="6629" w:type="dxa"/>
            <w:tcBorders>
              <w:bottom w:val="single" w:sz="12" w:space="0" w:color="auto"/>
            </w:tcBorders>
          </w:tcPr>
          <w:p w:rsidR="004442E2" w:rsidRPr="00F14994" w:rsidRDefault="004442E2" w:rsidP="002D5B0A">
            <w:pPr>
              <w:spacing w:before="0" w:after="48"/>
              <w:rPr>
                <w:b/>
                <w:smallCaps/>
                <w:szCs w:val="24"/>
              </w:rPr>
            </w:pPr>
            <w:bookmarkStart w:id="1" w:name="dhead"/>
            <w:r w:rsidRPr="00F14994">
              <w:rPr>
                <w:rFonts w:ascii="Verdana" w:hAnsi="Verdana"/>
                <w:b/>
                <w:bCs/>
                <w:sz w:val="20"/>
              </w:rPr>
              <w:t>UNION INTERNATIONALE DES TÉLÉCOMMUNICATIONS</w:t>
            </w:r>
          </w:p>
        </w:tc>
        <w:tc>
          <w:tcPr>
            <w:tcW w:w="3402" w:type="dxa"/>
            <w:tcBorders>
              <w:bottom w:val="single" w:sz="12" w:space="0" w:color="auto"/>
            </w:tcBorders>
          </w:tcPr>
          <w:p w:rsidR="004442E2" w:rsidRPr="00F14994" w:rsidRDefault="004442E2" w:rsidP="002D5B0A">
            <w:pPr>
              <w:spacing w:before="0"/>
              <w:rPr>
                <w:rFonts w:ascii="Verdana" w:hAnsi="Verdana"/>
                <w:szCs w:val="24"/>
              </w:rPr>
            </w:pPr>
          </w:p>
        </w:tc>
      </w:tr>
      <w:tr w:rsidR="004442E2" w:rsidRPr="00F14994">
        <w:trPr>
          <w:cantSplit/>
        </w:trPr>
        <w:tc>
          <w:tcPr>
            <w:tcW w:w="6629" w:type="dxa"/>
            <w:tcBorders>
              <w:top w:val="single" w:sz="12" w:space="0" w:color="auto"/>
            </w:tcBorders>
          </w:tcPr>
          <w:p w:rsidR="004442E2" w:rsidRPr="00F14994" w:rsidRDefault="004442E2" w:rsidP="002D5B0A">
            <w:pPr>
              <w:spacing w:before="0" w:after="48"/>
              <w:rPr>
                <w:rFonts w:ascii="Verdana" w:hAnsi="Verdana"/>
                <w:b/>
                <w:smallCaps/>
                <w:sz w:val="20"/>
              </w:rPr>
            </w:pPr>
          </w:p>
        </w:tc>
        <w:tc>
          <w:tcPr>
            <w:tcW w:w="3402" w:type="dxa"/>
            <w:tcBorders>
              <w:top w:val="single" w:sz="12" w:space="0" w:color="auto"/>
            </w:tcBorders>
          </w:tcPr>
          <w:p w:rsidR="004442E2" w:rsidRPr="00F14994" w:rsidRDefault="004442E2" w:rsidP="002D5B0A">
            <w:pPr>
              <w:spacing w:before="0"/>
              <w:rPr>
                <w:rFonts w:ascii="Verdana" w:hAnsi="Verdana"/>
                <w:sz w:val="20"/>
              </w:rPr>
            </w:pPr>
          </w:p>
        </w:tc>
      </w:tr>
      <w:tr w:rsidR="004442E2" w:rsidRPr="00F14994">
        <w:trPr>
          <w:cantSplit/>
          <w:trHeight w:val="23"/>
        </w:trPr>
        <w:tc>
          <w:tcPr>
            <w:tcW w:w="6629" w:type="dxa"/>
            <w:vMerge w:val="restart"/>
          </w:tcPr>
          <w:p w:rsidR="004442E2" w:rsidRPr="00F14994" w:rsidRDefault="004442E2" w:rsidP="002D5B0A">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p>
        </w:tc>
        <w:tc>
          <w:tcPr>
            <w:tcW w:w="3402" w:type="dxa"/>
          </w:tcPr>
          <w:p w:rsidR="004442E2" w:rsidRPr="00F14994" w:rsidRDefault="002D5B0A" w:rsidP="000A3A56">
            <w:pPr>
              <w:tabs>
                <w:tab w:val="left" w:pos="851"/>
              </w:tabs>
              <w:spacing w:before="0"/>
              <w:rPr>
                <w:rFonts w:ascii="Verdana" w:hAnsi="Verdana"/>
                <w:sz w:val="20"/>
              </w:rPr>
            </w:pPr>
            <w:r w:rsidRPr="00F14994">
              <w:rPr>
                <w:rFonts w:ascii="Verdana" w:hAnsi="Verdana"/>
                <w:b/>
                <w:sz w:val="20"/>
              </w:rPr>
              <w:t xml:space="preserve">Document </w:t>
            </w:r>
            <w:r w:rsidR="000A3A56" w:rsidRPr="00F14994">
              <w:rPr>
                <w:rFonts w:ascii="Verdana" w:hAnsi="Verdana"/>
                <w:b/>
                <w:sz w:val="20"/>
              </w:rPr>
              <w:t>4/1002</w:t>
            </w:r>
            <w:r w:rsidR="004442E2" w:rsidRPr="00F14994">
              <w:rPr>
                <w:rFonts w:ascii="Verdana" w:hAnsi="Verdana"/>
                <w:b/>
                <w:sz w:val="20"/>
              </w:rPr>
              <w:t>-F</w:t>
            </w:r>
          </w:p>
        </w:tc>
      </w:tr>
      <w:tr w:rsidR="004442E2" w:rsidRPr="00F14994">
        <w:trPr>
          <w:cantSplit/>
          <w:trHeight w:val="23"/>
        </w:trPr>
        <w:tc>
          <w:tcPr>
            <w:tcW w:w="6629" w:type="dxa"/>
            <w:vMerge/>
          </w:tcPr>
          <w:p w:rsidR="004442E2" w:rsidRPr="00F14994" w:rsidRDefault="004442E2" w:rsidP="002D5B0A">
            <w:pPr>
              <w:tabs>
                <w:tab w:val="left" w:pos="851"/>
              </w:tabs>
              <w:rPr>
                <w:rFonts w:ascii="Verdana" w:hAnsi="Verdana"/>
                <w:b/>
                <w:sz w:val="20"/>
              </w:rPr>
            </w:pPr>
            <w:bookmarkStart w:id="5" w:name="ddate" w:colFirst="1" w:colLast="1"/>
            <w:bookmarkEnd w:id="2"/>
            <w:bookmarkEnd w:id="3"/>
          </w:p>
        </w:tc>
        <w:tc>
          <w:tcPr>
            <w:tcW w:w="3402" w:type="dxa"/>
          </w:tcPr>
          <w:p w:rsidR="004442E2" w:rsidRPr="00F14994" w:rsidRDefault="000A3A56" w:rsidP="002D5B0A">
            <w:pPr>
              <w:tabs>
                <w:tab w:val="left" w:pos="993"/>
              </w:tabs>
              <w:spacing w:before="0"/>
              <w:rPr>
                <w:rFonts w:ascii="Verdana" w:hAnsi="Verdana"/>
                <w:sz w:val="20"/>
              </w:rPr>
            </w:pPr>
            <w:r w:rsidRPr="00F14994">
              <w:rPr>
                <w:rFonts w:ascii="Verdana" w:hAnsi="Verdana"/>
                <w:b/>
                <w:sz w:val="20"/>
              </w:rPr>
              <w:t>9 septembre</w:t>
            </w:r>
            <w:r w:rsidR="004442E2" w:rsidRPr="00F14994">
              <w:rPr>
                <w:rFonts w:ascii="Verdana" w:hAnsi="Verdana"/>
                <w:b/>
                <w:sz w:val="20"/>
              </w:rPr>
              <w:t xml:space="preserve"> 2015</w:t>
            </w:r>
          </w:p>
        </w:tc>
      </w:tr>
      <w:tr w:rsidR="004442E2" w:rsidRPr="00F14994">
        <w:trPr>
          <w:cantSplit/>
          <w:trHeight w:val="23"/>
        </w:trPr>
        <w:tc>
          <w:tcPr>
            <w:tcW w:w="6629" w:type="dxa"/>
            <w:vMerge/>
          </w:tcPr>
          <w:p w:rsidR="004442E2" w:rsidRPr="00F14994" w:rsidRDefault="004442E2" w:rsidP="002D5B0A">
            <w:pPr>
              <w:tabs>
                <w:tab w:val="left" w:pos="851"/>
              </w:tabs>
              <w:rPr>
                <w:rFonts w:ascii="Verdana" w:hAnsi="Verdana"/>
                <w:b/>
                <w:sz w:val="20"/>
              </w:rPr>
            </w:pPr>
            <w:bookmarkStart w:id="6" w:name="dorlang" w:colFirst="1" w:colLast="1"/>
            <w:bookmarkEnd w:id="5"/>
          </w:p>
        </w:tc>
        <w:tc>
          <w:tcPr>
            <w:tcW w:w="3402" w:type="dxa"/>
          </w:tcPr>
          <w:p w:rsidR="004442E2" w:rsidRPr="00F14994" w:rsidRDefault="004442E2" w:rsidP="002D5B0A">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4442E2" w:rsidRPr="00F14994">
        <w:trPr>
          <w:cantSplit/>
        </w:trPr>
        <w:tc>
          <w:tcPr>
            <w:tcW w:w="10031" w:type="dxa"/>
          </w:tcPr>
          <w:p w:rsidR="004442E2" w:rsidRPr="00F14994" w:rsidRDefault="000A3A56" w:rsidP="002D5B0A">
            <w:pPr>
              <w:pStyle w:val="Source"/>
            </w:pPr>
            <w:bookmarkStart w:id="7" w:name="dsource" w:colFirst="0" w:colLast="0"/>
            <w:bookmarkEnd w:id="4"/>
            <w:bookmarkEnd w:id="6"/>
            <w:r w:rsidRPr="00F14994">
              <w:t>Commission d'études 4</w:t>
            </w:r>
            <w:r w:rsidR="0037730C" w:rsidRPr="00F14994">
              <w:t xml:space="preserve"> des radiocommunications</w:t>
            </w:r>
          </w:p>
        </w:tc>
      </w:tr>
      <w:tr w:rsidR="004442E2" w:rsidRPr="00F14994">
        <w:trPr>
          <w:cantSplit/>
        </w:trPr>
        <w:tc>
          <w:tcPr>
            <w:tcW w:w="10031" w:type="dxa"/>
          </w:tcPr>
          <w:p w:rsidR="004442E2" w:rsidRPr="00F14994" w:rsidRDefault="000A3A56" w:rsidP="002D5B0A">
            <w:pPr>
              <w:pStyle w:val="Title1"/>
            </w:pPr>
            <w:bookmarkStart w:id="8" w:name="dtitle1" w:colFirst="0" w:colLast="0"/>
            <w:bookmarkEnd w:id="7"/>
            <w:r w:rsidRPr="00F14994">
              <w:t>services par satellite</w:t>
            </w:r>
          </w:p>
        </w:tc>
      </w:tr>
      <w:tr w:rsidR="004442E2" w:rsidRPr="00F14994">
        <w:trPr>
          <w:cantSplit/>
        </w:trPr>
        <w:tc>
          <w:tcPr>
            <w:tcW w:w="10031" w:type="dxa"/>
          </w:tcPr>
          <w:p w:rsidR="004442E2" w:rsidRPr="00F14994" w:rsidRDefault="000A3A56" w:rsidP="002D5B0A">
            <w:pPr>
              <w:pStyle w:val="Title2"/>
            </w:pPr>
            <w:bookmarkStart w:id="9" w:name="dtitle2" w:colFirst="0" w:colLast="0"/>
            <w:bookmarkEnd w:id="8"/>
            <w:r w:rsidRPr="00F14994">
              <w:t>liste de recommandations</w:t>
            </w:r>
          </w:p>
          <w:p w:rsidR="000A3A56" w:rsidRPr="00F14994" w:rsidRDefault="000A3A56" w:rsidP="000A3A56"/>
          <w:p w:rsidR="000A3A56" w:rsidRPr="00F14994" w:rsidRDefault="000A3A56" w:rsidP="000A3A56">
            <w:pPr>
              <w:pStyle w:val="Heading1"/>
            </w:pPr>
            <w:r w:rsidRPr="00F14994">
              <w:t>Recommandations UIT</w:t>
            </w:r>
            <w:r w:rsidRPr="00F14994">
              <w:noBreakHyphen/>
              <w:t>R de la série BO</w:t>
            </w:r>
          </w:p>
          <w:p w:rsidR="000A3A56" w:rsidRPr="00F14994" w:rsidRDefault="000A3A56" w:rsidP="000A3A56">
            <w:pPr>
              <w:pStyle w:val="Heading1"/>
              <w:spacing w:before="160"/>
            </w:pPr>
            <w:r w:rsidRPr="00F14994">
              <w:t>Recommandations UIT</w:t>
            </w:r>
            <w:r w:rsidRPr="00F14994">
              <w:noBreakHyphen/>
              <w:t>R de la série M</w:t>
            </w:r>
          </w:p>
          <w:p w:rsidR="000A3A56" w:rsidRPr="00F14994" w:rsidRDefault="000A3A56" w:rsidP="000A3A56">
            <w:pPr>
              <w:pStyle w:val="Heading1"/>
              <w:spacing w:before="160"/>
            </w:pPr>
            <w:r w:rsidRPr="00F14994">
              <w:t>Recommandations UIT</w:t>
            </w:r>
            <w:r w:rsidRPr="00F14994">
              <w:noBreakHyphen/>
              <w:t>R de la série S</w:t>
            </w:r>
          </w:p>
          <w:p w:rsidR="000A3A56" w:rsidRPr="00F14994" w:rsidRDefault="000A3A56" w:rsidP="000A3A56">
            <w:pPr>
              <w:pStyle w:val="Heading1"/>
              <w:spacing w:before="160"/>
            </w:pPr>
            <w:r w:rsidRPr="00F14994">
              <w:t>Recommandations UIT</w:t>
            </w:r>
            <w:r w:rsidRPr="00F14994">
              <w:noBreakHyphen/>
              <w:t>R de la série SF</w:t>
            </w:r>
          </w:p>
          <w:p w:rsidR="000A3A56" w:rsidRPr="00F14994" w:rsidRDefault="000A3A56" w:rsidP="000A3A56">
            <w:pPr>
              <w:pStyle w:val="Heading1"/>
              <w:spacing w:before="160"/>
            </w:pPr>
            <w:r w:rsidRPr="00F14994">
              <w:t>Recommandations UIT</w:t>
            </w:r>
            <w:r w:rsidRPr="00F14994">
              <w:noBreakHyphen/>
              <w:t>R de la série SNG</w:t>
            </w:r>
          </w:p>
          <w:p w:rsidR="000A3A56" w:rsidRPr="00F14994" w:rsidRDefault="000A3A56" w:rsidP="000A3A56"/>
          <w:p w:rsidR="000A3A56" w:rsidRPr="00F14994" w:rsidRDefault="000A3A56" w:rsidP="000A3A56"/>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559"/>
              <w:gridCol w:w="1701"/>
              <w:gridCol w:w="2003"/>
              <w:gridCol w:w="2126"/>
            </w:tblGrid>
            <w:tr w:rsidR="000A3A56" w:rsidRPr="00F14994" w:rsidTr="000A3A56">
              <w:trPr>
                <w:jc w:val="center"/>
              </w:trPr>
              <w:tc>
                <w:tcPr>
                  <w:tcW w:w="1721" w:type="dxa"/>
                </w:tcPr>
                <w:p w:rsidR="000A3A56" w:rsidRPr="00F14994" w:rsidRDefault="000A3A56" w:rsidP="000A3A56">
                  <w:pPr>
                    <w:jc w:val="center"/>
                    <w:rPr>
                      <w:sz w:val="22"/>
                    </w:rPr>
                  </w:pPr>
                  <w:r w:rsidRPr="00F14994">
                    <w:rPr>
                      <w:b/>
                      <w:sz w:val="22"/>
                    </w:rPr>
                    <w:t>NOC</w:t>
                  </w:r>
                  <w:r w:rsidRPr="00F14994">
                    <w:rPr>
                      <w:sz w:val="22"/>
                    </w:rPr>
                    <w:t xml:space="preserve"> = Maintenu</w:t>
                  </w:r>
                </w:p>
              </w:tc>
              <w:tc>
                <w:tcPr>
                  <w:tcW w:w="1559" w:type="dxa"/>
                </w:tcPr>
                <w:p w:rsidR="000A3A56" w:rsidRPr="00F14994" w:rsidRDefault="000A3A56" w:rsidP="000A3A56">
                  <w:pPr>
                    <w:jc w:val="center"/>
                    <w:rPr>
                      <w:sz w:val="22"/>
                    </w:rPr>
                  </w:pPr>
                  <w:r w:rsidRPr="00F14994">
                    <w:rPr>
                      <w:b/>
                      <w:sz w:val="22"/>
                    </w:rPr>
                    <w:t>MOD</w:t>
                  </w:r>
                  <w:r w:rsidRPr="00F14994">
                    <w:rPr>
                      <w:sz w:val="22"/>
                    </w:rPr>
                    <w:t xml:space="preserve"> = Modifié</w:t>
                  </w:r>
                </w:p>
              </w:tc>
              <w:tc>
                <w:tcPr>
                  <w:tcW w:w="1701" w:type="dxa"/>
                </w:tcPr>
                <w:p w:rsidR="000A3A56" w:rsidRPr="00F14994" w:rsidRDefault="000A3A56" w:rsidP="000A3A56">
                  <w:pPr>
                    <w:jc w:val="center"/>
                    <w:rPr>
                      <w:sz w:val="22"/>
                    </w:rPr>
                  </w:pPr>
                  <w:r w:rsidRPr="00F14994">
                    <w:rPr>
                      <w:b/>
                      <w:sz w:val="22"/>
                    </w:rPr>
                    <w:t>SUP</w:t>
                  </w:r>
                  <w:r w:rsidRPr="00F14994">
                    <w:rPr>
                      <w:sz w:val="22"/>
                    </w:rPr>
                    <w:t xml:space="preserve"> = Supprimé</w:t>
                  </w:r>
                </w:p>
              </w:tc>
              <w:tc>
                <w:tcPr>
                  <w:tcW w:w="2003" w:type="dxa"/>
                </w:tcPr>
                <w:p w:rsidR="000A3A56" w:rsidRPr="00F14994" w:rsidRDefault="000A3A56" w:rsidP="000A3A56">
                  <w:pPr>
                    <w:jc w:val="center"/>
                    <w:rPr>
                      <w:sz w:val="22"/>
                    </w:rPr>
                  </w:pPr>
                  <w:r w:rsidRPr="00F14994">
                    <w:rPr>
                      <w:b/>
                      <w:sz w:val="22"/>
                    </w:rPr>
                    <w:t>ADD</w:t>
                  </w:r>
                  <w:r w:rsidRPr="00F14994">
                    <w:rPr>
                      <w:sz w:val="22"/>
                    </w:rPr>
                    <w:t xml:space="preserve"> =</w:t>
                  </w:r>
                  <w:r w:rsidRPr="00F14994">
                    <w:rPr>
                      <w:sz w:val="22"/>
                    </w:rPr>
                    <w:br/>
                    <w:t>Nouveau texte</w:t>
                  </w:r>
                </w:p>
              </w:tc>
              <w:tc>
                <w:tcPr>
                  <w:tcW w:w="2126" w:type="dxa"/>
                </w:tcPr>
                <w:p w:rsidR="000A3A56" w:rsidRPr="00F14994" w:rsidRDefault="000A3A56" w:rsidP="000A3A56">
                  <w:pPr>
                    <w:jc w:val="center"/>
                    <w:rPr>
                      <w:sz w:val="22"/>
                    </w:rPr>
                  </w:pPr>
                  <w:r w:rsidRPr="00F14994">
                    <w:rPr>
                      <w:b/>
                      <w:sz w:val="22"/>
                    </w:rPr>
                    <w:t>UNA</w:t>
                  </w:r>
                  <w:r w:rsidRPr="00F14994">
                    <w:rPr>
                      <w:sz w:val="22"/>
                    </w:rPr>
                    <w:t xml:space="preserve"> =</w:t>
                  </w:r>
                  <w:r w:rsidRPr="00F14994">
                    <w:rPr>
                      <w:sz w:val="22"/>
                    </w:rPr>
                    <w:br/>
                    <w:t>En cours d'approbation</w:t>
                  </w:r>
                </w:p>
              </w:tc>
            </w:tr>
          </w:tbl>
          <w:p w:rsidR="000A3A56" w:rsidRPr="00F14994" w:rsidRDefault="000A3A56" w:rsidP="000A3A56"/>
          <w:p w:rsidR="000A3A56" w:rsidRPr="00F14994" w:rsidRDefault="000A3A56" w:rsidP="000A3A56"/>
        </w:tc>
      </w:tr>
    </w:tbl>
    <w:bookmarkEnd w:id="9"/>
    <w:p w:rsidR="000A3A56" w:rsidRPr="00F14994" w:rsidRDefault="00F70DDD">
      <w:pPr>
        <w:jc w:val="center"/>
      </w:pPr>
      <w:r w:rsidRPr="00F14994">
        <w:t>_</w:t>
      </w:r>
    </w:p>
    <w:p w:rsidR="000A3A56" w:rsidRPr="00F14994" w:rsidRDefault="000A3A56">
      <w:pPr>
        <w:tabs>
          <w:tab w:val="clear" w:pos="1134"/>
          <w:tab w:val="clear" w:pos="1871"/>
          <w:tab w:val="clear" w:pos="2268"/>
        </w:tabs>
        <w:overflowPunct/>
        <w:autoSpaceDE/>
        <w:autoSpaceDN/>
        <w:adjustRightInd/>
        <w:spacing w:before="0"/>
        <w:textAlignment w:val="auto"/>
      </w:pPr>
      <w:r w:rsidRPr="00F14994">
        <w:br w:type="page"/>
      </w:r>
    </w:p>
    <w:p w:rsidR="000A3A56" w:rsidRPr="00F14994" w:rsidRDefault="000A3A56" w:rsidP="000A3A56">
      <w:pPr>
        <w:pStyle w:val="Tabletitle"/>
      </w:pPr>
      <w:r w:rsidRPr="00F14994">
        <w:lastRenderedPageBreak/>
        <w:t>Diffusion par satellite</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96"/>
        <w:gridCol w:w="1275"/>
        <w:gridCol w:w="1700"/>
      </w:tblGrid>
      <w:tr w:rsidR="000A3A56" w:rsidRPr="00F14994" w:rsidTr="009C4BE7">
        <w:trPr>
          <w:tblHeader/>
          <w:jc w:val="center"/>
        </w:trPr>
        <w:tc>
          <w:tcPr>
            <w:tcW w:w="1242" w:type="dxa"/>
            <w:vAlign w:val="center"/>
          </w:tcPr>
          <w:p w:rsidR="000A3A56" w:rsidRPr="00F14994" w:rsidRDefault="000A3A56" w:rsidP="009C4BE7">
            <w:pPr>
              <w:pStyle w:val="Tablehead"/>
            </w:pPr>
            <w:r w:rsidRPr="00F14994">
              <w:t xml:space="preserve">Rec. </w:t>
            </w:r>
            <w:r w:rsidRPr="00F14994">
              <w:br/>
              <w:t>UIT-R</w:t>
            </w:r>
          </w:p>
        </w:tc>
        <w:tc>
          <w:tcPr>
            <w:tcW w:w="6096" w:type="dxa"/>
            <w:vAlign w:val="center"/>
          </w:tcPr>
          <w:p w:rsidR="000A3A56" w:rsidRPr="00F14994" w:rsidRDefault="000A3A56" w:rsidP="009C4BE7">
            <w:pPr>
              <w:pStyle w:val="Tablehead"/>
            </w:pPr>
            <w:r w:rsidRPr="00F14994">
              <w:t>Titre de la Recommandation</w:t>
            </w:r>
          </w:p>
        </w:tc>
        <w:tc>
          <w:tcPr>
            <w:tcW w:w="1275" w:type="dxa"/>
            <w:vAlign w:val="center"/>
          </w:tcPr>
          <w:p w:rsidR="000A3A56" w:rsidRPr="00F14994" w:rsidRDefault="000A3A56" w:rsidP="009C4BE7">
            <w:pPr>
              <w:pStyle w:val="Tablehead"/>
            </w:pPr>
            <w:r w:rsidRPr="00F14994">
              <w:t>Suite donnée par l'AR-15</w:t>
            </w:r>
          </w:p>
        </w:tc>
        <w:tc>
          <w:tcPr>
            <w:tcW w:w="1700" w:type="dxa"/>
            <w:vAlign w:val="center"/>
          </w:tcPr>
          <w:p w:rsidR="000A3A56" w:rsidRPr="00F14994" w:rsidRDefault="000A3A56" w:rsidP="009C4BE7">
            <w:pPr>
              <w:pStyle w:val="Tablehead"/>
            </w:pPr>
            <w:r w:rsidRPr="00F14994">
              <w:t>Observations</w:t>
            </w:r>
          </w:p>
        </w:tc>
      </w:tr>
      <w:tr w:rsidR="000A3A56" w:rsidRPr="00F14994" w:rsidTr="00162112">
        <w:trPr>
          <w:jc w:val="center"/>
        </w:trPr>
        <w:tc>
          <w:tcPr>
            <w:tcW w:w="1242" w:type="dxa"/>
          </w:tcPr>
          <w:p w:rsidR="000A3A56" w:rsidRPr="00F14994" w:rsidRDefault="009C4BE7" w:rsidP="000A3A56">
            <w:pPr>
              <w:pStyle w:val="Tabletext"/>
              <w:jc w:val="center"/>
            </w:pPr>
            <w:hyperlink r:id="rId9" w:history="1">
              <w:r w:rsidR="000A3A56" w:rsidRPr="00F14994">
                <w:rPr>
                  <w:rStyle w:val="Strong"/>
                </w:rPr>
                <w:t>BO.600</w:t>
              </w:r>
            </w:hyperlink>
            <w:r w:rsidR="000A3A56" w:rsidRPr="00F14994">
              <w:rPr>
                <w:b/>
                <w:bCs/>
              </w:rPr>
              <w:t>-1</w:t>
            </w:r>
          </w:p>
        </w:tc>
        <w:tc>
          <w:tcPr>
            <w:tcW w:w="6096" w:type="dxa"/>
            <w:vAlign w:val="center"/>
          </w:tcPr>
          <w:p w:rsidR="000A3A56" w:rsidRPr="00F14994" w:rsidRDefault="000A3A56" w:rsidP="000A3A56">
            <w:pPr>
              <w:pStyle w:val="Tabletext"/>
              <w:rPr>
                <w:rFonts w:eastAsia="Arial Unicode MS"/>
              </w:rPr>
            </w:pPr>
            <w:r w:rsidRPr="00F14994">
              <w:t>Ensemble normalisé et conditions d'essai et de méthodes de mesure pour la détermination subjective et objective des rapports de protection en télévision dans les services de radiodiffusion de Terre et de radiodiffusion par satellite</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0" w:history="1">
              <w:r w:rsidR="000A3A56" w:rsidRPr="00F14994">
                <w:rPr>
                  <w:rStyle w:val="Strong"/>
                </w:rPr>
                <w:t>BO.650</w:t>
              </w:r>
            </w:hyperlink>
            <w:r w:rsidR="000A3A56" w:rsidRPr="00F14994">
              <w:rPr>
                <w:b/>
                <w:bCs/>
              </w:rPr>
              <w:t>-2</w:t>
            </w:r>
          </w:p>
        </w:tc>
        <w:tc>
          <w:tcPr>
            <w:tcW w:w="6096" w:type="dxa"/>
            <w:vAlign w:val="center"/>
          </w:tcPr>
          <w:p w:rsidR="000A3A56" w:rsidRPr="00F14994" w:rsidRDefault="000A3A56" w:rsidP="000A3A56">
            <w:pPr>
              <w:pStyle w:val="Tabletext"/>
              <w:rPr>
                <w:rFonts w:eastAsia="Arial Unicode MS"/>
              </w:rPr>
            </w:pPr>
            <w:r w:rsidRPr="00F14994">
              <w:t>Normes applicables aux systèmes de télévision conventionnelle pour la radiodiffusion par satellite dans les canaux définis par l'Appendice 30 du Règlement des radiocommunications</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1" w:history="1">
              <w:r w:rsidR="000A3A56" w:rsidRPr="00F14994">
                <w:rPr>
                  <w:rStyle w:val="Strong"/>
                </w:rPr>
                <w:t>BO.651</w:t>
              </w:r>
            </w:hyperlink>
            <w:r w:rsidR="000A3A56" w:rsidRPr="00F14994">
              <w:rPr>
                <w:rStyle w:val="Strong"/>
              </w:rPr>
              <w:t>-</w:t>
            </w:r>
            <w:r w:rsidR="005C1181"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Codage numérique MIC pour l'émission de signaux audio de haute qualité en radiodiffusion par satellite (bande passante nominale 15 kHz)</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2" w:history="1">
              <w:r w:rsidR="000A3A56" w:rsidRPr="00F14994">
                <w:rPr>
                  <w:rStyle w:val="Strong"/>
                </w:rPr>
                <w:t>BO.652</w:t>
              </w:r>
            </w:hyperlink>
            <w:r w:rsidR="000A3A56" w:rsidRPr="00F14994">
              <w:rPr>
                <w:b/>
                <w:bCs/>
              </w:rPr>
              <w:t>-1</w:t>
            </w:r>
          </w:p>
        </w:tc>
        <w:tc>
          <w:tcPr>
            <w:tcW w:w="6096" w:type="dxa"/>
            <w:vAlign w:val="center"/>
          </w:tcPr>
          <w:p w:rsidR="000A3A56" w:rsidRPr="00F14994" w:rsidRDefault="000A3A56" w:rsidP="000A3A56">
            <w:pPr>
              <w:pStyle w:val="Tabletext"/>
              <w:rPr>
                <w:rFonts w:eastAsia="Arial Unicode MS"/>
              </w:rPr>
            </w:pPr>
            <w:r w:rsidRPr="00F14994">
              <w:t>Diagramme de référence des antennes de stations terriennes et de satellites pour le service de radiodiffusion par satellite dans la bande des 12 GHz et les liaisons de connexion associées dans les bandes des 14 et 17 GHz</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3" w:history="1">
              <w:r w:rsidR="000A3A56" w:rsidRPr="00F14994">
                <w:rPr>
                  <w:rStyle w:val="Strong"/>
                </w:rPr>
                <w:t>BO.712</w:t>
              </w:r>
            </w:hyperlink>
            <w:r w:rsidR="000A3A56" w:rsidRPr="00F14994">
              <w:rPr>
                <w:b/>
                <w:bCs/>
              </w:rPr>
              <w:t>-1</w:t>
            </w:r>
          </w:p>
        </w:tc>
        <w:tc>
          <w:tcPr>
            <w:tcW w:w="6096" w:type="dxa"/>
            <w:vAlign w:val="center"/>
          </w:tcPr>
          <w:p w:rsidR="000A3A56" w:rsidRPr="00F14994" w:rsidRDefault="000A3A56" w:rsidP="000A3A56">
            <w:pPr>
              <w:pStyle w:val="Tabletext"/>
              <w:rPr>
                <w:rFonts w:eastAsia="Arial Unicode MS"/>
              </w:rPr>
            </w:pPr>
            <w:r w:rsidRPr="00F14994">
              <w:t xml:space="preserve">Normes du son de haute qualité et des données pour le service de radiodiffusion </w:t>
            </w:r>
            <w:r w:rsidR="00220294">
              <w:t xml:space="preserve">par satellite dans la bande des </w:t>
            </w:r>
            <w:r w:rsidRPr="00F14994">
              <w:t>12 GHz</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4" w:history="1">
              <w:r w:rsidR="000A3A56" w:rsidRPr="00F14994">
                <w:rPr>
                  <w:rStyle w:val="Strong"/>
                </w:rPr>
                <w:t>BO.789</w:t>
              </w:r>
            </w:hyperlink>
            <w:r w:rsidR="000A3A56" w:rsidRPr="00F14994">
              <w:rPr>
                <w:b/>
                <w:bCs/>
              </w:rPr>
              <w:t>-2</w:t>
            </w:r>
          </w:p>
        </w:tc>
        <w:tc>
          <w:tcPr>
            <w:tcW w:w="6096" w:type="dxa"/>
            <w:vAlign w:val="center"/>
          </w:tcPr>
          <w:p w:rsidR="000A3A56" w:rsidRPr="00F14994" w:rsidRDefault="000A3A56" w:rsidP="000A3A56">
            <w:pPr>
              <w:pStyle w:val="Tabletext"/>
              <w:rPr>
                <w:rFonts w:eastAsia="Arial Unicode MS"/>
              </w:rPr>
            </w:pPr>
            <w:r w:rsidRPr="00F14994">
              <w:t>Besoins du service de radiodiffusion sonore numérique par satellite (SRS) à destination des récepteurs à bord de véhicules, portatifs et fixes dans la gamme de fréquences 1 400-2 700 MHz</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5" w:history="1">
              <w:r w:rsidR="000A3A56" w:rsidRPr="00F14994">
                <w:rPr>
                  <w:rStyle w:val="Strong"/>
                </w:rPr>
                <w:t>BO.790</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Caractéristiques des équipements de réception et calcul du facteur de qualité (G/T) des récepteurs pour le service de radiodiffusion par satellite</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6" w:history="1">
              <w:r w:rsidR="000A3A56" w:rsidRPr="00F14994">
                <w:rPr>
                  <w:rStyle w:val="Strong"/>
                </w:rPr>
                <w:t>BO.791</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Choix de la polarisation pour le service de radiodiffusion par satellite</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7" w:history="1">
              <w:r w:rsidR="000A3A56" w:rsidRPr="00F14994">
                <w:rPr>
                  <w:rStyle w:val="Strong"/>
                </w:rPr>
                <w:t>BO.792</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Rapports de protection contre les brouillages dans le service de radiodiffusion par satellite (télévision) dans la bande des 12 GHz</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18" w:history="1">
              <w:r w:rsidR="000A3A56" w:rsidRPr="00F14994">
                <w:rPr>
                  <w:rStyle w:val="Strong"/>
                </w:rPr>
                <w:t>BO.793</w:t>
              </w:r>
            </w:hyperlink>
            <w:r w:rsidR="000A3A56" w:rsidRPr="00F14994">
              <w:rPr>
                <w:rStyle w:val="Strong"/>
              </w:rPr>
              <w:t>-0</w:t>
            </w:r>
          </w:p>
        </w:tc>
        <w:tc>
          <w:tcPr>
            <w:tcW w:w="6096" w:type="dxa"/>
            <w:vAlign w:val="center"/>
          </w:tcPr>
          <w:p w:rsidR="000A3A56" w:rsidRPr="00F14994" w:rsidRDefault="000A3A56" w:rsidP="000A3A56">
            <w:pPr>
              <w:pStyle w:val="Tabletext"/>
              <w:keepNext/>
              <w:rPr>
                <w:rFonts w:eastAsia="Arial Unicode MS"/>
              </w:rPr>
            </w:pPr>
            <w:r w:rsidRPr="00F14994">
              <w:t>Répartition de bruit entre les liaisons de connexion du service de radiodiffusion par satellite (SRS) et les liaisons descendantes du SRS</w:t>
            </w:r>
          </w:p>
        </w:tc>
        <w:tc>
          <w:tcPr>
            <w:tcW w:w="1275" w:type="dxa"/>
          </w:tcPr>
          <w:p w:rsidR="000A3A56" w:rsidRPr="00F14994" w:rsidRDefault="000A3A56" w:rsidP="000A3A56">
            <w:pPr>
              <w:pStyle w:val="Tabletext"/>
              <w:keepNext/>
              <w:jc w:val="center"/>
            </w:pPr>
            <w:r w:rsidRPr="00F14994">
              <w:t>NOC</w:t>
            </w:r>
          </w:p>
        </w:tc>
        <w:tc>
          <w:tcPr>
            <w:tcW w:w="1700" w:type="dxa"/>
          </w:tcPr>
          <w:p w:rsidR="000A3A56" w:rsidRPr="00F14994" w:rsidRDefault="000A3A56" w:rsidP="000A3A56">
            <w:pPr>
              <w:pStyle w:val="Tabletext"/>
              <w:keepNext/>
            </w:pPr>
          </w:p>
        </w:tc>
      </w:tr>
      <w:tr w:rsidR="000A3A56" w:rsidRPr="00F14994" w:rsidTr="00162112">
        <w:trPr>
          <w:jc w:val="center"/>
        </w:trPr>
        <w:tc>
          <w:tcPr>
            <w:tcW w:w="1242" w:type="dxa"/>
          </w:tcPr>
          <w:p w:rsidR="000A3A56" w:rsidRPr="00F14994" w:rsidRDefault="009C4BE7" w:rsidP="000A3A56">
            <w:pPr>
              <w:pStyle w:val="Tabletext"/>
              <w:jc w:val="center"/>
            </w:pPr>
            <w:hyperlink r:id="rId19" w:history="1">
              <w:r w:rsidR="000A3A56" w:rsidRPr="00F14994">
                <w:rPr>
                  <w:rStyle w:val="Strong"/>
                </w:rPr>
                <w:t>BO.794</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Techniques visant à réduire l'effet que produit la pluie le long du trajet de la liaison de connexion sur la qualité globale des systèmes du SRS</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0" w:history="1">
              <w:r w:rsidR="000A3A56" w:rsidRPr="00F14994">
                <w:rPr>
                  <w:rStyle w:val="Strong"/>
                </w:rPr>
                <w:t>BO.795</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Techniques propres à réduire les brouillages mutuels entre liaisons de connexion du SRS</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1" w:history="1">
              <w:r w:rsidR="000A3A56" w:rsidRPr="00F14994">
                <w:rPr>
                  <w:rStyle w:val="Strong"/>
                </w:rPr>
                <w:t>BO.1130</w:t>
              </w:r>
            </w:hyperlink>
            <w:r w:rsidR="000A3A56" w:rsidRPr="00F14994">
              <w:rPr>
                <w:b/>
                <w:bCs/>
              </w:rPr>
              <w:t>-4</w:t>
            </w:r>
          </w:p>
        </w:tc>
        <w:tc>
          <w:tcPr>
            <w:tcW w:w="6096" w:type="dxa"/>
            <w:vAlign w:val="center"/>
          </w:tcPr>
          <w:p w:rsidR="000A3A56" w:rsidRPr="00F14994" w:rsidRDefault="000A3A56" w:rsidP="000A3A56">
            <w:pPr>
              <w:pStyle w:val="Tabletext"/>
              <w:keepNext/>
              <w:keepLines/>
              <w:rPr>
                <w:rFonts w:eastAsia="Arial Unicode MS"/>
              </w:rPr>
            </w:pPr>
            <w:r w:rsidRPr="00F14994">
              <w:t>Systèmes de radiodiffusion sonore numérique par satellite pour récepteurs portatifs, fixes ou de véhicules fonctionnant dans les bandes attribuées au service de radiodiffusion (sonore) par satellite dans la gamme de fréquences 1 400</w:t>
            </w:r>
            <w:r w:rsidRPr="00F14994">
              <w:noBreakHyphen/>
              <w:t>2 700 MHz</w:t>
            </w:r>
          </w:p>
        </w:tc>
        <w:tc>
          <w:tcPr>
            <w:tcW w:w="1275" w:type="dxa"/>
          </w:tcPr>
          <w:p w:rsidR="000A3A56" w:rsidRPr="00F14994" w:rsidRDefault="000A3A56" w:rsidP="000A3A56">
            <w:pPr>
              <w:pStyle w:val="Tabletext"/>
              <w:keepNext/>
              <w:keepLines/>
              <w:jc w:val="center"/>
            </w:pPr>
            <w:r w:rsidRPr="00F14994">
              <w:t>NOC</w:t>
            </w:r>
          </w:p>
        </w:tc>
        <w:tc>
          <w:tcPr>
            <w:tcW w:w="1700" w:type="dxa"/>
          </w:tcPr>
          <w:p w:rsidR="000A3A56" w:rsidRPr="00F14994" w:rsidRDefault="000A3A56" w:rsidP="000A3A56">
            <w:pPr>
              <w:pStyle w:val="Tabletext"/>
              <w:keepNext/>
              <w:keepLines/>
            </w:pPr>
          </w:p>
        </w:tc>
      </w:tr>
      <w:tr w:rsidR="000A3A56" w:rsidRPr="00F14994" w:rsidTr="00162112">
        <w:trPr>
          <w:jc w:val="center"/>
        </w:trPr>
        <w:tc>
          <w:tcPr>
            <w:tcW w:w="1242" w:type="dxa"/>
          </w:tcPr>
          <w:p w:rsidR="000A3A56" w:rsidRPr="00F14994" w:rsidRDefault="009C4BE7" w:rsidP="000A3A56">
            <w:pPr>
              <w:pStyle w:val="Tabletext"/>
              <w:jc w:val="center"/>
            </w:pPr>
            <w:hyperlink r:id="rId22" w:history="1">
              <w:r w:rsidR="000A3A56" w:rsidRPr="00F14994">
                <w:rPr>
                  <w:rStyle w:val="Strong"/>
                </w:rPr>
                <w:t>BO.1212</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Calcul du brouillage total entre réseaux à satellites géostationnaires dans le service de radiodiffusion par satellite</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3" w:history="1">
              <w:r w:rsidR="000A3A56" w:rsidRPr="00F14994">
                <w:rPr>
                  <w:rStyle w:val="Strong"/>
                </w:rPr>
                <w:t>BO.1213</w:t>
              </w:r>
            </w:hyperlink>
            <w:r w:rsidR="000A3A56" w:rsidRPr="00F14994">
              <w:rPr>
                <w:b/>
                <w:bCs/>
              </w:rPr>
              <w:t>-1</w:t>
            </w:r>
          </w:p>
        </w:tc>
        <w:tc>
          <w:tcPr>
            <w:tcW w:w="6096" w:type="dxa"/>
            <w:vAlign w:val="center"/>
          </w:tcPr>
          <w:p w:rsidR="000A3A56" w:rsidRPr="00F14994" w:rsidRDefault="000A3A56" w:rsidP="000A3A56">
            <w:pPr>
              <w:pStyle w:val="Tabletext"/>
              <w:rPr>
                <w:rFonts w:eastAsia="Arial Unicode MS"/>
              </w:rPr>
            </w:pPr>
            <w:r w:rsidRPr="00F14994">
              <w:t>Diagramme de référence pour antenne de station terrienne de réception pour le service de radiodiffusion par sat</w:t>
            </w:r>
            <w:r w:rsidR="00220294">
              <w:t>ellite dans la bande 11,7</w:t>
            </w:r>
            <w:r w:rsidR="00220294">
              <w:noBreakHyphen/>
              <w:t>12,75 </w:t>
            </w:r>
            <w:r w:rsidRPr="00F14994">
              <w:t>GHz</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4" w:history="1">
              <w:r w:rsidR="000A3A56" w:rsidRPr="00F14994">
                <w:rPr>
                  <w:rStyle w:val="Strong"/>
                </w:rPr>
                <w:t>BO.1293</w:t>
              </w:r>
            </w:hyperlink>
            <w:r w:rsidR="000A3A56" w:rsidRPr="00F14994">
              <w:rPr>
                <w:b/>
                <w:bCs/>
              </w:rPr>
              <w:t>-2</w:t>
            </w:r>
          </w:p>
        </w:tc>
        <w:tc>
          <w:tcPr>
            <w:tcW w:w="6096" w:type="dxa"/>
            <w:vAlign w:val="center"/>
          </w:tcPr>
          <w:p w:rsidR="000A3A56" w:rsidRPr="00F14994" w:rsidRDefault="000A3A56" w:rsidP="000A3A56">
            <w:pPr>
              <w:pStyle w:val="Tabletext"/>
              <w:rPr>
                <w:rFonts w:eastAsia="Arial Unicode MS"/>
              </w:rPr>
            </w:pPr>
            <w:r w:rsidRPr="00F14994">
              <w:t>Gabarits de protection et méthodes de calcul associées pour les brouillages causés aux systèmes de radiodiffusion par satellite dans le cas d'émissions numériques</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5" w:history="1">
              <w:r w:rsidR="000A3A56" w:rsidRPr="00F14994">
                <w:rPr>
                  <w:rStyle w:val="Strong"/>
                </w:rPr>
                <w:t>BO.1295</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Diagrammes de rayonnement de référence de la p.i.r.e. hors axe pour les antennes de station terrienne d'émission à utiliser pour la planification lors de la révision des Plans de l'Appendice 30A (Orb-88) du Règlement des radiocommunications à 14 GHz et 17 GHz pour les Régions 1 et 3</w:t>
            </w:r>
          </w:p>
        </w:tc>
        <w:tc>
          <w:tcPr>
            <w:tcW w:w="1275" w:type="dxa"/>
          </w:tcPr>
          <w:p w:rsidR="000A3A56" w:rsidRPr="00F14994" w:rsidRDefault="000A3A56" w:rsidP="000A3A56">
            <w:pPr>
              <w:pStyle w:val="Tabletext"/>
              <w:jc w:val="center"/>
            </w:pPr>
            <w:r w:rsidRPr="00F14994">
              <w:t>NOC</w:t>
            </w:r>
          </w:p>
        </w:tc>
        <w:tc>
          <w:tcPr>
            <w:tcW w:w="1700" w:type="dxa"/>
          </w:tcPr>
          <w:p w:rsidR="000A3A56" w:rsidRPr="00F14994" w:rsidRDefault="000A3A56" w:rsidP="000A3A56">
            <w:pPr>
              <w:pStyle w:val="Tabletext"/>
            </w:pPr>
          </w:p>
        </w:tc>
      </w:tr>
    </w:tbl>
    <w:p w:rsidR="000A3A56" w:rsidRPr="00F14994" w:rsidRDefault="000A3A56" w:rsidP="000A3A56">
      <w:r w:rsidRPr="00F14994">
        <w:br w:type="page"/>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96"/>
        <w:gridCol w:w="1275"/>
        <w:gridCol w:w="6"/>
        <w:gridCol w:w="1695"/>
      </w:tblGrid>
      <w:tr w:rsidR="000A3A56" w:rsidRPr="00F14994" w:rsidTr="00162112">
        <w:trPr>
          <w:jc w:val="center"/>
        </w:trPr>
        <w:tc>
          <w:tcPr>
            <w:tcW w:w="1242" w:type="dxa"/>
          </w:tcPr>
          <w:p w:rsidR="000A3A56" w:rsidRPr="00F14994" w:rsidRDefault="000A3A56" w:rsidP="000A3A56">
            <w:pPr>
              <w:pStyle w:val="Tablehead"/>
            </w:pPr>
            <w:r w:rsidRPr="00F14994">
              <w:lastRenderedPageBreak/>
              <w:t xml:space="preserve">Rec. </w:t>
            </w:r>
            <w:r w:rsidRPr="00F14994">
              <w:br/>
              <w:t>UIT-R</w:t>
            </w:r>
          </w:p>
        </w:tc>
        <w:tc>
          <w:tcPr>
            <w:tcW w:w="6096" w:type="dxa"/>
          </w:tcPr>
          <w:p w:rsidR="000A3A56" w:rsidRPr="00F14994" w:rsidRDefault="000A3A56" w:rsidP="000A3A56">
            <w:pPr>
              <w:pStyle w:val="Tablehead"/>
            </w:pPr>
            <w:r w:rsidRPr="00F14994">
              <w:t>Titre de la Recommandation</w:t>
            </w:r>
          </w:p>
        </w:tc>
        <w:tc>
          <w:tcPr>
            <w:tcW w:w="1275" w:type="dxa"/>
          </w:tcPr>
          <w:p w:rsidR="000A3A56" w:rsidRPr="00F14994" w:rsidRDefault="000A3A56" w:rsidP="000A3A56">
            <w:pPr>
              <w:pStyle w:val="Tablehead"/>
            </w:pPr>
            <w:r w:rsidRPr="00F14994">
              <w:t>Suite donnée par l'</w:t>
            </w:r>
            <w:r w:rsidR="008E4AD2" w:rsidRPr="00F14994">
              <w:t>AR-15</w:t>
            </w:r>
          </w:p>
        </w:tc>
        <w:tc>
          <w:tcPr>
            <w:tcW w:w="1701" w:type="dxa"/>
            <w:gridSpan w:val="2"/>
          </w:tcPr>
          <w:p w:rsidR="000A3A56" w:rsidRPr="00F14994" w:rsidRDefault="000A3A56" w:rsidP="000A3A56">
            <w:pPr>
              <w:pStyle w:val="Tablehead"/>
            </w:pPr>
            <w:r w:rsidRPr="00F14994">
              <w:t>Observations</w:t>
            </w:r>
          </w:p>
        </w:tc>
      </w:tr>
      <w:tr w:rsidR="000A3A56" w:rsidRPr="00F14994" w:rsidTr="00162112">
        <w:trPr>
          <w:jc w:val="center"/>
        </w:trPr>
        <w:tc>
          <w:tcPr>
            <w:tcW w:w="1242" w:type="dxa"/>
          </w:tcPr>
          <w:p w:rsidR="000A3A56" w:rsidRPr="00F14994" w:rsidRDefault="009C4BE7" w:rsidP="000A3A56">
            <w:pPr>
              <w:pStyle w:val="Tabletext"/>
              <w:jc w:val="center"/>
            </w:pPr>
            <w:hyperlink r:id="rId26" w:history="1">
              <w:r w:rsidR="000A3A56" w:rsidRPr="00F14994">
                <w:rPr>
                  <w:rStyle w:val="Strong"/>
                </w:rPr>
                <w:t>BO.1296</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Diagrammes de référence d'antenne de réception de station spatiale à utiliser pour la planification dans le cas de faisceaux elliptiques lors de la révision des Plans de l'Appendice 30A (Orb-88) du Règlement des radiocommunications à 14 et 17 GHz pour les Régions 1 et 3</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7" w:history="1">
              <w:r w:rsidR="000A3A56" w:rsidRPr="00F14994">
                <w:rPr>
                  <w:rStyle w:val="Strong"/>
                </w:rPr>
                <w:t>BO.1297</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Rapports de protection à utiliser pour la planification lors de la révision des Plans des Appendices 30 (Orb</w:t>
            </w:r>
            <w:r w:rsidRPr="00F14994">
              <w:noBreakHyphen/>
              <w:t>95) et 30A (Orb-88) du Règlement des radiocommunications pour les Régions 1 et 3</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8" w:history="1">
              <w:r w:rsidR="000A3A56" w:rsidRPr="00F14994">
                <w:rPr>
                  <w:rStyle w:val="Strong"/>
                </w:rPr>
                <w:t>BO.1373</w:t>
              </w:r>
            </w:hyperlink>
            <w:r w:rsidR="000A3A56" w:rsidRPr="00F14994">
              <w:rPr>
                <w:b/>
                <w:bCs/>
              </w:rPr>
              <w:t>-2</w:t>
            </w:r>
          </w:p>
        </w:tc>
        <w:tc>
          <w:tcPr>
            <w:tcW w:w="6096" w:type="dxa"/>
            <w:vAlign w:val="center"/>
          </w:tcPr>
          <w:p w:rsidR="000A3A56" w:rsidRPr="00F14994" w:rsidRDefault="000A3A56" w:rsidP="000A3A56">
            <w:pPr>
              <w:pStyle w:val="Tabletext"/>
              <w:rPr>
                <w:rFonts w:eastAsia="Arial Unicode MS"/>
              </w:rPr>
            </w:pPr>
            <w:r w:rsidRPr="00F14994">
              <w:t>Utilisation des assignations au service de radiodiffusion par satellite et des assignations aux liaisons de connexion associées pour des transmissions du service fixe par satellite dans des bandes assujetties aux dispositions des Appendices 30 et 30A du Règlement des radiocommunications</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29" w:history="1">
              <w:r w:rsidR="000A3A56" w:rsidRPr="00F14994">
                <w:rPr>
                  <w:rStyle w:val="Strong"/>
                </w:rPr>
                <w:t>BO.1383</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Mise en œuvre du service de radiodiffusion (sonore) par satellite dans les mêmes bandes de fréquences que celles utilisées par les systèmes mobiles aéronautiques pour la télémesure dans la gamme de fréquences 1</w:t>
            </w:r>
            <w:r w:rsidRPr="00F14994">
              <w:noBreakHyphen/>
              <w:t>3 GHz</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0" w:history="1">
              <w:r w:rsidR="000A3A56" w:rsidRPr="00F14994">
                <w:rPr>
                  <w:rStyle w:val="Strong"/>
                </w:rPr>
                <w:t>BO.1408</w:t>
              </w:r>
            </w:hyperlink>
            <w:r w:rsidR="000A3A56" w:rsidRPr="00F14994">
              <w:rPr>
                <w:b/>
                <w:bCs/>
              </w:rPr>
              <w:t>-1</w:t>
            </w:r>
          </w:p>
        </w:tc>
        <w:tc>
          <w:tcPr>
            <w:tcW w:w="6096" w:type="dxa"/>
            <w:vAlign w:val="center"/>
          </w:tcPr>
          <w:p w:rsidR="000A3A56" w:rsidRPr="00F14994" w:rsidRDefault="000A3A56" w:rsidP="000A3A56">
            <w:pPr>
              <w:pStyle w:val="Tabletext"/>
              <w:rPr>
                <w:rFonts w:eastAsia="Arial Unicode MS"/>
              </w:rPr>
            </w:pPr>
            <w:r w:rsidRPr="00F14994">
              <w:t>Système de transmission pour services multimédias de haute technologie fournis par la radiodiffusion numérique à intégration de services dans un canal de radiodiffusion par satellite</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1" w:history="1">
              <w:r w:rsidR="000A3A56" w:rsidRPr="00F14994">
                <w:rPr>
                  <w:rStyle w:val="Strong"/>
                </w:rPr>
                <w:t>BO.1443</w:t>
              </w:r>
            </w:hyperlink>
            <w:r w:rsidR="000A3A56" w:rsidRPr="00F14994">
              <w:rPr>
                <w:b/>
                <w:bCs/>
              </w:rPr>
              <w:t>-3</w:t>
            </w:r>
          </w:p>
        </w:tc>
        <w:tc>
          <w:tcPr>
            <w:tcW w:w="6096" w:type="dxa"/>
            <w:vAlign w:val="center"/>
          </w:tcPr>
          <w:p w:rsidR="000A3A56" w:rsidRPr="00F14994" w:rsidRDefault="000A3A56" w:rsidP="000A3A56">
            <w:pPr>
              <w:pStyle w:val="Tabletext"/>
              <w:keepNext/>
              <w:keepLines/>
              <w:rPr>
                <w:rFonts w:eastAsia="Arial Unicode MS"/>
              </w:rPr>
            </w:pPr>
            <w:r w:rsidRPr="00F14994">
              <w:t>Diagrammes de référence des antennes de stations terriennes du service de radiodiffusion par satellite à utiliser pour l'évaluation des brouillages faisant intervenir des satellites non géostationnaires dans les bandes de fréquences visées à l'Appendice 30 du RR</w:t>
            </w:r>
          </w:p>
        </w:tc>
        <w:tc>
          <w:tcPr>
            <w:tcW w:w="1281" w:type="dxa"/>
            <w:gridSpan w:val="2"/>
          </w:tcPr>
          <w:p w:rsidR="000A3A56" w:rsidRPr="00F14994" w:rsidRDefault="000A3A56" w:rsidP="000A3A56">
            <w:pPr>
              <w:pStyle w:val="Tabletext"/>
              <w:keepNext/>
              <w:keepLines/>
              <w:jc w:val="center"/>
            </w:pPr>
            <w:r w:rsidRPr="00F14994">
              <w:t>NOC</w:t>
            </w:r>
          </w:p>
        </w:tc>
        <w:tc>
          <w:tcPr>
            <w:tcW w:w="1695" w:type="dxa"/>
          </w:tcPr>
          <w:p w:rsidR="000A3A56" w:rsidRPr="00F14994" w:rsidRDefault="000A3A56" w:rsidP="000A3A56">
            <w:pPr>
              <w:pStyle w:val="Tabletext"/>
              <w:keepNext/>
              <w:keepLines/>
            </w:pPr>
          </w:p>
        </w:tc>
      </w:tr>
      <w:tr w:rsidR="000A3A56" w:rsidRPr="00F14994" w:rsidTr="00162112">
        <w:trPr>
          <w:jc w:val="center"/>
        </w:trPr>
        <w:tc>
          <w:tcPr>
            <w:tcW w:w="1242" w:type="dxa"/>
          </w:tcPr>
          <w:p w:rsidR="000A3A56" w:rsidRPr="00F14994" w:rsidRDefault="009C4BE7" w:rsidP="000A3A56">
            <w:pPr>
              <w:pStyle w:val="Tabletext"/>
              <w:jc w:val="center"/>
            </w:pPr>
            <w:hyperlink r:id="rId32" w:history="1">
              <w:r w:rsidR="000A3A56" w:rsidRPr="00F14994">
                <w:rPr>
                  <w:rStyle w:val="Strong"/>
                </w:rPr>
                <w:t>BO.1444</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Protection du SRS dans la bande des 12 GHz et des liaisons de connexion associées dans la bande des 17 GHz contre les brouillages causés par les systèmes du SFS non OSG</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3" w:history="1">
              <w:r w:rsidR="000A3A56" w:rsidRPr="00F14994">
                <w:rPr>
                  <w:rStyle w:val="Strong"/>
                </w:rPr>
                <w:t>BO.1445</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Diagrammes améliorés pour les antennes d'émission de satellite avec décroissance rapide utilisés dans le plan de l'Appendice S30 du RR pour le SRS dans les Régions 1 et 3</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4" w:history="1">
              <w:r w:rsidR="000A3A56" w:rsidRPr="00F14994">
                <w:rPr>
                  <w:rStyle w:val="Strong"/>
                </w:rPr>
                <w:t>BO.1504</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Utilisation efficace du spectre assigné au service de radiodiffusion par satellite (sonore)</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5" w:history="1">
              <w:r w:rsidR="000A3A56" w:rsidRPr="00F14994">
                <w:rPr>
                  <w:rStyle w:val="Strong"/>
                </w:rPr>
                <w:t>BO.1506</w:t>
              </w:r>
            </w:hyperlink>
            <w:r w:rsidR="000A3A56"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Méthodologie permettant d'évaluer l'incidence du brouillage d'origine solaire sur la qualité de fonctionnement des liaisons OSG du SRS</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6" w:history="1">
              <w:r w:rsidR="000A3A56" w:rsidRPr="00F14994">
                <w:rPr>
                  <w:rStyle w:val="Strong"/>
                </w:rPr>
                <w:t>BO.1516</w:t>
              </w:r>
            </w:hyperlink>
            <w:r w:rsidR="000A3A56" w:rsidRPr="00F14994">
              <w:rPr>
                <w:rStyle w:val="Strong"/>
              </w:rPr>
              <w:t>-1</w:t>
            </w:r>
          </w:p>
        </w:tc>
        <w:tc>
          <w:tcPr>
            <w:tcW w:w="6096" w:type="dxa"/>
            <w:vAlign w:val="center"/>
          </w:tcPr>
          <w:p w:rsidR="000A3A56" w:rsidRPr="00F14994" w:rsidRDefault="000A3A56" w:rsidP="000A3A56">
            <w:pPr>
              <w:pStyle w:val="Tabletext"/>
              <w:rPr>
                <w:rFonts w:eastAsia="Arial Unicode MS"/>
              </w:rPr>
            </w:pPr>
            <w:r w:rsidRPr="00F14994">
              <w:t>Systèmes de télévision numérique multiprogramme utilisés par des satellites dans la gamme de fréquences 11/12 GHz</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7" w:history="1">
              <w:r w:rsidR="000A3A56" w:rsidRPr="00F14994">
                <w:rPr>
                  <w:rStyle w:val="Strong"/>
                </w:rPr>
                <w:t>BO.1517</w:t>
              </w:r>
            </w:hyperlink>
            <w:r w:rsidR="008E4AD2"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Limites de puissance surfacique équivalente sur la liaison descendante, epfd</w:t>
            </w:r>
            <w:r w:rsidRPr="00F14994">
              <w:rPr>
                <w:rFonts w:ascii="Times New Roman Bold" w:hAnsi="Times New Roman Bold"/>
                <w:position w:val="-6"/>
                <w:sz w:val="24"/>
              </w:rPr>
              <w:sym w:font="Symbol" w:char="F0AF"/>
            </w:r>
            <w:r w:rsidRPr="00F14994">
              <w:t>, visant à protéger le service de radiodiffusion par satellite dans la bande des 12 GHz contre les brouillages causés par les systèmes non géostationnaires du service fixe par satellite</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9C4BE7" w:rsidP="000A3A56">
            <w:pPr>
              <w:pStyle w:val="Tabletext"/>
              <w:jc w:val="center"/>
            </w:pPr>
            <w:hyperlink r:id="rId38" w:history="1">
              <w:r w:rsidR="000A3A56" w:rsidRPr="00F14994">
                <w:rPr>
                  <w:rStyle w:val="Strong"/>
                </w:rPr>
                <w:t>BO.1597</w:t>
              </w:r>
            </w:hyperlink>
            <w:r w:rsidR="008E4AD2" w:rsidRPr="00F14994">
              <w:rPr>
                <w:rStyle w:val="Strong"/>
              </w:rPr>
              <w:t>-0</w:t>
            </w:r>
          </w:p>
        </w:tc>
        <w:tc>
          <w:tcPr>
            <w:tcW w:w="6096" w:type="dxa"/>
            <w:vAlign w:val="center"/>
          </w:tcPr>
          <w:p w:rsidR="000A3A56" w:rsidRPr="00F14994" w:rsidRDefault="000A3A56" w:rsidP="000A3A56">
            <w:pPr>
              <w:pStyle w:val="Tabletext"/>
              <w:rPr>
                <w:rFonts w:eastAsia="Arial Unicode MS"/>
              </w:rPr>
            </w:pPr>
            <w:r w:rsidRPr="00F14994">
              <w:t>Méthode de calcul des niveaux de brouillage dans le cas le plus défavorable entre un système du SRS (sonore) à satellites non géostationnaires en orbite fortement elliptique et un réseau à satellite géostationnaire exploités dans la bande 2 630-2 655 MHz</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BO.1658</w:t>
            </w:r>
            <w:r w:rsidR="008E4AD2" w:rsidRPr="00F14994">
              <w:rPr>
                <w:b/>
                <w:bCs/>
              </w:rPr>
              <w:t>-0</w:t>
            </w:r>
          </w:p>
        </w:tc>
        <w:tc>
          <w:tcPr>
            <w:tcW w:w="6096" w:type="dxa"/>
          </w:tcPr>
          <w:p w:rsidR="000A3A56" w:rsidRPr="00F14994" w:rsidRDefault="000A3A56" w:rsidP="000A3A56">
            <w:pPr>
              <w:pStyle w:val="Tabletext"/>
            </w:pPr>
            <w:r w:rsidRPr="00F14994">
              <w:t>Courbes continues d'epfd</w:t>
            </w:r>
            <w:r w:rsidRPr="00F14994">
              <w:rPr>
                <w:rFonts w:ascii="Times New Roman Bold" w:hAnsi="Times New Roman Bold"/>
                <w:position w:val="-6"/>
                <w:sz w:val="24"/>
              </w:rPr>
              <w:sym w:font="Symbol" w:char="F0AF"/>
            </w:r>
            <w:r w:rsidRPr="00F14994">
              <w:t xml:space="preserve"> en fonction des diamètres d'antenne de station terrienne géostationnaire du service de radiodiffusion par satellite pour déterminer la protection assurée par les systèmes conformes aux limites requises pour les antennes de diamètres autres que ceux de l'Article 22 du Règlement des radiocommunications</w:t>
            </w:r>
          </w:p>
        </w:tc>
        <w:tc>
          <w:tcPr>
            <w:tcW w:w="1281" w:type="dxa"/>
            <w:gridSpan w:val="2"/>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bl>
    <w:p w:rsidR="000A3A56" w:rsidRPr="00F14994" w:rsidRDefault="000A3A56" w:rsidP="000A3A56">
      <w:r w:rsidRPr="00F14994">
        <w:br w:type="page"/>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96"/>
        <w:gridCol w:w="1281"/>
        <w:gridCol w:w="1695"/>
      </w:tblGrid>
      <w:tr w:rsidR="000A3A56" w:rsidRPr="00F14994" w:rsidTr="00162112">
        <w:trPr>
          <w:jc w:val="center"/>
        </w:trPr>
        <w:tc>
          <w:tcPr>
            <w:tcW w:w="1242" w:type="dxa"/>
          </w:tcPr>
          <w:p w:rsidR="000A3A56" w:rsidRPr="00F14994" w:rsidRDefault="000A3A56" w:rsidP="000A3A56">
            <w:pPr>
              <w:pStyle w:val="Tablehead"/>
            </w:pPr>
            <w:r w:rsidRPr="00F14994">
              <w:lastRenderedPageBreak/>
              <w:t xml:space="preserve">Rec. </w:t>
            </w:r>
            <w:r w:rsidRPr="00F14994">
              <w:br/>
              <w:t>UIT-R</w:t>
            </w:r>
          </w:p>
        </w:tc>
        <w:tc>
          <w:tcPr>
            <w:tcW w:w="6096" w:type="dxa"/>
          </w:tcPr>
          <w:p w:rsidR="000A3A56" w:rsidRPr="00F14994" w:rsidRDefault="000A3A56" w:rsidP="000A3A56">
            <w:pPr>
              <w:pStyle w:val="Tablehead"/>
            </w:pPr>
            <w:r w:rsidRPr="00F14994">
              <w:t>Titre de la Recommandation</w:t>
            </w:r>
          </w:p>
        </w:tc>
        <w:tc>
          <w:tcPr>
            <w:tcW w:w="1281" w:type="dxa"/>
          </w:tcPr>
          <w:p w:rsidR="000A3A56" w:rsidRPr="00F14994" w:rsidRDefault="000A3A56" w:rsidP="000A3A56">
            <w:pPr>
              <w:pStyle w:val="Tablehead"/>
            </w:pPr>
            <w:r w:rsidRPr="00F14994">
              <w:t>Suite donnée par l'AR-1</w:t>
            </w:r>
            <w:r w:rsidR="008E4AD2" w:rsidRPr="00F14994">
              <w:t>5</w:t>
            </w:r>
          </w:p>
        </w:tc>
        <w:tc>
          <w:tcPr>
            <w:tcW w:w="1695" w:type="dxa"/>
          </w:tcPr>
          <w:p w:rsidR="000A3A56" w:rsidRPr="00F14994" w:rsidRDefault="000A3A56" w:rsidP="000A3A56">
            <w:pPr>
              <w:pStyle w:val="Tablehead"/>
            </w:pPr>
            <w:r w:rsidRPr="00F14994">
              <w:t>Observations</w:t>
            </w: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BO.1659</w:t>
            </w:r>
            <w:r w:rsidR="008E4AD2" w:rsidRPr="00F14994">
              <w:rPr>
                <w:b/>
                <w:bCs/>
              </w:rPr>
              <w:t>-1</w:t>
            </w:r>
          </w:p>
        </w:tc>
        <w:tc>
          <w:tcPr>
            <w:tcW w:w="6096" w:type="dxa"/>
          </w:tcPr>
          <w:p w:rsidR="000A3A56" w:rsidRPr="00F14994" w:rsidRDefault="000A3A56" w:rsidP="000A3A56">
            <w:pPr>
              <w:pStyle w:val="Tabletext"/>
              <w:keepNext/>
            </w:pPr>
            <w:r w:rsidRPr="00F14994">
              <w:rPr>
                <w:lang w:eastAsia="zh-CN"/>
              </w:rPr>
              <w:t xml:space="preserve">Techniques de compensation de l'affaiblissement dû à la pluie pour les systèmes du service de radiodiffusion par satellite dans les bandes de fréquences comprises entre 17,3 GHz et 42,5 GHz </w:t>
            </w:r>
          </w:p>
        </w:tc>
        <w:tc>
          <w:tcPr>
            <w:tcW w:w="1281" w:type="dxa"/>
          </w:tcPr>
          <w:p w:rsidR="000A3A56" w:rsidRPr="00F14994" w:rsidRDefault="008E4AD2" w:rsidP="000A3A56">
            <w:pPr>
              <w:pStyle w:val="Tabletext"/>
              <w:keepNext/>
              <w:jc w:val="center"/>
            </w:pPr>
            <w:r w:rsidRPr="00F14994">
              <w:t>NOC</w:t>
            </w:r>
          </w:p>
        </w:tc>
        <w:tc>
          <w:tcPr>
            <w:tcW w:w="1695" w:type="dxa"/>
          </w:tcPr>
          <w:p w:rsidR="000A3A56" w:rsidRPr="00F14994" w:rsidRDefault="000A3A56" w:rsidP="000A3A56">
            <w:pPr>
              <w:pStyle w:val="Tabletext"/>
              <w:keepN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BO.1696</w:t>
            </w:r>
            <w:r w:rsidR="008E4AD2" w:rsidRPr="00F14994">
              <w:rPr>
                <w:b/>
                <w:bCs/>
              </w:rPr>
              <w:t>-0</w:t>
            </w:r>
          </w:p>
        </w:tc>
        <w:tc>
          <w:tcPr>
            <w:tcW w:w="6096" w:type="dxa"/>
          </w:tcPr>
          <w:p w:rsidR="000A3A56" w:rsidRPr="00F14994" w:rsidRDefault="000A3A56" w:rsidP="000A3A56">
            <w:pPr>
              <w:pStyle w:val="Tabletext"/>
              <w:rPr>
                <w:rFonts w:ascii="Trebuchet MS" w:hAnsi="Trebuchet MS"/>
                <w:color w:val="000000"/>
                <w:sz w:val="15"/>
                <w:szCs w:val="15"/>
                <w:lang w:eastAsia="zh-CN"/>
              </w:rPr>
            </w:pPr>
            <w:r w:rsidRPr="00F14994">
              <w:rPr>
                <w:lang w:eastAsia="zh-CN"/>
              </w:rPr>
              <w:t>Méthodes de détermination de la qualité de fonctionnement en termes de disponibilité pour les systèmes multiprogrammes numériques du SRS et leurs liaisons de connexion associées fonctionnant dans les bandes planifiées</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BO.1697</w:t>
            </w:r>
            <w:r w:rsidR="008E4AD2" w:rsidRPr="00F14994">
              <w:rPr>
                <w:b/>
                <w:bCs/>
              </w:rPr>
              <w:t>-0</w:t>
            </w:r>
          </w:p>
        </w:tc>
        <w:tc>
          <w:tcPr>
            <w:tcW w:w="6096" w:type="dxa"/>
          </w:tcPr>
          <w:p w:rsidR="000A3A56" w:rsidRPr="00F14994" w:rsidRDefault="000A3A56" w:rsidP="00220294">
            <w:pPr>
              <w:pStyle w:val="Tabletext"/>
            </w:pPr>
            <w:r w:rsidRPr="00F14994">
              <w:t>Valeurs de puissance surfacique appl</w:t>
            </w:r>
            <w:r w:rsidR="00220294">
              <w:t>icables dans la bande 11,7</w:t>
            </w:r>
            <w:r w:rsidR="00220294">
              <w:noBreakHyphen/>
              <w:t>12,7 </w:t>
            </w:r>
            <w:r w:rsidRPr="00F14994">
              <w:t>GHz et méthode de calcul associée pouvant être utilisée pour la coordination bilatérale lorsque les valeurs de puissance surfacique indiquées dans la Section 3 de l'Annexe 1 ou dans l'Annexe 4 de l'Appendice 30 du Règlement des radiocommunications sont dépassées</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BO.1724-1</w:t>
            </w:r>
          </w:p>
        </w:tc>
        <w:tc>
          <w:tcPr>
            <w:tcW w:w="6096" w:type="dxa"/>
          </w:tcPr>
          <w:p w:rsidR="000A3A56" w:rsidRPr="00F14994" w:rsidRDefault="000A3A56" w:rsidP="000A3A56">
            <w:pPr>
              <w:pStyle w:val="Tabletext"/>
            </w:pPr>
            <w:r w:rsidRPr="00F14994">
              <w:t>Systèmes de radiodiffusion interactifs par satellite (télévision, son et données)</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BO.1773</w:t>
            </w:r>
            <w:r w:rsidR="008E4AD2" w:rsidRPr="00F14994">
              <w:rPr>
                <w:b/>
                <w:bCs/>
              </w:rPr>
              <w:t>-0</w:t>
            </w:r>
          </w:p>
        </w:tc>
        <w:tc>
          <w:tcPr>
            <w:tcW w:w="6096" w:type="dxa"/>
          </w:tcPr>
          <w:p w:rsidR="000A3A56" w:rsidRPr="00F14994" w:rsidRDefault="000A3A56" w:rsidP="000A3A56">
            <w:pPr>
              <w:pStyle w:val="Tabletext"/>
            </w:pPr>
            <w:r w:rsidRPr="00F14994">
              <w:t>Critère d'évaluation de l'incidence des brouillages occasionnés au service de radiodiffusion par satellite par les rayonnements de dispositifs sans attribution de fréquence correspondante dans le Règlement des radiocommunications et qui produisent des rayonnements fondamentaux dans les bandes de fréquences attribuées au service de radiodiffusion par satellite</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BO.1774-1</w:t>
            </w:r>
          </w:p>
        </w:tc>
        <w:tc>
          <w:tcPr>
            <w:tcW w:w="6096" w:type="dxa"/>
          </w:tcPr>
          <w:p w:rsidR="000A3A56" w:rsidRPr="00F14994" w:rsidRDefault="000A3A56" w:rsidP="000A3A56">
            <w:pPr>
              <w:pStyle w:val="Tabletext"/>
            </w:pPr>
            <w:r w:rsidRPr="00F14994">
              <w:t xml:space="preserve">Utilisation des infrastructures de radiodiffusion par satellite ou de Terre pour l'alerte du public, l'atténuation des effets des catastrophes et les secours en cas de catastrophe </w:t>
            </w:r>
            <w:r w:rsidRPr="00F14994">
              <w:br/>
              <w:t>Note – Identique à la Rec. UIT-R BT.1774-1</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BO.1776</w:t>
            </w:r>
            <w:r w:rsidR="008E4AD2" w:rsidRPr="00F14994">
              <w:rPr>
                <w:b/>
                <w:bCs/>
              </w:rPr>
              <w:t>-1</w:t>
            </w:r>
          </w:p>
        </w:tc>
        <w:tc>
          <w:tcPr>
            <w:tcW w:w="6096" w:type="dxa"/>
          </w:tcPr>
          <w:p w:rsidR="000A3A56" w:rsidRPr="00F14994" w:rsidRDefault="000A3A56" w:rsidP="000C272D">
            <w:pPr>
              <w:pStyle w:val="Tabletext"/>
            </w:pPr>
            <w:r w:rsidRPr="00F14994">
              <w:t>Puissance surfacique</w:t>
            </w:r>
            <w:r w:rsidR="000C272D" w:rsidRPr="00F14994">
              <w:t xml:space="preserve"> maximale pour </w:t>
            </w:r>
            <w:r w:rsidRPr="00F14994">
              <w:t>le service de radiodiffusion par satellite dans la bande 21,4-22,0 GHz dans les Régions 1 et 3</w:t>
            </w:r>
          </w:p>
        </w:tc>
        <w:tc>
          <w:tcPr>
            <w:tcW w:w="1281" w:type="dxa"/>
          </w:tcPr>
          <w:p w:rsidR="000A3A56" w:rsidRPr="00F14994" w:rsidRDefault="008E4AD2"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BO.1784</w:t>
            </w:r>
            <w:r w:rsidR="008E4AD2" w:rsidRPr="00F14994">
              <w:rPr>
                <w:b/>
                <w:bCs/>
              </w:rPr>
              <w:t>-0</w:t>
            </w:r>
          </w:p>
        </w:tc>
        <w:tc>
          <w:tcPr>
            <w:tcW w:w="6096" w:type="dxa"/>
          </w:tcPr>
          <w:p w:rsidR="000A3A56" w:rsidRPr="00F14994" w:rsidRDefault="000A3A56" w:rsidP="000A3A56">
            <w:pPr>
              <w:pStyle w:val="Tabletext"/>
            </w:pPr>
            <w:r w:rsidRPr="00F14994">
              <w:t>Système numérique de radiodiffusion par satellite avec configuration souple (télévision, son et données)</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BO.1785</w:t>
            </w:r>
            <w:r w:rsidR="008E4AD2" w:rsidRPr="00F14994">
              <w:rPr>
                <w:b/>
                <w:bCs/>
              </w:rPr>
              <w:t>-0</w:t>
            </w:r>
          </w:p>
        </w:tc>
        <w:tc>
          <w:tcPr>
            <w:tcW w:w="6096" w:type="dxa"/>
          </w:tcPr>
          <w:p w:rsidR="000A3A56" w:rsidRPr="00F14994" w:rsidRDefault="000A3A56" w:rsidP="000A3A56">
            <w:pPr>
              <w:pStyle w:val="Tabletext"/>
            </w:pPr>
            <w:r w:rsidRPr="00F14994">
              <w:t>Critères de partage intraservice pour les systèmes OSG du SRS dans la bande 21,4-22,0 GHz dans les Régions 1 et 3</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BO.1834</w:t>
            </w:r>
            <w:r w:rsidR="008E4AD2" w:rsidRPr="00F14994">
              <w:rPr>
                <w:b/>
                <w:bCs/>
              </w:rPr>
              <w:t>-0</w:t>
            </w:r>
          </w:p>
        </w:tc>
        <w:tc>
          <w:tcPr>
            <w:tcW w:w="6096" w:type="dxa"/>
          </w:tcPr>
          <w:p w:rsidR="000A3A56" w:rsidRPr="00F14994" w:rsidRDefault="000A3A56" w:rsidP="000A3A56">
            <w:pPr>
              <w:pStyle w:val="Tabletext"/>
            </w:pPr>
            <w:r w:rsidRPr="00F14994">
              <w:t>Coordination entre réseaux à satellite géostationnaire du service fixe par satellite et réseaux du service de radiodiffusion par satellite dans la bande 17,3-17,8 GHz et entre le service de radiodiffusion par satellite et les réseaux de liaison de connexion associés desservant la Région 2 dans les bandes 17,3-17,8 GHz et 24,75</w:t>
            </w:r>
            <w:r w:rsidRPr="00F14994">
              <w:noBreakHyphen/>
              <w:t>25,25 GHz</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0A3A56" w:rsidP="000A3A56">
            <w:pPr>
              <w:pStyle w:val="Tabletext"/>
              <w:jc w:val="center"/>
              <w:rPr>
                <w:b/>
                <w:bCs/>
              </w:rPr>
            </w:pPr>
            <w:r w:rsidRPr="00F14994">
              <w:rPr>
                <w:b/>
                <w:bCs/>
              </w:rPr>
              <w:t>BO.1835</w:t>
            </w:r>
            <w:r w:rsidR="008E4AD2" w:rsidRPr="00F14994">
              <w:rPr>
                <w:b/>
                <w:bCs/>
              </w:rPr>
              <w:t>-0</w:t>
            </w:r>
          </w:p>
        </w:tc>
        <w:tc>
          <w:tcPr>
            <w:tcW w:w="6096" w:type="dxa"/>
          </w:tcPr>
          <w:p w:rsidR="000A3A56" w:rsidRPr="00F14994" w:rsidRDefault="000A3A56" w:rsidP="000A3A56">
            <w:pPr>
              <w:pStyle w:val="Tabletext"/>
            </w:pPr>
            <w:r w:rsidRPr="00F14994">
              <w:t>Partage entre les réseaux du service de radiodiffusion par satellite (SRS) utilisant l'attribution de la bande 17,3-17,8 GHz au SRS en Région 2 et les liaisons de connexion des réseaux du SRS utilisant l'attribution (Terre vers espace), à l'échelle mondiale, de la bande 17,3-17,8 GHz au service fixe par satellite (SFS)</w:t>
            </w:r>
          </w:p>
        </w:tc>
        <w:tc>
          <w:tcPr>
            <w:tcW w:w="1281" w:type="dxa"/>
          </w:tcPr>
          <w:p w:rsidR="000A3A56" w:rsidRPr="00F14994" w:rsidRDefault="000A3A56"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8E4AD2" w:rsidP="000A3A56">
            <w:pPr>
              <w:pStyle w:val="Tabletext"/>
              <w:jc w:val="center"/>
              <w:rPr>
                <w:b/>
                <w:bCs/>
              </w:rPr>
            </w:pPr>
            <w:r w:rsidRPr="00F14994">
              <w:rPr>
                <w:b/>
                <w:bCs/>
              </w:rPr>
              <w:t>BO.1898-1</w:t>
            </w:r>
          </w:p>
        </w:tc>
        <w:tc>
          <w:tcPr>
            <w:tcW w:w="6096" w:type="dxa"/>
          </w:tcPr>
          <w:p w:rsidR="000A3A56" w:rsidRPr="00F14994" w:rsidRDefault="000A3A56" w:rsidP="000A3A56">
            <w:pPr>
              <w:pStyle w:val="Tabletext"/>
            </w:pPr>
            <w:r w:rsidRPr="00F14994">
              <w:t>Valeur de puissance surfacique nécessaire pour assurer la protection des stations terriennes de réception du service de radiodiffusion par satellite dans les Régions 1 et 3 contre les émissions d'une station du service fixe ou mobile dans la bande 21,4-22 GHz</w:t>
            </w:r>
          </w:p>
        </w:tc>
        <w:tc>
          <w:tcPr>
            <w:tcW w:w="1281" w:type="dxa"/>
          </w:tcPr>
          <w:p w:rsidR="000A3A56" w:rsidRPr="00F14994" w:rsidRDefault="008E4AD2" w:rsidP="000A3A56">
            <w:pPr>
              <w:pStyle w:val="Tabletext"/>
              <w:jc w:val="center"/>
            </w:pPr>
            <w:r w:rsidRPr="00F14994">
              <w:t>NOC</w:t>
            </w:r>
          </w:p>
        </w:tc>
        <w:tc>
          <w:tcPr>
            <w:tcW w:w="1695" w:type="dxa"/>
          </w:tcPr>
          <w:p w:rsidR="000A3A56" w:rsidRPr="00F14994" w:rsidRDefault="000A3A56" w:rsidP="000A3A56">
            <w:pPr>
              <w:pStyle w:val="Tabletext"/>
            </w:pPr>
          </w:p>
        </w:tc>
      </w:tr>
      <w:tr w:rsidR="000A3A56" w:rsidRPr="00F14994" w:rsidTr="00162112">
        <w:trPr>
          <w:jc w:val="center"/>
        </w:trPr>
        <w:tc>
          <w:tcPr>
            <w:tcW w:w="1242" w:type="dxa"/>
          </w:tcPr>
          <w:p w:rsidR="000A3A56" w:rsidRPr="00F14994" w:rsidRDefault="008E4AD2" w:rsidP="000A3A56">
            <w:pPr>
              <w:pStyle w:val="Tabletext"/>
              <w:jc w:val="center"/>
              <w:rPr>
                <w:b/>
                <w:bCs/>
              </w:rPr>
            </w:pPr>
            <w:r w:rsidRPr="00F14994">
              <w:rPr>
                <w:b/>
                <w:bCs/>
              </w:rPr>
              <w:t>BO.1900-0</w:t>
            </w:r>
          </w:p>
        </w:tc>
        <w:tc>
          <w:tcPr>
            <w:tcW w:w="6096" w:type="dxa"/>
          </w:tcPr>
          <w:p w:rsidR="000A3A56" w:rsidRPr="00F14994" w:rsidRDefault="000A3A56" w:rsidP="000A3A56">
            <w:pPr>
              <w:pStyle w:val="Tabletext"/>
            </w:pPr>
            <w:r w:rsidRPr="00F14994">
              <w:t>Diagramme de rayonnement de référence d'antenne de station terrienne de réception du service de radiodiffusion par satellite dans la bande 21,4-22 GHz dans les Régions 1 et 3</w:t>
            </w:r>
          </w:p>
        </w:tc>
        <w:tc>
          <w:tcPr>
            <w:tcW w:w="1281" w:type="dxa"/>
          </w:tcPr>
          <w:p w:rsidR="000A3A56" w:rsidRPr="00F14994" w:rsidRDefault="008E4AD2" w:rsidP="000A3A56">
            <w:pPr>
              <w:pStyle w:val="Tabletext"/>
              <w:jc w:val="center"/>
            </w:pPr>
            <w:r w:rsidRPr="00F14994">
              <w:t>NOC</w:t>
            </w:r>
          </w:p>
        </w:tc>
        <w:tc>
          <w:tcPr>
            <w:tcW w:w="1695" w:type="dxa"/>
          </w:tcPr>
          <w:p w:rsidR="000A3A56" w:rsidRPr="00F14994" w:rsidRDefault="000A3A56" w:rsidP="000A3A56">
            <w:pPr>
              <w:pStyle w:val="Tabletext"/>
            </w:pPr>
          </w:p>
        </w:tc>
      </w:tr>
      <w:tr w:rsidR="008E4AD2" w:rsidRPr="00F14994" w:rsidTr="00162112">
        <w:trPr>
          <w:jc w:val="center"/>
        </w:trPr>
        <w:tc>
          <w:tcPr>
            <w:tcW w:w="1242" w:type="dxa"/>
          </w:tcPr>
          <w:p w:rsidR="008E4AD2" w:rsidRPr="00F14994" w:rsidRDefault="008E4AD2" w:rsidP="008E4AD2">
            <w:pPr>
              <w:pStyle w:val="Tabletext"/>
              <w:jc w:val="center"/>
              <w:rPr>
                <w:b/>
              </w:rPr>
            </w:pPr>
            <w:r w:rsidRPr="00F14994">
              <w:rPr>
                <w:b/>
              </w:rPr>
              <w:t>BO.2063-0</w:t>
            </w:r>
          </w:p>
        </w:tc>
        <w:tc>
          <w:tcPr>
            <w:tcW w:w="6096" w:type="dxa"/>
          </w:tcPr>
          <w:p w:rsidR="008E4AD2" w:rsidRPr="00F14994" w:rsidRDefault="008E4AD2" w:rsidP="008E4AD2">
            <w:pPr>
              <w:pStyle w:val="Tabletext"/>
              <w:rPr>
                <w:szCs w:val="16"/>
              </w:rPr>
            </w:pPr>
            <w:r w:rsidRPr="00F14994">
              <w:rPr>
                <w:szCs w:val="16"/>
              </w:rPr>
              <w:t>Diagramme de rayonnement d'antenne de station terrienne du SRS de remplacement pour les attributions du SRS dans la bande des 12 GHz, pour des ouvertures d'antenne équivalentes comprises entre 55 et 75 cm</w:t>
            </w:r>
          </w:p>
        </w:tc>
        <w:tc>
          <w:tcPr>
            <w:tcW w:w="1281" w:type="dxa"/>
          </w:tcPr>
          <w:p w:rsidR="008E4AD2" w:rsidRPr="00F14994" w:rsidRDefault="008E4AD2" w:rsidP="008E4AD2">
            <w:pPr>
              <w:pStyle w:val="Tabletext"/>
              <w:jc w:val="center"/>
              <w:rPr>
                <w:rFonts w:eastAsia="SimSun"/>
                <w:lang w:eastAsia="zh-CN"/>
              </w:rPr>
            </w:pPr>
            <w:r w:rsidRPr="00F14994">
              <w:rPr>
                <w:rFonts w:eastAsia="SimSun"/>
                <w:lang w:eastAsia="zh-CN"/>
              </w:rPr>
              <w:t>NOC</w:t>
            </w:r>
          </w:p>
        </w:tc>
        <w:tc>
          <w:tcPr>
            <w:tcW w:w="1695" w:type="dxa"/>
          </w:tcPr>
          <w:p w:rsidR="008E4AD2" w:rsidRPr="00F14994" w:rsidRDefault="008E4AD2" w:rsidP="008E4AD2">
            <w:pPr>
              <w:pStyle w:val="Tabletext"/>
            </w:pPr>
          </w:p>
        </w:tc>
      </w:tr>
    </w:tbl>
    <w:p w:rsidR="000A3A56" w:rsidRPr="00F14994" w:rsidRDefault="000A3A56" w:rsidP="000A3A56">
      <w:r w:rsidRPr="00F14994">
        <w:br w:type="page"/>
      </w:r>
    </w:p>
    <w:p w:rsidR="000A3A56" w:rsidRPr="00F14994" w:rsidRDefault="000A3A56" w:rsidP="000A3A56">
      <w:pPr>
        <w:pStyle w:val="Tabletitle"/>
      </w:pPr>
      <w:r w:rsidRPr="00F14994">
        <w:lastRenderedPageBreak/>
        <w:t>Service mobile par satellite et service de radiorepérage par satellite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25"/>
        <w:gridCol w:w="6064"/>
        <w:gridCol w:w="31"/>
        <w:gridCol w:w="1418"/>
        <w:gridCol w:w="1535"/>
        <w:gridCol w:w="24"/>
      </w:tblGrid>
      <w:tr w:rsidR="000A3A56" w:rsidRPr="00F14994" w:rsidTr="00220294">
        <w:trPr>
          <w:cantSplit/>
          <w:tblHeader/>
          <w:jc w:val="center"/>
        </w:trPr>
        <w:tc>
          <w:tcPr>
            <w:tcW w:w="1271" w:type="dxa"/>
            <w:gridSpan w:val="2"/>
          </w:tcPr>
          <w:p w:rsidR="000A3A56" w:rsidRPr="00F14994" w:rsidRDefault="000A3A56" w:rsidP="000A3A56">
            <w:pPr>
              <w:pStyle w:val="Tablehead"/>
            </w:pPr>
            <w:r w:rsidRPr="00F14994">
              <w:t xml:space="preserve">Rec. </w:t>
            </w:r>
            <w:r w:rsidRPr="00F14994">
              <w:br/>
              <w:t>UIT-R</w:t>
            </w:r>
          </w:p>
        </w:tc>
        <w:tc>
          <w:tcPr>
            <w:tcW w:w="6095" w:type="dxa"/>
            <w:gridSpan w:val="2"/>
          </w:tcPr>
          <w:p w:rsidR="000A3A56" w:rsidRPr="00F14994" w:rsidRDefault="000A3A56" w:rsidP="000A3A56">
            <w:pPr>
              <w:pStyle w:val="Tablehead"/>
            </w:pPr>
            <w:r w:rsidRPr="00F14994">
              <w:t>Titre de la Recommandation</w:t>
            </w:r>
          </w:p>
        </w:tc>
        <w:tc>
          <w:tcPr>
            <w:tcW w:w="1418" w:type="dxa"/>
          </w:tcPr>
          <w:p w:rsidR="000A3A56" w:rsidRPr="00F14994" w:rsidRDefault="000A3A56" w:rsidP="000A3A56">
            <w:pPr>
              <w:pStyle w:val="Tablehead"/>
            </w:pPr>
            <w:r w:rsidRPr="00F14994">
              <w:t>Suite donnée par l'AR-1</w:t>
            </w:r>
            <w:r w:rsidR="008E4AD2" w:rsidRPr="00F14994">
              <w:t>5</w:t>
            </w:r>
          </w:p>
        </w:tc>
        <w:tc>
          <w:tcPr>
            <w:tcW w:w="1559" w:type="dxa"/>
            <w:gridSpan w:val="2"/>
          </w:tcPr>
          <w:p w:rsidR="000A3A56" w:rsidRPr="00F14994" w:rsidRDefault="000A3A56" w:rsidP="000A3A56">
            <w:pPr>
              <w:pStyle w:val="Tablehead"/>
            </w:pPr>
            <w:r w:rsidRPr="00F14994">
              <w:t>Observations</w:t>
            </w: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39" w:history="1">
              <w:r w:rsidR="000A3A56" w:rsidRPr="00F14994">
                <w:rPr>
                  <w:rStyle w:val="Strong"/>
                </w:rPr>
                <w:t>M.632</w:t>
              </w:r>
            </w:hyperlink>
            <w:r w:rsidR="000A3A56" w:rsidRPr="00F14994">
              <w:rPr>
                <w:b/>
              </w:rPr>
              <w:t>-3</w:t>
            </w:r>
          </w:p>
        </w:tc>
        <w:tc>
          <w:tcPr>
            <w:tcW w:w="6095" w:type="dxa"/>
            <w:gridSpan w:val="2"/>
          </w:tcPr>
          <w:p w:rsidR="000A3A56" w:rsidRPr="00F14994" w:rsidRDefault="000A3A56" w:rsidP="000A3A56">
            <w:pPr>
              <w:pStyle w:val="Tabletext"/>
              <w:rPr>
                <w:szCs w:val="22"/>
              </w:rPr>
            </w:pPr>
            <w:r w:rsidRPr="00F14994">
              <w:rPr>
                <w:szCs w:val="22"/>
              </w:rPr>
              <w:t>Caractéristiques d'émission d'un système de radiobalises de localisation des sinistres par satellite (RLS par satellite) fonctionnant par l'intermédiaire de satellites géostationnaires dans la bande des 1,6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0" w:history="1">
              <w:r w:rsidR="000A3A56" w:rsidRPr="00F14994">
                <w:rPr>
                  <w:rStyle w:val="Strong"/>
                </w:rPr>
                <w:t>M.633</w:t>
              </w:r>
            </w:hyperlink>
            <w:r w:rsidR="000A3A56" w:rsidRPr="00F14994">
              <w:rPr>
                <w:rStyle w:val="Strong"/>
              </w:rPr>
              <w:t>-4</w:t>
            </w:r>
          </w:p>
        </w:tc>
        <w:tc>
          <w:tcPr>
            <w:tcW w:w="6095" w:type="dxa"/>
            <w:gridSpan w:val="2"/>
          </w:tcPr>
          <w:p w:rsidR="000A3A56" w:rsidRPr="00F14994" w:rsidRDefault="000A3A56" w:rsidP="000A3A56">
            <w:pPr>
              <w:pStyle w:val="Tabletext"/>
              <w:rPr>
                <w:rFonts w:eastAsia="Arial Unicode MS"/>
                <w:szCs w:val="22"/>
              </w:rPr>
            </w:pPr>
            <w:r w:rsidRPr="00F14994">
              <w:t>Caractéristiques de transmission d'un système de radiobalises de localisation des sinistres par satellite (RLS par satellite) fonctionnant par l'intermédiaire d'un système à satellites dans la bande des 406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1" w:history="1">
              <w:r w:rsidR="000A3A56" w:rsidRPr="00F14994">
                <w:rPr>
                  <w:rStyle w:val="Strong"/>
                </w:rPr>
                <w:t>M.694</w:t>
              </w:r>
            </w:hyperlink>
            <w:r w:rsidR="000A3A56" w:rsidRPr="00F14994">
              <w:rPr>
                <w:b/>
              </w:rPr>
              <w:t>-1</w:t>
            </w:r>
          </w:p>
        </w:tc>
        <w:tc>
          <w:tcPr>
            <w:tcW w:w="6095" w:type="dxa"/>
            <w:gridSpan w:val="2"/>
          </w:tcPr>
          <w:p w:rsidR="000A3A56" w:rsidRPr="00F14994" w:rsidRDefault="000A3A56" w:rsidP="000A3A56">
            <w:pPr>
              <w:pStyle w:val="Tabletext"/>
              <w:rPr>
                <w:rFonts w:eastAsia="Arial Unicode MS"/>
                <w:szCs w:val="22"/>
              </w:rPr>
            </w:pPr>
            <w:r w:rsidRPr="00F14994">
              <w:rPr>
                <w:szCs w:val="22"/>
              </w:rPr>
              <w:t>Diagramme de rayonnement de référence pour les antennes de station terrienne de navire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2" w:history="1">
              <w:r w:rsidR="000A3A56" w:rsidRPr="00F14994">
                <w:rPr>
                  <w:rStyle w:val="Strong"/>
                </w:rPr>
                <w:t>M.818</w:t>
              </w:r>
            </w:hyperlink>
            <w:r w:rsidR="000A3A56" w:rsidRPr="00F14994">
              <w:rPr>
                <w:b/>
              </w:rPr>
              <w:t>-2</w:t>
            </w:r>
          </w:p>
        </w:tc>
        <w:tc>
          <w:tcPr>
            <w:tcW w:w="6095" w:type="dxa"/>
            <w:gridSpan w:val="2"/>
          </w:tcPr>
          <w:p w:rsidR="000A3A56" w:rsidRPr="00F14994" w:rsidRDefault="000A3A56" w:rsidP="000A3A56">
            <w:pPr>
              <w:pStyle w:val="Tabletext"/>
              <w:rPr>
                <w:rFonts w:eastAsia="Arial Unicode MS"/>
                <w:szCs w:val="22"/>
              </w:rPr>
            </w:pPr>
            <w:r w:rsidRPr="00F14994">
              <w:rPr>
                <w:szCs w:val="22"/>
              </w:rPr>
              <w:t>Utilisation des satellites dans les télécommunications mobiles internationales-2000 (IMT-2000)</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3" w:history="1">
              <w:r w:rsidR="000A3A56" w:rsidRPr="00F14994">
                <w:rPr>
                  <w:rStyle w:val="Strong"/>
                </w:rPr>
                <w:t>M.827</w:t>
              </w:r>
            </w:hyperlink>
            <w:r w:rsidR="008E4AD2" w:rsidRPr="00F14994">
              <w:rPr>
                <w:rStyle w:val="Strong"/>
                <w:bCs w:val="0"/>
              </w:rPr>
              <w:t>-0</w:t>
            </w:r>
          </w:p>
        </w:tc>
        <w:tc>
          <w:tcPr>
            <w:tcW w:w="6095" w:type="dxa"/>
            <w:gridSpan w:val="2"/>
          </w:tcPr>
          <w:p w:rsidR="000A3A56" w:rsidRPr="00F14994" w:rsidRDefault="000A3A56" w:rsidP="000A3A56">
            <w:pPr>
              <w:pStyle w:val="Tabletext"/>
              <w:rPr>
                <w:rFonts w:eastAsia="Arial Unicode MS"/>
                <w:szCs w:val="22"/>
              </w:rPr>
            </w:pPr>
            <w:r w:rsidRPr="00F14994">
              <w:rPr>
                <w:szCs w:val="22"/>
              </w:rPr>
              <w:t>Conduit numérique fictif de référence pour les systèmes du service mobile par satellite utilisant des liaisons de connexion</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4" w:history="1">
              <w:r w:rsidR="000A3A56" w:rsidRPr="00F14994">
                <w:rPr>
                  <w:rStyle w:val="Strong"/>
                </w:rPr>
                <w:t>M.828</w:t>
              </w:r>
            </w:hyperlink>
            <w:r w:rsidR="000A3A56" w:rsidRPr="00F14994">
              <w:rPr>
                <w:b/>
              </w:rPr>
              <w:t>-2</w:t>
            </w:r>
          </w:p>
        </w:tc>
        <w:tc>
          <w:tcPr>
            <w:tcW w:w="6095" w:type="dxa"/>
            <w:gridSpan w:val="2"/>
          </w:tcPr>
          <w:p w:rsidR="000A3A56" w:rsidRPr="00F14994" w:rsidRDefault="000A3A56" w:rsidP="000A3A56">
            <w:pPr>
              <w:pStyle w:val="Tabletext"/>
              <w:rPr>
                <w:rFonts w:eastAsia="Arial Unicode MS"/>
                <w:szCs w:val="22"/>
              </w:rPr>
            </w:pPr>
            <w:r w:rsidRPr="00F14994">
              <w:rPr>
                <w:szCs w:val="22"/>
              </w:rPr>
              <w:t>Définition de la disponibilité des circuits de radiocommunication du service mobile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5" w:history="1">
              <w:r w:rsidR="000A3A56" w:rsidRPr="00F14994">
                <w:rPr>
                  <w:rStyle w:val="Strong"/>
                </w:rPr>
                <w:t>M.830</w:t>
              </w:r>
            </w:hyperlink>
            <w:r w:rsidR="000A3A56" w:rsidRPr="00F14994">
              <w:rPr>
                <w:b/>
              </w:rPr>
              <w:t>-1</w:t>
            </w:r>
          </w:p>
        </w:tc>
        <w:tc>
          <w:tcPr>
            <w:tcW w:w="6095" w:type="dxa"/>
            <w:gridSpan w:val="2"/>
          </w:tcPr>
          <w:p w:rsidR="000A3A56" w:rsidRPr="00F14994" w:rsidRDefault="000A3A56" w:rsidP="000A3A56">
            <w:pPr>
              <w:pStyle w:val="Tabletext"/>
              <w:rPr>
                <w:rFonts w:eastAsia="Arial Unicode MS"/>
                <w:szCs w:val="22"/>
              </w:rPr>
            </w:pPr>
            <w:r w:rsidRPr="00F14994">
              <w:rPr>
                <w:szCs w:val="22"/>
              </w:rPr>
              <w:t>Procédures d'exploitation des réseaux ou systèmes mobiles à satellites dans les bandes 1 530-1 544 MHz et 1 626,5</w:t>
            </w:r>
            <w:r w:rsidRPr="00F14994">
              <w:rPr>
                <w:szCs w:val="22"/>
              </w:rPr>
              <w:noBreakHyphen/>
              <w:t>1 645,5 MHz utilisées pour les opérations de détresse et de sécurité (comme spécifié pour le SMDSM)</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6" w:history="1">
              <w:r w:rsidR="000A3A56" w:rsidRPr="00F14994">
                <w:rPr>
                  <w:rStyle w:val="Strong"/>
                </w:rPr>
                <w:t>M.1037</w:t>
              </w:r>
            </w:hyperlink>
            <w:r w:rsidR="008E4AD2" w:rsidRPr="00F14994">
              <w:rPr>
                <w:rStyle w:val="Strong"/>
                <w:bCs w:val="0"/>
              </w:rPr>
              <w:t>-0</w:t>
            </w:r>
          </w:p>
        </w:tc>
        <w:tc>
          <w:tcPr>
            <w:tcW w:w="6095" w:type="dxa"/>
            <w:gridSpan w:val="2"/>
          </w:tcPr>
          <w:p w:rsidR="000A3A56" w:rsidRPr="00F14994" w:rsidRDefault="000A3A56" w:rsidP="000A3A56">
            <w:pPr>
              <w:pStyle w:val="Tabletext"/>
              <w:rPr>
                <w:rFonts w:eastAsia="Arial Unicode MS"/>
                <w:szCs w:val="22"/>
              </w:rPr>
            </w:pPr>
            <w:r w:rsidRPr="00F14994">
              <w:rPr>
                <w:szCs w:val="22"/>
              </w:rPr>
              <w:t>Objectifs en matière de caractéristiques d'erreur sur les bits applicables aux liaisons radioélectriques du service mobile aéronautique (R) par satellite (SMA(R)S)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7" w:history="1">
              <w:r w:rsidR="000A3A56" w:rsidRPr="00F14994">
                <w:rPr>
                  <w:rStyle w:val="Strong"/>
                </w:rPr>
                <w:t>M.1038</w:t>
              </w:r>
            </w:hyperlink>
            <w:r w:rsidR="008E4AD2" w:rsidRPr="00F14994">
              <w:rPr>
                <w:rStyle w:val="Strong"/>
                <w:bCs w:val="0"/>
              </w:rPr>
              <w:t>-0</w:t>
            </w:r>
          </w:p>
        </w:tc>
        <w:tc>
          <w:tcPr>
            <w:tcW w:w="6095" w:type="dxa"/>
            <w:gridSpan w:val="2"/>
          </w:tcPr>
          <w:p w:rsidR="000A3A56" w:rsidRPr="00F14994" w:rsidRDefault="000A3A56" w:rsidP="000A3A56">
            <w:pPr>
              <w:pStyle w:val="Tabletext"/>
              <w:rPr>
                <w:rFonts w:eastAsia="Arial Unicode MS"/>
                <w:szCs w:val="22"/>
              </w:rPr>
            </w:pPr>
            <w:r w:rsidRPr="00F14994">
              <w:rPr>
                <w:szCs w:val="22"/>
              </w:rPr>
              <w:t>Utilisation efficace de l'orbite des satellites géostationnaires et du spectre dans la gamme de fréquences 1-3 GHz par les systèmes mobiles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8" w:history="1">
              <w:r w:rsidR="000A3A56" w:rsidRPr="00F14994">
                <w:rPr>
                  <w:rStyle w:val="Strong"/>
                </w:rPr>
                <w:t>M.1039</w:t>
              </w:r>
            </w:hyperlink>
            <w:r w:rsidR="000A3A56" w:rsidRPr="00F14994">
              <w:rPr>
                <w:b/>
              </w:rPr>
              <w:t>-3</w:t>
            </w:r>
          </w:p>
        </w:tc>
        <w:tc>
          <w:tcPr>
            <w:tcW w:w="6095" w:type="dxa"/>
            <w:gridSpan w:val="2"/>
          </w:tcPr>
          <w:p w:rsidR="000A3A56" w:rsidRPr="00F14994" w:rsidRDefault="000A3A56" w:rsidP="000A3A56">
            <w:pPr>
              <w:pStyle w:val="Tabletext"/>
              <w:rPr>
                <w:rFonts w:eastAsia="Arial Unicode MS"/>
                <w:szCs w:val="22"/>
              </w:rPr>
            </w:pPr>
            <w:r w:rsidRPr="00F14994">
              <w:rPr>
                <w:szCs w:val="22"/>
              </w:rPr>
              <w:t>Partage de cofréquences entre stations du</w:t>
            </w:r>
            <w:r w:rsidR="00220294">
              <w:rPr>
                <w:szCs w:val="22"/>
              </w:rPr>
              <w:t xml:space="preserve"> service mobile au-dessous de 1 </w:t>
            </w:r>
            <w:r w:rsidRPr="00F14994">
              <w:rPr>
                <w:szCs w:val="22"/>
              </w:rPr>
              <w:t>GHz et stations terriennes mobiles des systèmes à satellites mobiles non géostationnaires (Terre-espace) utilisant l'accès multiple par répartition en fréquence (AMRF)</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49" w:history="1">
              <w:r w:rsidR="000A3A56" w:rsidRPr="00F14994">
                <w:rPr>
                  <w:rStyle w:val="Strong"/>
                </w:rPr>
                <w:t>M.1086</w:t>
              </w:r>
            </w:hyperlink>
            <w:r w:rsidR="000A3A56" w:rsidRPr="00F14994">
              <w:rPr>
                <w:b/>
              </w:rPr>
              <w:t>-1</w:t>
            </w:r>
          </w:p>
        </w:tc>
        <w:tc>
          <w:tcPr>
            <w:tcW w:w="6095" w:type="dxa"/>
            <w:gridSpan w:val="2"/>
          </w:tcPr>
          <w:p w:rsidR="000A3A56" w:rsidRPr="00F14994" w:rsidRDefault="000A3A56" w:rsidP="000A3A56">
            <w:pPr>
              <w:pStyle w:val="Tabletext"/>
              <w:rPr>
                <w:rFonts w:eastAsia="Arial Unicode MS"/>
                <w:szCs w:val="22"/>
              </w:rPr>
            </w:pPr>
            <w:r w:rsidRPr="00F14994">
              <w:rPr>
                <w:szCs w:val="22"/>
              </w:rPr>
              <w:t>Détermination de la nécessité de la coordination entre réseaux à satellite géostationnaire du service mobile utilisant en partage les mêmes bandes de fréquences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50" w:history="1">
              <w:r w:rsidR="000A3A56" w:rsidRPr="00F14994">
                <w:rPr>
                  <w:rStyle w:val="Strong"/>
                </w:rPr>
                <w:t>M.1089</w:t>
              </w:r>
            </w:hyperlink>
            <w:r w:rsidR="000A3A56" w:rsidRPr="00F14994">
              <w:rPr>
                <w:b/>
              </w:rPr>
              <w:t>-1</w:t>
            </w:r>
          </w:p>
        </w:tc>
        <w:tc>
          <w:tcPr>
            <w:tcW w:w="6095" w:type="dxa"/>
            <w:gridSpan w:val="2"/>
          </w:tcPr>
          <w:p w:rsidR="000A3A56" w:rsidRPr="00F14994" w:rsidRDefault="000A3A56" w:rsidP="000A3A56">
            <w:pPr>
              <w:pStyle w:val="Tabletext"/>
              <w:rPr>
                <w:rFonts w:eastAsia="Arial Unicode MS"/>
                <w:szCs w:val="22"/>
              </w:rPr>
            </w:pPr>
            <w:r w:rsidRPr="00F14994">
              <w:rPr>
                <w:szCs w:val="22"/>
              </w:rPr>
              <w:t>Considérations techniques pour la coordination des systèmes mobiles par satellite relativement au service mobile aéronautique (R) par satellite (SMA(R)S) dans les bandes 1 545-1 555 MHz et 1 646,5</w:t>
            </w:r>
            <w:r w:rsidRPr="00F14994">
              <w:rPr>
                <w:szCs w:val="22"/>
              </w:rPr>
              <w:noBreakHyphen/>
              <w:t>1 656,5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51" w:history="1">
              <w:r w:rsidR="000A3A56" w:rsidRPr="00F14994">
                <w:rPr>
                  <w:rStyle w:val="Strong"/>
                </w:rPr>
                <w:t>M.1090</w:t>
              </w:r>
            </w:hyperlink>
            <w:r w:rsidR="008E4AD2" w:rsidRPr="00F14994">
              <w:rPr>
                <w:rStyle w:val="Strong"/>
                <w:bCs w:val="0"/>
              </w:rPr>
              <w:t>-0</w:t>
            </w:r>
          </w:p>
        </w:tc>
        <w:tc>
          <w:tcPr>
            <w:tcW w:w="6095" w:type="dxa"/>
            <w:gridSpan w:val="2"/>
          </w:tcPr>
          <w:p w:rsidR="000A3A56" w:rsidRPr="00F14994" w:rsidRDefault="000A3A56" w:rsidP="000A3A56">
            <w:pPr>
              <w:pStyle w:val="Tabletext"/>
              <w:rPr>
                <w:rFonts w:eastAsia="Arial Unicode MS"/>
                <w:szCs w:val="22"/>
              </w:rPr>
            </w:pPr>
            <w:r w:rsidRPr="00F14994">
              <w:rPr>
                <w:szCs w:val="22"/>
              </w:rPr>
              <w:t>Plans de fréquences pour l'émission de porteuses monovoie au moyen d'un répéteur non linéaire dans le service mobile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bCs/>
              </w:rPr>
            </w:pPr>
            <w:hyperlink r:id="rId52" w:history="1">
              <w:r w:rsidR="000A3A56" w:rsidRPr="00F14994">
                <w:rPr>
                  <w:rStyle w:val="Strong"/>
                </w:rPr>
                <w:t>M.1091</w:t>
              </w:r>
            </w:hyperlink>
            <w:r w:rsidR="008E4AD2" w:rsidRPr="00F14994">
              <w:rPr>
                <w:rStyle w:val="Strong"/>
                <w:bCs w:val="0"/>
              </w:rPr>
              <w:t>-0</w:t>
            </w:r>
          </w:p>
        </w:tc>
        <w:tc>
          <w:tcPr>
            <w:tcW w:w="6095" w:type="dxa"/>
            <w:gridSpan w:val="2"/>
          </w:tcPr>
          <w:p w:rsidR="000A3A56" w:rsidRPr="00F14994" w:rsidRDefault="000A3A56" w:rsidP="00220294">
            <w:pPr>
              <w:pStyle w:val="Tablehead"/>
              <w:jc w:val="left"/>
              <w:rPr>
                <w:b w:val="0"/>
                <w:bCs/>
                <w:szCs w:val="22"/>
              </w:rPr>
            </w:pPr>
            <w:r w:rsidRPr="00F14994">
              <w:rPr>
                <w:b w:val="0"/>
                <w:bCs/>
                <w:szCs w:val="22"/>
              </w:rPr>
              <w:t>Diagrammes de rayonnement hors axe de référence pour antennes de stations terriennes mobiles exploitées dans le cadre du service mobile terrestre par satellite dans la gamme de fréquences</w:t>
            </w:r>
            <w:r w:rsidR="00220294">
              <w:rPr>
                <w:b w:val="0"/>
                <w:bCs/>
                <w:szCs w:val="22"/>
              </w:rPr>
              <w:t xml:space="preserve"> </w:t>
            </w:r>
            <w:r w:rsidRPr="00F14994">
              <w:rPr>
                <w:b w:val="0"/>
                <w:bCs/>
                <w:szCs w:val="22"/>
              </w:rPr>
              <w:t>1 à 3 GHz</w:t>
            </w:r>
          </w:p>
        </w:tc>
        <w:tc>
          <w:tcPr>
            <w:tcW w:w="1418" w:type="dxa"/>
          </w:tcPr>
          <w:p w:rsidR="000A3A56" w:rsidRPr="00F14994" w:rsidRDefault="000A3A56" w:rsidP="000A3A56">
            <w:pPr>
              <w:pStyle w:val="Tablehead"/>
              <w:rPr>
                <w:b w:val="0"/>
                <w:bCs/>
              </w:rPr>
            </w:pPr>
            <w:r w:rsidRPr="00F14994">
              <w:rPr>
                <w:b w:val="0"/>
                <w:bCs/>
              </w:rPr>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53" w:history="1">
              <w:r w:rsidR="000A3A56" w:rsidRPr="00F14994">
                <w:rPr>
                  <w:rStyle w:val="Strong"/>
                </w:rPr>
                <w:t>M.1141</w:t>
              </w:r>
            </w:hyperlink>
            <w:r w:rsidR="000A3A56" w:rsidRPr="00F14994">
              <w:rPr>
                <w:b/>
              </w:rPr>
              <w:t>-2</w:t>
            </w:r>
          </w:p>
        </w:tc>
        <w:tc>
          <w:tcPr>
            <w:tcW w:w="6095" w:type="dxa"/>
            <w:gridSpan w:val="2"/>
          </w:tcPr>
          <w:p w:rsidR="000A3A56" w:rsidRPr="00F14994" w:rsidRDefault="000A3A56" w:rsidP="000A3A56">
            <w:pPr>
              <w:pStyle w:val="Tabletext"/>
              <w:rPr>
                <w:rFonts w:eastAsia="Arial Unicode MS"/>
                <w:szCs w:val="22"/>
              </w:rPr>
            </w:pPr>
            <w:r w:rsidRPr="00F14994">
              <w:rPr>
                <w:szCs w:val="22"/>
              </w:rPr>
              <w:t>Partage dans la gamme de fréquences 1-3 GHz, entre les stations spatiales non géostationnaires du service mobile par satellite (SMS non OSG) et les stations du service fixe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Borders>
              <w:bottom w:val="single" w:sz="4" w:space="0" w:color="auto"/>
            </w:tcBorders>
          </w:tcPr>
          <w:p w:rsidR="000A3A56" w:rsidRPr="00F14994" w:rsidRDefault="009C4BE7" w:rsidP="000A3A56">
            <w:pPr>
              <w:pStyle w:val="Tabletext"/>
              <w:jc w:val="center"/>
            </w:pPr>
            <w:hyperlink r:id="rId54" w:history="1">
              <w:r w:rsidR="000A3A56" w:rsidRPr="00F14994">
                <w:rPr>
                  <w:rStyle w:val="Strong"/>
                </w:rPr>
                <w:t>M.1142</w:t>
              </w:r>
            </w:hyperlink>
            <w:r w:rsidR="000A3A56" w:rsidRPr="00F14994">
              <w:rPr>
                <w:b/>
                <w:bCs/>
              </w:rPr>
              <w:t>-2</w:t>
            </w:r>
          </w:p>
        </w:tc>
        <w:tc>
          <w:tcPr>
            <w:tcW w:w="6095" w:type="dxa"/>
            <w:gridSpan w:val="2"/>
            <w:tcBorders>
              <w:bottom w:val="single" w:sz="4" w:space="0" w:color="auto"/>
            </w:tcBorders>
          </w:tcPr>
          <w:p w:rsidR="000A3A56" w:rsidRPr="00F14994" w:rsidRDefault="000A3A56" w:rsidP="000A3A56">
            <w:pPr>
              <w:pStyle w:val="Tabletext"/>
            </w:pPr>
            <w:r w:rsidRPr="00F14994">
              <w:t>Partage dans la gamme de fréquences 1-3 GHz entre les stations spatiales géostationnaires du service mobile par satellite et les stations du service fixe</w:t>
            </w:r>
          </w:p>
        </w:tc>
        <w:tc>
          <w:tcPr>
            <w:tcW w:w="1418" w:type="dxa"/>
            <w:tcBorders>
              <w:bottom w:val="single" w:sz="4" w:space="0" w:color="auto"/>
            </w:tcBorders>
          </w:tcPr>
          <w:p w:rsidR="000A3A56" w:rsidRPr="00F14994" w:rsidRDefault="000A3A56" w:rsidP="000A3A56">
            <w:pPr>
              <w:pStyle w:val="Tabletext"/>
              <w:jc w:val="center"/>
            </w:pPr>
            <w:r w:rsidRPr="00F14994">
              <w:t>NOC</w:t>
            </w:r>
          </w:p>
        </w:tc>
        <w:tc>
          <w:tcPr>
            <w:tcW w:w="1559" w:type="dxa"/>
            <w:gridSpan w:val="2"/>
            <w:tcBorders>
              <w:bottom w:val="single" w:sz="4" w:space="0" w:color="auto"/>
            </w:tcBorders>
          </w:tcPr>
          <w:p w:rsidR="000A3A56" w:rsidRPr="00F14994" w:rsidRDefault="000A3A56" w:rsidP="000A3A56">
            <w:pPr>
              <w:pStyle w:val="Tabletext"/>
            </w:pPr>
          </w:p>
        </w:tc>
      </w:tr>
      <w:tr w:rsidR="000A3A56" w:rsidRPr="00F14994" w:rsidTr="00220294">
        <w:trPr>
          <w:cantSplit/>
          <w:jc w:val="center"/>
        </w:trPr>
        <w:tc>
          <w:tcPr>
            <w:tcW w:w="1271" w:type="dxa"/>
            <w:gridSpan w:val="2"/>
            <w:tcBorders>
              <w:bottom w:val="single" w:sz="4" w:space="0" w:color="auto"/>
            </w:tcBorders>
          </w:tcPr>
          <w:p w:rsidR="000A3A56" w:rsidRPr="00F14994" w:rsidRDefault="009C4BE7" w:rsidP="000A3A56">
            <w:pPr>
              <w:pStyle w:val="Tabletext"/>
              <w:jc w:val="center"/>
            </w:pPr>
            <w:hyperlink r:id="rId55" w:history="1">
              <w:r w:rsidR="000A3A56" w:rsidRPr="00F14994">
                <w:rPr>
                  <w:rStyle w:val="Strong"/>
                </w:rPr>
                <w:t>M.1143</w:t>
              </w:r>
            </w:hyperlink>
            <w:r w:rsidR="000A3A56" w:rsidRPr="00F14994">
              <w:rPr>
                <w:b/>
                <w:bCs/>
              </w:rPr>
              <w:t>-3</w:t>
            </w:r>
          </w:p>
        </w:tc>
        <w:tc>
          <w:tcPr>
            <w:tcW w:w="6095" w:type="dxa"/>
            <w:gridSpan w:val="2"/>
            <w:tcBorders>
              <w:bottom w:val="single" w:sz="4" w:space="0" w:color="auto"/>
            </w:tcBorders>
          </w:tcPr>
          <w:p w:rsidR="000A3A56" w:rsidRPr="00F14994" w:rsidRDefault="000A3A56" w:rsidP="000A3A56">
            <w:pPr>
              <w:pStyle w:val="Tabletext"/>
            </w:pPr>
            <w:r w:rsidRPr="00F14994">
              <w:t>Méthodologie spécifique au système pour la coordination des stations spatiales non géostationnaires (espace vers Terre) du service mobile par satellite avec les systèmes du service fixe</w:t>
            </w:r>
          </w:p>
        </w:tc>
        <w:tc>
          <w:tcPr>
            <w:tcW w:w="1418" w:type="dxa"/>
            <w:tcBorders>
              <w:bottom w:val="single" w:sz="4" w:space="0" w:color="auto"/>
            </w:tcBorders>
          </w:tcPr>
          <w:p w:rsidR="000A3A56" w:rsidRPr="00F14994" w:rsidRDefault="000A3A56" w:rsidP="000A3A56">
            <w:pPr>
              <w:pStyle w:val="Tabletext"/>
              <w:jc w:val="center"/>
            </w:pPr>
            <w:r w:rsidRPr="00F14994">
              <w:t>NOC</w:t>
            </w:r>
          </w:p>
        </w:tc>
        <w:tc>
          <w:tcPr>
            <w:tcW w:w="1559" w:type="dxa"/>
            <w:gridSpan w:val="2"/>
            <w:tcBorders>
              <w:bottom w:val="single" w:sz="4" w:space="0" w:color="auto"/>
            </w:tcBorders>
          </w:tcPr>
          <w:p w:rsidR="000A3A56" w:rsidRPr="00F14994" w:rsidRDefault="000A3A56" w:rsidP="000A3A56">
            <w:pPr>
              <w:pStyle w:val="Tabletext"/>
            </w:pPr>
          </w:p>
        </w:tc>
      </w:tr>
      <w:tr w:rsidR="000A3A56" w:rsidRPr="00F14994" w:rsidTr="00220294">
        <w:trPr>
          <w:cantSplit/>
          <w:jc w:val="center"/>
        </w:trPr>
        <w:tc>
          <w:tcPr>
            <w:tcW w:w="1271" w:type="dxa"/>
            <w:gridSpan w:val="2"/>
            <w:tcBorders>
              <w:top w:val="single" w:sz="4" w:space="0" w:color="auto"/>
            </w:tcBorders>
          </w:tcPr>
          <w:p w:rsidR="000A3A56" w:rsidRPr="00F14994" w:rsidRDefault="009C4BE7" w:rsidP="000A3A56">
            <w:pPr>
              <w:pStyle w:val="Tabletext"/>
              <w:jc w:val="center"/>
            </w:pPr>
            <w:hyperlink r:id="rId56" w:history="1">
              <w:r w:rsidR="000A3A56" w:rsidRPr="00F14994">
                <w:rPr>
                  <w:rStyle w:val="Strong"/>
                </w:rPr>
                <w:t>M.1167</w:t>
              </w:r>
            </w:hyperlink>
            <w:r w:rsidR="008E4AD2" w:rsidRPr="00F14994">
              <w:rPr>
                <w:rStyle w:val="Strong"/>
              </w:rPr>
              <w:t>-0</w:t>
            </w:r>
          </w:p>
        </w:tc>
        <w:tc>
          <w:tcPr>
            <w:tcW w:w="6095" w:type="dxa"/>
            <w:gridSpan w:val="2"/>
            <w:tcBorders>
              <w:top w:val="single" w:sz="4" w:space="0" w:color="auto"/>
            </w:tcBorders>
          </w:tcPr>
          <w:p w:rsidR="000A3A56" w:rsidRPr="00F14994" w:rsidRDefault="000A3A56" w:rsidP="000A3A56">
            <w:pPr>
              <w:pStyle w:val="Tabletext"/>
            </w:pPr>
            <w:r w:rsidRPr="00F14994">
              <w:t>Cadre de description de l'élément satellite des télécommunications mobiles internationales-2000 (IMT</w:t>
            </w:r>
            <w:r w:rsidRPr="00F14994">
              <w:noBreakHyphen/>
              <w:t>2000)</w:t>
            </w:r>
          </w:p>
        </w:tc>
        <w:tc>
          <w:tcPr>
            <w:tcW w:w="1418" w:type="dxa"/>
            <w:tcBorders>
              <w:top w:val="single" w:sz="4" w:space="0" w:color="auto"/>
            </w:tcBorders>
          </w:tcPr>
          <w:p w:rsidR="000A3A56" w:rsidRPr="00F14994" w:rsidRDefault="000A3A56" w:rsidP="000A3A56">
            <w:pPr>
              <w:pStyle w:val="Tabletext"/>
              <w:jc w:val="center"/>
            </w:pPr>
            <w:r w:rsidRPr="00F14994">
              <w:t>NOC</w:t>
            </w:r>
          </w:p>
        </w:tc>
        <w:tc>
          <w:tcPr>
            <w:tcW w:w="1559" w:type="dxa"/>
            <w:gridSpan w:val="2"/>
            <w:tcBorders>
              <w:top w:val="single" w:sz="4" w:space="0" w:color="auto"/>
            </w:tcBorders>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57" w:history="1">
              <w:r w:rsidR="000A3A56" w:rsidRPr="00F14994">
                <w:rPr>
                  <w:rStyle w:val="Strong"/>
                </w:rPr>
                <w:t>M.1180</w:t>
              </w:r>
            </w:hyperlink>
            <w:r w:rsidR="008E4AD2" w:rsidRPr="00F14994">
              <w:rPr>
                <w:rStyle w:val="Strong"/>
              </w:rPr>
              <w:t>-0</w:t>
            </w:r>
          </w:p>
        </w:tc>
        <w:tc>
          <w:tcPr>
            <w:tcW w:w="6095" w:type="dxa"/>
            <w:gridSpan w:val="2"/>
          </w:tcPr>
          <w:p w:rsidR="000A3A56" w:rsidRPr="00F14994" w:rsidRDefault="000A3A56" w:rsidP="000A3A56">
            <w:pPr>
              <w:pStyle w:val="Tabletext"/>
            </w:pPr>
            <w:r w:rsidRPr="00F14994">
              <w:t>Disponibilité des circuits de communication des services mobiles aéronautiques (R) par satellite (SMA(R)S)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58" w:history="1">
              <w:r w:rsidR="000A3A56" w:rsidRPr="00F14994">
                <w:rPr>
                  <w:rStyle w:val="Strong"/>
                </w:rPr>
                <w:t>M.1181</w:t>
              </w:r>
            </w:hyperlink>
            <w:r w:rsidR="008E4AD2" w:rsidRPr="00F14994">
              <w:rPr>
                <w:rStyle w:val="Strong"/>
              </w:rPr>
              <w:t>-0</w:t>
            </w:r>
          </w:p>
        </w:tc>
        <w:tc>
          <w:tcPr>
            <w:tcW w:w="6095" w:type="dxa"/>
            <w:gridSpan w:val="2"/>
          </w:tcPr>
          <w:p w:rsidR="000A3A56" w:rsidRPr="00F14994" w:rsidRDefault="000A3A56" w:rsidP="000A3A56">
            <w:pPr>
              <w:pStyle w:val="Tabletext"/>
            </w:pPr>
            <w:r w:rsidRPr="00F14994">
              <w:t>Objectifs minimaux de qualité applicables aux canaux numériques à bande étroite utilisant des satellites géostationnaires pour desservir des stations terriennes mobiles transportables et montées sur véhicule, dans la gamme de fréquences 1-3 GHz, ne faisant pas partie du réseau RNIS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59" w:history="1">
              <w:r w:rsidR="000A3A56" w:rsidRPr="00F14994">
                <w:rPr>
                  <w:rStyle w:val="Strong"/>
                </w:rPr>
                <w:t>M.1182</w:t>
              </w:r>
            </w:hyperlink>
            <w:r w:rsidR="000A3A56" w:rsidRPr="00F14994">
              <w:rPr>
                <w:b/>
                <w:bCs/>
              </w:rPr>
              <w:t>-1</w:t>
            </w:r>
          </w:p>
        </w:tc>
        <w:tc>
          <w:tcPr>
            <w:tcW w:w="6095" w:type="dxa"/>
            <w:gridSpan w:val="2"/>
          </w:tcPr>
          <w:p w:rsidR="000A3A56" w:rsidRPr="00F14994" w:rsidRDefault="000A3A56" w:rsidP="000A3A56">
            <w:pPr>
              <w:pStyle w:val="Tabletext"/>
            </w:pPr>
            <w:r w:rsidRPr="00F14994">
              <w:t>Intégration des systèmes de communication mobiles de Terre et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0" w:history="1">
              <w:r w:rsidR="000A3A56" w:rsidRPr="00F14994">
                <w:rPr>
                  <w:rStyle w:val="Strong"/>
                </w:rPr>
                <w:t>M.1183</w:t>
              </w:r>
            </w:hyperlink>
            <w:r w:rsidR="008E4AD2" w:rsidRPr="00F14994">
              <w:rPr>
                <w:rStyle w:val="Strong"/>
              </w:rPr>
              <w:t>-0</w:t>
            </w:r>
          </w:p>
        </w:tc>
        <w:tc>
          <w:tcPr>
            <w:tcW w:w="6095" w:type="dxa"/>
            <w:gridSpan w:val="2"/>
          </w:tcPr>
          <w:p w:rsidR="000A3A56" w:rsidRPr="00F14994" w:rsidRDefault="000A3A56" w:rsidP="000A3A56">
            <w:pPr>
              <w:pStyle w:val="Tabletext"/>
            </w:pPr>
            <w:r w:rsidRPr="00F14994">
              <w:t>Niveaux admissibles de brouillage dans un canal numérique d'un réseau du service mobile par satellite géostationnaire dans la bande 1-3 GHz causé par d'autres réseaux de ce service et du service fixe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1" w:history="1">
              <w:r w:rsidR="000A3A56" w:rsidRPr="00F14994">
                <w:rPr>
                  <w:rStyle w:val="Strong"/>
                </w:rPr>
                <w:t>M.1184</w:t>
              </w:r>
            </w:hyperlink>
            <w:r w:rsidR="000A3A56" w:rsidRPr="00F14994">
              <w:rPr>
                <w:b/>
                <w:bCs/>
              </w:rPr>
              <w:t>-2</w:t>
            </w:r>
          </w:p>
        </w:tc>
        <w:tc>
          <w:tcPr>
            <w:tcW w:w="6095" w:type="dxa"/>
            <w:gridSpan w:val="2"/>
          </w:tcPr>
          <w:p w:rsidR="000A3A56" w:rsidRPr="00F14994" w:rsidRDefault="000A3A56" w:rsidP="000A3A56">
            <w:pPr>
              <w:pStyle w:val="Tabletext"/>
            </w:pPr>
            <w:r w:rsidRPr="00F14994">
              <w:t>Caractéristiques techniques des systèmes mobiles par satellite dans les bandes de fréquences inférieures à 3 GHz à utiliser pour élaborer des critères de partage entre le service mobile par satellite (SMS) et d'autres services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pPr>
            <w:r w:rsidRPr="00F14994">
              <w:br w:type="page"/>
            </w:r>
            <w:hyperlink r:id="rId62" w:history="1">
              <w:r w:rsidRPr="00F14994">
                <w:rPr>
                  <w:rStyle w:val="Strong"/>
                </w:rPr>
                <w:t>M.1186</w:t>
              </w:r>
            </w:hyperlink>
            <w:r w:rsidRPr="00F14994">
              <w:rPr>
                <w:b/>
                <w:bCs/>
              </w:rPr>
              <w:t>-1</w:t>
            </w:r>
          </w:p>
        </w:tc>
        <w:tc>
          <w:tcPr>
            <w:tcW w:w="6095" w:type="dxa"/>
            <w:gridSpan w:val="2"/>
          </w:tcPr>
          <w:p w:rsidR="000A3A56" w:rsidRPr="00F14994" w:rsidRDefault="000A3A56" w:rsidP="000A3A56">
            <w:pPr>
              <w:pStyle w:val="Tabletext"/>
            </w:pPr>
            <w:r w:rsidRPr="00F14994">
              <w:t>Considérations techniques pour la coordination entre les réseaux du service mobile par satellite utilisant l'accès multiple par répartition en code et d'autres techniques d'étalement du spectre dans la bande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3" w:history="1">
              <w:r w:rsidR="000A3A56" w:rsidRPr="00F14994">
                <w:rPr>
                  <w:rStyle w:val="Strong"/>
                </w:rPr>
                <w:t>M.1187</w:t>
              </w:r>
            </w:hyperlink>
            <w:r w:rsidR="000A3A56" w:rsidRPr="00F14994">
              <w:rPr>
                <w:b/>
                <w:bCs/>
              </w:rPr>
              <w:t>-1</w:t>
            </w:r>
          </w:p>
        </w:tc>
        <w:tc>
          <w:tcPr>
            <w:tcW w:w="6095" w:type="dxa"/>
            <w:gridSpan w:val="2"/>
          </w:tcPr>
          <w:p w:rsidR="000A3A56" w:rsidRPr="00F14994" w:rsidRDefault="000A3A56" w:rsidP="000A3A56">
            <w:pPr>
              <w:pStyle w:val="Tabletext"/>
            </w:pPr>
            <w:r w:rsidRPr="00F14994">
              <w:t>Méthode de calcul de la région pouvant être affectée dans le cas d'un réseau du service mobile par satellite utilisant des orbites circulaires dans la bande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tblHeader/>
          <w:jc w:val="center"/>
        </w:trPr>
        <w:tc>
          <w:tcPr>
            <w:tcW w:w="1271" w:type="dxa"/>
            <w:gridSpan w:val="2"/>
          </w:tcPr>
          <w:p w:rsidR="000A3A56" w:rsidRPr="00F14994" w:rsidRDefault="009C4BE7" w:rsidP="000A3A56">
            <w:pPr>
              <w:pStyle w:val="Tabletext"/>
              <w:jc w:val="center"/>
            </w:pPr>
            <w:hyperlink r:id="rId64" w:history="1">
              <w:r w:rsidR="000A3A56" w:rsidRPr="00F14994">
                <w:rPr>
                  <w:rStyle w:val="Strong"/>
                </w:rPr>
                <w:t>M.1188</w:t>
              </w:r>
            </w:hyperlink>
            <w:r w:rsidR="000A3A56" w:rsidRPr="00F14994">
              <w:rPr>
                <w:b/>
                <w:bCs/>
              </w:rPr>
              <w:t>-1</w:t>
            </w:r>
          </w:p>
        </w:tc>
        <w:tc>
          <w:tcPr>
            <w:tcW w:w="6095" w:type="dxa"/>
            <w:gridSpan w:val="2"/>
          </w:tcPr>
          <w:p w:rsidR="000A3A56" w:rsidRPr="00F14994" w:rsidRDefault="000A3A56" w:rsidP="000A3A56">
            <w:pPr>
              <w:pStyle w:val="Tabletext"/>
            </w:pPr>
            <w:r w:rsidRPr="00F14994">
              <w:t>Influence de la propagation sur la conception des systèmes à satellites mobiles non géostationnaires qui n'utilisent pas la diversité de satellite et qui assurent un service à des équipements portables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5" w:history="1">
              <w:r w:rsidR="000A3A56" w:rsidRPr="00F14994">
                <w:rPr>
                  <w:rStyle w:val="Strong"/>
                </w:rPr>
                <w:t>M.1228</w:t>
              </w:r>
            </w:hyperlink>
            <w:r w:rsidR="008E4AD2" w:rsidRPr="00F14994">
              <w:rPr>
                <w:rStyle w:val="Strong"/>
              </w:rPr>
              <w:t>-0</w:t>
            </w:r>
          </w:p>
        </w:tc>
        <w:tc>
          <w:tcPr>
            <w:tcW w:w="6095" w:type="dxa"/>
            <w:gridSpan w:val="2"/>
          </w:tcPr>
          <w:p w:rsidR="000A3A56" w:rsidRPr="00F14994" w:rsidRDefault="000A3A56" w:rsidP="000A3A56">
            <w:pPr>
              <w:pStyle w:val="Tabletext"/>
            </w:pPr>
            <w:r w:rsidRPr="00F14994">
              <w:t>Méthode de détermination des objectifs de qualité de fonctionnement des canaux à bande étroite des systèmes mobiles par satellite utilisant des satellites géostationnaires et ne faisant pas partie du RNIS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6" w:history="1">
              <w:r w:rsidR="000A3A56" w:rsidRPr="00F14994">
                <w:rPr>
                  <w:rStyle w:val="Strong"/>
                </w:rPr>
                <w:t>M.1229</w:t>
              </w:r>
            </w:hyperlink>
            <w:r w:rsidR="008E4AD2" w:rsidRPr="00F14994">
              <w:rPr>
                <w:rStyle w:val="Strong"/>
              </w:rPr>
              <w:t>-0</w:t>
            </w:r>
          </w:p>
        </w:tc>
        <w:tc>
          <w:tcPr>
            <w:tcW w:w="6095" w:type="dxa"/>
            <w:gridSpan w:val="2"/>
          </w:tcPr>
          <w:p w:rsidR="000A3A56" w:rsidRPr="00F14994" w:rsidRDefault="000A3A56" w:rsidP="000A3A56">
            <w:pPr>
              <w:pStyle w:val="Tabletext"/>
            </w:pPr>
            <w:r w:rsidRPr="00F14994">
              <w:t>Objectifs de qualité de fonctionnement applicables aux canaux numériques du service mobile aéronautique par satellite (SMAS) exploités entre 1 525 et 1 559 MHz et entre 1 626,5 et 1 660,5 MHz et ne faisant pas partie du RNIS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7" w:history="1">
              <w:r w:rsidR="000A3A56" w:rsidRPr="00F14994">
                <w:rPr>
                  <w:rStyle w:val="Strong"/>
                </w:rPr>
                <w:t>M.1230</w:t>
              </w:r>
            </w:hyperlink>
            <w:r w:rsidR="008E4AD2" w:rsidRPr="00F14994">
              <w:rPr>
                <w:rStyle w:val="Strong"/>
              </w:rPr>
              <w:t>-0</w:t>
            </w:r>
          </w:p>
        </w:tc>
        <w:tc>
          <w:tcPr>
            <w:tcW w:w="6095" w:type="dxa"/>
            <w:gridSpan w:val="2"/>
          </w:tcPr>
          <w:p w:rsidR="000A3A56" w:rsidRPr="00F14994" w:rsidRDefault="000A3A56" w:rsidP="000A3A56">
            <w:pPr>
              <w:pStyle w:val="Tabletext"/>
            </w:pPr>
            <w:r w:rsidRPr="00F14994">
              <w:t>Objectifs de qualité de fonctionnement applicables aux liaisons espace-Terre exploitées dans le service mobile par satellite avec des satellites non géostationnaires dans la bande 137-138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8" w:history="1">
              <w:r w:rsidR="000A3A56" w:rsidRPr="00F14994">
                <w:rPr>
                  <w:rStyle w:val="Strong"/>
                </w:rPr>
                <w:t>M.1231</w:t>
              </w:r>
            </w:hyperlink>
            <w:r w:rsidR="008E4AD2" w:rsidRPr="00F14994">
              <w:rPr>
                <w:rStyle w:val="Strong"/>
              </w:rPr>
              <w:t>-0</w:t>
            </w:r>
          </w:p>
        </w:tc>
        <w:tc>
          <w:tcPr>
            <w:tcW w:w="6095" w:type="dxa"/>
            <w:gridSpan w:val="2"/>
          </w:tcPr>
          <w:p w:rsidR="000A3A56" w:rsidRPr="00F14994" w:rsidRDefault="000A3A56" w:rsidP="000A3A56">
            <w:pPr>
              <w:pStyle w:val="Tabletext"/>
            </w:pPr>
            <w:r w:rsidRPr="00F14994">
              <w:t>Critères de brouillage applicables aux liaisons espace-Terre exploitées dans le service mobile par satellite avec des satellites non géostationnaires dans la bande 137-138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69" w:history="1">
              <w:r w:rsidR="000A3A56" w:rsidRPr="00F14994">
                <w:rPr>
                  <w:rStyle w:val="Strong"/>
                </w:rPr>
                <w:t>M.1232</w:t>
              </w:r>
            </w:hyperlink>
            <w:r w:rsidR="008E4AD2" w:rsidRPr="00F14994">
              <w:rPr>
                <w:rStyle w:val="Strong"/>
              </w:rPr>
              <w:t>-0</w:t>
            </w:r>
          </w:p>
        </w:tc>
        <w:tc>
          <w:tcPr>
            <w:tcW w:w="6095" w:type="dxa"/>
            <w:gridSpan w:val="2"/>
          </w:tcPr>
          <w:p w:rsidR="000A3A56" w:rsidRPr="00F14994" w:rsidRDefault="000A3A56" w:rsidP="000A3A56">
            <w:pPr>
              <w:pStyle w:val="Tabletext"/>
            </w:pPr>
            <w:r w:rsidRPr="00F14994">
              <w:t>Critères de partage applicables aux liaisons espace-Terre exploitées dans le service mobile par satellite avec des satellites non géostationnaires dans la bande 137-138 MHz</w:t>
            </w:r>
          </w:p>
        </w:tc>
        <w:tc>
          <w:tcPr>
            <w:tcW w:w="1418" w:type="dxa"/>
          </w:tcPr>
          <w:p w:rsidR="000A3A56" w:rsidRPr="00F14994" w:rsidRDefault="000A3A56" w:rsidP="000A3A56">
            <w:pPr>
              <w:pStyle w:val="Tablehead"/>
            </w:pPr>
            <w:r w:rsidRPr="00F14994">
              <w:rPr>
                <w:b w:val="0"/>
                <w:bCs/>
              </w:rPr>
              <w:t>NOC</w:t>
            </w:r>
          </w:p>
        </w:tc>
        <w:tc>
          <w:tcPr>
            <w:tcW w:w="1559" w:type="dxa"/>
            <w:gridSpan w:val="2"/>
          </w:tcPr>
          <w:p w:rsidR="000A3A56" w:rsidRPr="00F14994" w:rsidRDefault="000A3A56" w:rsidP="000A3A56">
            <w:pPr>
              <w:pStyle w:val="Tablehead"/>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0" w:history="1">
              <w:r w:rsidR="000A3A56" w:rsidRPr="00F14994">
                <w:rPr>
                  <w:rStyle w:val="Strong"/>
                </w:rPr>
                <w:t>M.1233</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Considérations techniques applicables au partage des ressources des réseaux à satellites entre le service mobile par satellite (SMS) (à l'exception du service mobile aéronautique (R) par satellite (SMA(R)S)) et le SMA(R)S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1" w:history="1">
              <w:r w:rsidR="000A3A56" w:rsidRPr="00F14994">
                <w:rPr>
                  <w:rStyle w:val="Strong"/>
                </w:rPr>
                <w:t>M.1234</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Niveau admissible de brouillage occasionné, dans un canal numérique de réseau à satellite géostationnaire du service mobile aéronautique (R) par satellite (SMA(R)S) dans les bandes 1 545-1 555 MHz et 1 646,5 1 656,5 MHz et dans les liaisons de connexion associées, par d'autres réseaux de ce service ou du service fixe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2" w:history="1">
              <w:r w:rsidR="000A3A56" w:rsidRPr="00F14994">
                <w:rPr>
                  <w:rStyle w:val="Strong"/>
                </w:rPr>
                <w:t>M.1315</w:t>
              </w:r>
            </w:hyperlink>
            <w:r w:rsidR="008E4AD2" w:rsidRPr="00F14994">
              <w:rPr>
                <w:rStyle w:val="Strong"/>
                <w:bCs w:val="0"/>
              </w:rPr>
              <w:t>-0</w:t>
            </w:r>
          </w:p>
        </w:tc>
        <w:tc>
          <w:tcPr>
            <w:tcW w:w="6095" w:type="dxa"/>
            <w:gridSpan w:val="2"/>
          </w:tcPr>
          <w:p w:rsidR="000A3A56" w:rsidRPr="00F14994" w:rsidRDefault="000A3A56" w:rsidP="000A3A56">
            <w:pPr>
              <w:pStyle w:val="Tabletext"/>
              <w:rPr>
                <w:rFonts w:eastAsia="Arial Unicode MS"/>
              </w:rPr>
            </w:pPr>
            <w:r w:rsidRPr="00F14994">
              <w:t>Méthodologie d'évaluation du brouillage des réseaux mobiles à satellite à étalement du spectre en séquence directe utilisant des stations spatiales sur orbite terrestre basse par les réseaux mobiles à satellite à bande étroite à des fréquences inférieures à 1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3" w:history="1">
              <w:r w:rsidR="000A3A56" w:rsidRPr="00F14994">
                <w:rPr>
                  <w:rStyle w:val="Strong"/>
                </w:rPr>
                <w:t>M.1316</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Principes et méthodes de partage de fréquences dans les bandes 1 610,6</w:t>
            </w:r>
            <w:r w:rsidRPr="00F14994">
              <w:noBreakHyphen/>
              <w:t>1 613,8 et 1 660-1 660,5 MHz entre le service mobile par satellite (Terre vers espace) et le service de radioastronomie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4" w:history="1">
              <w:r w:rsidR="000A3A56" w:rsidRPr="00F14994">
                <w:rPr>
                  <w:rStyle w:val="Strong"/>
                </w:rPr>
                <w:t>M.131</w:t>
              </w:r>
            </w:hyperlink>
            <w:r w:rsidR="000A3A56" w:rsidRPr="00F14994">
              <w:rPr>
                <w:rStyle w:val="Strong"/>
              </w:rPr>
              <w:t>8</w:t>
            </w:r>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Modèle d'évaluation des brouillages continus causés par des sources radioélectriques autres que celles du service de radionavigation par satellite aux systèmes et réseaux du service de radionavigation par satellite fonctionnant dans les bandes 1 164-1 215 MHz, 1 215</w:t>
            </w:r>
            <w:r w:rsidRPr="00F14994">
              <w:noBreakHyphen/>
              <w:t>1 300 MHz, 1 559-1 610 MHz et 5 010-5 030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5" w:history="1">
              <w:r w:rsidR="000A3A56" w:rsidRPr="00F14994">
                <w:rPr>
                  <w:rStyle w:val="Strong"/>
                </w:rPr>
                <w:t>M.1319</w:t>
              </w:r>
            </w:hyperlink>
            <w:r w:rsidR="000A3A56" w:rsidRPr="00F14994">
              <w:rPr>
                <w:b/>
                <w:bCs/>
              </w:rPr>
              <w:t>-3</w:t>
            </w:r>
          </w:p>
        </w:tc>
        <w:tc>
          <w:tcPr>
            <w:tcW w:w="6095" w:type="dxa"/>
            <w:gridSpan w:val="2"/>
          </w:tcPr>
          <w:p w:rsidR="000A3A56" w:rsidRPr="00F14994" w:rsidRDefault="000A3A56" w:rsidP="000A3A56">
            <w:pPr>
              <w:pStyle w:val="Tabletext"/>
              <w:rPr>
                <w:rFonts w:eastAsia="Arial Unicode MS"/>
              </w:rPr>
            </w:pPr>
            <w:r w:rsidRPr="00F14994">
              <w:t>Principe d'une méthodologie d'évaluation de l'impact du brouillage des transmissions espace vers Terre du service mobile par satellite (SMS) à accès multiple par répartition dans le temps ou en fréquence (AMRT</w:t>
            </w:r>
            <w:r w:rsidRPr="00F14994">
              <w:noBreakHyphen/>
              <w:t>AMRF), sur la qualité de fonctionnement de récepteurs du service fixe en visibilité directe dans la bande de fréquences comprise entre 1 et 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Theme="minorEastAsia"/>
                <w:lang w:eastAsia="zh-CN"/>
                <w:rPrChange w:id="10" w:author="Flotterer, Joy" w:date="2011-11-11T09:53:00Z">
                  <w:rPr>
                    <w:rFonts w:eastAsia="Arial Unicode MS"/>
                  </w:rPr>
                </w:rPrChange>
              </w:rPr>
            </w:pPr>
            <w:hyperlink r:id="rId76" w:history="1">
              <w:r w:rsidR="000A3A56" w:rsidRPr="00F14994">
                <w:rPr>
                  <w:rStyle w:val="Strong"/>
                </w:rPr>
                <w:t>M.1343</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Caractéristiques techniques essentielles des stations terriennes mobiles des systèmes mondiaux du service mobile à satellites non géostationnaires fonctionnant dans la bande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7" w:history="1">
              <w:r w:rsidR="000A3A56" w:rsidRPr="00F14994">
                <w:rPr>
                  <w:rStyle w:val="Strong"/>
                </w:rPr>
                <w:t>M.1389</w:t>
              </w:r>
            </w:hyperlink>
            <w:r w:rsidR="00162112" w:rsidRPr="00F14994">
              <w:rPr>
                <w:rStyle w:val="Strong"/>
                <w:bCs w:val="0"/>
              </w:rPr>
              <w:t>-0</w:t>
            </w:r>
          </w:p>
        </w:tc>
        <w:tc>
          <w:tcPr>
            <w:tcW w:w="6095" w:type="dxa"/>
            <w:gridSpan w:val="2"/>
          </w:tcPr>
          <w:p w:rsidR="000A3A56" w:rsidRPr="00F14994" w:rsidRDefault="000A3A56" w:rsidP="000A3A56">
            <w:pPr>
              <w:pStyle w:val="Tabletext"/>
              <w:rPr>
                <w:rFonts w:eastAsia="Arial Unicode MS"/>
              </w:rPr>
            </w:pPr>
            <w:r w:rsidRPr="00F14994">
              <w:t>Méthodes permettant de coordonner l'utilisation des fréquences par plusieurs systèmes non géostationnaires du service mobile par satellite fonctionnant au-dessous de 1 GHz et de réaliser le partage avec d'autres services dans des bandes attribuées au service mobile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8" w:history="1">
              <w:r w:rsidR="000A3A56" w:rsidRPr="00F14994">
                <w:rPr>
                  <w:rStyle w:val="Strong"/>
                </w:rPr>
                <w:t>M.1391</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Méthode de calcul des besoins de spectre de la composante satellite des systèmes IMT-2000</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79" w:history="1">
              <w:r w:rsidR="000A3A56" w:rsidRPr="00F14994">
                <w:rPr>
                  <w:rStyle w:val="Strong"/>
                </w:rPr>
                <w:t>M.1454</w:t>
              </w:r>
            </w:hyperlink>
            <w:r w:rsidR="00162112" w:rsidRPr="00F14994">
              <w:rPr>
                <w:rStyle w:val="Strong"/>
                <w:bCs w:val="0"/>
              </w:rPr>
              <w:t>-0</w:t>
            </w:r>
          </w:p>
        </w:tc>
        <w:tc>
          <w:tcPr>
            <w:tcW w:w="6095" w:type="dxa"/>
            <w:gridSpan w:val="2"/>
          </w:tcPr>
          <w:p w:rsidR="000A3A56" w:rsidRPr="00F14994" w:rsidRDefault="000A3A56" w:rsidP="000A3A56">
            <w:pPr>
              <w:pStyle w:val="Tabletext"/>
              <w:rPr>
                <w:rFonts w:eastAsia="Arial Unicode MS"/>
              </w:rPr>
            </w:pPr>
            <w:r w:rsidRPr="00F14994">
              <w:t>Limites de densité de p.i.r.e. et restrictions opérationnelles applicables aux émetteurs des RLAN ou d'autres systèmes d'accès hertzien pour assurer la protection des liaisons de connexion des systèmes non géostationnaires du service mobile par satellite dans la bande de fréquences 5 150</w:t>
            </w:r>
            <w:r w:rsidRPr="00F14994">
              <w:noBreakHyphen/>
              <w:t>5 250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0" w:history="1">
              <w:r w:rsidR="000A3A56" w:rsidRPr="00F14994">
                <w:rPr>
                  <w:rStyle w:val="Strong"/>
                </w:rPr>
                <w:t>M.1459</w:t>
              </w:r>
            </w:hyperlink>
            <w:r w:rsidR="00162112" w:rsidRPr="00F14994">
              <w:rPr>
                <w:rStyle w:val="Strong"/>
                <w:bCs w:val="0"/>
              </w:rPr>
              <w:t>-0</w:t>
            </w:r>
          </w:p>
        </w:tc>
        <w:tc>
          <w:tcPr>
            <w:tcW w:w="6095" w:type="dxa"/>
            <w:gridSpan w:val="2"/>
          </w:tcPr>
          <w:p w:rsidR="000A3A56" w:rsidRPr="00F14994" w:rsidRDefault="000A3A56" w:rsidP="000A3A56">
            <w:pPr>
              <w:pStyle w:val="Tabletext"/>
              <w:rPr>
                <w:rFonts w:eastAsia="Arial Unicode MS"/>
              </w:rPr>
            </w:pPr>
            <w:r w:rsidRPr="00F14994">
              <w:t>Critères de protection applicables aux systèmes de télémesure du service mobile aéronautique et techniques de réduction des brouillages propres à faciliter le partage avec les services de radiodiffusion par satellite géostationnaire et mobile par satellite géostationnaire dans les bandes de fréquences 1 452-1 525 MHz et 2 310-2 360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bCs/>
              </w:rPr>
            </w:pPr>
            <w:hyperlink r:id="rId81" w:history="1">
              <w:r w:rsidR="000A3A56" w:rsidRPr="00F14994">
                <w:rPr>
                  <w:rStyle w:val="Strong"/>
                </w:rPr>
                <w:t>M.1469</w:t>
              </w:r>
            </w:hyperlink>
            <w:r w:rsidR="000A3A56" w:rsidRPr="00F14994">
              <w:rPr>
                <w:b/>
              </w:rPr>
              <w:t>-2</w:t>
            </w:r>
          </w:p>
        </w:tc>
        <w:tc>
          <w:tcPr>
            <w:tcW w:w="6095" w:type="dxa"/>
            <w:gridSpan w:val="2"/>
          </w:tcPr>
          <w:p w:rsidR="000A3A56" w:rsidRPr="00F14994" w:rsidRDefault="000A3A56" w:rsidP="000A3A56">
            <w:pPr>
              <w:pStyle w:val="Tabletext"/>
              <w:rPr>
                <w:rFonts w:eastAsia="Arial Unicode MS"/>
                <w:szCs w:val="22"/>
              </w:rPr>
            </w:pPr>
            <w:r w:rsidRPr="00F14994">
              <w:t>Méthode d'évaluation des risques de brouillage de récepteurs des services fixes en visibilité directe par des émissions du service mobile par satellite (SMS) à accès multiple par répartition dans le temps/accès multiple par répartition en fréquence (AMRT/AMRF) Terre vers espace dans la gamme de fréquences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82" w:history="1">
              <w:r w:rsidR="000A3A56" w:rsidRPr="00F14994">
                <w:rPr>
                  <w:rStyle w:val="Strong"/>
                </w:rPr>
                <w:t>M.1470</w:t>
              </w:r>
            </w:hyperlink>
            <w:r w:rsidR="00162112" w:rsidRPr="00F14994">
              <w:rPr>
                <w:rStyle w:val="Strong"/>
              </w:rPr>
              <w:t>-0</w:t>
            </w:r>
          </w:p>
        </w:tc>
        <w:tc>
          <w:tcPr>
            <w:tcW w:w="6095" w:type="dxa"/>
            <w:gridSpan w:val="2"/>
          </w:tcPr>
          <w:p w:rsidR="000A3A56" w:rsidRPr="00F14994" w:rsidRDefault="000A3A56" w:rsidP="000A3A56">
            <w:pPr>
              <w:pStyle w:val="Tabletext"/>
            </w:pPr>
            <w:r w:rsidRPr="00F14994">
              <w:t>Méthode de partage entre les systèmes du SMS (Terre vers espace) et les systèmes existants du service de radionavigation par satellite (espace vers Terre) dans les bandes de fréquences 149,9-150,05 MHz et 399,9</w:t>
            </w:r>
            <w:r w:rsidRPr="00F14994">
              <w:noBreakHyphen/>
              <w:t>400,05 MHz</w:t>
            </w:r>
          </w:p>
        </w:tc>
        <w:tc>
          <w:tcPr>
            <w:tcW w:w="1418" w:type="dxa"/>
          </w:tcPr>
          <w:p w:rsidR="000A3A56" w:rsidRPr="00F14994" w:rsidRDefault="000A3A56" w:rsidP="000A3A56">
            <w:pPr>
              <w:pStyle w:val="Tablehead"/>
              <w:rPr>
                <w:b w:val="0"/>
                <w:bCs/>
              </w:rPr>
            </w:pPr>
            <w:r w:rsidRPr="00F14994">
              <w:rPr>
                <w:b w:val="0"/>
                <w:bCs/>
              </w:rPr>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3" w:history="1">
              <w:r w:rsidR="000A3A56" w:rsidRPr="00F14994">
                <w:rPr>
                  <w:rStyle w:val="Strong"/>
                </w:rPr>
                <w:t>M.1471</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Guide pour l'application des méthodes propres à faciliter la coordination et l'utilisation des bandes de fréquences partagées par le service mobile par satellite et le service fixe dans la gamme de fréquences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4" w:history="1">
              <w:r w:rsidR="000A3A56" w:rsidRPr="00F14994">
                <w:rPr>
                  <w:rStyle w:val="Strong"/>
                </w:rPr>
                <w:t>M.1472</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Méthode d'évaluation des effets des brouillages causés par des transmissions espace vers Terre du service mobile par satellite (SMS) à accès multiple par répartition dans le temps/accès multiple par répartition en fréquence (AMRT/AMRF) sur la qualité de fonctionnement en bande de base de récepteurs avec multiplexage par répartition en fréquence</w:t>
            </w:r>
            <w:r w:rsidRPr="00F14994">
              <w:noBreakHyphen/>
              <w:t>modulation de fréquence (MRF-MF) du service fixe en visibilité directe dans la gamme de fréquence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5" w:history="1">
              <w:r w:rsidR="000A3A56" w:rsidRPr="00F14994">
                <w:rPr>
                  <w:rStyle w:val="Strong"/>
                </w:rPr>
                <w:t>M.1473</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Méthode d'évaluation de l'impact du brouillage causé par les systèmes à accès multiple par répartition dans le temps/accès multiple par répartition en fréquence (AMRT/AMRF) du service mobile par satellite (SMS) (espace vers Terre) fonctionnant dans la gamme de fréquences 1-3 GHz sur la qualité de fonctionnement en bande de base vidéo de récepteurs analogiques TV-MF du service fixe en visibilité directe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6" w:history="1">
              <w:r w:rsidR="000A3A56" w:rsidRPr="00F14994">
                <w:rPr>
                  <w:rStyle w:val="Strong"/>
                </w:rPr>
                <w:t>M.1474</w:t>
              </w:r>
            </w:hyperlink>
            <w:r w:rsidR="000A3A56" w:rsidRPr="00F14994">
              <w:rPr>
                <w:b/>
                <w:bCs/>
              </w:rPr>
              <w:t>-1</w:t>
            </w:r>
          </w:p>
        </w:tc>
        <w:tc>
          <w:tcPr>
            <w:tcW w:w="6095" w:type="dxa"/>
            <w:gridSpan w:val="2"/>
          </w:tcPr>
          <w:p w:rsidR="000A3A56" w:rsidRPr="00F14994" w:rsidRDefault="000A3A56" w:rsidP="000A3A56">
            <w:pPr>
              <w:pStyle w:val="Tabletext"/>
              <w:rPr>
                <w:rFonts w:eastAsia="Arial Unicode MS"/>
              </w:rPr>
            </w:pPr>
            <w:r w:rsidRPr="00F14994">
              <w:t>Méthode d'évaluation, sur la base de statistiques du brouillage radioélectrique, de l'impact du brouillage causé par des systèmes à accès multiple par répartition dans le temps/accès multiples par répartition en fréquence (AMRT/AMRF) du service mobile par satellite (SMS) sur la qualité de fonctionnement en bande de base des récepteurs numériques du service fixe en visibilité directe dans la gamme de fréquences 1-3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7" w:history="1">
              <w:r w:rsidR="000A3A56" w:rsidRPr="00F14994">
                <w:rPr>
                  <w:rStyle w:val="Strong"/>
                </w:rPr>
                <w:t>M.1475</w:t>
              </w:r>
            </w:hyperlink>
            <w:r w:rsidR="00162112" w:rsidRPr="00F14994">
              <w:rPr>
                <w:rStyle w:val="Strong"/>
                <w:bCs w:val="0"/>
              </w:rPr>
              <w:t>-0</w:t>
            </w:r>
          </w:p>
        </w:tc>
        <w:tc>
          <w:tcPr>
            <w:tcW w:w="6095" w:type="dxa"/>
            <w:gridSpan w:val="2"/>
          </w:tcPr>
          <w:p w:rsidR="000A3A56" w:rsidRPr="00F14994" w:rsidRDefault="000A3A56" w:rsidP="000A3A56">
            <w:pPr>
              <w:pStyle w:val="Tabletext"/>
              <w:rPr>
                <w:rFonts w:eastAsia="Arial Unicode MS"/>
              </w:rPr>
            </w:pPr>
            <w:r w:rsidRPr="00F14994">
              <w:t>Méthode de calcul des objectifs de qualité de fonctionnement des systèmes du service mobile par satellite non géostationnaire exploités dans la bande 1-3 GHz et n'utilisant pas la diversité de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rPr>
                <w:rFonts w:eastAsia="Arial Unicode MS"/>
              </w:rPr>
            </w:pPr>
            <w:hyperlink r:id="rId88" w:history="1">
              <w:r w:rsidR="000A3A56" w:rsidRPr="00F14994">
                <w:rPr>
                  <w:rStyle w:val="Strong"/>
                </w:rPr>
                <w:t>M.1476</w:t>
              </w:r>
            </w:hyperlink>
            <w:r w:rsidR="00162112" w:rsidRPr="00F14994">
              <w:rPr>
                <w:rStyle w:val="Strong"/>
                <w:bCs w:val="0"/>
              </w:rPr>
              <w:t>-0</w:t>
            </w:r>
          </w:p>
        </w:tc>
        <w:tc>
          <w:tcPr>
            <w:tcW w:w="6095" w:type="dxa"/>
            <w:gridSpan w:val="2"/>
          </w:tcPr>
          <w:p w:rsidR="000A3A56" w:rsidRPr="00F14994" w:rsidRDefault="000A3A56" w:rsidP="000A3A56">
            <w:pPr>
              <w:pStyle w:val="Tabletext"/>
              <w:rPr>
                <w:rFonts w:eastAsia="Arial Unicode MS"/>
              </w:rPr>
            </w:pPr>
            <w:r w:rsidRPr="00F14994">
              <w:t>Objectifs de qualité applicables aux canaux numériques à bande étroite utilisant des satellites géostationnaires pour desservir des stations terriennes mobiles et transportables dans la gamme de fréquences 1</w:t>
            </w:r>
            <w:r w:rsidRPr="00F14994">
              <w:noBreakHyphen/>
              <w:t>3 GHz et faisant partie du réseau numérique à intégration de services</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162112">
            <w:pPr>
              <w:pStyle w:val="Tabletext"/>
              <w:jc w:val="center"/>
              <w:rPr>
                <w:rFonts w:eastAsia="Arial Unicode MS"/>
              </w:rPr>
            </w:pPr>
            <w:hyperlink r:id="rId89" w:history="1">
              <w:r w:rsidR="000A3A56" w:rsidRPr="00F14994">
                <w:rPr>
                  <w:rStyle w:val="Strong"/>
                </w:rPr>
                <w:t>M.1478</w:t>
              </w:r>
            </w:hyperlink>
            <w:r w:rsidR="000A3A56" w:rsidRPr="00F14994">
              <w:rPr>
                <w:b/>
                <w:bCs/>
              </w:rPr>
              <w:t>-</w:t>
            </w:r>
            <w:r w:rsidR="00162112" w:rsidRPr="00F14994">
              <w:rPr>
                <w:b/>
                <w:bCs/>
              </w:rPr>
              <w:t>3</w:t>
            </w:r>
          </w:p>
        </w:tc>
        <w:tc>
          <w:tcPr>
            <w:tcW w:w="6095" w:type="dxa"/>
            <w:gridSpan w:val="2"/>
          </w:tcPr>
          <w:p w:rsidR="00162112" w:rsidRPr="00F14994" w:rsidRDefault="000A3A56" w:rsidP="000C272D">
            <w:pPr>
              <w:pStyle w:val="Tabletext"/>
            </w:pPr>
            <w:r w:rsidRPr="00F14994">
              <w:t>Critères de protection applicables aux instruments de recherche et de sauvetage Cospas-Sarsat dans la bande 406</w:t>
            </w:r>
            <w:r w:rsidRPr="00F14994">
              <w:noBreakHyphen/>
              <w:t>406,1 MHz</w:t>
            </w:r>
          </w:p>
        </w:tc>
        <w:tc>
          <w:tcPr>
            <w:tcW w:w="1418" w:type="dxa"/>
          </w:tcPr>
          <w:p w:rsidR="000A3A56" w:rsidRPr="00F14994" w:rsidRDefault="00162112"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90" w:history="1">
              <w:r w:rsidR="000A3A56" w:rsidRPr="00F14994">
                <w:rPr>
                  <w:rStyle w:val="Strong"/>
                </w:rPr>
                <w:t>M.1480</w:t>
              </w:r>
            </w:hyperlink>
            <w:r w:rsidR="00162112" w:rsidRPr="00F14994">
              <w:rPr>
                <w:rStyle w:val="Strong"/>
              </w:rPr>
              <w:t>-0</w:t>
            </w:r>
          </w:p>
        </w:tc>
        <w:tc>
          <w:tcPr>
            <w:tcW w:w="6095" w:type="dxa"/>
            <w:gridSpan w:val="2"/>
          </w:tcPr>
          <w:p w:rsidR="00162112" w:rsidRPr="00F14994" w:rsidRDefault="000A3A56" w:rsidP="000C272D">
            <w:pPr>
              <w:pStyle w:val="Tabletext"/>
            </w:pPr>
            <w:r w:rsidRPr="00F14994">
              <w:t>Spécifications techniques essentielles des stations terriennes mobiles des systèmes mobiles à satellites géostationnaires qui appliquent les arrangements relatifs au mémorandum d'accord sur les communications personnelles mobiles mondiales par satellite (GMPCS) dans des parties de la bande de fréquences entre 1 et 3 GHz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91" w:history="1">
              <w:r w:rsidR="000A3A56" w:rsidRPr="00F14994">
                <w:rPr>
                  <w:rStyle w:val="Strong"/>
                </w:rPr>
                <w:t>M.1582</w:t>
              </w:r>
            </w:hyperlink>
            <w:r w:rsidR="00162112" w:rsidRPr="00F14994">
              <w:rPr>
                <w:rStyle w:val="Strong"/>
              </w:rPr>
              <w:t>-0</w:t>
            </w:r>
          </w:p>
        </w:tc>
        <w:tc>
          <w:tcPr>
            <w:tcW w:w="6095" w:type="dxa"/>
            <w:gridSpan w:val="2"/>
          </w:tcPr>
          <w:p w:rsidR="000A3A56" w:rsidRPr="00F14994" w:rsidRDefault="000A3A56" w:rsidP="000A3A56">
            <w:pPr>
              <w:pStyle w:val="Tabletext"/>
              <w:rPr>
                <w:rFonts w:eastAsia="Arial Unicode MS"/>
              </w:rPr>
            </w:pPr>
            <w:r w:rsidRPr="00F14994">
              <w:t>Méthode de détermination des distances de coordination, dans la bande des 5 GHz, entre des stations du système d'atterrissage hyperfréquences international normalisé exploitées dans le service de radionavigation aéronautique et des stations du service de radionavigation par satellite (Terre vers espace)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rStyle w:val="href"/>
                <w:b/>
                <w:bCs/>
              </w:rPr>
              <w:t>M.1583-1</w:t>
            </w:r>
          </w:p>
        </w:tc>
        <w:tc>
          <w:tcPr>
            <w:tcW w:w="6095" w:type="dxa"/>
            <w:gridSpan w:val="2"/>
          </w:tcPr>
          <w:p w:rsidR="000A3A56" w:rsidRPr="00F14994" w:rsidRDefault="000A3A56" w:rsidP="000A3A56">
            <w:pPr>
              <w:pStyle w:val="Tabletext"/>
            </w:pPr>
            <w:r w:rsidRPr="00F14994">
              <w:t>Calcul des brouillages produits par un système à satellites non géostationnaire du service mobile par satellite ou du service de radionavigation par satellite au niveau des sites de radioastronomie</w:t>
            </w:r>
          </w:p>
        </w:tc>
        <w:tc>
          <w:tcPr>
            <w:tcW w:w="1418" w:type="dxa"/>
          </w:tcPr>
          <w:p w:rsidR="000A3A56" w:rsidRPr="00F14994" w:rsidRDefault="000A3A56" w:rsidP="000A3A56">
            <w:pPr>
              <w:pStyle w:val="Tablehead"/>
              <w:rPr>
                <w:b w:val="0"/>
                <w:bCs/>
              </w:rPr>
            </w:pPr>
            <w:r w:rsidRPr="00F14994">
              <w:rPr>
                <w:b w:val="0"/>
                <w:bCs/>
              </w:rPr>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9C4BE7" w:rsidP="000A3A56">
            <w:pPr>
              <w:pStyle w:val="Tabletext"/>
              <w:jc w:val="center"/>
            </w:pPr>
            <w:hyperlink r:id="rId92" w:history="1">
              <w:r w:rsidR="000A3A56" w:rsidRPr="00F14994">
                <w:rPr>
                  <w:rStyle w:val="Strong"/>
                </w:rPr>
                <w:t>M.1584</w:t>
              </w:r>
            </w:hyperlink>
            <w:r w:rsidR="00162112" w:rsidRPr="00F14994">
              <w:rPr>
                <w:rStyle w:val="Strong"/>
              </w:rPr>
              <w:t>-0</w:t>
            </w:r>
          </w:p>
        </w:tc>
        <w:tc>
          <w:tcPr>
            <w:tcW w:w="6095" w:type="dxa"/>
            <w:gridSpan w:val="2"/>
          </w:tcPr>
          <w:p w:rsidR="000A3A56" w:rsidRPr="00F14994" w:rsidRDefault="000A3A56" w:rsidP="000A3A56">
            <w:pPr>
              <w:pStyle w:val="Tabletext"/>
              <w:rPr>
                <w:rFonts w:eastAsia="Arial Unicode MS"/>
              </w:rPr>
            </w:pPr>
            <w:r w:rsidRPr="00F14994">
              <w:t>Méthodologie de calcul des distances de séparation entre les stations terriennes du service de radionavigation par satellite (Terre vers espace) et les radars du service de radiolocalisation et du service de radionavigation aéronautique dans la bande de fréquences 1 300</w:t>
            </w:r>
            <w:r w:rsidRPr="00F14994">
              <w:noBreakHyphen/>
              <w:t>1 350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b/>
                <w:bCs/>
              </w:rPr>
              <w:t>M.1636</w:t>
            </w:r>
            <w:r w:rsidR="00162112" w:rsidRPr="00F14994">
              <w:rPr>
                <w:b/>
                <w:bCs/>
              </w:rPr>
              <w:t>-0</w:t>
            </w:r>
          </w:p>
        </w:tc>
        <w:tc>
          <w:tcPr>
            <w:tcW w:w="6095" w:type="dxa"/>
            <w:gridSpan w:val="2"/>
          </w:tcPr>
          <w:p w:rsidR="000A3A56" w:rsidRPr="00F14994" w:rsidRDefault="000A3A56" w:rsidP="000A3A56">
            <w:pPr>
              <w:pStyle w:val="Tabletext"/>
              <w:rPr>
                <w:rFonts w:eastAsia="Arial Unicode MS"/>
              </w:rPr>
            </w:pPr>
            <w:r w:rsidRPr="00F14994">
              <w:t>Modèles de référence de base et paramètres de qualité de fonctionnement de la transmission sur réseau en protocole Internet à commutation par paquets dans le service mobile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rStyle w:val="href"/>
                <w:b/>
                <w:bCs/>
              </w:rPr>
              <w:lastRenderedPageBreak/>
              <w:t>M.1639-1</w:t>
            </w:r>
          </w:p>
        </w:tc>
        <w:tc>
          <w:tcPr>
            <w:tcW w:w="6095" w:type="dxa"/>
            <w:gridSpan w:val="2"/>
          </w:tcPr>
          <w:p w:rsidR="000A3A56" w:rsidRPr="00F14994" w:rsidRDefault="000A3A56" w:rsidP="000A3A56">
            <w:pPr>
              <w:pStyle w:val="Tabletext"/>
              <w:rPr>
                <w:rFonts w:eastAsia="Arial Unicode MS"/>
              </w:rPr>
            </w:pPr>
            <w:r w:rsidRPr="00F14994">
              <w:t>Critères de protection du service de radionavigation aéronautique vis</w:t>
            </w:r>
            <w:r w:rsidRPr="00F14994">
              <w:noBreakHyphen/>
              <w:t>à</w:t>
            </w:r>
            <w:r w:rsidRPr="00F14994">
              <w:noBreakHyphen/>
              <w:t>vis de l'ensemble des émissions des stations spatiales du service de radionavigation par satellite dans la bande 1</w:t>
            </w:r>
            <w:r w:rsidRPr="00F14994">
              <w:rPr>
                <w:rFonts w:ascii="Tms Rmn" w:hAnsi="Tms Rmn"/>
                <w:sz w:val="12"/>
              </w:rPr>
              <w:t> </w:t>
            </w:r>
            <w:r w:rsidRPr="00F14994">
              <w:t>164-1</w:t>
            </w:r>
            <w:r w:rsidRPr="00F14994">
              <w:rPr>
                <w:rFonts w:ascii="Tms Rmn" w:hAnsi="Tms Rmn"/>
                <w:sz w:val="12"/>
              </w:rPr>
              <w:t> </w:t>
            </w:r>
            <w:r w:rsidRPr="00F14994">
              <w:t>215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rStyle w:val="href"/>
                <w:b/>
                <w:bCs/>
              </w:rPr>
              <w:t>M.1642-2</w:t>
            </w:r>
          </w:p>
        </w:tc>
        <w:tc>
          <w:tcPr>
            <w:tcW w:w="6095" w:type="dxa"/>
            <w:gridSpan w:val="2"/>
          </w:tcPr>
          <w:p w:rsidR="000A3A56" w:rsidRPr="00F14994" w:rsidRDefault="000A3A56" w:rsidP="000A3A56">
            <w:pPr>
              <w:pStyle w:val="Tabletext"/>
              <w:rPr>
                <w:rFonts w:eastAsia="Arial Unicode MS"/>
              </w:rPr>
            </w:pPr>
            <w:r w:rsidRPr="00F14994">
              <w:t>Méthode d'évaluation de la puissance surfacique équivalente cumulative maximale produite au niveau d'une station du service de radionavigation aéronautique par tous les systèmes du service de radionavigation par satellite exploités dans la bande 1</w:t>
            </w:r>
            <w:r w:rsidRPr="00F14994">
              <w:rPr>
                <w:rFonts w:ascii="Tms Rmn" w:hAnsi="Tms Rmn"/>
                <w:sz w:val="12"/>
              </w:rPr>
              <w:t> </w:t>
            </w:r>
            <w:r w:rsidRPr="00F14994">
              <w:t>164-1</w:t>
            </w:r>
            <w:r w:rsidRPr="00F14994">
              <w:rPr>
                <w:rFonts w:ascii="Tms Rmn" w:hAnsi="Tms Rmn"/>
                <w:sz w:val="12"/>
              </w:rPr>
              <w:t> </w:t>
            </w:r>
            <w:r w:rsidRPr="00F14994">
              <w:t>215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b/>
                <w:bCs/>
              </w:rPr>
              <w:t>M.1643</w:t>
            </w:r>
            <w:r w:rsidR="00162112" w:rsidRPr="00F14994">
              <w:rPr>
                <w:b/>
                <w:bCs/>
              </w:rPr>
              <w:t>-0</w:t>
            </w:r>
          </w:p>
        </w:tc>
        <w:tc>
          <w:tcPr>
            <w:tcW w:w="6095" w:type="dxa"/>
            <w:gridSpan w:val="2"/>
          </w:tcPr>
          <w:p w:rsidR="000A3A56" w:rsidRPr="00F14994" w:rsidRDefault="000A3A56" w:rsidP="000A3A56">
            <w:pPr>
              <w:pStyle w:val="Tabletext"/>
              <w:rPr>
                <w:rFonts w:eastAsia="Arial Unicode MS"/>
              </w:rPr>
            </w:pPr>
            <w:r w:rsidRPr="00F14994">
              <w:t>Spécifications techniques et opérationnelles des stations terriennes d'aéronef du service mobile aéronautique par satellite y compris celles utilisant des répéteurs des réseaux du service fixe par satellite dans la bande 14-14,5 GHz (Terre vers espace)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162112" w:rsidRPr="00F14994" w:rsidTr="00220294">
        <w:trPr>
          <w:cantSplit/>
          <w:jc w:val="center"/>
        </w:trPr>
        <w:tc>
          <w:tcPr>
            <w:tcW w:w="1271" w:type="dxa"/>
            <w:gridSpan w:val="2"/>
          </w:tcPr>
          <w:p w:rsidR="00162112" w:rsidRPr="00F14994" w:rsidRDefault="00162112" w:rsidP="000A3A56">
            <w:pPr>
              <w:pStyle w:val="Tabletext"/>
              <w:jc w:val="center"/>
              <w:rPr>
                <w:b/>
                <w:bCs/>
              </w:rPr>
            </w:pPr>
            <w:r w:rsidRPr="00F14994">
              <w:rPr>
                <w:b/>
                <w:bCs/>
              </w:rPr>
              <w:t>M.1645-0</w:t>
            </w:r>
          </w:p>
        </w:tc>
        <w:tc>
          <w:tcPr>
            <w:tcW w:w="6095" w:type="dxa"/>
            <w:gridSpan w:val="2"/>
          </w:tcPr>
          <w:p w:rsidR="00162112" w:rsidRPr="00F14994" w:rsidRDefault="00162112" w:rsidP="001621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s>
            </w:pPr>
            <w:r w:rsidRPr="00F14994">
              <w:t>Cadre et objectifs d'ensemble du développement futur des IMT-2000 et des systèmes postérieurs aux IMT-2000</w:t>
            </w:r>
          </w:p>
        </w:tc>
        <w:tc>
          <w:tcPr>
            <w:tcW w:w="1418" w:type="dxa"/>
          </w:tcPr>
          <w:p w:rsidR="00162112" w:rsidRPr="00F14994" w:rsidRDefault="00162112" w:rsidP="000A3A56">
            <w:pPr>
              <w:pStyle w:val="Tabletext"/>
              <w:jc w:val="center"/>
            </w:pPr>
            <w:r w:rsidRPr="00F14994">
              <w:t>NOC</w:t>
            </w:r>
          </w:p>
        </w:tc>
        <w:tc>
          <w:tcPr>
            <w:tcW w:w="1559" w:type="dxa"/>
            <w:gridSpan w:val="2"/>
          </w:tcPr>
          <w:p w:rsidR="00162112" w:rsidRPr="00F14994" w:rsidRDefault="00162112"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b/>
                <w:bCs/>
              </w:rPr>
              <w:t>M.1654</w:t>
            </w:r>
            <w:r w:rsidR="00162112" w:rsidRPr="00F14994">
              <w:rPr>
                <w:b/>
                <w:bCs/>
              </w:rPr>
              <w:t>-0</w:t>
            </w:r>
          </w:p>
        </w:tc>
        <w:tc>
          <w:tcPr>
            <w:tcW w:w="6095" w:type="dxa"/>
            <w:gridSpan w:val="2"/>
          </w:tcPr>
          <w:p w:rsidR="000A3A56" w:rsidRPr="00F14994" w:rsidRDefault="000A3A56" w:rsidP="000A3A56">
            <w:pPr>
              <w:pStyle w:val="Tabletext"/>
              <w:rPr>
                <w:rFonts w:eastAsia="Arial Unicode MS"/>
              </w:rPr>
            </w:pPr>
            <w:r w:rsidRPr="00F14994">
              <w:t>Méthode d'évaluation des brouillages occasionnés par le service de radiodiffusion par satellite (sonore) aux systèmes de la composante de Terre des IMT-2000 devant utiliser la bande 2 630-2 655 MHz</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162112">
            <w:pPr>
              <w:pStyle w:val="Tabletext"/>
              <w:jc w:val="center"/>
              <w:rPr>
                <w:b/>
                <w:bCs/>
              </w:rPr>
            </w:pPr>
            <w:r w:rsidRPr="00F14994">
              <w:rPr>
                <w:rStyle w:val="href"/>
                <w:b/>
                <w:bCs/>
              </w:rPr>
              <w:t>M.1731-</w:t>
            </w:r>
            <w:r w:rsidR="00162112" w:rsidRPr="00F14994">
              <w:rPr>
                <w:rStyle w:val="href"/>
                <w:b/>
                <w:bCs/>
              </w:rPr>
              <w:t>2</w:t>
            </w:r>
          </w:p>
        </w:tc>
        <w:tc>
          <w:tcPr>
            <w:tcW w:w="6095" w:type="dxa"/>
            <w:gridSpan w:val="2"/>
          </w:tcPr>
          <w:p w:rsidR="000A3A56" w:rsidRPr="00F14994" w:rsidRDefault="000A3A56" w:rsidP="000A3A56">
            <w:pPr>
              <w:pStyle w:val="Tabletext"/>
              <w:rPr>
                <w:bCs/>
              </w:rPr>
            </w:pPr>
            <w:r w:rsidRPr="00F14994">
              <w:t>Critères de protection des terminaux d'usager local du système Cospas</w:t>
            </w:r>
            <w:r w:rsidRPr="00F14994">
              <w:noBreakHyphen/>
              <w:t>Sarsat dans la bande 1 544-1 545 MHz</w:t>
            </w:r>
          </w:p>
        </w:tc>
        <w:tc>
          <w:tcPr>
            <w:tcW w:w="1418" w:type="dxa"/>
          </w:tcPr>
          <w:p w:rsidR="000A3A56" w:rsidRPr="00F14994" w:rsidRDefault="00162112"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b/>
                <w:bCs/>
              </w:rPr>
              <w:t>M.1741</w:t>
            </w:r>
            <w:r w:rsidR="00162112" w:rsidRPr="00F14994">
              <w:rPr>
                <w:b/>
                <w:bCs/>
              </w:rPr>
              <w:t>-0</w:t>
            </w:r>
          </w:p>
        </w:tc>
        <w:tc>
          <w:tcPr>
            <w:tcW w:w="6095" w:type="dxa"/>
            <w:gridSpan w:val="2"/>
          </w:tcPr>
          <w:p w:rsidR="000A3A56" w:rsidRPr="00F14994" w:rsidRDefault="000A3A56" w:rsidP="000A3A56">
            <w:pPr>
              <w:pStyle w:val="Tabletext"/>
            </w:pPr>
            <w:r w:rsidRPr="00F14994">
              <w:t>Méthode de calcul des objectifs de qualité de fonctionnement et optimisation de cette méthode pour les applications de transmission par paquets IP dans le service mobile par satellite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b/>
                <w:bCs/>
              </w:rPr>
              <w:t>M.1747</w:t>
            </w:r>
            <w:r w:rsidR="00162112" w:rsidRPr="00F14994">
              <w:rPr>
                <w:b/>
                <w:bCs/>
              </w:rPr>
              <w:t>-0</w:t>
            </w:r>
          </w:p>
        </w:tc>
        <w:tc>
          <w:tcPr>
            <w:tcW w:w="6095" w:type="dxa"/>
            <w:gridSpan w:val="2"/>
          </w:tcPr>
          <w:p w:rsidR="000A3A56" w:rsidRPr="00F14994" w:rsidRDefault="000A3A56" w:rsidP="009C4BE7">
            <w:pPr>
              <w:pStyle w:val="Tabletext"/>
            </w:pPr>
            <w:r w:rsidRPr="00F14994">
              <w:t>Protection du service d'exploration de la Terre par satellite (passif) dans la bande 1 400-1 427 MHz contre les rayonnements non désirés des liaisons de connexion du service mobile par satellite exploitées dans les bandes 1 390</w:t>
            </w:r>
            <w:r w:rsidRPr="00F14994">
              <w:noBreakHyphen/>
              <w:t>1 392 MHz (Terre vers espace) et 1 430</w:t>
            </w:r>
            <w:r w:rsidRPr="00F14994">
              <w:noBreakHyphen/>
              <w:t>1 432 MHz (espace vers Terre)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cantSplit/>
          <w:jc w:val="center"/>
        </w:trPr>
        <w:tc>
          <w:tcPr>
            <w:tcW w:w="1271" w:type="dxa"/>
            <w:gridSpan w:val="2"/>
          </w:tcPr>
          <w:p w:rsidR="000A3A56" w:rsidRPr="00F14994" w:rsidRDefault="000A3A56" w:rsidP="000A3A56">
            <w:pPr>
              <w:pStyle w:val="Tabletext"/>
              <w:jc w:val="center"/>
              <w:rPr>
                <w:b/>
                <w:bCs/>
              </w:rPr>
            </w:pPr>
            <w:r w:rsidRPr="00F14994">
              <w:rPr>
                <w:b/>
                <w:bCs/>
              </w:rPr>
              <w:t>M.1748</w:t>
            </w:r>
            <w:r w:rsidR="00162112" w:rsidRPr="00F14994">
              <w:rPr>
                <w:b/>
                <w:bCs/>
              </w:rPr>
              <w:t>-0</w:t>
            </w:r>
          </w:p>
        </w:tc>
        <w:tc>
          <w:tcPr>
            <w:tcW w:w="6095" w:type="dxa"/>
            <w:gridSpan w:val="2"/>
          </w:tcPr>
          <w:p w:rsidR="000A3A56" w:rsidRPr="00F14994" w:rsidRDefault="000A3A56" w:rsidP="000A3A56">
            <w:pPr>
              <w:pStyle w:val="Tabletext"/>
            </w:pPr>
            <w:r w:rsidRPr="00F14994">
              <w:t>Protection du service de radioastronomie dans la bande 1 400</w:t>
            </w:r>
            <w:r w:rsidRPr="00F14994">
              <w:noBreakHyphen/>
              <w:t>1 427 MHz contre les rayonnements non désirés des liaisons de connexion du service mobile par satellite susceptibles d'être exploitées dans les bandes 1 390</w:t>
            </w:r>
            <w:r w:rsidRPr="00F14994">
              <w:noBreakHyphen/>
              <w:t>1 392 MHz (Terre vers espace) et 1 430</w:t>
            </w:r>
            <w:r w:rsidRPr="00F14994">
              <w:noBreakHyphen/>
              <w:t>1 432 MHz (espace vers Terre)</w:t>
            </w:r>
          </w:p>
        </w:tc>
        <w:tc>
          <w:tcPr>
            <w:tcW w:w="1418" w:type="dxa"/>
          </w:tcPr>
          <w:p w:rsidR="000A3A56" w:rsidRPr="00F14994" w:rsidRDefault="000A3A56" w:rsidP="000A3A56">
            <w:pPr>
              <w:pStyle w:val="Tabletext"/>
              <w:jc w:val="center"/>
            </w:pPr>
            <w:r w:rsidRPr="00F14994">
              <w:t>NOC</w:t>
            </w:r>
          </w:p>
        </w:tc>
        <w:tc>
          <w:tcPr>
            <w:tcW w:w="1559" w:type="dxa"/>
            <w:gridSpan w:val="2"/>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b/>
                <w:bCs/>
              </w:rPr>
            </w:pPr>
            <w:r w:rsidRPr="00F14994">
              <w:rPr>
                <w:b/>
                <w:bCs/>
              </w:rPr>
              <w:t>M.1787</w:t>
            </w:r>
            <w:r w:rsidR="00162112" w:rsidRPr="00F14994">
              <w:rPr>
                <w:b/>
                <w:bCs/>
              </w:rPr>
              <w:t>-2</w:t>
            </w:r>
          </w:p>
        </w:tc>
        <w:tc>
          <w:tcPr>
            <w:tcW w:w="6089" w:type="dxa"/>
            <w:gridSpan w:val="2"/>
          </w:tcPr>
          <w:p w:rsidR="000A3A56" w:rsidRPr="00F14994" w:rsidRDefault="000A3A56" w:rsidP="000A3A56">
            <w:pPr>
              <w:pStyle w:val="Tabletext"/>
              <w:rPr>
                <w:rFonts w:eastAsia="Arial Unicode MS"/>
                <w:color w:val="000000"/>
              </w:rPr>
            </w:pPr>
            <w:r w:rsidRPr="00F14994">
              <w:t>Description des systèmes et réseaux du service de radionavigation par satellite (espace vers Terre et espace-espace) et caractéristiques techniques des stations spatiales d'émission fonctionnant dans les bandes 1 164-1 215 MHz, 1 215-1 300 MHz et 1 559-1 610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b/>
                <w:bCs/>
              </w:rPr>
            </w:pPr>
            <w:r w:rsidRPr="00F14994">
              <w:rPr>
                <w:b/>
                <w:bCs/>
              </w:rPr>
              <w:t>M.1799</w:t>
            </w:r>
            <w:r w:rsidR="00162112" w:rsidRPr="00F14994">
              <w:rPr>
                <w:b/>
                <w:bCs/>
              </w:rPr>
              <w:t>-0</w:t>
            </w:r>
          </w:p>
        </w:tc>
        <w:tc>
          <w:tcPr>
            <w:tcW w:w="6089" w:type="dxa"/>
            <w:gridSpan w:val="2"/>
          </w:tcPr>
          <w:p w:rsidR="000A3A56" w:rsidRPr="00F14994" w:rsidRDefault="000A3A56" w:rsidP="000A3A56">
            <w:pPr>
              <w:pStyle w:val="Tabletext"/>
              <w:rPr>
                <w:color w:val="000000"/>
                <w:lang w:eastAsia="zh-CN"/>
              </w:rPr>
            </w:pPr>
            <w:r w:rsidRPr="00F14994">
              <w:t>Partage entre le service mobile et le service mobile par satellite dans la bande 1 668,4-1 675 MHz</w:t>
            </w:r>
          </w:p>
        </w:tc>
        <w:tc>
          <w:tcPr>
            <w:tcW w:w="1449" w:type="dxa"/>
            <w:gridSpan w:val="2"/>
          </w:tcPr>
          <w:p w:rsidR="000A3A56" w:rsidRPr="00F14994" w:rsidRDefault="000A3A56"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b/>
                <w:bCs/>
              </w:rPr>
            </w:pPr>
            <w:r w:rsidRPr="00F14994">
              <w:rPr>
                <w:b/>
                <w:bCs/>
              </w:rPr>
              <w:t>M.1800</w:t>
            </w:r>
            <w:r w:rsidR="00162112" w:rsidRPr="00F14994">
              <w:rPr>
                <w:b/>
                <w:bCs/>
              </w:rPr>
              <w:t>-0</w:t>
            </w:r>
          </w:p>
        </w:tc>
        <w:tc>
          <w:tcPr>
            <w:tcW w:w="6089" w:type="dxa"/>
            <w:gridSpan w:val="2"/>
          </w:tcPr>
          <w:p w:rsidR="000A3A56" w:rsidRPr="00F14994" w:rsidRDefault="000A3A56" w:rsidP="000A3A56">
            <w:pPr>
              <w:pStyle w:val="Tabletext"/>
              <w:rPr>
                <w:color w:val="000000"/>
                <w:lang w:eastAsia="zh-CN"/>
              </w:rPr>
            </w:pPr>
            <w:r w:rsidRPr="00F14994">
              <w:rPr>
                <w:kern w:val="28"/>
              </w:rPr>
              <w:t>Protection des services fixe, mobile et de radiolocalisation vis-à-vis des liaisons de connexion du service mobile par satellite pouvant fonctionner dans les bandes 1 390</w:t>
            </w:r>
            <w:r w:rsidRPr="00F14994">
              <w:rPr>
                <w:kern w:val="28"/>
              </w:rPr>
              <w:noBreakHyphen/>
              <w:t>1 392 MHz (Terre vers espace) et 1 430</w:t>
            </w:r>
            <w:r w:rsidRPr="00F14994">
              <w:rPr>
                <w:kern w:val="28"/>
              </w:rPr>
              <w:noBreakHyphen/>
              <w:t>1 432 MHz (espace vers Terre)</w:t>
            </w:r>
          </w:p>
        </w:tc>
        <w:tc>
          <w:tcPr>
            <w:tcW w:w="1449" w:type="dxa"/>
            <w:gridSpan w:val="2"/>
          </w:tcPr>
          <w:p w:rsidR="000A3A56" w:rsidRPr="00F14994" w:rsidRDefault="000A3A56"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b/>
                <w:bCs/>
              </w:rPr>
            </w:pPr>
            <w:r w:rsidRPr="00F14994">
              <w:rPr>
                <w:rStyle w:val="href"/>
                <w:b/>
                <w:bCs/>
              </w:rPr>
              <w:t>M.1831</w:t>
            </w:r>
            <w:r w:rsidR="00162112" w:rsidRPr="00F14994">
              <w:rPr>
                <w:rStyle w:val="href"/>
                <w:b/>
                <w:bCs/>
              </w:rPr>
              <w:t>-0</w:t>
            </w:r>
          </w:p>
        </w:tc>
        <w:tc>
          <w:tcPr>
            <w:tcW w:w="6089" w:type="dxa"/>
            <w:gridSpan w:val="2"/>
          </w:tcPr>
          <w:p w:rsidR="000A3A56" w:rsidRPr="00F14994" w:rsidRDefault="000A3A56" w:rsidP="000A3A56">
            <w:pPr>
              <w:pStyle w:val="Tabletext"/>
              <w:rPr>
                <w:color w:val="000000"/>
                <w:lang w:eastAsia="zh-CN"/>
              </w:rPr>
            </w:pPr>
            <w:r w:rsidRPr="00F14994">
              <w:t>Méthode de coordination pour l'évaluation des brouillages entre systèmes du service de radionavigation par satellite</w:t>
            </w:r>
          </w:p>
        </w:tc>
        <w:tc>
          <w:tcPr>
            <w:tcW w:w="1449" w:type="dxa"/>
            <w:gridSpan w:val="2"/>
          </w:tcPr>
          <w:p w:rsidR="000A3A56" w:rsidRPr="00F14994" w:rsidRDefault="000A3A56"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b/>
                <w:bCs/>
              </w:rPr>
            </w:pPr>
            <w:r w:rsidRPr="00F14994">
              <w:rPr>
                <w:rStyle w:val="href"/>
                <w:b/>
                <w:bCs/>
              </w:rPr>
              <w:t>M.1850</w:t>
            </w:r>
            <w:r w:rsidR="00162112" w:rsidRPr="00F14994">
              <w:rPr>
                <w:rStyle w:val="href"/>
                <w:b/>
                <w:bCs/>
              </w:rPr>
              <w:t>-2</w:t>
            </w:r>
          </w:p>
        </w:tc>
        <w:tc>
          <w:tcPr>
            <w:tcW w:w="6089" w:type="dxa"/>
            <w:gridSpan w:val="2"/>
          </w:tcPr>
          <w:p w:rsidR="000A3A56" w:rsidRPr="00F14994" w:rsidRDefault="000A3A56" w:rsidP="000A3A56">
            <w:pPr>
              <w:pStyle w:val="Tabletext"/>
            </w:pPr>
            <w:r w:rsidRPr="00F14994">
              <w:rPr>
                <w:szCs w:val="28"/>
              </w:rPr>
              <w:t>Spécifications détaillées de l'interface radioélectrique de la composante satellite des télécommunications mobiles internationales-2000 (IMT</w:t>
            </w:r>
            <w:r w:rsidRPr="00F14994">
              <w:rPr>
                <w:szCs w:val="28"/>
              </w:rPr>
              <w:noBreakHyphen/>
              <w:t>2000)</w:t>
            </w:r>
          </w:p>
        </w:tc>
        <w:tc>
          <w:tcPr>
            <w:tcW w:w="1449" w:type="dxa"/>
            <w:gridSpan w:val="2"/>
          </w:tcPr>
          <w:p w:rsidR="000A3A56" w:rsidRPr="00F14994" w:rsidRDefault="000A3A56" w:rsidP="000A3A56">
            <w:pPr>
              <w:pStyle w:val="Tablehead"/>
              <w:rPr>
                <w:b w:val="0"/>
                <w:bCs/>
              </w:rPr>
            </w:pPr>
            <w:r w:rsidRPr="00F14994">
              <w:rPr>
                <w:b w:val="0"/>
                <w:bCs/>
              </w:rPr>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b/>
                <w:bCs/>
              </w:rPr>
            </w:pPr>
            <w:r w:rsidRPr="00F14994">
              <w:rPr>
                <w:rStyle w:val="href"/>
                <w:b/>
                <w:bCs/>
              </w:rPr>
              <w:t>M.</w:t>
            </w:r>
            <w:r w:rsidRPr="00F14994">
              <w:rPr>
                <w:rStyle w:val="href"/>
                <w:b/>
                <w:bCs/>
                <w:szCs w:val="24"/>
              </w:rPr>
              <w:t>1854</w:t>
            </w:r>
            <w:r w:rsidR="00162112" w:rsidRPr="00F14994">
              <w:rPr>
                <w:rStyle w:val="href"/>
                <w:b/>
                <w:bCs/>
                <w:szCs w:val="24"/>
              </w:rPr>
              <w:t>-1</w:t>
            </w:r>
          </w:p>
        </w:tc>
        <w:tc>
          <w:tcPr>
            <w:tcW w:w="6089" w:type="dxa"/>
            <w:gridSpan w:val="2"/>
          </w:tcPr>
          <w:p w:rsidR="000A3A56" w:rsidRPr="00F14994" w:rsidRDefault="000A3A56" w:rsidP="000A3A56">
            <w:pPr>
              <w:pStyle w:val="Tabletext"/>
              <w:rPr>
                <w:color w:val="000000"/>
                <w:lang w:eastAsia="zh-CN"/>
              </w:rPr>
            </w:pPr>
            <w:r w:rsidRPr="00F14994">
              <w:rPr>
                <w:szCs w:val="24"/>
              </w:rPr>
              <w:t>Utilisation du service mobile par satellite (SMS) pour les interventions et les secours en cas de catastrophe</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162112" w:rsidP="000A3A56">
            <w:pPr>
              <w:pStyle w:val="Tabletext"/>
              <w:jc w:val="center"/>
              <w:rPr>
                <w:b/>
                <w:bCs/>
              </w:rPr>
            </w:pPr>
            <w:r w:rsidRPr="00F14994">
              <w:rPr>
                <w:b/>
                <w:bCs/>
              </w:rPr>
              <w:lastRenderedPageBreak/>
              <w:t>M.1901-1</w:t>
            </w:r>
          </w:p>
        </w:tc>
        <w:tc>
          <w:tcPr>
            <w:tcW w:w="6089" w:type="dxa"/>
            <w:gridSpan w:val="2"/>
          </w:tcPr>
          <w:p w:rsidR="000A3A56" w:rsidRPr="00F14994" w:rsidRDefault="000A3A56" w:rsidP="000A3A56">
            <w:pPr>
              <w:pStyle w:val="Tabletext"/>
            </w:pPr>
            <w:r w:rsidRPr="00F14994">
              <w:t>Orientations générales concernant les Recommandations UIT-R relatives aux systèmes et réseaux du service de radionavigation par satellite fonctionnant dans les bandes de fréquences 1 164-1 215 MHz, 1 215-1 300 MHz, 1 559-1 610 MHz, 5 000-5 010 MHz et 5 010</w:t>
            </w:r>
            <w:r w:rsidRPr="00F14994">
              <w:noBreakHyphen/>
              <w:t>5 030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162112" w:rsidP="000A3A56">
            <w:pPr>
              <w:pStyle w:val="Tabletext"/>
              <w:jc w:val="center"/>
              <w:rPr>
                <w:b/>
                <w:bCs/>
              </w:rPr>
            </w:pPr>
            <w:r w:rsidRPr="00F14994">
              <w:rPr>
                <w:b/>
                <w:bCs/>
              </w:rPr>
              <w:t>M.1902-0</w:t>
            </w:r>
          </w:p>
        </w:tc>
        <w:tc>
          <w:tcPr>
            <w:tcW w:w="6089" w:type="dxa"/>
            <w:gridSpan w:val="2"/>
          </w:tcPr>
          <w:p w:rsidR="000A3A56" w:rsidRPr="00F14994" w:rsidRDefault="000A3A56" w:rsidP="000A3A56">
            <w:pPr>
              <w:pStyle w:val="Tabletext"/>
              <w:rPr>
                <w:color w:val="000000"/>
                <w:lang w:eastAsia="zh-CN"/>
              </w:rPr>
            </w:pPr>
            <w:r w:rsidRPr="00F14994">
              <w:t>Caractéristiques et critères de protection applicables aux stations terriennes de réception du service de radionavigation par satellite (espace vers Terre) fonctionnant dans la bande 1 215-1 300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162112" w:rsidP="000A3A56">
            <w:pPr>
              <w:pStyle w:val="Tabletext"/>
              <w:jc w:val="center"/>
              <w:rPr>
                <w:b/>
                <w:bCs/>
              </w:rPr>
            </w:pPr>
            <w:r w:rsidRPr="00F14994">
              <w:rPr>
                <w:b/>
                <w:bCs/>
              </w:rPr>
              <w:t>M.1903-0</w:t>
            </w:r>
          </w:p>
        </w:tc>
        <w:tc>
          <w:tcPr>
            <w:tcW w:w="6089" w:type="dxa"/>
            <w:gridSpan w:val="2"/>
          </w:tcPr>
          <w:p w:rsidR="000A3A56" w:rsidRPr="00F14994" w:rsidRDefault="000A3A56" w:rsidP="000A3A56">
            <w:pPr>
              <w:pStyle w:val="Tabletext"/>
              <w:rPr>
                <w:color w:val="000000"/>
                <w:lang w:eastAsia="zh-CN"/>
              </w:rPr>
            </w:pPr>
            <w:r w:rsidRPr="00F14994">
              <w:t>Caractéristiques et critères de protection applicables aux stations terriennes de réception du service de radionavigation par satellite (espace vers Terre) et aux récepteurs du service de radionavigation aéronautique fonctionnant dans la bande 1 559-1 610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162112" w:rsidP="000A3A56">
            <w:pPr>
              <w:pStyle w:val="Tabletext"/>
              <w:jc w:val="center"/>
              <w:rPr>
                <w:b/>
                <w:bCs/>
              </w:rPr>
            </w:pPr>
            <w:r w:rsidRPr="00F14994">
              <w:rPr>
                <w:b/>
                <w:bCs/>
              </w:rPr>
              <w:t>M.1904-0</w:t>
            </w:r>
          </w:p>
        </w:tc>
        <w:tc>
          <w:tcPr>
            <w:tcW w:w="6089" w:type="dxa"/>
            <w:gridSpan w:val="2"/>
          </w:tcPr>
          <w:p w:rsidR="000A3A56" w:rsidRPr="00F14994" w:rsidRDefault="000A3A56" w:rsidP="000A3A56">
            <w:pPr>
              <w:pStyle w:val="Tabletext"/>
              <w:rPr>
                <w:kern w:val="28"/>
              </w:rPr>
            </w:pPr>
            <w:r w:rsidRPr="00F14994">
              <w:t>Caractéristiques, critères de qualité de fonctionnement et critères de protection applicables aux stations de réception du service de radionavigation par satellite (espace vers espace) fonctionnant dans les bandes de fréquences 1 164</w:t>
            </w:r>
            <w:r w:rsidRPr="00F14994">
              <w:noBreakHyphen/>
              <w:t>1 215 MHz, 1 215-1 300 MHz et 1 559</w:t>
            </w:r>
            <w:r w:rsidRPr="00F14994">
              <w:noBreakHyphen/>
              <w:t>1 610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162112" w:rsidP="000A3A56">
            <w:pPr>
              <w:pStyle w:val="Tabletext"/>
              <w:jc w:val="center"/>
              <w:rPr>
                <w:rStyle w:val="href"/>
                <w:b/>
                <w:bCs/>
              </w:rPr>
            </w:pPr>
            <w:r w:rsidRPr="00F14994">
              <w:rPr>
                <w:rStyle w:val="href"/>
                <w:b/>
                <w:bCs/>
              </w:rPr>
              <w:t>M.1905-0</w:t>
            </w:r>
          </w:p>
        </w:tc>
        <w:tc>
          <w:tcPr>
            <w:tcW w:w="6089" w:type="dxa"/>
            <w:gridSpan w:val="2"/>
          </w:tcPr>
          <w:p w:rsidR="000A3A56" w:rsidRPr="00F14994" w:rsidRDefault="000A3A56" w:rsidP="000A3A56">
            <w:pPr>
              <w:pStyle w:val="Tabletext"/>
            </w:pPr>
            <w:r w:rsidRPr="00F14994">
              <w:t>Caractéristiques et critères de protection applicables aux stations terriennes de réception du service de radionavigation par satellite (espace vers Terre) fonctionnant dans la bande 1 164-1 215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0A3A56" w:rsidRPr="00F14994" w:rsidTr="00220294">
        <w:trPr>
          <w:gridAfter w:val="1"/>
          <w:wAfter w:w="24" w:type="dxa"/>
          <w:cantSplit/>
          <w:jc w:val="center"/>
        </w:trPr>
        <w:tc>
          <w:tcPr>
            <w:tcW w:w="1246" w:type="dxa"/>
          </w:tcPr>
          <w:p w:rsidR="000A3A56" w:rsidRPr="00F14994" w:rsidRDefault="00162112" w:rsidP="005C1181">
            <w:pPr>
              <w:pStyle w:val="Tabletext"/>
              <w:jc w:val="center"/>
              <w:rPr>
                <w:rStyle w:val="href"/>
                <w:b/>
                <w:bCs/>
              </w:rPr>
            </w:pPr>
            <w:r w:rsidRPr="00F14994">
              <w:rPr>
                <w:rStyle w:val="href"/>
                <w:b/>
                <w:bCs/>
              </w:rPr>
              <w:t>M.1906-</w:t>
            </w:r>
            <w:r w:rsidR="005C1181" w:rsidRPr="00F14994">
              <w:rPr>
                <w:rStyle w:val="href"/>
                <w:b/>
                <w:bCs/>
              </w:rPr>
              <w:t>1</w:t>
            </w:r>
          </w:p>
        </w:tc>
        <w:tc>
          <w:tcPr>
            <w:tcW w:w="6089" w:type="dxa"/>
            <w:gridSpan w:val="2"/>
          </w:tcPr>
          <w:p w:rsidR="000A3A56" w:rsidRPr="00F14994" w:rsidRDefault="000A3A56" w:rsidP="000A3A56">
            <w:pPr>
              <w:pStyle w:val="Tabletext"/>
              <w:rPr>
                <w:szCs w:val="28"/>
              </w:rPr>
            </w:pPr>
            <w:r w:rsidRPr="00F14994">
              <w:t>Caractéristiques et critères de protection des stations spatiales de réception et caractéristiques des stations terriennes d'émission du service de radionavigation par satellite (Terre vers espace) fonctionnant dans la bande 5 000-5 010 MHz</w:t>
            </w:r>
          </w:p>
        </w:tc>
        <w:tc>
          <w:tcPr>
            <w:tcW w:w="1449" w:type="dxa"/>
            <w:gridSpan w:val="2"/>
          </w:tcPr>
          <w:p w:rsidR="000A3A56" w:rsidRPr="00F14994" w:rsidRDefault="00162112" w:rsidP="000A3A56">
            <w:pPr>
              <w:pStyle w:val="Tabletext"/>
              <w:jc w:val="center"/>
            </w:pPr>
            <w:r w:rsidRPr="00F14994">
              <w:t>NOC</w:t>
            </w:r>
          </w:p>
        </w:tc>
        <w:tc>
          <w:tcPr>
            <w:tcW w:w="1535" w:type="dxa"/>
          </w:tcPr>
          <w:p w:rsidR="000A3A56" w:rsidRPr="00F14994" w:rsidRDefault="000A3A56" w:rsidP="000A3A56">
            <w:pPr>
              <w:pStyle w:val="Tabletext"/>
            </w:pPr>
          </w:p>
        </w:tc>
      </w:tr>
      <w:tr w:rsidR="001074F2" w:rsidRPr="00F14994" w:rsidTr="00220294">
        <w:trPr>
          <w:gridAfter w:val="1"/>
          <w:wAfter w:w="24" w:type="dxa"/>
          <w:cantSplit/>
          <w:jc w:val="center"/>
        </w:trPr>
        <w:tc>
          <w:tcPr>
            <w:tcW w:w="1246" w:type="dxa"/>
          </w:tcPr>
          <w:p w:rsidR="001074F2" w:rsidRPr="00F14994" w:rsidRDefault="001074F2" w:rsidP="001074F2">
            <w:pPr>
              <w:pStyle w:val="Tabletext"/>
              <w:jc w:val="center"/>
              <w:rPr>
                <w:rFonts w:eastAsia="Arial Unicode MS"/>
                <w:b/>
              </w:rPr>
            </w:pPr>
            <w:r w:rsidRPr="00F14994">
              <w:rPr>
                <w:rFonts w:eastAsia="Arial Unicode MS"/>
                <w:b/>
              </w:rPr>
              <w:t>M.2014-1</w:t>
            </w:r>
          </w:p>
        </w:tc>
        <w:tc>
          <w:tcPr>
            <w:tcW w:w="6089" w:type="dxa"/>
            <w:gridSpan w:val="2"/>
          </w:tcPr>
          <w:p w:rsidR="001074F2" w:rsidRPr="00F14994" w:rsidRDefault="001074F2" w:rsidP="001074F2">
            <w:pPr>
              <w:pStyle w:val="Tabletext"/>
            </w:pPr>
            <w:r w:rsidRPr="00F14994">
              <w:t>Circulation à l'échelle mondiale des terminaux de satellite IMT</w:t>
            </w:r>
          </w:p>
        </w:tc>
        <w:tc>
          <w:tcPr>
            <w:tcW w:w="1449" w:type="dxa"/>
            <w:gridSpan w:val="2"/>
          </w:tcPr>
          <w:p w:rsidR="001074F2" w:rsidRPr="00F14994" w:rsidRDefault="001074F2" w:rsidP="001074F2">
            <w:pPr>
              <w:pStyle w:val="Tabletext"/>
              <w:jc w:val="center"/>
            </w:pPr>
            <w:r w:rsidRPr="00F14994">
              <w:t>NOC</w:t>
            </w:r>
          </w:p>
        </w:tc>
        <w:tc>
          <w:tcPr>
            <w:tcW w:w="1535" w:type="dxa"/>
          </w:tcPr>
          <w:p w:rsidR="001074F2" w:rsidRPr="00F14994" w:rsidRDefault="001074F2" w:rsidP="001074F2">
            <w:pPr>
              <w:pStyle w:val="Tabletext"/>
            </w:pPr>
          </w:p>
        </w:tc>
      </w:tr>
      <w:tr w:rsidR="001074F2" w:rsidRPr="00F14994" w:rsidTr="00220294">
        <w:trPr>
          <w:gridAfter w:val="1"/>
          <w:wAfter w:w="24" w:type="dxa"/>
          <w:cantSplit/>
          <w:jc w:val="center"/>
        </w:trPr>
        <w:tc>
          <w:tcPr>
            <w:tcW w:w="1246" w:type="dxa"/>
          </w:tcPr>
          <w:p w:rsidR="001074F2" w:rsidRPr="00F14994" w:rsidRDefault="001074F2" w:rsidP="001074F2">
            <w:pPr>
              <w:pStyle w:val="Tabletext"/>
              <w:jc w:val="center"/>
              <w:rPr>
                <w:rFonts w:eastAsia="Arial Unicode MS"/>
                <w:b/>
              </w:rPr>
            </w:pPr>
            <w:r w:rsidRPr="00F14994">
              <w:rPr>
                <w:rFonts w:eastAsia="Arial Unicode MS"/>
                <w:b/>
              </w:rPr>
              <w:t>M.2030-0</w:t>
            </w:r>
          </w:p>
        </w:tc>
        <w:tc>
          <w:tcPr>
            <w:tcW w:w="6089" w:type="dxa"/>
            <w:gridSpan w:val="2"/>
          </w:tcPr>
          <w:p w:rsidR="001074F2" w:rsidRPr="00F14994" w:rsidRDefault="001074F2" w:rsidP="00220294">
            <w:pPr>
              <w:pStyle w:val="Tabletext"/>
            </w:pPr>
            <w:r w:rsidRPr="00F14994">
              <w:t>Méthode d'évaluation du brouillage par impulsions causé par des sources radioélectriques pertinentes autres que celles du service de radionavigation par satellite aux systèmes et réseaux du service de radionavigation par satellite fon</w:t>
            </w:r>
            <w:r w:rsidR="00220294">
              <w:t>ctionnant dans les bandes 1 164</w:t>
            </w:r>
            <w:r w:rsidR="00220294">
              <w:noBreakHyphen/>
            </w:r>
            <w:r w:rsidRPr="00F14994">
              <w:t>1</w:t>
            </w:r>
            <w:r w:rsidR="00220294">
              <w:t> </w:t>
            </w:r>
            <w:r w:rsidRPr="00F14994">
              <w:t>215</w:t>
            </w:r>
            <w:r w:rsidR="00220294">
              <w:t> </w:t>
            </w:r>
            <w:r w:rsidRPr="00F14994">
              <w:t>MHz, 1 215-1 300 MHz et 1 559-1 610 MHz</w:t>
            </w:r>
          </w:p>
        </w:tc>
        <w:tc>
          <w:tcPr>
            <w:tcW w:w="1449" w:type="dxa"/>
            <w:gridSpan w:val="2"/>
          </w:tcPr>
          <w:p w:rsidR="001074F2" w:rsidRPr="00F14994" w:rsidRDefault="001074F2" w:rsidP="001074F2">
            <w:pPr>
              <w:pStyle w:val="Tabletext"/>
              <w:jc w:val="center"/>
            </w:pPr>
            <w:r w:rsidRPr="00F14994">
              <w:t>NOC</w:t>
            </w:r>
          </w:p>
        </w:tc>
        <w:tc>
          <w:tcPr>
            <w:tcW w:w="1535" w:type="dxa"/>
          </w:tcPr>
          <w:p w:rsidR="001074F2" w:rsidRPr="00F14994" w:rsidRDefault="001074F2" w:rsidP="001074F2">
            <w:pPr>
              <w:pStyle w:val="Tabletext"/>
            </w:pPr>
          </w:p>
        </w:tc>
      </w:tr>
      <w:tr w:rsidR="001074F2" w:rsidRPr="00F14994" w:rsidTr="00220294">
        <w:trPr>
          <w:gridAfter w:val="1"/>
          <w:wAfter w:w="24" w:type="dxa"/>
          <w:cantSplit/>
          <w:jc w:val="center"/>
        </w:trPr>
        <w:tc>
          <w:tcPr>
            <w:tcW w:w="1246" w:type="dxa"/>
          </w:tcPr>
          <w:p w:rsidR="001074F2" w:rsidRPr="00F14994" w:rsidRDefault="001074F2" w:rsidP="001074F2">
            <w:pPr>
              <w:pStyle w:val="Tabletext"/>
              <w:jc w:val="center"/>
              <w:rPr>
                <w:rFonts w:eastAsia="Arial Unicode MS"/>
                <w:b/>
              </w:rPr>
            </w:pPr>
            <w:r w:rsidRPr="00F14994">
              <w:rPr>
                <w:rFonts w:eastAsia="Arial Unicode MS"/>
                <w:b/>
              </w:rPr>
              <w:t>M.2031-1</w:t>
            </w:r>
          </w:p>
        </w:tc>
        <w:tc>
          <w:tcPr>
            <w:tcW w:w="6089" w:type="dxa"/>
            <w:gridSpan w:val="2"/>
          </w:tcPr>
          <w:p w:rsidR="001074F2" w:rsidRPr="00F14994" w:rsidRDefault="001074F2" w:rsidP="001074F2">
            <w:pPr>
              <w:pStyle w:val="Tabletext"/>
            </w:pPr>
            <w:r w:rsidRPr="00F14994">
              <w:t>Caractéristiques et critères de protection des stations terriennes de réception et caractéristiques des stations spatiales d'émission du service de radionavigation par satellite (espace vers Terre) fonctionnant dans la bande 5 010-5 030 MHz</w:t>
            </w:r>
          </w:p>
        </w:tc>
        <w:tc>
          <w:tcPr>
            <w:tcW w:w="1449" w:type="dxa"/>
            <w:gridSpan w:val="2"/>
          </w:tcPr>
          <w:p w:rsidR="001074F2" w:rsidRPr="00F14994" w:rsidRDefault="001074F2" w:rsidP="001074F2">
            <w:pPr>
              <w:pStyle w:val="Tabletext"/>
              <w:jc w:val="center"/>
            </w:pPr>
            <w:r w:rsidRPr="00F14994">
              <w:t>NOC</w:t>
            </w:r>
          </w:p>
        </w:tc>
        <w:tc>
          <w:tcPr>
            <w:tcW w:w="1535" w:type="dxa"/>
          </w:tcPr>
          <w:p w:rsidR="001074F2" w:rsidRPr="00F14994" w:rsidRDefault="001074F2" w:rsidP="001074F2">
            <w:pPr>
              <w:pStyle w:val="Tabletext"/>
            </w:pPr>
          </w:p>
        </w:tc>
      </w:tr>
      <w:tr w:rsidR="001074F2" w:rsidRPr="00F14994" w:rsidTr="00220294">
        <w:trPr>
          <w:gridAfter w:val="1"/>
          <w:wAfter w:w="24" w:type="dxa"/>
          <w:cantSplit/>
          <w:jc w:val="center"/>
        </w:trPr>
        <w:tc>
          <w:tcPr>
            <w:tcW w:w="1246" w:type="dxa"/>
          </w:tcPr>
          <w:p w:rsidR="001074F2" w:rsidRPr="00F14994" w:rsidRDefault="001074F2" w:rsidP="001074F2">
            <w:pPr>
              <w:pStyle w:val="Tabletext"/>
              <w:jc w:val="center"/>
              <w:rPr>
                <w:rFonts w:eastAsia="Arial Unicode MS"/>
                <w:b/>
              </w:rPr>
            </w:pPr>
            <w:r w:rsidRPr="00F14994">
              <w:rPr>
                <w:rFonts w:eastAsia="Arial Unicode MS"/>
                <w:b/>
              </w:rPr>
              <w:t>M.2046-0</w:t>
            </w:r>
          </w:p>
        </w:tc>
        <w:tc>
          <w:tcPr>
            <w:tcW w:w="6089" w:type="dxa"/>
            <w:gridSpan w:val="2"/>
          </w:tcPr>
          <w:p w:rsidR="001074F2" w:rsidRPr="00F14994" w:rsidRDefault="001074F2" w:rsidP="001074F2">
            <w:pPr>
              <w:pStyle w:val="Tabletext"/>
            </w:pPr>
            <w:r w:rsidRPr="00F14994">
              <w:t>Caractéristiques et critères de protection des systèmes à satellites non géostationnaires du service mobile par satellite fonctionnant dans la bande 399,9-400,05 MHz</w:t>
            </w:r>
          </w:p>
        </w:tc>
        <w:tc>
          <w:tcPr>
            <w:tcW w:w="1449" w:type="dxa"/>
            <w:gridSpan w:val="2"/>
          </w:tcPr>
          <w:p w:rsidR="001074F2" w:rsidRPr="00F14994" w:rsidRDefault="001074F2" w:rsidP="001074F2">
            <w:pPr>
              <w:pStyle w:val="Tabletext"/>
              <w:jc w:val="center"/>
            </w:pPr>
            <w:r w:rsidRPr="00F14994">
              <w:t>NOC</w:t>
            </w:r>
          </w:p>
        </w:tc>
        <w:tc>
          <w:tcPr>
            <w:tcW w:w="1535" w:type="dxa"/>
          </w:tcPr>
          <w:p w:rsidR="001074F2" w:rsidRPr="00F14994" w:rsidRDefault="001074F2" w:rsidP="001074F2">
            <w:pPr>
              <w:pStyle w:val="Tabletext"/>
            </w:pPr>
          </w:p>
        </w:tc>
      </w:tr>
      <w:tr w:rsidR="001074F2" w:rsidRPr="00F14994" w:rsidTr="00220294">
        <w:trPr>
          <w:gridAfter w:val="1"/>
          <w:wAfter w:w="24" w:type="dxa"/>
          <w:cantSplit/>
          <w:jc w:val="center"/>
        </w:trPr>
        <w:tc>
          <w:tcPr>
            <w:tcW w:w="1246" w:type="dxa"/>
          </w:tcPr>
          <w:p w:rsidR="001074F2" w:rsidRPr="00F14994" w:rsidRDefault="001074F2" w:rsidP="001074F2">
            <w:pPr>
              <w:pStyle w:val="Tabletext"/>
              <w:jc w:val="center"/>
              <w:rPr>
                <w:rFonts w:eastAsia="Arial Unicode MS"/>
                <w:b/>
              </w:rPr>
            </w:pPr>
            <w:r w:rsidRPr="00F14994">
              <w:rPr>
                <w:rFonts w:eastAsia="Arial Unicode MS"/>
                <w:b/>
              </w:rPr>
              <w:t>M.2047-0</w:t>
            </w:r>
          </w:p>
        </w:tc>
        <w:tc>
          <w:tcPr>
            <w:tcW w:w="6089" w:type="dxa"/>
            <w:gridSpan w:val="2"/>
          </w:tcPr>
          <w:p w:rsidR="001074F2" w:rsidRPr="00F14994" w:rsidRDefault="001074F2" w:rsidP="001074F2">
            <w:pPr>
              <w:pStyle w:val="Tabletext"/>
            </w:pPr>
            <w:r w:rsidRPr="00F14994">
              <w:t>Spécifications détaillées des interfaces radioélectriques de la composante satellite des télécommunications mobiles internationales évoluées</w:t>
            </w:r>
          </w:p>
        </w:tc>
        <w:tc>
          <w:tcPr>
            <w:tcW w:w="1449" w:type="dxa"/>
            <w:gridSpan w:val="2"/>
          </w:tcPr>
          <w:p w:rsidR="001074F2" w:rsidRPr="00F14994" w:rsidRDefault="001074F2" w:rsidP="001074F2">
            <w:pPr>
              <w:pStyle w:val="Tabletext"/>
              <w:jc w:val="center"/>
            </w:pPr>
            <w:r w:rsidRPr="00F14994">
              <w:t>NOC</w:t>
            </w:r>
          </w:p>
        </w:tc>
        <w:tc>
          <w:tcPr>
            <w:tcW w:w="1535" w:type="dxa"/>
          </w:tcPr>
          <w:p w:rsidR="001074F2" w:rsidRPr="00F14994" w:rsidRDefault="001074F2" w:rsidP="001074F2">
            <w:pPr>
              <w:pStyle w:val="Tabletext"/>
            </w:pPr>
          </w:p>
        </w:tc>
      </w:tr>
      <w:tr w:rsidR="000C272D" w:rsidRPr="00F14994" w:rsidTr="00220294">
        <w:trPr>
          <w:gridAfter w:val="1"/>
          <w:wAfter w:w="24" w:type="dxa"/>
          <w:cantSplit/>
          <w:jc w:val="center"/>
        </w:trPr>
        <w:tc>
          <w:tcPr>
            <w:tcW w:w="1246" w:type="dxa"/>
          </w:tcPr>
          <w:p w:rsidR="000C272D" w:rsidRPr="00F14994" w:rsidRDefault="000C272D" w:rsidP="000C272D">
            <w:pPr>
              <w:pStyle w:val="Tabletext"/>
              <w:jc w:val="center"/>
              <w:rPr>
                <w:rFonts w:eastAsia="Arial Unicode MS"/>
                <w:b/>
              </w:rPr>
            </w:pPr>
          </w:p>
        </w:tc>
        <w:tc>
          <w:tcPr>
            <w:tcW w:w="6089" w:type="dxa"/>
            <w:gridSpan w:val="2"/>
          </w:tcPr>
          <w:p w:rsidR="000C272D" w:rsidRPr="00F14994" w:rsidRDefault="000C272D" w:rsidP="000C272D">
            <w:pPr>
              <w:pStyle w:val="Tabletext"/>
            </w:pPr>
            <w:r w:rsidRPr="00F14994">
              <w:rPr>
                <w:rFonts w:asciiTheme="majorBidi" w:hAnsiTheme="majorBidi" w:cstheme="majorBidi"/>
                <w:color w:val="000000"/>
                <w:lang w:eastAsia="zh-CN"/>
              </w:rPr>
              <w:t>Projet de nouvelle Recommandation UIT</w:t>
            </w:r>
            <w:r w:rsidRPr="00F14994">
              <w:rPr>
                <w:rFonts w:asciiTheme="majorBidi" w:hAnsiTheme="majorBidi" w:cstheme="majorBidi"/>
                <w:color w:val="000000"/>
                <w:lang w:eastAsia="zh-CN"/>
              </w:rPr>
              <w:noBreakHyphen/>
              <w:t>R M.[AMS(R)S.METHODOLOGY]-0</w:t>
            </w:r>
            <w:r w:rsidRPr="00F14994">
              <w:rPr>
                <w:color w:val="000000"/>
                <w:lang w:eastAsia="zh-CN"/>
              </w:rPr>
              <w:t xml:space="preserve"> – </w:t>
            </w:r>
            <w:r w:rsidRPr="00F14994">
              <w:t>Méthode de calcul des besoins de spectre dans les bandes de fréquences 1 545-1 555 MHz (espace vers Terre) et 1 646,5-1 656,5 MHz (Terre vers espace) pour les communications du service mobile aéronautique (R) par satellite relevant des catégories de priorité 1 à 6 prévues dans l'Article 44 du Règlement des radiocommunications</w:t>
            </w:r>
          </w:p>
        </w:tc>
        <w:tc>
          <w:tcPr>
            <w:tcW w:w="1449" w:type="dxa"/>
            <w:gridSpan w:val="2"/>
          </w:tcPr>
          <w:p w:rsidR="000C272D" w:rsidRPr="00F14994" w:rsidRDefault="000C272D" w:rsidP="000C272D">
            <w:pPr>
              <w:pStyle w:val="Tabletext"/>
              <w:jc w:val="center"/>
            </w:pPr>
            <w:r w:rsidRPr="00F14994">
              <w:t>ADD</w:t>
            </w:r>
          </w:p>
        </w:tc>
        <w:tc>
          <w:tcPr>
            <w:tcW w:w="1535" w:type="dxa"/>
          </w:tcPr>
          <w:p w:rsidR="000C272D" w:rsidRPr="00F14994" w:rsidRDefault="000C272D" w:rsidP="000C272D">
            <w:pPr>
              <w:pStyle w:val="Tabletext"/>
            </w:pPr>
            <w:r w:rsidRPr="00F14994">
              <w:t>Voir Document 4/1005</w:t>
            </w:r>
          </w:p>
        </w:tc>
      </w:tr>
      <w:tr w:rsidR="000A3A56" w:rsidRPr="00F14994" w:rsidTr="00220294">
        <w:trPr>
          <w:gridAfter w:val="1"/>
          <w:wAfter w:w="24" w:type="dxa"/>
          <w:cantSplit/>
          <w:jc w:val="center"/>
        </w:trPr>
        <w:tc>
          <w:tcPr>
            <w:tcW w:w="1246" w:type="dxa"/>
          </w:tcPr>
          <w:p w:rsidR="000A3A56" w:rsidRPr="00F14994" w:rsidRDefault="000A3A56" w:rsidP="000A3A56">
            <w:pPr>
              <w:pStyle w:val="Tabletext"/>
              <w:jc w:val="center"/>
              <w:rPr>
                <w:rStyle w:val="href"/>
                <w:b/>
                <w:bCs/>
              </w:rPr>
            </w:pPr>
          </w:p>
        </w:tc>
        <w:tc>
          <w:tcPr>
            <w:tcW w:w="6089" w:type="dxa"/>
            <w:gridSpan w:val="2"/>
          </w:tcPr>
          <w:p w:rsidR="000A3A56" w:rsidRPr="00F14994" w:rsidRDefault="000A3A56" w:rsidP="000A3A56">
            <w:pPr>
              <w:pStyle w:val="Tabletext"/>
            </w:pPr>
            <w:r w:rsidRPr="00F14994">
              <w:t>Projet de nouvelle Recommandation UIT-R M. [</w:t>
            </w:r>
            <w:r w:rsidR="001074F2" w:rsidRPr="00F14994">
              <w:t>MSS-RDSS-SHARE</w:t>
            </w:r>
            <w:r w:rsidR="00220294">
              <w:t>] –</w:t>
            </w:r>
            <w:r w:rsidRPr="00F14994">
              <w:t xml:space="preserve"> </w:t>
            </w:r>
            <w:r w:rsidR="00703AF1" w:rsidRPr="00F14994">
              <w:t>Coordination du service mobile par satellite et du service de radiorepérage par satellite avec le service fixe sur la base des niveaux de puissance surfacique déclenchant la coo</w:t>
            </w:r>
            <w:r w:rsidR="00220294">
              <w:t>rdination dans la bande 2 483,5</w:t>
            </w:r>
            <w:r w:rsidR="00220294">
              <w:noBreakHyphen/>
            </w:r>
            <w:r w:rsidR="00703AF1" w:rsidRPr="00F14994">
              <w:t>2 500 MHz</w:t>
            </w:r>
          </w:p>
        </w:tc>
        <w:tc>
          <w:tcPr>
            <w:tcW w:w="1449" w:type="dxa"/>
            <w:gridSpan w:val="2"/>
          </w:tcPr>
          <w:p w:rsidR="000A3A56" w:rsidRPr="00F14994" w:rsidRDefault="000A3A56" w:rsidP="000A3A56">
            <w:pPr>
              <w:pStyle w:val="Tabletext"/>
              <w:jc w:val="center"/>
            </w:pPr>
            <w:r w:rsidRPr="00F14994">
              <w:t>UNA</w:t>
            </w:r>
          </w:p>
        </w:tc>
        <w:tc>
          <w:tcPr>
            <w:tcW w:w="1535" w:type="dxa"/>
          </w:tcPr>
          <w:p w:rsidR="000A3A56" w:rsidRPr="00F14994" w:rsidRDefault="000A3A56" w:rsidP="001074F2">
            <w:pPr>
              <w:pStyle w:val="Tabletext"/>
            </w:pPr>
            <w:r w:rsidRPr="00F14994">
              <w:t>CA</w:t>
            </w:r>
            <w:r w:rsidR="001074F2" w:rsidRPr="00F14994">
              <w:t>CE/753</w:t>
            </w:r>
            <w:r w:rsidRPr="00F14994">
              <w:t xml:space="preserve"> proposition ADD</w:t>
            </w:r>
          </w:p>
        </w:tc>
      </w:tr>
    </w:tbl>
    <w:p w:rsidR="000C272D" w:rsidRPr="00F14994" w:rsidRDefault="000C272D" w:rsidP="000A3A56">
      <w:pPr>
        <w:pStyle w:val="Tabletitle"/>
      </w:pPr>
      <w:r w:rsidRPr="00F14994">
        <w:br w:type="page"/>
      </w:r>
    </w:p>
    <w:p w:rsidR="000A3A56" w:rsidRPr="00F14994" w:rsidRDefault="000A3A56" w:rsidP="000A3A56">
      <w:pPr>
        <w:pStyle w:val="Tabletitle"/>
      </w:pPr>
      <w:r w:rsidRPr="00F14994">
        <w:lastRenderedPageBreak/>
        <w:t>Service fixe par satellite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095"/>
        <w:gridCol w:w="1418"/>
        <w:gridCol w:w="1559"/>
      </w:tblGrid>
      <w:tr w:rsidR="000A3A56" w:rsidRPr="00F14994" w:rsidTr="000C272D">
        <w:trPr>
          <w:cantSplit/>
          <w:tblHeader/>
        </w:trPr>
        <w:tc>
          <w:tcPr>
            <w:tcW w:w="1135" w:type="dxa"/>
            <w:vAlign w:val="center"/>
          </w:tcPr>
          <w:p w:rsidR="000A3A56" w:rsidRPr="00F14994" w:rsidRDefault="000A3A56" w:rsidP="000A3A56">
            <w:pPr>
              <w:pStyle w:val="Tablehead"/>
              <w:rPr>
                <w:rStyle w:val="Strong"/>
                <w:b/>
                <w:bCs w:val="0"/>
              </w:rPr>
            </w:pPr>
            <w:r w:rsidRPr="00F14994">
              <w:t xml:space="preserve">Rec. </w:t>
            </w:r>
            <w:r w:rsidR="00F14994">
              <w:br/>
            </w:r>
            <w:r w:rsidRPr="00F14994">
              <w:t>UIT-R</w:t>
            </w:r>
          </w:p>
        </w:tc>
        <w:tc>
          <w:tcPr>
            <w:tcW w:w="6095" w:type="dxa"/>
            <w:vAlign w:val="center"/>
          </w:tcPr>
          <w:p w:rsidR="000A3A56" w:rsidRPr="00F14994" w:rsidRDefault="000A3A56" w:rsidP="000A3A56">
            <w:pPr>
              <w:pStyle w:val="Tablehead"/>
            </w:pPr>
            <w:r w:rsidRPr="00F14994">
              <w:t>Titre</w:t>
            </w:r>
          </w:p>
        </w:tc>
        <w:tc>
          <w:tcPr>
            <w:tcW w:w="1418" w:type="dxa"/>
            <w:vAlign w:val="center"/>
          </w:tcPr>
          <w:p w:rsidR="000A3A56" w:rsidRPr="00F14994" w:rsidRDefault="000A3A56" w:rsidP="00703AF1">
            <w:pPr>
              <w:pStyle w:val="Tablehead"/>
            </w:pPr>
            <w:r w:rsidRPr="00F14994">
              <w:t>Suite donnée par l'AR-</w:t>
            </w:r>
            <w:r w:rsidR="00703AF1" w:rsidRPr="00F14994">
              <w:t>15</w:t>
            </w:r>
          </w:p>
        </w:tc>
        <w:tc>
          <w:tcPr>
            <w:tcW w:w="1559" w:type="dxa"/>
            <w:vAlign w:val="center"/>
          </w:tcPr>
          <w:p w:rsidR="000A3A56" w:rsidRPr="00F14994" w:rsidRDefault="000A3A56" w:rsidP="000A3A56">
            <w:pPr>
              <w:pStyle w:val="Tablehead"/>
            </w:pPr>
            <w:r w:rsidRPr="00F14994">
              <w:t>Observations</w:t>
            </w: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S.354-2</w:t>
            </w:r>
          </w:p>
        </w:tc>
        <w:tc>
          <w:tcPr>
            <w:tcW w:w="6095" w:type="dxa"/>
            <w:vAlign w:val="center"/>
          </w:tcPr>
          <w:p w:rsidR="000A3A56" w:rsidRPr="00F14994" w:rsidRDefault="000A3A56" w:rsidP="000A3A56">
            <w:pPr>
              <w:pStyle w:val="Tabletext"/>
            </w:pPr>
            <w:r w:rsidRPr="00F14994">
              <w:t>Largeur de la bande vidéofréquence et niveau de bruit admissible dans le circuit fictif de référence pour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S.446-4</w:t>
            </w:r>
          </w:p>
        </w:tc>
        <w:tc>
          <w:tcPr>
            <w:tcW w:w="6095" w:type="dxa"/>
            <w:vAlign w:val="center"/>
          </w:tcPr>
          <w:p w:rsidR="000A3A56" w:rsidRPr="00F14994" w:rsidRDefault="000A3A56" w:rsidP="000A3A56">
            <w:pPr>
              <w:pStyle w:val="Tabletext"/>
            </w:pPr>
            <w:r w:rsidRPr="00F14994">
              <w:t>Dispersion de l'énergie de la porteuse pour des systèmes employant une modulation angulaire par des signaux analogiques ou une modulation numérique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S.465-6</w:t>
            </w:r>
          </w:p>
        </w:tc>
        <w:tc>
          <w:tcPr>
            <w:tcW w:w="6095" w:type="dxa"/>
            <w:vAlign w:val="center"/>
          </w:tcPr>
          <w:p w:rsidR="000A3A56" w:rsidRPr="00F14994" w:rsidRDefault="000A3A56" w:rsidP="000A3A56">
            <w:pPr>
              <w:pStyle w:val="Tabletext"/>
            </w:pPr>
            <w:r w:rsidRPr="00F14994">
              <w:t>Diagramme de rayonnement de référence pour des antennes de station terrienne du service fixe par satellite, à utiliser pour la coordination et l'évaluation des brouillages dans la gamme des fréquences comprises entre 2 et 31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S.466-6</w:t>
            </w:r>
          </w:p>
        </w:tc>
        <w:tc>
          <w:tcPr>
            <w:tcW w:w="6095" w:type="dxa"/>
            <w:vAlign w:val="center"/>
          </w:tcPr>
          <w:p w:rsidR="000A3A56" w:rsidRPr="00F14994" w:rsidRDefault="000A3A56" w:rsidP="000A3A56">
            <w:pPr>
              <w:pStyle w:val="Tabletext"/>
            </w:pPr>
            <w:r w:rsidRPr="00F14994">
              <w:t>Niveau maximal admissible du brouillage, dans une voie téléphonique d'un réseau à satellite géostationnaire du service fixe par satellite utilisant la modulation de fréquence avec multiplexage en fréquence, produit par d'autres réseaux de ce service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S.483-3</w:t>
            </w:r>
          </w:p>
        </w:tc>
        <w:tc>
          <w:tcPr>
            <w:tcW w:w="6095" w:type="dxa"/>
            <w:vAlign w:val="center"/>
          </w:tcPr>
          <w:p w:rsidR="000A3A56" w:rsidRPr="00F14994" w:rsidRDefault="000A3A56" w:rsidP="000A3A56">
            <w:pPr>
              <w:pStyle w:val="Tabletext"/>
            </w:pPr>
            <w:r w:rsidRPr="00F14994">
              <w:t>Niveau maximal admissible du brouillage, dans un canal de télévision d'un réseau à satellite géostationnaire du service fixe par satellite utilisant la modulation de fréquence, produit par d'autres réseaux de ce service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S.484-3</w:t>
            </w:r>
          </w:p>
        </w:tc>
        <w:tc>
          <w:tcPr>
            <w:tcW w:w="6095" w:type="dxa"/>
            <w:vAlign w:val="center"/>
          </w:tcPr>
          <w:p w:rsidR="000A3A56" w:rsidRPr="00F14994" w:rsidRDefault="000A3A56" w:rsidP="000A3A56">
            <w:pPr>
              <w:pStyle w:val="Tabletext"/>
            </w:pPr>
            <w:r w:rsidRPr="00F14994">
              <w:t>Maintien en position en longitude des satellites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S.521-4</w:t>
            </w:r>
          </w:p>
        </w:tc>
        <w:tc>
          <w:tcPr>
            <w:tcW w:w="6095" w:type="dxa"/>
            <w:vAlign w:val="center"/>
          </w:tcPr>
          <w:p w:rsidR="000A3A56" w:rsidRPr="00F14994" w:rsidRDefault="000A3A56" w:rsidP="000A3A56">
            <w:pPr>
              <w:pStyle w:val="Tabletext"/>
            </w:pPr>
            <w:r w:rsidRPr="00F14994">
              <w:t>Conduits numériques fictifs de référence pour les systèmes utilisant la transmission numérique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S.522-5</w:t>
            </w:r>
          </w:p>
        </w:tc>
        <w:tc>
          <w:tcPr>
            <w:tcW w:w="6095" w:type="dxa"/>
            <w:vAlign w:val="center"/>
          </w:tcPr>
          <w:p w:rsidR="000A3A56" w:rsidRPr="00F14994" w:rsidRDefault="000A3A56" w:rsidP="000A3A56">
            <w:pPr>
              <w:pStyle w:val="Tabletext"/>
            </w:pPr>
            <w:r w:rsidRPr="00F14994">
              <w:t>Valeurs admissibles du taux d'erreur binaire à la sortie du conduit numérique fictif de référence des systèmes du service fixe par satellite utilisant la modulation par impulsions et codage pour la téléphonie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S.523-4</w:t>
            </w:r>
          </w:p>
        </w:tc>
        <w:tc>
          <w:tcPr>
            <w:tcW w:w="6095" w:type="dxa"/>
            <w:vAlign w:val="center"/>
          </w:tcPr>
          <w:p w:rsidR="000A3A56" w:rsidRPr="00F14994" w:rsidRDefault="000A3A56" w:rsidP="000A3A56">
            <w:pPr>
              <w:pStyle w:val="Tabletext"/>
            </w:pPr>
            <w:r w:rsidRPr="00F14994">
              <w:t>Niveaux maximaux admissibles du brouillage, dans un réseau à satellite géostationnaire du service fixe par satellite utilisant la téléphonie à codage MIC à 8 bits, produit par d'autres réseaux de ce service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S.524-9</w:t>
            </w:r>
          </w:p>
        </w:tc>
        <w:tc>
          <w:tcPr>
            <w:tcW w:w="6095" w:type="dxa"/>
            <w:vAlign w:val="center"/>
          </w:tcPr>
          <w:p w:rsidR="000A3A56" w:rsidRPr="00F14994" w:rsidRDefault="000A3A56" w:rsidP="000A3A56">
            <w:pPr>
              <w:pStyle w:val="Tabletext"/>
            </w:pPr>
            <w:r w:rsidRPr="00F14994">
              <w:t>Niveaux maximaux admissibles de la densité de p.i.r.e. hors axe rayonnée par les stations terriennes des réseaux à satellite géostationnaire du service fixe par satellite fonctionnant dans les bandes de fréquences des 6 GHz, des 13 GHz, des 14 GHz et des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S.579-6</w:t>
            </w:r>
          </w:p>
        </w:tc>
        <w:tc>
          <w:tcPr>
            <w:tcW w:w="6095" w:type="dxa"/>
            <w:vAlign w:val="center"/>
          </w:tcPr>
          <w:p w:rsidR="000A3A56" w:rsidRPr="00F14994" w:rsidRDefault="000A3A56" w:rsidP="000A3A56">
            <w:pPr>
              <w:pStyle w:val="Tabletext"/>
            </w:pPr>
            <w:r w:rsidRPr="00F14994">
              <w:t>Objectifs de disponibilité de circuits fictifs de référence et de conduits numériques fictifs de référence utilisés dans un service de téléphonie avec modulation par impulsions et codage, ou comme partie d'une connexion fictive de référence d'un réseau numérique à intégration de services, dans le service fixe par satellite exploité au-dessous de 15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S.580-6</w:t>
            </w:r>
          </w:p>
        </w:tc>
        <w:tc>
          <w:tcPr>
            <w:tcW w:w="6095" w:type="dxa"/>
            <w:vAlign w:val="center"/>
          </w:tcPr>
          <w:p w:rsidR="000A3A56" w:rsidRPr="00F14994" w:rsidRDefault="000A3A56" w:rsidP="000A3A56">
            <w:pPr>
              <w:pStyle w:val="Tabletext"/>
              <w:rPr>
                <w:lang w:eastAsia="zh-CN"/>
              </w:rPr>
            </w:pPr>
            <w:r w:rsidRPr="00F14994">
              <w:rPr>
                <w:lang w:eastAsia="zh-CN"/>
              </w:rPr>
              <w:t>Diagrammes de rayonnement à utiliser comme objectifs de conception pour les antennes des stations terriennes fonctionnant avec des satellites géostationnaires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S.614-4</w:t>
            </w:r>
          </w:p>
        </w:tc>
        <w:tc>
          <w:tcPr>
            <w:tcW w:w="6095" w:type="dxa"/>
            <w:vAlign w:val="center"/>
          </w:tcPr>
          <w:p w:rsidR="000A3A56" w:rsidRPr="00F14994" w:rsidRDefault="000A3A56" w:rsidP="000A3A56">
            <w:pPr>
              <w:pStyle w:val="Tabletext"/>
              <w:rPr>
                <w:lang w:eastAsia="zh-CN"/>
              </w:rPr>
            </w:pPr>
            <w:r w:rsidRPr="00F14994">
              <w:rPr>
                <w:lang w:eastAsia="zh-CN"/>
              </w:rPr>
              <w:t>Taux d'erreur admissible dans un conduit numérique fictif de référence du service fixe par satellite fonctionnant en dessous de 15 GHz et faisant partie d'une communication internationale dans un réseau numérique à intégration de services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S.670-1</w:t>
            </w:r>
          </w:p>
        </w:tc>
        <w:tc>
          <w:tcPr>
            <w:tcW w:w="6095" w:type="dxa"/>
            <w:vAlign w:val="center"/>
          </w:tcPr>
          <w:p w:rsidR="000A3A56" w:rsidRPr="00F14994" w:rsidRDefault="000A3A56" w:rsidP="000A3A56">
            <w:pPr>
              <w:pStyle w:val="Tabletext"/>
              <w:rPr>
                <w:lang w:eastAsia="zh-CN"/>
              </w:rPr>
            </w:pPr>
            <w:r w:rsidRPr="00F14994">
              <w:rPr>
                <w:lang w:eastAsia="zh-CN"/>
              </w:rPr>
              <w:t>Souplesse de positionnement des satellites en tant qu'objectif de conception</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S.671-3</w:t>
            </w:r>
          </w:p>
        </w:tc>
        <w:tc>
          <w:tcPr>
            <w:tcW w:w="6095" w:type="dxa"/>
            <w:vAlign w:val="center"/>
          </w:tcPr>
          <w:p w:rsidR="000A3A56" w:rsidRPr="00F14994" w:rsidRDefault="000A3A56" w:rsidP="000A3A56">
            <w:pPr>
              <w:pStyle w:val="Tabletext"/>
              <w:rPr>
                <w:lang w:eastAsia="zh-CN"/>
              </w:rPr>
            </w:pPr>
            <w:r w:rsidRPr="00F14994">
              <w:rPr>
                <w:lang w:eastAsia="zh-CN"/>
              </w:rPr>
              <w:t>Rapports de protection nécessaires pour des transmissions à une seule voie par porteuse (SCPC) à bande étroite brouillées par des porteuses de télévision analogiques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S.672-4</w:t>
            </w:r>
          </w:p>
        </w:tc>
        <w:tc>
          <w:tcPr>
            <w:tcW w:w="6095" w:type="dxa"/>
            <w:vAlign w:val="center"/>
          </w:tcPr>
          <w:p w:rsidR="000A3A56" w:rsidRPr="00F14994" w:rsidRDefault="000A3A56" w:rsidP="000A3A56">
            <w:pPr>
              <w:pStyle w:val="Tabletext"/>
              <w:rPr>
                <w:lang w:eastAsia="zh-CN"/>
              </w:rPr>
            </w:pPr>
            <w:r w:rsidRPr="00F14994">
              <w:rPr>
                <w:lang w:eastAsia="zh-CN"/>
              </w:rPr>
              <w:t>Diagramme de rayonnement à utiliser comme objectif de conception pour les antennes de satellite dans le service fixe par satellite employant des satellites géostationnaires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lastRenderedPageBreak/>
              <w:t>S.673-2</w:t>
            </w:r>
          </w:p>
        </w:tc>
        <w:tc>
          <w:tcPr>
            <w:tcW w:w="6095" w:type="dxa"/>
            <w:vAlign w:val="center"/>
          </w:tcPr>
          <w:p w:rsidR="000A3A56" w:rsidRPr="00F14994" w:rsidRDefault="000A3A56" w:rsidP="000A3A56">
            <w:pPr>
              <w:pStyle w:val="Tabletext"/>
              <w:rPr>
                <w:lang w:eastAsia="zh-CN"/>
              </w:rPr>
            </w:pPr>
            <w:r w:rsidRPr="00F14994">
              <w:rPr>
                <w:lang w:eastAsia="zh-CN"/>
              </w:rPr>
              <w:t>Termes et définitions concernant les radiocommunications spatiales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S.725</w:t>
            </w:r>
            <w:r w:rsidR="00703AF1" w:rsidRPr="00F14994">
              <w:rPr>
                <w:b/>
                <w:bCs/>
              </w:rPr>
              <w:t>-0</w:t>
            </w:r>
          </w:p>
        </w:tc>
        <w:tc>
          <w:tcPr>
            <w:tcW w:w="6095" w:type="dxa"/>
          </w:tcPr>
          <w:p w:rsidR="000A3A56" w:rsidRPr="00F14994" w:rsidRDefault="000A3A56" w:rsidP="000A3A56">
            <w:pPr>
              <w:pStyle w:val="Tabletext"/>
              <w:rPr>
                <w:lang w:eastAsia="zh-CN"/>
              </w:rPr>
            </w:pPr>
            <w:r w:rsidRPr="00F14994">
              <w:rPr>
                <w:lang w:eastAsia="zh-CN"/>
              </w:rPr>
              <w:t>Caractéristiques techniques des microstations</w:t>
            </w:r>
          </w:p>
        </w:tc>
        <w:tc>
          <w:tcPr>
            <w:tcW w:w="1418" w:type="dxa"/>
          </w:tcPr>
          <w:p w:rsidR="000A3A56" w:rsidRPr="00F14994" w:rsidRDefault="00703AF1"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S.726-1</w:t>
            </w:r>
          </w:p>
        </w:tc>
        <w:tc>
          <w:tcPr>
            <w:tcW w:w="6095" w:type="dxa"/>
            <w:vAlign w:val="center"/>
          </w:tcPr>
          <w:p w:rsidR="000A3A56" w:rsidRPr="00F14994" w:rsidRDefault="000A3A56" w:rsidP="000A3A56">
            <w:pPr>
              <w:pStyle w:val="Tabletext"/>
              <w:rPr>
                <w:lang w:eastAsia="zh-CN"/>
              </w:rPr>
            </w:pPr>
            <w:r w:rsidRPr="00F14994">
              <w:rPr>
                <w:lang w:eastAsia="zh-CN"/>
              </w:rPr>
              <w:t>Niveau maximal admissible des rayonnements non essentiels émis par les microstations (VSAT)</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S.728-1</w:t>
            </w:r>
          </w:p>
        </w:tc>
        <w:tc>
          <w:tcPr>
            <w:tcW w:w="6095" w:type="dxa"/>
            <w:vAlign w:val="center"/>
          </w:tcPr>
          <w:p w:rsidR="000A3A56" w:rsidRPr="00F14994" w:rsidRDefault="000A3A56" w:rsidP="000A3A56">
            <w:pPr>
              <w:pStyle w:val="Tabletext"/>
              <w:rPr>
                <w:lang w:eastAsia="zh-CN"/>
              </w:rPr>
            </w:pPr>
            <w:r w:rsidRPr="00F14994">
              <w:rPr>
                <w:lang w:eastAsia="zh-CN"/>
              </w:rPr>
              <w:t>Niveau maximal admissible de la densité de p.i.r.e. hors axe des microstations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S.729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Commande et surveillance des microstations terriennes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Compensation de l'influence des discontinuités dues à la commutation sur la transmission de données dans la bande vocale et de l'effet Doppler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S.731-1</w:t>
            </w:r>
          </w:p>
        </w:tc>
        <w:tc>
          <w:tcPr>
            <w:tcW w:w="6095" w:type="dxa"/>
            <w:vAlign w:val="center"/>
          </w:tcPr>
          <w:p w:rsidR="000A3A56" w:rsidRPr="00F14994" w:rsidRDefault="000A3A56" w:rsidP="000A3A56">
            <w:pPr>
              <w:pStyle w:val="Tabletext"/>
              <w:rPr>
                <w:lang w:eastAsia="zh-CN"/>
              </w:rPr>
            </w:pPr>
            <w:r w:rsidRPr="00F14994">
              <w:rPr>
                <w:lang w:eastAsia="zh-CN"/>
              </w:rPr>
              <w:t>Diagramme de rayonnement contrapolaire de référence de station terrienne, à utiliser pour la coordination des fréquences et pour l'évaluation des brouillages dans la gamme des fréquences comprises entre 2 et environ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S.732</w:t>
            </w:r>
            <w:r w:rsidR="00703AF1" w:rsidRPr="00F14994">
              <w:rPr>
                <w:b/>
                <w:bCs/>
              </w:rPr>
              <w:t>-1</w:t>
            </w:r>
          </w:p>
        </w:tc>
        <w:tc>
          <w:tcPr>
            <w:tcW w:w="6095" w:type="dxa"/>
            <w:vAlign w:val="center"/>
          </w:tcPr>
          <w:p w:rsidR="000A3A56" w:rsidRPr="00F14994" w:rsidRDefault="00703AF1" w:rsidP="000A3A56">
            <w:pPr>
              <w:pStyle w:val="Tabletext"/>
              <w:rPr>
                <w:lang w:eastAsia="zh-CN"/>
              </w:rPr>
            </w:pPr>
            <w:r w:rsidRPr="00F14994">
              <w:rPr>
                <w:lang w:eastAsia="zh-CN"/>
              </w:rPr>
              <w:t>Méthode de traitement statistique des crêtes des lobes latéraux d'antenne de station terrienne pour la détermination du dépassement des diagrammes d'antenne de référence et des conditions d'acceptabilité de tout dépassement</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S.733-2</w:t>
            </w:r>
          </w:p>
        </w:tc>
        <w:tc>
          <w:tcPr>
            <w:tcW w:w="6095" w:type="dxa"/>
            <w:vAlign w:val="center"/>
          </w:tcPr>
          <w:p w:rsidR="000A3A56" w:rsidRPr="00F14994" w:rsidRDefault="000A3A56" w:rsidP="000A3A56">
            <w:pPr>
              <w:pStyle w:val="Tabletext"/>
              <w:rPr>
                <w:lang w:eastAsia="zh-CN"/>
              </w:rPr>
            </w:pPr>
            <w:r w:rsidRPr="00F14994">
              <w:rPr>
                <w:lang w:eastAsia="zh-CN"/>
              </w:rPr>
              <w:t>Détermination du Rapport G/T des stations terriennes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Application des annuleurs de brouillage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S.735-1</w:t>
            </w:r>
          </w:p>
        </w:tc>
        <w:tc>
          <w:tcPr>
            <w:tcW w:w="6095" w:type="dxa"/>
            <w:vAlign w:val="center"/>
          </w:tcPr>
          <w:p w:rsidR="000A3A56" w:rsidRPr="00F14994" w:rsidRDefault="000A3A56" w:rsidP="000A3A56">
            <w:pPr>
              <w:pStyle w:val="Tabletext"/>
              <w:rPr>
                <w:lang w:eastAsia="zh-CN"/>
              </w:rPr>
            </w:pPr>
            <w:r w:rsidRPr="00F14994">
              <w:rPr>
                <w:lang w:eastAsia="zh-CN"/>
              </w:rPr>
              <w:t>Niveaux maximaux admissibles, dans un réseau du service fixe par satellite géostationnaire, du brouillage provoqué par d'autres réseaux de ce service en dessous de 15 GHz, pour un conduit numérique fictif de référence (CNFR) faisant partie du RNIS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S.736-3</w:t>
            </w:r>
          </w:p>
        </w:tc>
        <w:tc>
          <w:tcPr>
            <w:tcW w:w="6095" w:type="dxa"/>
            <w:vAlign w:val="center"/>
          </w:tcPr>
          <w:p w:rsidR="000A3A56" w:rsidRPr="00F14994" w:rsidRDefault="000A3A56" w:rsidP="000A3A56">
            <w:pPr>
              <w:pStyle w:val="Tabletext"/>
              <w:rPr>
                <w:lang w:eastAsia="zh-CN"/>
              </w:rPr>
            </w:pPr>
            <w:r w:rsidRPr="00F14994">
              <w:rPr>
                <w:lang w:eastAsia="zh-CN"/>
              </w:rPr>
              <w:t>Evaluation de la discrimination de polarisation dans les calculs de brouillage entre réseaux à satellites géostationnaires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S.737</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Relations entre les différentes méthodes de coordination technique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S.738</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Procédure permettant de déterminer s'il y a lieu de procéder à la coordination entre des réseaux à satellites géostationnaires partageant les mêmes bandes de fréquences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S.739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additionnelles pour déterminer si une coordination détaillée est nécessaire entre réseaux à satellites géostationnaires partageant les mêmes bandes de fréquences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S.740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de coordination technique de réseaux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S.741-2</w:t>
            </w:r>
          </w:p>
        </w:tc>
        <w:tc>
          <w:tcPr>
            <w:tcW w:w="6095" w:type="dxa"/>
            <w:vAlign w:val="center"/>
          </w:tcPr>
          <w:p w:rsidR="000A3A56" w:rsidRPr="00F14994" w:rsidRDefault="000A3A56" w:rsidP="000A3A56">
            <w:pPr>
              <w:pStyle w:val="Tabletext"/>
              <w:rPr>
                <w:lang w:eastAsia="zh-CN"/>
              </w:rPr>
            </w:pPr>
            <w:r w:rsidRPr="00F14994">
              <w:rPr>
                <w:lang w:eastAsia="zh-CN"/>
              </w:rPr>
              <w:t>Calculs des rapports porteuse sur brouillage entre réseaux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S.742-1</w:t>
            </w:r>
          </w:p>
        </w:tc>
        <w:tc>
          <w:tcPr>
            <w:tcW w:w="6095" w:type="dxa"/>
            <w:vAlign w:val="center"/>
          </w:tcPr>
          <w:p w:rsidR="000A3A56" w:rsidRPr="00F14994" w:rsidRDefault="000A3A56" w:rsidP="000A3A56">
            <w:pPr>
              <w:pStyle w:val="Tabletext"/>
              <w:rPr>
                <w:lang w:eastAsia="zh-CN"/>
              </w:rPr>
            </w:pPr>
            <w:r w:rsidRPr="00F14994">
              <w:rPr>
                <w:lang w:eastAsia="zh-CN"/>
              </w:rPr>
              <w:t>Méthodes d'utilisation du spectre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S.743-1</w:t>
            </w:r>
          </w:p>
        </w:tc>
        <w:tc>
          <w:tcPr>
            <w:tcW w:w="6095" w:type="dxa"/>
            <w:vAlign w:val="center"/>
          </w:tcPr>
          <w:p w:rsidR="000A3A56" w:rsidRPr="00F14994" w:rsidRDefault="000A3A56" w:rsidP="000A3A56">
            <w:pPr>
              <w:pStyle w:val="Tabletext"/>
              <w:rPr>
                <w:lang w:eastAsia="zh-CN"/>
              </w:rPr>
            </w:pPr>
            <w:r w:rsidRPr="00F14994">
              <w:rPr>
                <w:lang w:eastAsia="zh-CN"/>
              </w:rPr>
              <w:t>Coordination des réseaux utilisant des satellites sur orbite géostationnaire légèrement inclinée et coordination de ces réseaux avec les réseaux utilisant des satellites sur orbites géostationnaires non inclinées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S.744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Mesures permettant d'améliorer l'efficacité d'utilisation de la ressource orbite/spectre par les réseaux à satellites assurant plusieurs services sur une ou plusieurs bandes de fréquences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lastRenderedPageBreak/>
              <w:t>S.1001-2</w:t>
            </w:r>
          </w:p>
        </w:tc>
        <w:tc>
          <w:tcPr>
            <w:tcW w:w="6095" w:type="dxa"/>
            <w:vAlign w:val="center"/>
          </w:tcPr>
          <w:p w:rsidR="000A3A56" w:rsidRPr="00F14994" w:rsidRDefault="000A3A56" w:rsidP="000A3A56">
            <w:pPr>
              <w:pStyle w:val="Tabletext"/>
              <w:rPr>
                <w:lang w:eastAsia="zh-CN"/>
              </w:rPr>
            </w:pPr>
            <w:r w:rsidRPr="00F14994">
              <w:t>Utilisation de systèmes du service fixe par satellite en cas de catastrophes naturelles et de situations critiques analogues pour l'alerte et les opérations de secours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S.1002</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Techniques de gestion de l'orbite applicables au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S.1003-2</w:t>
            </w:r>
          </w:p>
        </w:tc>
        <w:tc>
          <w:tcPr>
            <w:tcW w:w="6095" w:type="dxa"/>
            <w:vAlign w:val="center"/>
          </w:tcPr>
          <w:p w:rsidR="000A3A56" w:rsidRPr="00F14994" w:rsidRDefault="000A3A56" w:rsidP="000A3A56">
            <w:pPr>
              <w:pStyle w:val="Tabletext"/>
              <w:rPr>
                <w:lang w:eastAsia="zh-CN"/>
              </w:rPr>
            </w:pPr>
            <w:r w:rsidRPr="00F14994">
              <w:t>Protection de l'environnement de l'orbite des satellites géostationnaires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S.1061-1</w:t>
            </w:r>
          </w:p>
        </w:tc>
        <w:tc>
          <w:tcPr>
            <w:tcW w:w="6095" w:type="dxa"/>
            <w:vAlign w:val="center"/>
          </w:tcPr>
          <w:p w:rsidR="000A3A56" w:rsidRPr="00F14994" w:rsidRDefault="000A3A56" w:rsidP="000A3A56">
            <w:pPr>
              <w:pStyle w:val="Tabletext"/>
            </w:pPr>
            <w:r w:rsidRPr="00F14994">
              <w:t>Utilisation de stratégies et de techniques de protection contre les évanouissements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S.1062-4</w:t>
            </w:r>
          </w:p>
        </w:tc>
        <w:tc>
          <w:tcPr>
            <w:tcW w:w="6095" w:type="dxa"/>
            <w:vAlign w:val="center"/>
          </w:tcPr>
          <w:p w:rsidR="000A3A56" w:rsidRPr="00F14994" w:rsidRDefault="000A3A56" w:rsidP="000A3A56">
            <w:pPr>
              <w:pStyle w:val="Tabletext"/>
            </w:pPr>
            <w:r w:rsidRPr="00F14994">
              <w:t>Caractéristiques d'erreur admissibles d'un conduit numérique fictif de référence de satellite fonctionnant au-dessous de 15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S.1063</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Critères de partage entre liaisons de connexion du SRS et d'autres liaisons du SFS dans le sens Terre-espace ou espace-Terre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S.1064-1</w:t>
            </w:r>
          </w:p>
        </w:tc>
        <w:tc>
          <w:tcPr>
            <w:tcW w:w="6095" w:type="dxa"/>
            <w:vAlign w:val="center"/>
          </w:tcPr>
          <w:p w:rsidR="000A3A56" w:rsidRPr="00F14994" w:rsidRDefault="000A3A56" w:rsidP="000A3A56">
            <w:pPr>
              <w:pStyle w:val="Tabletext"/>
              <w:rPr>
                <w:lang w:eastAsia="zh-CN"/>
              </w:rPr>
            </w:pPr>
            <w:r w:rsidRPr="00F14994">
              <w:rPr>
                <w:lang w:eastAsia="zh-CN"/>
              </w:rPr>
              <w:t>Objectif de conception pour la précision du pointage vers la Terre des antennes des satellites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S.1068</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Partage de la bande 13,75-14 GHz entre le service fixe par satellite et le service de radiolocalisation/radionavigation</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S.1069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Compatibilité du service fixe par satellite et des services scientifiques spatiaux dans la bande 13,75-14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S.1149-2</w:t>
            </w:r>
          </w:p>
        </w:tc>
        <w:tc>
          <w:tcPr>
            <w:tcW w:w="6095" w:type="dxa"/>
            <w:vAlign w:val="center"/>
          </w:tcPr>
          <w:p w:rsidR="000A3A56" w:rsidRPr="00F14994" w:rsidRDefault="000A3A56" w:rsidP="000A3A56">
            <w:pPr>
              <w:pStyle w:val="Tabletext"/>
              <w:rPr>
                <w:lang w:eastAsia="zh-CN"/>
              </w:rPr>
            </w:pPr>
            <w:r w:rsidRPr="00F14994">
              <w:rPr>
                <w:lang w:eastAsia="zh-CN"/>
              </w:rPr>
              <w:t>Architecture de réseau et caractéristiques fonctionnelles des systèmes numériques à satellites du service fixe par satellite utilisés dans les réseaux de transport de hiérarchie numérique synchrone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S.1150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Critères techniques à utiliser pour les examens concernant la probabilité de brouillage préjudiciable entre des assignations de fréquence dans le service fixe par satellite demandés au titre du numéro S11.32A.1 du Règlement des radiocommunications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S.1151</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Partage entre le service intersatellites reliant des satellites géostationnaires du service fixe par satellite et le service de radionavigation à 33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Architecture de réseau pour systèmes numériques à satellites faisant partie de réseaux de transport en hiérarchie numérique synchrone dans le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S.1251</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 xml:space="preserve">Gestion de réseaux </w:t>
            </w:r>
            <w:r w:rsidR="009C4BE7">
              <w:rPr>
                <w:lang w:eastAsia="zh-CN"/>
              </w:rPr>
              <w:t>–</w:t>
            </w:r>
            <w:r w:rsidRPr="00F14994">
              <w:rPr>
                <w:lang w:eastAsia="zh-CN"/>
              </w:rPr>
              <w:t xml:space="preserve"> Définition des classes d'objets de gestion de la qualité de fonctionnement pour des éléments de réseau de systèmes à satellites faisant partie de réseaux de transport en hiérarchie numérique synchrone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S.1252</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 xml:space="preserve">Gestion de réseaux </w:t>
            </w:r>
            <w:r w:rsidR="009C4BE7">
              <w:rPr>
                <w:lang w:eastAsia="zh-CN"/>
              </w:rPr>
              <w:t>–</w:t>
            </w:r>
            <w:r w:rsidRPr="00F14994">
              <w:rPr>
                <w:lang w:eastAsia="zh-CN"/>
              </w:rPr>
              <w:t xml:space="preserve"> Définition des classes d'objets de configuration de capacité utile pour des éléments de réseaux de systèmes à satellites faisant partie de réseaux de transport en hiérarchie numérique synchrone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S.1253</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Options techniques visant à faciliter la coordination des réseaux du service fixe par satellite dans certaines portions d'arc d'orbite et dans certaines bandes de fréquences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Meilleures pratiques pour faciliter le processus de coordination des réseaux à satellites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S.1255</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Utilisation d'une commande adaptative de puissance sur la liaison montante pour atténuer les brouillages dans le même sens de transmission entre réseaux à satellites géostationnaires du service fixe par satellite (OSG/SFS) et liaisons de connexion de réseaux à satellites non géostationnaires du service mobile par satellite (non OSG/SMS) et entre réseaux OSF/SFS et réseaux non OSG/SFS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lastRenderedPageBreak/>
              <w:t>S.1256</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Méthodologie permettant de calculer le niveau total maximal de la puissance surfacique produite sur l'orbite des satellites géostationnaires dans la bande 6 700-7 075 MHz par les liaisons de connexion dans le sens espace-Terre des systèmes à satellites non géostationnaires du service mobile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S.1257-3</w:t>
            </w:r>
          </w:p>
        </w:tc>
        <w:tc>
          <w:tcPr>
            <w:tcW w:w="6095" w:type="dxa"/>
            <w:vAlign w:val="center"/>
          </w:tcPr>
          <w:p w:rsidR="000A3A56" w:rsidRPr="00F14994" w:rsidRDefault="000A3A56" w:rsidP="000A3A56">
            <w:pPr>
              <w:pStyle w:val="Tabletext"/>
              <w:rPr>
                <w:lang w:eastAsia="zh-CN"/>
              </w:rPr>
            </w:pPr>
            <w:r w:rsidRPr="00F14994">
              <w:rPr>
                <w:lang w:eastAsia="zh-CN"/>
              </w:rPr>
              <w:t>Méthode analytique pour calculer les statistiques de visibilité et de brouillage à court terme des satellites non géostationnaires à partir d'un point à la surface de la Terre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S.1323-2</w:t>
            </w:r>
          </w:p>
        </w:tc>
        <w:tc>
          <w:tcPr>
            <w:tcW w:w="6095" w:type="dxa"/>
            <w:vAlign w:val="center"/>
          </w:tcPr>
          <w:p w:rsidR="000A3A56" w:rsidRPr="00F14994" w:rsidRDefault="000A3A56" w:rsidP="000A3A56">
            <w:pPr>
              <w:pStyle w:val="Tabletext"/>
              <w:rPr>
                <w:lang w:eastAsia="zh-CN"/>
              </w:rPr>
            </w:pPr>
            <w:r w:rsidRPr="00F14994">
              <w:rPr>
                <w:lang w:eastAsia="zh-CN"/>
              </w:rPr>
              <w:t>Niveaux maximaux admissibles de brouillage dans un réseau à satellite (OSG du SFS; non OSG du SFS; liaisons de connexion non OSG du SMS) occasionnés dans le service fixe par satellite par d'autres réseaux du SFS exploités dans le même sens, au-dessous de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S.1324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analytique d'estimation du brouillage entre les liaisons de connexion des réseaux du service mobile par satellites non géostationnaires et les réseaux du service fixe par satellites géostationnaires exploités dans les mêmes bandes de fréquences et dans le même sens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S.1325-3</w:t>
            </w:r>
          </w:p>
        </w:tc>
        <w:tc>
          <w:tcPr>
            <w:tcW w:w="6095" w:type="dxa"/>
            <w:vAlign w:val="center"/>
          </w:tcPr>
          <w:p w:rsidR="000A3A56" w:rsidRPr="00F14994" w:rsidRDefault="000A3A56" w:rsidP="000A3A56">
            <w:pPr>
              <w:pStyle w:val="Tabletext"/>
              <w:rPr>
                <w:lang w:eastAsia="zh-CN"/>
              </w:rPr>
            </w:pPr>
            <w:r w:rsidRPr="00F14994">
              <w:rPr>
                <w:lang w:eastAsia="zh-CN"/>
              </w:rPr>
              <w:t>Méthodes de simulation pour la détermination des statistiques relatives au brouillage à court terme entre des systèmes à satellites non géostationnaires en orbite circulaire du service fixe par satellite utilisant les mêmes fréquences dans le même sens et d'autres systèmes non géostationnaires en orbite circulaire du service fixe par satellite ou des réseaux à satellite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S.1326</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Faisabilité du partage entre le service intersatellites et le service fixe par satellite dans la bande de fréquences 50,4-51,4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S.1327</w:t>
            </w:r>
            <w:r w:rsidR="00703AF1" w:rsidRPr="00F14994">
              <w:rPr>
                <w:b/>
                <w:bCs/>
              </w:rPr>
              <w:t>-0</w:t>
            </w:r>
          </w:p>
        </w:tc>
        <w:tc>
          <w:tcPr>
            <w:tcW w:w="6095" w:type="dxa"/>
            <w:vAlign w:val="center"/>
          </w:tcPr>
          <w:p w:rsidR="000A3A56" w:rsidRPr="00F14994" w:rsidRDefault="000A3A56" w:rsidP="000A3A56">
            <w:pPr>
              <w:pStyle w:val="Tabletext"/>
              <w:rPr>
                <w:b/>
              </w:rPr>
            </w:pPr>
            <w:r w:rsidRPr="00F14994">
              <w:rPr>
                <w:lang w:eastAsia="zh-CN"/>
              </w:rPr>
              <w:t>Conditions techniques d'exploitation du service intersatellites et bandes convenant a ce service dans la gamme 50,2-71 GHz</w:t>
            </w:r>
          </w:p>
        </w:tc>
        <w:tc>
          <w:tcPr>
            <w:tcW w:w="1418" w:type="dxa"/>
          </w:tcPr>
          <w:p w:rsidR="000A3A56" w:rsidRPr="00F14994" w:rsidRDefault="000A3A56" w:rsidP="000A3A56">
            <w:pPr>
              <w:pStyle w:val="Tablehead"/>
              <w:rPr>
                <w:b w:val="0"/>
                <w:bCs/>
              </w:rPr>
            </w:pPr>
            <w:r w:rsidRPr="00F14994">
              <w:rPr>
                <w:b w:val="0"/>
                <w:bCs/>
              </w:rPr>
              <w:t>NOC</w:t>
            </w:r>
          </w:p>
        </w:tc>
        <w:tc>
          <w:tcPr>
            <w:tcW w:w="1559" w:type="dxa"/>
          </w:tcPr>
          <w:p w:rsidR="000A3A56" w:rsidRPr="00F14994" w:rsidRDefault="000A3A56" w:rsidP="000A3A56">
            <w:pPr>
              <w:pStyle w:val="Tabletitle"/>
              <w:rPr>
                <w:sz w:val="22"/>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S.1328-4</w:t>
            </w:r>
          </w:p>
        </w:tc>
        <w:tc>
          <w:tcPr>
            <w:tcW w:w="6095" w:type="dxa"/>
            <w:vAlign w:val="center"/>
          </w:tcPr>
          <w:p w:rsidR="000A3A56" w:rsidRPr="00F14994" w:rsidRDefault="000A3A56" w:rsidP="000A3A56">
            <w:pPr>
              <w:pStyle w:val="Tabletext"/>
              <w:rPr>
                <w:bCs/>
                <w:lang w:eastAsia="zh-CN"/>
              </w:rPr>
            </w:pPr>
            <w:r w:rsidRPr="00F14994">
              <w:rPr>
                <w:bCs/>
                <w:lang w:eastAsia="zh-CN"/>
              </w:rPr>
              <w:t>Caractéristiques de systèmes à satellites à prendre en compte dans les analyses de partage des fréquences dans le service fixe par satellite</w:t>
            </w:r>
          </w:p>
        </w:tc>
        <w:tc>
          <w:tcPr>
            <w:tcW w:w="1418" w:type="dxa"/>
          </w:tcPr>
          <w:p w:rsidR="000A3A56" w:rsidRPr="00F14994" w:rsidRDefault="000A3A56" w:rsidP="000A3A56">
            <w:pPr>
              <w:pStyle w:val="Tabletext"/>
              <w:jc w:val="center"/>
              <w:rPr>
                <w:bCs/>
              </w:rPr>
            </w:pPr>
            <w:r w:rsidRPr="00F14994">
              <w:rPr>
                <w:bCs/>
              </w:rPr>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S.1329</w:t>
            </w:r>
            <w:r w:rsidR="00703AF1" w:rsidRPr="00F14994">
              <w:rPr>
                <w:b/>
                <w:bCs/>
              </w:rPr>
              <w:t>-0</w:t>
            </w:r>
          </w:p>
        </w:tc>
        <w:tc>
          <w:tcPr>
            <w:tcW w:w="6095" w:type="dxa"/>
            <w:vAlign w:val="center"/>
          </w:tcPr>
          <w:p w:rsidR="000A3A56" w:rsidRPr="00F14994" w:rsidRDefault="000A3A56" w:rsidP="000A3A56">
            <w:pPr>
              <w:pStyle w:val="Tablehead"/>
              <w:jc w:val="left"/>
              <w:rPr>
                <w:b w:val="0"/>
                <w:bCs/>
              </w:rPr>
            </w:pPr>
            <w:r w:rsidRPr="00F14994">
              <w:rPr>
                <w:b w:val="0"/>
                <w:bCs/>
                <w:lang w:eastAsia="zh-CN"/>
              </w:rPr>
              <w:t>Partage de fréquences, dans les bandes 19,7-20,2 GHz et 29,5-30,0 GHz, entre systèmes du service mobile par satellite et systèmes du service fixe par satellite</w:t>
            </w:r>
          </w:p>
        </w:tc>
        <w:tc>
          <w:tcPr>
            <w:tcW w:w="1418" w:type="dxa"/>
          </w:tcPr>
          <w:p w:rsidR="000A3A56" w:rsidRPr="00F14994" w:rsidRDefault="000A3A56" w:rsidP="000A3A56">
            <w:pPr>
              <w:pStyle w:val="Tablehead"/>
              <w:rPr>
                <w:b w:val="0"/>
                <w:bCs/>
              </w:rPr>
            </w:pPr>
            <w:r w:rsidRPr="00F14994">
              <w:rPr>
                <w:b w:val="0"/>
                <w:bCs/>
              </w:rPr>
              <w:t>NOC</w:t>
            </w:r>
          </w:p>
        </w:tc>
        <w:tc>
          <w:tcPr>
            <w:tcW w:w="1559" w:type="dxa"/>
          </w:tcPr>
          <w:p w:rsidR="000A3A56" w:rsidRPr="00F14994" w:rsidRDefault="000A3A56" w:rsidP="000A3A56">
            <w:pPr>
              <w:pStyle w:val="Tabletitle"/>
              <w:rPr>
                <w:sz w:val="22"/>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S.1339-1</w:t>
            </w:r>
          </w:p>
        </w:tc>
        <w:tc>
          <w:tcPr>
            <w:tcW w:w="6095" w:type="dxa"/>
            <w:vAlign w:val="center"/>
          </w:tcPr>
          <w:p w:rsidR="00703AF1" w:rsidRPr="00F14994" w:rsidRDefault="000A3A56" w:rsidP="000C272D">
            <w:pPr>
              <w:pStyle w:val="Tabletext"/>
              <w:rPr>
                <w:lang w:eastAsia="zh-CN"/>
              </w:rPr>
            </w:pPr>
            <w:r w:rsidRPr="00F14994">
              <w:rPr>
                <w:lang w:eastAsia="zh-CN"/>
              </w:rPr>
              <w:t>Partage de fréquence entre les détecteurs passifs spatioportés du service d'exploration de la Terre par satellite et les liaisons intersatellites des réseaux à satellite géostationnaire dans la gamme 54,25-59,3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S.1340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Partage entre les liaisons de connexion (Terre-espace) du service mobile par satellite et le service de radionavigation aéronautique dans la bande 15,4-15,7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S.1341</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Partage de fréquences entre les liaisons de connexion (espace-Terre) du service mobile par satellite et le service de radionavigation aéronautique dans la bande 15,4-15,7 GHz et protection du service de radioastronomie dans la bande 15,35-15,4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S.1342</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de détermination des distances de coordination, dans la bande des 5 GHz, entre des stations du système d'atterrissage hyperfréquences international normalisé exploitées dans le service de radionavigation aéronautique et des stations non géostationnaires du service mobile par satellite assurant des liaisons de connexion montantes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S.1418</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de calcul des rapports porteuse/brouillage à source unique pour les liaisons du service intersatellites utilisant l'orbite géostationnaire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lastRenderedPageBreak/>
              <w:t>S.1419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Techniques de réduction des brouillages propres à faciliter la coordination des liaisons de connexion du service mobile par satellite non géostationnaire et des réseaux du service fixe par satellite géostationnaire dans les bandes 19,3-19,7 GHz et 29,1-29,5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Qualité de fonctionnement du mode de transfert asynchrone par satellite dans le réseau numérique avec intégration des services à large bande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Objectifs de disponibilité d'un conduit numérique fictif de référence utilisé pour les transmissions en mode de transfert asynchrone du RNIS à large bande sur des systèmes du service fixe par satellite géostationnaire à des fréquences inférieures à 15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S.1425</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Considérations de transmission relatives aux porteuses numériques utilisant des méthodes de modulation plus élaborées sur des circuits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S.1426</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Limites de puissance surfacique cumulative sur l'orbite d'un satellite du SFS pour les émetteurs des réseaux locaux hertziens (RLAN) fonctionnant dans la bande 5 150-5 250 MHz et partageant des fréquences avec le SFS (numéro S5.447A du RR)</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S.1427-1</w:t>
            </w:r>
          </w:p>
        </w:tc>
        <w:tc>
          <w:tcPr>
            <w:tcW w:w="6095" w:type="dxa"/>
            <w:vAlign w:val="center"/>
          </w:tcPr>
          <w:p w:rsidR="000A3A56" w:rsidRPr="00F14994" w:rsidRDefault="000A3A56" w:rsidP="000A3A56">
            <w:pPr>
              <w:pStyle w:val="Tabletext"/>
              <w:rPr>
                <w:lang w:eastAsia="zh-CN"/>
              </w:rPr>
            </w:pPr>
            <w:r w:rsidRPr="00F14994">
              <w:rPr>
                <w:lang w:eastAsia="zh-CN"/>
              </w:rPr>
              <w:t>Méthode et critères d'évaluation des brouillages causés par les émetteurs des systèmes d'accès hertziens/réseaux locaux hertziens (WAS/RLAN) de Terre aux liaisons de connexion du service mobile par satellite non géostationnaires dans la bande 5 150-5 250 MHz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S.1428-1</w:t>
            </w:r>
          </w:p>
        </w:tc>
        <w:tc>
          <w:tcPr>
            <w:tcW w:w="6095" w:type="dxa"/>
            <w:vAlign w:val="center"/>
          </w:tcPr>
          <w:p w:rsidR="000A3A56" w:rsidRPr="00F14994" w:rsidRDefault="000A3A56" w:rsidP="000A3A56">
            <w:pPr>
              <w:pStyle w:val="Tabletext"/>
              <w:rPr>
                <w:lang w:eastAsia="zh-CN"/>
              </w:rPr>
            </w:pPr>
            <w:r w:rsidRPr="00F14994">
              <w:rPr>
                <w:lang w:eastAsia="zh-CN"/>
              </w:rPr>
              <w:t>Diagrammes de rayonnement de référence de station terrienne du SFS, à utiliser pour l'évaluation des brouillages faisant intervenir des satellites non OSG dans des bandes de fréquences comprises entre 10,7 GHz et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S.1429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Objectifs de qualité de fonctionnement en termes d'erreurs dans des conditions de brouillage entre réseaux des systèmes OSG et non OSG du SFS pour des conduits numériques fictifs de référence fonctionnant à un débit égal ou supérieur au débit primaire et assurés par des systèmes utilisant des fréquences inférieures à 15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b/>
                <w:bCs/>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S.1430</w:t>
            </w:r>
            <w:r w:rsidR="00703AF1" w:rsidRPr="00F14994">
              <w:rPr>
                <w:b/>
                <w:bCs/>
              </w:rPr>
              <w:t>-0</w:t>
            </w:r>
          </w:p>
        </w:tc>
        <w:tc>
          <w:tcPr>
            <w:tcW w:w="6095" w:type="dxa"/>
            <w:vAlign w:val="center"/>
          </w:tcPr>
          <w:p w:rsidR="000A3A56" w:rsidRPr="00F14994" w:rsidRDefault="000A3A56" w:rsidP="000A3A56">
            <w:pPr>
              <w:pStyle w:val="Tablehead"/>
              <w:jc w:val="left"/>
              <w:rPr>
                <w:b w:val="0"/>
              </w:rPr>
            </w:pPr>
            <w:r w:rsidRPr="00F14994">
              <w:rPr>
                <w:b w:val="0"/>
                <w:lang w:eastAsia="zh-CN"/>
              </w:rPr>
              <w:t>Détermination de la zone de coordination des stations terriennes fonctionnant avec des stations spatiales non géostationnaires par rapport aux stations terriennes fonctionnant dans le sens inverse dans les bandes de fréquences attribuées bidirectionnellement au service fixe par satellite</w:t>
            </w:r>
          </w:p>
        </w:tc>
        <w:tc>
          <w:tcPr>
            <w:tcW w:w="1418" w:type="dxa"/>
          </w:tcPr>
          <w:p w:rsidR="000A3A56" w:rsidRPr="00F14994" w:rsidRDefault="000A3A56" w:rsidP="000A3A56">
            <w:pPr>
              <w:pStyle w:val="Tablehead"/>
              <w:rPr>
                <w:b w:val="0"/>
              </w:rPr>
            </w:pPr>
            <w:r w:rsidRPr="00F14994">
              <w:rPr>
                <w:b w:val="0"/>
              </w:rPr>
              <w:t>NOC</w:t>
            </w:r>
          </w:p>
        </w:tc>
        <w:tc>
          <w:tcPr>
            <w:tcW w:w="1559" w:type="dxa"/>
          </w:tcPr>
          <w:p w:rsidR="000A3A56" w:rsidRPr="00F14994" w:rsidRDefault="000A3A56" w:rsidP="000A3A56">
            <w:pPr>
              <w:pStyle w:val="Tabletitle"/>
              <w:rPr>
                <w:sz w:val="22"/>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S.1431</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visant à améliorer le partage des fréquences entre les systèmes du SFS non OSG (à l'exception des liaisons de connexion du SMS) dans les bandes de fréquences comprises entre 10 et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S.1432-1</w:t>
            </w:r>
          </w:p>
        </w:tc>
        <w:tc>
          <w:tcPr>
            <w:tcW w:w="6095" w:type="dxa"/>
            <w:vAlign w:val="center"/>
          </w:tcPr>
          <w:p w:rsidR="000A3A56" w:rsidRPr="00F14994" w:rsidRDefault="000A3A56" w:rsidP="000A3A56">
            <w:pPr>
              <w:pStyle w:val="Tabletext"/>
              <w:rPr>
                <w:lang w:eastAsia="zh-CN"/>
              </w:rPr>
            </w:pPr>
            <w:r w:rsidRPr="00F14994">
              <w:rPr>
                <w:lang w:eastAsia="zh-CN"/>
              </w:rPr>
              <w:t>Répartition des dégradations admissibles de la qualité de fonctionnement en termes d'erreurs occasionnées à des conduits numériques fictifs de référence du service fixe par satellite par des brouillages non variables dans le temps pour des systèmes fonctionnant au-dessous de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S.1433</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Puissance surfacique équivalente sur la liaison montante et dans le service inter-satellites rayonnée par les systèmes du SFS non OSG</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703AF1" w:rsidP="000A3A56">
            <w:pPr>
              <w:pStyle w:val="Tabletext"/>
              <w:jc w:val="center"/>
              <w:rPr>
                <w:b/>
                <w:bCs/>
              </w:rPr>
            </w:pPr>
            <w:r w:rsidRPr="00F14994">
              <w:rPr>
                <w:b/>
                <w:bCs/>
              </w:rPr>
              <w:t>S.1503-2</w:t>
            </w:r>
          </w:p>
        </w:tc>
        <w:tc>
          <w:tcPr>
            <w:tcW w:w="6095" w:type="dxa"/>
            <w:vAlign w:val="center"/>
          </w:tcPr>
          <w:p w:rsidR="000A3A56" w:rsidRPr="00F14994" w:rsidRDefault="000A3A56" w:rsidP="000A3A56">
            <w:pPr>
              <w:pStyle w:val="Tabletext"/>
              <w:rPr>
                <w:lang w:eastAsia="zh-CN"/>
              </w:rPr>
            </w:pPr>
            <w:r w:rsidRPr="00F14994">
              <w:rPr>
                <w:lang w:eastAsia="zh-CN"/>
              </w:rPr>
              <w:t>Description fonctionnelle à utiliser pour le développement d'outils logiciels destinés à déterminer la conformité des réseaux à satellites non géostationnaires du service fixe par satellite aux limites spécifiées dans l'Article 22 du Règlement des radiocommunications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S.1512</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Procédure de mesure pour déterminer la puissance isotrope rayonnée équivalente et la discrimination de l'antenne d'un satellite non géostationnaire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lastRenderedPageBreak/>
              <w:t>S.1521-1</w:t>
            </w:r>
          </w:p>
        </w:tc>
        <w:tc>
          <w:tcPr>
            <w:tcW w:w="6095" w:type="dxa"/>
            <w:vAlign w:val="center"/>
          </w:tcPr>
          <w:p w:rsidR="000A3A56" w:rsidRPr="00F14994" w:rsidRDefault="000A3A56" w:rsidP="000A3A56">
            <w:pPr>
              <w:pStyle w:val="Tabletext"/>
              <w:rPr>
                <w:lang w:eastAsia="zh-CN"/>
              </w:rPr>
            </w:pPr>
            <w:r w:rsidRPr="00F14994">
              <w:t>Caractéristiques d'erreur admissibles d'un conduit numérique fictif de référence basé sur la hiérarchie numérique synchrone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S.1522-1</w:t>
            </w:r>
          </w:p>
        </w:tc>
        <w:tc>
          <w:tcPr>
            <w:tcW w:w="6095" w:type="dxa"/>
            <w:vAlign w:val="center"/>
          </w:tcPr>
          <w:p w:rsidR="000A3A56" w:rsidRPr="00F14994" w:rsidRDefault="000A3A56" w:rsidP="000A3A56">
            <w:pPr>
              <w:pStyle w:val="Tabletext"/>
              <w:rPr>
                <w:lang w:eastAsia="zh-CN"/>
              </w:rPr>
            </w:pPr>
            <w:r w:rsidRPr="00F14994">
              <w:rPr>
                <w:lang w:eastAsia="zh-CN"/>
              </w:rPr>
              <w:t>Effets de la perte de synchronisation du temps de rétablissement sur la disponibilité dans les conduits numériques fictifs de référence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S.1523</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à appliquer dans les études d'évaluation paramétrique relatives à la sensibilité aux brouillages de systèmes géostationnaires du service fixe par satellite utilisant en partage des fréquences au-dessus de 10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Détermination de la nécessité de coordination entre réseaux à satellites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S.1525-1</w:t>
            </w:r>
          </w:p>
        </w:tc>
        <w:tc>
          <w:tcPr>
            <w:tcW w:w="6095" w:type="dxa"/>
            <w:vAlign w:val="center"/>
          </w:tcPr>
          <w:p w:rsidR="000A3A56" w:rsidRPr="00F14994" w:rsidRDefault="000A3A56" w:rsidP="000A3A56">
            <w:pPr>
              <w:pStyle w:val="Tabletext"/>
              <w:rPr>
                <w:lang w:eastAsia="zh-CN"/>
              </w:rPr>
            </w:pPr>
            <w:r w:rsidRPr="00F14994">
              <w:rPr>
                <w:lang w:eastAsia="zh-CN"/>
              </w:rPr>
              <w:t>Effets des brouillages dus au Soleil sur une liaison par satellite géostationnaire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S.1526-1</w:t>
            </w:r>
          </w:p>
        </w:tc>
        <w:tc>
          <w:tcPr>
            <w:tcW w:w="6095" w:type="dxa"/>
            <w:vAlign w:val="center"/>
          </w:tcPr>
          <w:p w:rsidR="000A3A56" w:rsidRPr="00F14994" w:rsidRDefault="000A3A56" w:rsidP="000A3A56">
            <w:pPr>
              <w:pStyle w:val="Tabletext"/>
              <w:rPr>
                <w:lang w:eastAsia="zh-CN"/>
              </w:rPr>
            </w:pPr>
            <w:r w:rsidRPr="00F14994">
              <w:rPr>
                <w:lang w:eastAsia="zh-CN"/>
              </w:rPr>
              <w:t>Méthode d'évaluation de l'environnement de brouillage relativement aux dispositions 9.12, 9.12A et 9.13 du Règlement des radiocommunications en présence de systèmes non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S.1527</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Procédure d'identification des satellites non géostationnaires brouillant une station terrienne géostationnaire en service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S.1528</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Diagrammes de rayonnement pour les antennes de satellite non géostationnaire utilisées dans le service fixe par satellite au-dessous de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S.1529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analytique de détermination des statistiques de brouillage entre systèmes du service fixe par satellite non géostationnaire et autres systèmes du service fixe par satellite non géostationnaire ou réseaux du service fixe par satellite géostationnaire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S.1553</w:t>
            </w:r>
            <w:r w:rsidR="00703AF1" w:rsidRPr="00F14994">
              <w:rPr>
                <w:b/>
                <w:bCs/>
              </w:rPr>
              <w:t>-0</w:t>
            </w:r>
          </w:p>
        </w:tc>
        <w:tc>
          <w:tcPr>
            <w:tcW w:w="6095" w:type="dxa"/>
            <w:vAlign w:val="center"/>
          </w:tcPr>
          <w:p w:rsidR="000A3A56" w:rsidRPr="00F14994" w:rsidRDefault="000A3A56" w:rsidP="000A3A56">
            <w:pPr>
              <w:pStyle w:val="Tablehead"/>
              <w:jc w:val="left"/>
              <w:rPr>
                <w:b w:val="0"/>
                <w:bCs/>
              </w:rPr>
            </w:pPr>
            <w:r w:rsidRPr="00F14994">
              <w:rPr>
                <w:b w:val="0"/>
                <w:bCs/>
                <w:lang w:eastAsia="zh-CN"/>
              </w:rPr>
              <w:t>Méthode envisageable pour prendre en compte les effets environnementaux et autres sur les diagrammes d'antenne de satellite</w:t>
            </w:r>
          </w:p>
        </w:tc>
        <w:tc>
          <w:tcPr>
            <w:tcW w:w="1418" w:type="dxa"/>
          </w:tcPr>
          <w:p w:rsidR="000A3A56" w:rsidRPr="00F14994" w:rsidRDefault="000A3A56" w:rsidP="000A3A56">
            <w:pPr>
              <w:pStyle w:val="Tablehead"/>
              <w:rPr>
                <w:b w:val="0"/>
                <w:bCs/>
              </w:rPr>
            </w:pPr>
            <w:r w:rsidRPr="00F14994">
              <w:rPr>
                <w:b w:val="0"/>
                <w:bCs/>
              </w:rPr>
              <w:t>NOC</w:t>
            </w:r>
          </w:p>
        </w:tc>
        <w:tc>
          <w:tcPr>
            <w:tcW w:w="1559" w:type="dxa"/>
          </w:tcPr>
          <w:p w:rsidR="000A3A56" w:rsidRPr="00F14994" w:rsidRDefault="000A3A56" w:rsidP="000A3A56">
            <w:pPr>
              <w:pStyle w:val="Tabletitle"/>
              <w:rPr>
                <w:sz w:val="22"/>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de détermination de la précision globale des mesures d'epfd</w:t>
            </w:r>
            <w:r w:rsidRPr="00F14994">
              <w:rPr>
                <w:rFonts w:ascii="Times New Roman Bold" w:hAnsi="Times New Roman Bold"/>
                <w:position w:val="-6"/>
                <w:sz w:val="24"/>
              </w:rPr>
              <w:sym w:font="Symbol" w:char="F0AF"/>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S.1555</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Niveaux de brouillage cumulatif entre réseaux du service fixe par satellite à satellite géostationnaire faiblement espacés utilisant une polarisation circulaire double et rectiligne double et fonctionnant dans les bandes des 6/4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S.1556</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permettant de déterminer le niveau d'epfd</w:t>
            </w:r>
            <w:r w:rsidRPr="00F14994">
              <w:rPr>
                <w:rFonts w:ascii="Times New Roman Bold" w:hAnsi="Times New Roman Bold"/>
                <w:position w:val="-6"/>
                <w:sz w:val="24"/>
              </w:rPr>
              <w:sym w:font="Symbol" w:char="F0AF"/>
            </w:r>
            <w:r w:rsidRPr="00F14994">
              <w:rPr>
                <w:lang w:eastAsia="zh-CN"/>
              </w:rPr>
              <w:t xml:space="preserve"> correspondant à la perte de synchronisation des réseaux à satellites géostationnaires du service fixe par satellite, due au brouillage causé par des systèmes non géostationnaires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S.1557</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Caractéristiques et prescriptions opérationnelles relatives aux systèmes du service fixe par satellite fonctionnant dans les bandes 50/40 GHz à utiliser pour les études de partage entre le service fixe par satellite et le service fixe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S.1558</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de mesure permettant de vérifier la conformité de l'epf</w:t>
            </w:r>
            <w:r w:rsidRPr="00F14994">
              <w:rPr>
                <w:rFonts w:ascii="Times New Roman Bold" w:hAnsi="Times New Roman Bold"/>
                <w:position w:val="-6"/>
                <w:sz w:val="24"/>
              </w:rPr>
              <w:sym w:font="Symbol" w:char="F0AF"/>
            </w:r>
            <w:r w:rsidRPr="00F14994">
              <w:rPr>
                <w:lang w:eastAsia="zh-CN"/>
              </w:rPr>
              <w:t xml:space="preserve"> émise par une station spatiale non géostationnaire avec les limites d'epfd</w:t>
            </w:r>
            <w:r w:rsidRPr="00F14994">
              <w:rPr>
                <w:rFonts w:ascii="Times New Roman Bold" w:hAnsi="Times New Roman Bold"/>
                <w:position w:val="-6"/>
                <w:sz w:val="24"/>
              </w:rPr>
              <w:sym w:font="Symbol" w:char="F0AF"/>
            </w:r>
            <w:r w:rsidRPr="00F14994">
              <w:rPr>
                <w:lang w:eastAsia="zh-CN"/>
              </w:rPr>
              <w:t>opérationnelles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S.1559</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de calcul de la distribution géographique des niveaux de puissance surfacique équivalente sur la liaison descendante maximum générés par des systèmes non géostationnaires du service fixe par satellite utilisant des orbites circulaires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lastRenderedPageBreak/>
              <w:t>S.1560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de calcul des niveaux des brouillages dans le cas le plus défavorable causés par un type particulier de système non géostationnaire du service fixe par satellite utilisant des orbites fortement elliptiques, à des réseaux à satellite géostationnaire du service fixe exploités dans les bandes des 4/6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S.1586-1</w:t>
            </w:r>
          </w:p>
        </w:tc>
        <w:tc>
          <w:tcPr>
            <w:tcW w:w="6095" w:type="dxa"/>
            <w:vAlign w:val="center"/>
          </w:tcPr>
          <w:p w:rsidR="000A3A56" w:rsidRPr="00F14994" w:rsidRDefault="000A3A56" w:rsidP="000A3A56">
            <w:pPr>
              <w:pStyle w:val="Tabletext"/>
            </w:pPr>
            <w:r w:rsidRPr="00F14994">
              <w:t>Calcul des niveaux de rayonnements non désirés produits par un système à satellites non géostationnaires du service fixe par satellite au niveau des sites de radioastronomie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703AF1" w:rsidP="000A3A56">
            <w:pPr>
              <w:pStyle w:val="Tabletext"/>
              <w:jc w:val="center"/>
              <w:rPr>
                <w:b/>
                <w:bCs/>
              </w:rPr>
            </w:pPr>
            <w:r w:rsidRPr="00F14994">
              <w:rPr>
                <w:b/>
                <w:bCs/>
              </w:rPr>
              <w:t>S.1587-3</w:t>
            </w:r>
          </w:p>
        </w:tc>
        <w:tc>
          <w:tcPr>
            <w:tcW w:w="6095" w:type="dxa"/>
            <w:vAlign w:val="center"/>
          </w:tcPr>
          <w:p w:rsidR="000A3A56" w:rsidRPr="00F14994" w:rsidRDefault="000A3A56" w:rsidP="000A3A56">
            <w:pPr>
              <w:pStyle w:val="Tabletext"/>
              <w:rPr>
                <w:lang w:eastAsia="zh-CN"/>
              </w:rPr>
            </w:pPr>
            <w:r w:rsidRPr="00F14994">
              <w:t>Caractéristiques techniques des stations terriennes de navire communiquant avec des satellites du service fixe par satellite dans les bandes de fréquences 5</w:t>
            </w:r>
            <w:r w:rsidRPr="00F14994">
              <w:rPr>
                <w:rFonts w:ascii="Tms Rmn" w:hAnsi="Tms Rmn"/>
                <w:sz w:val="12"/>
              </w:rPr>
              <w:t> </w:t>
            </w:r>
            <w:r w:rsidRPr="00F14994">
              <w:t>925-6</w:t>
            </w:r>
            <w:r w:rsidRPr="00F14994">
              <w:rPr>
                <w:rFonts w:ascii="Tms Rmn" w:hAnsi="Tms Rmn"/>
                <w:sz w:val="12"/>
              </w:rPr>
              <w:t> </w:t>
            </w:r>
            <w:r w:rsidRPr="00F14994">
              <w:t>425 MHz et 14-14,5 GHz qui sont attribuées au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S.1588</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de calcul de la puissance surfacique équivalente sur la liaison descendante cumulative produite par plusieurs systèmes non géostationnaires du service fixe par satellite en direction d'un réseau géostationnaire du service fixe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S.1589</w:t>
            </w:r>
            <w:r w:rsidR="00703AF1" w:rsidRPr="00F14994">
              <w:rPr>
                <w:b/>
                <w:bCs/>
              </w:rPr>
              <w:t>-0</w:t>
            </w:r>
          </w:p>
        </w:tc>
        <w:tc>
          <w:tcPr>
            <w:tcW w:w="6095" w:type="dxa"/>
            <w:vAlign w:val="center"/>
          </w:tcPr>
          <w:p w:rsidR="000A3A56" w:rsidRPr="00F14994" w:rsidRDefault="000A3A56" w:rsidP="000A3A56">
            <w:pPr>
              <w:pStyle w:val="Tabletext"/>
              <w:rPr>
                <w:i/>
                <w:iCs/>
                <w:lang w:eastAsia="zh-CN"/>
              </w:rPr>
            </w:pPr>
            <w:r w:rsidRPr="00F14994">
              <w:t>Courbes continues d'epfd</w:t>
            </w:r>
            <w:r w:rsidRPr="00F14994">
              <w:rPr>
                <w:rFonts w:ascii="Times New Roman Bold" w:hAnsi="Times New Roman Bold"/>
                <w:position w:val="-6"/>
                <w:sz w:val="24"/>
              </w:rPr>
              <w:sym w:font="Symbol" w:char="F0AF"/>
            </w:r>
            <w:r w:rsidRPr="00F14994">
              <w:t xml:space="preserve"> en fonction des diamètres d'antenne de station terrienne du SFS OSG et d'epfd</w:t>
            </w:r>
            <w:r w:rsidRPr="00F14994">
              <w:rPr>
                <w:position w:val="-6"/>
                <w:sz w:val="24"/>
              </w:rPr>
              <w:sym w:font="Symbol" w:char="F0AD"/>
            </w:r>
            <w:r w:rsidRPr="00F14994">
              <w:t xml:space="preserve"> en fonction des ouvertures de faisceau d'antenne de station spatiale du service fixe par satellite géostationnaire pour déterminer la protection assurée par les systèmes conformes aux limites requises pour les antennes de diamètres autres que ceux de l'Article 22 du Règlement des radiocommunications</w:t>
            </w:r>
            <w:r w:rsidRPr="00F14994">
              <w:rPr>
                <w:color w:val="FF0000"/>
                <w:lang w:eastAsia="zh-CN"/>
              </w:rPr>
              <w:t xml:space="preserve"> </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S.1590</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Caractéristiques techniques et opérationnelles des satellites fonctionnant dans la gamme de 20-375 THz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S.1591</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Partage des bandes du service inter-satellites autour des 23, 32,5 et 64,5 GHz, entre liaisons inter-satellites non géostationnaires/géostationnaires et liaisons inter-satellites géostationnaires/géostationnaires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S.1592</w:t>
            </w:r>
            <w:r w:rsidR="00703AF1" w:rsidRPr="00F14994">
              <w:rPr>
                <w:b/>
                <w:bCs/>
              </w:rPr>
              <w:t>-0</w:t>
            </w:r>
          </w:p>
        </w:tc>
        <w:tc>
          <w:tcPr>
            <w:tcW w:w="6095" w:type="dxa"/>
            <w:vAlign w:val="center"/>
          </w:tcPr>
          <w:p w:rsidR="000A3A56" w:rsidRPr="00F14994" w:rsidRDefault="000A3A56" w:rsidP="000A3A56">
            <w:pPr>
              <w:pStyle w:val="Tablehead"/>
              <w:jc w:val="left"/>
              <w:rPr>
                <w:b w:val="0"/>
                <w:bCs/>
              </w:rPr>
            </w:pPr>
            <w:r w:rsidRPr="00F14994">
              <w:rPr>
                <w:b w:val="0"/>
                <w:bCs/>
                <w:lang w:eastAsia="zh-CN"/>
              </w:rPr>
              <w:t>Méthodologie d'évaluation de la conformité des systèmes à satellites non géostationnaires en orbite circulaire du service fixe par satellite avec les limites opérationnelles additionnelles de la puissance surfacique équivalente sur la liaison descendante spécifiées à l'Article 22 du Règlement des radiocommunications</w:t>
            </w:r>
          </w:p>
        </w:tc>
        <w:tc>
          <w:tcPr>
            <w:tcW w:w="1418" w:type="dxa"/>
          </w:tcPr>
          <w:p w:rsidR="000A3A56" w:rsidRPr="00F14994" w:rsidRDefault="000A3A56" w:rsidP="000A3A56">
            <w:pPr>
              <w:pStyle w:val="Tablehead"/>
              <w:rPr>
                <w:b w:val="0"/>
                <w:bCs/>
              </w:rPr>
            </w:pPr>
            <w:r w:rsidRPr="00F14994">
              <w:rPr>
                <w:b w:val="0"/>
                <w:bCs/>
              </w:rPr>
              <w:t>NOC</w:t>
            </w:r>
          </w:p>
        </w:tc>
        <w:tc>
          <w:tcPr>
            <w:tcW w:w="1559" w:type="dxa"/>
          </w:tcPr>
          <w:p w:rsidR="000A3A56" w:rsidRPr="00F14994" w:rsidRDefault="000A3A56" w:rsidP="000A3A56">
            <w:pPr>
              <w:pStyle w:val="Tabletitle"/>
              <w:rPr>
                <w:sz w:val="22"/>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S.1593</w:t>
            </w:r>
            <w:r w:rsidR="00703AF1" w:rsidRPr="00F14994">
              <w:rPr>
                <w:b/>
                <w:bCs/>
              </w:rPr>
              <w:t>-0</w:t>
            </w:r>
          </w:p>
        </w:tc>
        <w:tc>
          <w:tcPr>
            <w:tcW w:w="6095" w:type="dxa"/>
            <w:vAlign w:val="center"/>
          </w:tcPr>
          <w:p w:rsidR="000A3A56" w:rsidRPr="00F14994" w:rsidRDefault="000A3A56" w:rsidP="000A3A56">
            <w:pPr>
              <w:pStyle w:val="Tabletext"/>
            </w:pPr>
            <w:r w:rsidRPr="00F14994">
              <w:rPr>
                <w:lang w:eastAsia="zh-CN"/>
              </w:rPr>
              <w:t>Méthode de partage de fréquences entre certains types de systèmes homogènes non géostationnaires du service fixe par satellite à orbite fortement elliptique dans les bandes de fréquences de 4/6 et 11/14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S.1594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Caractéristiques techniques des stations terriennes du service fixe par satellite à haute densité émettant dans la gamme des 30 GHz vers des stations spatiales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S.1595</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Techniques de limitation des brouillages pour faciliter la coordination entre systèmes à satellites non géostationnaires du service fixe par satellite en orbite fortement elliptique et systèmes à satellites non géostationnaires du service fixe par satellite en orbite terrestre basse ou moyenne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S.1647</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permettant de déterminer les brouillages correspondant au cas le plus défavorable entre certains types de systèmes non OSG du SFS en l'absence de brouillages par alignement</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S.1655</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Techniques de réduction des brouillages et partage des fréquences dans les bandes 37,5-42,5 GHz et 47,2-50,2 GHz entre les réseaux géostationnaires du service fixe par satellite et les systèmes non géostationnaires du service fixe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lastRenderedPageBreak/>
              <w:t>S.1656</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Spécifications générales d'un logiciel d'automatisation de l'examen des fiches de notification de réseaux à satellite pour en vérifier la conformité à l'Article 5 du Règlement des radiocommunications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S.1672</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Lignes directrices à appliquer en cas de non-respect des limites opérationnelles et/ou opérationnelles additionnelles pour une seule source de brouillage spécifiées dans la Section II de l'Article 22 du Règlement des radiocommunications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S.1673-1</w:t>
            </w:r>
          </w:p>
        </w:tc>
        <w:tc>
          <w:tcPr>
            <w:tcW w:w="6095" w:type="dxa"/>
            <w:vAlign w:val="center"/>
          </w:tcPr>
          <w:p w:rsidR="000A3A56" w:rsidRPr="00F14994" w:rsidRDefault="000A3A56" w:rsidP="000A3A56">
            <w:pPr>
              <w:pStyle w:val="Tabletext"/>
              <w:rPr>
                <w:lang w:eastAsia="zh-CN"/>
              </w:rPr>
            </w:pPr>
            <w:r w:rsidRPr="00F14994">
              <w:t>Méthodes de calcul des niveaux de brouillage, dans le cas le plus défavorable, causés par un système à satellites non géostationnaire de type HEO du service fixe par satellite à des réseaux à satellite géostationnaire du service fixe par satellite exploités dans les bandes de fréquences comprises entre 10 et 30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S.1709-1</w:t>
            </w:r>
          </w:p>
        </w:tc>
        <w:tc>
          <w:tcPr>
            <w:tcW w:w="6095" w:type="dxa"/>
            <w:vAlign w:val="center"/>
          </w:tcPr>
          <w:p w:rsidR="000A3A56" w:rsidRPr="00F14994" w:rsidRDefault="000A3A56" w:rsidP="000A3A56">
            <w:pPr>
              <w:pStyle w:val="Tabletext"/>
              <w:rPr>
                <w:lang w:eastAsia="zh-CN"/>
              </w:rPr>
            </w:pPr>
            <w:r w:rsidRPr="00F14994">
              <w:t>Caractéristiques techniques des interfaces radioélectriques pour les systèmes à satellites large bande mondiaux</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S.1711-1</w:t>
            </w:r>
          </w:p>
        </w:tc>
        <w:tc>
          <w:tcPr>
            <w:tcW w:w="6095" w:type="dxa"/>
            <w:vAlign w:val="center"/>
          </w:tcPr>
          <w:p w:rsidR="000A3A56" w:rsidRPr="00F14994" w:rsidRDefault="000A3A56" w:rsidP="000A3A56">
            <w:pPr>
              <w:pStyle w:val="Tabletext"/>
              <w:rPr>
                <w:lang w:eastAsia="zh-CN"/>
              </w:rPr>
            </w:pPr>
            <w:r w:rsidRPr="00F14994">
              <w:rPr>
                <w:lang w:eastAsia="zh-CN"/>
              </w:rPr>
              <w:t>Améliorations des performances du protocole de commande de transmission sur les réseaux à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3" w:history="1">
              <w:r w:rsidR="000A3A56" w:rsidRPr="00F14994">
                <w:rPr>
                  <w:b/>
                  <w:bCs/>
                </w:rPr>
                <w:t>S.1712</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Méthodes permettant de déterminer si une station terrienne du SFS située en un emplacement donné peut émettre dans la bande 13,75-14 GHz sans dépasser les limites de puissance surfacique indiquées dans le numéro 5.502 du Règlement des radiocommunications et lignes directrices pour limiter les dépassements</w:t>
            </w:r>
          </w:p>
        </w:tc>
        <w:tc>
          <w:tcPr>
            <w:tcW w:w="1418" w:type="dxa"/>
          </w:tcPr>
          <w:p w:rsidR="000A3A56" w:rsidRPr="00F14994" w:rsidRDefault="000A3A56" w:rsidP="000A3A56">
            <w:pPr>
              <w:pStyle w:val="Tabletext"/>
              <w:jc w:val="center"/>
            </w:pPr>
            <w:r w:rsidRPr="00F14994">
              <w:rPr>
                <w:rStyle w:val="Strong"/>
              </w:rPr>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S.1713-1</w:t>
            </w:r>
          </w:p>
        </w:tc>
        <w:tc>
          <w:tcPr>
            <w:tcW w:w="6095" w:type="dxa"/>
            <w:vAlign w:val="center"/>
          </w:tcPr>
          <w:p w:rsidR="000A3A56" w:rsidRPr="00F14994" w:rsidRDefault="000A3A56" w:rsidP="000A3A56">
            <w:pPr>
              <w:pStyle w:val="Tabletext"/>
              <w:rPr>
                <w:lang w:eastAsia="zh-CN"/>
              </w:rPr>
            </w:pPr>
            <w:r w:rsidRPr="00F14994">
              <w:rPr>
                <w:lang w:eastAsia="zh-CN"/>
              </w:rPr>
              <w:t>Méthode de calcul de l'espacement angulaire minimal à la surface de la Terre entre un satellite non géostationnaire du SFS du type HEO dans son arc «actif» et un satellite géostationnaire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4" w:history="1">
              <w:r w:rsidR="000A3A56" w:rsidRPr="00F14994">
                <w:rPr>
                  <w:b/>
                  <w:bCs/>
                </w:rPr>
                <w:t>S.1714</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Méthode statique permettant de calculer la puissance surfacique équivalente</w:t>
            </w:r>
            <w:r w:rsidRPr="00F14994">
              <w:rPr>
                <w:rFonts w:ascii="Times New Roman Bold" w:hAnsi="Times New Roman Bold"/>
                <w:position w:val="-6"/>
                <w:sz w:val="24"/>
              </w:rPr>
              <w:sym w:font="Symbol" w:char="F0AF"/>
            </w:r>
            <w:r w:rsidRPr="00F14994">
              <w:rPr>
                <w:rFonts w:ascii="Times New Roman Bold" w:hAnsi="Times New Roman Bold"/>
                <w:position w:val="-6"/>
                <w:sz w:val="24"/>
              </w:rPr>
              <w:t xml:space="preserve"> </w:t>
            </w:r>
            <w:r w:rsidRPr="00F14994">
              <w:rPr>
                <w:lang w:eastAsia="zh-CN"/>
              </w:rPr>
              <w:t>pour faciliter la coordination de très grandes antennes conformément aux numéros 9.7A et 9.7B du Règlement des radiocommunications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5" w:history="1">
              <w:r w:rsidR="000A3A56" w:rsidRPr="00F14994">
                <w:rPr>
                  <w:b/>
                  <w:bCs/>
                </w:rPr>
                <w:t>S.1715</w:t>
              </w:r>
            </w:hyperlink>
            <w:r w:rsidR="00703AF1" w:rsidRPr="00F14994">
              <w:rPr>
                <w:b/>
                <w:bCs/>
              </w:rPr>
              <w:t>-0</w:t>
            </w:r>
          </w:p>
        </w:tc>
        <w:tc>
          <w:tcPr>
            <w:tcW w:w="6095" w:type="dxa"/>
            <w:vAlign w:val="center"/>
          </w:tcPr>
          <w:p w:rsidR="000A3A56" w:rsidRPr="00F14994" w:rsidRDefault="000A3A56" w:rsidP="000A3A56">
            <w:pPr>
              <w:pStyle w:val="Tablehead"/>
              <w:jc w:val="left"/>
              <w:rPr>
                <w:b w:val="0"/>
                <w:bCs/>
              </w:rPr>
            </w:pPr>
            <w:r w:rsidRPr="00F14994">
              <w:rPr>
                <w:b w:val="0"/>
                <w:bCs/>
                <w:lang w:eastAsia="zh-CN"/>
              </w:rPr>
              <w:t>Lignes directrices élaborées à la suite des études demandées dans la Résolution 140 (CMR-03)</w:t>
            </w:r>
          </w:p>
        </w:tc>
        <w:tc>
          <w:tcPr>
            <w:tcW w:w="1418" w:type="dxa"/>
          </w:tcPr>
          <w:p w:rsidR="000A3A56" w:rsidRPr="00F14994" w:rsidRDefault="000A3A56" w:rsidP="000A3A56">
            <w:pPr>
              <w:pStyle w:val="Tablehead"/>
              <w:rPr>
                <w:b w:val="0"/>
                <w:bCs/>
              </w:rPr>
            </w:pPr>
            <w:r w:rsidRPr="00F14994">
              <w:rPr>
                <w:b w:val="0"/>
                <w:bCs/>
              </w:rPr>
              <w:t>NOC</w:t>
            </w:r>
          </w:p>
        </w:tc>
        <w:tc>
          <w:tcPr>
            <w:tcW w:w="1559" w:type="dxa"/>
          </w:tcPr>
          <w:p w:rsidR="000A3A56" w:rsidRPr="00F14994" w:rsidRDefault="000A3A56" w:rsidP="000A3A56">
            <w:pPr>
              <w:pStyle w:val="Tabletitle"/>
              <w:rPr>
                <w:b w:val="0"/>
                <w:bCs/>
                <w:sz w:val="22"/>
              </w:rPr>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6" w:history="1">
              <w:r w:rsidR="000A3A56" w:rsidRPr="00F14994">
                <w:rPr>
                  <w:b/>
                  <w:bCs/>
                </w:rPr>
                <w:t>S.1716</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Objectifs de qualité de fonctionnement et de disponibilité pour les systèmes de télémesure, de poursuite et de télécommande du SFS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7" w:history="1">
              <w:r w:rsidR="000A3A56" w:rsidRPr="00F14994">
                <w:rPr>
                  <w:b/>
                  <w:bCs/>
                </w:rPr>
                <w:t>S.1717</w:t>
              </w:r>
            </w:hyperlink>
            <w:r w:rsidR="00703AF1" w:rsidRPr="00F14994">
              <w:rPr>
                <w:b/>
                <w:bCs/>
              </w:rPr>
              <w:t>-</w:t>
            </w:r>
            <w:r w:rsidR="00167091">
              <w:rPr>
                <w:b/>
                <w:bCs/>
              </w:rPr>
              <w:t>1</w:t>
            </w:r>
          </w:p>
        </w:tc>
        <w:tc>
          <w:tcPr>
            <w:tcW w:w="6095" w:type="dxa"/>
            <w:vAlign w:val="center"/>
          </w:tcPr>
          <w:p w:rsidR="000A3A56" w:rsidRPr="00F14994" w:rsidRDefault="000A3A56" w:rsidP="000A3A56">
            <w:pPr>
              <w:pStyle w:val="Tabletext"/>
              <w:rPr>
                <w:lang w:eastAsia="zh-CN"/>
              </w:rPr>
            </w:pPr>
            <w:r w:rsidRPr="00F14994">
              <w:rPr>
                <w:lang w:eastAsia="zh-CN"/>
              </w:rPr>
              <w:t>Format des fichiers de données électroniques pour les diagrammes d'antenne de station terrienne</w:t>
            </w:r>
          </w:p>
        </w:tc>
        <w:tc>
          <w:tcPr>
            <w:tcW w:w="1418" w:type="dxa"/>
          </w:tcPr>
          <w:p w:rsidR="000A3A56" w:rsidRPr="00F14994" w:rsidRDefault="000A3A56" w:rsidP="000A3A56">
            <w:pPr>
              <w:pStyle w:val="Tabletext"/>
              <w:jc w:val="center"/>
              <w:rPr>
                <w:b/>
                <w:bCs/>
              </w:rP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8" w:history="1">
              <w:r w:rsidR="000A3A56" w:rsidRPr="00F14994">
                <w:rPr>
                  <w:b/>
                  <w:bCs/>
                </w:rPr>
                <w:t>S.1718</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Valeurs de puissance surfacique dans la bande 11,7-12,7 GHz et méthode de calcul associée pouvant être utilisées lorsque les valeurs de puissance surfacique indiquées au § 6 de l'Annexe 1 de l'Appendice 30 du Règlement des radiocommunications sont dépassées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99" w:history="1">
              <w:r w:rsidR="000A3A56" w:rsidRPr="00F14994">
                <w:rPr>
                  <w:b/>
                  <w:bCs/>
                </w:rPr>
                <w:t>S.1758</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Caractérisation des systèmes de type HEO fonctionnant dans le SFS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100" w:history="1">
              <w:r w:rsidR="000A3A56" w:rsidRPr="00F14994">
                <w:rPr>
                  <w:b/>
                  <w:bCs/>
                </w:rPr>
                <w:t>S.1759</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rPr>
                <w:lang w:eastAsia="zh-CN"/>
              </w:rPr>
              <w:t>Analyse des brouillages causés par les émissions des exploitations spatiales des systèmes HEO dans les bandes du SFS sur les réseaux OSG, et directives correspondantes à utiliser pour la conception et l'exploitation d'équipements de TP&amp;T destinés aux systèmes du SFS du type HEO</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101" w:history="1">
              <w:r w:rsidR="000A3A56" w:rsidRPr="00F14994">
                <w:rPr>
                  <w:b/>
                  <w:bCs/>
                </w:rPr>
                <w:t>S.1779</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t>Caractéristiques des systèmes du service fixe par satellite utilisant des signaux avec étalement sur une large bande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102" w:history="1">
              <w:r w:rsidR="000A3A56" w:rsidRPr="00F14994">
                <w:rPr>
                  <w:b/>
                  <w:bCs/>
                </w:rPr>
                <w:t>S.1780</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t>Coordination entre réseaux à satellites géostationnaires du service fixe par satellite et réseaux à satellite géostationnaire du service de radiodiffusion par satellite dans la bande 17,3-17,8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103" w:history="1">
              <w:r w:rsidR="000A3A56" w:rsidRPr="00F14994">
                <w:rPr>
                  <w:b/>
                  <w:bCs/>
                </w:rPr>
                <w:t>S.1781</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t>Méthode pouvant être utilisée pour le partage de fréquences entre réseaux géostationnaires du service fixe par satellite dans les deux sens comportant des stations terriennes ubiquitaires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104" w:history="1">
              <w:r w:rsidR="000A3A56" w:rsidRPr="00F14994">
                <w:rPr>
                  <w:b/>
                  <w:bCs/>
                </w:rPr>
                <w:t>S.1782</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t>Possibilités de fournir un accès à l'Internet large bande au niveau mondial à l'aide de systèmes du SFS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9C4BE7" w:rsidP="000A3A56">
            <w:pPr>
              <w:pStyle w:val="Tabletext"/>
              <w:jc w:val="center"/>
              <w:rPr>
                <w:b/>
                <w:bCs/>
              </w:rPr>
            </w:pPr>
            <w:hyperlink r:id="rId105" w:history="1">
              <w:r w:rsidR="000A3A56" w:rsidRPr="00F14994">
                <w:rPr>
                  <w:b/>
                  <w:bCs/>
                </w:rPr>
                <w:t>S.1783</w:t>
              </w:r>
            </w:hyperlink>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t xml:space="preserve">Spécificités techniques et opérationnelles caractérisant des applications haute densité du service fixe par satellite </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S.1806</w:t>
            </w:r>
            <w:r w:rsidR="00703AF1" w:rsidRPr="00F14994">
              <w:rPr>
                <w:b/>
                <w:bCs/>
              </w:rPr>
              <w:t>-0</w:t>
            </w:r>
          </w:p>
        </w:tc>
        <w:tc>
          <w:tcPr>
            <w:tcW w:w="6095" w:type="dxa"/>
            <w:vAlign w:val="center"/>
          </w:tcPr>
          <w:p w:rsidR="000A3A56" w:rsidRPr="00F14994" w:rsidRDefault="000A3A56" w:rsidP="000A3A56">
            <w:pPr>
              <w:pStyle w:val="Tabletext"/>
            </w:pPr>
            <w:r w:rsidRPr="00F14994">
              <w:t>Objectifs de disponibilité pour les conduits numériques fictifs de référence du service fixe par satellite fonctionnant au</w:t>
            </w:r>
            <w:r w:rsidRPr="00F14994">
              <w:noBreakHyphen/>
              <w:t>dessous de 15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ascii="Trebuchet MS" w:hAnsi="Trebuchet MS"/>
                <w:color w:val="000000"/>
                <w:sz w:val="15"/>
                <w:szCs w:val="15"/>
                <w:lang w:eastAsia="zh-CN"/>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S.1844</w:t>
            </w:r>
            <w:r w:rsidR="00703AF1" w:rsidRPr="00F14994">
              <w:rPr>
                <w:b/>
                <w:bCs/>
              </w:rPr>
              <w:t>-0</w:t>
            </w:r>
          </w:p>
        </w:tc>
        <w:tc>
          <w:tcPr>
            <w:tcW w:w="6095" w:type="dxa"/>
            <w:vAlign w:val="center"/>
          </w:tcPr>
          <w:p w:rsidR="000A3A56" w:rsidRPr="00F14994" w:rsidRDefault="000A3A56" w:rsidP="000A3A56">
            <w:pPr>
              <w:pStyle w:val="Tabletext"/>
              <w:rPr>
                <w:lang w:eastAsia="zh-CN"/>
              </w:rPr>
            </w:pPr>
            <w:r w:rsidRPr="00F14994">
              <w:t>Diagramme de gain de référence de polarisation croisée pour des microstations (VSAT) utilisant une polarisation rectiligne dans la gamme de fréquences comprise entre 2 et 31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ascii="Trebuchet MS" w:hAnsi="Trebuchet MS"/>
                <w:color w:val="000000"/>
                <w:sz w:val="15"/>
                <w:szCs w:val="15"/>
                <w:lang w:eastAsia="zh-CN"/>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S.1855</w:t>
            </w:r>
            <w:r w:rsidR="00703AF1" w:rsidRPr="00F14994">
              <w:rPr>
                <w:b/>
                <w:bCs/>
              </w:rPr>
              <w:t>-0</w:t>
            </w:r>
          </w:p>
        </w:tc>
        <w:tc>
          <w:tcPr>
            <w:tcW w:w="6095" w:type="dxa"/>
            <w:vAlign w:val="center"/>
          </w:tcPr>
          <w:p w:rsidR="000A3A56" w:rsidRPr="00F14994" w:rsidRDefault="000A3A56" w:rsidP="000A3A56">
            <w:pPr>
              <w:pStyle w:val="Tabletext"/>
            </w:pPr>
            <w:r w:rsidRPr="00F14994">
              <w:rPr>
                <w:szCs w:val="24"/>
              </w:rPr>
              <w:t>Nouveau diagramme de rayonnement de référence d'antenne pour les stations terriennes exploitées en association avec des satellites géostationnaires à utiliser pour la coordination et/ou l'évaluation des brouillages dans la gamme des fréquences comprises entre 2 et 31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ascii="Trebuchet MS" w:hAnsi="Trebuchet MS"/>
                <w:color w:val="000000"/>
                <w:sz w:val="15"/>
                <w:szCs w:val="15"/>
                <w:lang w:eastAsia="zh-CN"/>
              </w:rPr>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S.1856</w:t>
            </w:r>
            <w:r w:rsidR="00703AF1" w:rsidRPr="00F14994">
              <w:rPr>
                <w:b/>
                <w:bCs/>
              </w:rPr>
              <w:t>-0</w:t>
            </w:r>
          </w:p>
        </w:tc>
        <w:tc>
          <w:tcPr>
            <w:tcW w:w="6095" w:type="dxa"/>
            <w:vAlign w:val="center"/>
          </w:tcPr>
          <w:p w:rsidR="000A3A56" w:rsidRPr="00F14994" w:rsidRDefault="000A3A56" w:rsidP="000A3A56">
            <w:pPr>
              <w:pStyle w:val="Tabletext"/>
            </w:pPr>
            <w:r w:rsidRPr="00F14994">
              <w:rPr>
                <w:szCs w:val="24"/>
              </w:rPr>
              <w:t>Méthodes à appliquer pour déterminer si les émissions d'une station IMT située en un lieu donné et fonctionnant dans la bande 3 400</w:t>
            </w:r>
            <w:r w:rsidRPr="00F14994">
              <w:rPr>
                <w:szCs w:val="24"/>
              </w:rPr>
              <w:noBreakHyphen/>
              <w:t>3 600 MHz ne dépasseront pas les limites de puissance surfacique indiquées dans les numéros 5.430A, 5.432A, 5.432B et 5.433A du Règlement des radiocommunications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S.1857</w:t>
            </w:r>
            <w:r w:rsidR="00703AF1" w:rsidRPr="00F14994">
              <w:rPr>
                <w:b/>
                <w:bCs/>
              </w:rPr>
              <w:t>-0</w:t>
            </w:r>
          </w:p>
        </w:tc>
        <w:tc>
          <w:tcPr>
            <w:tcW w:w="6095" w:type="dxa"/>
            <w:vAlign w:val="center"/>
          </w:tcPr>
          <w:p w:rsidR="000A3A56" w:rsidRPr="00F14994" w:rsidRDefault="000A3A56" w:rsidP="000A3A56">
            <w:pPr>
              <w:pStyle w:val="Tabletext"/>
            </w:pPr>
            <w:r w:rsidRPr="00F14994">
              <w:t>Méthodes d'estimation des niveaux de densité de p.i.r.e. hors axe et d'évaluation du brouillage de satellites adjacents résultant d'erreurs de pointage de stations terriennes à bord de véhicules dans la bande de fréquences des 14 GHz</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0A3A56" w:rsidP="000A3A56">
            <w:pPr>
              <w:pStyle w:val="Tabletext"/>
              <w:jc w:val="center"/>
              <w:rPr>
                <w:b/>
                <w:bCs/>
              </w:rPr>
            </w:pPr>
            <w:r w:rsidRPr="00F14994">
              <w:rPr>
                <w:b/>
                <w:bCs/>
              </w:rPr>
              <w:t>S.1878</w:t>
            </w:r>
            <w:r w:rsidR="00703AF1" w:rsidRPr="00F14994">
              <w:rPr>
                <w:b/>
                <w:bCs/>
              </w:rPr>
              <w:t>-0</w:t>
            </w:r>
          </w:p>
        </w:tc>
        <w:tc>
          <w:tcPr>
            <w:tcW w:w="6095" w:type="dxa"/>
            <w:vAlign w:val="center"/>
          </w:tcPr>
          <w:p w:rsidR="000A3A56" w:rsidRPr="00F14994" w:rsidRDefault="000A3A56" w:rsidP="000A3A56">
            <w:pPr>
              <w:pStyle w:val="Tabletext"/>
            </w:pPr>
            <w:r w:rsidRPr="00F14994">
              <w:rPr>
                <w:lang w:eastAsia="ko-KR"/>
              </w:rPr>
              <w:t>Techniques de transmission multiporteuses pour les systèmes à satellites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r w:rsidR="000A3A56" w:rsidRPr="00F14994" w:rsidTr="000C272D">
        <w:trPr>
          <w:cantSplit/>
          <w:tblHeader/>
        </w:trPr>
        <w:tc>
          <w:tcPr>
            <w:tcW w:w="1135" w:type="dxa"/>
          </w:tcPr>
          <w:p w:rsidR="000A3A56" w:rsidRPr="00F14994" w:rsidRDefault="00703AF1" w:rsidP="000A3A56">
            <w:pPr>
              <w:pStyle w:val="Tabletext"/>
              <w:jc w:val="center"/>
              <w:rPr>
                <w:b/>
                <w:bCs/>
              </w:rPr>
            </w:pPr>
            <w:r w:rsidRPr="00F14994">
              <w:rPr>
                <w:b/>
                <w:bCs/>
              </w:rPr>
              <w:t>S.1897-0</w:t>
            </w:r>
          </w:p>
        </w:tc>
        <w:tc>
          <w:tcPr>
            <w:tcW w:w="6095" w:type="dxa"/>
            <w:vAlign w:val="center"/>
          </w:tcPr>
          <w:p w:rsidR="000A3A56" w:rsidRPr="00F14994" w:rsidRDefault="000A3A56" w:rsidP="000A3A56">
            <w:pPr>
              <w:pStyle w:val="Tabletext"/>
            </w:pPr>
            <w:r w:rsidRPr="00F14994">
              <w:t>Mise en place d'une qualité de service transcouche dans les réseaux de Terre à satellite hybrides fondés sur le protocole IP</w:t>
            </w:r>
          </w:p>
        </w:tc>
        <w:tc>
          <w:tcPr>
            <w:tcW w:w="1418" w:type="dxa"/>
          </w:tcPr>
          <w:p w:rsidR="000A3A56" w:rsidRPr="00F14994" w:rsidRDefault="00703AF1" w:rsidP="000A3A56">
            <w:pPr>
              <w:pStyle w:val="Tablehead"/>
              <w:rPr>
                <w:b w:val="0"/>
                <w:bCs/>
              </w:rPr>
            </w:pPr>
            <w:r w:rsidRPr="00F14994">
              <w:rPr>
                <w:b w:val="0"/>
                <w:bCs/>
              </w:rPr>
              <w:t>NOC</w:t>
            </w:r>
          </w:p>
        </w:tc>
        <w:tc>
          <w:tcPr>
            <w:tcW w:w="1559" w:type="dxa"/>
          </w:tcPr>
          <w:p w:rsidR="000A3A56" w:rsidRPr="00F14994" w:rsidRDefault="000A3A56" w:rsidP="000A3A56">
            <w:pPr>
              <w:pStyle w:val="Tablehead"/>
              <w:jc w:val="left"/>
              <w:rPr>
                <w:b w:val="0"/>
                <w:bCs/>
              </w:rPr>
            </w:pPr>
          </w:p>
        </w:tc>
      </w:tr>
      <w:tr w:rsidR="000A3A56" w:rsidRPr="00F14994" w:rsidTr="000C272D">
        <w:trPr>
          <w:cantSplit/>
          <w:tblHeader/>
        </w:trPr>
        <w:tc>
          <w:tcPr>
            <w:tcW w:w="1135" w:type="dxa"/>
          </w:tcPr>
          <w:p w:rsidR="000A3A56" w:rsidRPr="00F14994" w:rsidRDefault="00703AF1" w:rsidP="000A3A56">
            <w:pPr>
              <w:pStyle w:val="Tabletext"/>
              <w:jc w:val="center"/>
              <w:rPr>
                <w:b/>
                <w:bCs/>
              </w:rPr>
            </w:pPr>
            <w:r w:rsidRPr="00F14994">
              <w:rPr>
                <w:b/>
                <w:bCs/>
              </w:rPr>
              <w:t>S.1899-0</w:t>
            </w:r>
          </w:p>
        </w:tc>
        <w:tc>
          <w:tcPr>
            <w:tcW w:w="6095" w:type="dxa"/>
            <w:vAlign w:val="center"/>
          </w:tcPr>
          <w:p w:rsidR="000A3A56" w:rsidRPr="00F14994" w:rsidRDefault="000A3A56" w:rsidP="000A3A56">
            <w:pPr>
              <w:pStyle w:val="Tabletext"/>
              <w:rPr>
                <w:b/>
                <w:bCs/>
              </w:rPr>
            </w:pPr>
            <w:r w:rsidRPr="00F14994">
              <w:t>Critères de protection et méthodes d'évaluation des brouillages pour les liaisons inter-satellites non OSG dans la bande 23,183</w:t>
            </w:r>
            <w:r w:rsidRPr="00F14994">
              <w:noBreakHyphen/>
              <w:t>23,377 GHz par rapport au service de recherche spatiale</w:t>
            </w:r>
          </w:p>
        </w:tc>
        <w:tc>
          <w:tcPr>
            <w:tcW w:w="1418" w:type="dxa"/>
          </w:tcPr>
          <w:p w:rsidR="000A3A56" w:rsidRPr="00F14994" w:rsidRDefault="00703AF1" w:rsidP="000A3A56">
            <w:pPr>
              <w:pStyle w:val="Tabletext"/>
              <w:jc w:val="center"/>
            </w:pPr>
            <w:r w:rsidRPr="00F14994">
              <w:t>NOC</w:t>
            </w:r>
          </w:p>
        </w:tc>
        <w:tc>
          <w:tcPr>
            <w:tcW w:w="1559" w:type="dxa"/>
          </w:tcPr>
          <w:p w:rsidR="000A3A56" w:rsidRPr="00F14994" w:rsidRDefault="000A3A56" w:rsidP="000A3A56">
            <w:pPr>
              <w:pStyle w:val="Tabletext"/>
            </w:pPr>
          </w:p>
        </w:tc>
      </w:tr>
      <w:tr w:rsidR="00703AF1" w:rsidRPr="00F14994" w:rsidTr="000C272D">
        <w:trPr>
          <w:cantSplit/>
          <w:tblHeader/>
        </w:trPr>
        <w:tc>
          <w:tcPr>
            <w:tcW w:w="1135" w:type="dxa"/>
          </w:tcPr>
          <w:p w:rsidR="00703AF1" w:rsidRPr="00F14994" w:rsidRDefault="00703AF1" w:rsidP="00703AF1">
            <w:pPr>
              <w:pStyle w:val="Tabletext"/>
              <w:jc w:val="center"/>
              <w:rPr>
                <w:b/>
                <w:bCs/>
              </w:rPr>
            </w:pPr>
            <w:r w:rsidRPr="00F14994">
              <w:rPr>
                <w:b/>
                <w:bCs/>
              </w:rPr>
              <w:t>S.2029-0</w:t>
            </w:r>
          </w:p>
        </w:tc>
        <w:tc>
          <w:tcPr>
            <w:tcW w:w="6095" w:type="dxa"/>
            <w:vAlign w:val="center"/>
          </w:tcPr>
          <w:p w:rsidR="00703AF1" w:rsidRPr="00F14994" w:rsidRDefault="00703AF1" w:rsidP="00703AF1">
            <w:pPr>
              <w:pStyle w:val="Tabletext"/>
            </w:pPr>
            <w:r w:rsidRPr="00F14994">
              <w:t>Méthode statistique d'évaluation du brouillage variable dans le temps causé par les stations terriennes d'un réseau à satellite géostationnaire du service fixe par satellite fonctionnant en mode AMRT-MF à des réseaux à satellite géostationnaire du service fixe par satellite</w:t>
            </w:r>
          </w:p>
        </w:tc>
        <w:tc>
          <w:tcPr>
            <w:tcW w:w="1418" w:type="dxa"/>
          </w:tcPr>
          <w:p w:rsidR="00703AF1" w:rsidRPr="00F14994" w:rsidRDefault="00703AF1" w:rsidP="00703AF1">
            <w:pPr>
              <w:pStyle w:val="Tablehead"/>
              <w:rPr>
                <w:b w:val="0"/>
                <w:bCs/>
              </w:rPr>
            </w:pPr>
            <w:r w:rsidRPr="00F14994">
              <w:rPr>
                <w:b w:val="0"/>
                <w:bCs/>
              </w:rPr>
              <w:t>NOC</w:t>
            </w:r>
          </w:p>
        </w:tc>
        <w:tc>
          <w:tcPr>
            <w:tcW w:w="1559" w:type="dxa"/>
          </w:tcPr>
          <w:p w:rsidR="00703AF1" w:rsidRPr="00F14994" w:rsidRDefault="00703AF1" w:rsidP="00703AF1">
            <w:pPr>
              <w:pStyle w:val="Tabletext"/>
            </w:pPr>
          </w:p>
        </w:tc>
      </w:tr>
      <w:tr w:rsidR="00703AF1" w:rsidRPr="00F14994" w:rsidTr="000C272D">
        <w:trPr>
          <w:cantSplit/>
          <w:tblHeader/>
        </w:trPr>
        <w:tc>
          <w:tcPr>
            <w:tcW w:w="1135" w:type="dxa"/>
          </w:tcPr>
          <w:p w:rsidR="00703AF1" w:rsidRPr="00F14994" w:rsidRDefault="00703AF1" w:rsidP="00703AF1">
            <w:pPr>
              <w:pStyle w:val="Tabletext"/>
              <w:jc w:val="center"/>
              <w:rPr>
                <w:b/>
                <w:bCs/>
              </w:rPr>
            </w:pPr>
            <w:r w:rsidRPr="00F14994">
              <w:rPr>
                <w:b/>
                <w:bCs/>
              </w:rPr>
              <w:t>S.2049-0</w:t>
            </w:r>
          </w:p>
        </w:tc>
        <w:tc>
          <w:tcPr>
            <w:tcW w:w="6095" w:type="dxa"/>
            <w:vAlign w:val="center"/>
          </w:tcPr>
          <w:p w:rsidR="00703AF1" w:rsidRPr="00F14994" w:rsidRDefault="00703AF1" w:rsidP="00220294">
            <w:pPr>
              <w:pStyle w:val="Tabletext"/>
            </w:pPr>
            <w:r w:rsidRPr="00F14994">
              <w:t>Procédure d'accès pour les émissions par porteuse de stations terriennes du service fixe par satellite utilisées occasionnellement vers des stations spatiales en orbite géostationnair</w:t>
            </w:r>
            <w:r w:rsidR="00220294">
              <w:t>e dans les bandes des 4/6 et 11</w:t>
            </w:r>
            <w:r w:rsidR="00220294">
              <w:noBreakHyphen/>
            </w:r>
            <w:r w:rsidRPr="00F14994">
              <w:t>12/13/14</w:t>
            </w:r>
            <w:r w:rsidR="00220294">
              <w:t> </w:t>
            </w:r>
            <w:r w:rsidRPr="00F14994">
              <w:t>GHz du SFS</w:t>
            </w:r>
          </w:p>
        </w:tc>
        <w:tc>
          <w:tcPr>
            <w:tcW w:w="1418" w:type="dxa"/>
          </w:tcPr>
          <w:p w:rsidR="00703AF1" w:rsidRPr="00F14994" w:rsidRDefault="00703AF1" w:rsidP="00703AF1">
            <w:pPr>
              <w:pStyle w:val="Tabletext"/>
              <w:jc w:val="center"/>
            </w:pPr>
            <w:r w:rsidRPr="00F14994">
              <w:t>NOC</w:t>
            </w:r>
          </w:p>
        </w:tc>
        <w:tc>
          <w:tcPr>
            <w:tcW w:w="1559" w:type="dxa"/>
          </w:tcPr>
          <w:p w:rsidR="00703AF1" w:rsidRPr="00F14994" w:rsidRDefault="00703AF1" w:rsidP="00703AF1">
            <w:pPr>
              <w:pStyle w:val="Tabletext"/>
            </w:pPr>
          </w:p>
        </w:tc>
      </w:tr>
      <w:tr w:rsidR="00703AF1" w:rsidRPr="00F14994" w:rsidTr="000C272D">
        <w:trPr>
          <w:cantSplit/>
          <w:tblHeader/>
        </w:trPr>
        <w:tc>
          <w:tcPr>
            <w:tcW w:w="1135" w:type="dxa"/>
          </w:tcPr>
          <w:p w:rsidR="00703AF1" w:rsidRPr="00F14994" w:rsidRDefault="00703AF1" w:rsidP="00703AF1">
            <w:pPr>
              <w:pStyle w:val="Tabletext"/>
              <w:jc w:val="center"/>
              <w:rPr>
                <w:b/>
                <w:bCs/>
              </w:rPr>
            </w:pPr>
            <w:r w:rsidRPr="00F14994">
              <w:rPr>
                <w:b/>
                <w:bCs/>
              </w:rPr>
              <w:t>S.2062-0</w:t>
            </w:r>
          </w:p>
        </w:tc>
        <w:tc>
          <w:tcPr>
            <w:tcW w:w="6095" w:type="dxa"/>
            <w:vAlign w:val="center"/>
          </w:tcPr>
          <w:p w:rsidR="00703AF1" w:rsidRPr="00F14994" w:rsidRDefault="00A820B6" w:rsidP="00703AF1">
            <w:pPr>
              <w:pStyle w:val="Tabletext"/>
            </w:pPr>
            <w:r w:rsidRPr="00F14994">
              <w:t>Système d'identification des porteuses pour les transmissions à modulation numérique de stations terriennes du service fixe par satellite utilisées occasionnellement, dans le cas de réseaux à satellite géostationnaire dans les bandes des 4/6 et 11-12/13/14 GHz du SFS</w:t>
            </w:r>
          </w:p>
        </w:tc>
        <w:tc>
          <w:tcPr>
            <w:tcW w:w="1418" w:type="dxa"/>
          </w:tcPr>
          <w:p w:rsidR="00703AF1" w:rsidRPr="00F14994" w:rsidRDefault="00703AF1" w:rsidP="00703AF1">
            <w:pPr>
              <w:pStyle w:val="Tablehead"/>
              <w:rPr>
                <w:b w:val="0"/>
                <w:bCs/>
              </w:rPr>
            </w:pPr>
            <w:r w:rsidRPr="00F14994">
              <w:rPr>
                <w:b w:val="0"/>
                <w:bCs/>
              </w:rPr>
              <w:t>NOC</w:t>
            </w:r>
          </w:p>
        </w:tc>
        <w:tc>
          <w:tcPr>
            <w:tcW w:w="1559" w:type="dxa"/>
          </w:tcPr>
          <w:p w:rsidR="00703AF1" w:rsidRPr="00F14994" w:rsidRDefault="00703AF1" w:rsidP="00703AF1">
            <w:pPr>
              <w:pStyle w:val="Tabletext"/>
            </w:pPr>
          </w:p>
        </w:tc>
      </w:tr>
    </w:tbl>
    <w:p w:rsidR="00703AF1" w:rsidRPr="00F14994" w:rsidRDefault="00703AF1" w:rsidP="000A3A56">
      <w:pPr>
        <w:pStyle w:val="Tabletitle"/>
      </w:pPr>
    </w:p>
    <w:p w:rsidR="00703AF1" w:rsidRPr="00F14994" w:rsidRDefault="00703AF1">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rsidRPr="00F14994">
        <w:br w:type="page"/>
      </w:r>
    </w:p>
    <w:p w:rsidR="000A3A56" w:rsidRPr="00F14994" w:rsidRDefault="000A3A56" w:rsidP="000A3A56">
      <w:pPr>
        <w:pStyle w:val="Tabletitle"/>
      </w:pPr>
      <w:r w:rsidRPr="00F14994">
        <w:lastRenderedPageBreak/>
        <w:t>Partage des fréquences et coordination entre les systèmes du service fixe par satellite et du service fixe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6095"/>
        <w:gridCol w:w="1418"/>
        <w:gridCol w:w="1559"/>
      </w:tblGrid>
      <w:tr w:rsidR="000A3A56" w:rsidRPr="00F14994" w:rsidTr="000C272D">
        <w:trPr>
          <w:cantSplit/>
          <w:tblHeader/>
        </w:trPr>
        <w:tc>
          <w:tcPr>
            <w:tcW w:w="1135" w:type="dxa"/>
          </w:tcPr>
          <w:p w:rsidR="000A3A56" w:rsidRPr="00F14994" w:rsidRDefault="000A3A56" w:rsidP="000A3A56">
            <w:pPr>
              <w:pStyle w:val="Tablehead"/>
              <w:rPr>
                <w:szCs w:val="22"/>
              </w:rPr>
            </w:pPr>
            <w:r w:rsidRPr="00F14994">
              <w:rPr>
                <w:szCs w:val="22"/>
              </w:rPr>
              <w:t xml:space="preserve">Rec. </w:t>
            </w:r>
            <w:r w:rsidR="000C272D" w:rsidRPr="00F14994">
              <w:rPr>
                <w:szCs w:val="22"/>
              </w:rPr>
              <w:br/>
            </w:r>
            <w:r w:rsidRPr="00F14994">
              <w:rPr>
                <w:szCs w:val="22"/>
              </w:rPr>
              <w:t>UIT-R</w:t>
            </w:r>
          </w:p>
        </w:tc>
        <w:tc>
          <w:tcPr>
            <w:tcW w:w="6095" w:type="dxa"/>
            <w:vAlign w:val="center"/>
          </w:tcPr>
          <w:p w:rsidR="000A3A56" w:rsidRPr="00F14994" w:rsidRDefault="000A3A56" w:rsidP="000A3A56">
            <w:pPr>
              <w:pStyle w:val="Tablehead"/>
              <w:rPr>
                <w:szCs w:val="22"/>
              </w:rPr>
            </w:pPr>
            <w:r w:rsidRPr="00F14994">
              <w:rPr>
                <w:szCs w:val="22"/>
              </w:rPr>
              <w:t>Titre</w:t>
            </w:r>
          </w:p>
        </w:tc>
        <w:tc>
          <w:tcPr>
            <w:tcW w:w="1418" w:type="dxa"/>
          </w:tcPr>
          <w:p w:rsidR="000A3A56" w:rsidRPr="00F14994" w:rsidRDefault="000A3A56" w:rsidP="00A820B6">
            <w:pPr>
              <w:pStyle w:val="Tablehead"/>
              <w:rPr>
                <w:szCs w:val="22"/>
              </w:rPr>
            </w:pPr>
            <w:r w:rsidRPr="00F14994">
              <w:rPr>
                <w:szCs w:val="22"/>
              </w:rPr>
              <w:t>Action par l'AR</w:t>
            </w:r>
            <w:r w:rsidRPr="00F14994">
              <w:rPr>
                <w:szCs w:val="22"/>
              </w:rPr>
              <w:noBreakHyphen/>
            </w:r>
            <w:r w:rsidR="00A820B6" w:rsidRPr="00F14994">
              <w:rPr>
                <w:szCs w:val="22"/>
              </w:rPr>
              <w:t>15</w:t>
            </w:r>
          </w:p>
        </w:tc>
        <w:tc>
          <w:tcPr>
            <w:tcW w:w="1559" w:type="dxa"/>
          </w:tcPr>
          <w:p w:rsidR="000A3A56" w:rsidRPr="00F14994" w:rsidRDefault="000A3A56" w:rsidP="000A3A56">
            <w:pPr>
              <w:pStyle w:val="Tablehead"/>
              <w:rPr>
                <w:szCs w:val="22"/>
              </w:rPr>
            </w:pPr>
            <w:r w:rsidRPr="00F14994">
              <w:rPr>
                <w:szCs w:val="22"/>
              </w:rPr>
              <w:t>Remarques</w:t>
            </w:r>
          </w:p>
        </w:tc>
      </w:tr>
      <w:tr w:rsidR="000A3A56" w:rsidRPr="00F14994" w:rsidTr="000C272D">
        <w:trPr>
          <w:cantSplit/>
        </w:trPr>
        <w:tc>
          <w:tcPr>
            <w:tcW w:w="1135" w:type="dxa"/>
          </w:tcPr>
          <w:p w:rsidR="000A3A56" w:rsidRPr="00F14994" w:rsidRDefault="000A3A56" w:rsidP="00A820B6">
            <w:pPr>
              <w:pStyle w:val="Tabletext"/>
              <w:jc w:val="center"/>
              <w:rPr>
                <w:b/>
                <w:bCs/>
              </w:rPr>
            </w:pPr>
            <w:r w:rsidRPr="00F14994">
              <w:rPr>
                <w:b/>
                <w:bCs/>
              </w:rPr>
              <w:t>SF.674-</w:t>
            </w:r>
            <w:r w:rsidR="00A820B6" w:rsidRPr="00F14994">
              <w:rPr>
                <w:b/>
                <w:bCs/>
              </w:rPr>
              <w:t>3</w:t>
            </w:r>
          </w:p>
        </w:tc>
        <w:tc>
          <w:tcPr>
            <w:tcW w:w="6095" w:type="dxa"/>
          </w:tcPr>
          <w:p w:rsidR="000A3A56" w:rsidRPr="00F14994" w:rsidRDefault="00A820B6" w:rsidP="000A3A56">
            <w:pPr>
              <w:pStyle w:val="Tabletext"/>
            </w:pPr>
            <w:r w:rsidRPr="00F14994">
              <w:t>Détermination des conséquences sur le service fixe fonctionnant dans la bande 11,7-12,2 GHz du dépassement par les réseaux du service fixe par satellite géostationnaire de la Région 2 des seuils de puissance surfacique déclenchant la coordination</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A820B6">
            <w:pPr>
              <w:pStyle w:val="Tabletext"/>
              <w:jc w:val="center"/>
              <w:rPr>
                <w:b/>
                <w:bCs/>
              </w:rPr>
            </w:pPr>
            <w:r w:rsidRPr="00F14994">
              <w:rPr>
                <w:b/>
                <w:bCs/>
              </w:rPr>
              <w:t>SF.675-</w:t>
            </w:r>
            <w:r w:rsidR="00A820B6" w:rsidRPr="00F14994">
              <w:rPr>
                <w:b/>
                <w:bCs/>
              </w:rPr>
              <w:t>4</w:t>
            </w:r>
          </w:p>
        </w:tc>
        <w:tc>
          <w:tcPr>
            <w:tcW w:w="6095" w:type="dxa"/>
          </w:tcPr>
          <w:p w:rsidR="000A3A56" w:rsidRPr="00F14994" w:rsidRDefault="00A820B6" w:rsidP="000A3A56">
            <w:pPr>
              <w:pStyle w:val="Tabletext"/>
            </w:pPr>
            <w:r w:rsidRPr="00F14994">
              <w:t>Calcul de la densité maximale de puissance (moyennée sur 4 kHz ou 1 MHz) de porteuses à modulation angulaire et numériques</w:t>
            </w:r>
          </w:p>
        </w:tc>
        <w:tc>
          <w:tcPr>
            <w:tcW w:w="1418" w:type="dxa"/>
          </w:tcPr>
          <w:p w:rsidR="000A3A56" w:rsidRPr="00F14994" w:rsidRDefault="00A820B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SF.765-1</w:t>
            </w:r>
          </w:p>
        </w:tc>
        <w:tc>
          <w:tcPr>
            <w:tcW w:w="6095" w:type="dxa"/>
          </w:tcPr>
          <w:p w:rsidR="000A3A56" w:rsidRPr="00F14994" w:rsidRDefault="000A3A56" w:rsidP="000A3A56">
            <w:pPr>
              <w:pStyle w:val="Tabletext"/>
            </w:pPr>
            <w:r w:rsidRPr="00F14994">
              <w:t>Intersection des lobes des antennes de faisceaux hertziens avec les orbites des stations spatiales du service fixe par satellite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SF.766</w:t>
            </w:r>
            <w:r w:rsidR="00A820B6" w:rsidRPr="00F14994">
              <w:rPr>
                <w:b/>
                <w:bCs/>
              </w:rPr>
              <w:t>-0</w:t>
            </w:r>
          </w:p>
        </w:tc>
        <w:tc>
          <w:tcPr>
            <w:tcW w:w="6095" w:type="dxa"/>
          </w:tcPr>
          <w:p w:rsidR="000A3A56" w:rsidRPr="00F14994" w:rsidRDefault="000A3A56" w:rsidP="000A3A56">
            <w:pPr>
              <w:pStyle w:val="Tabletext"/>
            </w:pPr>
            <w:r w:rsidRPr="00F14994">
              <w:t>Méthodes de détermination des effets du brouillage sur la qualité et la disponibilité des faisceaux hertziens de Terre et des systèmes du service fixe par satellite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SF.1006</w:t>
            </w:r>
            <w:r w:rsidR="00A820B6" w:rsidRPr="00F14994">
              <w:rPr>
                <w:b/>
                <w:bCs/>
              </w:rPr>
              <w:t>-0</w:t>
            </w:r>
          </w:p>
        </w:tc>
        <w:tc>
          <w:tcPr>
            <w:tcW w:w="6095" w:type="dxa"/>
          </w:tcPr>
          <w:p w:rsidR="000A3A56" w:rsidRPr="00F14994" w:rsidRDefault="000A3A56" w:rsidP="000A3A56">
            <w:pPr>
              <w:pStyle w:val="Tabletext"/>
            </w:pPr>
            <w:r w:rsidRPr="00F14994">
              <w:t>Détermination des possibilités de brouillage entre stations terriennes du service fixe par satellite et stations du service fixe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SF.1395</w:t>
            </w:r>
            <w:r w:rsidR="00A820B6" w:rsidRPr="00F14994">
              <w:rPr>
                <w:b/>
                <w:bCs/>
              </w:rPr>
              <w:t>-0</w:t>
            </w:r>
          </w:p>
        </w:tc>
        <w:tc>
          <w:tcPr>
            <w:tcW w:w="6095" w:type="dxa"/>
          </w:tcPr>
          <w:p w:rsidR="000A3A56" w:rsidRPr="00F14994" w:rsidRDefault="000A3A56" w:rsidP="000A3A56">
            <w:pPr>
              <w:pStyle w:val="Tabletext"/>
            </w:pPr>
            <w:r w:rsidRPr="00F14994">
              <w:t>Affaiblissement minimal de propagation sur trajet oblique, dû aux gaz atmosphériques, à utiliser pour les études de partage de fréquences entre le service fixe par satellite et le service fixe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SF.1482</w:t>
            </w:r>
            <w:r w:rsidR="00A820B6" w:rsidRPr="00F14994">
              <w:rPr>
                <w:b/>
                <w:bCs/>
              </w:rPr>
              <w:t>-0</w:t>
            </w:r>
          </w:p>
        </w:tc>
        <w:tc>
          <w:tcPr>
            <w:tcW w:w="6095" w:type="dxa"/>
          </w:tcPr>
          <w:p w:rsidR="000A3A56" w:rsidRPr="00F14994" w:rsidRDefault="000A3A56" w:rsidP="000A3A56">
            <w:pPr>
              <w:pStyle w:val="Tabletext"/>
            </w:pPr>
            <w:r w:rsidRPr="00F14994">
              <w:t>Valeurs maximales admissibles de la puissance surfacique produite à la surface de la Terre par des satellites non OSG du service fixe par satellite (SFS) fonctionnant dans la bande 10,7-12,75 GHz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SF.1483</w:t>
            </w:r>
            <w:r w:rsidR="00A820B6" w:rsidRPr="00F14994">
              <w:rPr>
                <w:b/>
                <w:bCs/>
              </w:rPr>
              <w:t>-0</w:t>
            </w:r>
          </w:p>
        </w:tc>
        <w:tc>
          <w:tcPr>
            <w:tcW w:w="6095" w:type="dxa"/>
          </w:tcPr>
          <w:p w:rsidR="000A3A56" w:rsidRPr="00F14994" w:rsidRDefault="000A3A56" w:rsidP="000A3A56">
            <w:pPr>
              <w:pStyle w:val="Tabletext"/>
            </w:pPr>
            <w:r w:rsidRPr="00F14994">
              <w:t>Valeurs maximales admissibles de la puissance surfacique produite à la surface de la Terre par des satellites non OSG du service fixe par satellite (SFS) fonctionnant dans la bande 17,7-19,3 GHz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SF.1485</w:t>
            </w:r>
            <w:r w:rsidR="00A820B6" w:rsidRPr="00F14994">
              <w:rPr>
                <w:b/>
                <w:bCs/>
              </w:rPr>
              <w:t>-0</w:t>
            </w:r>
          </w:p>
        </w:tc>
        <w:tc>
          <w:tcPr>
            <w:tcW w:w="6095" w:type="dxa"/>
          </w:tcPr>
          <w:p w:rsidR="000A3A56" w:rsidRPr="00F14994" w:rsidRDefault="000A3A56" w:rsidP="000A3A56">
            <w:pPr>
              <w:pStyle w:val="Tabletext"/>
            </w:pPr>
            <w:r w:rsidRPr="00F14994">
              <w:t>Détermination de la zone de coordination de stations terriennes opérant avec des stations spatiales non géostationnaires du service fixe dans des bandes de fréquences utilisées en partage avec le service fixe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SF.1486</w:t>
            </w:r>
            <w:r w:rsidR="00A820B6" w:rsidRPr="00F14994">
              <w:rPr>
                <w:b/>
                <w:bCs/>
              </w:rPr>
              <w:t>-0</w:t>
            </w:r>
          </w:p>
        </w:tc>
        <w:tc>
          <w:tcPr>
            <w:tcW w:w="6095" w:type="dxa"/>
          </w:tcPr>
          <w:p w:rsidR="000A3A56" w:rsidRPr="00F14994" w:rsidRDefault="000A3A56" w:rsidP="000A3A56">
            <w:pPr>
              <w:pStyle w:val="Tabletext"/>
            </w:pPr>
            <w:r w:rsidRPr="00F14994">
              <w:t>Méthodologie de partage entre systèmes d'accès hertzien fixe du service fixe et microstations VSAT du service fixe par satellite dans la bande 3 400-3 700 MHz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SF.1572</w:t>
            </w:r>
            <w:r w:rsidR="00A820B6" w:rsidRPr="00F14994">
              <w:rPr>
                <w:b/>
                <w:bCs/>
              </w:rPr>
              <w:t>-0</w:t>
            </w:r>
          </w:p>
        </w:tc>
        <w:tc>
          <w:tcPr>
            <w:tcW w:w="6095" w:type="dxa"/>
          </w:tcPr>
          <w:p w:rsidR="000A3A56" w:rsidRPr="00F14994" w:rsidRDefault="000A3A56" w:rsidP="000A3A56">
            <w:pPr>
              <w:pStyle w:val="Tabletext"/>
            </w:pPr>
            <w:r w:rsidRPr="00F14994">
              <w:t>Méthode permettant d'évaluer l'incidence des brouillages espace vers Terre causés par des systèmes du service fixe par satellite à des systèmes du service fixe dans des bandes de fréquences où les précipitations sont la principale cause des évanouissements</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SF.1585</w:t>
            </w:r>
            <w:r w:rsidR="00A820B6" w:rsidRPr="00F14994">
              <w:rPr>
                <w:b/>
                <w:bCs/>
              </w:rPr>
              <w:t>-0</w:t>
            </w:r>
          </w:p>
        </w:tc>
        <w:tc>
          <w:tcPr>
            <w:tcW w:w="6095" w:type="dxa"/>
          </w:tcPr>
          <w:p w:rsidR="000A3A56" w:rsidRPr="00F14994" w:rsidRDefault="000A3A56" w:rsidP="000A3A56">
            <w:pPr>
              <w:pStyle w:val="Tabletext"/>
            </w:pPr>
            <w:r w:rsidRPr="00F14994">
              <w:t>Exemple de méthode permettant de déterminer la zone composite dans laquelle il convient d'évaluer les brouillages causés à des stations du service fixe par des stations terriennes de navire se déplaçant à proximité des côtes</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SF.1601-2</w:t>
            </w:r>
          </w:p>
        </w:tc>
        <w:tc>
          <w:tcPr>
            <w:tcW w:w="6095" w:type="dxa"/>
          </w:tcPr>
          <w:p w:rsidR="000A3A56" w:rsidRPr="00F14994" w:rsidRDefault="000A3A56" w:rsidP="000A3A56">
            <w:pPr>
              <w:pStyle w:val="Tabletext"/>
            </w:pPr>
            <w:r w:rsidRPr="00F14994">
              <w:t>Méthodes d'évaluation des brouillages causés par les liaisons descendantes du service fixe utilisant des stations placées sur plates</w:t>
            </w:r>
            <w:r w:rsidRPr="00F14994">
              <w:noBreakHyphen/>
              <w:t>formes à haute altitude, aux liaisons montantes du service fixe par satellite géostationnaire dans la bande 27,5-28,35 GHz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SF.1602</w:t>
            </w:r>
            <w:r w:rsidR="00A820B6" w:rsidRPr="00F14994">
              <w:rPr>
                <w:b/>
                <w:bCs/>
              </w:rPr>
              <w:t>-0</w:t>
            </w:r>
          </w:p>
        </w:tc>
        <w:tc>
          <w:tcPr>
            <w:tcW w:w="6095" w:type="dxa"/>
          </w:tcPr>
          <w:p w:rsidR="000A3A56" w:rsidRPr="00F14994" w:rsidRDefault="000A3A56" w:rsidP="000A3A56">
            <w:pPr>
              <w:pStyle w:val="Tabletext"/>
            </w:pPr>
            <w:r w:rsidRPr="00F14994">
              <w:t>Méthode de détermination des statistiques de puissance surfacique à utiliser dans les études de partage entre systèmes hertziens fixes et plusieurs satellites du service fixe par satellite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SF.1648</w:t>
            </w:r>
            <w:r w:rsidR="00A820B6" w:rsidRPr="00F14994">
              <w:rPr>
                <w:b/>
                <w:bCs/>
              </w:rPr>
              <w:t>-0</w:t>
            </w:r>
          </w:p>
        </w:tc>
        <w:tc>
          <w:tcPr>
            <w:tcW w:w="6095" w:type="dxa"/>
          </w:tcPr>
          <w:p w:rsidR="000A3A56" w:rsidRPr="00F14994" w:rsidRDefault="000A3A56" w:rsidP="000A3A56">
            <w:pPr>
              <w:pStyle w:val="Tabletext"/>
            </w:pPr>
            <w:r w:rsidRPr="00F14994">
              <w:t>Utilisation de fréquences par les stations terriennes de navire émettant dans certaines bandes attribuées au service fixe par satellite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SF.1649-1</w:t>
            </w:r>
          </w:p>
        </w:tc>
        <w:tc>
          <w:tcPr>
            <w:tcW w:w="6095" w:type="dxa"/>
          </w:tcPr>
          <w:p w:rsidR="000A3A56" w:rsidRPr="00F14994" w:rsidRDefault="000A3A56" w:rsidP="000A3A56">
            <w:pPr>
              <w:pStyle w:val="Tabletext"/>
            </w:pPr>
            <w:r w:rsidRPr="00F14994">
              <w:t>Directives concernant la détermination des brouillages causés à des stations du service fixe par les stations terriennes de navire situées en deçà de la distance minimale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lastRenderedPageBreak/>
              <w:t>SF.1650-1</w:t>
            </w:r>
          </w:p>
        </w:tc>
        <w:tc>
          <w:tcPr>
            <w:tcW w:w="6095" w:type="dxa"/>
          </w:tcPr>
          <w:p w:rsidR="000A3A56" w:rsidRPr="00F14994" w:rsidRDefault="000A3A56" w:rsidP="000A3A56">
            <w:pPr>
              <w:pStyle w:val="Tabletext"/>
            </w:pPr>
            <w:r w:rsidRPr="00F14994">
              <w:t>Distance minimale à partir de la ligne de base au-delà de laquelle les stations terriennes en mouvement embarquées ne causeraient pas de brouillages inacceptables aux services de Terre dans les bandes 5 925</w:t>
            </w:r>
            <w:r w:rsidRPr="00F14994">
              <w:noBreakHyphen/>
              <w:t>6 425 MHz et 14-14,5 GHz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rFonts w:eastAsia="MS Mincho"/>
                <w:szCs w:val="22"/>
              </w:rPr>
            </w:pPr>
          </w:p>
        </w:tc>
      </w:tr>
      <w:tr w:rsidR="000A3A56" w:rsidRPr="00F14994" w:rsidTr="000C272D">
        <w:trPr>
          <w:cantSplit/>
        </w:trPr>
        <w:tc>
          <w:tcPr>
            <w:tcW w:w="1135" w:type="dxa"/>
          </w:tcPr>
          <w:p w:rsidR="000A3A56" w:rsidRPr="00F14994" w:rsidRDefault="009C4BE7" w:rsidP="000A3A56">
            <w:pPr>
              <w:pStyle w:val="Tabletext"/>
              <w:jc w:val="center"/>
              <w:rPr>
                <w:b/>
                <w:bCs/>
              </w:rPr>
            </w:pPr>
            <w:hyperlink r:id="rId106" w:history="1">
              <w:r w:rsidR="000A3A56" w:rsidRPr="00F14994">
                <w:rPr>
                  <w:b/>
                  <w:bCs/>
                </w:rPr>
                <w:t>SF.1707</w:t>
              </w:r>
            </w:hyperlink>
            <w:r w:rsidR="00A820B6" w:rsidRPr="00F14994">
              <w:rPr>
                <w:b/>
                <w:bCs/>
              </w:rPr>
              <w:t>-0</w:t>
            </w:r>
          </w:p>
        </w:tc>
        <w:tc>
          <w:tcPr>
            <w:tcW w:w="6095" w:type="dxa"/>
            <w:vAlign w:val="center"/>
          </w:tcPr>
          <w:p w:rsidR="000A3A56" w:rsidRPr="00F14994" w:rsidRDefault="000A3A56" w:rsidP="000A3A56">
            <w:pPr>
              <w:pStyle w:val="Tabletext"/>
            </w:pPr>
            <w:r w:rsidRPr="00F14994">
              <w:t>Méthodes propres à faciliter la mise en œuvre d'un grand nombre de stations terriennes du service fixe par satellite dans des zones où sont également déployés des services de Terre</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szCs w:val="22"/>
              </w:rPr>
            </w:pPr>
          </w:p>
        </w:tc>
      </w:tr>
      <w:tr w:rsidR="000A3A56" w:rsidRPr="00F14994" w:rsidTr="000C272D">
        <w:trPr>
          <w:cantSplit/>
        </w:trPr>
        <w:tc>
          <w:tcPr>
            <w:tcW w:w="1135" w:type="dxa"/>
          </w:tcPr>
          <w:p w:rsidR="000A3A56" w:rsidRPr="00F14994" w:rsidRDefault="009C4BE7" w:rsidP="000A3A56">
            <w:pPr>
              <w:pStyle w:val="Tabletext"/>
              <w:jc w:val="center"/>
              <w:rPr>
                <w:b/>
                <w:bCs/>
              </w:rPr>
            </w:pPr>
            <w:hyperlink r:id="rId107" w:history="1">
              <w:r w:rsidR="000A3A56" w:rsidRPr="00F14994">
                <w:rPr>
                  <w:b/>
                  <w:bCs/>
                </w:rPr>
                <w:t>SF.1719</w:t>
              </w:r>
            </w:hyperlink>
            <w:r w:rsidR="00A820B6" w:rsidRPr="00F14994">
              <w:rPr>
                <w:b/>
                <w:bCs/>
              </w:rPr>
              <w:t>-0</w:t>
            </w:r>
          </w:p>
        </w:tc>
        <w:tc>
          <w:tcPr>
            <w:tcW w:w="6095" w:type="dxa"/>
            <w:vAlign w:val="center"/>
          </w:tcPr>
          <w:p w:rsidR="000A3A56" w:rsidRPr="00F14994" w:rsidRDefault="000A3A56" w:rsidP="000A3A56">
            <w:pPr>
              <w:pStyle w:val="Tabletext"/>
            </w:pPr>
            <w:r w:rsidRPr="00F14994">
              <w:t>Partage entre les systèmes point à point ou point à multipoint du service fixe et les stations terriennes d'émission de systèmes géostationnaires ou non géostationnaires du service fixe par satellite dans la bande 27,5-29,5 GHz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szCs w:val="22"/>
              </w:rPr>
            </w:pPr>
          </w:p>
        </w:tc>
      </w:tr>
      <w:tr w:rsidR="000A3A56" w:rsidRPr="00F14994" w:rsidTr="000C272D">
        <w:trPr>
          <w:cantSplit/>
        </w:trPr>
        <w:tc>
          <w:tcPr>
            <w:tcW w:w="1135" w:type="dxa"/>
          </w:tcPr>
          <w:p w:rsidR="000A3A56" w:rsidRPr="00F14994" w:rsidRDefault="000A3A56" w:rsidP="000A3A56">
            <w:pPr>
              <w:pStyle w:val="Tabletext"/>
              <w:jc w:val="center"/>
              <w:rPr>
                <w:b/>
                <w:bCs/>
              </w:rPr>
            </w:pPr>
            <w:r w:rsidRPr="00F14994">
              <w:rPr>
                <w:b/>
                <w:bCs/>
              </w:rPr>
              <w:t>SF.1843</w:t>
            </w:r>
            <w:r w:rsidR="00A820B6" w:rsidRPr="00F14994">
              <w:rPr>
                <w:b/>
                <w:bCs/>
              </w:rPr>
              <w:t>-0</w:t>
            </w:r>
          </w:p>
        </w:tc>
        <w:tc>
          <w:tcPr>
            <w:tcW w:w="6095" w:type="dxa"/>
          </w:tcPr>
          <w:p w:rsidR="000A3A56" w:rsidRPr="00F14994" w:rsidRDefault="000A3A56" w:rsidP="000A3A56">
            <w:pPr>
              <w:pStyle w:val="Tabletext"/>
            </w:pPr>
            <w:r w:rsidRPr="00F14994">
              <w:t>Méthode de détermination du niveau de puissance des terminaux d'utilisateur des systèmes HAPS afin de faciliter le partage avec les récepteurs des stations spatiales dans les bandes 47,2</w:t>
            </w:r>
            <w:r w:rsidRPr="00F14994">
              <w:noBreakHyphen/>
              <w:t>47,5 GHz et 47,9-48,2 GHz</w:t>
            </w:r>
          </w:p>
        </w:tc>
        <w:tc>
          <w:tcPr>
            <w:tcW w:w="1418" w:type="dxa"/>
          </w:tcPr>
          <w:p w:rsidR="000A3A56" w:rsidRPr="00F14994" w:rsidRDefault="000A3A56" w:rsidP="000A3A56">
            <w:pPr>
              <w:pStyle w:val="Tabletext"/>
              <w:jc w:val="center"/>
              <w:rPr>
                <w:szCs w:val="22"/>
              </w:rPr>
            </w:pPr>
            <w:r w:rsidRPr="00F14994">
              <w:rPr>
                <w:szCs w:val="22"/>
              </w:rPr>
              <w:t>NOC</w:t>
            </w:r>
          </w:p>
        </w:tc>
        <w:tc>
          <w:tcPr>
            <w:tcW w:w="1559" w:type="dxa"/>
          </w:tcPr>
          <w:p w:rsidR="000A3A56" w:rsidRPr="00F14994" w:rsidRDefault="000A3A56" w:rsidP="000A3A56">
            <w:pPr>
              <w:pStyle w:val="Tabletext"/>
              <w:rPr>
                <w:szCs w:val="22"/>
              </w:rPr>
            </w:pPr>
          </w:p>
        </w:tc>
      </w:tr>
    </w:tbl>
    <w:p w:rsidR="000A3A56" w:rsidRPr="00F14994" w:rsidRDefault="000A3A56" w:rsidP="000A3A56"/>
    <w:p w:rsidR="009C4BE7" w:rsidRDefault="009C4BE7">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0A3A56" w:rsidRPr="00F14994" w:rsidRDefault="000A3A56" w:rsidP="000A3A56">
      <w:pPr>
        <w:pStyle w:val="Tabletitle"/>
      </w:pPr>
      <w:r w:rsidRPr="00F14994">
        <w:lastRenderedPageBreak/>
        <w:t>Reportage d'actualités par satellite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953"/>
        <w:gridCol w:w="1418"/>
        <w:gridCol w:w="1559"/>
      </w:tblGrid>
      <w:tr w:rsidR="000A3A56" w:rsidRPr="00F14994" w:rsidTr="00622987">
        <w:trPr>
          <w:tblHeader/>
        </w:trPr>
        <w:tc>
          <w:tcPr>
            <w:tcW w:w="1277" w:type="dxa"/>
            <w:vAlign w:val="center"/>
          </w:tcPr>
          <w:p w:rsidR="000A3A56" w:rsidRPr="00F14994" w:rsidRDefault="000A3A56" w:rsidP="000A3A56">
            <w:pPr>
              <w:pStyle w:val="Tablehead"/>
            </w:pPr>
            <w:r w:rsidRPr="00F14994">
              <w:t xml:space="preserve">Rec. </w:t>
            </w:r>
            <w:r w:rsidR="00622987">
              <w:br/>
            </w:r>
            <w:r w:rsidRPr="00F14994">
              <w:t>UIT-R</w:t>
            </w:r>
          </w:p>
        </w:tc>
        <w:tc>
          <w:tcPr>
            <w:tcW w:w="5953" w:type="dxa"/>
            <w:vAlign w:val="center"/>
          </w:tcPr>
          <w:p w:rsidR="000A3A56" w:rsidRPr="00F14994" w:rsidRDefault="000A3A56" w:rsidP="000A3A56">
            <w:pPr>
              <w:pStyle w:val="Tablehead"/>
            </w:pPr>
            <w:r w:rsidRPr="00F14994">
              <w:t>Titre</w:t>
            </w:r>
          </w:p>
        </w:tc>
        <w:tc>
          <w:tcPr>
            <w:tcW w:w="1418" w:type="dxa"/>
            <w:vAlign w:val="center"/>
          </w:tcPr>
          <w:p w:rsidR="000A3A56" w:rsidRPr="00F14994" w:rsidRDefault="000A3A56" w:rsidP="00A820B6">
            <w:pPr>
              <w:pStyle w:val="Tablehead"/>
            </w:pPr>
            <w:r w:rsidRPr="00F14994">
              <w:t>Suite donnée par l'AR-</w:t>
            </w:r>
            <w:r w:rsidR="00A820B6" w:rsidRPr="00F14994">
              <w:t>15</w:t>
            </w:r>
          </w:p>
        </w:tc>
        <w:tc>
          <w:tcPr>
            <w:tcW w:w="1559" w:type="dxa"/>
            <w:vAlign w:val="center"/>
          </w:tcPr>
          <w:p w:rsidR="000A3A56" w:rsidRPr="00F14994" w:rsidRDefault="000A3A56" w:rsidP="000A3A56">
            <w:pPr>
              <w:pStyle w:val="Tablehead"/>
            </w:pPr>
            <w:r w:rsidRPr="00F14994">
              <w:t>Observations</w:t>
            </w: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SNG.722-1</w:t>
            </w:r>
          </w:p>
        </w:tc>
        <w:tc>
          <w:tcPr>
            <w:tcW w:w="5953" w:type="dxa"/>
            <w:vAlign w:val="center"/>
          </w:tcPr>
          <w:p w:rsidR="000A3A56" w:rsidRPr="00F14994" w:rsidRDefault="000A3A56" w:rsidP="000A3A56">
            <w:pPr>
              <w:pStyle w:val="Tabletext"/>
            </w:pPr>
            <w:r w:rsidRPr="00F14994">
              <w:t>Normes techniques unifiées (applicables aux systèmes analogiques) pour le reportage d'actualités par satellite (RAS)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A820B6">
            <w:pPr>
              <w:pStyle w:val="Tabletext"/>
              <w:jc w:val="center"/>
              <w:rPr>
                <w:b/>
                <w:bCs/>
              </w:rPr>
            </w:pPr>
            <w:r w:rsidRPr="00F14994">
              <w:rPr>
                <w:b/>
                <w:bCs/>
              </w:rPr>
              <w:t>SNG.770-</w:t>
            </w:r>
            <w:r w:rsidR="00A820B6" w:rsidRPr="00F14994">
              <w:rPr>
                <w:b/>
                <w:bCs/>
              </w:rPr>
              <w:t>2</w:t>
            </w:r>
          </w:p>
        </w:tc>
        <w:tc>
          <w:tcPr>
            <w:tcW w:w="5953" w:type="dxa"/>
            <w:vAlign w:val="center"/>
          </w:tcPr>
          <w:p w:rsidR="000A3A56" w:rsidRPr="00F14994" w:rsidRDefault="00A820B6" w:rsidP="000A3A56">
            <w:pPr>
              <w:pStyle w:val="Tabletext"/>
            </w:pPr>
            <w:r w:rsidRPr="00F14994">
              <w:t>Procédures d'exploitation unifiées applicables au reportage d'actualités par satellite numérique (DSNG)</w:t>
            </w:r>
          </w:p>
        </w:tc>
        <w:tc>
          <w:tcPr>
            <w:tcW w:w="1418" w:type="dxa"/>
          </w:tcPr>
          <w:p w:rsidR="000A3A56" w:rsidRPr="00F14994" w:rsidRDefault="00A820B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SNG.771-1</w:t>
            </w:r>
          </w:p>
        </w:tc>
        <w:tc>
          <w:tcPr>
            <w:tcW w:w="5953" w:type="dxa"/>
            <w:vAlign w:val="center"/>
          </w:tcPr>
          <w:p w:rsidR="000A3A56" w:rsidRPr="00F14994" w:rsidRDefault="000A3A56" w:rsidP="000A3A56">
            <w:pPr>
              <w:pStyle w:val="Tabletext"/>
            </w:pPr>
            <w:r w:rsidRPr="00F14994">
              <w:t>Circuits auxiliaires par satellite pour la coordination des stations RAS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SNG.1007-1</w:t>
            </w:r>
          </w:p>
        </w:tc>
        <w:tc>
          <w:tcPr>
            <w:tcW w:w="5953" w:type="dxa"/>
            <w:vAlign w:val="center"/>
          </w:tcPr>
          <w:p w:rsidR="000A3A56" w:rsidRPr="00F14994" w:rsidRDefault="000A3A56" w:rsidP="000A3A56">
            <w:pPr>
              <w:pStyle w:val="Tabletext"/>
            </w:pPr>
            <w:r w:rsidRPr="00F14994">
              <w:t>Normes techniques unifiées (applicables aux systèmes numériques) pour le reportage d'actualités par satellite (RAS)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SNG.1070</w:t>
            </w:r>
            <w:r w:rsidR="00A820B6" w:rsidRPr="00F14994">
              <w:rPr>
                <w:b/>
                <w:bCs/>
              </w:rPr>
              <w:t>-0</w:t>
            </w:r>
          </w:p>
        </w:tc>
        <w:tc>
          <w:tcPr>
            <w:tcW w:w="5953" w:type="dxa"/>
            <w:vAlign w:val="center"/>
          </w:tcPr>
          <w:p w:rsidR="000A3A56" w:rsidRPr="00F14994" w:rsidRDefault="000A3A56" w:rsidP="000A3A56">
            <w:pPr>
              <w:pStyle w:val="Tabletext"/>
            </w:pPr>
            <w:r w:rsidRPr="00F14994">
              <w:t>Système automatique d'identification des émetteurs (ATIS) applicable aux transmissions à modulation analogique par satellite pour le reportage d'actualités et la production en extérieur</w:t>
            </w:r>
          </w:p>
        </w:tc>
        <w:tc>
          <w:tcPr>
            <w:tcW w:w="1418" w:type="dxa"/>
          </w:tcPr>
          <w:p w:rsidR="000A3A56" w:rsidRPr="00F14994" w:rsidRDefault="000A3A56" w:rsidP="000A3A56">
            <w:pPr>
              <w:pStyle w:val="Tabletext"/>
              <w:keepNext/>
              <w:keepLines/>
              <w:jc w:val="center"/>
            </w:pPr>
            <w:r w:rsidRPr="00F14994">
              <w:t>NOC</w:t>
            </w:r>
          </w:p>
        </w:tc>
        <w:tc>
          <w:tcPr>
            <w:tcW w:w="1559" w:type="dxa"/>
          </w:tcPr>
          <w:p w:rsidR="000A3A56" w:rsidRPr="00F14994" w:rsidRDefault="000A3A56" w:rsidP="000A3A56">
            <w:pPr>
              <w:pStyle w:val="Tabletext"/>
              <w:keepNext/>
              <w:keepLines/>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SNG.1152</w:t>
            </w:r>
            <w:r w:rsidR="00A820B6" w:rsidRPr="00F14994">
              <w:rPr>
                <w:b/>
                <w:bCs/>
              </w:rPr>
              <w:t>-0</w:t>
            </w:r>
          </w:p>
        </w:tc>
        <w:tc>
          <w:tcPr>
            <w:tcW w:w="5953" w:type="dxa"/>
            <w:vAlign w:val="center"/>
          </w:tcPr>
          <w:p w:rsidR="000A3A56" w:rsidRPr="00F14994" w:rsidRDefault="000A3A56" w:rsidP="000A3A56">
            <w:pPr>
              <w:pStyle w:val="Tabletext"/>
            </w:pPr>
            <w:r w:rsidRPr="00F14994">
              <w:t>Utilisation de techniques de transmission numériques pour le reportage d'actualités par satellite (RAS) (sonore)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SNG.1421</w:t>
            </w:r>
            <w:r w:rsidR="00A820B6" w:rsidRPr="00F14994">
              <w:rPr>
                <w:b/>
                <w:bCs/>
              </w:rPr>
              <w:t>-0</w:t>
            </w:r>
          </w:p>
        </w:tc>
        <w:tc>
          <w:tcPr>
            <w:tcW w:w="5953" w:type="dxa"/>
            <w:vAlign w:val="center"/>
          </w:tcPr>
          <w:p w:rsidR="000A3A56" w:rsidRPr="00F14994" w:rsidRDefault="000A3A56" w:rsidP="000A3A56">
            <w:pPr>
              <w:pStyle w:val="Tabletext"/>
            </w:pPr>
            <w:r w:rsidRPr="00F14994">
              <w:t>Paramètres communs de fonctionnement pour assurer l'interopérabilité de la transmission numérique de reportages d'actualités par satellite (RAS) télévisées</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SNG.1561</w:t>
            </w:r>
            <w:r w:rsidR="00A820B6" w:rsidRPr="00F14994">
              <w:rPr>
                <w:b/>
                <w:bCs/>
              </w:rPr>
              <w:t>-0</w:t>
            </w:r>
          </w:p>
        </w:tc>
        <w:tc>
          <w:tcPr>
            <w:tcW w:w="5953" w:type="dxa"/>
            <w:vAlign w:val="center"/>
          </w:tcPr>
          <w:p w:rsidR="000A3A56" w:rsidRPr="00F14994" w:rsidRDefault="000A3A56" w:rsidP="000A3A56">
            <w:pPr>
              <w:pStyle w:val="Tabletext"/>
            </w:pPr>
            <w:r w:rsidRPr="00F14994">
              <w:t>Transmission numérique de la télévision à haute définition pour les reportages d'actualités par satellite et la transmission par satellite de programmes produits en extérieur</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rPr>
                <w:rFonts w:eastAsia="MS Mincho"/>
              </w:rPr>
            </w:pPr>
          </w:p>
        </w:tc>
      </w:tr>
      <w:tr w:rsidR="000A3A56" w:rsidRPr="00F14994" w:rsidTr="00622987">
        <w:tc>
          <w:tcPr>
            <w:tcW w:w="1277" w:type="dxa"/>
          </w:tcPr>
          <w:p w:rsidR="000A3A56" w:rsidRPr="00F14994" w:rsidRDefault="000A3A56" w:rsidP="000A3A56">
            <w:pPr>
              <w:pStyle w:val="Tabletext"/>
              <w:jc w:val="center"/>
              <w:rPr>
                <w:b/>
                <w:bCs/>
              </w:rPr>
            </w:pPr>
            <w:r w:rsidRPr="00F14994">
              <w:rPr>
                <w:b/>
                <w:bCs/>
              </w:rPr>
              <w:t>SNG.1710</w:t>
            </w:r>
            <w:r w:rsidR="00A820B6" w:rsidRPr="00F14994">
              <w:rPr>
                <w:b/>
                <w:bCs/>
              </w:rPr>
              <w:t>-0</w:t>
            </w:r>
          </w:p>
        </w:tc>
        <w:tc>
          <w:tcPr>
            <w:tcW w:w="5953" w:type="dxa"/>
            <w:vAlign w:val="center"/>
          </w:tcPr>
          <w:p w:rsidR="000A3A56" w:rsidRPr="00F14994" w:rsidRDefault="000A3A56" w:rsidP="000A3A56">
            <w:pPr>
              <w:pStyle w:val="Tabletext"/>
            </w:pPr>
            <w:r w:rsidRPr="00F14994">
              <w:t>Procédures d'accès universel aux porteuses de reportage d'actualités par satellite</w:t>
            </w:r>
          </w:p>
        </w:tc>
        <w:tc>
          <w:tcPr>
            <w:tcW w:w="1418" w:type="dxa"/>
          </w:tcPr>
          <w:p w:rsidR="000A3A56" w:rsidRPr="00F14994" w:rsidRDefault="000A3A56" w:rsidP="000A3A56">
            <w:pPr>
              <w:pStyle w:val="Tabletext"/>
              <w:jc w:val="center"/>
            </w:pPr>
            <w:r w:rsidRPr="00F14994">
              <w:t>NOC</w:t>
            </w:r>
          </w:p>
        </w:tc>
        <w:tc>
          <w:tcPr>
            <w:tcW w:w="1559" w:type="dxa"/>
          </w:tcPr>
          <w:p w:rsidR="000A3A56" w:rsidRPr="00F14994" w:rsidRDefault="000A3A56" w:rsidP="000A3A56">
            <w:pPr>
              <w:pStyle w:val="Tabletext"/>
            </w:pPr>
          </w:p>
        </w:tc>
      </w:tr>
    </w:tbl>
    <w:p w:rsidR="00F14994" w:rsidRDefault="00F14994" w:rsidP="0032202E">
      <w:pPr>
        <w:pStyle w:val="Reasons"/>
      </w:pPr>
    </w:p>
    <w:p w:rsidR="009C4BE7" w:rsidRDefault="009C4BE7" w:rsidP="0032202E">
      <w:pPr>
        <w:pStyle w:val="Reasons"/>
      </w:pPr>
      <w:bookmarkStart w:id="11" w:name="_GoBack"/>
      <w:bookmarkEnd w:id="11"/>
    </w:p>
    <w:p w:rsidR="00F14994" w:rsidRDefault="00F14994">
      <w:pPr>
        <w:jc w:val="center"/>
      </w:pPr>
      <w:r>
        <w:t>______________</w:t>
      </w:r>
    </w:p>
    <w:sectPr w:rsidR="00F14994" w:rsidSect="0075232C">
      <w:headerReference w:type="default" r:id="rId108"/>
      <w:footerReference w:type="even" r:id="rId109"/>
      <w:footerReference w:type="default" r:id="rId110"/>
      <w:footerReference w:type="first" r:id="rId1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72D" w:rsidRDefault="000C272D">
      <w:r>
        <w:separator/>
      </w:r>
    </w:p>
  </w:endnote>
  <w:endnote w:type="continuationSeparator" w:id="0">
    <w:p w:rsidR="000C272D" w:rsidRDefault="000C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2D" w:rsidRPr="00B6219E" w:rsidRDefault="000C272D">
    <w:pPr>
      <w:rPr>
        <w:lang w:val="de-CH"/>
      </w:rPr>
    </w:pPr>
    <w:r>
      <w:fldChar w:fldCharType="begin"/>
    </w:r>
    <w:r w:rsidRPr="00B6219E">
      <w:rPr>
        <w:lang w:val="de-CH"/>
      </w:rPr>
      <w:instrText xml:space="preserve"> FILENAME \p  \* MERGEFORMAT </w:instrText>
    </w:r>
    <w:r>
      <w:fldChar w:fldCharType="separate"/>
    </w:r>
    <w:r w:rsidR="00220294">
      <w:rPr>
        <w:noProof/>
        <w:lang w:val="de-CH"/>
      </w:rPr>
      <w:t>P:\FRA\ITU-R\SG-R\SG04\1000\1002F.docx</w:t>
    </w:r>
    <w:r>
      <w:fldChar w:fldCharType="end"/>
    </w:r>
    <w:r w:rsidRPr="00B6219E">
      <w:rPr>
        <w:lang w:val="de-CH"/>
      </w:rPr>
      <w:tab/>
    </w:r>
    <w:r>
      <w:fldChar w:fldCharType="begin"/>
    </w:r>
    <w:r>
      <w:instrText xml:space="preserve"> SAVEDATE \@ DD.MM.YY </w:instrText>
    </w:r>
    <w:r>
      <w:fldChar w:fldCharType="separate"/>
    </w:r>
    <w:r w:rsidR="009C4BE7">
      <w:rPr>
        <w:noProof/>
      </w:rPr>
      <w:t>07.10.15</w:t>
    </w:r>
    <w:r>
      <w:fldChar w:fldCharType="end"/>
    </w:r>
    <w:r w:rsidRPr="00B6219E">
      <w:rPr>
        <w:lang w:val="de-CH"/>
      </w:rPr>
      <w:tab/>
    </w:r>
    <w:r>
      <w:fldChar w:fldCharType="begin"/>
    </w:r>
    <w:r>
      <w:instrText xml:space="preserve"> PRINTDATE \@ DD.MM.YY </w:instrText>
    </w:r>
    <w:r>
      <w:fldChar w:fldCharType="separate"/>
    </w:r>
    <w:r w:rsidR="00220294">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2D" w:rsidRPr="00B6219E" w:rsidRDefault="000C272D" w:rsidP="000A3A56">
    <w:pPr>
      <w:pStyle w:val="Footer"/>
      <w:rPr>
        <w:lang w:val="de-CH"/>
      </w:rPr>
    </w:pPr>
    <w:r>
      <w:fldChar w:fldCharType="begin"/>
    </w:r>
    <w:r w:rsidRPr="00B6219E">
      <w:rPr>
        <w:lang w:val="de-CH"/>
      </w:rPr>
      <w:instrText xml:space="preserve"> FILENAME \p  \* MERGEFORMAT </w:instrText>
    </w:r>
    <w:r>
      <w:fldChar w:fldCharType="separate"/>
    </w:r>
    <w:r w:rsidR="00220294">
      <w:rPr>
        <w:lang w:val="de-CH"/>
      </w:rPr>
      <w:t>P:\FRA\ITU-R\SG-R\SG04\1000\1002F.docx</w:t>
    </w:r>
    <w:r>
      <w:fldChar w:fldCharType="end"/>
    </w:r>
    <w:r w:rsidRPr="00B6219E">
      <w:rPr>
        <w:lang w:val="de-CH"/>
      </w:rPr>
      <w:t xml:space="preserve"> </w:t>
    </w:r>
    <w:r>
      <w:rPr>
        <w:lang w:val="de-CH"/>
      </w:rPr>
      <w:t>(383144)</w:t>
    </w:r>
    <w:r w:rsidRPr="00B6219E">
      <w:rPr>
        <w:lang w:val="de-CH"/>
      </w:rPr>
      <w:tab/>
    </w:r>
    <w:r>
      <w:fldChar w:fldCharType="begin"/>
    </w:r>
    <w:r>
      <w:instrText xml:space="preserve"> SAVEDATE \@ DD.MM.YY </w:instrText>
    </w:r>
    <w:r>
      <w:fldChar w:fldCharType="separate"/>
    </w:r>
    <w:r w:rsidR="009C4BE7">
      <w:t>07.10.15</w:t>
    </w:r>
    <w:r>
      <w:fldChar w:fldCharType="end"/>
    </w:r>
    <w:r w:rsidRPr="00B6219E">
      <w:rPr>
        <w:lang w:val="de-CH"/>
      </w:rPr>
      <w:tab/>
    </w:r>
    <w:r>
      <w:fldChar w:fldCharType="begin"/>
    </w:r>
    <w:r>
      <w:instrText xml:space="preserve"> PRINTDATE \@ DD.MM.YY </w:instrText>
    </w:r>
    <w:r>
      <w:fldChar w:fldCharType="separate"/>
    </w:r>
    <w:r w:rsidR="00220294">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2D" w:rsidRPr="000C272D" w:rsidRDefault="000C272D" w:rsidP="000C272D">
    <w:pPr>
      <w:pStyle w:val="Footer"/>
      <w:rPr>
        <w:lang w:val="de-CH"/>
      </w:rPr>
    </w:pPr>
    <w:r>
      <w:fldChar w:fldCharType="begin"/>
    </w:r>
    <w:r w:rsidRPr="00B6219E">
      <w:rPr>
        <w:lang w:val="de-CH"/>
      </w:rPr>
      <w:instrText xml:space="preserve"> FILENAME \p  \* MERGEFORMAT </w:instrText>
    </w:r>
    <w:r>
      <w:fldChar w:fldCharType="separate"/>
    </w:r>
    <w:r w:rsidR="00220294">
      <w:rPr>
        <w:lang w:val="de-CH"/>
      </w:rPr>
      <w:t>P:\FRA\ITU-R\SG-R\SG04\1000\1002F.docx</w:t>
    </w:r>
    <w:r>
      <w:fldChar w:fldCharType="end"/>
    </w:r>
    <w:r w:rsidRPr="00B6219E">
      <w:rPr>
        <w:lang w:val="de-CH"/>
      </w:rPr>
      <w:t xml:space="preserve"> </w:t>
    </w:r>
    <w:r>
      <w:rPr>
        <w:lang w:val="de-CH"/>
      </w:rPr>
      <w:t>(383144)</w:t>
    </w:r>
    <w:r w:rsidRPr="00B6219E">
      <w:rPr>
        <w:lang w:val="de-CH"/>
      </w:rPr>
      <w:tab/>
    </w:r>
    <w:r>
      <w:fldChar w:fldCharType="begin"/>
    </w:r>
    <w:r>
      <w:instrText xml:space="preserve"> SAVEDATE \@ DD.MM.YY </w:instrText>
    </w:r>
    <w:r>
      <w:fldChar w:fldCharType="separate"/>
    </w:r>
    <w:r w:rsidR="009C4BE7">
      <w:t>07.10.15</w:t>
    </w:r>
    <w:r>
      <w:fldChar w:fldCharType="end"/>
    </w:r>
    <w:r w:rsidRPr="00B6219E">
      <w:rPr>
        <w:lang w:val="de-CH"/>
      </w:rPr>
      <w:tab/>
    </w:r>
    <w:r>
      <w:fldChar w:fldCharType="begin"/>
    </w:r>
    <w:r>
      <w:instrText xml:space="preserve"> PRINTDATE \@ DD.MM.YY </w:instrText>
    </w:r>
    <w:r>
      <w:fldChar w:fldCharType="separate"/>
    </w:r>
    <w:r w:rsidR="00220294">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72D" w:rsidRDefault="000C272D">
      <w:r>
        <w:rPr>
          <w:b/>
        </w:rPr>
        <w:t>_______________</w:t>
      </w:r>
    </w:p>
  </w:footnote>
  <w:footnote w:type="continuationSeparator" w:id="0">
    <w:p w:rsidR="000C272D" w:rsidRDefault="000C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2D" w:rsidRDefault="000C272D">
    <w:pPr>
      <w:pStyle w:val="Header"/>
    </w:pPr>
    <w:r>
      <w:fldChar w:fldCharType="begin"/>
    </w:r>
    <w:r>
      <w:instrText xml:space="preserve"> PAGE  \* MERGEFORMAT </w:instrText>
    </w:r>
    <w:r>
      <w:fldChar w:fldCharType="separate"/>
    </w:r>
    <w:r w:rsidR="009C4BE7">
      <w:rPr>
        <w:noProof/>
      </w:rPr>
      <w:t>22</w:t>
    </w:r>
    <w:r>
      <w:fldChar w:fldCharType="end"/>
    </w:r>
  </w:p>
  <w:p w:rsidR="000C272D" w:rsidRDefault="000C272D">
    <w:pPr>
      <w:pStyle w:val="Header"/>
    </w:pPr>
    <w:r>
      <w:t>4/1002-F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511D7"/>
    <w:multiLevelType w:val="hybridMultilevel"/>
    <w:tmpl w:val="7ADCC6B8"/>
    <w:lvl w:ilvl="0" w:tplc="6EC4C6A0">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F4"/>
    <w:rsid w:val="00006711"/>
    <w:rsid w:val="00007193"/>
    <w:rsid w:val="00012600"/>
    <w:rsid w:val="00026756"/>
    <w:rsid w:val="00033806"/>
    <w:rsid w:val="00043D25"/>
    <w:rsid w:val="00045B7F"/>
    <w:rsid w:val="00056D7E"/>
    <w:rsid w:val="000642BB"/>
    <w:rsid w:val="000663C9"/>
    <w:rsid w:val="000717E6"/>
    <w:rsid w:val="00080D65"/>
    <w:rsid w:val="00083AC9"/>
    <w:rsid w:val="000877F5"/>
    <w:rsid w:val="0009232C"/>
    <w:rsid w:val="0009433D"/>
    <w:rsid w:val="000A2C67"/>
    <w:rsid w:val="000A3A56"/>
    <w:rsid w:val="000B1F11"/>
    <w:rsid w:val="000B232D"/>
    <w:rsid w:val="000C272D"/>
    <w:rsid w:val="000D1D98"/>
    <w:rsid w:val="000D6B27"/>
    <w:rsid w:val="000D77B0"/>
    <w:rsid w:val="000F4A50"/>
    <w:rsid w:val="000F4E34"/>
    <w:rsid w:val="001031C4"/>
    <w:rsid w:val="001061DE"/>
    <w:rsid w:val="001074F2"/>
    <w:rsid w:val="00115C38"/>
    <w:rsid w:val="001224C7"/>
    <w:rsid w:val="00124AC1"/>
    <w:rsid w:val="00135206"/>
    <w:rsid w:val="0013523C"/>
    <w:rsid w:val="00156EE3"/>
    <w:rsid w:val="00160694"/>
    <w:rsid w:val="001614FE"/>
    <w:rsid w:val="00162112"/>
    <w:rsid w:val="00164C8D"/>
    <w:rsid w:val="00167091"/>
    <w:rsid w:val="00170AF2"/>
    <w:rsid w:val="00176E38"/>
    <w:rsid w:val="00190715"/>
    <w:rsid w:val="001950F4"/>
    <w:rsid w:val="001B14DC"/>
    <w:rsid w:val="001C194D"/>
    <w:rsid w:val="001C7CA1"/>
    <w:rsid w:val="001D5471"/>
    <w:rsid w:val="001E1D15"/>
    <w:rsid w:val="001E2981"/>
    <w:rsid w:val="001F07C0"/>
    <w:rsid w:val="001F4C90"/>
    <w:rsid w:val="002010AF"/>
    <w:rsid w:val="00202D5C"/>
    <w:rsid w:val="0020557A"/>
    <w:rsid w:val="00220294"/>
    <w:rsid w:val="002232A2"/>
    <w:rsid w:val="00223DF9"/>
    <w:rsid w:val="002342AB"/>
    <w:rsid w:val="00251A63"/>
    <w:rsid w:val="0025212F"/>
    <w:rsid w:val="002770B3"/>
    <w:rsid w:val="002855FF"/>
    <w:rsid w:val="00293F92"/>
    <w:rsid w:val="002A0998"/>
    <w:rsid w:val="002A75F4"/>
    <w:rsid w:val="002B095C"/>
    <w:rsid w:val="002B5B43"/>
    <w:rsid w:val="002B5FE2"/>
    <w:rsid w:val="002D091F"/>
    <w:rsid w:val="002D5B0A"/>
    <w:rsid w:val="002F3451"/>
    <w:rsid w:val="002F6342"/>
    <w:rsid w:val="0030196D"/>
    <w:rsid w:val="00305DF9"/>
    <w:rsid w:val="00312771"/>
    <w:rsid w:val="00317700"/>
    <w:rsid w:val="00317967"/>
    <w:rsid w:val="00347D87"/>
    <w:rsid w:val="0035199D"/>
    <w:rsid w:val="00355D5B"/>
    <w:rsid w:val="003563D9"/>
    <w:rsid w:val="003644F8"/>
    <w:rsid w:val="00365CF4"/>
    <w:rsid w:val="0037097B"/>
    <w:rsid w:val="0037730C"/>
    <w:rsid w:val="00380377"/>
    <w:rsid w:val="0039549F"/>
    <w:rsid w:val="003A67B7"/>
    <w:rsid w:val="003B0C02"/>
    <w:rsid w:val="003B2885"/>
    <w:rsid w:val="003C44A7"/>
    <w:rsid w:val="003C61EE"/>
    <w:rsid w:val="003D18ED"/>
    <w:rsid w:val="003D3D50"/>
    <w:rsid w:val="003D5028"/>
    <w:rsid w:val="003D54FF"/>
    <w:rsid w:val="003F0E30"/>
    <w:rsid w:val="003F4F22"/>
    <w:rsid w:val="0040007E"/>
    <w:rsid w:val="004135EA"/>
    <w:rsid w:val="00425276"/>
    <w:rsid w:val="004336F6"/>
    <w:rsid w:val="00440184"/>
    <w:rsid w:val="00442B08"/>
    <w:rsid w:val="004442E2"/>
    <w:rsid w:val="004478AD"/>
    <w:rsid w:val="00453A53"/>
    <w:rsid w:val="004575CC"/>
    <w:rsid w:val="00460557"/>
    <w:rsid w:val="004661E8"/>
    <w:rsid w:val="004A79BE"/>
    <w:rsid w:val="004B3CDA"/>
    <w:rsid w:val="004C1B5B"/>
    <w:rsid w:val="004D0912"/>
    <w:rsid w:val="004D1215"/>
    <w:rsid w:val="004D609F"/>
    <w:rsid w:val="004D72E3"/>
    <w:rsid w:val="004D7CE7"/>
    <w:rsid w:val="004E0925"/>
    <w:rsid w:val="00507D6E"/>
    <w:rsid w:val="005114C3"/>
    <w:rsid w:val="00515FB7"/>
    <w:rsid w:val="0052539A"/>
    <w:rsid w:val="00530E6D"/>
    <w:rsid w:val="00531D72"/>
    <w:rsid w:val="00534808"/>
    <w:rsid w:val="0053613F"/>
    <w:rsid w:val="00537523"/>
    <w:rsid w:val="00542A26"/>
    <w:rsid w:val="00551BF5"/>
    <w:rsid w:val="0056072D"/>
    <w:rsid w:val="00560DB8"/>
    <w:rsid w:val="00561234"/>
    <w:rsid w:val="005915C8"/>
    <w:rsid w:val="005A1130"/>
    <w:rsid w:val="005A46FB"/>
    <w:rsid w:val="005B2C4C"/>
    <w:rsid w:val="005B6D6E"/>
    <w:rsid w:val="005C1181"/>
    <w:rsid w:val="005D11D9"/>
    <w:rsid w:val="005D7205"/>
    <w:rsid w:val="005E3CD4"/>
    <w:rsid w:val="005F09D3"/>
    <w:rsid w:val="005F644E"/>
    <w:rsid w:val="006001E9"/>
    <w:rsid w:val="00621A0D"/>
    <w:rsid w:val="00622987"/>
    <w:rsid w:val="00637A67"/>
    <w:rsid w:val="00645070"/>
    <w:rsid w:val="006523FB"/>
    <w:rsid w:val="00672CCD"/>
    <w:rsid w:val="00694150"/>
    <w:rsid w:val="006A41C3"/>
    <w:rsid w:val="006B4488"/>
    <w:rsid w:val="006B7103"/>
    <w:rsid w:val="006D1533"/>
    <w:rsid w:val="006D54E9"/>
    <w:rsid w:val="006E2812"/>
    <w:rsid w:val="006E399E"/>
    <w:rsid w:val="006F558B"/>
    <w:rsid w:val="006F73A7"/>
    <w:rsid w:val="00703AF1"/>
    <w:rsid w:val="0071329A"/>
    <w:rsid w:val="007134E0"/>
    <w:rsid w:val="007225D3"/>
    <w:rsid w:val="0072754D"/>
    <w:rsid w:val="00731752"/>
    <w:rsid w:val="00742A47"/>
    <w:rsid w:val="0075232C"/>
    <w:rsid w:val="00762132"/>
    <w:rsid w:val="00765413"/>
    <w:rsid w:val="00772186"/>
    <w:rsid w:val="00781160"/>
    <w:rsid w:val="00781778"/>
    <w:rsid w:val="00786008"/>
    <w:rsid w:val="007A377E"/>
    <w:rsid w:val="007B01FC"/>
    <w:rsid w:val="007B1DF1"/>
    <w:rsid w:val="007B756C"/>
    <w:rsid w:val="007C47FA"/>
    <w:rsid w:val="007D0F01"/>
    <w:rsid w:val="0080426A"/>
    <w:rsid w:val="00805B71"/>
    <w:rsid w:val="00812E5B"/>
    <w:rsid w:val="008218DB"/>
    <w:rsid w:val="008325A2"/>
    <w:rsid w:val="008359F9"/>
    <w:rsid w:val="008369B3"/>
    <w:rsid w:val="00840686"/>
    <w:rsid w:val="00840A51"/>
    <w:rsid w:val="00846C6B"/>
    <w:rsid w:val="00847C22"/>
    <w:rsid w:val="00852305"/>
    <w:rsid w:val="00854F1D"/>
    <w:rsid w:val="00857FD9"/>
    <w:rsid w:val="008737D1"/>
    <w:rsid w:val="0087786B"/>
    <w:rsid w:val="0088541C"/>
    <w:rsid w:val="008962EE"/>
    <w:rsid w:val="008C1580"/>
    <w:rsid w:val="008C3212"/>
    <w:rsid w:val="008C5FD1"/>
    <w:rsid w:val="008D0C36"/>
    <w:rsid w:val="008D7802"/>
    <w:rsid w:val="008E2077"/>
    <w:rsid w:val="008E4AD2"/>
    <w:rsid w:val="008F4C91"/>
    <w:rsid w:val="009014C1"/>
    <w:rsid w:val="009177D2"/>
    <w:rsid w:val="00924647"/>
    <w:rsid w:val="009327D5"/>
    <w:rsid w:val="009329C0"/>
    <w:rsid w:val="0094184C"/>
    <w:rsid w:val="00945370"/>
    <w:rsid w:val="009501F9"/>
    <w:rsid w:val="00971161"/>
    <w:rsid w:val="009B15E2"/>
    <w:rsid w:val="009B2290"/>
    <w:rsid w:val="009B49EC"/>
    <w:rsid w:val="009C4BE7"/>
    <w:rsid w:val="009C56C2"/>
    <w:rsid w:val="009C6C2E"/>
    <w:rsid w:val="009D0ED5"/>
    <w:rsid w:val="00A115DB"/>
    <w:rsid w:val="00A25BA9"/>
    <w:rsid w:val="00A318C8"/>
    <w:rsid w:val="00A333A3"/>
    <w:rsid w:val="00A409A2"/>
    <w:rsid w:val="00A424CA"/>
    <w:rsid w:val="00A4322B"/>
    <w:rsid w:val="00A509AE"/>
    <w:rsid w:val="00A55E0B"/>
    <w:rsid w:val="00A62AD5"/>
    <w:rsid w:val="00A62B06"/>
    <w:rsid w:val="00A702B3"/>
    <w:rsid w:val="00A769F2"/>
    <w:rsid w:val="00A820B6"/>
    <w:rsid w:val="00A86AB0"/>
    <w:rsid w:val="00AA6F50"/>
    <w:rsid w:val="00AB4990"/>
    <w:rsid w:val="00AD0FA1"/>
    <w:rsid w:val="00AD26C8"/>
    <w:rsid w:val="00AD350F"/>
    <w:rsid w:val="00AF0272"/>
    <w:rsid w:val="00AF02DB"/>
    <w:rsid w:val="00B059A7"/>
    <w:rsid w:val="00B06A78"/>
    <w:rsid w:val="00B06F6D"/>
    <w:rsid w:val="00B07210"/>
    <w:rsid w:val="00B12DFD"/>
    <w:rsid w:val="00B15D78"/>
    <w:rsid w:val="00B237DF"/>
    <w:rsid w:val="00B30BAD"/>
    <w:rsid w:val="00B37E5B"/>
    <w:rsid w:val="00B4280C"/>
    <w:rsid w:val="00B44B6A"/>
    <w:rsid w:val="00B474C7"/>
    <w:rsid w:val="00B561B3"/>
    <w:rsid w:val="00B6219E"/>
    <w:rsid w:val="00B74FC6"/>
    <w:rsid w:val="00B827E8"/>
    <w:rsid w:val="00B82870"/>
    <w:rsid w:val="00B82926"/>
    <w:rsid w:val="00B830A9"/>
    <w:rsid w:val="00BB0E2B"/>
    <w:rsid w:val="00BB4A61"/>
    <w:rsid w:val="00BB4E2B"/>
    <w:rsid w:val="00BC1ECB"/>
    <w:rsid w:val="00BD0E2F"/>
    <w:rsid w:val="00BE0F92"/>
    <w:rsid w:val="00BE304F"/>
    <w:rsid w:val="00C10C2D"/>
    <w:rsid w:val="00C20609"/>
    <w:rsid w:val="00C24B8A"/>
    <w:rsid w:val="00C27517"/>
    <w:rsid w:val="00C44753"/>
    <w:rsid w:val="00C479F1"/>
    <w:rsid w:val="00C513E0"/>
    <w:rsid w:val="00C60499"/>
    <w:rsid w:val="00C67002"/>
    <w:rsid w:val="00C67C69"/>
    <w:rsid w:val="00C7796D"/>
    <w:rsid w:val="00C808D0"/>
    <w:rsid w:val="00C934FD"/>
    <w:rsid w:val="00CA605E"/>
    <w:rsid w:val="00CA65A0"/>
    <w:rsid w:val="00CC3C3C"/>
    <w:rsid w:val="00CC51C5"/>
    <w:rsid w:val="00CD54F6"/>
    <w:rsid w:val="00CE4BF8"/>
    <w:rsid w:val="00CE6AAE"/>
    <w:rsid w:val="00CF5CB2"/>
    <w:rsid w:val="00D06FAE"/>
    <w:rsid w:val="00D110E8"/>
    <w:rsid w:val="00D15701"/>
    <w:rsid w:val="00D16DB5"/>
    <w:rsid w:val="00D25176"/>
    <w:rsid w:val="00D278A9"/>
    <w:rsid w:val="00D31920"/>
    <w:rsid w:val="00D32DD4"/>
    <w:rsid w:val="00D441BC"/>
    <w:rsid w:val="00D54910"/>
    <w:rsid w:val="00D62AF6"/>
    <w:rsid w:val="00D6579A"/>
    <w:rsid w:val="00D7095E"/>
    <w:rsid w:val="00D75770"/>
    <w:rsid w:val="00D76170"/>
    <w:rsid w:val="00D77DA8"/>
    <w:rsid w:val="00D95347"/>
    <w:rsid w:val="00DA3F28"/>
    <w:rsid w:val="00DA4140"/>
    <w:rsid w:val="00DC39E6"/>
    <w:rsid w:val="00DC4CBD"/>
    <w:rsid w:val="00DD2014"/>
    <w:rsid w:val="00DE383A"/>
    <w:rsid w:val="00DF4004"/>
    <w:rsid w:val="00DF5B54"/>
    <w:rsid w:val="00E221B0"/>
    <w:rsid w:val="00E23413"/>
    <w:rsid w:val="00E2599D"/>
    <w:rsid w:val="00E30AE1"/>
    <w:rsid w:val="00E336B3"/>
    <w:rsid w:val="00E45ADF"/>
    <w:rsid w:val="00E6538F"/>
    <w:rsid w:val="00E760F9"/>
    <w:rsid w:val="00E77C0D"/>
    <w:rsid w:val="00E851D1"/>
    <w:rsid w:val="00E91EA2"/>
    <w:rsid w:val="00E92BB7"/>
    <w:rsid w:val="00EA396D"/>
    <w:rsid w:val="00EB455B"/>
    <w:rsid w:val="00EB77F2"/>
    <w:rsid w:val="00EC06EE"/>
    <w:rsid w:val="00EC0EB4"/>
    <w:rsid w:val="00ED01A6"/>
    <w:rsid w:val="00ED6310"/>
    <w:rsid w:val="00EE4FFB"/>
    <w:rsid w:val="00EE5848"/>
    <w:rsid w:val="00EF3C4E"/>
    <w:rsid w:val="00F018A8"/>
    <w:rsid w:val="00F14994"/>
    <w:rsid w:val="00F15E3B"/>
    <w:rsid w:val="00F17C45"/>
    <w:rsid w:val="00F243CE"/>
    <w:rsid w:val="00F258BD"/>
    <w:rsid w:val="00F2622B"/>
    <w:rsid w:val="00F2695B"/>
    <w:rsid w:val="00F32FBE"/>
    <w:rsid w:val="00F37132"/>
    <w:rsid w:val="00F506F3"/>
    <w:rsid w:val="00F6435B"/>
    <w:rsid w:val="00F70DDD"/>
    <w:rsid w:val="00F73E13"/>
    <w:rsid w:val="00F73FB9"/>
    <w:rsid w:val="00F76180"/>
    <w:rsid w:val="00F80FDA"/>
    <w:rsid w:val="00F81F2A"/>
    <w:rsid w:val="00F92313"/>
    <w:rsid w:val="00FA08B4"/>
    <w:rsid w:val="00FA42D8"/>
    <w:rsid w:val="00FB596A"/>
    <w:rsid w:val="00FC0296"/>
    <w:rsid w:val="00FC454C"/>
    <w:rsid w:val="00FC6C29"/>
    <w:rsid w:val="00FD1F5E"/>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5261B7E-8750-4717-B9F0-8C5AE13B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962EE"/>
    <w:rPr>
      <w:position w:val="6"/>
      <w:sz w:val="18"/>
    </w:rPr>
  </w:style>
  <w:style w:type="paragraph" w:styleId="FootnoteText">
    <w:name w:val="footnote text"/>
    <w:basedOn w:val="Normal"/>
    <w:link w:val="FootnoteTextChar"/>
    <w:uiPriority w:val="99"/>
    <w:rsid w:val="008962EE"/>
    <w:pPr>
      <w:keepLines/>
      <w:tabs>
        <w:tab w:val="left" w:pos="255"/>
      </w:tabs>
    </w:pPr>
  </w:style>
  <w:style w:type="character" w:customStyle="1" w:styleId="FootnoteTextChar">
    <w:name w:val="Footnote Text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link w:val="NoteChar"/>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37730C"/>
    <w:rPr>
      <w:rFonts w:ascii="Times New Roman" w:hAnsi="Times New Roman"/>
      <w:b/>
      <w:sz w:val="28"/>
      <w:lang w:val="fr-FR" w:eastAsia="en-US"/>
    </w:rPr>
  </w:style>
  <w:style w:type="character" w:customStyle="1" w:styleId="enumlev1Char">
    <w:name w:val="enumlev1 Char"/>
    <w:basedOn w:val="DefaultParagraphFont"/>
    <w:link w:val="enumlev1"/>
    <w:rsid w:val="005114C3"/>
    <w:rPr>
      <w:rFonts w:ascii="Times New Roman" w:hAnsi="Times New Roman"/>
      <w:sz w:val="24"/>
      <w:lang w:val="fr-FR" w:eastAsia="en-US"/>
    </w:rPr>
  </w:style>
  <w:style w:type="character" w:styleId="Hyperlink">
    <w:name w:val="Hyperlink"/>
    <w:basedOn w:val="DefaultParagraphFont"/>
    <w:uiPriority w:val="99"/>
    <w:rsid w:val="005114C3"/>
    <w:rPr>
      <w:rFonts w:cs="Times New Roman"/>
      <w:color w:val="0000FF"/>
      <w:u w:val="single"/>
    </w:rPr>
  </w:style>
  <w:style w:type="character" w:customStyle="1" w:styleId="TableNoChar">
    <w:name w:val="Table_No Char"/>
    <w:basedOn w:val="DefaultParagraphFont"/>
    <w:link w:val="TableNo"/>
    <w:locked/>
    <w:rsid w:val="00425276"/>
    <w:rPr>
      <w:rFonts w:ascii="Times New Roman" w:hAnsi="Times New Roman"/>
      <w:caps/>
      <w:lang w:val="fr-FR" w:eastAsia="en-US"/>
    </w:rPr>
  </w:style>
  <w:style w:type="character" w:customStyle="1" w:styleId="TabletextChar">
    <w:name w:val="Table_text Char"/>
    <w:basedOn w:val="DefaultParagraphFont"/>
    <w:link w:val="Tabletext"/>
    <w:locked/>
    <w:rsid w:val="00425276"/>
    <w:rPr>
      <w:rFonts w:ascii="Times New Roman" w:hAnsi="Times New Roman"/>
      <w:lang w:val="fr-FR" w:eastAsia="en-US"/>
    </w:rPr>
  </w:style>
  <w:style w:type="character" w:customStyle="1" w:styleId="TabletitleChar">
    <w:name w:val="Table_title Char"/>
    <w:basedOn w:val="DefaultParagraphFont"/>
    <w:link w:val="Tabletitle"/>
    <w:locked/>
    <w:rsid w:val="00425276"/>
    <w:rPr>
      <w:rFonts w:ascii="Times New Roman Bold" w:hAnsi="Times New Roman Bold"/>
      <w:b/>
      <w:lang w:val="fr-FR" w:eastAsia="en-US"/>
    </w:rPr>
  </w:style>
  <w:style w:type="paragraph" w:customStyle="1" w:styleId="Tablehead0">
    <w:name w:val="Table head"/>
    <w:basedOn w:val="Normal"/>
    <w:rsid w:val="00425276"/>
    <w:pPr>
      <w:jc w:val="center"/>
    </w:pPr>
    <w:rPr>
      <w:b/>
      <w:bCs/>
      <w:lang w:val="fr-CH"/>
    </w:rPr>
  </w:style>
  <w:style w:type="character" w:customStyle="1" w:styleId="Heading2Char">
    <w:name w:val="Heading 2 Char"/>
    <w:basedOn w:val="DefaultParagraphFont"/>
    <w:link w:val="Heading2"/>
    <w:rsid w:val="00FC0296"/>
    <w:rPr>
      <w:rFonts w:ascii="Times New Roman" w:hAnsi="Times New Roman"/>
      <w:b/>
      <w:sz w:val="24"/>
      <w:lang w:val="fr-FR" w:eastAsia="en-US"/>
    </w:rPr>
  </w:style>
  <w:style w:type="paragraph" w:customStyle="1" w:styleId="Normalaftertitle0">
    <w:name w:val="Normal_after_title"/>
    <w:basedOn w:val="Normal"/>
    <w:next w:val="Normal"/>
    <w:rsid w:val="00C808D0"/>
    <w:pPr>
      <w:tabs>
        <w:tab w:val="clear" w:pos="1134"/>
        <w:tab w:val="clear" w:pos="1871"/>
        <w:tab w:val="clear" w:pos="2268"/>
        <w:tab w:val="left" w:pos="794"/>
        <w:tab w:val="left" w:pos="1191"/>
        <w:tab w:val="left" w:pos="1588"/>
        <w:tab w:val="left" w:pos="1985"/>
      </w:tabs>
      <w:spacing w:before="360"/>
    </w:pPr>
  </w:style>
  <w:style w:type="character" w:customStyle="1" w:styleId="href">
    <w:name w:val="href"/>
    <w:basedOn w:val="DefaultParagraphFont"/>
    <w:rsid w:val="00D16DB5"/>
    <w:rPr>
      <w:color w:val="auto"/>
    </w:rPr>
  </w:style>
  <w:style w:type="character" w:customStyle="1" w:styleId="NoteChar">
    <w:name w:val="Note Char"/>
    <w:basedOn w:val="DefaultParagraphFont"/>
    <w:link w:val="Note"/>
    <w:locked/>
    <w:rsid w:val="00847C22"/>
    <w:rPr>
      <w:rFonts w:ascii="Times New Roman" w:hAnsi="Times New Roman"/>
      <w:sz w:val="24"/>
      <w:lang w:val="fr-FR" w:eastAsia="en-US"/>
    </w:rPr>
  </w:style>
  <w:style w:type="character" w:customStyle="1" w:styleId="TableheadChar">
    <w:name w:val="Table_head Char"/>
    <w:basedOn w:val="DefaultParagraphFont"/>
    <w:link w:val="Tablehead"/>
    <w:rsid w:val="00847C22"/>
    <w:rPr>
      <w:rFonts w:ascii="Times New Roman" w:hAnsi="Times New Roman"/>
      <w:b/>
      <w:lang w:val="fr-FR" w:eastAsia="en-US"/>
    </w:rPr>
  </w:style>
  <w:style w:type="paragraph" w:styleId="Date">
    <w:name w:val="Date"/>
    <w:basedOn w:val="Normal"/>
    <w:next w:val="Normal"/>
    <w:link w:val="DateChar"/>
    <w:rsid w:val="006E399E"/>
  </w:style>
  <w:style w:type="character" w:customStyle="1" w:styleId="DateChar">
    <w:name w:val="Date Char"/>
    <w:basedOn w:val="DefaultParagraphFont"/>
    <w:link w:val="Date"/>
    <w:rsid w:val="006E399E"/>
    <w:rPr>
      <w:rFonts w:ascii="Times New Roman" w:hAnsi="Times New Roman"/>
      <w:sz w:val="24"/>
      <w:lang w:val="fr-FR" w:eastAsia="en-US"/>
    </w:rPr>
  </w:style>
  <w:style w:type="paragraph" w:styleId="BalloonText">
    <w:name w:val="Balloon Text"/>
    <w:basedOn w:val="Normal"/>
    <w:link w:val="BalloonTextChar"/>
    <w:semiHidden/>
    <w:unhideWhenUsed/>
    <w:rsid w:val="00C604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0499"/>
    <w:rPr>
      <w:rFonts w:ascii="Segoe UI" w:hAnsi="Segoe UI" w:cs="Segoe UI"/>
      <w:sz w:val="18"/>
      <w:szCs w:val="18"/>
      <w:lang w:val="fr-FR" w:eastAsia="en-US"/>
    </w:rPr>
  </w:style>
  <w:style w:type="paragraph" w:customStyle="1" w:styleId="Default">
    <w:name w:val="Default"/>
    <w:rsid w:val="00C67C69"/>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2D5B0A"/>
    <w:rPr>
      <w:color w:val="800080" w:themeColor="followedHyperlink"/>
      <w:u w:val="single"/>
    </w:rPr>
  </w:style>
  <w:style w:type="paragraph" w:customStyle="1" w:styleId="Char">
    <w:name w:val="Char"/>
    <w:basedOn w:val="Normal"/>
    <w:rsid w:val="000A3A56"/>
    <w:pPr>
      <w:tabs>
        <w:tab w:val="clear" w:pos="1134"/>
        <w:tab w:val="clear" w:pos="1871"/>
        <w:tab w:val="clear" w:pos="2268"/>
      </w:tabs>
      <w:overflowPunct/>
      <w:autoSpaceDE/>
      <w:autoSpaceDN/>
      <w:adjustRightInd/>
      <w:spacing w:before="0" w:after="160" w:line="240" w:lineRule="exact"/>
      <w:textAlignment w:val="auto"/>
    </w:pPr>
    <w:rPr>
      <w:rFonts w:ascii="Arial" w:eastAsia="SimSun" w:hAnsi="Arial"/>
      <w:sz w:val="20"/>
      <w:lang w:eastAsia="zh-CN"/>
    </w:rPr>
  </w:style>
  <w:style w:type="character" w:styleId="Strong">
    <w:name w:val="Strong"/>
    <w:basedOn w:val="DefaultParagraphFont"/>
    <w:qFormat/>
    <w:rsid w:val="000A3A56"/>
    <w:rPr>
      <w:b/>
      <w:bCs/>
    </w:rPr>
  </w:style>
  <w:style w:type="paragraph" w:customStyle="1" w:styleId="AnnexNotitle">
    <w:name w:val="Annex_No &amp; title"/>
    <w:basedOn w:val="Normal"/>
    <w:next w:val="Normalaftertitle0"/>
    <w:rsid w:val="000A3A56"/>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rPr>
  </w:style>
  <w:style w:type="paragraph" w:customStyle="1" w:styleId="AppendixNotitle">
    <w:name w:val="Appendix_No &amp; title"/>
    <w:basedOn w:val="AnnexNotitle"/>
    <w:next w:val="Normalaftertitle0"/>
    <w:rsid w:val="000A3A56"/>
  </w:style>
  <w:style w:type="paragraph" w:customStyle="1" w:styleId="Formal">
    <w:name w:val="Formal"/>
    <w:basedOn w:val="ASN1"/>
    <w:rsid w:val="000A3A56"/>
    <w:pPr>
      <w:tabs>
        <w:tab w:val="clear" w:pos="1871"/>
        <w:tab w:val="left" w:pos="794"/>
        <w:tab w:val="left" w:pos="1191"/>
        <w:tab w:val="left" w:pos="1588"/>
        <w:tab w:val="left" w:pos="1985"/>
      </w:tabs>
    </w:pPr>
    <w:rPr>
      <w:rFonts w:ascii="Courier New" w:eastAsia="SimSun" w:hAnsi="Courier New"/>
      <w:b w:val="0"/>
    </w:rPr>
  </w:style>
  <w:style w:type="paragraph" w:customStyle="1" w:styleId="HeadingSum">
    <w:name w:val="Heading_Sum"/>
    <w:basedOn w:val="Heading1"/>
    <w:next w:val="Summary"/>
    <w:rsid w:val="000A3A56"/>
    <w:pPr>
      <w:tabs>
        <w:tab w:val="clear" w:pos="1134"/>
        <w:tab w:val="clear" w:pos="1871"/>
        <w:tab w:val="clear" w:pos="2268"/>
        <w:tab w:val="left" w:pos="794"/>
        <w:tab w:val="left" w:pos="1191"/>
        <w:tab w:val="left" w:pos="1588"/>
        <w:tab w:val="left" w:pos="1985"/>
      </w:tabs>
      <w:spacing w:before="360"/>
      <w:ind w:left="794" w:hanging="794"/>
    </w:pPr>
    <w:rPr>
      <w:rFonts w:eastAsia="SimSun"/>
      <w:sz w:val="22"/>
      <w:lang w:val="fr-CH"/>
    </w:rPr>
  </w:style>
  <w:style w:type="paragraph" w:customStyle="1" w:styleId="Summary">
    <w:name w:val="Summary"/>
    <w:basedOn w:val="Normal"/>
    <w:next w:val="Normal"/>
    <w:rsid w:val="000A3A56"/>
    <w:pPr>
      <w:tabs>
        <w:tab w:val="clear" w:pos="1134"/>
        <w:tab w:val="clear" w:pos="1871"/>
        <w:tab w:val="clear" w:pos="2268"/>
        <w:tab w:val="left" w:pos="794"/>
        <w:tab w:val="left" w:pos="1191"/>
        <w:tab w:val="left" w:pos="1588"/>
        <w:tab w:val="left" w:pos="1985"/>
      </w:tabs>
    </w:pPr>
    <w:rPr>
      <w:rFonts w:eastAsia="SimSun"/>
      <w:sz w:val="22"/>
      <w:lang w:val="fr-CH"/>
    </w:rPr>
  </w:style>
  <w:style w:type="paragraph" w:customStyle="1" w:styleId="TabletitleBR">
    <w:name w:val="Table_title_BR"/>
    <w:basedOn w:val="Normal"/>
    <w:next w:val="Tablehead"/>
    <w:rsid w:val="000A3A56"/>
    <w:pPr>
      <w:keepNext/>
      <w:keepLines/>
      <w:tabs>
        <w:tab w:val="clear" w:pos="1134"/>
        <w:tab w:val="clear" w:pos="1871"/>
        <w:tab w:val="clear" w:pos="2268"/>
        <w:tab w:val="left" w:pos="794"/>
        <w:tab w:val="left" w:pos="1191"/>
        <w:tab w:val="left" w:pos="1588"/>
        <w:tab w:val="left" w:pos="1985"/>
      </w:tabs>
      <w:spacing w:before="0" w:after="120"/>
      <w:jc w:val="center"/>
    </w:pPr>
    <w:rPr>
      <w:rFonts w:eastAsia="SimSun"/>
      <w:b/>
      <w:lang w:val="en-GB"/>
    </w:rPr>
  </w:style>
  <w:style w:type="paragraph" w:customStyle="1" w:styleId="FigureNoBR">
    <w:name w:val="Figure_No_BR"/>
    <w:basedOn w:val="Normal"/>
    <w:next w:val="Normal"/>
    <w:rsid w:val="000A3A56"/>
    <w:pPr>
      <w:keepNext/>
      <w:keepLines/>
      <w:tabs>
        <w:tab w:val="clear" w:pos="1134"/>
        <w:tab w:val="clear" w:pos="1871"/>
        <w:tab w:val="clear" w:pos="2268"/>
        <w:tab w:val="left" w:pos="794"/>
        <w:tab w:val="left" w:pos="1191"/>
        <w:tab w:val="left" w:pos="1588"/>
        <w:tab w:val="left" w:pos="1985"/>
      </w:tabs>
      <w:spacing w:before="480" w:after="120"/>
      <w:jc w:val="center"/>
    </w:pPr>
    <w:rPr>
      <w:rFonts w:eastAsia="SimSun"/>
      <w:caps/>
      <w:lang w:val="en-GB"/>
    </w:rPr>
  </w:style>
  <w:style w:type="paragraph" w:customStyle="1" w:styleId="FiguretitleBR">
    <w:name w:val="Figure_title_BR"/>
    <w:basedOn w:val="TabletitleBR"/>
    <w:next w:val="Figurewithouttitle"/>
    <w:rsid w:val="000A3A56"/>
    <w:pPr>
      <w:keepNext w:val="0"/>
      <w:spacing w:after="480"/>
    </w:pPr>
  </w:style>
  <w:style w:type="paragraph" w:customStyle="1" w:styleId="NoteannexappBR">
    <w:name w:val="Note_annex_app_BR"/>
    <w:basedOn w:val="Note"/>
    <w:rsid w:val="000A3A56"/>
    <w:pPr>
      <w:tabs>
        <w:tab w:val="clear" w:pos="284"/>
        <w:tab w:val="clear" w:pos="1134"/>
        <w:tab w:val="clear" w:pos="1871"/>
        <w:tab w:val="clear" w:pos="2268"/>
        <w:tab w:val="left" w:pos="794"/>
        <w:tab w:val="left" w:pos="1191"/>
        <w:tab w:val="left" w:pos="1588"/>
        <w:tab w:val="left" w:pos="1985"/>
      </w:tabs>
    </w:pPr>
    <w:rPr>
      <w:rFonts w:eastAsia="SimSun"/>
      <w:sz w:val="22"/>
      <w:lang w:val="en-GB"/>
    </w:rPr>
  </w:style>
  <w:style w:type="paragraph" w:customStyle="1" w:styleId="RecNoBR">
    <w:name w:val="Rec_No_BR"/>
    <w:basedOn w:val="Normal"/>
    <w:next w:val="Rectitle"/>
    <w:rsid w:val="000A3A56"/>
    <w:pPr>
      <w:keepNext/>
      <w:keepLines/>
      <w:tabs>
        <w:tab w:val="clear" w:pos="1134"/>
        <w:tab w:val="clear" w:pos="1871"/>
        <w:tab w:val="clear" w:pos="2268"/>
        <w:tab w:val="left" w:pos="794"/>
        <w:tab w:val="left" w:pos="1191"/>
        <w:tab w:val="left" w:pos="1588"/>
        <w:tab w:val="left" w:pos="1985"/>
      </w:tabs>
      <w:spacing w:before="480"/>
      <w:jc w:val="center"/>
    </w:pPr>
    <w:rPr>
      <w:rFonts w:eastAsia="SimSun"/>
      <w:caps/>
      <w:sz w:val="28"/>
      <w:lang w:val="en-GB"/>
    </w:rPr>
  </w:style>
  <w:style w:type="paragraph" w:customStyle="1" w:styleId="QuestionNoBR">
    <w:name w:val="Question_No_BR"/>
    <w:basedOn w:val="RecNoBR"/>
    <w:next w:val="Questiontitle"/>
    <w:rsid w:val="000A3A56"/>
  </w:style>
  <w:style w:type="paragraph" w:customStyle="1" w:styleId="RepNoBR">
    <w:name w:val="Rep_No_BR"/>
    <w:basedOn w:val="RecNoBR"/>
    <w:next w:val="Reptitle"/>
    <w:rsid w:val="000A3A56"/>
  </w:style>
  <w:style w:type="paragraph" w:customStyle="1" w:styleId="ResNoBR">
    <w:name w:val="Res_No_BR"/>
    <w:basedOn w:val="RecNoBR"/>
    <w:next w:val="Restitle"/>
    <w:rsid w:val="000A3A56"/>
  </w:style>
  <w:style w:type="paragraph" w:customStyle="1" w:styleId="TableNoBR">
    <w:name w:val="Table_No_BR"/>
    <w:basedOn w:val="Normal"/>
    <w:next w:val="TabletitleBR"/>
    <w:rsid w:val="000A3A56"/>
    <w:pPr>
      <w:keepNext/>
      <w:tabs>
        <w:tab w:val="clear" w:pos="1134"/>
        <w:tab w:val="clear" w:pos="1871"/>
        <w:tab w:val="clear" w:pos="2268"/>
        <w:tab w:val="left" w:pos="794"/>
        <w:tab w:val="left" w:pos="1191"/>
        <w:tab w:val="left" w:pos="1588"/>
        <w:tab w:val="left" w:pos="1985"/>
      </w:tabs>
      <w:spacing w:before="560" w:after="120"/>
      <w:jc w:val="center"/>
    </w:pPr>
    <w:rPr>
      <w:rFonts w:eastAsia="SimSun"/>
      <w:caps/>
      <w:lang w:val="en-GB"/>
    </w:rPr>
  </w:style>
  <w:style w:type="paragraph" w:customStyle="1" w:styleId="toctemp">
    <w:name w:val="toctemp"/>
    <w:basedOn w:val="Normal"/>
    <w:next w:val="FootnoteText"/>
    <w:rsid w:val="000A3A56"/>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SimSun" w:hAnsi="Times"/>
      <w:sz w:val="20"/>
      <w:lang w:val="en-GB"/>
    </w:rPr>
  </w:style>
  <w:style w:type="paragraph" w:customStyle="1" w:styleId="heading13">
    <w:name w:val="heading 13"/>
    <w:basedOn w:val="Heading3"/>
    <w:rsid w:val="000A3A56"/>
    <w:pPr>
      <w:tabs>
        <w:tab w:val="clear" w:pos="1871"/>
        <w:tab w:val="clear" w:pos="2268"/>
        <w:tab w:val="left" w:pos="1077"/>
        <w:tab w:val="right" w:pos="9696"/>
      </w:tabs>
      <w:spacing w:before="240"/>
      <w:ind w:left="1077" w:hanging="1077"/>
      <w:jc w:val="both"/>
      <w:outlineLvl w:val="9"/>
    </w:pPr>
    <w:rPr>
      <w:rFonts w:eastAsia="SimSun"/>
      <w:b w:val="0"/>
      <w:i/>
      <w:sz w:val="20"/>
      <w:lang w:val="en-GB"/>
    </w:rPr>
  </w:style>
  <w:style w:type="paragraph" w:customStyle="1" w:styleId="tocpart">
    <w:name w:val="tocpart"/>
    <w:basedOn w:val="Normal"/>
    <w:rsid w:val="000A3A56"/>
    <w:pPr>
      <w:tabs>
        <w:tab w:val="clear" w:pos="1134"/>
        <w:tab w:val="clear" w:pos="1871"/>
        <w:tab w:val="clear" w:pos="2268"/>
        <w:tab w:val="left" w:pos="2127"/>
        <w:tab w:val="left" w:pos="8789"/>
        <w:tab w:val="right" w:pos="9639"/>
      </w:tabs>
      <w:spacing w:before="136"/>
      <w:ind w:left="2127" w:hanging="2127"/>
      <w:jc w:val="both"/>
    </w:pPr>
    <w:rPr>
      <w:rFonts w:eastAsia="SimSun"/>
      <w:sz w:val="20"/>
      <w:lang w:val="en-GB"/>
    </w:rPr>
  </w:style>
  <w:style w:type="paragraph" w:styleId="NormalWeb">
    <w:name w:val="Normal (Web)"/>
    <w:basedOn w:val="Normal"/>
    <w:rsid w:val="000A3A56"/>
    <w:pPr>
      <w:tabs>
        <w:tab w:val="clear" w:pos="1134"/>
        <w:tab w:val="clear" w:pos="1871"/>
        <w:tab w:val="clear" w:pos="2268"/>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1CharChar1Char">
    <w:name w:val="Char1 Char Char1 Char"/>
    <w:basedOn w:val="Normal"/>
    <w:rsid w:val="000A3A5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5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itu.int/rec/recommendation.asp?type=folders&amp;lang=f&amp;parent=R-REC-BO.1296" TargetMode="External"/><Relationship Id="rId21" Type="http://schemas.openxmlformats.org/officeDocument/2006/relationships/hyperlink" Target="http://web.itu.int/rec/recommendation.asp?type=folders&amp;lang=f&amp;parent=R-REC-BO.1130" TargetMode="External"/><Relationship Id="rId42" Type="http://schemas.openxmlformats.org/officeDocument/2006/relationships/hyperlink" Target="http://web.itu.ch/rec/recommendation.asp?type=folders&amp;lang=e&amp;parent=R-REC-M.818" TargetMode="External"/><Relationship Id="rId47" Type="http://schemas.openxmlformats.org/officeDocument/2006/relationships/hyperlink" Target="http://web.itu.ch/rec/recommendation.asp?type=folders&amp;lang=e&amp;parent=R-REC-M.1038" TargetMode="External"/><Relationship Id="rId63" Type="http://schemas.openxmlformats.org/officeDocument/2006/relationships/hyperlink" Target="http://web.itu.ch/rec/recommendation.asp?type=folders&amp;lang=e&amp;parent=R-REC-M.1187" TargetMode="External"/><Relationship Id="rId68" Type="http://schemas.openxmlformats.org/officeDocument/2006/relationships/hyperlink" Target="http://web.itu.ch/rec/recommendation.asp?type=folders&amp;lang=e&amp;parent=R-REC-M.1231" TargetMode="External"/><Relationship Id="rId84" Type="http://schemas.openxmlformats.org/officeDocument/2006/relationships/hyperlink" Target="http://web.itu.ch/rec/recommendation.asp?type=folders&amp;lang=e&amp;parent=R-REC-M.1472" TargetMode="External"/><Relationship Id="rId89" Type="http://schemas.openxmlformats.org/officeDocument/2006/relationships/hyperlink" Target="http://web.itu.ch/rec/recommendation.asp?type=folders&amp;lang=e&amp;parent=R-REC-M.1478" TargetMode="External"/><Relationship Id="rId112" Type="http://schemas.openxmlformats.org/officeDocument/2006/relationships/fontTable" Target="fontTable.xml"/><Relationship Id="rId16" Type="http://schemas.openxmlformats.org/officeDocument/2006/relationships/hyperlink" Target="http://web.itu.int/rec/recommendation.asp?type=folders&amp;lang=f&amp;parent=R-REC-BO.791" TargetMode="External"/><Relationship Id="rId107" Type="http://schemas.openxmlformats.org/officeDocument/2006/relationships/hyperlink" Target="http://web/rec/R-REC-SF/recommendation.asp?lang=en&amp;parent=R-REC-SF.1719" TargetMode="External"/><Relationship Id="rId11" Type="http://schemas.openxmlformats.org/officeDocument/2006/relationships/hyperlink" Target="http://web.itu.int/rec/recommendation.asp?type=folders&amp;lang=f&amp;parent=R-REC-BO.651" TargetMode="External"/><Relationship Id="rId32" Type="http://schemas.openxmlformats.org/officeDocument/2006/relationships/hyperlink" Target="http://web.itu.int/rec/recommendation.asp?type=folders&amp;lang=f&amp;parent=R-REC-BO.1444" TargetMode="External"/><Relationship Id="rId37" Type="http://schemas.openxmlformats.org/officeDocument/2006/relationships/hyperlink" Target="http://web.itu.int/rec/recommendation.asp?type=folders&amp;lang=f&amp;parent=R-REC-BO.1517" TargetMode="External"/><Relationship Id="rId53" Type="http://schemas.openxmlformats.org/officeDocument/2006/relationships/hyperlink" Target="http://web.itu.ch/rec/recommendation.asp?type=folders&amp;lang=e&amp;parent=R-REC-M.1141" TargetMode="External"/><Relationship Id="rId58" Type="http://schemas.openxmlformats.org/officeDocument/2006/relationships/hyperlink" Target="http://web.itu.ch/rec/recommendation.asp?type=folders&amp;lang=e&amp;parent=R-REC-M.1181" TargetMode="External"/><Relationship Id="rId74" Type="http://schemas.openxmlformats.org/officeDocument/2006/relationships/hyperlink" Target="http://web.itu.ch/rec/recommendation.asp?type=folders&amp;lang=e&amp;parent=R-REC-M.1316" TargetMode="External"/><Relationship Id="rId79" Type="http://schemas.openxmlformats.org/officeDocument/2006/relationships/hyperlink" Target="http://web.itu.ch/rec/recommendation.asp?type=folders&amp;lang=e&amp;parent=R-REC-M.1454" TargetMode="External"/><Relationship Id="rId102" Type="http://schemas.openxmlformats.org/officeDocument/2006/relationships/hyperlink" Target="http://web/rec/R-REC-S/recommendation.asp?lang=en&amp;parent=R-REC-S.1780" TargetMode="External"/><Relationship Id="rId5" Type="http://schemas.openxmlformats.org/officeDocument/2006/relationships/webSettings" Target="webSettings.xml"/><Relationship Id="rId90" Type="http://schemas.openxmlformats.org/officeDocument/2006/relationships/hyperlink" Target="http://web.itu.ch/rec/recommendation.asp?type=folders&amp;lang=e&amp;parent=R-REC-M.1480" TargetMode="External"/><Relationship Id="rId95" Type="http://schemas.openxmlformats.org/officeDocument/2006/relationships/hyperlink" Target="http://web/rec/R-REC-S/recommendation.asp?lang=en&amp;parent=R-REC-S.1715" TargetMode="External"/><Relationship Id="rId22" Type="http://schemas.openxmlformats.org/officeDocument/2006/relationships/hyperlink" Target="http://web.itu.int/rec/recommendation.asp?type=folders&amp;lang=f&amp;parent=R-REC-BO.1212" TargetMode="External"/><Relationship Id="rId27" Type="http://schemas.openxmlformats.org/officeDocument/2006/relationships/hyperlink" Target="http://web.itu.int/rec/recommendation.asp?type=folders&amp;lang=f&amp;parent=R-REC-BO.1297" TargetMode="External"/><Relationship Id="rId43" Type="http://schemas.openxmlformats.org/officeDocument/2006/relationships/hyperlink" Target="http://web.itu.ch/rec/recommendation.asp?type=folders&amp;lang=e&amp;parent=R-REC-M.827" TargetMode="External"/><Relationship Id="rId48" Type="http://schemas.openxmlformats.org/officeDocument/2006/relationships/hyperlink" Target="http://web.itu.ch/rec/recommendation.asp?type=folders&amp;lang=e&amp;parent=R-REC-M.1039" TargetMode="External"/><Relationship Id="rId64" Type="http://schemas.openxmlformats.org/officeDocument/2006/relationships/hyperlink" Target="http://web.itu.ch/rec/recommendation.asp?type=folders&amp;lang=e&amp;parent=R-REC-M.1188" TargetMode="External"/><Relationship Id="rId69" Type="http://schemas.openxmlformats.org/officeDocument/2006/relationships/hyperlink" Target="http://web.itu.ch/rec/recommendation.asp?type=folders&amp;lang=e&amp;parent=R-REC-M.1232" TargetMode="External"/><Relationship Id="rId113" Type="http://schemas.openxmlformats.org/officeDocument/2006/relationships/theme" Target="theme/theme1.xml"/><Relationship Id="rId80" Type="http://schemas.openxmlformats.org/officeDocument/2006/relationships/hyperlink" Target="http://web.itu.ch/rec/recommendation.asp?type=folders&amp;lang=e&amp;parent=R-REC-M.1459" TargetMode="External"/><Relationship Id="rId85" Type="http://schemas.openxmlformats.org/officeDocument/2006/relationships/hyperlink" Target="http://web.itu.ch/rec/recommendation.asp?type=folders&amp;lang=e&amp;parent=R-REC-M.1473" TargetMode="External"/><Relationship Id="rId12" Type="http://schemas.openxmlformats.org/officeDocument/2006/relationships/hyperlink" Target="http://web.itu.int/rec/recommendation.asp?type=folders&amp;lang=f&amp;parent=R-REC-BO.652" TargetMode="External"/><Relationship Id="rId17" Type="http://schemas.openxmlformats.org/officeDocument/2006/relationships/hyperlink" Target="http://web.itu.int/rec/recommendation.asp?type=folders&amp;lang=f&amp;parent=R-REC-BO.792" TargetMode="External"/><Relationship Id="rId33" Type="http://schemas.openxmlformats.org/officeDocument/2006/relationships/hyperlink" Target="http://web.itu.int/rec/recommendation.asp?type=folders&amp;lang=f&amp;parent=R-REC-BO.1445" TargetMode="External"/><Relationship Id="rId38" Type="http://schemas.openxmlformats.org/officeDocument/2006/relationships/hyperlink" Target="http://web.itu.int/rec/recommendation.asp?type=folders&amp;lang=f&amp;parent=R-REC-BO.1597" TargetMode="External"/><Relationship Id="rId59" Type="http://schemas.openxmlformats.org/officeDocument/2006/relationships/hyperlink" Target="http://web.itu.ch/rec/recommendation.asp?type=folders&amp;lang=e&amp;parent=R-REC-M.1182" TargetMode="External"/><Relationship Id="rId103" Type="http://schemas.openxmlformats.org/officeDocument/2006/relationships/hyperlink" Target="http://web/rec/R-REC-S/recommendation.asp?lang=en&amp;parent=R-REC-S.1781" TargetMode="External"/><Relationship Id="rId108" Type="http://schemas.openxmlformats.org/officeDocument/2006/relationships/header" Target="header1.xml"/><Relationship Id="rId54" Type="http://schemas.openxmlformats.org/officeDocument/2006/relationships/hyperlink" Target="http://web.itu.ch/rec/recommendation.asp?type=folders&amp;lang=e&amp;parent=R-REC-M.1142" TargetMode="External"/><Relationship Id="rId70" Type="http://schemas.openxmlformats.org/officeDocument/2006/relationships/hyperlink" Target="http://web.itu.ch/rec/recommendation.asp?type=folders&amp;lang=e&amp;parent=R-REC-M.1233" TargetMode="External"/><Relationship Id="rId75" Type="http://schemas.openxmlformats.org/officeDocument/2006/relationships/hyperlink" Target="http://web.itu.ch/rec/recommendation.asp?type=folders&amp;lang=e&amp;parent=R-REC-M.1319" TargetMode="External"/><Relationship Id="rId91" Type="http://schemas.openxmlformats.org/officeDocument/2006/relationships/hyperlink" Target="http://web.itu.ch/rec/recommendation.asp?type=folders&amp;lang=e&amp;parent=R-REC-M.1582" TargetMode="External"/><Relationship Id="rId96" Type="http://schemas.openxmlformats.org/officeDocument/2006/relationships/hyperlink" Target="http://web/rec/R-REC-S/recommendation.asp?lang=en&amp;parent=R-REC-S.17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eb.itu.int/rec/recommendation.asp?type=folders&amp;lang=f&amp;parent=R-REC-BO.790" TargetMode="External"/><Relationship Id="rId23" Type="http://schemas.openxmlformats.org/officeDocument/2006/relationships/hyperlink" Target="http://web.itu.int/rec/recommendation.asp?type=folders&amp;lang=f&amp;parent=R-REC-BO.1213" TargetMode="External"/><Relationship Id="rId28" Type="http://schemas.openxmlformats.org/officeDocument/2006/relationships/hyperlink" Target="http://web.itu.int/rec/recommendation.asp?type=folders&amp;lang=f&amp;parent=R-REC-BO.1373" TargetMode="External"/><Relationship Id="rId36" Type="http://schemas.openxmlformats.org/officeDocument/2006/relationships/hyperlink" Target="http://web.itu.int/rec/recommendation.asp?type=folders&amp;lang=f&amp;parent=R-REC-BO.1516" TargetMode="External"/><Relationship Id="rId49" Type="http://schemas.openxmlformats.org/officeDocument/2006/relationships/hyperlink" Target="http://web.itu.ch/rec/recommendation.asp?type=folders&amp;lang=e&amp;parent=R-REC-M.1086" TargetMode="External"/><Relationship Id="rId57" Type="http://schemas.openxmlformats.org/officeDocument/2006/relationships/hyperlink" Target="http://web.itu.ch/rec/recommendation.asp?type=folders&amp;lang=e&amp;parent=R-REC-M.1180" TargetMode="External"/><Relationship Id="rId106" Type="http://schemas.openxmlformats.org/officeDocument/2006/relationships/hyperlink" Target="http://web/rec/R-REC-SF/recommendation.asp?lang=en&amp;parent=R-REC-SF.1707" TargetMode="External"/><Relationship Id="rId10" Type="http://schemas.openxmlformats.org/officeDocument/2006/relationships/hyperlink" Target="http://web.itu.int/rec/recommendation.asp?type=folders&amp;lang=f&amp;parent=R-REC-BO.650" TargetMode="External"/><Relationship Id="rId31" Type="http://schemas.openxmlformats.org/officeDocument/2006/relationships/hyperlink" Target="http://web.itu.int/rec/recommendation.asp?type=folders&amp;lang=f&amp;parent=R-REC-BO.1443" TargetMode="External"/><Relationship Id="rId44" Type="http://schemas.openxmlformats.org/officeDocument/2006/relationships/hyperlink" Target="http://web.itu.ch/rec/recommendation.asp?type=folders&amp;lang=e&amp;parent=R-REC-M.828" TargetMode="External"/><Relationship Id="rId52" Type="http://schemas.openxmlformats.org/officeDocument/2006/relationships/hyperlink" Target="http://web.itu.ch/rec/recommendation.asp?type=folders&amp;lang=e&amp;parent=R-REC-M.1091" TargetMode="External"/><Relationship Id="rId60" Type="http://schemas.openxmlformats.org/officeDocument/2006/relationships/hyperlink" Target="http://web.itu.ch/rec/recommendation.asp?type=folders&amp;lang=e&amp;parent=R-REC-M.1183" TargetMode="External"/><Relationship Id="rId65" Type="http://schemas.openxmlformats.org/officeDocument/2006/relationships/hyperlink" Target="http://web.itu.ch/rec/recommendation.asp?type=folders&amp;lang=e&amp;parent=R-REC-M.1228" TargetMode="External"/><Relationship Id="rId73" Type="http://schemas.openxmlformats.org/officeDocument/2006/relationships/hyperlink" Target="http://web.itu.ch/rec/recommendation.asp?type=folders&amp;lang=e&amp;parent=R-REC-M.1316" TargetMode="External"/><Relationship Id="rId78" Type="http://schemas.openxmlformats.org/officeDocument/2006/relationships/hyperlink" Target="http://web.itu.ch/rec/recommendation.asp?type=folders&amp;lang=e&amp;parent=R-REC-M.1391" TargetMode="External"/><Relationship Id="rId81" Type="http://schemas.openxmlformats.org/officeDocument/2006/relationships/hyperlink" Target="http://web.itu.ch/rec/recommendation.asp?type=folders&amp;lang=e&amp;parent=R-REC-M.1469" TargetMode="External"/><Relationship Id="rId86" Type="http://schemas.openxmlformats.org/officeDocument/2006/relationships/hyperlink" Target="http://web.itu.ch/rec/recommendation.asp?type=folders&amp;lang=e&amp;parent=R-REC-M.1474" TargetMode="External"/><Relationship Id="rId94" Type="http://schemas.openxmlformats.org/officeDocument/2006/relationships/hyperlink" Target="http://web/rec/R-REC-S/recommendation.asp?lang=en&amp;parent=R-REC-S.1714" TargetMode="External"/><Relationship Id="rId99" Type="http://schemas.openxmlformats.org/officeDocument/2006/relationships/hyperlink" Target="http://web/rec/R-REC-S/recommendation.asp?lang=en&amp;parent=R-REC-S.1758" TargetMode="External"/><Relationship Id="rId101" Type="http://schemas.openxmlformats.org/officeDocument/2006/relationships/hyperlink" Target="http://web/rec/R-REC-S/recommendation.asp?lang=en&amp;parent=R-REC-S.1779" TargetMode="External"/><Relationship Id="rId4" Type="http://schemas.openxmlformats.org/officeDocument/2006/relationships/settings" Target="settings.xml"/><Relationship Id="rId9" Type="http://schemas.openxmlformats.org/officeDocument/2006/relationships/hyperlink" Target="http://web.itu.int/rec/recommendation.asp?type=folders&amp;lang=f&amp;parent=R-REC-BO.600" TargetMode="External"/><Relationship Id="rId13" Type="http://schemas.openxmlformats.org/officeDocument/2006/relationships/hyperlink" Target="http://web.itu.int/rec/recommendation.asp?type=folders&amp;lang=f&amp;parent=R-REC-BO.712" TargetMode="External"/><Relationship Id="rId18" Type="http://schemas.openxmlformats.org/officeDocument/2006/relationships/hyperlink" Target="http://web.itu.int/rec/recommendation.asp?type=folders&amp;lang=f&amp;parent=R-REC-BO.793" TargetMode="External"/><Relationship Id="rId39" Type="http://schemas.openxmlformats.org/officeDocument/2006/relationships/hyperlink" Target="http://web.itu.ch/rec/recommendation.asp?type=folders&amp;lang=e&amp;parent=R-REC-M.632" TargetMode="External"/><Relationship Id="rId109" Type="http://schemas.openxmlformats.org/officeDocument/2006/relationships/footer" Target="footer1.xml"/><Relationship Id="rId34" Type="http://schemas.openxmlformats.org/officeDocument/2006/relationships/hyperlink" Target="http://web.itu.int/rec/recommendation.asp?type=folders&amp;lang=f&amp;parent=R-REC-BO.1504" TargetMode="External"/><Relationship Id="rId50" Type="http://schemas.openxmlformats.org/officeDocument/2006/relationships/hyperlink" Target="http://web.itu.ch/rec/recommendation.asp?type=folders&amp;lang=e&amp;parent=R-REC-M.1089" TargetMode="External"/><Relationship Id="rId55" Type="http://schemas.openxmlformats.org/officeDocument/2006/relationships/hyperlink" Target="http://web.itu.ch/rec/recommendation.asp?type=folders&amp;lang=e&amp;parent=R-REC-M.1143" TargetMode="External"/><Relationship Id="rId76" Type="http://schemas.openxmlformats.org/officeDocument/2006/relationships/hyperlink" Target="http://web.itu.ch/rec/recommendation.asp?type=folders&amp;lang=e&amp;parent=R-REC-M.1343" TargetMode="External"/><Relationship Id="rId97" Type="http://schemas.openxmlformats.org/officeDocument/2006/relationships/hyperlink" Target="http://web/rec/R-REC-S/recommendation.asp?lang=en&amp;parent=R-REC-S.1717" TargetMode="External"/><Relationship Id="rId104" Type="http://schemas.openxmlformats.org/officeDocument/2006/relationships/hyperlink" Target="http://web/rec/R-REC-S/recommendation.asp?lang=en&amp;parent=R-REC-S.1782" TargetMode="External"/><Relationship Id="rId7" Type="http://schemas.openxmlformats.org/officeDocument/2006/relationships/endnotes" Target="endnotes.xml"/><Relationship Id="rId71" Type="http://schemas.openxmlformats.org/officeDocument/2006/relationships/hyperlink" Target="http://web.itu.ch/rec/recommendation.asp?type=folders&amp;lang=e&amp;parent=R-REC-M.1234" TargetMode="External"/><Relationship Id="rId92" Type="http://schemas.openxmlformats.org/officeDocument/2006/relationships/hyperlink" Target="http://web.itu.ch/rec/recommendation.asp?type=folders&amp;lang=e&amp;parent=R-REC-M.1584" TargetMode="External"/><Relationship Id="rId2" Type="http://schemas.openxmlformats.org/officeDocument/2006/relationships/numbering" Target="numbering.xml"/><Relationship Id="rId29" Type="http://schemas.openxmlformats.org/officeDocument/2006/relationships/hyperlink" Target="http://web.itu.int/rec/recommendation.asp?type=folders&amp;lang=f&amp;parent=R-REC-BO.1383" TargetMode="External"/><Relationship Id="rId24" Type="http://schemas.openxmlformats.org/officeDocument/2006/relationships/hyperlink" Target="http://web.itu.int/rec/recommendation.asp?type=folders&amp;lang=f&amp;parent=R-REC-BO.1293" TargetMode="External"/><Relationship Id="rId40" Type="http://schemas.openxmlformats.org/officeDocument/2006/relationships/hyperlink" Target="http://web.itu.ch/rec/recommendation.asp?type=folders&amp;lang=e&amp;parent=R-REC-M.633" TargetMode="External"/><Relationship Id="rId45" Type="http://schemas.openxmlformats.org/officeDocument/2006/relationships/hyperlink" Target="http://web.itu.ch/rec/recommendation.asp?type=folders&amp;lang=e&amp;parent=R-REC-M.830" TargetMode="External"/><Relationship Id="rId66" Type="http://schemas.openxmlformats.org/officeDocument/2006/relationships/hyperlink" Target="http://web.itu.ch/rec/recommendation.asp?type=folders&amp;lang=e&amp;parent=R-REC-M.1229" TargetMode="External"/><Relationship Id="rId87" Type="http://schemas.openxmlformats.org/officeDocument/2006/relationships/hyperlink" Target="http://web.itu.ch/rec/recommendation.asp?type=folders&amp;lang=e&amp;parent=R-REC-M.1475" TargetMode="External"/><Relationship Id="rId110" Type="http://schemas.openxmlformats.org/officeDocument/2006/relationships/footer" Target="footer2.xml"/><Relationship Id="rId61" Type="http://schemas.openxmlformats.org/officeDocument/2006/relationships/hyperlink" Target="http://web.itu.ch/rec/recommendation.asp?type=folders&amp;lang=e&amp;parent=R-REC-M.1184" TargetMode="External"/><Relationship Id="rId82" Type="http://schemas.openxmlformats.org/officeDocument/2006/relationships/hyperlink" Target="http://web.itu.ch/rec/recommendation.asp?type=folders&amp;lang=e&amp;parent=R-REC-M.1470" TargetMode="External"/><Relationship Id="rId19" Type="http://schemas.openxmlformats.org/officeDocument/2006/relationships/hyperlink" Target="http://web.itu.int/rec/recommendation.asp?type=folders&amp;lang=f&amp;parent=R-REC-BO.794" TargetMode="External"/><Relationship Id="rId14" Type="http://schemas.openxmlformats.org/officeDocument/2006/relationships/hyperlink" Target="http://web.itu.int/rec/recommendation.asp?type=folders&amp;lang=f&amp;parent=R-REC-BO.789" TargetMode="External"/><Relationship Id="rId30" Type="http://schemas.openxmlformats.org/officeDocument/2006/relationships/hyperlink" Target="http://web.itu.int/rec/recommendation.asp?type=folders&amp;lang=f&amp;parent=R-REC-BO.1408" TargetMode="External"/><Relationship Id="rId35" Type="http://schemas.openxmlformats.org/officeDocument/2006/relationships/hyperlink" Target="http://web.itu.int/rec/recommendation.asp?type=folders&amp;lang=f&amp;parent=R-REC-BO.1506" TargetMode="External"/><Relationship Id="rId56" Type="http://schemas.openxmlformats.org/officeDocument/2006/relationships/hyperlink" Target="http://web.itu.ch/rec/recommendation.asp?type=folders&amp;lang=e&amp;parent=R-REC-M.1167" TargetMode="External"/><Relationship Id="rId77" Type="http://schemas.openxmlformats.org/officeDocument/2006/relationships/hyperlink" Target="http://web.itu.ch/rec/recommendation.asp?type=folders&amp;lang=e&amp;parent=R-REC-M.1389" TargetMode="External"/><Relationship Id="rId100" Type="http://schemas.openxmlformats.org/officeDocument/2006/relationships/hyperlink" Target="http://web/rec/R-REC-S/recommendation.asp?lang=en&amp;parent=R-REC-S.1759" TargetMode="External"/><Relationship Id="rId105" Type="http://schemas.openxmlformats.org/officeDocument/2006/relationships/hyperlink" Target="http://web/rec/R-REC-S/recommendation.asp?lang=en&amp;parent=R-REC-S.1783" TargetMode="External"/><Relationship Id="rId8" Type="http://schemas.openxmlformats.org/officeDocument/2006/relationships/image" Target="media/image1.png"/><Relationship Id="rId51" Type="http://schemas.openxmlformats.org/officeDocument/2006/relationships/hyperlink" Target="http://web.itu.ch/rec/recommendation.asp?type=folders&amp;lang=e&amp;parent=R-REC-M.1090" TargetMode="External"/><Relationship Id="rId72" Type="http://schemas.openxmlformats.org/officeDocument/2006/relationships/hyperlink" Target="http://web.itu.ch/rec/recommendation.asp?type=folders&amp;lang=e&amp;parent=R-REC-M.1315" TargetMode="External"/><Relationship Id="rId93" Type="http://schemas.openxmlformats.org/officeDocument/2006/relationships/hyperlink" Target="http://web/rec/R-REC-S/recommendation.asp?lang=en&amp;parent=R-REC-S.1712" TargetMode="External"/><Relationship Id="rId98" Type="http://schemas.openxmlformats.org/officeDocument/2006/relationships/hyperlink" Target="http://web/rec/R-REC-S/recommendation.asp?lang=en&amp;parent=R-REC-S.1718" TargetMode="External"/><Relationship Id="rId3" Type="http://schemas.openxmlformats.org/officeDocument/2006/relationships/styles" Target="styles.xml"/><Relationship Id="rId25" Type="http://schemas.openxmlformats.org/officeDocument/2006/relationships/hyperlink" Target="http://web.itu.int/rec/recommendation.asp?type=folders&amp;lang=f&amp;parent=R-REC-BO.1295" TargetMode="External"/><Relationship Id="rId46" Type="http://schemas.openxmlformats.org/officeDocument/2006/relationships/hyperlink" Target="http://web.itu.ch/rec/recommendation.asp?type=folders&amp;lang=e&amp;parent=R-REC-M.1037" TargetMode="External"/><Relationship Id="rId67" Type="http://schemas.openxmlformats.org/officeDocument/2006/relationships/hyperlink" Target="http://web.itu.ch/rec/recommendation.asp?type=folders&amp;lang=e&amp;parent=R-REC-M.1230" TargetMode="External"/><Relationship Id="rId20" Type="http://schemas.openxmlformats.org/officeDocument/2006/relationships/hyperlink" Target="http://web.itu.int/rec/recommendation.asp?type=folders&amp;lang=f&amp;parent=R-REC-BO.795" TargetMode="External"/><Relationship Id="rId41" Type="http://schemas.openxmlformats.org/officeDocument/2006/relationships/hyperlink" Target="http://web.itu.ch/rec/recommendation.asp?type=folders&amp;lang=e&amp;parent=R-REC-M.694" TargetMode="External"/><Relationship Id="rId62" Type="http://schemas.openxmlformats.org/officeDocument/2006/relationships/hyperlink" Target="http://web.itu.ch/rec/recommendation.asp?type=folders&amp;lang=e&amp;parent=R-REC-M.1186" TargetMode="External"/><Relationship Id="rId83" Type="http://schemas.openxmlformats.org/officeDocument/2006/relationships/hyperlink" Target="http://web.itu.ch/rec/recommendation.asp?type=folders&amp;lang=e&amp;parent=R-REC-M.1471" TargetMode="External"/><Relationship Id="rId88" Type="http://schemas.openxmlformats.org/officeDocument/2006/relationships/hyperlink" Target="http://web.itu.ch/rec/recommendation.asp?type=folders&amp;lang=e&amp;parent=R-REC-M.1476" TargetMode="External"/><Relationship Id="rId11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F95A-CA23-4AE6-9760-4D64D5DA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50</TotalTime>
  <Pages>22</Pages>
  <Words>10984</Words>
  <Characters>62611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73449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Saxod, Nathalie</cp:lastModifiedBy>
  <cp:revision>7</cp:revision>
  <cp:lastPrinted>2015-10-07T11:31:00Z</cp:lastPrinted>
  <dcterms:created xsi:type="dcterms:W3CDTF">2015-10-07T11:03:00Z</dcterms:created>
  <dcterms:modified xsi:type="dcterms:W3CDTF">2015-10-08T11:35:00Z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