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9369B3" w:rsidTr="001D17A2">
        <w:trPr>
          <w:cantSplit/>
          <w:jc w:val="center"/>
        </w:trPr>
        <w:tc>
          <w:tcPr>
            <w:tcW w:w="3314" w:type="pct"/>
          </w:tcPr>
          <w:p w:rsidR="009369B3" w:rsidRPr="009369B3" w:rsidRDefault="009369B3" w:rsidP="00126CFA">
            <w:pPr>
              <w:pStyle w:val="Firstpageheader"/>
              <w:framePr w:hSpace="0" w:wrap="auto" w:vAnchor="margin" w:xAlign="left" w:yAlign="inline"/>
              <w:rPr>
                <w:rFonts w:ascii="Verdana" w:hAnsi="Verdana"/>
                <w:b w:val="0"/>
                <w:bCs w:val="0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9369B3" w:rsidRDefault="001952E0" w:rsidP="00A03D76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9369B3">
              <w:rPr>
                <w:rtl/>
              </w:rPr>
              <w:t>ا</w:t>
            </w:r>
            <w:r w:rsidRPr="009369B3">
              <w:rPr>
                <w:rFonts w:hint="cs"/>
                <w:rtl/>
              </w:rPr>
              <w:t>ل</w:t>
            </w:r>
            <w:r w:rsidRPr="009369B3">
              <w:rPr>
                <w:rtl/>
              </w:rPr>
              <w:t>و</w:t>
            </w:r>
            <w:r w:rsidRPr="009369B3">
              <w:rPr>
                <w:rFonts w:hint="cs"/>
                <w:rtl/>
              </w:rPr>
              <w:t xml:space="preserve">ثيقة </w:t>
            </w:r>
            <w:r w:rsidR="00A03D76">
              <w:t>6</w:t>
            </w:r>
            <w:r w:rsidR="006F7236">
              <w:t>/</w:t>
            </w:r>
            <w:r w:rsidR="009369B3" w:rsidRPr="009369B3">
              <w:rPr>
                <w:lang w:bidi="ar-SY"/>
              </w:rPr>
              <w:t>100</w:t>
            </w:r>
            <w:r w:rsidR="00A03D76">
              <w:rPr>
                <w:lang w:bidi="ar-SY"/>
              </w:rPr>
              <w:t>4</w:t>
            </w:r>
            <w:r w:rsidRPr="009369B3">
              <w:rPr>
                <w:lang w:bidi="ar-SY"/>
              </w:rPr>
              <w:t>-A</w:t>
            </w:r>
          </w:p>
        </w:tc>
      </w:tr>
      <w:tr w:rsidR="001952E0" w:rsidRPr="009369B3" w:rsidTr="001D17A2">
        <w:trPr>
          <w:cantSplit/>
          <w:jc w:val="center"/>
        </w:trPr>
        <w:tc>
          <w:tcPr>
            <w:tcW w:w="3314" w:type="pct"/>
          </w:tcPr>
          <w:p w:rsidR="001952E0" w:rsidRPr="009369B3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="Verdana" w:hAnsi="Verdana"/>
                <w:b w:val="0"/>
                <w:bCs w:val="0"/>
              </w:rPr>
            </w:pPr>
          </w:p>
        </w:tc>
        <w:tc>
          <w:tcPr>
            <w:tcW w:w="1686" w:type="pct"/>
            <w:vAlign w:val="center"/>
          </w:tcPr>
          <w:p w:rsidR="001952E0" w:rsidRPr="009369B3" w:rsidRDefault="00A03D76" w:rsidP="00A03D76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14</w:t>
            </w:r>
            <w:r w:rsidR="001952E0" w:rsidRPr="009369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1952E0" w:rsidRPr="009369B3">
              <w:rPr>
                <w:rFonts w:hint="cs"/>
                <w:rtl/>
              </w:rPr>
              <w:t xml:space="preserve"> </w:t>
            </w:r>
            <w:r w:rsidR="001952E0" w:rsidRPr="009369B3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9369B3" w:rsidP="00A03D76">
            <w:pPr>
              <w:pStyle w:val="Source"/>
              <w:spacing w:after="0"/>
              <w:rPr>
                <w:rtl/>
                <w:lang w:bidi="ar-SY"/>
              </w:rPr>
            </w:pPr>
            <w:r w:rsidRPr="009369B3">
              <w:rPr>
                <w:rFonts w:hint="cs"/>
                <w:rtl/>
              </w:rPr>
              <w:t xml:space="preserve">لجنة الدراسات </w:t>
            </w:r>
            <w:r w:rsidR="00A03D76">
              <w:rPr>
                <w:lang w:val="en-GB" w:bidi="ar-SY"/>
              </w:rPr>
              <w:t>6</w:t>
            </w:r>
            <w:r w:rsidRPr="009369B3">
              <w:rPr>
                <w:rFonts w:hint="cs"/>
                <w:rtl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A03D76" w:rsidP="00A03D76">
            <w:pPr>
              <w:pStyle w:val="Title1"/>
              <w:rPr>
                <w:rtl/>
              </w:rPr>
            </w:pPr>
            <w:r w:rsidRPr="00A03D76">
              <w:rPr>
                <w:rFonts w:hint="cs"/>
                <w:rtl/>
              </w:rPr>
              <w:t>قرارات تهمّ ل</w:t>
            </w:r>
            <w:r w:rsidR="0021563A">
              <w:rPr>
                <w:rFonts w:hint="cs"/>
                <w:rtl/>
              </w:rPr>
              <w:t>‍</w:t>
            </w:r>
            <w:r w:rsidRPr="00A03D76">
              <w:rPr>
                <w:rFonts w:hint="cs"/>
                <w:rtl/>
              </w:rPr>
              <w:t>جنة الدراسات</w:t>
            </w:r>
            <w:r w:rsidRPr="00A03D76">
              <w:rPr>
                <w:rFonts w:hint="eastAsia"/>
                <w:rtl/>
              </w:rPr>
              <w:t> </w:t>
            </w:r>
            <w:r w:rsidRPr="00A03D76">
              <w:rPr>
                <w:lang w:val="en-GB"/>
              </w:rPr>
              <w:t>6</w:t>
            </w:r>
            <w:r w:rsidRPr="00A03D76">
              <w:rPr>
                <w:rFonts w:hint="cs"/>
                <w:rtl/>
              </w:rPr>
              <w:t xml:space="preserve"> ت</w:t>
            </w:r>
            <w:r w:rsidR="0021563A">
              <w:rPr>
                <w:rFonts w:hint="cs"/>
                <w:rtl/>
              </w:rPr>
              <w:t>‍</w:t>
            </w:r>
            <w:r w:rsidRPr="00A03D76">
              <w:rPr>
                <w:rFonts w:hint="cs"/>
                <w:rtl/>
              </w:rPr>
              <w:t>حديداً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AF2F7A">
            <w:pPr>
              <w:pStyle w:val="Rectitle"/>
              <w:rPr>
                <w:lang w:val="en-GB"/>
              </w:rPr>
            </w:pPr>
          </w:p>
        </w:tc>
      </w:tr>
    </w:tbl>
    <w:p w:rsidR="00706D7A" w:rsidRDefault="00706D7A" w:rsidP="00C51DAD">
      <w:pPr>
        <w:rPr>
          <w:rtl/>
          <w:lang w:bidi="ar-SY"/>
        </w:rPr>
      </w:pPr>
    </w:p>
    <w:p w:rsidR="00A03D76" w:rsidRPr="00A03D76" w:rsidRDefault="00A03D76" w:rsidP="00A03D76">
      <w:pPr>
        <w:rPr>
          <w:rtl/>
          <w:lang w:bidi="ar-EG"/>
        </w:rPr>
      </w:pPr>
      <w:r w:rsidRPr="00A03D76">
        <w:rPr>
          <w:rFonts w:hint="cs"/>
          <w:rtl/>
          <w:lang w:bidi="ar-EG"/>
        </w:rPr>
        <w:t>لا توجد قرارات تهمّ لجنة الدراسات </w:t>
      </w:r>
      <w:r w:rsidRPr="00A03D76">
        <w:rPr>
          <w:lang w:bidi="ar-SY"/>
        </w:rPr>
        <w:t>6</w:t>
      </w:r>
      <w:r w:rsidRPr="00A03D76">
        <w:rPr>
          <w:rFonts w:hint="cs"/>
          <w:rtl/>
          <w:lang w:bidi="ar-EG"/>
        </w:rPr>
        <w:t xml:space="preserve"> تحديداً.</w:t>
      </w:r>
    </w:p>
    <w:p w:rsidR="00A03D76" w:rsidRPr="00A03D76" w:rsidRDefault="00A03D76" w:rsidP="00A03D76">
      <w:pPr>
        <w:spacing w:after="1680"/>
        <w:rPr>
          <w:rtl/>
        </w:rPr>
      </w:pPr>
      <w:r w:rsidRPr="00A03D76">
        <w:rPr>
          <w:rFonts w:hint="cs"/>
          <w:rtl/>
        </w:rPr>
        <w:t>وعلى سبيل الاطلاع، قدمت لجنة الدراسات </w:t>
      </w:r>
      <w:r w:rsidRPr="00A03D76">
        <w:rPr>
          <w:lang w:val="en-GB" w:bidi="ar-SY"/>
        </w:rPr>
        <w:t>6</w:t>
      </w:r>
      <w:r w:rsidRPr="00A03D76">
        <w:rPr>
          <w:rFonts w:hint="cs"/>
          <w:rtl/>
        </w:rPr>
        <w:t xml:space="preserve"> بعض التعليقات بشأن عدة قرارات </w:t>
      </w:r>
      <w:r w:rsidRPr="00A03D76">
        <w:rPr>
          <w:lang w:val="en-GB" w:bidi="ar-SY"/>
        </w:rPr>
        <w:t>ITU</w:t>
      </w:r>
      <w:r w:rsidRPr="00A03D76">
        <w:rPr>
          <w:lang w:val="en-GB" w:bidi="ar-SY"/>
        </w:rPr>
        <w:noBreakHyphen/>
        <w:t>R</w:t>
      </w:r>
      <w:r w:rsidRPr="00A03D76">
        <w:rPr>
          <w:rFonts w:hint="cs"/>
          <w:rtl/>
        </w:rPr>
        <w:t xml:space="preserve"> كما هو مبين في</w:t>
      </w:r>
      <w:r>
        <w:rPr>
          <w:rFonts w:hint="eastAsia"/>
          <w:rtl/>
        </w:rPr>
        <w:t> </w:t>
      </w:r>
      <w:r w:rsidRPr="00A03D76">
        <w:rPr>
          <w:rFonts w:hint="cs"/>
          <w:rtl/>
        </w:rPr>
        <w:t>الملحق.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</w:tblGrid>
      <w:tr w:rsidR="00A03D76" w:rsidRPr="00A03D76" w:rsidTr="001667EA">
        <w:trPr>
          <w:jc w:val="center"/>
        </w:trPr>
        <w:tc>
          <w:tcPr>
            <w:tcW w:w="1506" w:type="dxa"/>
            <w:vAlign w:val="center"/>
          </w:tcPr>
          <w:p w:rsidR="00A03D76" w:rsidRPr="00A03D76" w:rsidRDefault="00A03D76" w:rsidP="00A03D76">
            <w:pPr>
              <w:jc w:val="center"/>
              <w:rPr>
                <w:rFonts w:ascii="Times New Roman Bold" w:hAnsi="Times New Roman Bold"/>
                <w:b/>
                <w:bCs/>
                <w:lang w:val="ru-RU" w:bidi="ar-SY"/>
              </w:rPr>
            </w:pPr>
            <w:r w:rsidRPr="00A03D76">
              <w:rPr>
                <w:rFonts w:ascii="Times New Roman Bold" w:hAnsi="Times New Roman Bold"/>
                <w:b/>
                <w:bCs/>
                <w:lang w:val="en-GB" w:bidi="ar-SY"/>
              </w:rPr>
              <w:t>= NOC</w:t>
            </w:r>
            <w:r w:rsidRPr="00A03D76">
              <w:rPr>
                <w:rFonts w:ascii="Times New Roman Bold" w:hAnsi="Times New Roman Bold"/>
                <w:b/>
                <w:bCs/>
                <w:rtl/>
              </w:rPr>
              <w:br/>
            </w:r>
            <w:r w:rsidRPr="00B843AF">
              <w:rPr>
                <w:rFonts w:ascii="Times New Roman Bold" w:hAnsi="Times New Roman Bold" w:hint="cs"/>
                <w:rtl/>
              </w:rPr>
              <w:t>دون تغيير</w:t>
            </w:r>
          </w:p>
        </w:tc>
        <w:tc>
          <w:tcPr>
            <w:tcW w:w="2400" w:type="dxa"/>
            <w:vAlign w:val="center"/>
          </w:tcPr>
          <w:p w:rsidR="00A03D76" w:rsidRPr="00A03D76" w:rsidRDefault="00A03D76" w:rsidP="00A03D76">
            <w:pPr>
              <w:jc w:val="center"/>
              <w:rPr>
                <w:rFonts w:ascii="Times New Roman Bold" w:hAnsi="Times New Roman Bold"/>
                <w:b/>
                <w:bCs/>
                <w:lang w:val="ru-RU" w:bidi="ar-SY"/>
              </w:rPr>
            </w:pPr>
            <w:r w:rsidRPr="00A03D76">
              <w:rPr>
                <w:rFonts w:ascii="Times New Roman Bold" w:hAnsi="Times New Roman Bold"/>
                <w:b/>
                <w:bCs/>
                <w:lang w:val="en-GB" w:bidi="ar-SY"/>
              </w:rPr>
              <w:t>= MOD</w:t>
            </w:r>
            <w:r w:rsidRPr="00A03D76">
              <w:rPr>
                <w:rFonts w:ascii="Times New Roman Bold" w:hAnsi="Times New Roman Bold"/>
                <w:b/>
                <w:bCs/>
                <w:lang w:val="en-GB" w:bidi="ar-SY"/>
              </w:rPr>
              <w:br/>
            </w:r>
            <w:r w:rsidRPr="00B843AF">
              <w:rPr>
                <w:rFonts w:ascii="Times New Roman Bold" w:hAnsi="Times New Roman Bold" w:hint="cs"/>
                <w:rtl/>
              </w:rPr>
              <w:t>مراجعة</w:t>
            </w:r>
          </w:p>
        </w:tc>
        <w:tc>
          <w:tcPr>
            <w:tcW w:w="1737" w:type="dxa"/>
            <w:vAlign w:val="center"/>
          </w:tcPr>
          <w:p w:rsidR="00A03D76" w:rsidRPr="00A03D76" w:rsidRDefault="00A03D76" w:rsidP="00A03D76">
            <w:pPr>
              <w:jc w:val="center"/>
              <w:rPr>
                <w:rFonts w:ascii="Times New Roman Bold" w:hAnsi="Times New Roman Bold"/>
                <w:b/>
                <w:bCs/>
                <w:lang w:val="ru-RU" w:bidi="ar-SY"/>
              </w:rPr>
            </w:pPr>
            <w:r w:rsidRPr="00A03D76">
              <w:rPr>
                <w:rFonts w:ascii="Times New Roman Bold" w:hAnsi="Times New Roman Bold"/>
                <w:b/>
                <w:bCs/>
                <w:lang w:val="en-GB" w:bidi="ar-SY"/>
              </w:rPr>
              <w:t>= SUP</w:t>
            </w:r>
            <w:r w:rsidRPr="00A03D76">
              <w:rPr>
                <w:rFonts w:ascii="Times New Roman Bold" w:hAnsi="Times New Roman Bold"/>
                <w:b/>
                <w:bCs/>
                <w:lang w:val="en-GB" w:bidi="ar-SY"/>
              </w:rPr>
              <w:br/>
            </w:r>
            <w:r w:rsidRPr="00B843AF">
              <w:rPr>
                <w:rFonts w:ascii="Times New Roman Bold" w:hAnsi="Times New Roman Bold" w:hint="cs"/>
                <w:rtl/>
              </w:rPr>
              <w:t>حذف</w:t>
            </w:r>
          </w:p>
        </w:tc>
        <w:tc>
          <w:tcPr>
            <w:tcW w:w="1743" w:type="dxa"/>
            <w:vAlign w:val="center"/>
          </w:tcPr>
          <w:p w:rsidR="00A03D76" w:rsidRPr="00A03D76" w:rsidRDefault="00A03D76" w:rsidP="00A03D76">
            <w:pPr>
              <w:jc w:val="center"/>
              <w:rPr>
                <w:rFonts w:ascii="Times New Roman Bold" w:hAnsi="Times New Roman Bold"/>
                <w:b/>
                <w:bCs/>
                <w:lang w:val="ru-RU" w:bidi="ar-SY"/>
              </w:rPr>
            </w:pPr>
            <w:r w:rsidRPr="00A03D76">
              <w:rPr>
                <w:rFonts w:ascii="Times New Roman Bold" w:hAnsi="Times New Roman Bold"/>
                <w:b/>
                <w:bCs/>
                <w:lang w:val="en-GB" w:bidi="ar-SY"/>
              </w:rPr>
              <w:t>= ADD</w:t>
            </w:r>
            <w:r w:rsidRPr="00A03D76">
              <w:rPr>
                <w:rFonts w:ascii="Times New Roman Bold" w:hAnsi="Times New Roman Bold"/>
                <w:b/>
                <w:bCs/>
                <w:lang w:val="en-GB" w:bidi="ar-SY"/>
              </w:rPr>
              <w:br/>
            </w:r>
            <w:r w:rsidRPr="00B843AF">
              <w:rPr>
                <w:rFonts w:ascii="Times New Roman Bold" w:hAnsi="Times New Roman Bold" w:hint="cs"/>
                <w:rtl/>
              </w:rPr>
              <w:t>نص جديد</w:t>
            </w:r>
          </w:p>
        </w:tc>
      </w:tr>
    </w:tbl>
    <w:p w:rsidR="00A03D76" w:rsidRPr="00A03D76" w:rsidRDefault="00A03D76" w:rsidP="00A03D76">
      <w:pPr>
        <w:rPr>
          <w:rFonts w:ascii="Times New Roman Bold" w:hAnsi="Times New Roman Bold"/>
          <w:b/>
          <w:bCs/>
          <w:lang w:val="en-GB" w:bidi="ar-SY"/>
        </w:rPr>
      </w:pPr>
    </w:p>
    <w:p w:rsidR="00A03D76" w:rsidRDefault="00A03D76" w:rsidP="00A03D76">
      <w:pPr>
        <w:rPr>
          <w:rFonts w:ascii="Times New Roman Bold" w:hAnsi="Times New Roman Bold"/>
          <w:b/>
          <w:bCs/>
          <w:rtl/>
        </w:rPr>
      </w:pPr>
    </w:p>
    <w:p w:rsidR="00B843AF" w:rsidRDefault="00B843AF" w:rsidP="00A03D76">
      <w:pPr>
        <w:rPr>
          <w:rFonts w:ascii="Times New Roman Bold" w:hAnsi="Times New Roman Bold"/>
          <w:b/>
          <w:bCs/>
          <w:rtl/>
        </w:rPr>
      </w:pPr>
    </w:p>
    <w:p w:rsidR="00B843AF" w:rsidRDefault="00B843AF" w:rsidP="00A03D76">
      <w:pPr>
        <w:rPr>
          <w:rFonts w:ascii="Times New Roman Bold" w:hAnsi="Times New Roman Bold"/>
          <w:b/>
          <w:bCs/>
          <w:rtl/>
          <w:lang w:bidi="ar-EG"/>
        </w:rPr>
      </w:pPr>
    </w:p>
    <w:p w:rsidR="00B843AF" w:rsidRPr="00A03D76" w:rsidRDefault="00B843AF" w:rsidP="00A03D76">
      <w:pPr>
        <w:rPr>
          <w:rFonts w:ascii="Times New Roman Bold" w:hAnsi="Times New Roman Bold"/>
          <w:b/>
          <w:bCs/>
          <w:rtl/>
        </w:rPr>
      </w:pPr>
    </w:p>
    <w:p w:rsidR="00A03D76" w:rsidRPr="00A03D76" w:rsidRDefault="00A03D76" w:rsidP="00A03D76">
      <w:pPr>
        <w:rPr>
          <w:rFonts w:ascii="Times New Roman Bold" w:hAnsi="Times New Roman Bold"/>
          <w:b/>
          <w:bCs/>
          <w:lang w:bidi="ar-SY"/>
        </w:rPr>
      </w:pPr>
      <w:r w:rsidRPr="00A03D76">
        <w:rPr>
          <w:rFonts w:ascii="Times New Roman Bold" w:hAnsi="Times New Roman Bold" w:hint="cs"/>
          <w:b/>
          <w:bCs/>
          <w:rtl/>
        </w:rPr>
        <w:t xml:space="preserve">الملحقات: </w:t>
      </w:r>
      <w:r w:rsidRPr="00557FDE">
        <w:rPr>
          <w:bCs/>
          <w:lang w:bidi="ar-SY"/>
        </w:rPr>
        <w:t>1</w:t>
      </w:r>
    </w:p>
    <w:p w:rsidR="009369B3" w:rsidRPr="009369B3" w:rsidRDefault="009369B3" w:rsidP="00AF2F7A">
      <w:r w:rsidRPr="009369B3">
        <w:rPr>
          <w:rtl/>
        </w:rPr>
        <w:br w:type="page"/>
      </w:r>
    </w:p>
    <w:p w:rsidR="00557FDE" w:rsidRPr="00557FDE" w:rsidRDefault="00557FDE" w:rsidP="00625C21">
      <w:pPr>
        <w:pStyle w:val="AnnexNo"/>
        <w:rPr>
          <w:rtl/>
        </w:rPr>
      </w:pPr>
      <w:r w:rsidRPr="00557FDE">
        <w:rPr>
          <w:rFonts w:hint="cs"/>
          <w:rtl/>
        </w:rPr>
        <w:lastRenderedPageBreak/>
        <w:t>ال</w:t>
      </w:r>
      <w:r w:rsidR="00372D7D">
        <w:rPr>
          <w:rFonts w:hint="cs"/>
          <w:rtl/>
        </w:rPr>
        <w:t>‍</w:t>
      </w:r>
      <w:bookmarkStart w:id="1" w:name="_GoBack"/>
      <w:bookmarkEnd w:id="1"/>
      <w:r w:rsidRPr="00557FDE">
        <w:rPr>
          <w:rFonts w:hint="cs"/>
          <w:rtl/>
        </w:rPr>
        <w:t>ملح</w:t>
      </w:r>
      <w:r w:rsidR="00625C21">
        <w:rPr>
          <w:rFonts w:hint="cs"/>
          <w:rtl/>
        </w:rPr>
        <w:t>ـ</w:t>
      </w:r>
      <w:r w:rsidRPr="00557FDE">
        <w:rPr>
          <w:rFonts w:hint="cs"/>
          <w:rtl/>
        </w:rPr>
        <w:t>ق</w:t>
      </w:r>
    </w:p>
    <w:tbl>
      <w:tblPr>
        <w:bidiVisual/>
        <w:tblW w:w="963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4321"/>
        <w:gridCol w:w="4106"/>
      </w:tblGrid>
      <w:tr w:rsidR="00557FDE" w:rsidRPr="00625C21" w:rsidTr="00E3300D">
        <w:trPr>
          <w:cantSplit/>
          <w:tblHeader/>
        </w:trPr>
        <w:tc>
          <w:tcPr>
            <w:tcW w:w="1206" w:type="dxa"/>
            <w:vAlign w:val="center"/>
          </w:tcPr>
          <w:p w:rsidR="00557FDE" w:rsidRPr="00625C21" w:rsidRDefault="00557FDE" w:rsidP="005C1BF0">
            <w:pPr>
              <w:pStyle w:val="Tablehead0"/>
              <w:bidi/>
              <w:spacing w:before="60" w:after="60" w:line="300" w:lineRule="exact"/>
              <w:rPr>
                <w:rFonts w:ascii="Times New Roman" w:hAnsi="Times New Roman" w:cs="Traditional Arabic"/>
                <w:b w:val="0"/>
                <w:bCs/>
                <w:szCs w:val="26"/>
                <w:rtl/>
                <w:lang w:bidi="ar-EG"/>
              </w:rPr>
            </w:pPr>
            <w:r w:rsidRPr="00625C21">
              <w:rPr>
                <w:rFonts w:ascii="Times New Roman" w:hAnsi="Times New Roman" w:cs="Traditional Arabic" w:hint="cs"/>
                <w:b w:val="0"/>
                <w:bCs/>
                <w:szCs w:val="26"/>
                <w:rtl/>
                <w:lang w:bidi="ar-EG"/>
              </w:rPr>
              <w:t xml:space="preserve">رقم القرار </w:t>
            </w:r>
            <w:r w:rsidRPr="00625C21">
              <w:rPr>
                <w:rFonts w:ascii="Times New Roman" w:hAnsi="Times New Roman" w:cs="Traditional Arabic"/>
                <w:szCs w:val="26"/>
                <w:lang w:bidi="ar-EG"/>
              </w:rPr>
              <w:t>ITU</w:t>
            </w:r>
            <w:r w:rsidRPr="00625C21">
              <w:rPr>
                <w:rFonts w:ascii="Times New Roman" w:hAnsi="Times New Roman" w:cs="Traditional Arabic"/>
                <w:szCs w:val="26"/>
                <w:lang w:bidi="ar-EG"/>
              </w:rPr>
              <w:noBreakHyphen/>
              <w:t>R</w:t>
            </w:r>
          </w:p>
        </w:tc>
        <w:tc>
          <w:tcPr>
            <w:tcW w:w="4321" w:type="dxa"/>
            <w:vAlign w:val="center"/>
          </w:tcPr>
          <w:p w:rsidR="00557FDE" w:rsidRPr="00625C21" w:rsidRDefault="00557FDE" w:rsidP="005C1BF0">
            <w:pPr>
              <w:pStyle w:val="Tablehead0"/>
              <w:bidi/>
              <w:spacing w:before="60" w:after="60" w:line="300" w:lineRule="exact"/>
              <w:rPr>
                <w:rFonts w:ascii="Times New Roman" w:hAnsi="Times New Roman" w:cs="Traditional Arabic"/>
                <w:b w:val="0"/>
                <w:bCs/>
                <w:szCs w:val="26"/>
                <w:lang w:bidi="ar-EG"/>
              </w:rPr>
            </w:pPr>
            <w:r w:rsidRPr="00625C21">
              <w:rPr>
                <w:rFonts w:ascii="Times New Roman" w:hAnsi="Times New Roman" w:cs="Traditional Arabic" w:hint="cs"/>
                <w:b w:val="0"/>
                <w:bCs/>
                <w:szCs w:val="26"/>
                <w:rtl/>
                <w:lang w:bidi="ar-EG"/>
              </w:rPr>
              <w:t>عنوان القرار</w:t>
            </w:r>
          </w:p>
        </w:tc>
        <w:tc>
          <w:tcPr>
            <w:tcW w:w="4106" w:type="dxa"/>
            <w:vAlign w:val="center"/>
          </w:tcPr>
          <w:p w:rsidR="00557FDE" w:rsidRPr="00625C21" w:rsidRDefault="00557FDE" w:rsidP="005C1BF0">
            <w:pPr>
              <w:pStyle w:val="Tablehead0"/>
              <w:bidi/>
              <w:spacing w:before="60" w:after="60" w:line="300" w:lineRule="exact"/>
              <w:rPr>
                <w:rFonts w:ascii="Times New Roman" w:hAnsi="Times New Roman" w:cs="Traditional Arabic"/>
                <w:b w:val="0"/>
                <w:bCs/>
                <w:szCs w:val="26"/>
                <w:lang w:bidi="ar-EG"/>
              </w:rPr>
            </w:pPr>
            <w:r w:rsidRPr="00625C21">
              <w:rPr>
                <w:rFonts w:ascii="Times New Roman" w:hAnsi="Times New Roman" w:cs="Traditional Arabic" w:hint="cs"/>
                <w:b w:val="0"/>
                <w:bCs/>
                <w:szCs w:val="26"/>
                <w:rtl/>
                <w:lang w:bidi="ar-EG"/>
              </w:rPr>
              <w:t>تعليقات</w:t>
            </w:r>
            <w:r w:rsidRPr="00625C21">
              <w:rPr>
                <w:rFonts w:ascii="Times New Roman" w:hAnsi="Times New Roman" w:cs="Traditional Arabic"/>
                <w:b w:val="0"/>
                <w:bCs/>
                <w:position w:val="6"/>
                <w:sz w:val="16"/>
                <w:szCs w:val="16"/>
                <w:lang w:bidi="ar-EG"/>
              </w:rPr>
              <w:footnoteReference w:id="1"/>
            </w: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4F667F" w:rsidRDefault="00625C21" w:rsidP="005C1BF0">
            <w:pPr>
              <w:pStyle w:val="Tabletext0"/>
              <w:spacing w:line="300" w:lineRule="exact"/>
              <w:jc w:val="center"/>
              <w:rPr>
                <w:b/>
              </w:rPr>
            </w:pPr>
            <w:r w:rsidRPr="004F667F">
              <w:t>1-6</w:t>
            </w:r>
          </w:p>
        </w:tc>
        <w:tc>
          <w:tcPr>
            <w:tcW w:w="4321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bookmarkStart w:id="2" w:name="_Toc180535834"/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طرائق عمل جمعية الاتصالات الراديوية ولجان دراسات</w:t>
            </w:r>
            <w:r w:rsidRPr="00625C21">
              <w:rPr>
                <w:sz w:val="20"/>
                <w:szCs w:val="26"/>
                <w:lang w:bidi="ar-EG"/>
              </w:rPr>
              <w:t xml:space="preserve"> 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الاتصالات الراديوية والفريق الاستشاري</w:t>
            </w:r>
            <w:r w:rsidRPr="00625C21">
              <w:rPr>
                <w:sz w:val="20"/>
                <w:szCs w:val="26"/>
                <w:lang w:bidi="ar-EG"/>
              </w:rPr>
              <w:t xml:space="preserve"> 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للاتصالات الراديوية</w:t>
            </w:r>
            <w:bookmarkEnd w:id="2"/>
          </w:p>
        </w:tc>
        <w:tc>
          <w:tcPr>
            <w:tcW w:w="4106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rtl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مساهمات في</w:t>
            </w:r>
            <w:r w:rsidRPr="00625C21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أعمال الفريق الاستشاري للاتصالات الراديوية بشأن مراجعة القرار</w:t>
            </w: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47064E" w:rsidRDefault="00625C21" w:rsidP="005C1BF0">
            <w:pPr>
              <w:pStyle w:val="Tabletext0"/>
              <w:spacing w:line="300" w:lineRule="exact"/>
              <w:jc w:val="center"/>
              <w:rPr>
                <w:b/>
              </w:rPr>
            </w:pPr>
            <w:r>
              <w:t>4-6</w:t>
            </w:r>
          </w:p>
        </w:tc>
        <w:tc>
          <w:tcPr>
            <w:tcW w:w="4321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هيكل لجان دراسات الاتصالات الراديوية</w:t>
            </w:r>
          </w:p>
        </w:tc>
        <w:tc>
          <w:tcPr>
            <w:tcW w:w="4106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Default="00625C21" w:rsidP="005C1BF0">
            <w:pPr>
              <w:pStyle w:val="Tabletext0"/>
              <w:spacing w:line="300" w:lineRule="exact"/>
              <w:jc w:val="center"/>
              <w:rPr>
                <w:b/>
              </w:rPr>
            </w:pPr>
            <w:r>
              <w:t>5-6</w:t>
            </w:r>
          </w:p>
        </w:tc>
        <w:tc>
          <w:tcPr>
            <w:tcW w:w="4321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rtl/>
                <w:lang w:bidi="ar-EG"/>
              </w:rPr>
            </w:pPr>
            <w:bookmarkStart w:id="3" w:name="_Toc172520865"/>
            <w:bookmarkStart w:id="4" w:name="_Toc180535839"/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برنامج عمل لجان دراسات الاتصالات الراديوية</w:t>
            </w:r>
            <w:bookmarkEnd w:id="3"/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 xml:space="preserve"> والمسائل المسندة</w:t>
            </w:r>
            <w:r w:rsidR="007F2E7C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إليها</w:t>
            </w:r>
            <w:bookmarkEnd w:id="4"/>
          </w:p>
        </w:tc>
        <w:tc>
          <w:tcPr>
            <w:tcW w:w="4106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283CAD" w:rsidRDefault="00625C21" w:rsidP="005C1BF0">
            <w:pPr>
              <w:pStyle w:val="Tabletext0"/>
              <w:spacing w:line="300" w:lineRule="exact"/>
              <w:jc w:val="center"/>
            </w:pPr>
            <w:r w:rsidRPr="00283CAD">
              <w:t>6</w:t>
            </w:r>
            <w:r w:rsidRPr="00283CAD">
              <w:rPr>
                <w:rFonts w:hint="eastAsia"/>
              </w:rPr>
              <w:t>-1</w:t>
            </w:r>
          </w:p>
        </w:tc>
        <w:tc>
          <w:tcPr>
            <w:tcW w:w="4321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rtl/>
                <w:lang w:bidi="ar-EG"/>
              </w:rPr>
            </w:pPr>
            <w:bookmarkStart w:id="5" w:name="_Toc172520867"/>
            <w:bookmarkStart w:id="6" w:name="_Toc180535843"/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الاتصال والتعاون مع قطاع تقييس الاتصالات في</w:t>
            </w:r>
            <w:r w:rsidRPr="00625C21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الاتحاد الدولي للاتصالات</w:t>
            </w:r>
            <w:bookmarkEnd w:id="5"/>
            <w:bookmarkEnd w:id="6"/>
          </w:p>
        </w:tc>
        <w:tc>
          <w:tcPr>
            <w:tcW w:w="4106" w:type="dxa"/>
          </w:tcPr>
          <w:p w:rsidR="00625C21" w:rsidRPr="0080733F" w:rsidRDefault="00625C21" w:rsidP="005C1BF0">
            <w:pPr>
              <w:spacing w:before="60" w:after="60" w:line="300" w:lineRule="exact"/>
              <w:rPr>
                <w:spacing w:val="-2"/>
                <w:sz w:val="20"/>
                <w:szCs w:val="26"/>
                <w:rtl/>
                <w:lang w:bidi="ar-EG"/>
              </w:rPr>
            </w:pP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المشاركة في</w:t>
            </w:r>
            <w:r w:rsidRPr="0080733F">
              <w:rPr>
                <w:rFonts w:hint="eastAsia"/>
                <w:spacing w:val="-2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إنشاء وفي</w:t>
            </w:r>
            <w:r w:rsidRPr="0080733F">
              <w:rPr>
                <w:rFonts w:hint="eastAsia"/>
                <w:spacing w:val="-2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 xml:space="preserve">أعمال أفرقة المقررين </w:t>
            </w:r>
            <w:r w:rsidRPr="0080733F">
              <w:rPr>
                <w:spacing w:val="-2"/>
                <w:sz w:val="20"/>
                <w:szCs w:val="26"/>
                <w:rtl/>
                <w:lang w:bidi="ar-EG"/>
              </w:rPr>
              <w:t>المشترك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ة</w:t>
            </w:r>
            <w:r w:rsidRPr="0080733F">
              <w:rPr>
                <w:spacing w:val="-2"/>
                <w:sz w:val="20"/>
                <w:szCs w:val="26"/>
                <w:rtl/>
                <w:lang w:bidi="ar-EG"/>
              </w:rPr>
              <w:t xml:space="preserve"> بين 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 xml:space="preserve">القطاعات الثلاثة التالية: الفريق المعني </w:t>
            </w:r>
            <w:r w:rsidRPr="0080733F">
              <w:rPr>
                <w:spacing w:val="-2"/>
                <w:sz w:val="20"/>
                <w:szCs w:val="26"/>
                <w:rtl/>
                <w:lang w:bidi="ar-EG"/>
              </w:rPr>
              <w:t xml:space="preserve">بالنفاذ إلى وسائط الإعلام السمعية البصرية </w:t>
            </w:r>
            <w:r w:rsidRPr="0080733F">
              <w:rPr>
                <w:spacing w:val="-2"/>
                <w:sz w:val="20"/>
                <w:szCs w:val="26"/>
                <w:lang w:bidi="ar-EG"/>
              </w:rPr>
              <w:t>(IRG</w:t>
            </w:r>
            <w:r w:rsidRPr="0080733F">
              <w:rPr>
                <w:spacing w:val="-2"/>
                <w:sz w:val="20"/>
                <w:szCs w:val="26"/>
                <w:lang w:bidi="ar-EG"/>
              </w:rPr>
              <w:noBreakHyphen/>
              <w:t>AVA)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، والفريق المعني بت</w:t>
            </w:r>
            <w:r w:rsidRPr="0080733F">
              <w:rPr>
                <w:spacing w:val="-2"/>
                <w:sz w:val="20"/>
                <w:szCs w:val="26"/>
                <w:rtl/>
                <w:lang w:bidi="ar-EG"/>
              </w:rPr>
              <w:t xml:space="preserve">قييم جودة الاتصالات السمعية البصرية </w:t>
            </w:r>
            <w:r w:rsidRPr="0080733F">
              <w:rPr>
                <w:spacing w:val="-2"/>
                <w:sz w:val="20"/>
                <w:szCs w:val="26"/>
                <w:lang w:bidi="ar-EG"/>
              </w:rPr>
              <w:t>(IRG</w:t>
            </w:r>
            <w:r w:rsidRPr="0080733F">
              <w:rPr>
                <w:spacing w:val="-2"/>
                <w:sz w:val="20"/>
                <w:szCs w:val="26"/>
                <w:lang w:bidi="ar-EG"/>
              </w:rPr>
              <w:noBreakHyphen/>
              <w:t>AVQA)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، والفريق المعني ب</w:t>
            </w:r>
            <w:r w:rsidRPr="0080733F">
              <w:rPr>
                <w:spacing w:val="-2"/>
                <w:sz w:val="20"/>
                <w:szCs w:val="26"/>
                <w:rtl/>
                <w:lang w:bidi="ar-EG"/>
              </w:rPr>
              <w:t>أنظمة النطاق العريض للإذاعة المتكاملة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 xml:space="preserve"> </w:t>
            </w:r>
            <w:r w:rsidRPr="0080733F">
              <w:rPr>
                <w:spacing w:val="-2"/>
                <w:sz w:val="20"/>
                <w:szCs w:val="26"/>
                <w:lang w:bidi="ar-EG"/>
              </w:rPr>
              <w:t>(IRG</w:t>
            </w:r>
            <w:r w:rsidRPr="0080733F">
              <w:rPr>
                <w:spacing w:val="-2"/>
                <w:sz w:val="20"/>
                <w:szCs w:val="26"/>
                <w:lang w:bidi="ar-EG"/>
              </w:rPr>
              <w:noBreakHyphen/>
              <w:t>IBB)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. والمساهمة في</w:t>
            </w:r>
            <w:r w:rsidRPr="0080733F">
              <w:rPr>
                <w:rFonts w:hint="eastAsia"/>
                <w:spacing w:val="-2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عمل الفريق الاستشاري فيما</w:t>
            </w:r>
            <w:r w:rsidR="0080733F">
              <w:rPr>
                <w:rFonts w:hint="eastAsia"/>
                <w:spacing w:val="-2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يتعلق بأفرقة المقررين المشتركة بين</w:t>
            </w:r>
            <w:r w:rsidR="0080733F" w:rsidRPr="0080733F">
              <w:rPr>
                <w:rFonts w:hint="eastAsia"/>
                <w:spacing w:val="-2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القطاعات</w:t>
            </w: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283CAD" w:rsidRDefault="00625C21" w:rsidP="005C1BF0">
            <w:pPr>
              <w:pStyle w:val="Tabletext0"/>
              <w:spacing w:line="300" w:lineRule="exact"/>
              <w:jc w:val="center"/>
            </w:pPr>
            <w:r w:rsidRPr="00283CAD">
              <w:t>9-4</w:t>
            </w:r>
          </w:p>
        </w:tc>
        <w:tc>
          <w:tcPr>
            <w:tcW w:w="4321" w:type="dxa"/>
          </w:tcPr>
          <w:p w:rsidR="00625C21" w:rsidRPr="005C1BF0" w:rsidRDefault="00625C21" w:rsidP="005C1BF0">
            <w:pPr>
              <w:spacing w:before="60" w:after="60" w:line="300" w:lineRule="exact"/>
              <w:rPr>
                <w:spacing w:val="-4"/>
                <w:sz w:val="20"/>
                <w:szCs w:val="26"/>
                <w:lang w:bidi="ar-EG"/>
              </w:rPr>
            </w:pPr>
            <w:r w:rsidRPr="005C1BF0">
              <w:rPr>
                <w:spacing w:val="-4"/>
                <w:sz w:val="20"/>
                <w:szCs w:val="26"/>
                <w:rtl/>
                <w:lang w:bidi="ar-EG"/>
              </w:rPr>
              <w:t xml:space="preserve">الاتصال والتعاون مع المنظمات </w:t>
            </w:r>
            <w:r w:rsidRPr="005C1BF0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المعنية </w:t>
            </w:r>
            <w:r w:rsidRPr="005C1BF0">
              <w:rPr>
                <w:spacing w:val="-4"/>
                <w:sz w:val="20"/>
                <w:szCs w:val="26"/>
                <w:rtl/>
                <w:lang w:bidi="ar-EG"/>
              </w:rPr>
              <w:t>الأخرى</w:t>
            </w:r>
            <w:r w:rsidRPr="005C1BF0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وخصوصاً</w:t>
            </w:r>
            <w:r w:rsidRPr="005C1BF0">
              <w:rPr>
                <w:spacing w:val="-4"/>
                <w:sz w:val="20"/>
                <w:szCs w:val="26"/>
                <w:lang w:bidi="ar-EG"/>
              </w:rPr>
              <w:t xml:space="preserve"> </w:t>
            </w:r>
            <w:r w:rsidRPr="005C1BF0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مع</w:t>
            </w:r>
            <w:r w:rsidR="0080733F" w:rsidRPr="005C1BF0">
              <w:rPr>
                <w:rFonts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5C1BF0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المنظمة الدولية للتوحيد القياسي</w:t>
            </w:r>
            <w:r w:rsidRPr="005C1BF0">
              <w:rPr>
                <w:rFonts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5C1BF0">
              <w:rPr>
                <w:spacing w:val="-4"/>
                <w:sz w:val="20"/>
                <w:szCs w:val="26"/>
                <w:lang w:bidi="ar-EG"/>
              </w:rPr>
              <w:t>(ISO)</w:t>
            </w:r>
            <w:r w:rsidRPr="005C1BF0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واللجنة</w:t>
            </w:r>
            <w:r w:rsidRPr="005C1BF0">
              <w:rPr>
                <w:rFonts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5C1BF0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الكهرتقنية</w:t>
            </w:r>
            <w:r w:rsidRPr="005C1BF0">
              <w:rPr>
                <w:rFonts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5C1BF0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الدولية</w:t>
            </w:r>
            <w:r w:rsidRPr="005C1BF0">
              <w:rPr>
                <w:rFonts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5C1BF0">
              <w:rPr>
                <w:spacing w:val="-4"/>
                <w:sz w:val="20"/>
                <w:szCs w:val="26"/>
                <w:lang w:bidi="ar-EG"/>
              </w:rPr>
              <w:t>(IEC)</w:t>
            </w:r>
          </w:p>
        </w:tc>
        <w:tc>
          <w:tcPr>
            <w:tcW w:w="4106" w:type="dxa"/>
          </w:tcPr>
          <w:p w:rsidR="00625C21" w:rsidRPr="005C1BF0" w:rsidRDefault="00625C21" w:rsidP="005C1BF0">
            <w:pPr>
              <w:spacing w:before="60" w:after="60" w:line="300" w:lineRule="exact"/>
              <w:rPr>
                <w:spacing w:val="-6"/>
                <w:sz w:val="20"/>
                <w:szCs w:val="26"/>
                <w:rtl/>
                <w:lang w:bidi="ar-EG"/>
              </w:rPr>
            </w:pP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مواصلة التعاون الوثيق مع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المنظمة الدولية للتوحيد القياسي</w:t>
            </w:r>
            <w:r w:rsidR="005C1BF0" w:rsidRPr="005C1BF0">
              <w:rPr>
                <w:rFonts w:hint="eastAsia"/>
                <w:spacing w:val="-6"/>
                <w:sz w:val="20"/>
                <w:szCs w:val="26"/>
                <w:rtl/>
                <w:lang w:bidi="ar-EG"/>
              </w:rPr>
              <w:t> </w:t>
            </w:r>
            <w:r w:rsidRPr="005C1BF0">
              <w:rPr>
                <w:spacing w:val="-6"/>
                <w:sz w:val="20"/>
                <w:szCs w:val="26"/>
                <w:lang w:bidi="ar-EG"/>
              </w:rPr>
              <w:t>(ISO)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،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و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اللجنة الكهرتقنية الدولية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5C1BF0">
              <w:rPr>
                <w:spacing w:val="-6"/>
                <w:sz w:val="20"/>
                <w:szCs w:val="26"/>
                <w:lang w:bidi="ar-EG"/>
              </w:rPr>
              <w:t>(IEC)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،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والمعهد الأوروبي لمعايير الاتصالات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5C1BF0">
              <w:rPr>
                <w:spacing w:val="-6"/>
                <w:sz w:val="20"/>
                <w:szCs w:val="26"/>
                <w:lang w:bidi="ar-EG"/>
              </w:rPr>
              <w:t>(ETSI)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،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و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جمعية مهندسي الصور المتحركة والتلفزيون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5C1BF0">
              <w:rPr>
                <w:spacing w:val="-6"/>
                <w:sz w:val="20"/>
                <w:szCs w:val="26"/>
                <w:lang w:bidi="ar-EG"/>
              </w:rPr>
              <w:t>(SMPTE)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، 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وجمعية الصناعات والدوائر الراديوية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5C1BF0">
              <w:rPr>
                <w:spacing w:val="-6"/>
                <w:sz w:val="20"/>
                <w:szCs w:val="26"/>
                <w:lang w:bidi="ar-EG"/>
              </w:rPr>
              <w:t>(ARIB)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، 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وتلفزيون الإذاعة الهجينة عريضة النطاق</w:t>
            </w:r>
            <w:r w:rsidR="005C1BF0" w:rsidRPr="005C1BF0">
              <w:rPr>
                <w:rFonts w:hint="eastAsia"/>
                <w:spacing w:val="-6"/>
                <w:sz w:val="20"/>
                <w:szCs w:val="26"/>
                <w:rtl/>
                <w:lang w:bidi="ar-EG"/>
              </w:rPr>
              <w:t> </w:t>
            </w:r>
            <w:r w:rsidRPr="005C1BF0">
              <w:rPr>
                <w:spacing w:val="-6"/>
                <w:sz w:val="20"/>
                <w:szCs w:val="26"/>
                <w:lang w:bidi="ar-EG"/>
              </w:rPr>
              <w:t>(</w:t>
            </w:r>
            <w:proofErr w:type="spellStart"/>
            <w:r w:rsidRPr="005C1BF0">
              <w:rPr>
                <w:spacing w:val="-6"/>
                <w:sz w:val="20"/>
                <w:szCs w:val="26"/>
                <w:lang w:bidi="ar-EG"/>
              </w:rPr>
              <w:t>HbbTV</w:t>
            </w:r>
            <w:proofErr w:type="spellEnd"/>
            <w:r w:rsidRPr="005C1BF0">
              <w:rPr>
                <w:spacing w:val="-6"/>
                <w:sz w:val="20"/>
                <w:szCs w:val="26"/>
                <w:lang w:bidi="ar-EG"/>
              </w:rPr>
              <w:t>)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، و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تحالف الاتصالات المتنقلة المفتوحة</w:t>
            </w:r>
            <w:r w:rsidR="005C1BF0" w:rsidRPr="005C1BF0">
              <w:rPr>
                <w:rFonts w:hint="eastAsia"/>
                <w:spacing w:val="-6"/>
                <w:sz w:val="20"/>
                <w:szCs w:val="26"/>
                <w:rtl/>
                <w:lang w:bidi="ar-EG"/>
              </w:rPr>
              <w:t> </w:t>
            </w:r>
            <w:r w:rsidRPr="005C1BF0">
              <w:rPr>
                <w:spacing w:val="-6"/>
                <w:sz w:val="20"/>
                <w:szCs w:val="26"/>
                <w:lang w:bidi="ar-EG"/>
              </w:rPr>
              <w:t>(OMA)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،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و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 xml:space="preserve">الرابطة البرازيلية 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ل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 xml:space="preserve">لمعايير 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التقنية </w:t>
            </w:r>
            <w:r w:rsidRPr="005C1BF0">
              <w:rPr>
                <w:spacing w:val="-6"/>
                <w:sz w:val="20"/>
                <w:szCs w:val="26"/>
                <w:lang w:bidi="ar-EG"/>
              </w:rPr>
              <w:t>(ABNT)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، و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 xml:space="preserve">رابطة صناعة الاتصالات </w:t>
            </w:r>
            <w:r w:rsidRPr="005C1BF0">
              <w:rPr>
                <w:spacing w:val="-6"/>
                <w:sz w:val="20"/>
                <w:szCs w:val="26"/>
                <w:lang w:bidi="ar-EG"/>
              </w:rPr>
              <w:t>(TIA)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، و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 xml:space="preserve">منظمات وضع المعايير 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الأخرى </w:t>
            </w:r>
            <w:r w:rsidRPr="005C1BF0">
              <w:rPr>
                <w:spacing w:val="-6"/>
                <w:sz w:val="20"/>
                <w:szCs w:val="26"/>
                <w:rtl/>
                <w:lang w:bidi="ar-EG"/>
              </w:rPr>
              <w:t>ذات الصلة</w:t>
            </w:r>
            <w:r w:rsidRPr="005C1BF0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5C1BF0">
              <w:rPr>
                <w:spacing w:val="-6"/>
                <w:sz w:val="20"/>
                <w:szCs w:val="26"/>
                <w:lang w:bidi="ar-EG"/>
              </w:rPr>
              <w:t>(SDO)</w:t>
            </w: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283CAD" w:rsidRDefault="00625C21" w:rsidP="005C1BF0">
            <w:pPr>
              <w:pStyle w:val="Tabletext0"/>
              <w:spacing w:line="300" w:lineRule="exact"/>
              <w:jc w:val="center"/>
            </w:pPr>
            <w:r w:rsidRPr="00283CAD">
              <w:rPr>
                <w:rFonts w:hint="eastAsia"/>
              </w:rPr>
              <w:t>12-1</w:t>
            </w:r>
          </w:p>
        </w:tc>
        <w:tc>
          <w:tcPr>
            <w:tcW w:w="4321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bookmarkStart w:id="7" w:name="_Toc172520877"/>
            <w:bookmarkStart w:id="8" w:name="_Toc180535853"/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كتيبات ومنشورات خاصة من أجل تنمية خدمات الاتصالات الراديوية</w:t>
            </w:r>
            <w:bookmarkEnd w:id="7"/>
            <w:bookmarkEnd w:id="8"/>
          </w:p>
        </w:tc>
        <w:tc>
          <w:tcPr>
            <w:tcW w:w="4106" w:type="dxa"/>
          </w:tcPr>
          <w:p w:rsidR="00625C21" w:rsidRPr="0080733F" w:rsidRDefault="00625C21" w:rsidP="005C1BF0">
            <w:pPr>
              <w:spacing w:before="60" w:after="60" w:line="30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80733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يجري </w:t>
            </w:r>
            <w:r w:rsidRPr="0080733F">
              <w:rPr>
                <w:spacing w:val="-4"/>
                <w:sz w:val="20"/>
                <w:szCs w:val="26"/>
                <w:rtl/>
                <w:lang w:bidi="ar-EG"/>
              </w:rPr>
              <w:t xml:space="preserve">العمل </w:t>
            </w:r>
            <w:r w:rsidRPr="0080733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على إعداد الكتيب الجديد بشأن "</w:t>
            </w:r>
            <w:r w:rsidRPr="0080733F">
              <w:rPr>
                <w:spacing w:val="-4"/>
                <w:sz w:val="20"/>
                <w:szCs w:val="26"/>
                <w:rtl/>
                <w:lang w:bidi="ar-EG"/>
              </w:rPr>
              <w:t>الإذاعة التلفزيونية الرقمية للأرض في</w:t>
            </w:r>
            <w:r w:rsidRPr="0080733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spacing w:val="-4"/>
                <w:sz w:val="20"/>
                <w:szCs w:val="26"/>
                <w:rtl/>
                <w:lang w:bidi="ar-EG"/>
              </w:rPr>
              <w:t xml:space="preserve">نطاقي الترددات </w:t>
            </w:r>
            <w:r w:rsidRPr="0080733F">
              <w:rPr>
                <w:spacing w:val="-4"/>
                <w:sz w:val="20"/>
                <w:szCs w:val="26"/>
                <w:lang w:bidi="ar-EG"/>
              </w:rPr>
              <w:t>VHF/UHF</w:t>
            </w:r>
            <w:r w:rsidRPr="0080733F">
              <w:rPr>
                <w:spacing w:val="-4"/>
                <w:sz w:val="20"/>
                <w:szCs w:val="26"/>
                <w:rtl/>
                <w:lang w:bidi="ar-EG"/>
              </w:rPr>
              <w:t>"</w:t>
            </w: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283CAD" w:rsidRDefault="00625C21" w:rsidP="005C1BF0">
            <w:pPr>
              <w:pStyle w:val="Tabletext0"/>
              <w:spacing w:line="300" w:lineRule="exact"/>
              <w:jc w:val="center"/>
            </w:pPr>
            <w:r w:rsidRPr="00283CAD">
              <w:rPr>
                <w:rFonts w:hint="eastAsia"/>
              </w:rPr>
              <w:t>33-3</w:t>
            </w:r>
          </w:p>
        </w:tc>
        <w:tc>
          <w:tcPr>
            <w:tcW w:w="4321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إعداد النصوص الخاصة بالمصطلحات</w:t>
            </w:r>
          </w:p>
        </w:tc>
        <w:tc>
          <w:tcPr>
            <w:tcW w:w="4106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283CAD" w:rsidRDefault="00625C21" w:rsidP="005C1BF0">
            <w:pPr>
              <w:pStyle w:val="Tabletext0"/>
              <w:spacing w:line="300" w:lineRule="exact"/>
              <w:jc w:val="center"/>
            </w:pPr>
            <w:r w:rsidRPr="00283CAD">
              <w:rPr>
                <w:rFonts w:hint="eastAsia"/>
              </w:rPr>
              <w:t>34-3</w:t>
            </w:r>
          </w:p>
        </w:tc>
        <w:tc>
          <w:tcPr>
            <w:tcW w:w="4321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b/>
                <w:bCs/>
                <w:sz w:val="20"/>
                <w:szCs w:val="26"/>
                <w:lang w:bidi="ar-EG"/>
              </w:rPr>
            </w:pPr>
            <w:bookmarkStart w:id="9" w:name="_Toc172520897"/>
            <w:bookmarkStart w:id="10" w:name="_Toc180535871"/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مبادئ توجيهية لإعداد المصطلحات والتعاريف</w:t>
            </w:r>
            <w:bookmarkEnd w:id="9"/>
            <w:bookmarkEnd w:id="10"/>
          </w:p>
        </w:tc>
        <w:tc>
          <w:tcPr>
            <w:tcW w:w="4106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283CAD" w:rsidRDefault="00625C21" w:rsidP="005C1BF0">
            <w:pPr>
              <w:pStyle w:val="Tabletext0"/>
              <w:spacing w:line="300" w:lineRule="exact"/>
              <w:jc w:val="center"/>
            </w:pPr>
            <w:r w:rsidRPr="00283CAD">
              <w:rPr>
                <w:rFonts w:hint="eastAsia"/>
              </w:rPr>
              <w:t>35-3</w:t>
            </w:r>
          </w:p>
        </w:tc>
        <w:tc>
          <w:tcPr>
            <w:tcW w:w="4321" w:type="dxa"/>
          </w:tcPr>
          <w:p w:rsidR="00625C21" w:rsidRPr="0080733F" w:rsidRDefault="00625C21" w:rsidP="005C1BF0">
            <w:pPr>
              <w:spacing w:before="60" w:after="60" w:line="300" w:lineRule="exact"/>
              <w:rPr>
                <w:b/>
                <w:bCs/>
                <w:spacing w:val="-4"/>
                <w:sz w:val="20"/>
                <w:szCs w:val="26"/>
                <w:lang w:bidi="ar-EG"/>
              </w:rPr>
            </w:pPr>
            <w:r w:rsidRPr="0080733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تنظيم أعمال إعداد المفردات التي تشمل المصطلحات والتعاريف</w:t>
            </w:r>
          </w:p>
        </w:tc>
        <w:tc>
          <w:tcPr>
            <w:tcW w:w="4106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283CAD" w:rsidDel="00BB22C0" w:rsidRDefault="00625C21" w:rsidP="005C1BF0">
            <w:pPr>
              <w:pStyle w:val="Tabletext0"/>
              <w:spacing w:line="300" w:lineRule="exact"/>
              <w:jc w:val="center"/>
            </w:pPr>
            <w:r w:rsidRPr="00283CAD">
              <w:rPr>
                <w:rFonts w:hint="eastAsia"/>
              </w:rPr>
              <w:t>36-3</w:t>
            </w:r>
          </w:p>
        </w:tc>
        <w:tc>
          <w:tcPr>
            <w:tcW w:w="4321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تنسيق المفردات</w:t>
            </w:r>
          </w:p>
        </w:tc>
        <w:tc>
          <w:tcPr>
            <w:tcW w:w="4106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283CAD" w:rsidRDefault="00625C21" w:rsidP="005C1BF0">
            <w:pPr>
              <w:pStyle w:val="Tabletext0"/>
              <w:spacing w:line="300" w:lineRule="exact"/>
              <w:jc w:val="center"/>
            </w:pPr>
            <w:r>
              <w:t>37</w:t>
            </w:r>
          </w:p>
        </w:tc>
        <w:tc>
          <w:tcPr>
            <w:tcW w:w="4321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bookmarkStart w:id="11" w:name="_Toc172520903"/>
            <w:bookmarkStart w:id="12" w:name="_Toc180535877"/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دراسات انتشار الموجات الراديوية من أجل تصميم الأنظمة وتخطيط الخدمات</w:t>
            </w:r>
            <w:bookmarkEnd w:id="11"/>
            <w:bookmarkEnd w:id="12"/>
          </w:p>
        </w:tc>
        <w:tc>
          <w:tcPr>
            <w:tcW w:w="4106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9951D3" w:rsidDel="00BB22C0" w:rsidRDefault="00625C21" w:rsidP="005C1BF0">
            <w:pPr>
              <w:pStyle w:val="Tabletext0"/>
              <w:spacing w:line="300" w:lineRule="exact"/>
              <w:jc w:val="center"/>
            </w:pPr>
            <w:r w:rsidRPr="009951D3">
              <w:t>5</w:t>
            </w:r>
            <w:r w:rsidRPr="009951D3"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noBreakHyphen/>
            </w:r>
            <w:r w:rsidRPr="009951D3">
              <w:t>1</w:t>
            </w:r>
          </w:p>
        </w:tc>
        <w:tc>
          <w:tcPr>
            <w:tcW w:w="4321" w:type="dxa"/>
          </w:tcPr>
          <w:p w:rsidR="00625C21" w:rsidRPr="0080733F" w:rsidRDefault="00625C21" w:rsidP="005C1BF0">
            <w:pPr>
              <w:spacing w:before="60" w:after="60" w:line="300" w:lineRule="exact"/>
              <w:rPr>
                <w:spacing w:val="-4"/>
                <w:sz w:val="20"/>
                <w:szCs w:val="26"/>
                <w:lang w:bidi="ar-EG"/>
              </w:rPr>
            </w:pPr>
            <w:bookmarkStart w:id="13" w:name="_Toc180535895"/>
            <w:r w:rsidRPr="0080733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استعمال الاتصالات الراديوية في</w:t>
            </w:r>
            <w:r w:rsidRPr="0080733F">
              <w:rPr>
                <w:rFonts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الاستجابة للكوارث والإغاثة</w:t>
            </w:r>
            <w:bookmarkEnd w:id="13"/>
          </w:p>
        </w:tc>
        <w:tc>
          <w:tcPr>
            <w:tcW w:w="4106" w:type="dxa"/>
          </w:tcPr>
          <w:p w:rsidR="00625C21" w:rsidRPr="0080733F" w:rsidRDefault="00625C21" w:rsidP="005C1BF0">
            <w:pPr>
              <w:spacing w:before="60" w:after="60" w:line="300" w:lineRule="exact"/>
              <w:rPr>
                <w:spacing w:val="-6"/>
                <w:sz w:val="20"/>
                <w:szCs w:val="26"/>
                <w:rtl/>
                <w:lang w:bidi="ar-EG"/>
              </w:rPr>
            </w:pPr>
            <w:r w:rsidRPr="0080733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ورشة عمل بشأن "</w:t>
            </w:r>
            <w:r w:rsidRPr="0080733F">
              <w:rPr>
                <w:spacing w:val="-6"/>
                <w:sz w:val="20"/>
                <w:szCs w:val="26"/>
                <w:rtl/>
                <w:lang w:bidi="ar-EG"/>
              </w:rPr>
              <w:t>الإذاعة في حالات الطوارئ</w:t>
            </w:r>
            <w:r w:rsidRPr="0080733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" في</w:t>
            </w:r>
            <w:r w:rsidRPr="0080733F">
              <w:rPr>
                <w:rFonts w:hint="eastAsia"/>
                <w:spacing w:val="-6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spacing w:val="-6"/>
                <w:sz w:val="20"/>
                <w:szCs w:val="26"/>
                <w:lang w:bidi="ar-EG"/>
              </w:rPr>
              <w:t>21</w:t>
            </w:r>
            <w:r w:rsidRPr="0080733F">
              <w:rPr>
                <w:rFonts w:hint="eastAsia"/>
                <w:spacing w:val="-6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نوفمبر</w:t>
            </w:r>
            <w:r w:rsidR="0080733F">
              <w:rPr>
                <w:rFonts w:hint="eastAsia"/>
                <w:spacing w:val="-6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spacing w:val="-6"/>
                <w:sz w:val="20"/>
                <w:szCs w:val="26"/>
                <w:lang w:bidi="ar-EG"/>
              </w:rPr>
              <w:t>2013</w:t>
            </w:r>
            <w:r w:rsidRPr="0080733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. و</w:t>
            </w:r>
            <w:r w:rsidRPr="0080733F">
              <w:rPr>
                <w:spacing w:val="-6"/>
                <w:sz w:val="20"/>
                <w:szCs w:val="26"/>
                <w:rtl/>
                <w:lang w:bidi="ar-EG"/>
              </w:rPr>
              <w:t xml:space="preserve">الموافقة على </w:t>
            </w:r>
            <w:r w:rsidRPr="0080733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ال</w:t>
            </w:r>
            <w:r w:rsidRPr="0080733F">
              <w:rPr>
                <w:spacing w:val="-6"/>
                <w:sz w:val="20"/>
                <w:szCs w:val="26"/>
                <w:rtl/>
                <w:lang w:bidi="ar-EG"/>
              </w:rPr>
              <w:t>تقرير</w:t>
            </w:r>
            <w:r w:rsidRPr="0080733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 </w:t>
            </w:r>
            <w:r w:rsidRPr="0080733F">
              <w:rPr>
                <w:spacing w:val="-6"/>
                <w:sz w:val="20"/>
                <w:szCs w:val="26"/>
                <w:lang w:bidi="ar-EG"/>
              </w:rPr>
              <w:t>ITU</w:t>
            </w:r>
            <w:r w:rsidRPr="0080733F">
              <w:rPr>
                <w:spacing w:val="-6"/>
                <w:sz w:val="20"/>
                <w:szCs w:val="26"/>
                <w:lang w:bidi="ar-EG"/>
              </w:rPr>
              <w:noBreakHyphen/>
              <w:t>R BT.2299</w:t>
            </w: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9951D3" w:rsidDel="00BB22C0" w:rsidRDefault="00625C21" w:rsidP="005C1BF0">
            <w:pPr>
              <w:pStyle w:val="Tabletext0"/>
              <w:spacing w:line="300" w:lineRule="exact"/>
              <w:jc w:val="center"/>
            </w:pPr>
            <w:r w:rsidRPr="009951D3">
              <w:t>55</w:t>
            </w:r>
            <w:r>
              <w:noBreakHyphen/>
            </w:r>
            <w:r w:rsidRPr="009951D3">
              <w:t>1</w:t>
            </w:r>
          </w:p>
        </w:tc>
        <w:tc>
          <w:tcPr>
            <w:tcW w:w="4321" w:type="dxa"/>
          </w:tcPr>
          <w:p w:rsidR="00625C21" w:rsidRPr="0080733F" w:rsidRDefault="00625C21" w:rsidP="005C1BF0">
            <w:pPr>
              <w:spacing w:before="60" w:after="60" w:line="300" w:lineRule="exact"/>
              <w:rPr>
                <w:spacing w:val="-4"/>
                <w:sz w:val="20"/>
                <w:szCs w:val="26"/>
                <w:lang w:bidi="ar-EG"/>
              </w:rPr>
            </w:pPr>
            <w:bookmarkStart w:id="14" w:name="_Toc180535899"/>
            <w:r w:rsidRPr="0080733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دراسات قطاع الاتصالات الراديوية بشأن التنبؤ بالكوارث والكشف</w:t>
            </w:r>
            <w:r w:rsidRPr="0080733F">
              <w:rPr>
                <w:spacing w:val="-4"/>
                <w:sz w:val="20"/>
                <w:szCs w:val="26"/>
                <w:lang w:bidi="ar-EG"/>
              </w:rPr>
              <w:t xml:space="preserve"> </w:t>
            </w:r>
            <w:r w:rsidRPr="0080733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عنها والتخفيف من آثارها والنهوض بأعمال الإغاثة</w:t>
            </w:r>
            <w:bookmarkEnd w:id="14"/>
          </w:p>
        </w:tc>
        <w:tc>
          <w:tcPr>
            <w:tcW w:w="4106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rtl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 xml:space="preserve">الموافقة على تعديلات للتوصية </w:t>
            </w:r>
            <w:r w:rsidRPr="00625C21">
              <w:rPr>
                <w:sz w:val="20"/>
                <w:szCs w:val="26"/>
                <w:lang w:bidi="ar-EG"/>
              </w:rPr>
              <w:t>ITU</w:t>
            </w:r>
            <w:r w:rsidRPr="00625C21">
              <w:rPr>
                <w:sz w:val="20"/>
                <w:szCs w:val="26"/>
                <w:lang w:bidi="ar-EG"/>
              </w:rPr>
              <w:noBreakHyphen/>
              <w:t>R BT.1774</w:t>
            </w:r>
          </w:p>
        </w:tc>
      </w:tr>
      <w:tr w:rsidR="00625C21" w:rsidRPr="00625C21" w:rsidTr="005C1BF0">
        <w:trPr>
          <w:cantSplit/>
        </w:trPr>
        <w:tc>
          <w:tcPr>
            <w:tcW w:w="1206" w:type="dxa"/>
          </w:tcPr>
          <w:p w:rsidR="00625C21" w:rsidRPr="009951D3" w:rsidRDefault="00625C21" w:rsidP="005C1BF0">
            <w:pPr>
              <w:pStyle w:val="Tabletext0"/>
              <w:spacing w:line="300" w:lineRule="exact"/>
              <w:jc w:val="center"/>
            </w:pPr>
            <w:r w:rsidRPr="009951D3">
              <w:t>5</w:t>
            </w:r>
            <w:r w:rsidRPr="009951D3">
              <w:rPr>
                <w:lang w:eastAsia="ja-JP"/>
              </w:rPr>
              <w:t>8</w:t>
            </w:r>
          </w:p>
        </w:tc>
        <w:tc>
          <w:tcPr>
            <w:tcW w:w="4321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625C21">
              <w:rPr>
                <w:sz w:val="20"/>
                <w:szCs w:val="26"/>
                <w:rtl/>
                <w:lang w:bidi="ar-EG"/>
              </w:rPr>
              <w:t xml:space="preserve">دراسات 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بشأن تنفيذ الأنظمة الراديوية الإدراكية واستعمالها</w:t>
            </w:r>
          </w:p>
        </w:tc>
        <w:tc>
          <w:tcPr>
            <w:tcW w:w="4106" w:type="dxa"/>
          </w:tcPr>
          <w:p w:rsidR="00625C21" w:rsidRPr="00625C21" w:rsidRDefault="00625C21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مساهمات في</w:t>
            </w:r>
            <w:r w:rsidRPr="00625C21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التقرير الذي تعده فرقة العمل</w:t>
            </w:r>
            <w:r w:rsidRPr="00625C21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625C21">
              <w:rPr>
                <w:sz w:val="20"/>
                <w:szCs w:val="26"/>
                <w:lang w:bidi="ar-EG"/>
              </w:rPr>
              <w:t>1A</w:t>
            </w:r>
          </w:p>
        </w:tc>
      </w:tr>
      <w:tr w:rsidR="00557FDE" w:rsidRPr="00625C21" w:rsidTr="005C1BF0">
        <w:trPr>
          <w:cantSplit/>
        </w:trPr>
        <w:tc>
          <w:tcPr>
            <w:tcW w:w="1206" w:type="dxa"/>
          </w:tcPr>
          <w:p w:rsidR="00557FDE" w:rsidRPr="00625C21" w:rsidDel="00BB22C0" w:rsidRDefault="00557FDE" w:rsidP="005C1BF0">
            <w:pPr>
              <w:spacing w:before="60" w:after="60" w:line="300" w:lineRule="exact"/>
              <w:jc w:val="center"/>
              <w:rPr>
                <w:sz w:val="20"/>
                <w:szCs w:val="26"/>
                <w:lang w:bidi="ar-EG"/>
              </w:rPr>
            </w:pPr>
            <w:r w:rsidRPr="00625C21">
              <w:rPr>
                <w:sz w:val="20"/>
                <w:szCs w:val="26"/>
                <w:lang w:bidi="ar-EG"/>
              </w:rPr>
              <w:lastRenderedPageBreak/>
              <w:t>59</w:t>
            </w:r>
          </w:p>
        </w:tc>
        <w:tc>
          <w:tcPr>
            <w:tcW w:w="4321" w:type="dxa"/>
          </w:tcPr>
          <w:p w:rsidR="00557FDE" w:rsidRPr="00625C21" w:rsidRDefault="00557FDE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دراسات بشأن توفر نطاقات التردد و/أو مديات التوليف للتنسيق على الصعيد العالمي و/أو</w:t>
            </w:r>
            <w:r w:rsidRPr="00625C21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الإقليمي وشروط استعمالها</w:t>
            </w:r>
            <w:r w:rsidR="00AD1590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لأنظمة التجميع الإلكتروني للأخبار</w:t>
            </w:r>
          </w:p>
        </w:tc>
        <w:tc>
          <w:tcPr>
            <w:tcW w:w="4106" w:type="dxa"/>
          </w:tcPr>
          <w:p w:rsidR="00557FDE" w:rsidRPr="00625C21" w:rsidDel="006B6727" w:rsidRDefault="00557FDE" w:rsidP="005C1BF0">
            <w:pPr>
              <w:spacing w:before="60" w:after="60" w:line="300" w:lineRule="exact"/>
              <w:rPr>
                <w:sz w:val="20"/>
                <w:szCs w:val="26"/>
                <w:rtl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 xml:space="preserve">الموافقة على تعديلات للتقرير </w:t>
            </w:r>
            <w:r w:rsidRPr="00625C21">
              <w:rPr>
                <w:sz w:val="20"/>
                <w:szCs w:val="26"/>
                <w:lang w:bidi="ar-EG"/>
              </w:rPr>
              <w:t>ITU</w:t>
            </w:r>
            <w:r w:rsidRPr="00625C21">
              <w:rPr>
                <w:sz w:val="20"/>
                <w:szCs w:val="26"/>
                <w:lang w:bidi="ar-EG"/>
              </w:rPr>
              <w:noBreakHyphen/>
              <w:t>R BT.2069-5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 xml:space="preserve"> والتوصية </w:t>
            </w:r>
            <w:r w:rsidRPr="00625C21">
              <w:rPr>
                <w:sz w:val="20"/>
                <w:szCs w:val="26"/>
                <w:lang w:bidi="ar-EG"/>
              </w:rPr>
              <w:t>ITU</w:t>
            </w:r>
            <w:r w:rsidRPr="00625C21">
              <w:rPr>
                <w:sz w:val="20"/>
                <w:szCs w:val="26"/>
                <w:lang w:bidi="ar-EG"/>
              </w:rPr>
              <w:noBreakHyphen/>
              <w:t>R BT.1871</w:t>
            </w:r>
          </w:p>
        </w:tc>
      </w:tr>
      <w:tr w:rsidR="00557FDE" w:rsidRPr="00625C21" w:rsidTr="005C1BF0">
        <w:trPr>
          <w:cantSplit/>
        </w:trPr>
        <w:tc>
          <w:tcPr>
            <w:tcW w:w="1206" w:type="dxa"/>
          </w:tcPr>
          <w:p w:rsidR="00557FDE" w:rsidRPr="00625C21" w:rsidRDefault="00557FDE" w:rsidP="005C1BF0">
            <w:pPr>
              <w:spacing w:before="60" w:after="60" w:line="300" w:lineRule="exact"/>
              <w:jc w:val="center"/>
              <w:rPr>
                <w:sz w:val="20"/>
                <w:szCs w:val="26"/>
                <w:lang w:bidi="ar-EG"/>
              </w:rPr>
            </w:pPr>
            <w:r w:rsidRPr="00625C21">
              <w:rPr>
                <w:rFonts w:hint="eastAsia"/>
                <w:sz w:val="20"/>
                <w:szCs w:val="26"/>
                <w:lang w:bidi="ar-EG"/>
              </w:rPr>
              <w:t>60</w:t>
            </w:r>
          </w:p>
        </w:tc>
        <w:tc>
          <w:tcPr>
            <w:tcW w:w="4321" w:type="dxa"/>
          </w:tcPr>
          <w:p w:rsidR="00557FDE" w:rsidRPr="00625C21" w:rsidRDefault="00557FDE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r w:rsidRPr="00625C21">
              <w:rPr>
                <w:sz w:val="20"/>
                <w:szCs w:val="26"/>
                <w:rtl/>
                <w:lang w:bidi="ar-EG"/>
              </w:rPr>
              <w:t xml:space="preserve">خفض استهلاك الطاقة 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من أجل الحماية البيئية والتخفيف من</w:t>
            </w:r>
            <w:r w:rsidRPr="00625C21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آثار تغير المناخ باستعمال تكنولوجيا المعلومات والاتصالات/تكنولوجيات الاتصالات الراديوية وأنظمتها</w:t>
            </w:r>
          </w:p>
        </w:tc>
        <w:tc>
          <w:tcPr>
            <w:tcW w:w="4106" w:type="dxa"/>
          </w:tcPr>
          <w:p w:rsidR="00557FDE" w:rsidRPr="00625C21" w:rsidDel="006B6727" w:rsidRDefault="00557FDE" w:rsidP="005C1BF0">
            <w:pPr>
              <w:spacing w:before="60" w:after="60" w:line="300" w:lineRule="exact"/>
              <w:rPr>
                <w:sz w:val="20"/>
                <w:szCs w:val="26"/>
                <w:rtl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 xml:space="preserve">الموافقة على التقرير </w:t>
            </w:r>
            <w:r w:rsidRPr="00625C21">
              <w:rPr>
                <w:sz w:val="20"/>
                <w:szCs w:val="26"/>
                <w:lang w:bidi="ar-EG"/>
              </w:rPr>
              <w:t>ITU-R BT.2385</w:t>
            </w:r>
          </w:p>
        </w:tc>
      </w:tr>
      <w:tr w:rsidR="00557FDE" w:rsidRPr="00625C21" w:rsidTr="005C1BF0">
        <w:trPr>
          <w:cantSplit/>
        </w:trPr>
        <w:tc>
          <w:tcPr>
            <w:tcW w:w="1206" w:type="dxa"/>
          </w:tcPr>
          <w:p w:rsidR="00557FDE" w:rsidRPr="00625C21" w:rsidRDefault="00557FDE" w:rsidP="005C1BF0">
            <w:pPr>
              <w:spacing w:before="60" w:after="60" w:line="300" w:lineRule="exact"/>
              <w:jc w:val="center"/>
              <w:rPr>
                <w:sz w:val="20"/>
                <w:szCs w:val="26"/>
                <w:lang w:bidi="ar-EG"/>
              </w:rPr>
            </w:pPr>
            <w:r w:rsidRPr="00625C21">
              <w:rPr>
                <w:rFonts w:hint="eastAsia"/>
                <w:sz w:val="20"/>
                <w:szCs w:val="26"/>
                <w:lang w:bidi="ar-EG"/>
              </w:rPr>
              <w:t>62</w:t>
            </w:r>
          </w:p>
        </w:tc>
        <w:tc>
          <w:tcPr>
            <w:tcW w:w="4321" w:type="dxa"/>
          </w:tcPr>
          <w:p w:rsidR="00557FDE" w:rsidRPr="00625C21" w:rsidRDefault="00557FDE" w:rsidP="005C1BF0">
            <w:pPr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الدراسات المتعلقة باختبارات المطابقة مع توصيات قطاع الاتصالات الراديوية وقابلية التشغيل البيني لتجهيزات وأنظمة</w:t>
            </w:r>
            <w:r w:rsidR="005C1BF0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>الاتصالات الراديوية</w:t>
            </w:r>
          </w:p>
        </w:tc>
        <w:tc>
          <w:tcPr>
            <w:tcW w:w="4106" w:type="dxa"/>
          </w:tcPr>
          <w:p w:rsidR="00557FDE" w:rsidRPr="00625C21" w:rsidDel="006B6727" w:rsidRDefault="00557FDE" w:rsidP="005C1BF0">
            <w:pPr>
              <w:spacing w:before="60" w:after="60" w:line="300" w:lineRule="exact"/>
              <w:rPr>
                <w:sz w:val="20"/>
                <w:szCs w:val="26"/>
                <w:rtl/>
                <w:lang w:bidi="ar-EG"/>
              </w:rPr>
            </w:pPr>
            <w:r w:rsidRPr="00625C21">
              <w:rPr>
                <w:rFonts w:hint="cs"/>
                <w:sz w:val="20"/>
                <w:szCs w:val="26"/>
                <w:rtl/>
                <w:lang w:bidi="ar-EG"/>
              </w:rPr>
              <w:t xml:space="preserve">الموافقة على التقرير </w:t>
            </w:r>
            <w:r w:rsidRPr="00625C21">
              <w:rPr>
                <w:sz w:val="20"/>
                <w:szCs w:val="26"/>
                <w:lang w:bidi="ar-EG"/>
              </w:rPr>
              <w:t>ITU-R BT</w:t>
            </w:r>
            <w:r w:rsidR="00AD1590">
              <w:rPr>
                <w:sz w:val="20"/>
                <w:szCs w:val="26"/>
                <w:lang w:bidi="ar-EG"/>
              </w:rPr>
              <w:t>.</w:t>
            </w:r>
            <w:r w:rsidRPr="00625C21">
              <w:rPr>
                <w:sz w:val="20"/>
                <w:szCs w:val="26"/>
                <w:lang w:bidi="ar-EG"/>
              </w:rPr>
              <w:t>2295</w:t>
            </w:r>
          </w:p>
        </w:tc>
      </w:tr>
    </w:tbl>
    <w:p w:rsidR="002C116F" w:rsidRPr="00706D7A" w:rsidRDefault="009369B3" w:rsidP="00A125A7">
      <w:pPr>
        <w:spacing w:before="600"/>
        <w:jc w:val="center"/>
        <w:rPr>
          <w:rtl/>
        </w:rPr>
      </w:pPr>
      <w:r w:rsidRPr="009369B3">
        <w:rPr>
          <w:rFonts w:hint="cs"/>
          <w:rtl/>
          <w:lang w:bidi="ar-EG"/>
        </w:rPr>
        <w:t>___________</w:t>
      </w:r>
    </w:p>
    <w:sectPr w:rsidR="002C116F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9C" w:rsidRDefault="00EF1B9C" w:rsidP="00F9134D">
      <w:pPr>
        <w:spacing w:before="0" w:line="240" w:lineRule="auto"/>
      </w:pPr>
      <w:r>
        <w:separator/>
      </w:r>
    </w:p>
  </w:endnote>
  <w:endnote w:type="continuationSeparator" w:id="0">
    <w:p w:rsidR="00EF1B9C" w:rsidRDefault="00EF1B9C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9C" w:rsidRPr="00F9134D" w:rsidRDefault="00EF1B9C" w:rsidP="00264928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0B60C6">
      <w:rPr>
        <w:noProof/>
        <w:sz w:val="16"/>
        <w:szCs w:val="16"/>
      </w:rPr>
      <w:t>P:\ARA\ITU-R\SG-R\SG06\1000\1004A.docx.docx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264928">
      <w:rPr>
        <w:sz w:val="16"/>
        <w:szCs w:val="16"/>
      </w:rPr>
      <w:t>383154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372D7D">
      <w:rPr>
        <w:noProof/>
        <w:sz w:val="16"/>
        <w:szCs w:val="16"/>
      </w:rPr>
      <w:t>20.10.15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0B60C6">
      <w:rPr>
        <w:noProof/>
        <w:sz w:val="16"/>
        <w:szCs w:val="16"/>
      </w:rPr>
      <w:t>20.10.15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9C" w:rsidRPr="00F9134D" w:rsidRDefault="00EF1B9C" w:rsidP="00264928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0B60C6">
      <w:rPr>
        <w:noProof/>
        <w:sz w:val="16"/>
        <w:szCs w:val="16"/>
      </w:rPr>
      <w:t>P:\ARA\ITU-R\SG-R\SG06\1000\1004A.docx.docx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264928">
      <w:rPr>
        <w:sz w:val="16"/>
        <w:szCs w:val="16"/>
      </w:rPr>
      <w:t>383154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372D7D">
      <w:rPr>
        <w:noProof/>
        <w:sz w:val="16"/>
        <w:szCs w:val="16"/>
      </w:rPr>
      <w:t>20.10.15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0B60C6">
      <w:rPr>
        <w:noProof/>
        <w:sz w:val="16"/>
        <w:szCs w:val="16"/>
      </w:rPr>
      <w:t>20.10.15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9C" w:rsidRDefault="00EF1B9C" w:rsidP="00F9134D">
      <w:pPr>
        <w:spacing w:before="0" w:line="240" w:lineRule="auto"/>
      </w:pPr>
      <w:r>
        <w:separator/>
      </w:r>
    </w:p>
  </w:footnote>
  <w:footnote w:type="continuationSeparator" w:id="0">
    <w:p w:rsidR="00EF1B9C" w:rsidRDefault="00EF1B9C" w:rsidP="00F9134D">
      <w:pPr>
        <w:spacing w:before="0" w:line="240" w:lineRule="auto"/>
      </w:pPr>
      <w:r>
        <w:continuationSeparator/>
      </w:r>
    </w:p>
  </w:footnote>
  <w:footnote w:id="1">
    <w:p w:rsidR="00557FDE" w:rsidRPr="00367199" w:rsidRDefault="00557FDE" w:rsidP="000B60C6">
      <w:pPr>
        <w:pStyle w:val="FootnoteText"/>
        <w:tabs>
          <w:tab w:val="clear" w:pos="794"/>
          <w:tab w:val="left" w:pos="567"/>
        </w:tabs>
      </w:pPr>
      <w:r w:rsidRPr="000B60C6">
        <w:rPr>
          <w:rStyle w:val="FootnoteReference"/>
          <w:rFonts w:asciiTheme="majorBidi" w:hAnsiTheme="majorBidi" w:cstheme="majorBidi"/>
        </w:rPr>
        <w:footnoteRef/>
      </w:r>
      <w:r>
        <w:rPr>
          <w:rtl/>
        </w:rPr>
        <w:tab/>
      </w:r>
      <w:r>
        <w:rPr>
          <w:rFonts w:hint="cs"/>
          <w:rtl/>
        </w:rPr>
        <w:t>ترد معلومات أكثر تفصيلاً في</w:t>
      </w:r>
      <w:r>
        <w:rPr>
          <w:rFonts w:hint="eastAsia"/>
          <w:rtl/>
        </w:rPr>
        <w:t> </w:t>
      </w:r>
      <w:r>
        <w:rPr>
          <w:rFonts w:hint="cs"/>
          <w:rtl/>
        </w:rPr>
        <w:t>تقرير رئيس لجنة الدراسات</w:t>
      </w:r>
      <w:r>
        <w:rPr>
          <w:rFonts w:hint="eastAsia"/>
          <w:rtl/>
        </w:rPr>
        <w:t> </w:t>
      </w:r>
      <w:r>
        <w:t>6</w:t>
      </w:r>
      <w:r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>
        <w:rPr>
          <w:rFonts w:hint="cs"/>
          <w:rtl/>
        </w:rPr>
        <w:t>الوثيقة</w:t>
      </w:r>
      <w:r>
        <w:rPr>
          <w:rFonts w:hint="eastAsia"/>
          <w:rtl/>
        </w:rPr>
        <w:t> </w:t>
      </w:r>
      <w:r>
        <w:t>6/1001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9C" w:rsidRPr="006A644C" w:rsidRDefault="00EF1B9C" w:rsidP="00185BC7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72D7D">
      <w:rPr>
        <w:rFonts w:cs="Times New Roman"/>
        <w:noProof/>
        <w:sz w:val="20"/>
        <w:szCs w:val="20"/>
      </w:rPr>
      <w:t>3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185BC7">
      <w:rPr>
        <w:rFonts w:cs="Times New Roman"/>
        <w:sz w:val="20"/>
        <w:szCs w:val="20"/>
      </w:rPr>
      <w:t>6</w:t>
    </w:r>
    <w:r>
      <w:rPr>
        <w:rFonts w:cs="Times New Roman"/>
        <w:sz w:val="20"/>
        <w:szCs w:val="20"/>
      </w:rPr>
      <w:t>/100</w:t>
    </w:r>
    <w:r w:rsidR="00185BC7">
      <w:rPr>
        <w:rFonts w:cs="Times New Roman"/>
        <w:sz w:val="20"/>
        <w:szCs w:val="20"/>
      </w:rPr>
      <w:t>4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E5"/>
    <w:rsid w:val="000163D8"/>
    <w:rsid w:val="00090574"/>
    <w:rsid w:val="000A7B06"/>
    <w:rsid w:val="000B60C6"/>
    <w:rsid w:val="00117B0E"/>
    <w:rsid w:val="00126CFA"/>
    <w:rsid w:val="00160530"/>
    <w:rsid w:val="001667EA"/>
    <w:rsid w:val="00173915"/>
    <w:rsid w:val="00185BC7"/>
    <w:rsid w:val="001952E0"/>
    <w:rsid w:val="001D17A2"/>
    <w:rsid w:val="001E0561"/>
    <w:rsid w:val="001E31D8"/>
    <w:rsid w:val="00205855"/>
    <w:rsid w:val="0021563A"/>
    <w:rsid w:val="0023283D"/>
    <w:rsid w:val="00264928"/>
    <w:rsid w:val="002978F4"/>
    <w:rsid w:val="002B028D"/>
    <w:rsid w:val="002C116F"/>
    <w:rsid w:val="002E625E"/>
    <w:rsid w:val="002E6541"/>
    <w:rsid w:val="003157D9"/>
    <w:rsid w:val="003243B6"/>
    <w:rsid w:val="00350C5F"/>
    <w:rsid w:val="00357185"/>
    <w:rsid w:val="00372D7D"/>
    <w:rsid w:val="003D59FF"/>
    <w:rsid w:val="003F678F"/>
    <w:rsid w:val="0042686F"/>
    <w:rsid w:val="00443869"/>
    <w:rsid w:val="00454893"/>
    <w:rsid w:val="004B0D5D"/>
    <w:rsid w:val="004D1A9A"/>
    <w:rsid w:val="004E7162"/>
    <w:rsid w:val="00501E0E"/>
    <w:rsid w:val="00522142"/>
    <w:rsid w:val="0052400A"/>
    <w:rsid w:val="0055516A"/>
    <w:rsid w:val="00557374"/>
    <w:rsid w:val="00557FDE"/>
    <w:rsid w:val="00563397"/>
    <w:rsid w:val="005B53AC"/>
    <w:rsid w:val="005C1BF0"/>
    <w:rsid w:val="0060468A"/>
    <w:rsid w:val="00625C21"/>
    <w:rsid w:val="006A644C"/>
    <w:rsid w:val="006B7027"/>
    <w:rsid w:val="006C51D4"/>
    <w:rsid w:val="006F2980"/>
    <w:rsid w:val="006F63F7"/>
    <w:rsid w:val="006F7236"/>
    <w:rsid w:val="00706D7A"/>
    <w:rsid w:val="007E24ED"/>
    <w:rsid w:val="007F2E7C"/>
    <w:rsid w:val="00803F08"/>
    <w:rsid w:val="0080733F"/>
    <w:rsid w:val="008235CD"/>
    <w:rsid w:val="00833441"/>
    <w:rsid w:val="00850B5D"/>
    <w:rsid w:val="008513CB"/>
    <w:rsid w:val="008802A1"/>
    <w:rsid w:val="00880C5F"/>
    <w:rsid w:val="008A261F"/>
    <w:rsid w:val="009369B3"/>
    <w:rsid w:val="00951C29"/>
    <w:rsid w:val="00982B28"/>
    <w:rsid w:val="009B581E"/>
    <w:rsid w:val="009F4C2B"/>
    <w:rsid w:val="00A03D76"/>
    <w:rsid w:val="00A125A7"/>
    <w:rsid w:val="00A8197E"/>
    <w:rsid w:val="00A97F94"/>
    <w:rsid w:val="00AD1590"/>
    <w:rsid w:val="00AF2F7A"/>
    <w:rsid w:val="00B23259"/>
    <w:rsid w:val="00B507B5"/>
    <w:rsid w:val="00B60766"/>
    <w:rsid w:val="00B619E5"/>
    <w:rsid w:val="00B623F2"/>
    <w:rsid w:val="00B843AF"/>
    <w:rsid w:val="00BF2C38"/>
    <w:rsid w:val="00C27FAC"/>
    <w:rsid w:val="00C51DAD"/>
    <w:rsid w:val="00C674FE"/>
    <w:rsid w:val="00C75633"/>
    <w:rsid w:val="00CA6885"/>
    <w:rsid w:val="00CE2EE1"/>
    <w:rsid w:val="00CE6C07"/>
    <w:rsid w:val="00CF3FFD"/>
    <w:rsid w:val="00D01BDF"/>
    <w:rsid w:val="00D77D0F"/>
    <w:rsid w:val="00DA1CF0"/>
    <w:rsid w:val="00DC24B4"/>
    <w:rsid w:val="00DC4055"/>
    <w:rsid w:val="00DE6ACE"/>
    <w:rsid w:val="00DE7D8E"/>
    <w:rsid w:val="00DF16DC"/>
    <w:rsid w:val="00E17033"/>
    <w:rsid w:val="00E302F9"/>
    <w:rsid w:val="00E45211"/>
    <w:rsid w:val="00EE6F24"/>
    <w:rsid w:val="00EF1B9C"/>
    <w:rsid w:val="00F36381"/>
    <w:rsid w:val="00F401D0"/>
    <w:rsid w:val="00F7020A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chartTrackingRefBased/>
  <w15:docId w15:val="{F09B6082-3E06-479C-A3D0-AC696A81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E31D8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57374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Referencefortitle">
    <w:name w:val="Reference for title"/>
    <w:basedOn w:val="Normal"/>
    <w:qFormat/>
    <w:rsid w:val="009369B3"/>
    <w:pPr>
      <w:keepNext/>
      <w:spacing w:after="360"/>
    </w:pPr>
    <w:rPr>
      <w:lang w:bidi="ar-SY"/>
    </w:rPr>
  </w:style>
  <w:style w:type="paragraph" w:customStyle="1" w:styleId="Referencefortexte">
    <w:name w:val="Reference for texte"/>
    <w:basedOn w:val="Normal"/>
    <w:qFormat/>
    <w:rsid w:val="009369B3"/>
  </w:style>
  <w:style w:type="paragraph" w:customStyle="1" w:styleId="TableText">
    <w:name w:val="Table_Text"/>
    <w:basedOn w:val="Normal"/>
    <w:rsid w:val="009369B3"/>
    <w:pPr>
      <w:keepNext/>
      <w:widowControl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100" w:line="-190" w:lineRule="auto"/>
      <w:textAlignment w:val="baseline"/>
    </w:pPr>
    <w:rPr>
      <w:rFonts w:eastAsia="NSimSun"/>
      <w:sz w:val="18"/>
      <w:szCs w:val="21"/>
      <w:lang w:val="en-GB" w:eastAsia="en-US"/>
    </w:rPr>
  </w:style>
  <w:style w:type="character" w:styleId="Hyperlink">
    <w:name w:val="Hyperlink"/>
    <w:basedOn w:val="DefaultParagraphFont"/>
    <w:unhideWhenUsed/>
    <w:rsid w:val="009369B3"/>
    <w:rPr>
      <w:color w:val="0000FA"/>
      <w:u w:val="single"/>
    </w:rPr>
  </w:style>
  <w:style w:type="paragraph" w:customStyle="1" w:styleId="Tabletext0">
    <w:name w:val="Table_text"/>
    <w:basedOn w:val="Normal"/>
    <w:link w:val="TabletextChar"/>
    <w:rsid w:val="001E31D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ablehead0">
    <w:name w:val="Table_head"/>
    <w:basedOn w:val="Tabletext0"/>
    <w:next w:val="Tabletext0"/>
    <w:rsid w:val="009369B3"/>
    <w:pPr>
      <w:keepNext/>
      <w:spacing w:before="80" w:after="80"/>
      <w:jc w:val="center"/>
    </w:pPr>
    <w:rPr>
      <w:rFonts w:ascii="Times New Roman Bold" w:hAnsi="Times New Roman Bold"/>
      <w:b/>
    </w:rPr>
  </w:style>
  <w:style w:type="table" w:styleId="TableGrid">
    <w:name w:val="Table Grid"/>
    <w:basedOn w:val="TableNormal"/>
    <w:rsid w:val="009369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369B3"/>
  </w:style>
  <w:style w:type="paragraph" w:customStyle="1" w:styleId="Blanc">
    <w:name w:val="Blanc"/>
    <w:basedOn w:val="Normal"/>
    <w:next w:val="TableText"/>
    <w:rsid w:val="009369B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z w:val="16"/>
      <w:szCs w:val="19"/>
      <w:lang w:val="en-GB" w:eastAsia="en-US"/>
    </w:rPr>
  </w:style>
  <w:style w:type="paragraph" w:customStyle="1" w:styleId="TableLegend0">
    <w:name w:val="Table_Legend"/>
    <w:basedOn w:val="Normal"/>
    <w:next w:val="Normal"/>
    <w:rsid w:val="009369B3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6" w:line="199" w:lineRule="exact"/>
      <w:ind w:left="-85" w:right="-85"/>
      <w:textAlignment w:val="baseline"/>
    </w:pPr>
    <w:rPr>
      <w:rFonts w:eastAsia="Times New Roman" w:cs="Times New Roman"/>
      <w:sz w:val="18"/>
      <w:szCs w:val="18"/>
      <w:lang w:val="en-GB" w:eastAsia="en-US"/>
    </w:rPr>
  </w:style>
  <w:style w:type="paragraph" w:customStyle="1" w:styleId="Equation">
    <w:name w:val="Equation"/>
    <w:basedOn w:val="Normal"/>
    <w:rsid w:val="009369B3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49"/>
        <w:tab w:val="right" w:pos="9696"/>
      </w:tabs>
      <w:overflowPunct w:val="0"/>
      <w:autoSpaceDE w:val="0"/>
      <w:autoSpaceDN w:val="0"/>
      <w:bidi w:val="0"/>
      <w:adjustRightInd w:val="0"/>
      <w:spacing w:before="140" w:after="4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2">
    <w:name w:val="وسطي2"/>
    <w:basedOn w:val="Normal"/>
    <w:rsid w:val="009369B3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22"/>
        <w:tab w:val="left" w:pos="1106"/>
        <w:tab w:val="left" w:pos="1701"/>
      </w:tabs>
      <w:overflowPunct w:val="0"/>
      <w:autoSpaceDE w:val="0"/>
      <w:autoSpaceDN w:val="0"/>
      <w:adjustRightInd w:val="0"/>
      <w:spacing w:before="0" w:after="60" w:line="300" w:lineRule="exact"/>
      <w:jc w:val="center"/>
      <w:textAlignment w:val="baseline"/>
    </w:pPr>
    <w:rPr>
      <w:rFonts w:eastAsia="Times New Roman" w:cs="Times New Roman"/>
      <w:b/>
      <w:bCs/>
      <w:sz w:val="24"/>
      <w:szCs w:val="32"/>
      <w:lang w:eastAsia="en-US"/>
    </w:rPr>
  </w:style>
  <w:style w:type="paragraph" w:customStyle="1" w:styleId="tabtext">
    <w:name w:val="tabtext"/>
    <w:basedOn w:val="Normal"/>
    <w:rsid w:val="009369B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247"/>
        <w:tab w:val="left" w:pos="1701"/>
        <w:tab w:val="left" w:pos="2211"/>
      </w:tabs>
      <w:overflowPunct w:val="0"/>
      <w:autoSpaceDE w:val="0"/>
      <w:autoSpaceDN w:val="0"/>
      <w:adjustRightInd w:val="0"/>
      <w:spacing w:before="0" w:line="216" w:lineRule="auto"/>
      <w:textAlignment w:val="baseline"/>
    </w:pPr>
    <w:rPr>
      <w:rFonts w:eastAsia="Times New Roman" w:cs="Times New Roman"/>
      <w:sz w:val="18"/>
      <w:szCs w:val="24"/>
      <w:lang w:eastAsia="en-US"/>
    </w:rPr>
  </w:style>
  <w:style w:type="paragraph" w:customStyle="1" w:styleId="figure">
    <w:name w:val="figure"/>
    <w:basedOn w:val="Normal"/>
    <w:next w:val="Normal"/>
    <w:rsid w:val="009369B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247"/>
        <w:tab w:val="left" w:pos="1701"/>
        <w:tab w:val="left" w:pos="2211"/>
      </w:tabs>
      <w:overflowPunct w:val="0"/>
      <w:autoSpaceDE w:val="0"/>
      <w:autoSpaceDN w:val="0"/>
      <w:adjustRightInd w:val="0"/>
      <w:spacing w:before="0" w:after="60" w:line="216" w:lineRule="auto"/>
      <w:jc w:val="center"/>
      <w:textAlignment w:val="baseline"/>
    </w:pPr>
    <w:rPr>
      <w:rFonts w:eastAsia="Times New Roman" w:cs="Times New Roman"/>
      <w:b/>
      <w:bCs/>
      <w:sz w:val="20"/>
      <w:szCs w:val="26"/>
      <w:lang w:eastAsia="en-US"/>
    </w:rPr>
  </w:style>
  <w:style w:type="paragraph" w:customStyle="1" w:styleId="Equationlegend">
    <w:name w:val="Equation_legend"/>
    <w:basedOn w:val="NormalIndent"/>
    <w:rsid w:val="009369B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 w:line="240" w:lineRule="auto"/>
      <w:ind w:left="2041" w:hanging="2041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9369B3"/>
    <w:pPr>
      <w:ind w:left="720"/>
    </w:pPr>
  </w:style>
  <w:style w:type="character" w:customStyle="1" w:styleId="TabletextChar">
    <w:name w:val="Table_text Char"/>
    <w:basedOn w:val="DefaultParagraphFont"/>
    <w:link w:val="Tabletext0"/>
    <w:locked/>
    <w:rsid w:val="00625C21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55D3-441F-428E-A5C4-80F414C0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17</TotalTime>
  <Pages>3</Pages>
  <Words>530</Words>
  <Characters>2683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Awad, Samy</cp:lastModifiedBy>
  <cp:revision>16</cp:revision>
  <cp:lastPrinted>2015-10-20T16:53:00Z</cp:lastPrinted>
  <dcterms:created xsi:type="dcterms:W3CDTF">2015-10-20T16:39:00Z</dcterms:created>
  <dcterms:modified xsi:type="dcterms:W3CDTF">2015-10-20T17:49:00Z</dcterms:modified>
</cp:coreProperties>
</file>