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F2348E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F2348E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C8375EC" wp14:editId="4A4FAC4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F2348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F2348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F2348E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F2348E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77D12" w:rsidRDefault="00943EBD" w:rsidP="00F2348E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877D12" w:rsidRDefault="00943EBD" w:rsidP="00EA2AE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EA2AE5">
              <w:rPr>
                <w:rFonts w:ascii="Verdana" w:hAnsi="Verdana"/>
                <w:b/>
                <w:sz w:val="20"/>
              </w:rPr>
              <w:t>6</w:t>
            </w:r>
            <w:r w:rsidR="00324FA8">
              <w:rPr>
                <w:rFonts w:ascii="Verdana" w:hAnsi="Verdana"/>
                <w:b/>
                <w:sz w:val="20"/>
              </w:rPr>
              <w:t>/100</w:t>
            </w:r>
            <w:r w:rsidR="00EA2AE5">
              <w:rPr>
                <w:rFonts w:ascii="Verdana" w:hAnsi="Verdana"/>
                <w:b/>
                <w:sz w:val="20"/>
              </w:rPr>
              <w:t>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F2348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1A181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EA2AE5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1A1813">
              <w:rPr>
                <w:rFonts w:ascii="Verdana" w:hAnsi="Verdana"/>
                <w:b/>
                <w:sz w:val="20"/>
                <w:lang w:eastAsia="zh-CN"/>
              </w:rPr>
              <w:t>14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F2348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943EBD" w:rsidP="00F2348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55698E" w:rsidP="00EA2AE5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AF5DFC">
              <w:rPr>
                <w:rFonts w:hint="eastAsia"/>
                <w:lang w:eastAsia="zh-CN"/>
              </w:rPr>
              <w:t>无线电通信第</w:t>
            </w:r>
            <w:r w:rsidR="00EA2AE5">
              <w:rPr>
                <w:lang w:eastAsia="zh-CN"/>
              </w:rPr>
              <w:t>6</w:t>
            </w:r>
            <w:r w:rsidRPr="00AF5DFC">
              <w:rPr>
                <w:rFonts w:hint="eastAsia"/>
                <w:lang w:eastAsia="zh-CN"/>
              </w:rPr>
              <w:t>研究组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EA2AE5" w:rsidP="00F2348E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EA2AE5">
              <w:rPr>
                <w:rFonts w:hint="eastAsia"/>
                <w:lang w:eastAsia="zh-CN"/>
              </w:rPr>
              <w:t>与第</w:t>
            </w:r>
            <w:r w:rsidRPr="00EA2AE5">
              <w:rPr>
                <w:rFonts w:hint="eastAsia"/>
                <w:lang w:eastAsia="zh-CN"/>
              </w:rPr>
              <w:t>6</w:t>
            </w:r>
            <w:r w:rsidRPr="00EA2AE5">
              <w:rPr>
                <w:rFonts w:hint="eastAsia"/>
                <w:lang w:eastAsia="zh-CN"/>
              </w:rPr>
              <w:t>研究组特别相关的决议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2348E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2348E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EA2AE5" w:rsidRPr="001A1813" w:rsidRDefault="00623C36" w:rsidP="001A1813">
      <w:pPr>
        <w:ind w:firstLineChars="200" w:firstLine="480"/>
        <w:rPr>
          <w:lang w:eastAsia="zh-CN"/>
        </w:rPr>
      </w:pPr>
      <w:r w:rsidRPr="001A1813">
        <w:rPr>
          <w:rFonts w:hint="eastAsia"/>
          <w:lang w:eastAsia="zh-CN"/>
        </w:rPr>
        <w:t>没有与第</w:t>
      </w:r>
      <w:r w:rsidRPr="001A1813">
        <w:rPr>
          <w:lang w:eastAsia="zh-CN"/>
        </w:rPr>
        <w:t>6</w:t>
      </w:r>
      <w:r w:rsidRPr="001A1813">
        <w:rPr>
          <w:rFonts w:hint="eastAsia"/>
          <w:lang w:eastAsia="zh-CN"/>
        </w:rPr>
        <w:t>研究组特别相关的决议。</w:t>
      </w:r>
    </w:p>
    <w:p w:rsidR="00623C36" w:rsidRPr="001A1813" w:rsidRDefault="00623C36" w:rsidP="001A1813">
      <w:pPr>
        <w:ind w:firstLineChars="200" w:firstLine="480"/>
        <w:rPr>
          <w:lang w:eastAsia="zh-CN"/>
        </w:rPr>
      </w:pPr>
      <w:r w:rsidRPr="001A1813">
        <w:rPr>
          <w:rFonts w:hint="eastAsia"/>
          <w:lang w:eastAsia="zh-CN"/>
        </w:rPr>
        <w:t>第</w:t>
      </w:r>
      <w:r w:rsidRPr="001A1813">
        <w:rPr>
          <w:lang w:eastAsia="zh-CN"/>
        </w:rPr>
        <w:t>6</w:t>
      </w:r>
      <w:r w:rsidRPr="001A1813">
        <w:rPr>
          <w:rFonts w:hint="eastAsia"/>
          <w:lang w:eastAsia="zh-CN"/>
        </w:rPr>
        <w:t>研究组在附件中提供了与若干</w:t>
      </w:r>
      <w:r w:rsidRPr="001A1813">
        <w:rPr>
          <w:lang w:eastAsia="zh-CN"/>
        </w:rPr>
        <w:t>ITU-R</w:t>
      </w:r>
      <w:r w:rsidRPr="001A1813">
        <w:rPr>
          <w:rFonts w:hint="eastAsia"/>
          <w:lang w:eastAsia="zh-CN"/>
        </w:rPr>
        <w:t>决议相关的一些意见，仅供参考。</w:t>
      </w:r>
    </w:p>
    <w:p w:rsidR="00623C36" w:rsidRDefault="00623C36" w:rsidP="00623C36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63"/>
        <w:gridCol w:w="1972"/>
        <w:gridCol w:w="1932"/>
      </w:tblGrid>
      <w:tr w:rsidR="00623C36" w:rsidTr="00623C36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36" w:rsidRDefault="00623C36" w:rsidP="00623C36">
            <w:pPr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</w:r>
            <w:r>
              <w:rPr>
                <w:rFonts w:hint="eastAsia"/>
                <w:lang w:eastAsia="zh-CN"/>
              </w:rPr>
              <w:t>保留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36" w:rsidRDefault="00623C36">
            <w:pPr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</w:r>
            <w:r>
              <w:rPr>
                <w:rFonts w:hint="eastAsia"/>
                <w:lang w:eastAsia="zh-CN"/>
              </w:rPr>
              <w:t>已修订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36" w:rsidRDefault="00623C36">
            <w:pPr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SUP</w:t>
            </w:r>
            <w:r>
              <w:t xml:space="preserve"> = </w:t>
            </w:r>
            <w:r>
              <w:br/>
            </w:r>
            <w:r>
              <w:rPr>
                <w:rFonts w:hint="eastAsia"/>
                <w:lang w:eastAsia="zh-CN"/>
              </w:rPr>
              <w:t>已删除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36" w:rsidRDefault="00623C36">
            <w:pPr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ADD</w:t>
            </w:r>
            <w:r>
              <w:t xml:space="preserve"> = </w:t>
            </w:r>
            <w:r>
              <w:br/>
            </w:r>
            <w:r>
              <w:rPr>
                <w:rFonts w:hint="eastAsia"/>
                <w:lang w:eastAsia="zh-CN"/>
              </w:rPr>
              <w:t>新案文</w:t>
            </w:r>
          </w:p>
        </w:tc>
      </w:tr>
    </w:tbl>
    <w:p w:rsidR="00623C36" w:rsidRDefault="00623C36" w:rsidP="001A1813">
      <w:pPr>
        <w:spacing w:before="2400"/>
        <w:rPr>
          <w:lang w:eastAsia="zh-CN"/>
        </w:rPr>
      </w:pPr>
    </w:p>
    <w:p w:rsidR="00623C36" w:rsidRDefault="00623C36" w:rsidP="00623C36">
      <w:pPr>
        <w:rPr>
          <w:lang w:eastAsia="zh-CN"/>
        </w:rPr>
      </w:pPr>
      <w:r w:rsidRPr="00623C36">
        <w:rPr>
          <w:rFonts w:hint="eastAsia"/>
          <w:b/>
          <w:bCs/>
          <w:lang w:eastAsia="zh-CN"/>
        </w:rPr>
        <w:t>附件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623C36" w:rsidRDefault="00623C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23C36" w:rsidRPr="00623C36" w:rsidRDefault="00623C36" w:rsidP="00623C36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4321"/>
        <w:gridCol w:w="2830"/>
      </w:tblGrid>
      <w:tr w:rsidR="001A1813" w:rsidRPr="005B7E46" w:rsidTr="008C5420">
        <w:trPr>
          <w:cantSplit/>
          <w:tblHeader/>
          <w:jc w:val="center"/>
        </w:trPr>
        <w:tc>
          <w:tcPr>
            <w:tcW w:w="1267" w:type="dxa"/>
            <w:vAlign w:val="center"/>
          </w:tcPr>
          <w:p w:rsidR="001A1813" w:rsidRPr="005B7E46" w:rsidRDefault="001A1813" w:rsidP="001A1813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ITU-R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决议编号</w:t>
            </w:r>
          </w:p>
        </w:tc>
        <w:tc>
          <w:tcPr>
            <w:tcW w:w="4321" w:type="dxa"/>
            <w:vAlign w:val="center"/>
          </w:tcPr>
          <w:p w:rsidR="001A1813" w:rsidRPr="005B7E46" w:rsidRDefault="001A1813" w:rsidP="008C5420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  <w:tc>
          <w:tcPr>
            <w:tcW w:w="2830" w:type="dxa"/>
            <w:vAlign w:val="center"/>
          </w:tcPr>
          <w:p w:rsidR="001A1813" w:rsidRPr="005B7E46" w:rsidRDefault="001A1813" w:rsidP="008C5420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  <w:r>
              <w:rPr>
                <w:rStyle w:val="FootnoteReference"/>
              </w:rPr>
              <w:footnoteReference w:id="1"/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  <w:vAlign w:val="center"/>
          </w:tcPr>
          <w:p w:rsidR="001A1813" w:rsidRPr="004F667F" w:rsidRDefault="001A1813" w:rsidP="001A1813">
            <w:pPr>
              <w:pStyle w:val="Tabletext"/>
              <w:spacing w:before="120"/>
              <w:jc w:val="center"/>
              <w:rPr>
                <w:b/>
                <w:lang w:eastAsia="zh-CN"/>
              </w:rPr>
            </w:pPr>
            <w:r w:rsidRPr="004F667F">
              <w:rPr>
                <w:lang w:eastAsia="zh-CN"/>
              </w:rPr>
              <w:t>1-6</w:t>
            </w:r>
          </w:p>
        </w:tc>
        <w:tc>
          <w:tcPr>
            <w:tcW w:w="4321" w:type="dxa"/>
            <w:vAlign w:val="center"/>
          </w:tcPr>
          <w:p w:rsidR="001A1813" w:rsidRPr="00EA2AE5" w:rsidRDefault="001A1813" w:rsidP="001A1813">
            <w:pPr>
              <w:pStyle w:val="Tabletext"/>
              <w:spacing w:before="120"/>
              <w:rPr>
                <w:rFonts w:cs="Segoe UI"/>
                <w:color w:val="000000"/>
                <w:lang w:eastAsia="zh-CN"/>
              </w:rPr>
            </w:pPr>
            <w:r w:rsidRPr="00EA2AE5">
              <w:rPr>
                <w:rFonts w:cs="Segoe UI" w:hint="eastAsia"/>
                <w:color w:val="000000"/>
                <w:lang w:eastAsia="zh-CN"/>
              </w:rPr>
              <w:t>无线电通信全会、无线电通信研究组及无线电通信顾问组的工作方法</w:t>
            </w:r>
          </w:p>
        </w:tc>
        <w:tc>
          <w:tcPr>
            <w:tcW w:w="2830" w:type="dxa"/>
          </w:tcPr>
          <w:p w:rsidR="001A1813" w:rsidRPr="005376FC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针对决议修订提交的</w:t>
            </w:r>
            <w:r>
              <w:rPr>
                <w:rFonts w:cs="Segoe UI"/>
                <w:color w:val="262626"/>
                <w:lang w:eastAsia="zh-CN"/>
              </w:rPr>
              <w:t>RAG</w:t>
            </w:r>
            <w:r>
              <w:rPr>
                <w:rFonts w:hint="eastAsia"/>
                <w:lang w:eastAsia="zh-CN"/>
              </w:rPr>
              <w:t>工作提案。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  <w:vAlign w:val="center"/>
          </w:tcPr>
          <w:p w:rsidR="001A1813" w:rsidRPr="0047064E" w:rsidRDefault="001A1813" w:rsidP="001A1813">
            <w:pPr>
              <w:pStyle w:val="Tabletext"/>
              <w:spacing w:before="120"/>
              <w:jc w:val="center"/>
              <w:rPr>
                <w:b/>
                <w:lang w:eastAsia="zh-CN"/>
              </w:rPr>
            </w:pPr>
            <w:r>
              <w:rPr>
                <w:lang w:eastAsia="zh-CN"/>
              </w:rPr>
              <w:t>4-6</w:t>
            </w:r>
          </w:p>
        </w:tc>
        <w:tc>
          <w:tcPr>
            <w:tcW w:w="4321" w:type="dxa"/>
            <w:vAlign w:val="center"/>
          </w:tcPr>
          <w:p w:rsidR="001A1813" w:rsidRPr="0047064E" w:rsidRDefault="001A1813" w:rsidP="001A1813">
            <w:pPr>
              <w:pStyle w:val="Tabletext"/>
              <w:spacing w:before="120"/>
              <w:rPr>
                <w:rFonts w:cs="Segoe UI"/>
                <w:b/>
                <w:color w:val="000000"/>
                <w:lang w:eastAsia="zh-CN"/>
              </w:rPr>
            </w:pPr>
            <w:r w:rsidRPr="00EA2AE5">
              <w:rPr>
                <w:rFonts w:cs="Segoe UI" w:hint="eastAsia"/>
                <w:color w:val="000000"/>
                <w:lang w:eastAsia="zh-CN"/>
              </w:rPr>
              <w:t>无线电通信研究组的结构</w:t>
            </w:r>
          </w:p>
        </w:tc>
        <w:tc>
          <w:tcPr>
            <w:tcW w:w="2830" w:type="dxa"/>
          </w:tcPr>
          <w:p w:rsidR="001A1813" w:rsidRPr="005376FC" w:rsidRDefault="001A1813" w:rsidP="001A1813">
            <w:pPr>
              <w:pStyle w:val="Tabletext"/>
              <w:spacing w:before="120"/>
              <w:rPr>
                <w:lang w:eastAsia="zh-CN"/>
              </w:rPr>
            </w:pP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  <w:vAlign w:val="center"/>
          </w:tcPr>
          <w:p w:rsidR="001A1813" w:rsidRDefault="001A1813" w:rsidP="001A1813">
            <w:pPr>
              <w:pStyle w:val="Tabletext"/>
              <w:spacing w:before="120"/>
              <w:jc w:val="center"/>
              <w:rPr>
                <w:b/>
                <w:lang w:eastAsia="zh-CN"/>
              </w:rPr>
            </w:pPr>
            <w:r>
              <w:rPr>
                <w:lang w:eastAsia="zh-CN"/>
              </w:rPr>
              <w:t>5-6</w:t>
            </w:r>
          </w:p>
        </w:tc>
        <w:tc>
          <w:tcPr>
            <w:tcW w:w="4321" w:type="dxa"/>
            <w:vAlign w:val="center"/>
          </w:tcPr>
          <w:p w:rsidR="001A1813" w:rsidRPr="0047064E" w:rsidRDefault="001A1813" w:rsidP="001A1813">
            <w:pPr>
              <w:pStyle w:val="Tabletext"/>
              <w:spacing w:before="120"/>
              <w:rPr>
                <w:rFonts w:cs="Segoe UI"/>
                <w:b/>
                <w:color w:val="000000"/>
                <w:lang w:eastAsia="zh-CN"/>
              </w:rPr>
            </w:pPr>
            <w:r w:rsidRPr="00426823">
              <w:rPr>
                <w:rFonts w:cs="Segoe UI" w:hint="eastAsia"/>
                <w:color w:val="000000"/>
                <w:lang w:eastAsia="zh-CN"/>
              </w:rPr>
              <w:t>无线电通信研究组的工作计划和课题</w:t>
            </w:r>
          </w:p>
        </w:tc>
        <w:tc>
          <w:tcPr>
            <w:tcW w:w="2830" w:type="dxa"/>
          </w:tcPr>
          <w:p w:rsidR="001A1813" w:rsidRPr="005376FC" w:rsidRDefault="001A1813" w:rsidP="001A1813">
            <w:pPr>
              <w:pStyle w:val="Tabletext"/>
              <w:spacing w:before="120"/>
              <w:rPr>
                <w:lang w:eastAsia="zh-CN"/>
              </w:rPr>
            </w:pP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283CAD" w:rsidRDefault="001A1813" w:rsidP="001A1813">
            <w:pPr>
              <w:pStyle w:val="Tabletext"/>
              <w:spacing w:before="120"/>
              <w:jc w:val="center"/>
              <w:rPr>
                <w:lang w:eastAsia="zh-CN"/>
              </w:rPr>
            </w:pPr>
            <w:r w:rsidRPr="00283CAD">
              <w:rPr>
                <w:lang w:eastAsia="zh-CN"/>
              </w:rPr>
              <w:t>6</w:t>
            </w:r>
            <w:r w:rsidRPr="00283CAD">
              <w:rPr>
                <w:rFonts w:hint="eastAsia"/>
                <w:lang w:eastAsia="zh-CN"/>
              </w:rPr>
              <w:t>-1</w:t>
            </w:r>
          </w:p>
        </w:tc>
        <w:tc>
          <w:tcPr>
            <w:tcW w:w="4321" w:type="dxa"/>
          </w:tcPr>
          <w:p w:rsidR="001A1813" w:rsidRPr="00283CAD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 w:rsidRPr="00426823">
              <w:rPr>
                <w:rFonts w:hint="eastAsia"/>
                <w:lang w:eastAsia="zh-CN"/>
              </w:rPr>
              <w:t>与国际电联电信标准化部门的联络和合作</w:t>
            </w:r>
          </w:p>
        </w:tc>
        <w:tc>
          <w:tcPr>
            <w:tcW w:w="2830" w:type="dxa"/>
          </w:tcPr>
          <w:p w:rsidR="001A1813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参加创建三个跨部门报告人组及其工作</w:t>
            </w:r>
            <w:r>
              <w:rPr>
                <w:lang w:eastAsia="zh-CN"/>
              </w:rPr>
              <w:t>–</w:t>
            </w:r>
            <w:r w:rsidRPr="00EF5390">
              <w:rPr>
                <w:rFonts w:hint="eastAsia"/>
                <w:lang w:eastAsia="zh-CN"/>
              </w:rPr>
              <w:t>音像媒体无障碍获取跨部门报告人组</w:t>
            </w:r>
            <w:r>
              <w:rPr>
                <w:rFonts w:hint="eastAsia"/>
                <w:lang w:eastAsia="zh-CN"/>
              </w:rPr>
              <w:t>（</w:t>
            </w:r>
            <w:r w:rsidRPr="00EF5390">
              <w:rPr>
                <w:rFonts w:hint="eastAsia"/>
                <w:lang w:eastAsia="zh-CN"/>
              </w:rPr>
              <w:t>IRG-AVA</w:t>
            </w:r>
            <w:r>
              <w:rPr>
                <w:rFonts w:hint="eastAsia"/>
                <w:lang w:eastAsia="zh-CN"/>
              </w:rPr>
              <w:t>）、</w:t>
            </w:r>
            <w:r w:rsidRPr="00EF5390">
              <w:rPr>
                <w:rFonts w:hint="eastAsia"/>
                <w:lang w:eastAsia="zh-CN"/>
              </w:rPr>
              <w:t>音像质量评估跨部门报告人组</w:t>
            </w:r>
            <w:r>
              <w:rPr>
                <w:rFonts w:hint="eastAsia"/>
                <w:lang w:eastAsia="zh-CN"/>
              </w:rPr>
              <w:t>（</w:t>
            </w:r>
            <w:r w:rsidRPr="00EF5390">
              <w:rPr>
                <w:rFonts w:hint="eastAsia"/>
                <w:lang w:eastAsia="zh-CN"/>
              </w:rPr>
              <w:t>IRG-AVQA</w:t>
            </w:r>
            <w:r w:rsidRPr="00EF5390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、</w:t>
            </w:r>
            <w:r w:rsidRPr="00EF5390">
              <w:rPr>
                <w:rFonts w:hint="eastAsia"/>
                <w:lang w:eastAsia="zh-CN"/>
              </w:rPr>
              <w:t>综合广播宽带系统跨部门报告人组（</w:t>
            </w:r>
            <w:r w:rsidRPr="00EF5390">
              <w:rPr>
                <w:rFonts w:hint="eastAsia"/>
                <w:lang w:eastAsia="zh-CN"/>
              </w:rPr>
              <w:t>IRG-IBB</w:t>
            </w:r>
            <w:r w:rsidRPr="00EF5390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。</w:t>
            </w:r>
          </w:p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向</w:t>
            </w:r>
            <w:r>
              <w:rPr>
                <w:rFonts w:cs="Segoe UI"/>
                <w:color w:val="262626"/>
                <w:lang w:eastAsia="zh-CN"/>
              </w:rPr>
              <w:t>RAG</w:t>
            </w:r>
            <w:r>
              <w:rPr>
                <w:rFonts w:hint="eastAsia"/>
                <w:lang w:eastAsia="zh-CN"/>
              </w:rPr>
              <w:t>提交有关跨部门报告人组问题的文稿。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283CAD" w:rsidRDefault="001A1813" w:rsidP="001A1813">
            <w:pPr>
              <w:pStyle w:val="Tabletext"/>
              <w:spacing w:before="120"/>
              <w:jc w:val="center"/>
            </w:pPr>
            <w:r w:rsidRPr="00283CAD">
              <w:t>9-4</w:t>
            </w:r>
          </w:p>
        </w:tc>
        <w:tc>
          <w:tcPr>
            <w:tcW w:w="4321" w:type="dxa"/>
          </w:tcPr>
          <w:p w:rsidR="001A1813" w:rsidRPr="00283CAD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与其他相关组织，特别是国际标准化组织（</w:t>
            </w:r>
            <w:r>
              <w:rPr>
                <w:rFonts w:hint="eastAsia"/>
                <w:lang w:eastAsia="zh-CN"/>
              </w:rPr>
              <w:t>ISO</w:t>
            </w:r>
            <w:r>
              <w:rPr>
                <w:rFonts w:hint="eastAsia"/>
                <w:lang w:eastAsia="zh-CN"/>
              </w:rPr>
              <w:t>）和国际电工技术委员会（</w:t>
            </w:r>
            <w:r>
              <w:rPr>
                <w:rFonts w:hint="eastAsia"/>
                <w:lang w:eastAsia="zh-CN"/>
              </w:rPr>
              <w:t>IEC</w:t>
            </w:r>
            <w:r>
              <w:rPr>
                <w:rFonts w:hint="eastAsia"/>
                <w:lang w:eastAsia="zh-CN"/>
              </w:rPr>
              <w:t>）的联络与协作</w:t>
            </w:r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继续与</w:t>
            </w:r>
            <w:r w:rsidRPr="005376FC">
              <w:rPr>
                <w:lang w:eastAsia="zh-CN"/>
              </w:rPr>
              <w:t>ISO</w:t>
            </w:r>
            <w:r>
              <w:rPr>
                <w:rFonts w:hint="eastAsia"/>
                <w:lang w:eastAsia="zh-CN"/>
              </w:rPr>
              <w:t>、</w:t>
            </w:r>
            <w:r w:rsidRPr="005376FC">
              <w:rPr>
                <w:lang w:eastAsia="zh-CN"/>
              </w:rPr>
              <w:t>IEC</w:t>
            </w:r>
            <w:r>
              <w:rPr>
                <w:rFonts w:hint="eastAsia"/>
                <w:lang w:eastAsia="zh-CN"/>
              </w:rPr>
              <w:t>、</w:t>
            </w:r>
            <w:r w:rsidRPr="005376FC">
              <w:rPr>
                <w:lang w:eastAsia="zh-CN"/>
              </w:rPr>
              <w:t>ETSI</w:t>
            </w:r>
            <w:r>
              <w:rPr>
                <w:rFonts w:hint="eastAsia"/>
                <w:lang w:eastAsia="zh-CN"/>
              </w:rPr>
              <w:t>、</w:t>
            </w:r>
            <w:r w:rsidRPr="005376FC">
              <w:rPr>
                <w:lang w:eastAsia="zh-CN"/>
              </w:rPr>
              <w:t>SMPTE</w:t>
            </w:r>
            <w:r>
              <w:rPr>
                <w:rFonts w:hint="eastAsia"/>
                <w:lang w:eastAsia="zh-CN"/>
              </w:rPr>
              <w:t>、</w:t>
            </w:r>
            <w:r w:rsidRPr="005376FC">
              <w:rPr>
                <w:lang w:eastAsia="zh-CN"/>
              </w:rPr>
              <w:t>ARIB</w:t>
            </w:r>
            <w:r>
              <w:rPr>
                <w:rFonts w:hint="eastAsia"/>
                <w:lang w:eastAsia="zh-CN"/>
              </w:rPr>
              <w:t>、</w:t>
            </w:r>
            <w:proofErr w:type="spellStart"/>
            <w:r w:rsidRPr="005376FC">
              <w:rPr>
                <w:lang w:eastAsia="zh-CN"/>
              </w:rPr>
              <w:t>HbbTV</w:t>
            </w:r>
            <w:proofErr w:type="spellEnd"/>
            <w:r>
              <w:rPr>
                <w:rFonts w:hint="eastAsia"/>
                <w:lang w:eastAsia="zh-CN"/>
              </w:rPr>
              <w:t>、</w:t>
            </w:r>
            <w:r w:rsidRPr="005376FC">
              <w:rPr>
                <w:lang w:eastAsia="zh-CN"/>
              </w:rPr>
              <w:t>OMA</w:t>
            </w:r>
            <w:r>
              <w:rPr>
                <w:rFonts w:hint="eastAsia"/>
                <w:lang w:eastAsia="zh-CN"/>
              </w:rPr>
              <w:t>、</w:t>
            </w:r>
            <w:r w:rsidRPr="005376FC">
              <w:rPr>
                <w:lang w:eastAsia="zh-CN"/>
              </w:rPr>
              <w:t>ABNT</w:t>
            </w:r>
            <w:r>
              <w:rPr>
                <w:rFonts w:hint="eastAsia"/>
                <w:lang w:eastAsia="zh-CN"/>
              </w:rPr>
              <w:t>、</w:t>
            </w:r>
            <w:r w:rsidRPr="005376FC">
              <w:rPr>
                <w:lang w:eastAsia="zh-CN"/>
              </w:rPr>
              <w:t>TIA</w:t>
            </w:r>
            <w:r>
              <w:rPr>
                <w:rFonts w:hint="eastAsia"/>
                <w:lang w:eastAsia="zh-CN"/>
              </w:rPr>
              <w:t>及其它标准化组织开展密切协作。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283CAD" w:rsidRDefault="001A1813" w:rsidP="001A1813">
            <w:pPr>
              <w:pStyle w:val="Tabletext"/>
              <w:spacing w:before="120"/>
              <w:jc w:val="center"/>
            </w:pPr>
            <w:r w:rsidRPr="00283CAD">
              <w:rPr>
                <w:rFonts w:hint="eastAsia"/>
              </w:rPr>
              <w:t>12-1</w:t>
            </w:r>
          </w:p>
        </w:tc>
        <w:tc>
          <w:tcPr>
            <w:tcW w:w="4321" w:type="dxa"/>
          </w:tcPr>
          <w:p w:rsidR="001A1813" w:rsidRPr="00283CAD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 w:rsidRPr="00426823">
              <w:rPr>
                <w:rFonts w:hint="eastAsia"/>
                <w:lang w:eastAsia="zh-CN"/>
              </w:rPr>
              <w:t>无线电通信业务发展手册及特别出版物</w:t>
            </w:r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rFonts w:hint="eastAsia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针对有关</w:t>
            </w:r>
            <w:r w:rsidRPr="001A1813">
              <w:rPr>
                <w:rFonts w:ascii="SimSun" w:hAnsi="SimSun"/>
                <w:lang w:eastAsia="zh-CN"/>
              </w:rPr>
              <w:t>“</w:t>
            </w:r>
            <w:r w:rsidRPr="005376FC">
              <w:rPr>
                <w:lang w:eastAsia="zh-CN"/>
              </w:rPr>
              <w:t>VHF/UHF</w:t>
            </w:r>
            <w:r>
              <w:rPr>
                <w:rFonts w:hint="eastAsia"/>
                <w:lang w:eastAsia="zh-CN"/>
              </w:rPr>
              <w:t>频段的数字地面电视广播</w:t>
            </w:r>
            <w:r w:rsidRPr="005376FC">
              <w:rPr>
                <w:lang w:eastAsia="zh-CN"/>
              </w:rPr>
              <w:t>bands</w:t>
            </w:r>
            <w:r w:rsidRPr="001A1813">
              <w:rPr>
                <w:rFonts w:ascii="SimSun" w:hAnsi="SimSun"/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的新手册持续开展的工作。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283CAD" w:rsidRDefault="001A1813" w:rsidP="001A1813">
            <w:pPr>
              <w:pStyle w:val="Tabletext"/>
              <w:spacing w:before="120"/>
              <w:jc w:val="center"/>
            </w:pPr>
            <w:r w:rsidRPr="00283CAD">
              <w:rPr>
                <w:rFonts w:hint="eastAsia"/>
              </w:rPr>
              <w:t>33-3</w:t>
            </w:r>
          </w:p>
        </w:tc>
        <w:tc>
          <w:tcPr>
            <w:tcW w:w="4321" w:type="dxa"/>
          </w:tcPr>
          <w:p w:rsidR="001A1813" w:rsidRPr="00367199" w:rsidRDefault="001A1813" w:rsidP="001A1813">
            <w:pPr>
              <w:pStyle w:val="Tabletext"/>
              <w:spacing w:before="120"/>
            </w:pPr>
            <w:proofErr w:type="spellStart"/>
            <w:r w:rsidRPr="00426823">
              <w:rPr>
                <w:rFonts w:hint="eastAsia"/>
              </w:rPr>
              <w:t>术语文本的起草</w:t>
            </w:r>
            <w:proofErr w:type="spellEnd"/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</w:rPr>
            </w:pP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283CAD" w:rsidRDefault="001A1813" w:rsidP="001A1813">
            <w:pPr>
              <w:pStyle w:val="Tabletext"/>
              <w:spacing w:before="120"/>
              <w:jc w:val="center"/>
            </w:pPr>
            <w:r w:rsidRPr="00283CAD">
              <w:rPr>
                <w:rFonts w:hint="eastAsia"/>
              </w:rPr>
              <w:t>34-3</w:t>
            </w:r>
          </w:p>
        </w:tc>
        <w:tc>
          <w:tcPr>
            <w:tcW w:w="4321" w:type="dxa"/>
          </w:tcPr>
          <w:p w:rsidR="001A1813" w:rsidRPr="00367199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 w:rsidRPr="00426823">
              <w:rPr>
                <w:rFonts w:hint="eastAsia"/>
                <w:lang w:eastAsia="zh-CN"/>
              </w:rPr>
              <w:t>编写术语和定义的指导原则</w:t>
            </w:r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</w:rPr>
            </w:pP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283CAD" w:rsidRDefault="001A1813" w:rsidP="001A1813">
            <w:pPr>
              <w:pStyle w:val="Tabletext"/>
              <w:spacing w:before="120"/>
              <w:jc w:val="center"/>
            </w:pPr>
            <w:r w:rsidRPr="00283CAD">
              <w:rPr>
                <w:rFonts w:hint="eastAsia"/>
              </w:rPr>
              <w:t>35-3</w:t>
            </w:r>
          </w:p>
        </w:tc>
        <w:tc>
          <w:tcPr>
            <w:tcW w:w="4321" w:type="dxa"/>
          </w:tcPr>
          <w:p w:rsidR="001A1813" w:rsidRPr="00367199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 w:rsidRPr="00426823">
              <w:rPr>
                <w:rFonts w:hint="eastAsia"/>
                <w:lang w:eastAsia="zh-CN"/>
              </w:rPr>
              <w:t>涵盖术语和定义的词汇工作的组织</w:t>
            </w:r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</w:rPr>
            </w:pP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283CAD" w:rsidDel="00BB22C0" w:rsidRDefault="001A1813" w:rsidP="001A1813">
            <w:pPr>
              <w:pStyle w:val="Tabletext"/>
              <w:spacing w:before="120"/>
              <w:jc w:val="center"/>
            </w:pPr>
            <w:r w:rsidRPr="00283CAD">
              <w:rPr>
                <w:rFonts w:hint="eastAsia"/>
              </w:rPr>
              <w:t>36-3</w:t>
            </w:r>
          </w:p>
        </w:tc>
        <w:tc>
          <w:tcPr>
            <w:tcW w:w="4321" w:type="dxa"/>
          </w:tcPr>
          <w:p w:rsidR="001A1813" w:rsidRPr="00367199" w:rsidRDefault="001A1813" w:rsidP="001A1813">
            <w:pPr>
              <w:pStyle w:val="Tabletext"/>
              <w:spacing w:before="120"/>
            </w:pPr>
            <w:proofErr w:type="spellStart"/>
            <w:r w:rsidRPr="00426823">
              <w:rPr>
                <w:rFonts w:hint="eastAsia"/>
              </w:rPr>
              <w:t>词汇的协调</w:t>
            </w:r>
            <w:proofErr w:type="spellEnd"/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</w:rPr>
            </w:pP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283CAD" w:rsidRDefault="001A1813" w:rsidP="001A1813">
            <w:pPr>
              <w:pStyle w:val="Tabletext"/>
              <w:spacing w:before="120"/>
              <w:jc w:val="center"/>
            </w:pPr>
            <w:r>
              <w:t>37</w:t>
            </w:r>
          </w:p>
        </w:tc>
        <w:tc>
          <w:tcPr>
            <w:tcW w:w="4321" w:type="dxa"/>
          </w:tcPr>
          <w:p w:rsidR="001A1813" w:rsidRPr="00367199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 w:rsidRPr="00EA1D56">
              <w:rPr>
                <w:rFonts w:cs="Segoe UI" w:hint="eastAsia"/>
                <w:color w:val="000000"/>
                <w:lang w:eastAsia="zh-CN"/>
              </w:rPr>
              <w:t>用于系统设计和业务规划的无线电电波传播的研究</w:t>
            </w:r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</w:rPr>
            </w:pP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9951D3" w:rsidDel="00BB22C0" w:rsidRDefault="001A1813" w:rsidP="001A1813">
            <w:pPr>
              <w:pStyle w:val="Tabletext"/>
              <w:spacing w:before="120"/>
              <w:jc w:val="center"/>
            </w:pPr>
            <w:r w:rsidRPr="009951D3">
              <w:t>5</w:t>
            </w:r>
            <w:r w:rsidRPr="009951D3"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noBreakHyphen/>
            </w:r>
            <w:r w:rsidRPr="009951D3">
              <w:t>1</w:t>
            </w:r>
          </w:p>
        </w:tc>
        <w:tc>
          <w:tcPr>
            <w:tcW w:w="4321" w:type="dxa"/>
          </w:tcPr>
          <w:p w:rsidR="001A1813" w:rsidRPr="009951D3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 w:rsidRPr="00EA1D56">
              <w:rPr>
                <w:rFonts w:hint="eastAsia"/>
                <w:lang w:eastAsia="zh-CN"/>
              </w:rPr>
              <w:t>无线电通信在灾害响应和救灾工作中的使用</w:t>
            </w:r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  <w:lang w:eastAsia="zh-CN"/>
              </w:rPr>
            </w:pPr>
            <w:r w:rsidRPr="00367199">
              <w:rPr>
                <w:lang w:eastAsia="zh-CN"/>
              </w:rPr>
              <w:t>2013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 w:rsidRPr="00367199"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日有关</w:t>
            </w:r>
            <w:r w:rsidRPr="001A1813">
              <w:rPr>
                <w:rFonts w:ascii="SimSun" w:hAnsi="SimSun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应急广播</w:t>
            </w:r>
            <w:r w:rsidRPr="001A1813">
              <w:rPr>
                <w:rFonts w:ascii="SimSun" w:hAnsi="SimSun"/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的讲习班。批准了</w:t>
            </w:r>
            <w:r w:rsidRPr="00367199">
              <w:rPr>
                <w:lang w:eastAsia="zh-CN"/>
              </w:rPr>
              <w:t>ITU-R BT.2299</w:t>
            </w:r>
            <w:r>
              <w:rPr>
                <w:rFonts w:hint="eastAsia"/>
                <w:lang w:eastAsia="zh-CN"/>
              </w:rPr>
              <w:t>号报告。</w:t>
            </w:r>
            <w:r>
              <w:rPr>
                <w:lang w:eastAsia="zh-CN"/>
              </w:rPr>
              <w:t xml:space="preserve"> 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9951D3" w:rsidDel="00BB22C0" w:rsidRDefault="001A1813" w:rsidP="001A1813">
            <w:pPr>
              <w:pStyle w:val="Tabletext"/>
              <w:spacing w:before="120"/>
              <w:jc w:val="center"/>
            </w:pPr>
            <w:r w:rsidRPr="009951D3">
              <w:t>55</w:t>
            </w:r>
            <w:r>
              <w:noBreakHyphen/>
            </w:r>
            <w:r w:rsidRPr="009951D3">
              <w:t>1</w:t>
            </w:r>
          </w:p>
        </w:tc>
        <w:tc>
          <w:tcPr>
            <w:tcW w:w="4321" w:type="dxa"/>
          </w:tcPr>
          <w:p w:rsidR="001A1813" w:rsidRPr="009951D3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 w:rsidRPr="00EA1D56">
              <w:rPr>
                <w:rFonts w:hint="eastAsia"/>
                <w:lang w:eastAsia="zh-CN"/>
              </w:rPr>
              <w:t>ITU-R</w:t>
            </w:r>
            <w:r w:rsidRPr="00EA1D56">
              <w:rPr>
                <w:rFonts w:hint="eastAsia"/>
                <w:lang w:eastAsia="zh-CN"/>
              </w:rPr>
              <w:t>有关灾害预测与发现、减灾和赈灾的研究</w:t>
            </w:r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批准了</w:t>
            </w:r>
            <w:r w:rsidRPr="00367199">
              <w:rPr>
                <w:lang w:eastAsia="zh-CN"/>
              </w:rPr>
              <w:t>ITU-R BT.1774</w:t>
            </w:r>
            <w:r>
              <w:rPr>
                <w:rFonts w:hint="eastAsia"/>
                <w:lang w:eastAsia="zh-CN"/>
              </w:rPr>
              <w:t>建议书修订版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9951D3" w:rsidRDefault="001A1813" w:rsidP="001A1813">
            <w:pPr>
              <w:pStyle w:val="Tabletext"/>
              <w:spacing w:before="120"/>
              <w:jc w:val="center"/>
            </w:pPr>
            <w:r w:rsidRPr="009951D3">
              <w:t>5</w:t>
            </w:r>
            <w:r w:rsidRPr="009951D3">
              <w:rPr>
                <w:lang w:eastAsia="ja-JP"/>
              </w:rPr>
              <w:t>8</w:t>
            </w:r>
          </w:p>
        </w:tc>
        <w:tc>
          <w:tcPr>
            <w:tcW w:w="4321" w:type="dxa"/>
          </w:tcPr>
          <w:p w:rsidR="001A1813" w:rsidRPr="009951D3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 w:rsidRPr="00EA1D56">
              <w:rPr>
                <w:rFonts w:hint="eastAsia"/>
                <w:lang w:eastAsia="zh-CN"/>
              </w:rPr>
              <w:t>有关部署和使用认知无线电系统的研究</w:t>
            </w:r>
          </w:p>
        </w:tc>
        <w:tc>
          <w:tcPr>
            <w:tcW w:w="2830" w:type="dxa"/>
          </w:tcPr>
          <w:p w:rsidR="001A1813" w:rsidRPr="005B7E46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</w:t>
            </w:r>
            <w:r>
              <w:rPr>
                <w:lang w:eastAsia="zh-CN"/>
              </w:rPr>
              <w:t>1A</w:t>
            </w:r>
            <w:r>
              <w:rPr>
                <w:rFonts w:hint="eastAsia"/>
                <w:lang w:eastAsia="zh-CN"/>
              </w:rPr>
              <w:t>工作组正在起草的报告提供文稿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9951D3" w:rsidDel="00BB22C0" w:rsidRDefault="001A1813" w:rsidP="001A1813">
            <w:pPr>
              <w:pStyle w:val="Tabletext"/>
              <w:spacing w:before="120"/>
              <w:jc w:val="center"/>
            </w:pPr>
            <w:r w:rsidRPr="009951D3">
              <w:t>5</w:t>
            </w:r>
            <w:r w:rsidRPr="009951D3">
              <w:rPr>
                <w:lang w:eastAsia="ja-JP"/>
              </w:rPr>
              <w:t>9</w:t>
            </w:r>
          </w:p>
        </w:tc>
        <w:tc>
          <w:tcPr>
            <w:tcW w:w="4321" w:type="dxa"/>
          </w:tcPr>
          <w:p w:rsidR="001A1813" w:rsidRPr="00EA1D56" w:rsidRDefault="001A1813" w:rsidP="001A1813">
            <w:pPr>
              <w:pStyle w:val="Tabletext"/>
              <w:spacing w:before="120"/>
              <w:rPr>
                <w:rFonts w:ascii="SimSun" w:hAnsi="SimSun"/>
                <w:lang w:val="en-US" w:eastAsia="ja-JP"/>
              </w:rPr>
            </w:pPr>
            <w:r w:rsidRPr="00EA1D56">
              <w:rPr>
                <w:rFonts w:ascii="SimSun" w:hAnsi="SimSun" w:hint="eastAsia"/>
                <w:lang w:val="en-US" w:eastAsia="ja-JP"/>
              </w:rPr>
              <w:t>研究全球和/或区域</w:t>
            </w:r>
            <w:r w:rsidRPr="00EA1D56">
              <w:rPr>
                <w:rFonts w:ascii="SimSun" w:hAnsi="SimSun" w:cs="Microsoft YaHei" w:hint="eastAsia"/>
                <w:lang w:val="en-US" w:eastAsia="ja-JP"/>
              </w:rPr>
              <w:t>统</w:t>
            </w:r>
            <w:r w:rsidRPr="00EA1D56">
              <w:rPr>
                <w:rFonts w:ascii="SimSun" w:hAnsi="SimSun" w:cs="MS PGothic" w:hint="eastAsia"/>
                <w:lang w:val="en-US" w:eastAsia="ja-JP"/>
              </w:rPr>
              <w:t>一可用</w:t>
            </w:r>
            <w:r w:rsidRPr="00EA1D56">
              <w:rPr>
                <w:rFonts w:ascii="SimSun" w:hAnsi="SimSun" w:cs="Microsoft YaHei" w:hint="eastAsia"/>
                <w:lang w:val="en-US" w:eastAsia="ja-JP"/>
              </w:rPr>
              <w:t>频</w:t>
            </w:r>
            <w:r w:rsidRPr="00EA1D56">
              <w:rPr>
                <w:rFonts w:ascii="SimSun" w:hAnsi="SimSun" w:cs="MS PGothic" w:hint="eastAsia"/>
                <w:lang w:val="en-US" w:eastAsia="ja-JP"/>
              </w:rPr>
              <w:t>段和</w:t>
            </w:r>
            <w:r w:rsidRPr="00EA1D56">
              <w:rPr>
                <w:rFonts w:ascii="SimSun" w:hAnsi="SimSun" w:hint="eastAsia"/>
                <w:lang w:val="en-US" w:eastAsia="ja-JP"/>
              </w:rPr>
              <w:t>/或</w:t>
            </w:r>
            <w:r w:rsidRPr="00EA1D56">
              <w:rPr>
                <w:rFonts w:ascii="SimSun" w:hAnsi="SimSun" w:cs="Microsoft YaHei" w:hint="eastAsia"/>
                <w:lang w:val="en-US" w:eastAsia="ja-JP"/>
              </w:rPr>
              <w:t>调谐</w:t>
            </w:r>
            <w:r w:rsidRPr="00EA1D56">
              <w:rPr>
                <w:rFonts w:ascii="SimSun" w:hAnsi="SimSun" w:cs="MS PGothic" w:hint="eastAsia"/>
                <w:lang w:val="en-US" w:eastAsia="ja-JP"/>
              </w:rPr>
              <w:t>范</w:t>
            </w:r>
            <w:r w:rsidRPr="00EA1D56">
              <w:rPr>
                <w:rFonts w:ascii="SimSun" w:hAnsi="SimSun" w:cs="Microsoft YaHei" w:hint="eastAsia"/>
                <w:lang w:val="en-US" w:eastAsia="ja-JP"/>
              </w:rPr>
              <w:t>围</w:t>
            </w:r>
            <w:r w:rsidRPr="00EA1D56">
              <w:rPr>
                <w:rFonts w:ascii="SimSun" w:hAnsi="SimSun" w:hint="eastAsia"/>
                <w:lang w:val="en-US" w:eastAsia="ja-JP"/>
              </w:rPr>
              <w:t>及其供地面</w:t>
            </w:r>
            <w:r w:rsidRPr="00EA1D56">
              <w:rPr>
                <w:rFonts w:ascii="SimSun" w:hAnsi="SimSun" w:cs="Microsoft YaHei" w:hint="eastAsia"/>
                <w:lang w:val="en-US" w:eastAsia="ja-JP"/>
              </w:rPr>
              <w:t>电</w:t>
            </w:r>
            <w:r w:rsidRPr="00EA1D56">
              <w:rPr>
                <w:rFonts w:ascii="SimSun" w:hAnsi="SimSun" w:cs="MS PGothic" w:hint="eastAsia"/>
                <w:lang w:val="en-US" w:eastAsia="ja-JP"/>
              </w:rPr>
              <w:t>子新</w:t>
            </w:r>
            <w:r w:rsidRPr="00EA1D56">
              <w:rPr>
                <w:rFonts w:ascii="SimSun" w:hAnsi="SimSun" w:cs="Microsoft YaHei" w:hint="eastAsia"/>
                <w:lang w:val="en-US" w:eastAsia="ja-JP"/>
              </w:rPr>
              <w:t>闻</w:t>
            </w:r>
            <w:r w:rsidRPr="00EA1D56">
              <w:rPr>
                <w:rFonts w:ascii="SimSun" w:hAnsi="SimSun" w:cs="MS PGothic" w:hint="eastAsia"/>
                <w:lang w:val="en-US" w:eastAsia="ja-JP"/>
              </w:rPr>
              <w:t>采集</w:t>
            </w:r>
            <w:r w:rsidRPr="00EA1D56">
              <w:rPr>
                <w:rFonts w:ascii="SimSun" w:hAnsi="SimSun" w:hint="eastAsia"/>
                <w:lang w:val="en-US" w:eastAsia="ja-JP"/>
              </w:rPr>
              <w:t>系</w:t>
            </w:r>
            <w:r w:rsidRPr="00EA1D56">
              <w:rPr>
                <w:rFonts w:ascii="SimSun" w:hAnsi="SimSun" w:cs="Microsoft YaHei" w:hint="eastAsia"/>
                <w:lang w:val="en-US" w:eastAsia="ja-JP"/>
              </w:rPr>
              <w:t>统</w:t>
            </w:r>
            <w:r w:rsidRPr="00EA1D56">
              <w:rPr>
                <w:rFonts w:ascii="SimSun" w:hAnsi="SimSun" w:cs="MS PGothic" w:hint="eastAsia"/>
                <w:lang w:val="en-US" w:eastAsia="ja-JP"/>
              </w:rPr>
              <w:t>使用的条件</w:t>
            </w:r>
          </w:p>
        </w:tc>
        <w:tc>
          <w:tcPr>
            <w:tcW w:w="2830" w:type="dxa"/>
          </w:tcPr>
          <w:p w:rsidR="001A1813" w:rsidRPr="005B7E46" w:rsidDel="006B6727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批准了</w:t>
            </w:r>
            <w:r w:rsidRPr="009B29D4">
              <w:rPr>
                <w:lang w:eastAsia="zh-CN"/>
              </w:rPr>
              <w:t>ITU-R BT.2069-5</w:t>
            </w:r>
            <w:r>
              <w:rPr>
                <w:rFonts w:hint="eastAsia"/>
                <w:lang w:eastAsia="zh-CN"/>
              </w:rPr>
              <w:t>号报告修订版和</w:t>
            </w:r>
            <w:r w:rsidRPr="009B29D4">
              <w:rPr>
                <w:lang w:eastAsia="zh-CN"/>
              </w:rPr>
              <w:t>ITU-R BT.1871</w:t>
            </w:r>
            <w:r>
              <w:rPr>
                <w:rFonts w:hint="eastAsia"/>
                <w:lang w:eastAsia="zh-CN"/>
              </w:rPr>
              <w:t>建议书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9951D3" w:rsidRDefault="001A1813" w:rsidP="001A1813">
            <w:pPr>
              <w:pStyle w:val="Tabletext"/>
              <w:spacing w:before="120"/>
              <w:jc w:val="center"/>
              <w:rPr>
                <w:szCs w:val="22"/>
              </w:rPr>
            </w:pPr>
            <w:r w:rsidRPr="009951D3">
              <w:rPr>
                <w:rFonts w:hint="eastAsia"/>
                <w:szCs w:val="22"/>
                <w:lang w:eastAsia="ja-JP"/>
              </w:rPr>
              <w:lastRenderedPageBreak/>
              <w:t>60</w:t>
            </w:r>
          </w:p>
        </w:tc>
        <w:tc>
          <w:tcPr>
            <w:tcW w:w="4321" w:type="dxa"/>
          </w:tcPr>
          <w:p w:rsidR="001A1813" w:rsidRPr="009951D3" w:rsidRDefault="001A1813" w:rsidP="001A1813">
            <w:pPr>
              <w:pStyle w:val="Tabletext"/>
              <w:spacing w:before="120"/>
              <w:rPr>
                <w:szCs w:val="22"/>
                <w:lang w:eastAsia="zh-CN"/>
              </w:rPr>
            </w:pPr>
            <w:r w:rsidRPr="00EA1D56">
              <w:rPr>
                <w:rFonts w:hint="eastAsia"/>
                <w:szCs w:val="22"/>
                <w:lang w:eastAsia="zh-CN"/>
              </w:rPr>
              <w:t>利用</w:t>
            </w:r>
            <w:r w:rsidRPr="00EA1D56">
              <w:rPr>
                <w:rFonts w:hint="eastAsia"/>
                <w:szCs w:val="22"/>
                <w:lang w:eastAsia="zh-CN"/>
              </w:rPr>
              <w:t>ICT/</w:t>
            </w:r>
            <w:r w:rsidRPr="00EA1D56">
              <w:rPr>
                <w:rFonts w:hint="eastAsia"/>
                <w:szCs w:val="22"/>
                <w:lang w:eastAsia="zh-CN"/>
              </w:rPr>
              <w:t>无线电通信技术和系统降低能耗以保护环境并减缓气候变化</w:t>
            </w:r>
          </w:p>
        </w:tc>
        <w:tc>
          <w:tcPr>
            <w:tcW w:w="2830" w:type="dxa"/>
          </w:tcPr>
          <w:p w:rsidR="001A1813" w:rsidRPr="005B7E46" w:rsidDel="006B6727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批准了</w:t>
            </w:r>
            <w:r>
              <w:rPr>
                <w:lang w:eastAsia="zh-CN"/>
              </w:rPr>
              <w:t>ITU-R BT.2385</w:t>
            </w:r>
            <w:r>
              <w:rPr>
                <w:rFonts w:hint="eastAsia"/>
                <w:lang w:eastAsia="zh-CN"/>
              </w:rPr>
              <w:t>号报告</w:t>
            </w:r>
          </w:p>
        </w:tc>
      </w:tr>
      <w:tr w:rsidR="001A1813" w:rsidRPr="005B7E46" w:rsidTr="008C5420">
        <w:trPr>
          <w:cantSplit/>
          <w:jc w:val="center"/>
        </w:trPr>
        <w:tc>
          <w:tcPr>
            <w:tcW w:w="1267" w:type="dxa"/>
          </w:tcPr>
          <w:p w:rsidR="001A1813" w:rsidRPr="00B4103D" w:rsidRDefault="001A1813" w:rsidP="001A1813">
            <w:pPr>
              <w:pStyle w:val="Tabletext"/>
              <w:spacing w:before="120"/>
              <w:jc w:val="center"/>
              <w:rPr>
                <w:sz w:val="21"/>
                <w:szCs w:val="21"/>
              </w:rPr>
            </w:pPr>
            <w:r w:rsidRPr="00B4103D">
              <w:rPr>
                <w:rFonts w:hint="eastAsia"/>
                <w:sz w:val="21"/>
                <w:szCs w:val="21"/>
                <w:lang w:eastAsia="ja-JP"/>
              </w:rPr>
              <w:t>62</w:t>
            </w:r>
          </w:p>
        </w:tc>
        <w:tc>
          <w:tcPr>
            <w:tcW w:w="4321" w:type="dxa"/>
          </w:tcPr>
          <w:p w:rsidR="001A1813" w:rsidRPr="00EA1D56" w:rsidRDefault="001A1813" w:rsidP="001A1813">
            <w:pPr>
              <w:pStyle w:val="Tabletext"/>
              <w:spacing w:before="120"/>
              <w:rPr>
                <w:sz w:val="21"/>
                <w:szCs w:val="21"/>
                <w:lang w:val="en-US" w:eastAsia="ja-JP"/>
              </w:rPr>
            </w:pPr>
            <w:r w:rsidRPr="00EA1D56">
              <w:rPr>
                <w:sz w:val="21"/>
                <w:szCs w:val="21"/>
                <w:lang w:val="en-US" w:eastAsia="ja-JP"/>
              </w:rPr>
              <w:t>与测试无线电通信设备和系统是否符合</w:t>
            </w:r>
            <w:r w:rsidRPr="00EA1D56">
              <w:rPr>
                <w:sz w:val="21"/>
                <w:szCs w:val="21"/>
                <w:lang w:val="en-US" w:eastAsia="ja-JP"/>
              </w:rPr>
              <w:t>ITU-R</w:t>
            </w:r>
            <w:r w:rsidRPr="00EA1D56">
              <w:rPr>
                <w:sz w:val="21"/>
                <w:szCs w:val="21"/>
                <w:lang w:val="en-US" w:eastAsia="ja-JP"/>
              </w:rPr>
              <w:t>建议书及其互操作性相关的研究</w:t>
            </w:r>
          </w:p>
        </w:tc>
        <w:tc>
          <w:tcPr>
            <w:tcW w:w="2830" w:type="dxa"/>
          </w:tcPr>
          <w:p w:rsidR="001A1813" w:rsidRPr="005B7E46" w:rsidDel="006B6727" w:rsidRDefault="001A1813" w:rsidP="001A1813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批准了</w:t>
            </w:r>
            <w:r w:rsidRPr="009B29D4">
              <w:rPr>
                <w:lang w:eastAsia="zh-CN"/>
              </w:rPr>
              <w:t>ITU-R BT2295</w:t>
            </w:r>
            <w:r>
              <w:rPr>
                <w:rFonts w:hint="eastAsia"/>
                <w:lang w:eastAsia="zh-CN"/>
              </w:rPr>
              <w:t>号报告</w:t>
            </w:r>
          </w:p>
        </w:tc>
      </w:tr>
    </w:tbl>
    <w:p w:rsidR="00EA2AE5" w:rsidRDefault="00EA2AE5" w:rsidP="00EA2AE5">
      <w:pPr>
        <w:tabs>
          <w:tab w:val="left" w:pos="794"/>
          <w:tab w:val="left" w:pos="1418"/>
        </w:tabs>
        <w:rPr>
          <w:lang w:eastAsia="zh-CN"/>
        </w:rPr>
      </w:pPr>
    </w:p>
    <w:p w:rsidR="00EA2AE5" w:rsidRDefault="00EA2AE5" w:rsidP="00EA2AE5">
      <w:pPr>
        <w:spacing w:before="0"/>
        <w:jc w:val="center"/>
        <w:rPr>
          <w:lang w:eastAsia="zh-CN"/>
        </w:rPr>
      </w:pPr>
    </w:p>
    <w:p w:rsidR="00EA2AE5" w:rsidRPr="005C6E3B" w:rsidRDefault="00EA2AE5" w:rsidP="00EA2AE5">
      <w:pPr>
        <w:spacing w:before="0"/>
        <w:jc w:val="center"/>
      </w:pPr>
      <w:r w:rsidRPr="005C6E3B">
        <w:t>______________</w:t>
      </w:r>
    </w:p>
    <w:p w:rsidR="001A50F9" w:rsidRPr="00970B63" w:rsidRDefault="001A50F9" w:rsidP="00EA2AE5">
      <w:pPr>
        <w:pStyle w:val="Normalaftertitle"/>
        <w:ind w:firstLineChars="200" w:firstLine="480"/>
      </w:pPr>
    </w:p>
    <w:sectPr w:rsidR="001A50F9" w:rsidRPr="00970B63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8E" w:rsidRDefault="00D8768E">
      <w:r>
        <w:separator/>
      </w:r>
    </w:p>
  </w:endnote>
  <w:endnote w:type="continuationSeparator" w:id="0">
    <w:p w:rsidR="00D8768E" w:rsidRDefault="00D8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F676B8">
      <w:rPr>
        <w:noProof/>
        <w:lang w:val="fr-FR"/>
      </w:rPr>
      <w:t>P:\CHI\ITU-R\SG-R\SG06\1000\1004C.docx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76B8">
      <w:rPr>
        <w:noProof/>
      </w:rPr>
      <w:t>22.10.15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76B8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AD2F65" w:rsidRDefault="000C5068" w:rsidP="00AD2F65">
    <w:pPr>
      <w:pStyle w:val="Footer"/>
    </w:pPr>
    <w:fldSimple w:instr=" FILENAME \p  \* MERGEFORMAT ">
      <w:r w:rsidR="00F676B8">
        <w:t>P:\CHI\ITU-R\SG-R\SG06\1000\1004C.docx</w:t>
      </w:r>
    </w:fldSimple>
    <w:r w:rsidR="00AD2F65">
      <w:t xml:space="preserve"> </w:t>
    </w:r>
    <w:r w:rsidR="005D1954">
      <w:rPr>
        <w:lang w:val="en-US"/>
      </w:rPr>
      <w:t>(383154</w:t>
    </w:r>
    <w:r w:rsidR="00AD2F65">
      <w:rPr>
        <w:lang w:val="en-US"/>
      </w:rPr>
      <w:t>)</w:t>
    </w:r>
    <w:r w:rsidR="00AD2F65">
      <w:tab/>
    </w:r>
    <w:r w:rsidR="00AD2F65">
      <w:fldChar w:fldCharType="begin"/>
    </w:r>
    <w:r w:rsidR="00AD2F65">
      <w:instrText xml:space="preserve"> SAVEDATE \@ DD.MM.YY </w:instrText>
    </w:r>
    <w:r w:rsidR="00AD2F65">
      <w:fldChar w:fldCharType="separate"/>
    </w:r>
    <w:r w:rsidR="00F676B8">
      <w:t>22.10.15</w:t>
    </w:r>
    <w:r w:rsidR="00AD2F65">
      <w:fldChar w:fldCharType="end"/>
    </w:r>
    <w:r w:rsidR="00AD2F65">
      <w:tab/>
    </w:r>
    <w:r w:rsidR="00AD2F65">
      <w:fldChar w:fldCharType="begin"/>
    </w:r>
    <w:r w:rsidR="00AD2F65">
      <w:instrText xml:space="preserve"> PRINTDATE \@ DD.MM.YY </w:instrText>
    </w:r>
    <w:r w:rsidR="00AD2F65">
      <w:fldChar w:fldCharType="separate"/>
    </w:r>
    <w:r w:rsidR="00F676B8">
      <w:t>22.10.15</w:t>
    </w:r>
    <w:r w:rsidR="00AD2F6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FF" w:rsidRDefault="000C5068" w:rsidP="006462D9">
    <w:pPr>
      <w:pStyle w:val="Footer"/>
    </w:pPr>
    <w:fldSimple w:instr=" FILENAME \p  \* MERGEFORMAT ">
      <w:r w:rsidR="00F676B8">
        <w:t>P:\CHI\ITU-R\SG-R\SG06\1000\1004C.docx</w:t>
      </w:r>
    </w:fldSimple>
    <w:r w:rsidR="00AD2F65">
      <w:t xml:space="preserve"> </w:t>
    </w:r>
    <w:r w:rsidR="00EA2AE5">
      <w:rPr>
        <w:lang w:val="en-US"/>
      </w:rPr>
      <w:t>(383154</w:t>
    </w:r>
    <w:r w:rsidR="00AD2F65">
      <w:rPr>
        <w:lang w:val="en-US"/>
      </w:rPr>
      <w:t>)</w:t>
    </w:r>
    <w:r w:rsidR="00AD2F65">
      <w:tab/>
    </w:r>
    <w:r w:rsidR="00AD2F65">
      <w:fldChar w:fldCharType="begin"/>
    </w:r>
    <w:r w:rsidR="00AD2F65">
      <w:instrText xml:space="preserve"> SAVEDATE \@ DD.MM.YY </w:instrText>
    </w:r>
    <w:r w:rsidR="00AD2F65">
      <w:fldChar w:fldCharType="separate"/>
    </w:r>
    <w:r w:rsidR="00F676B8">
      <w:t>22.10.15</w:t>
    </w:r>
    <w:r w:rsidR="00AD2F65">
      <w:fldChar w:fldCharType="end"/>
    </w:r>
    <w:r w:rsidR="00AD2F65">
      <w:tab/>
    </w:r>
    <w:r w:rsidR="00AD2F65">
      <w:fldChar w:fldCharType="begin"/>
    </w:r>
    <w:r w:rsidR="00AD2F65">
      <w:instrText xml:space="preserve"> PRINTDATE \@ DD.MM.YY </w:instrText>
    </w:r>
    <w:r w:rsidR="00AD2F65">
      <w:fldChar w:fldCharType="separate"/>
    </w:r>
    <w:r w:rsidR="00F676B8">
      <w:t>22.10.15</w:t>
    </w:r>
    <w:r w:rsidR="00AD2F6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8E" w:rsidRDefault="00D8768E">
      <w:r>
        <w:rPr>
          <w:b/>
        </w:rPr>
        <w:t>_______________</w:t>
      </w:r>
    </w:p>
  </w:footnote>
  <w:footnote w:type="continuationSeparator" w:id="0">
    <w:p w:rsidR="00D8768E" w:rsidRDefault="00D8768E">
      <w:r>
        <w:continuationSeparator/>
      </w:r>
    </w:p>
  </w:footnote>
  <w:footnote w:id="1">
    <w:p w:rsidR="001A1813" w:rsidRPr="00367199" w:rsidRDefault="001A1813" w:rsidP="000450AA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更多详尽信息见第</w:t>
      </w:r>
      <w:r>
        <w:rPr>
          <w:lang w:eastAsia="zh-CN"/>
        </w:rPr>
        <w:t>6</w:t>
      </w:r>
      <w:r>
        <w:rPr>
          <w:rFonts w:hint="eastAsia"/>
          <w:lang w:eastAsia="zh-CN"/>
        </w:rPr>
        <w:t>研究组主席的报告（</w:t>
      </w:r>
      <w:r>
        <w:rPr>
          <w:lang w:eastAsia="zh-CN"/>
        </w:rPr>
        <w:t>6/1001</w:t>
      </w:r>
      <w:r>
        <w:rPr>
          <w:rFonts w:hint="eastAsia"/>
          <w:lang w:eastAsia="zh-CN"/>
        </w:rPr>
        <w:t>号）。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FE" w:rsidRDefault="00310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676B8">
      <w:rPr>
        <w:noProof/>
        <w:lang w:val="en-US"/>
      </w:rPr>
      <w:t>3</w:t>
    </w:r>
    <w:r>
      <w:rPr>
        <w:lang w:val="en-US"/>
      </w:rPr>
      <w:fldChar w:fldCharType="end"/>
    </w:r>
  </w:p>
  <w:p w:rsidR="00586689" w:rsidRPr="009447A3" w:rsidRDefault="003109FE" w:rsidP="001A50F9">
    <w:pPr>
      <w:pStyle w:val="Header"/>
      <w:rPr>
        <w:lang w:val="en-US"/>
      </w:rPr>
    </w:pPr>
    <w:r>
      <w:rPr>
        <w:lang w:val="en-US"/>
      </w:rPr>
      <w:t>6</w:t>
    </w:r>
    <w:bookmarkStart w:id="11" w:name="_GoBack"/>
    <w:bookmarkEnd w:id="11"/>
    <w:r w:rsidR="00EA2AE5">
      <w:rPr>
        <w:lang w:val="en-US"/>
      </w:rPr>
      <w:t>/1004</w:t>
    </w:r>
    <w:r w:rsidR="00877D12">
      <w:rPr>
        <w:lang w:val="en-US"/>
      </w:rP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FE" w:rsidRDefault="003109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8E"/>
    <w:rsid w:val="00001EA8"/>
    <w:rsid w:val="000450AA"/>
    <w:rsid w:val="000B38B4"/>
    <w:rsid w:val="000B585B"/>
    <w:rsid w:val="000C5068"/>
    <w:rsid w:val="000E3DC4"/>
    <w:rsid w:val="000E6BC2"/>
    <w:rsid w:val="00152229"/>
    <w:rsid w:val="00183506"/>
    <w:rsid w:val="0018408F"/>
    <w:rsid w:val="001A1813"/>
    <w:rsid w:val="001A41DD"/>
    <w:rsid w:val="001A50F9"/>
    <w:rsid w:val="001A6DD3"/>
    <w:rsid w:val="001B225D"/>
    <w:rsid w:val="001F4271"/>
    <w:rsid w:val="002006EB"/>
    <w:rsid w:val="00213F8F"/>
    <w:rsid w:val="00236C45"/>
    <w:rsid w:val="00276326"/>
    <w:rsid w:val="002C5657"/>
    <w:rsid w:val="002E21F6"/>
    <w:rsid w:val="003109FE"/>
    <w:rsid w:val="003122F3"/>
    <w:rsid w:val="00324FA8"/>
    <w:rsid w:val="00326211"/>
    <w:rsid w:val="003322FF"/>
    <w:rsid w:val="00350858"/>
    <w:rsid w:val="003706A9"/>
    <w:rsid w:val="00375303"/>
    <w:rsid w:val="003820C8"/>
    <w:rsid w:val="003930DA"/>
    <w:rsid w:val="003C19ED"/>
    <w:rsid w:val="003F5BE4"/>
    <w:rsid w:val="004232EA"/>
    <w:rsid w:val="00426823"/>
    <w:rsid w:val="00430835"/>
    <w:rsid w:val="004461C0"/>
    <w:rsid w:val="004664A1"/>
    <w:rsid w:val="00474C70"/>
    <w:rsid w:val="004844C1"/>
    <w:rsid w:val="004B4E90"/>
    <w:rsid w:val="00541AC7"/>
    <w:rsid w:val="00544F1E"/>
    <w:rsid w:val="00550821"/>
    <w:rsid w:val="0055698E"/>
    <w:rsid w:val="00582088"/>
    <w:rsid w:val="00586689"/>
    <w:rsid w:val="005A216F"/>
    <w:rsid w:val="005A4187"/>
    <w:rsid w:val="005B4BD7"/>
    <w:rsid w:val="005C5620"/>
    <w:rsid w:val="005D1954"/>
    <w:rsid w:val="005E2C1A"/>
    <w:rsid w:val="00623C36"/>
    <w:rsid w:val="00637543"/>
    <w:rsid w:val="00645B0F"/>
    <w:rsid w:val="006462D9"/>
    <w:rsid w:val="006A1982"/>
    <w:rsid w:val="006C66D6"/>
    <w:rsid w:val="006D1366"/>
    <w:rsid w:val="006D2E74"/>
    <w:rsid w:val="00704A20"/>
    <w:rsid w:val="00710D5F"/>
    <w:rsid w:val="0071246B"/>
    <w:rsid w:val="00756B1C"/>
    <w:rsid w:val="007C361A"/>
    <w:rsid w:val="007D226F"/>
    <w:rsid w:val="007D41B8"/>
    <w:rsid w:val="007F0120"/>
    <w:rsid w:val="007F3707"/>
    <w:rsid w:val="00845350"/>
    <w:rsid w:val="00877D12"/>
    <w:rsid w:val="008815D4"/>
    <w:rsid w:val="008B1239"/>
    <w:rsid w:val="008E1065"/>
    <w:rsid w:val="008E70A8"/>
    <w:rsid w:val="00943EBD"/>
    <w:rsid w:val="009447A3"/>
    <w:rsid w:val="00970B63"/>
    <w:rsid w:val="009A34AC"/>
    <w:rsid w:val="009C1E4D"/>
    <w:rsid w:val="00A05CE9"/>
    <w:rsid w:val="00A314F0"/>
    <w:rsid w:val="00AD06E4"/>
    <w:rsid w:val="00AD2F65"/>
    <w:rsid w:val="00AE50A9"/>
    <w:rsid w:val="00B16DF9"/>
    <w:rsid w:val="00BB1975"/>
    <w:rsid w:val="00BC5F2D"/>
    <w:rsid w:val="00BD2389"/>
    <w:rsid w:val="00BE1D67"/>
    <w:rsid w:val="00BE5003"/>
    <w:rsid w:val="00BE6D3E"/>
    <w:rsid w:val="00C059AB"/>
    <w:rsid w:val="00C67FFD"/>
    <w:rsid w:val="00C80A0F"/>
    <w:rsid w:val="00C85C1F"/>
    <w:rsid w:val="00CA5EF3"/>
    <w:rsid w:val="00CB2BB5"/>
    <w:rsid w:val="00D30DAF"/>
    <w:rsid w:val="00D471A9"/>
    <w:rsid w:val="00D527A2"/>
    <w:rsid w:val="00D8768E"/>
    <w:rsid w:val="00DC654D"/>
    <w:rsid w:val="00DD0317"/>
    <w:rsid w:val="00DF47D6"/>
    <w:rsid w:val="00DF75F2"/>
    <w:rsid w:val="00E165B8"/>
    <w:rsid w:val="00E260AB"/>
    <w:rsid w:val="00E77F4E"/>
    <w:rsid w:val="00EA1D56"/>
    <w:rsid w:val="00EA2AE5"/>
    <w:rsid w:val="00EE2AEA"/>
    <w:rsid w:val="00EE2CFA"/>
    <w:rsid w:val="00EF5390"/>
    <w:rsid w:val="00F2348E"/>
    <w:rsid w:val="00F451F5"/>
    <w:rsid w:val="00F676B8"/>
    <w:rsid w:val="00FB4E64"/>
    <w:rsid w:val="00FF798A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AB77E168-6E82-4FA4-A583-D1847ADD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table" w:styleId="TableGrid">
    <w:name w:val="Table Grid"/>
    <w:basedOn w:val="TableNormal"/>
    <w:rsid w:val="005569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5698E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EA2AE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9</TotalTime>
  <Pages>1</Pages>
  <Words>764</Words>
  <Characters>997</Characters>
  <Application>Microsoft Office Word</Application>
  <DocSecurity>0</DocSecurity>
  <Lines>118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Xu, Hui</dc:creator>
  <cp:keywords/>
  <dc:description>Document /1004-E  For: _x000d_Document date: 30 March 2007_x000d_Saved by PCW43981 at 15:42:54 on 05.04.2007</dc:description>
  <cp:lastModifiedBy>Yuan, Tianxiang</cp:lastModifiedBy>
  <cp:revision>4</cp:revision>
  <cp:lastPrinted>2015-10-22T12:51:00Z</cp:lastPrinted>
  <dcterms:created xsi:type="dcterms:W3CDTF">2015-10-22T12:40:00Z</dcterms:created>
  <dcterms:modified xsi:type="dcterms:W3CDTF">2015-10-22T12:51:00Z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