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C2AC8" w:rsidRPr="00AC5559">
        <w:trPr>
          <w:cantSplit/>
        </w:trPr>
        <w:tc>
          <w:tcPr>
            <w:tcW w:w="6345" w:type="dxa"/>
          </w:tcPr>
          <w:p w:rsidR="004C2AC8" w:rsidRPr="00AC5559" w:rsidRDefault="00F37B49" w:rsidP="005335D1">
            <w:pPr>
              <w:spacing w:before="400" w:after="48" w:line="240" w:lineRule="atLeast"/>
              <w:rPr>
                <w:rFonts w:ascii="Verdana" w:hAnsi="Verdana"/>
                <w:position w:val="6"/>
              </w:rPr>
            </w:pPr>
            <w:bookmarkStart w:id="0" w:name="dbluepink" w:colFirst="0" w:colLast="0"/>
            <w:r w:rsidRPr="00555773">
              <w:rPr>
                <w:rFonts w:ascii="Verdana" w:hAnsi="Verdana" w:cs="Times New Roman Bold"/>
                <w:b/>
                <w:szCs w:val="24"/>
              </w:rPr>
              <w:t>Asamblea de Radiocomunicaciones (AR-15)</w:t>
            </w:r>
            <w:r w:rsidRPr="00555773">
              <w:rPr>
                <w:rFonts w:ascii="Verdana" w:hAnsi="Verdana" w:cs="Times"/>
                <w:b/>
                <w:position w:val="6"/>
                <w:sz w:val="20"/>
              </w:rPr>
              <w:t xml:space="preserve"> </w:t>
            </w:r>
            <w:r w:rsidRPr="00555773">
              <w:rPr>
                <w:rFonts w:ascii="Verdana" w:hAnsi="Verdana" w:cs="Times"/>
                <w:b/>
                <w:position w:val="6"/>
                <w:sz w:val="20"/>
              </w:rPr>
              <w:br/>
            </w:r>
            <w:r w:rsidRPr="00555773">
              <w:rPr>
                <w:rFonts w:ascii="Verdana" w:hAnsi="Verdana" w:cs="Times New Roman Bold"/>
                <w:b/>
                <w:bCs/>
                <w:sz w:val="20"/>
              </w:rPr>
              <w:t>Ginebra, 26-30 de octubre de 2015</w:t>
            </w:r>
            <w:bookmarkStart w:id="1" w:name="_GoBack"/>
            <w:bookmarkEnd w:id="1"/>
          </w:p>
        </w:tc>
        <w:tc>
          <w:tcPr>
            <w:tcW w:w="3686" w:type="dxa"/>
          </w:tcPr>
          <w:p w:rsidR="004C2AC8" w:rsidRPr="00AC5559" w:rsidRDefault="004C2AC8" w:rsidP="005335D1">
            <w:pPr>
              <w:spacing w:line="240" w:lineRule="atLeast"/>
              <w:jc w:val="right"/>
            </w:pPr>
            <w:bookmarkStart w:id="2" w:name="ditulogo"/>
            <w:bookmarkEnd w:id="2"/>
            <w:r w:rsidRPr="00AC5559">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C2AC8" w:rsidRPr="00AC5559">
        <w:trPr>
          <w:cantSplit/>
        </w:trPr>
        <w:tc>
          <w:tcPr>
            <w:tcW w:w="6345" w:type="dxa"/>
            <w:tcBorders>
              <w:bottom w:val="single" w:sz="12" w:space="0" w:color="auto"/>
            </w:tcBorders>
          </w:tcPr>
          <w:p w:rsidR="004C2AC8" w:rsidRPr="00AC5559" w:rsidRDefault="004C2AC8" w:rsidP="004C2AC8">
            <w:pPr>
              <w:spacing w:before="0" w:after="48" w:line="240" w:lineRule="atLeast"/>
              <w:rPr>
                <w:b/>
                <w:smallCaps/>
                <w:szCs w:val="24"/>
              </w:rPr>
            </w:pPr>
            <w:bookmarkStart w:id="3" w:name="dhead"/>
            <w:r w:rsidRPr="00AC5559">
              <w:rPr>
                <w:rFonts w:ascii="Verdana" w:hAnsi="Verdana"/>
                <w:b/>
                <w:smallCaps/>
                <w:sz w:val="20"/>
              </w:rPr>
              <w:t>UNIÓN INTERNACIONAL DE TELECOMUNICACIONES</w:t>
            </w:r>
          </w:p>
        </w:tc>
        <w:tc>
          <w:tcPr>
            <w:tcW w:w="3686" w:type="dxa"/>
            <w:tcBorders>
              <w:bottom w:val="single" w:sz="12" w:space="0" w:color="auto"/>
            </w:tcBorders>
          </w:tcPr>
          <w:p w:rsidR="004C2AC8" w:rsidRPr="00AC5559" w:rsidRDefault="004C2AC8" w:rsidP="004C2AC8">
            <w:pPr>
              <w:spacing w:before="0" w:line="240" w:lineRule="atLeast"/>
              <w:rPr>
                <w:rFonts w:ascii="Verdana" w:hAnsi="Verdana"/>
                <w:szCs w:val="24"/>
              </w:rPr>
            </w:pPr>
          </w:p>
        </w:tc>
      </w:tr>
      <w:tr w:rsidR="004C2AC8" w:rsidRPr="00AC5559">
        <w:trPr>
          <w:cantSplit/>
        </w:trPr>
        <w:tc>
          <w:tcPr>
            <w:tcW w:w="6345" w:type="dxa"/>
            <w:tcBorders>
              <w:top w:val="single" w:sz="12" w:space="0" w:color="auto"/>
            </w:tcBorders>
          </w:tcPr>
          <w:p w:rsidR="004C2AC8" w:rsidRPr="00AC5559" w:rsidRDefault="004C2AC8" w:rsidP="004C2AC8">
            <w:pPr>
              <w:spacing w:before="0" w:after="48" w:line="240" w:lineRule="atLeast"/>
              <w:rPr>
                <w:rFonts w:ascii="Verdana" w:hAnsi="Verdana"/>
                <w:b/>
                <w:smallCaps/>
                <w:sz w:val="20"/>
              </w:rPr>
            </w:pPr>
          </w:p>
        </w:tc>
        <w:tc>
          <w:tcPr>
            <w:tcW w:w="3686" w:type="dxa"/>
            <w:tcBorders>
              <w:top w:val="single" w:sz="12" w:space="0" w:color="auto"/>
            </w:tcBorders>
          </w:tcPr>
          <w:p w:rsidR="004C2AC8" w:rsidRPr="00AC5559" w:rsidRDefault="004C2AC8" w:rsidP="004C2AC8">
            <w:pPr>
              <w:spacing w:before="0" w:line="240" w:lineRule="atLeast"/>
              <w:rPr>
                <w:rFonts w:ascii="Verdana" w:hAnsi="Verdana"/>
                <w:sz w:val="20"/>
              </w:rPr>
            </w:pPr>
          </w:p>
        </w:tc>
      </w:tr>
      <w:tr w:rsidR="004C2AC8" w:rsidRPr="00AC5559">
        <w:trPr>
          <w:cantSplit/>
          <w:trHeight w:val="23"/>
        </w:trPr>
        <w:tc>
          <w:tcPr>
            <w:tcW w:w="6345" w:type="dxa"/>
            <w:vMerge w:val="restart"/>
          </w:tcPr>
          <w:p w:rsidR="004C2AC8" w:rsidRPr="00AC5559" w:rsidRDefault="004C2AC8" w:rsidP="004C2AC8">
            <w:pPr>
              <w:tabs>
                <w:tab w:val="left" w:pos="851"/>
              </w:tabs>
              <w:spacing w:before="0" w:line="240" w:lineRule="atLeast"/>
              <w:rPr>
                <w:rFonts w:ascii="Verdana" w:hAnsi="Verdana"/>
                <w:sz w:val="20"/>
              </w:rPr>
            </w:pPr>
            <w:bookmarkStart w:id="4" w:name="dnum" w:colFirst="1" w:colLast="1"/>
            <w:bookmarkStart w:id="5" w:name="dmeeting" w:colFirst="0" w:colLast="0"/>
            <w:bookmarkEnd w:id="3"/>
          </w:p>
        </w:tc>
        <w:tc>
          <w:tcPr>
            <w:tcW w:w="3686" w:type="dxa"/>
          </w:tcPr>
          <w:p w:rsidR="004C2AC8" w:rsidRPr="00AC5559" w:rsidRDefault="004C2AC8" w:rsidP="004C2AC8">
            <w:pPr>
              <w:tabs>
                <w:tab w:val="left" w:pos="851"/>
              </w:tabs>
              <w:spacing w:before="0" w:line="240" w:lineRule="atLeast"/>
              <w:rPr>
                <w:rFonts w:ascii="Verdana" w:hAnsi="Verdana"/>
                <w:sz w:val="20"/>
              </w:rPr>
            </w:pPr>
            <w:r w:rsidRPr="00AC5559">
              <w:rPr>
                <w:rFonts w:ascii="Verdana" w:hAnsi="Verdana"/>
                <w:b/>
                <w:sz w:val="20"/>
              </w:rPr>
              <w:t>Documento 7/1002-S</w:t>
            </w:r>
          </w:p>
        </w:tc>
      </w:tr>
      <w:tr w:rsidR="004C2AC8" w:rsidRPr="00AC5559">
        <w:trPr>
          <w:cantSplit/>
          <w:trHeight w:val="23"/>
        </w:trPr>
        <w:tc>
          <w:tcPr>
            <w:tcW w:w="6345" w:type="dxa"/>
            <w:vMerge/>
          </w:tcPr>
          <w:p w:rsidR="004C2AC8" w:rsidRPr="00AC5559" w:rsidRDefault="004C2AC8">
            <w:pPr>
              <w:tabs>
                <w:tab w:val="left" w:pos="851"/>
              </w:tabs>
              <w:spacing w:line="240" w:lineRule="atLeast"/>
              <w:rPr>
                <w:rFonts w:ascii="Verdana" w:hAnsi="Verdana"/>
                <w:b/>
                <w:sz w:val="20"/>
              </w:rPr>
            </w:pPr>
            <w:bookmarkStart w:id="6" w:name="ddate" w:colFirst="1" w:colLast="1"/>
            <w:bookmarkEnd w:id="4"/>
            <w:bookmarkEnd w:id="5"/>
          </w:p>
        </w:tc>
        <w:tc>
          <w:tcPr>
            <w:tcW w:w="3686" w:type="dxa"/>
          </w:tcPr>
          <w:p w:rsidR="004C2AC8" w:rsidRPr="00AC5559" w:rsidRDefault="004C2AC8" w:rsidP="004C2AC8">
            <w:pPr>
              <w:tabs>
                <w:tab w:val="left" w:pos="993"/>
              </w:tabs>
              <w:spacing w:before="0"/>
              <w:rPr>
                <w:rFonts w:ascii="Verdana" w:hAnsi="Verdana"/>
                <w:sz w:val="20"/>
              </w:rPr>
            </w:pPr>
            <w:r w:rsidRPr="00AC5559">
              <w:rPr>
                <w:rFonts w:ascii="Verdana" w:hAnsi="Verdana"/>
                <w:b/>
                <w:sz w:val="20"/>
              </w:rPr>
              <w:t>26 de agosto de 2015</w:t>
            </w:r>
          </w:p>
        </w:tc>
      </w:tr>
      <w:tr w:rsidR="004C2AC8" w:rsidRPr="00AC5559">
        <w:trPr>
          <w:cantSplit/>
          <w:trHeight w:val="23"/>
        </w:trPr>
        <w:tc>
          <w:tcPr>
            <w:tcW w:w="6345" w:type="dxa"/>
            <w:vMerge/>
          </w:tcPr>
          <w:p w:rsidR="004C2AC8" w:rsidRPr="00AC5559" w:rsidRDefault="004C2AC8">
            <w:pPr>
              <w:tabs>
                <w:tab w:val="left" w:pos="851"/>
              </w:tabs>
              <w:spacing w:line="240" w:lineRule="atLeast"/>
              <w:rPr>
                <w:rFonts w:ascii="Verdana" w:hAnsi="Verdana"/>
                <w:b/>
                <w:sz w:val="20"/>
              </w:rPr>
            </w:pPr>
            <w:bookmarkStart w:id="7" w:name="dorlang" w:colFirst="1" w:colLast="1"/>
            <w:bookmarkEnd w:id="6"/>
          </w:p>
        </w:tc>
        <w:tc>
          <w:tcPr>
            <w:tcW w:w="3686" w:type="dxa"/>
          </w:tcPr>
          <w:p w:rsidR="004C2AC8" w:rsidRPr="00AC5559" w:rsidRDefault="004C2AC8">
            <w:pPr>
              <w:tabs>
                <w:tab w:val="left" w:pos="993"/>
              </w:tabs>
              <w:rPr>
                <w:rFonts w:ascii="Verdana" w:hAnsi="Verdana"/>
                <w:b/>
                <w:sz w:val="20"/>
              </w:rPr>
            </w:pPr>
          </w:p>
        </w:tc>
      </w:tr>
    </w:tbl>
    <w:tbl>
      <w:tblPr>
        <w:tblW w:w="10031" w:type="dxa"/>
        <w:tblLayout w:type="fixed"/>
        <w:tblLook w:val="0000" w:firstRow="0" w:lastRow="0" w:firstColumn="0" w:lastColumn="0" w:noHBand="0" w:noVBand="0"/>
      </w:tblPr>
      <w:tblGrid>
        <w:gridCol w:w="10031"/>
      </w:tblGrid>
      <w:tr w:rsidR="004C2AC8" w:rsidRPr="00AC5559">
        <w:trPr>
          <w:cantSplit/>
        </w:trPr>
        <w:tc>
          <w:tcPr>
            <w:tcW w:w="10031" w:type="dxa"/>
          </w:tcPr>
          <w:p w:rsidR="004C2AC8" w:rsidRPr="00AC5559" w:rsidRDefault="004C2AC8">
            <w:pPr>
              <w:pStyle w:val="Source"/>
            </w:pPr>
            <w:bookmarkStart w:id="8" w:name="dsource" w:colFirst="0" w:colLast="0"/>
            <w:bookmarkEnd w:id="0"/>
            <w:bookmarkEnd w:id="7"/>
            <w:r w:rsidRPr="00AC5559">
              <w:t>Comisión de Estudio 7 de Radiocomunicaciones</w:t>
            </w:r>
          </w:p>
        </w:tc>
      </w:tr>
      <w:tr w:rsidR="004C2AC8" w:rsidRPr="00AC5559">
        <w:trPr>
          <w:cantSplit/>
        </w:trPr>
        <w:tc>
          <w:tcPr>
            <w:tcW w:w="10031" w:type="dxa"/>
          </w:tcPr>
          <w:p w:rsidR="004C2AC8" w:rsidRPr="00AC5559" w:rsidRDefault="004C2AC8">
            <w:pPr>
              <w:pStyle w:val="Title1"/>
            </w:pPr>
            <w:bookmarkStart w:id="9" w:name="dtitle1" w:colFirst="0" w:colLast="0"/>
            <w:bookmarkEnd w:id="8"/>
            <w:r w:rsidRPr="00AC5559">
              <w:t>servicios científicos</w:t>
            </w:r>
          </w:p>
        </w:tc>
      </w:tr>
      <w:tr w:rsidR="004C2AC8" w:rsidRPr="00AC5559">
        <w:trPr>
          <w:cantSplit/>
        </w:trPr>
        <w:tc>
          <w:tcPr>
            <w:tcW w:w="10031" w:type="dxa"/>
          </w:tcPr>
          <w:p w:rsidR="004C2AC8" w:rsidRPr="00AC5559" w:rsidRDefault="004C2AC8">
            <w:pPr>
              <w:pStyle w:val="Title2"/>
            </w:pPr>
            <w:bookmarkStart w:id="10" w:name="dtitle2" w:colFirst="0" w:colLast="0"/>
            <w:bookmarkEnd w:id="9"/>
            <w:r w:rsidRPr="00AC5559">
              <w:t>lista de recomendaciones</w:t>
            </w:r>
          </w:p>
        </w:tc>
      </w:tr>
      <w:bookmarkEnd w:id="10"/>
    </w:tbl>
    <w:p w:rsidR="006F395C" w:rsidRPr="00AC5559" w:rsidRDefault="006F395C" w:rsidP="006F395C"/>
    <w:p w:rsidR="006F395C" w:rsidRPr="00AC5559" w:rsidRDefault="006F395C" w:rsidP="006F395C">
      <w:pPr>
        <w:tabs>
          <w:tab w:val="clear" w:pos="1134"/>
          <w:tab w:val="clear" w:pos="1871"/>
          <w:tab w:val="clear" w:pos="2268"/>
        </w:tabs>
        <w:overflowPunct/>
        <w:autoSpaceDE/>
        <w:autoSpaceDN/>
        <w:adjustRightInd/>
        <w:spacing w:before="0"/>
        <w:textAlignment w:val="auto"/>
      </w:pPr>
    </w:p>
    <w:p w:rsidR="006F395C" w:rsidRPr="00AC5559" w:rsidRDefault="006F395C" w:rsidP="006F395C">
      <w:pPr>
        <w:tabs>
          <w:tab w:val="left" w:pos="794"/>
          <w:tab w:val="left" w:pos="1191"/>
          <w:tab w:val="left" w:pos="1588"/>
          <w:tab w:val="left" w:pos="1985"/>
        </w:tabs>
        <w:rPr>
          <w:szCs w:val="24"/>
        </w:rPr>
      </w:pPr>
    </w:p>
    <w:p w:rsidR="006F395C" w:rsidRPr="00AC5559" w:rsidRDefault="006F395C" w:rsidP="006F395C">
      <w:pPr>
        <w:pStyle w:val="Headingb"/>
      </w:pPr>
      <w:r w:rsidRPr="00AC5559">
        <w:t>Recomendaciones</w:t>
      </w:r>
      <w:r w:rsidRPr="00AC5559">
        <w:t xml:space="preserve"> UIT</w:t>
      </w:r>
      <w:r w:rsidRPr="00AC5559">
        <w:noBreakHyphen/>
        <w:t>R de la serie RA</w:t>
      </w:r>
    </w:p>
    <w:p w:rsidR="006F395C" w:rsidRPr="00AC5559" w:rsidRDefault="006F395C" w:rsidP="006F395C">
      <w:pPr>
        <w:pStyle w:val="Headingb"/>
      </w:pPr>
      <w:r w:rsidRPr="00AC5559">
        <w:t>Recomendaciones UIT</w:t>
      </w:r>
      <w:r w:rsidRPr="00AC5559">
        <w:noBreakHyphen/>
        <w:t>R de la serie SA</w:t>
      </w:r>
    </w:p>
    <w:p w:rsidR="006F395C" w:rsidRPr="00AC5559" w:rsidRDefault="006F395C" w:rsidP="006F395C">
      <w:pPr>
        <w:pStyle w:val="Headingb"/>
      </w:pPr>
      <w:r w:rsidRPr="00AC5559">
        <w:t>Recomendaciones UIT</w:t>
      </w:r>
      <w:r w:rsidRPr="00AC5559">
        <w:noBreakHyphen/>
        <w:t>R de la serie TF</w:t>
      </w:r>
    </w:p>
    <w:p w:rsidR="006F395C" w:rsidRPr="00AC5559" w:rsidRDefault="006F395C" w:rsidP="006F395C">
      <w:pPr>
        <w:pStyle w:val="Headingb"/>
      </w:pPr>
      <w:r w:rsidRPr="00AC5559">
        <w:t>Recomendaciones UIT</w:t>
      </w:r>
      <w:r w:rsidRPr="00AC5559">
        <w:noBreakHyphen/>
        <w:t>R de la serie RS</w:t>
      </w:r>
    </w:p>
    <w:p w:rsidR="006F395C" w:rsidRPr="00AC5559" w:rsidRDefault="006F395C" w:rsidP="006F395C">
      <w:pPr>
        <w:tabs>
          <w:tab w:val="left" w:pos="794"/>
          <w:tab w:val="left" w:pos="1191"/>
          <w:tab w:val="left" w:pos="1588"/>
          <w:tab w:val="left" w:pos="1985"/>
        </w:tabs>
        <w:rPr>
          <w:szCs w:val="24"/>
        </w:rPr>
      </w:pPr>
    </w:p>
    <w:p w:rsidR="006F395C" w:rsidRPr="00AC5559" w:rsidRDefault="006F395C" w:rsidP="006F395C">
      <w:pPr>
        <w:tabs>
          <w:tab w:val="left" w:pos="794"/>
          <w:tab w:val="left" w:pos="1191"/>
          <w:tab w:val="left" w:pos="1588"/>
          <w:tab w:val="left" w:pos="1985"/>
        </w:tabs>
        <w:rPr>
          <w:szCs w:val="24"/>
        </w:rPr>
      </w:pPr>
    </w:p>
    <w:p w:rsidR="006F395C" w:rsidRPr="00AC5559" w:rsidRDefault="006F395C" w:rsidP="006F395C">
      <w:pPr>
        <w:tabs>
          <w:tab w:val="left" w:pos="794"/>
          <w:tab w:val="left" w:pos="1191"/>
          <w:tab w:val="left" w:pos="1588"/>
          <w:tab w:val="left" w:pos="1985"/>
        </w:tabs>
        <w:rPr>
          <w:szCs w:val="24"/>
        </w:rPr>
      </w:pPr>
    </w:p>
    <w:p w:rsidR="006F395C" w:rsidRPr="00AC5559" w:rsidRDefault="006F395C" w:rsidP="006F395C">
      <w:pPr>
        <w:tabs>
          <w:tab w:val="left" w:pos="794"/>
          <w:tab w:val="left" w:pos="1191"/>
          <w:tab w:val="left" w:pos="1588"/>
          <w:tab w:val="left" w:pos="1985"/>
        </w:tabs>
        <w:rPr>
          <w:szCs w:val="24"/>
        </w:rPr>
      </w:pPr>
    </w:p>
    <w:tbl>
      <w:tblPr>
        <w:tblW w:w="0" w:type="auto"/>
        <w:jc w:val="center"/>
        <w:tblLayout w:type="fixed"/>
        <w:tblLook w:val="0000" w:firstRow="0" w:lastRow="0" w:firstColumn="0" w:lastColumn="0" w:noHBand="0" w:noVBand="0"/>
      </w:tblPr>
      <w:tblGrid>
        <w:gridCol w:w="1757"/>
        <w:gridCol w:w="1836"/>
        <w:gridCol w:w="2019"/>
        <w:gridCol w:w="1666"/>
        <w:gridCol w:w="1961"/>
      </w:tblGrid>
      <w:tr w:rsidR="006F395C" w:rsidRPr="00AC5559" w:rsidTr="005E25B1">
        <w:trPr>
          <w:trHeight w:val="1032"/>
          <w:jc w:val="center"/>
        </w:trPr>
        <w:tc>
          <w:tcPr>
            <w:tcW w:w="1757" w:type="dxa"/>
            <w:tcBorders>
              <w:top w:val="single" w:sz="6" w:space="0" w:color="auto"/>
              <w:left w:val="single" w:sz="6" w:space="0" w:color="auto"/>
              <w:bottom w:val="single" w:sz="6" w:space="0" w:color="auto"/>
              <w:right w:val="single" w:sz="6" w:space="0" w:color="auto"/>
            </w:tcBorders>
            <w:vAlign w:val="center"/>
          </w:tcPr>
          <w:p w:rsidR="006F395C" w:rsidRPr="00AC5559" w:rsidRDefault="006F395C" w:rsidP="000D1305">
            <w:pPr>
              <w:tabs>
                <w:tab w:val="left" w:pos="794"/>
                <w:tab w:val="left" w:pos="1191"/>
                <w:tab w:val="left" w:pos="1588"/>
                <w:tab w:val="left" w:pos="1985"/>
              </w:tabs>
              <w:spacing w:before="60" w:after="60"/>
              <w:jc w:val="center"/>
              <w:rPr>
                <w:szCs w:val="24"/>
              </w:rPr>
            </w:pPr>
            <w:r w:rsidRPr="00AC5559">
              <w:rPr>
                <w:b/>
                <w:bCs/>
                <w:szCs w:val="24"/>
              </w:rPr>
              <w:t>NOC =</w:t>
            </w:r>
            <w:r w:rsidRPr="00AC5559">
              <w:rPr>
                <w:szCs w:val="24"/>
              </w:rPr>
              <w:t xml:space="preserve"> Mantenido</w:t>
            </w:r>
          </w:p>
        </w:tc>
        <w:tc>
          <w:tcPr>
            <w:tcW w:w="1836" w:type="dxa"/>
            <w:tcBorders>
              <w:top w:val="single" w:sz="6" w:space="0" w:color="auto"/>
              <w:left w:val="single" w:sz="6" w:space="0" w:color="auto"/>
              <w:bottom w:val="single" w:sz="6" w:space="0" w:color="auto"/>
              <w:right w:val="single" w:sz="6" w:space="0" w:color="auto"/>
            </w:tcBorders>
            <w:vAlign w:val="center"/>
          </w:tcPr>
          <w:p w:rsidR="006F395C" w:rsidRPr="00AC5559" w:rsidRDefault="006F395C" w:rsidP="000D1305">
            <w:pPr>
              <w:tabs>
                <w:tab w:val="left" w:pos="794"/>
                <w:tab w:val="left" w:pos="1191"/>
                <w:tab w:val="left" w:pos="1588"/>
                <w:tab w:val="left" w:pos="1985"/>
              </w:tabs>
              <w:spacing w:before="60" w:after="60"/>
              <w:jc w:val="center"/>
              <w:rPr>
                <w:szCs w:val="24"/>
              </w:rPr>
            </w:pPr>
            <w:r w:rsidRPr="00AC5559">
              <w:rPr>
                <w:b/>
                <w:bCs/>
                <w:szCs w:val="24"/>
              </w:rPr>
              <w:t>MOD =</w:t>
            </w:r>
            <w:r w:rsidRPr="00AC5559">
              <w:rPr>
                <w:szCs w:val="24"/>
              </w:rPr>
              <w:t xml:space="preserve"> Revisado</w:t>
            </w:r>
          </w:p>
        </w:tc>
        <w:tc>
          <w:tcPr>
            <w:tcW w:w="2019" w:type="dxa"/>
            <w:tcBorders>
              <w:top w:val="single" w:sz="6" w:space="0" w:color="auto"/>
              <w:left w:val="single" w:sz="6" w:space="0" w:color="auto"/>
              <w:bottom w:val="single" w:sz="6" w:space="0" w:color="auto"/>
              <w:right w:val="single" w:sz="6" w:space="0" w:color="auto"/>
            </w:tcBorders>
            <w:vAlign w:val="center"/>
          </w:tcPr>
          <w:p w:rsidR="006F395C" w:rsidRPr="00AC5559" w:rsidRDefault="006F395C" w:rsidP="000D1305">
            <w:pPr>
              <w:tabs>
                <w:tab w:val="left" w:pos="794"/>
                <w:tab w:val="left" w:pos="1191"/>
                <w:tab w:val="left" w:pos="1588"/>
                <w:tab w:val="left" w:pos="1985"/>
              </w:tabs>
              <w:spacing w:before="60" w:after="60"/>
              <w:jc w:val="center"/>
              <w:rPr>
                <w:szCs w:val="24"/>
              </w:rPr>
            </w:pPr>
            <w:r w:rsidRPr="00AC5559">
              <w:rPr>
                <w:b/>
                <w:bCs/>
                <w:szCs w:val="24"/>
              </w:rPr>
              <w:t>SUP =</w:t>
            </w:r>
            <w:r w:rsidRPr="00AC5559">
              <w:rPr>
                <w:szCs w:val="24"/>
              </w:rPr>
              <w:t xml:space="preserve"> </w:t>
            </w:r>
            <w:r w:rsidR="004B1C3C" w:rsidRPr="00AC5559">
              <w:rPr>
                <w:szCs w:val="24"/>
              </w:rPr>
              <w:br/>
            </w:r>
            <w:r w:rsidRPr="00AC5559">
              <w:rPr>
                <w:szCs w:val="24"/>
              </w:rPr>
              <w:t>Suprimido</w:t>
            </w:r>
          </w:p>
        </w:tc>
        <w:tc>
          <w:tcPr>
            <w:tcW w:w="1666" w:type="dxa"/>
            <w:tcBorders>
              <w:top w:val="single" w:sz="6" w:space="0" w:color="auto"/>
              <w:left w:val="single" w:sz="6" w:space="0" w:color="auto"/>
              <w:bottom w:val="single" w:sz="6" w:space="0" w:color="auto"/>
              <w:right w:val="single" w:sz="6" w:space="0" w:color="auto"/>
            </w:tcBorders>
            <w:vAlign w:val="center"/>
          </w:tcPr>
          <w:p w:rsidR="006F395C" w:rsidRPr="00AC5559" w:rsidRDefault="006F395C" w:rsidP="000D1305">
            <w:pPr>
              <w:tabs>
                <w:tab w:val="left" w:pos="794"/>
                <w:tab w:val="left" w:pos="1191"/>
                <w:tab w:val="left" w:pos="1588"/>
                <w:tab w:val="left" w:pos="1985"/>
              </w:tabs>
              <w:spacing w:before="60" w:after="60"/>
              <w:jc w:val="center"/>
              <w:rPr>
                <w:szCs w:val="24"/>
              </w:rPr>
            </w:pPr>
            <w:r w:rsidRPr="00AC5559">
              <w:rPr>
                <w:b/>
                <w:bCs/>
                <w:szCs w:val="24"/>
              </w:rPr>
              <w:t>ADD =</w:t>
            </w:r>
            <w:r w:rsidRPr="00AC5559">
              <w:rPr>
                <w:szCs w:val="24"/>
              </w:rPr>
              <w:br/>
              <w:t>Nuevo texto</w:t>
            </w:r>
          </w:p>
        </w:tc>
        <w:tc>
          <w:tcPr>
            <w:tcW w:w="1961" w:type="dxa"/>
            <w:tcBorders>
              <w:top w:val="single" w:sz="6" w:space="0" w:color="auto"/>
              <w:left w:val="single" w:sz="6" w:space="0" w:color="auto"/>
              <w:bottom w:val="single" w:sz="6" w:space="0" w:color="auto"/>
              <w:right w:val="single" w:sz="6" w:space="0" w:color="auto"/>
            </w:tcBorders>
            <w:vAlign w:val="center"/>
          </w:tcPr>
          <w:p w:rsidR="006F395C" w:rsidRPr="00AC5559" w:rsidRDefault="006F395C" w:rsidP="000D1305">
            <w:pPr>
              <w:tabs>
                <w:tab w:val="left" w:pos="794"/>
                <w:tab w:val="left" w:pos="1191"/>
                <w:tab w:val="left" w:pos="1588"/>
                <w:tab w:val="left" w:pos="1985"/>
              </w:tabs>
              <w:spacing w:before="60" w:after="60"/>
              <w:jc w:val="center"/>
              <w:rPr>
                <w:szCs w:val="24"/>
              </w:rPr>
            </w:pPr>
            <w:r w:rsidRPr="00AC5559">
              <w:rPr>
                <w:b/>
                <w:bCs/>
                <w:szCs w:val="24"/>
              </w:rPr>
              <w:t>UNA =</w:t>
            </w:r>
            <w:r w:rsidRPr="00AC5559">
              <w:rPr>
                <w:b/>
                <w:bCs/>
                <w:szCs w:val="24"/>
              </w:rPr>
              <w:br/>
            </w:r>
            <w:r w:rsidRPr="00AC5559">
              <w:rPr>
                <w:szCs w:val="24"/>
              </w:rPr>
              <w:t>Pendiente de aprobación</w:t>
            </w:r>
          </w:p>
        </w:tc>
      </w:tr>
    </w:tbl>
    <w:p w:rsidR="00BB3E1E" w:rsidRPr="00AC5559" w:rsidRDefault="006F395C" w:rsidP="00BB3E1E">
      <w:pPr>
        <w:pStyle w:val="Tabletitle"/>
      </w:pPr>
      <w:r w:rsidRPr="00AC5559">
        <w:br w:type="page"/>
      </w:r>
      <w:r w:rsidR="00BB3E1E" w:rsidRPr="00AC5559">
        <w:lastRenderedPageBreak/>
        <w:t>Radioastronomía</w:t>
      </w:r>
    </w:p>
    <w:tbl>
      <w:tblPr>
        <w:tblW w:w="9747" w:type="dxa"/>
        <w:tblLayout w:type="fixed"/>
        <w:tblLook w:val="0000" w:firstRow="0" w:lastRow="0" w:firstColumn="0" w:lastColumn="0" w:noHBand="0" w:noVBand="0"/>
      </w:tblPr>
      <w:tblGrid>
        <w:gridCol w:w="1455"/>
        <w:gridCol w:w="10"/>
        <w:gridCol w:w="5757"/>
        <w:gridCol w:w="1134"/>
        <w:gridCol w:w="1391"/>
      </w:tblGrid>
      <w:tr w:rsidR="00BB3E1E" w:rsidRPr="00AC5559" w:rsidTr="00C76345">
        <w:tc>
          <w:tcPr>
            <w:tcW w:w="1455"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Rec. UIT-R</w:t>
            </w:r>
          </w:p>
        </w:tc>
        <w:tc>
          <w:tcPr>
            <w:tcW w:w="5767" w:type="dxa"/>
            <w:gridSpan w:val="2"/>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Título de la Recomendación</w:t>
            </w:r>
          </w:p>
        </w:tc>
        <w:tc>
          <w:tcPr>
            <w:tcW w:w="1134" w:type="dxa"/>
            <w:tcBorders>
              <w:top w:val="single" w:sz="6" w:space="0" w:color="auto"/>
              <w:left w:val="single" w:sz="6" w:space="0" w:color="auto"/>
              <w:bottom w:val="single" w:sz="6" w:space="0" w:color="auto"/>
              <w:right w:val="single" w:sz="6" w:space="0" w:color="auto"/>
            </w:tcBorders>
            <w:vAlign w:val="center"/>
          </w:tcPr>
          <w:p w:rsidR="00BB3E1E" w:rsidRPr="00AC5559" w:rsidRDefault="00C76345" w:rsidP="000D1305">
            <w:pPr>
              <w:pStyle w:val="Tablehead"/>
            </w:pPr>
            <w:r>
              <w:t>Acciones por la AR</w:t>
            </w:r>
            <w:r>
              <w:noBreakHyphen/>
            </w:r>
            <w:r w:rsidR="00BB3E1E" w:rsidRPr="00AC5559">
              <w:t>15</w:t>
            </w:r>
          </w:p>
        </w:tc>
        <w:tc>
          <w:tcPr>
            <w:tcW w:w="139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Comentarios</w:t>
            </w:r>
          </w:p>
        </w:tc>
      </w:tr>
      <w:tr w:rsidR="00BB3E1E" w:rsidRPr="00AC5559" w:rsidTr="00C76345">
        <w:tc>
          <w:tcPr>
            <w:tcW w:w="1455"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RA.314-10</w:t>
            </w:r>
          </w:p>
        </w:tc>
        <w:tc>
          <w:tcPr>
            <w:tcW w:w="5767" w:type="dxa"/>
            <w:gridSpan w:val="2"/>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Bandas de frecuencias preferidas para las mediciones radioastronómicas</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RA.479-5</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Protección de las frecuencias para mediciones de radioastronomía en la zona oculta de la Luna</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RA.517-4</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Protección del servicio de radioastronomía contra los transmisores que funcionan en bandas adyacentes</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RA.611-4</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Protección del servicio de radioastronomía contra las emisiones no esenciales</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RA.769-2</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Criterios de protección para las mediciones radioastronómicas</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RA.1031-2</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Protección del servicio de radioastronomía en las bandas de frecuencias compartidas con otros servicios</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RA.1237-2</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rPr>
                <w:b/>
              </w:rPr>
            </w:pPr>
            <w:r w:rsidRPr="00AC5559">
              <w:t>Protección del servicio de radioastronomía contra las emisiones no deseadas, provocadas por aplicaciones de la modulación digital de banda ancha</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RA.1272-1</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Protección de las mediciones radioastronómicas por encima de 60 GHz contra interferencias causadas por equipos situados en tierra</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RA.1417-1</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Zona de silencio radioeléctrico en las proximidades del punto de Lagrange L2 Sol-Tierra</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RA.1513-2</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Niveles de las pérdidas de datos en las observaciones de radioastronomía y criterios sobre el porcentaje de tiempo como resultado de la degradación causada por la interferencia en las bandas de frecuencias atribuidas a título primario al servicio de radioastronomía</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rPr>
                <w:sz w:val="16"/>
                <w:szCs w:val="16"/>
              </w:rPr>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RA.1630-0</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Características técnicas y operacionales de los sistemas astronómicos situados en tierra para ser utilizadas en los estudios de compartición con servicios activos entre 10 THz y 1 000 THz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RA.1631-0</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Diagrama de antena de referencia de radioastronomía para uso en el análisis de compatibilidad entre sistemas no OSG y estaciones del servicio de radioastronomía basado en el concepto de dfpe</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RA.1750-0</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Planificación mutua entre el servicio de exploración de la Tierra por satélite (activo) y el servicio de radioastronomía en las bandas de 94 GHz y 130 GHz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r w:rsidR="00BB3E1E" w:rsidRPr="00AC5559" w:rsidTr="00C76345">
        <w:tc>
          <w:tcPr>
            <w:tcW w:w="1465"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rPr>
                <w:b/>
              </w:rPr>
              <w:t>RA.1860-0</w:t>
            </w:r>
          </w:p>
        </w:tc>
        <w:tc>
          <w:tcPr>
            <w:tcW w:w="5757"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rPr>
                <w:b/>
              </w:rPr>
            </w:pPr>
            <w:r w:rsidRPr="00AC5559">
              <w:t>Bandas de frecuencia preferidas para las mediciones de radioastronomía en la gama 1</w:t>
            </w:r>
            <w:r w:rsidRPr="00AC5559">
              <w:noBreakHyphen/>
              <w:t>3 THz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rP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p>
        </w:tc>
      </w:tr>
    </w:tbl>
    <w:p w:rsidR="00BB3E1E" w:rsidRPr="00AC5559" w:rsidRDefault="00BB3E1E" w:rsidP="00BB3E1E">
      <w:pPr>
        <w:pStyle w:val="Tabletitle"/>
      </w:pPr>
      <w:r w:rsidRPr="00AC5559">
        <w:br w:type="page"/>
      </w:r>
      <w:r w:rsidRPr="00AC5559">
        <w:lastRenderedPageBreak/>
        <w:t>Aplicaciones espaciales y meteorología</w:t>
      </w:r>
    </w:p>
    <w:tbl>
      <w:tblPr>
        <w:tblW w:w="9747" w:type="dxa"/>
        <w:tblLayout w:type="fixed"/>
        <w:tblLook w:val="0000" w:firstRow="0" w:lastRow="0" w:firstColumn="0" w:lastColumn="0" w:noHBand="0" w:noVBand="0"/>
      </w:tblPr>
      <w:tblGrid>
        <w:gridCol w:w="1409"/>
        <w:gridCol w:w="5813"/>
        <w:gridCol w:w="116"/>
        <w:gridCol w:w="992"/>
        <w:gridCol w:w="26"/>
        <w:gridCol w:w="1391"/>
      </w:tblGrid>
      <w:tr w:rsidR="00BB3E1E" w:rsidRPr="00AC5559" w:rsidTr="00644C42">
        <w:tc>
          <w:tcPr>
            <w:tcW w:w="1409"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Rec. UIT-R</w:t>
            </w:r>
          </w:p>
        </w:tc>
        <w:tc>
          <w:tcPr>
            <w:tcW w:w="5813"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Título de la Recomendación</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Acciones por la AR</w:t>
            </w:r>
            <w:r w:rsidRPr="00AC5559">
              <w:noBreakHyphen/>
              <w:t>15</w:t>
            </w:r>
          </w:p>
        </w:tc>
        <w:tc>
          <w:tcPr>
            <w:tcW w:w="139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Comentarios</w:t>
            </w: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SA.363-5</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Sistemas de operaciones espaciales. Frecuencias, anchuras de banda y criterios de protección</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SA.364-5</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Anchuras de banda y frecuencias preferidas para satélites de investigación espacial próximos a la Tierra, tripulados o no tripulados</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SA.509-3</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Diagrama de radiación de referencia de una antena de estación terrena de los servicios de investigación espacial y de radioastronomía, para uso en los cálculos de interferencia y en los procedimientos de coordinación</w:t>
            </w:r>
            <w:r w:rsidR="00C45C8C">
              <w:t>,</w:t>
            </w:r>
            <w:r w:rsidRPr="00AC5559">
              <w:t xml:space="preserve"> para frecuencias inferiores a 30 MHz</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SA.510-2</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Posibilidad de compartición de frecuencias entre el servicio de investigación espacial y otros servicios en las bandas cercanas a 14 y 15 GHz - Interferencia potencial procedente de los sistemas de satélites de retransmisión de datos</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SA.514-3</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interferencia para los sistemas de telemando y transmisión de datos que funcionan en los servicios de exploración de la Tierra por satélite y de meteorología por satélite</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SA.609-2</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protección para los enlaces de radiocomunicación con satélites de investigación espacial, tripulados o no tripulados, próximos a la Tierra</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SA.1014-2</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Requisitos de telecomunicaciones para la investigación del espacio lejano con vuelos tripulados y no tripulados</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SA.1015-1</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Requisitos de anchura de banda para la investigación del espacio lejano</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SA.1016-0</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Consideraciones sobre la compartición en relación con la investigación del espacio lejano</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SA.1018-0</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Sistema ficticio de referencia para los sistemas que comprenden satélites de retransmisión de datos en la órbita geoestacionaria y vehículos espaciales de usuario en órbitas bajas</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SA.1019-0</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Bandas de frecuencias preferidas y sentidos de transmisión para los sistemas de satélites de retransmisión de datos</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SA.1020-0</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Sistema ficticio de referencia para los servicios de exploración de la Tierra por satélite y de meteorología por satélite</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SA.1021-0</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Metodología para determinar los objetivos de calidad de los sistemas que intervienen en los servicios de exploración de la Tierra por satélite y de meteorología por satélite</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SA.1022-1</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Metodología para determinar los criterios de interferencia de los sistemas utilizados por los servicios de exploración de la Tierra por satélite y de meteorología por satélite</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SA.1023-0</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Metodología para determinar los criterios de compartición y coordinación de los sistemas que intervienen en los servicios de exploración de la Tierra por satélite y de meteorología por satélite</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SA.1024-1</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Anchuras de banda necesarias y bandas de frecuencias preferidas para la transmisión de datos desde satélites de exploración de la Tierra (excluyendo satélites meteorológicos)</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SA.1025-3</w:t>
            </w:r>
          </w:p>
        </w:tc>
        <w:tc>
          <w:tcPr>
            <w:tcW w:w="581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calidad para los sistemas de transmisión de datos espacio-Tierra que funcionan en los servicios de exploración de la Tierra por satélite y de meteorología por satélite que utilizan satélites en órbita terrestre baja</w:t>
            </w:r>
          </w:p>
        </w:tc>
        <w:tc>
          <w:tcPr>
            <w:tcW w:w="1134" w:type="dxa"/>
            <w:gridSpan w:val="3"/>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lastRenderedPageBreak/>
              <w:t>Rec. UIT-R</w:t>
            </w:r>
          </w:p>
        </w:tc>
        <w:tc>
          <w:tcPr>
            <w:tcW w:w="5929" w:type="dxa"/>
            <w:gridSpan w:val="2"/>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Título de la Recomendación</w:t>
            </w:r>
          </w:p>
        </w:tc>
        <w:tc>
          <w:tcPr>
            <w:tcW w:w="992"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Acciones por la AR</w:t>
            </w:r>
            <w:r w:rsidRPr="00AC5559">
              <w:noBreakHyphen/>
              <w:t>15</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Comentarios</w:t>
            </w: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SA.1026-4</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interferencia combinada para los sistemas de transmisión de datos espacio-Tierra que funcionan en los servicios de exploración de la Tierra por satélite y de meteorología por satélite que utilizan satélites de órbita baja</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SA.1027-4</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compartición para los sistemas de transmisión de datos espacio-Tierra de los servicios de exploración de la Tierra por satélite y de meteorología por satélite que utilizan satélites de órbita terrestre baja</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SA.1030-0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Requisitos de telecomunicación de los sistemas de satélite para geodesia y la geodinámica</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SA.1154-0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Disposiciones para proteger los servicios de investigación espacial (IE), operaciones espaciales (OE) y exploración de la Tierra por satélite (ETS) y facilitar la compartición con el servicio móvil en las bandas 2 025-2 110 MHz y 2 200</w:t>
            </w:r>
            <w:r w:rsidRPr="00AC5559">
              <w:noBreakHyphen/>
              <w:t>2 290 MHz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SA.1155-1</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protección relativos a la explotación de los sistemas de satélites de retransmisión de datos</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SA.1157-1</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protección para la investigación del espacio lejano</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SA.1158-3</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Viabilidad de la compartición de frecuencias en la banda 1 670</w:t>
            </w:r>
            <w:r w:rsidRPr="00AC5559">
              <w:noBreakHyphen/>
              <w:t>1 710 MHz entre el servicio de meteorología por satélite (espacio-Tierra) y el servicio móvil por satélite (Tierra-espacio)</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SA.1159-3</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calidad para los sistemas de difusión, recopilación y lectura directa de datos de los servicios de exploración de la Tierra por satélite y de meteorología por satélite</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SA.1160-2</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interferencia para sistemas de difusión y lectura directa de datos que funcionan en los servicios de exploración de la Tierra por satélite y de meteorología por satélite que utilizan satélites de órbita geoestacionaria</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SA.1161-1</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compartición y coordinación para sistemas de difusión y toma directa de datos que funcionan en los servicios de exploración de la Tierra por satélite y de meteorología por satélite que utilizan satélites de órbita geoestacionaria</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SA.1162-2</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calidad de los enlaces de servicio de los sistemas de recogida de datos y localización de plataformas de los servicios de exploración de la Tierra por satélite y de meteorología por satélite</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SA.1163-2</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interferencia para los enlaces de servicio en los sistemas de recogida de datos de los servicios de exploración de la Tierra por satélite y de meteorología por satélite</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rPr>
          <w:trHeight w:val="907"/>
        </w:trPr>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SA.1164-2</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compartición y coordinación para los enlaces de servicio de los sistemas de recogida de datos en los servicios de exploración de la Tierra por satélite y de meteorología por satélite</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SA.1258-1</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Compartición de la banda de frecuencias 401-403 MHz entre el servicio de meteorología por satélite, el servicio de exploración de la Tierra por satélite y el servicio de ayudas a la meteorología</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SA.1273-0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Niveles de densidad de flujo de potencia causados por los servicios de investigación espacial, de operaciones espaciales y de exploración de la tierra por satélite en la superficie de la tierra necesarios para proteger el servicio fijo en las bandas 2 025</w:t>
            </w:r>
            <w:r w:rsidRPr="00AC5559">
              <w:noBreakHyphen/>
              <w:t>2 110 MHz y 2 200</w:t>
            </w:r>
            <w:r w:rsidRPr="00AC5559">
              <w:noBreakHyphen/>
              <w:t>2 290 MHz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lastRenderedPageBreak/>
              <w:t>Rec. UIT-R</w:t>
            </w:r>
          </w:p>
        </w:tc>
        <w:tc>
          <w:tcPr>
            <w:tcW w:w="5929" w:type="dxa"/>
            <w:gridSpan w:val="2"/>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Título de la Recomendación</w:t>
            </w:r>
          </w:p>
        </w:tc>
        <w:tc>
          <w:tcPr>
            <w:tcW w:w="992"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Acciones por la AR</w:t>
            </w:r>
            <w:r w:rsidRPr="00AC5559">
              <w:noBreakHyphen/>
              <w:t>15</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Comentarios</w:t>
            </w: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SA.1274-0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para facilitar la compartición entre redes de satélite de retransmisión de datos y sistemas del servicio fijo en las bandas 2 025</w:t>
            </w:r>
            <w:r w:rsidRPr="00AC5559">
              <w:noBreakHyphen/>
              <w:t>2 110 MHz y 2 200-2 290 MHz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SA.1275-4</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Ubicaciones orbitales de satélites de retransmisión de datos que han de protegerse de las emisiones de sistemas del servicio fijo que funcionan en la banda 2 200-2 290 MHz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SA.1276-4</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Ubicaciones orbitales de los satélites de retransmisión de datos que han de protegerse contra las emisiones de sistemas del servicio fijo que funcionan en la banda 25,25-27,5 GHz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SA.1277-0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Compartición de la banda de frecuencias 8 025-8 400 MHz entre el servicio de exploración de la Tierra por satélite y los servicios fijo, fijo por satélite, de meteorología por satélite y móvil en las Regiones 1, 2 y 3</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SA.1344-1</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Bandas de frecuencia y anchuras de banda preferidas para la transmisión de datos de interferometría espacial con línea de base muy larga en el marco de las atribuciones existentes al servicio de investigación espacial (SIE)</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SA.1345-1</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Métodos para predecir los diagramas de radiación de antenas de gran tamaño utilizadas en los servicios de investigación espacial y de radioastronomía</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SA.1396-0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protección para el servicio de investigación espacial en las bandas 37-38 y 40-40,5 GHz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SA.1414-1</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Características de los sistemas de satélites de retransmisión de datos</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SA.1415-0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Compartición entre los sistemas del servicio entre satélites en la banda de frecuencias 25,25-27,5 GHz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SA.1626-1</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Viabilidad de la compartición entre el servicio de investigación espacial (espacio-Tierra) y los servicios fijo y móvil en la banda 14,8-15,35 GHz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rPr>
          <w:trHeight w:val="567"/>
        </w:trPr>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SA.1627-0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Requisitos de telecomunicación y características de los sistemas de satélites de recogida de datos y localización de plataformas del SETS y del servicio MetSat</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SA.1629-0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Compartición entre enlaces de telemando en los servicios de investigación espacial y de operaciones espaciales con los servicios fijo, móvil y móvil por satélite en la banda de frecuencias 257-262 MHz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SA.1742-0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Características técnicas y operativas de los sistemas interplanetarios y de espacio lejano que funcionan en el sentido espacio-Tierra en torno a 283 THz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SA.1743-0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Máxima degradación tolerable en los enlaces de radiocomunicaciones de los servicios de investigación espacial y de operaciones espaciales causada por la interferencia procedente de emisiones y radiaciones de otras fuentes</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SA.1745-0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Utilización de la banda 1 668,4-1 710 MHz por el servicio de ayudas a la meteorología y el servicio meteorológico por satélite (espacio-Tierra)</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SA.1805-0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Características técnicas y operacionales de los sistemas de telecomunicación espacio-espacio que funcionan en torno a 354 y 366 THz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SA.1807-0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Características de sistema y criterios de interferencia para los sistemas de meteorología por satélite que funcionan en torno a 18 GHz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lastRenderedPageBreak/>
              <w:t>Rec. UIT-R</w:t>
            </w:r>
          </w:p>
        </w:tc>
        <w:tc>
          <w:tcPr>
            <w:tcW w:w="5929" w:type="dxa"/>
            <w:gridSpan w:val="2"/>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Título de la Recomendación</w:t>
            </w:r>
          </w:p>
        </w:tc>
        <w:tc>
          <w:tcPr>
            <w:tcW w:w="992"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Acciones por la AR</w:t>
            </w:r>
            <w:r w:rsidRPr="00AC5559">
              <w:noBreakHyphen/>
              <w:t>15</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Comentarios</w:t>
            </w: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SA.1810-0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Directrices para el diseño de sistemas de satélites de exploración de la Tierra que funcionan en la banda 8 025</w:t>
            </w:r>
            <w:r w:rsidRPr="00AC5559">
              <w:noBreakHyphen/>
              <w:t>8 400 MHz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SA.1811-0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Diagramas de referencia de antenas de gran apertura de estaciones terrenas del servicio de investigación espacial utilizados en los análisis de compatibilidad en que intervengan un gran número de fuentes de interferencia distribuidas en las bandas 31,8-32,3 GHz y 37,0</w:t>
            </w:r>
            <w:r w:rsidRPr="00AC5559">
              <w:noBreakHyphen/>
              <w:t>38,0 GHz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SA.1862-0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Directrices para una utilización eficaz de la banda 25,5</w:t>
            </w:r>
            <w:r w:rsidRPr="00AC5559">
              <w:noBreakHyphen/>
              <w:t>27,0 GHz por los servicios de exploración de la Tierra por satélite (espacio</w:t>
            </w:r>
            <w:r w:rsidRPr="00AC5559">
              <w:noBreakHyphen/>
              <w:t>Tierra) y de investigación espacial (espacio</w:t>
            </w:r>
            <w:r w:rsidRPr="00AC5559">
              <w:noBreakHyphen/>
              <w:t>Tierra)</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SA.1863-0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Radiocomunicaciones de emergencia en vuelos espaciales tripulados</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SA.1882-0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Características técnicas y operacionales de sistemas del servicio de investigación espacial (Tierra-espacio) para su utilización en la banda 22,55-23,15 GHz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SA.2044-0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Criterios de protección para las plataformas de adquisición de datos no OSG en la banda 401-403 MHz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SA.2045-0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Condiciones básicas de partición y compartición generales de la banda 401-403 MHz para la utilización coordinada futura a largo plazo de sistemas de adquisición de datos en sistemas del servicio de exploración de la Tierra por satélite y del servicio de ayudas a la meteorología con satélites geoestacionarios y no geoestacionarios</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SA.2078-0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Protección de estaciones terrenas del SIE contra estaciones móviles (de aeronave) en la banda 2 200-2 290 MHz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r w:rsidR="00BB3E1E" w:rsidRPr="00AC5559" w:rsidTr="00644C4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SA.2079-0</w:t>
            </w:r>
          </w:p>
        </w:tc>
        <w:tc>
          <w:tcPr>
            <w:tcW w:w="5929"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Compartición de frecuencias entre sistemas del SIE y el SFS (espacio-Tierra) en la banda 37,5-38 GHz</w:t>
            </w:r>
          </w:p>
        </w:tc>
        <w:tc>
          <w:tcPr>
            <w:tcW w:w="99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417" w:type="dxa"/>
            <w:gridSpan w:val="2"/>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S5"/>
            </w:pPr>
          </w:p>
        </w:tc>
      </w:tr>
    </w:tbl>
    <w:p w:rsidR="00BB3E1E" w:rsidRPr="00AC5559" w:rsidRDefault="00BB3E1E" w:rsidP="00BB3E1E">
      <w:pPr>
        <w:pStyle w:val="TableTextS5"/>
      </w:pPr>
      <w:r w:rsidRPr="00AC5559">
        <w:br w:type="page"/>
      </w:r>
    </w:p>
    <w:p w:rsidR="00BB3E1E" w:rsidRPr="00AC5559" w:rsidRDefault="00BB3E1E" w:rsidP="00BB3E1E">
      <w:pPr>
        <w:pStyle w:val="Tabletitle"/>
      </w:pPr>
      <w:r w:rsidRPr="00AC5559">
        <w:lastRenderedPageBreak/>
        <w:t>Emisiones de frecuencias patrón y señales horarias</w:t>
      </w:r>
    </w:p>
    <w:tbl>
      <w:tblPr>
        <w:tblW w:w="9747" w:type="dxa"/>
        <w:tblLayout w:type="fixed"/>
        <w:tblLook w:val="0000" w:firstRow="0" w:lastRow="0" w:firstColumn="0" w:lastColumn="0" w:noHBand="0" w:noVBand="0"/>
      </w:tblPr>
      <w:tblGrid>
        <w:gridCol w:w="1409"/>
        <w:gridCol w:w="5954"/>
        <w:gridCol w:w="993"/>
        <w:gridCol w:w="1391"/>
      </w:tblGrid>
      <w:tr w:rsidR="00BB3E1E" w:rsidRPr="00AC5559" w:rsidTr="00E00FF2">
        <w:tc>
          <w:tcPr>
            <w:tcW w:w="1409"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Rec. UIT-R</w:t>
            </w:r>
          </w:p>
        </w:tc>
        <w:tc>
          <w:tcPr>
            <w:tcW w:w="595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Título de la Recomendación</w:t>
            </w:r>
          </w:p>
        </w:tc>
        <w:tc>
          <w:tcPr>
            <w:tcW w:w="993"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Acciones por la AR-15</w:t>
            </w:r>
          </w:p>
        </w:tc>
        <w:tc>
          <w:tcPr>
            <w:tcW w:w="139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Comentarios</w:t>
            </w: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TF.374-6</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Transmisiones de frecuencias precisas y de señales horarias</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TF.457-2</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Utilización de la Fecha Modificada del Calendario Juliano en los servicios de frecuencias patrón y de señales horarias</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TF.460-6</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Emisiones de frecuencias patrón y señales horarias</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 xml:space="preserve">NOC </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TF.486-2</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Utilización de la frecuencia asociada al UTC como referencia en las emisiones de frecuencias patrón y señales horarias</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TF.535-2</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Utilización del término UTC</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TF.538-3</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Mediciones de la inestabilidad de frecuencia y en el tiempo (fase)</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TF.583-6</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Códigos de tiempo</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TF.686-3</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Glosario y definiciones de términos de tiempo y frecuencia</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TF.767-2</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Utilización de los sistemas globales de navegación por satélite para la transferencia de señales horarias de gran precisión</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TF.768-7</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Frecuencias patrón y señales horarias</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TF.1010-1</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Efectos relativistas en un sistema con coordenada de tiempo en las proximidades de la Tierra</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TF.1011-1</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Sistemas, técnicas y servicios para la transferencia de tiempo y frecuencia</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TF.1153-4</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Utilización operativa de la transferencia bidireccional por satélite de señales horarias y frecuencias utilizando códigos de ruido seudoaleatorios</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Del="003B09B8" w:rsidRDefault="00BB3E1E" w:rsidP="000D1305">
            <w:pPr>
              <w:pStyle w:val="Tabletext"/>
              <w:jc w:val="center"/>
              <w:rPr>
                <w:b/>
                <w:bCs/>
              </w:rPr>
            </w:pPr>
            <w:r w:rsidRPr="00AC5559">
              <w:rPr>
                <w:b/>
                <w:bCs/>
              </w:rPr>
              <w:t>TF.1876-0</w:t>
            </w:r>
          </w:p>
        </w:tc>
        <w:tc>
          <w:tcPr>
            <w:tcW w:w="5954" w:type="dxa"/>
            <w:tcBorders>
              <w:top w:val="single" w:sz="6" w:space="0" w:color="auto"/>
              <w:left w:val="single" w:sz="6" w:space="0" w:color="auto"/>
              <w:bottom w:val="single" w:sz="6" w:space="0" w:color="auto"/>
              <w:right w:val="single" w:sz="6" w:space="0" w:color="auto"/>
            </w:tcBorders>
          </w:tcPr>
          <w:p w:rsidR="00BB3E1E" w:rsidRPr="00AC5559" w:rsidDel="003B09B8" w:rsidRDefault="00BB3E1E" w:rsidP="000D1305">
            <w:pPr>
              <w:pStyle w:val="Tabletext"/>
            </w:pPr>
            <w:r w:rsidRPr="00AC5559">
              <w:t>Fuente de tiempo fiable para la Autoridad de sello temporal</w:t>
            </w:r>
          </w:p>
        </w:tc>
        <w:tc>
          <w:tcPr>
            <w:tcW w:w="993" w:type="dxa"/>
            <w:tcBorders>
              <w:top w:val="single" w:sz="6" w:space="0" w:color="auto"/>
              <w:left w:val="single" w:sz="6" w:space="0" w:color="auto"/>
              <w:bottom w:val="single" w:sz="6" w:space="0" w:color="auto"/>
              <w:right w:val="single" w:sz="6" w:space="0" w:color="auto"/>
            </w:tcBorders>
          </w:tcPr>
          <w:p w:rsidR="00BB3E1E" w:rsidRPr="00AC5559" w:rsidDel="003B09B8"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E00FF2">
        <w:tc>
          <w:tcPr>
            <w:tcW w:w="1409"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TF.2018-0</w:t>
            </w:r>
          </w:p>
        </w:tc>
        <w:tc>
          <w:tcPr>
            <w:tcW w:w="595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pPr>
            <w:r w:rsidRPr="00AC5559">
              <w:t>Transferencia de tiempo relativista en la proximidad de la Tierra y en el sistema solar</w:t>
            </w:r>
          </w:p>
        </w:tc>
        <w:tc>
          <w:tcPr>
            <w:tcW w:w="99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91"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bl>
    <w:p w:rsidR="00BB3E1E" w:rsidRPr="00AC5559" w:rsidRDefault="00BB3E1E" w:rsidP="00BB3E1E">
      <w:pPr>
        <w:tabs>
          <w:tab w:val="clear" w:pos="1134"/>
          <w:tab w:val="clear" w:pos="1871"/>
          <w:tab w:val="clear" w:pos="2268"/>
        </w:tabs>
        <w:overflowPunct/>
        <w:autoSpaceDE/>
        <w:autoSpaceDN/>
        <w:adjustRightInd/>
        <w:spacing w:before="0"/>
        <w:textAlignment w:val="auto"/>
        <w:rPr>
          <w:b/>
          <w:bCs/>
          <w:szCs w:val="24"/>
        </w:rPr>
      </w:pPr>
      <w:r w:rsidRPr="00AC5559">
        <w:rPr>
          <w:b/>
          <w:bCs/>
          <w:szCs w:val="24"/>
        </w:rPr>
        <w:br w:type="page"/>
      </w:r>
    </w:p>
    <w:p w:rsidR="00BB3E1E" w:rsidRPr="00AC5559" w:rsidRDefault="00BB3E1E" w:rsidP="00BB3E1E">
      <w:pPr>
        <w:pStyle w:val="Tabletitle"/>
      </w:pPr>
      <w:r w:rsidRPr="00AC5559">
        <w:lastRenderedPageBreak/>
        <w:t>Sistemas de detección a distancia</w:t>
      </w:r>
    </w:p>
    <w:tbl>
      <w:tblPr>
        <w:tblW w:w="9708" w:type="dxa"/>
        <w:tblLayout w:type="fixed"/>
        <w:tblLook w:val="0000" w:firstRow="0" w:lastRow="0" w:firstColumn="0" w:lastColumn="0" w:noHBand="0" w:noVBand="0"/>
      </w:tblPr>
      <w:tblGrid>
        <w:gridCol w:w="1428"/>
        <w:gridCol w:w="5794"/>
        <w:gridCol w:w="1134"/>
        <w:gridCol w:w="1352"/>
      </w:tblGrid>
      <w:tr w:rsidR="00BB3E1E" w:rsidRPr="00AC5559" w:rsidTr="008735AB">
        <w:trPr>
          <w:tblHeader/>
        </w:trPr>
        <w:tc>
          <w:tcPr>
            <w:tcW w:w="1428"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Rec. UIT-R</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Título de la Recomendación</w:t>
            </w:r>
          </w:p>
        </w:tc>
        <w:tc>
          <w:tcPr>
            <w:tcW w:w="113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 xml:space="preserve">Acciones por la </w:t>
            </w:r>
            <w:r w:rsidRPr="00AC5559">
              <w:br/>
              <w:t>AR-15</w:t>
            </w:r>
          </w:p>
        </w:tc>
        <w:tc>
          <w:tcPr>
            <w:tcW w:w="1352"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Comentarios</w:t>
            </w: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RS.515-5</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Bandas de frecuencias y anchuras de banda utilizadas para la detección pasiva a distancia por satélite</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RS.577-7</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 xml:space="preserve">Bandas de frecuencias y anchuras de banda necesarias utilizadas por los sensores activos a bordo de vehículos espaciales que funcionan en los servicios de exploración de la Tierra por satélite (activo) y de investigación espacial (activo) </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RS.1165-2</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Características técnicas y criterios de calidad de los sistemas de radiosondas del servicio de ayudas a la meteorología en las bandas de frecuencias de 403 MHz y 1 680 MHz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RS.1166-4</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Criterios de calidad de funcionamiento y de interferencia para sensores activos a bordo de vehículos espaciales</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RS.1259-0</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Viabilidad de la compartición entre sensores pasivos a bordo de vehículos espaciales y el servicio fijo de 50 a 60 GHz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RS.1260-1</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Posibilidad de compartición entre sensores activos a bordo de vehículos espaciales y otros servicios en la gama 420</w:t>
            </w:r>
            <w:r w:rsidRPr="00AC5559">
              <w:noBreakHyphen/>
              <w:t>470 MHz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RS.1261-0</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Posibilidad de compartición entre radares de nubes a bordo de vehículos espaciales y otros servicios en la gama de frecuencias 92-95 GHz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RS.1263-1</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 xml:space="preserve">Criterios de interferencia para las ayudas a la meteorología en las bandas 400,15-406 MHz </w:t>
            </w:r>
            <w:r w:rsidRPr="00AC5559">
              <w:br/>
              <w:t>y 1 668,4-1 700 MHz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RS.1264-1</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Viabilidad de la compartición de frecuencias entre el servicio de ayudas a la meteorología y el servicio móvil por satélite (Tierra-espacio) en la banda 1 668,4-1 700 MHz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RS.1279-0</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Compartición del espectro entre sensores pasivos a bordo de vehículos espaciales y enlaces entre satélites en la gama de 50,2-59,3 GHz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RS.1280-0</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Selección de las características de emisión de los sensores activos a bordo de vehículos espaciales para reducir la posible interferencia causada a radares terrenales que funcionan en las bandas de frecuencias 1-10 GHz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RS.1281-0</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Protección para estaciones del servicio de radiolocalización de las emisiones procedentes de sensores activos a bordo de vehículos espaciales en la banda 13,4-13,75 GHz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RS.1282-0</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Viabilidad de la compartición entre radares de perfil del viento y sensores activos a bordo de vehículos espaciales cerca de 1 260 MHz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8735AB">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br w:type="page"/>
              <w:t>RS.1346-0</w:t>
            </w:r>
          </w:p>
        </w:tc>
        <w:tc>
          <w:tcPr>
            <w:tcW w:w="5794"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Compartición entre el servicio de ayudas a la meteorología y los sistemas de comunicaciones de implantación médica (MICS) que funcionan en el servicio móvil en la banda de frecuencias 401-406 MHz</w:t>
            </w:r>
          </w:p>
        </w:tc>
        <w:tc>
          <w:tcPr>
            <w:tcW w:w="1134"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352"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bl>
    <w:p w:rsidR="00BB3E1E" w:rsidRPr="00AC5559" w:rsidRDefault="00BB3E1E" w:rsidP="00BB3E1E">
      <w:r w:rsidRPr="00AC5559">
        <w:br w:type="page"/>
      </w:r>
    </w:p>
    <w:tbl>
      <w:tblPr>
        <w:tblW w:w="9708" w:type="dxa"/>
        <w:tblLayout w:type="fixed"/>
        <w:tblLook w:val="0000" w:firstRow="0" w:lastRow="0" w:firstColumn="0" w:lastColumn="0" w:noHBand="0" w:noVBand="0"/>
      </w:tblPr>
      <w:tblGrid>
        <w:gridCol w:w="1428"/>
        <w:gridCol w:w="5201"/>
        <w:gridCol w:w="1276"/>
        <w:gridCol w:w="1803"/>
      </w:tblGrid>
      <w:tr w:rsidR="00BB3E1E" w:rsidRPr="00AC5559" w:rsidTr="000D1305">
        <w:trPr>
          <w:tblHeader/>
        </w:trPr>
        <w:tc>
          <w:tcPr>
            <w:tcW w:w="1428"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lastRenderedPageBreak/>
              <w:t>Rec. UIT-R</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Título de la Recomendación</w:t>
            </w:r>
          </w:p>
        </w:tc>
        <w:tc>
          <w:tcPr>
            <w:tcW w:w="1276"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 xml:space="preserve">Acciones por la </w:t>
            </w:r>
            <w:r w:rsidRPr="00AC5559">
              <w:br/>
              <w:t>AR-15</w:t>
            </w:r>
          </w:p>
        </w:tc>
        <w:tc>
          <w:tcPr>
            <w:tcW w:w="1803"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head"/>
            </w:pPr>
            <w:r w:rsidRPr="00AC5559">
              <w:t>Comentarios</w:t>
            </w: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RS.1347-0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Fiabilidad de la compartición entre los receptores del servicio de radionavegación por satélite y los servicios de exploración de la Tierra por satélite (activo) y de investigación espacial (activo) en la banda 1 215</w:t>
            </w:r>
            <w:r w:rsidRPr="00AC5559">
              <w:noBreakHyphen/>
              <w:t>1 260 MHz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RS.1416-0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Compartición entre los sensores pasivos a bordo de vehículos espaciales y el servicio entre satélites que funciona cerca de 118 GHz y 183 GHz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RS.1449-0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Viabilidad de la compartición entre el SFS (espacio-Tierra) y los servicios de exploración de la Tierra por satélite (pasivo) y de investigación espacial (pasivo) en la banda 18,6</w:t>
            </w:r>
            <w:r w:rsidRPr="00AC5559">
              <w:noBreakHyphen/>
              <w:t>18,8 GHz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RS.1624-0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Compartición entre el servicio de exploración de la Tierra por satélite (pasivo) y los radioaltímetros instalados a bordo de aeronaves del servicio de radionavegación aeronáutica en la banda 4 200</w:t>
            </w:r>
            <w:r w:rsidRPr="00AC5559">
              <w:noBreakHyphen/>
              <w:t>4 400 MHz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RS.1628-0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Factibilidad de compartición de la banda 35,5-36 GHz entre el servicio de exploración de la Tierra por satélite (activo), el servicio de investigación espacial (activo) y otros servicios para los que existen atribuciones en esta banda</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RS.1632-0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Compartición en la banda 5 250-5 350 MHz entre el servicio de exploración de la Tierra por satélite (activo) y los sistemas de acceso inalámbrico (incluidas las redes radioeléctricas de área local) en el servicio móvil</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RS.1744-0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Características técnicas y operativas de los sistemas de ayuda a la meteorología en tierra que funcionan en la gama de frecuencias 272</w:t>
            </w:r>
            <w:r w:rsidRPr="00AC5559">
              <w:noBreakHyphen/>
              <w:t>750 THz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RS.1745-0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Utilización de la banda 1 668,4 1 710 MHz por el servicio de ayudas a la meteorología y el servicio meteorológico por satélite (espacio-Tierra)</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RS.1749-0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Técnica de reducción de la interferencia para facilitar la utilización de la banda 1 215 1 300 MHz por el servicio de exploración de la Tierra por satélite (activo) y el servicio de investigación espacial (activo)</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RS.1803-0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Características técnicas y operacionales de los sensores pasivos en el servicio de exploración de la Tierra por satélite (pasivo) para facilitar la compartición de las bandas 10,6</w:t>
            </w:r>
            <w:r w:rsidRPr="00AC5559">
              <w:noBreakHyphen/>
              <w:t>10,68 GHz y 36-37 GHz con los servicios fijos y móviles</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RS.1804-0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Características técnicas y operacionales de los sistemas del servicio de exploración de la Tierra por satélite que funcionan por encima de 3 000 GHz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RS.1813-1</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Diagrama de antena de referencia para sensores pasivos que funcionan en el servicio de exploración de la Tierra por satélite (pasivo) que debe utilizarse en los análisis de compatibilidad en la gama de frecuencias 1,4</w:t>
            </w:r>
            <w:r w:rsidRPr="00AC5559">
              <w:noBreakHyphen/>
              <w:t>100 GHz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RS.1858-0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Caracterización y evaluación de la interferencia combinada causada a los sensores del servicio de exploración de la Tierra por satélite (pasivo) por múltiples fuentes de emisiones artificiales</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RS.1859-0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Utilización de sistemas de teledetección para la recopilación de datos en caso de catástrofe natural y emergencias similares</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lastRenderedPageBreak/>
              <w:t>RS.1861-0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Características técnicas y operativas de los sistemas del servicio de exploración de la Tierra por satélite (pasivo) que utilizan atribuciones entre 1,4 y 275 GHz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RS.1881-0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Criterios de protección de los receptores de diferencia del tiempo de llegada del servicio de ayudas a la meteorología en la banda de frecuencias 9</w:t>
            </w:r>
            <w:r w:rsidRPr="00AC5559">
              <w:noBreakHyphen/>
              <w:t>11,3 kHz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RS.1883-0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Utilización de sistemas de detección a distancia para el estudio del cambio climático y de sus efectos</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RS.1884-0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Metodología para determinar los criterios de compartición y coordinación de enlaces terrenales y espacio-Tierra del servicio de ayudas a la meteorología en las bandas 400,15</w:t>
            </w:r>
            <w:r w:rsidRPr="00AC5559">
              <w:noBreakHyphen/>
              <w:t>40</w:t>
            </w:r>
            <w:r w:rsidR="00AE6ED7">
              <w:t>6 MHz y 1 668-1 </w:t>
            </w:r>
            <w:r w:rsidRPr="00AC5559">
              <w:t>700 MHz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RS.2017-0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Criterios de calidad y de interferencia para la teledetección pasiva por satélite</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RS.2042-0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 xml:space="preserve">Características técnicas y operativas típicas de los sistemas de sonda de radar en vehículos espaciales que utilizan </w:t>
            </w:r>
            <w:r w:rsidR="009755B3">
              <w:t>la banda 40</w:t>
            </w:r>
            <w:r w:rsidR="009755B3">
              <w:noBreakHyphen/>
            </w:r>
            <w:r w:rsidRPr="00AC5559">
              <w:t>50 MHz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RS.2043-0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Características de los radares de apertura sintética del servicio de exploración de la Tierra por satélite (act</w:t>
            </w:r>
            <w:r w:rsidR="006F7C07">
              <w:t>ivo) que funcionan en torno a 9 </w:t>
            </w:r>
            <w:r w:rsidRPr="00AC5559">
              <w:t>600 MHz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RS.2064-0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Características técnicas y operacionales típicas y bandas de frecuencias utilizadas por sistemas de observación del servicio de investigación espacial (pasivo)</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RS.2065-0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Protección de enlaces espacio-Tierra del servicio de investigación</w:t>
            </w:r>
            <w:r w:rsidR="006F7C07">
              <w:t xml:space="preserve"> espacial (SIE) en las bandas 8 400-8 </w:t>
            </w:r>
            <w:r w:rsidR="009755B3">
              <w:t>450 MHz y 8 450-8 </w:t>
            </w:r>
            <w:r w:rsidRPr="00AC5559">
              <w:t>500 MHz contra emisiones no deseadas de radares de apertura sintética que funcionan en el servicio de exploración de la Tierra por s</w:t>
            </w:r>
            <w:r w:rsidR="006F7C07">
              <w:t>atélite (activo) alrededor de 9 </w:t>
            </w:r>
            <w:r w:rsidRPr="00AC5559">
              <w:t>600 MHz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r w:rsidR="00BB3E1E" w:rsidRPr="00AC5559" w:rsidTr="000D1305">
        <w:tc>
          <w:tcPr>
            <w:tcW w:w="1428"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rPr>
                <w:b/>
                <w:bCs/>
              </w:rPr>
            </w:pPr>
            <w:r w:rsidRPr="00AC5559">
              <w:rPr>
                <w:b/>
                <w:bCs/>
              </w:rPr>
              <w:t>RS.2066-0</w:t>
            </w:r>
          </w:p>
        </w:tc>
        <w:tc>
          <w:tcPr>
            <w:tcW w:w="5201" w:type="dxa"/>
            <w:tcBorders>
              <w:top w:val="single" w:sz="6" w:space="0" w:color="auto"/>
              <w:left w:val="single" w:sz="6" w:space="0" w:color="auto"/>
              <w:bottom w:val="single" w:sz="6" w:space="0" w:color="auto"/>
              <w:right w:val="single" w:sz="6" w:space="0" w:color="auto"/>
            </w:tcBorders>
            <w:vAlign w:val="center"/>
          </w:tcPr>
          <w:p w:rsidR="00BB3E1E" w:rsidRPr="00AC5559" w:rsidRDefault="00BB3E1E" w:rsidP="000D1305">
            <w:pPr>
              <w:pStyle w:val="Tabletext"/>
            </w:pPr>
            <w:r w:rsidRPr="00AC5559">
              <w:t>Protección del servicio de radioastronomía en la banda de frecuencias 10,6-10,7 GHz contra emisiones no deseadas de radares de apertura sintética que funcionan en el servicio de exploración de la Tierra por s</w:t>
            </w:r>
            <w:r w:rsidR="006F7C07">
              <w:t>atélite (activo) alrededor de 9 </w:t>
            </w:r>
            <w:r w:rsidRPr="00AC5559">
              <w:t>600 MHz</w:t>
            </w:r>
          </w:p>
        </w:tc>
        <w:tc>
          <w:tcPr>
            <w:tcW w:w="1276"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pStyle w:val="Tabletext"/>
              <w:jc w:val="center"/>
            </w:pPr>
            <w:r w:rsidRPr="00AC5559">
              <w:t>NOC</w:t>
            </w:r>
          </w:p>
        </w:tc>
        <w:tc>
          <w:tcPr>
            <w:tcW w:w="1803" w:type="dxa"/>
            <w:tcBorders>
              <w:top w:val="single" w:sz="6" w:space="0" w:color="auto"/>
              <w:left w:val="single" w:sz="6" w:space="0" w:color="auto"/>
              <w:bottom w:val="single" w:sz="6" w:space="0" w:color="auto"/>
              <w:right w:val="single" w:sz="6" w:space="0" w:color="auto"/>
            </w:tcBorders>
          </w:tcPr>
          <w:p w:rsidR="00BB3E1E" w:rsidRPr="00AC5559" w:rsidRDefault="00BB3E1E" w:rsidP="000D13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r>
    </w:tbl>
    <w:p w:rsidR="006A341C" w:rsidRDefault="006A341C" w:rsidP="0032202E">
      <w:pPr>
        <w:pStyle w:val="Reasons"/>
      </w:pPr>
    </w:p>
    <w:p w:rsidR="006A341C" w:rsidRDefault="006A341C">
      <w:pPr>
        <w:jc w:val="center"/>
      </w:pPr>
      <w:r>
        <w:t>______________</w:t>
      </w:r>
    </w:p>
    <w:sectPr w:rsidR="006A341C">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AC8" w:rsidRDefault="004C2AC8">
      <w:r>
        <w:separator/>
      </w:r>
    </w:p>
  </w:endnote>
  <w:endnote w:type="continuationSeparator" w:id="0">
    <w:p w:rsidR="004C2AC8" w:rsidRDefault="004C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4C2AC8">
      <w:rPr>
        <w:noProof/>
        <w:lang w:val="en-US"/>
      </w:rPr>
      <w:t>Document2</w:t>
    </w:r>
    <w:r>
      <w:fldChar w:fldCharType="end"/>
    </w:r>
    <w:r>
      <w:rPr>
        <w:lang w:val="en-US"/>
      </w:rPr>
      <w:tab/>
    </w:r>
    <w:r>
      <w:fldChar w:fldCharType="begin"/>
    </w:r>
    <w:r>
      <w:instrText xml:space="preserve"> SAVEDATE \@ DD.MM.YY </w:instrText>
    </w:r>
    <w:r>
      <w:fldChar w:fldCharType="separate"/>
    </w:r>
    <w:r w:rsidR="00BB3E1E">
      <w:rPr>
        <w:noProof/>
      </w:rPr>
      <w:t>01.09.15</w:t>
    </w:r>
    <w:r>
      <w:fldChar w:fldCharType="end"/>
    </w:r>
    <w:r>
      <w:rPr>
        <w:lang w:val="en-US"/>
      </w:rPr>
      <w:tab/>
    </w:r>
    <w:r>
      <w:fldChar w:fldCharType="begin"/>
    </w:r>
    <w:r>
      <w:instrText xml:space="preserve"> PRINTDATE \@ DD.MM.YY </w:instrText>
    </w:r>
    <w:r>
      <w:fldChar w:fldCharType="separate"/>
    </w:r>
    <w:r w:rsidR="004C2AC8">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48" w:rsidRDefault="00C80848" w:rsidP="00C80848">
    <w:pPr>
      <w:pStyle w:val="Footer"/>
    </w:pPr>
    <w:r>
      <w:rPr>
        <w:noProof w:val="0"/>
        <w:sz w:val="24"/>
      </w:rPr>
      <w:fldChar w:fldCharType="begin"/>
    </w:r>
    <w:r>
      <w:instrText xml:space="preserve"> FILENAME \p  \* MERGEFORMAT </w:instrText>
    </w:r>
    <w:r>
      <w:rPr>
        <w:noProof w:val="0"/>
        <w:sz w:val="24"/>
      </w:rPr>
      <w:fldChar w:fldCharType="separate"/>
    </w:r>
    <w:r>
      <w:t>P:\ESP\ITU-R\SG-R\SG07\1000\1002S.docx</w:t>
    </w:r>
    <w:r>
      <w:fldChar w:fldCharType="end"/>
    </w:r>
    <w:r>
      <w:t xml:space="preserve"> (383156)</w:t>
    </w:r>
    <w:r>
      <w:tab/>
    </w:r>
    <w:r>
      <w:fldChar w:fldCharType="begin"/>
    </w:r>
    <w:r>
      <w:instrText xml:space="preserve"> SAVEDATE \@ DD.MM.YY </w:instrText>
    </w:r>
    <w:r>
      <w:fldChar w:fldCharType="separate"/>
    </w:r>
    <w:r>
      <w:t>01.09.15</w:t>
    </w:r>
    <w:r>
      <w:fldChar w:fldCharType="end"/>
    </w:r>
    <w: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7B" w:rsidRDefault="00FB007B">
    <w:pPr>
      <w:pStyle w:val="Footer"/>
    </w:pPr>
    <w:fldSimple w:instr=" FILENAME \p  \* MERGEFORMAT ">
      <w:r>
        <w:t>P:\ESP\ITU-R\SG-R\SG07\1000\1002S.docx</w:t>
      </w:r>
    </w:fldSimple>
    <w:r>
      <w:t xml:space="preserve"> (383156)</w:t>
    </w:r>
    <w:r>
      <w:tab/>
    </w:r>
    <w:r>
      <w:fldChar w:fldCharType="begin"/>
    </w:r>
    <w:r>
      <w:instrText xml:space="preserve"> SAVEDATE \@ DD.MM.YY </w:instrText>
    </w:r>
    <w:r>
      <w:fldChar w:fldCharType="separate"/>
    </w:r>
    <w:r w:rsidR="00BB3E1E">
      <w:t>01.09.15</w:t>
    </w:r>
    <w:r>
      <w:fldChar w:fldCharType="end"/>
    </w:r>
    <w:r>
      <w:tab/>
    </w:r>
    <w:r>
      <w:fldChar w:fldCharType="begin"/>
    </w:r>
    <w:r>
      <w:instrText xml:space="preserve"> PRINTDATE \@ DD.MM.YY </w:instrText>
    </w:r>
    <w:r>
      <w:fldChar w:fldCharType="separate"/>
    </w:r>
    <w: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AC8" w:rsidRDefault="004C2AC8">
      <w:r>
        <w:rPr>
          <w:b/>
        </w:rPr>
        <w:t>_______________</w:t>
      </w:r>
    </w:p>
  </w:footnote>
  <w:footnote w:type="continuationSeparator" w:id="0">
    <w:p w:rsidR="004C2AC8" w:rsidRDefault="004C2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AC8" w:rsidRDefault="004C2AC8">
    <w:pPr>
      <w:pStyle w:val="Header"/>
    </w:pPr>
    <w:r>
      <w:t xml:space="preserve">- </w:t>
    </w:r>
    <w:r>
      <w:fldChar w:fldCharType="begin"/>
    </w:r>
    <w:r>
      <w:instrText xml:space="preserve"> PAGE  \* MERGEFORMAT </w:instrText>
    </w:r>
    <w:r>
      <w:fldChar w:fldCharType="separate"/>
    </w:r>
    <w:r w:rsidR="00555773">
      <w:rPr>
        <w:noProof/>
      </w:rPr>
      <w:t>10</w:t>
    </w:r>
    <w:r>
      <w:fldChar w:fldCharType="end"/>
    </w:r>
    <w:r>
      <w:t xml:space="preserve"> -</w:t>
    </w:r>
  </w:p>
  <w:p w:rsidR="004C2AC8" w:rsidRDefault="004C2AC8">
    <w:pPr>
      <w:pStyle w:val="Header"/>
    </w:pPr>
    <w:r>
      <w:t>7/1002-S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C8"/>
    <w:rsid w:val="00012B52"/>
    <w:rsid w:val="00016A7C"/>
    <w:rsid w:val="00020ACE"/>
    <w:rsid w:val="001721DD"/>
    <w:rsid w:val="002334F2"/>
    <w:rsid w:val="002829FA"/>
    <w:rsid w:val="002B6243"/>
    <w:rsid w:val="00466F3C"/>
    <w:rsid w:val="004B1C3C"/>
    <w:rsid w:val="004C2AC8"/>
    <w:rsid w:val="005335D1"/>
    <w:rsid w:val="00555773"/>
    <w:rsid w:val="005648DF"/>
    <w:rsid w:val="005C4F7E"/>
    <w:rsid w:val="005E25B1"/>
    <w:rsid w:val="006050EE"/>
    <w:rsid w:val="00644C42"/>
    <w:rsid w:val="00693CB4"/>
    <w:rsid w:val="006A341C"/>
    <w:rsid w:val="006F395C"/>
    <w:rsid w:val="006F7C07"/>
    <w:rsid w:val="00753D7F"/>
    <w:rsid w:val="007E3F97"/>
    <w:rsid w:val="00813C95"/>
    <w:rsid w:val="008246E6"/>
    <w:rsid w:val="008735AB"/>
    <w:rsid w:val="008E02B6"/>
    <w:rsid w:val="009630C4"/>
    <w:rsid w:val="009755B3"/>
    <w:rsid w:val="009B653F"/>
    <w:rsid w:val="00AC5559"/>
    <w:rsid w:val="00AC5F46"/>
    <w:rsid w:val="00AE6ED7"/>
    <w:rsid w:val="00AF7660"/>
    <w:rsid w:val="00BB3E1E"/>
    <w:rsid w:val="00BF1023"/>
    <w:rsid w:val="00C278F8"/>
    <w:rsid w:val="00C45C8C"/>
    <w:rsid w:val="00C76345"/>
    <w:rsid w:val="00C80848"/>
    <w:rsid w:val="00DE35E9"/>
    <w:rsid w:val="00E00FF2"/>
    <w:rsid w:val="00E01901"/>
    <w:rsid w:val="00EB5C7B"/>
    <w:rsid w:val="00F37B49"/>
    <w:rsid w:val="00FB00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ACD0A13-A3E2-408B-8A1D-B211A2D5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styleId="Revision">
    <w:name w:val="Revision"/>
    <w:hidden/>
    <w:uiPriority w:val="99"/>
    <w:semiHidden/>
    <w:rsid w:val="007E3F97"/>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52</TotalTime>
  <Pages>10</Pages>
  <Words>3365</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22292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Saez, Grau Ricardo</dc:creator>
  <cp:keywords/>
  <dc:description>PS_RA07.dot  Para: _x000d_Fecha del documento: _x000d_Registrado por MM-43480 a 16:09:38 el 16.10.07</dc:description>
  <cp:lastModifiedBy>Saez Grau, Ricardo</cp:lastModifiedBy>
  <cp:revision>25</cp:revision>
  <cp:lastPrinted>2003-03-04T09:55:00Z</cp:lastPrinted>
  <dcterms:created xsi:type="dcterms:W3CDTF">2015-09-01T07:52:00Z</dcterms:created>
  <dcterms:modified xsi:type="dcterms:W3CDTF">2015-09-01T08:47:00Z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