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181714">
        <w:trPr>
          <w:cantSplit/>
        </w:trPr>
        <w:tc>
          <w:tcPr>
            <w:tcW w:w="6580" w:type="dxa"/>
            <w:vAlign w:val="center"/>
          </w:tcPr>
          <w:p w:rsidR="00181714" w:rsidRPr="00D8032B" w:rsidRDefault="0018171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181714" w:rsidRDefault="00E87172" w:rsidP="00E973AD">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181714" w:rsidRPr="0051782D">
        <w:trPr>
          <w:cantSplit/>
        </w:trPr>
        <w:tc>
          <w:tcPr>
            <w:tcW w:w="6580" w:type="dxa"/>
            <w:tcBorders>
              <w:bottom w:val="single" w:sz="12" w:space="0" w:color="auto"/>
            </w:tcBorders>
          </w:tcPr>
          <w:p w:rsidR="00181714" w:rsidRPr="0051782D" w:rsidRDefault="00181714"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181714" w:rsidRPr="0051782D" w:rsidRDefault="00181714" w:rsidP="00A5173C">
            <w:pPr>
              <w:shd w:val="solid" w:color="FFFFFF" w:fill="FFFFFF"/>
              <w:spacing w:before="0" w:after="48" w:line="240" w:lineRule="atLeast"/>
              <w:rPr>
                <w:szCs w:val="22"/>
                <w:lang w:val="en-US"/>
              </w:rPr>
            </w:pPr>
          </w:p>
        </w:tc>
      </w:tr>
      <w:tr w:rsidR="00181714">
        <w:trPr>
          <w:cantSplit/>
        </w:trPr>
        <w:tc>
          <w:tcPr>
            <w:tcW w:w="6580" w:type="dxa"/>
            <w:tcBorders>
              <w:top w:val="single" w:sz="12" w:space="0" w:color="auto"/>
            </w:tcBorders>
          </w:tcPr>
          <w:p w:rsidR="00181714" w:rsidRPr="0051782D" w:rsidRDefault="00181714"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181714" w:rsidRPr="00710D66" w:rsidRDefault="00181714" w:rsidP="00A5173C">
            <w:pPr>
              <w:shd w:val="solid" w:color="FFFFFF" w:fill="FFFFFF"/>
              <w:spacing w:before="0" w:after="48" w:line="240" w:lineRule="atLeast"/>
              <w:rPr>
                <w:lang w:val="en-US"/>
              </w:rPr>
            </w:pPr>
          </w:p>
        </w:tc>
      </w:tr>
      <w:tr w:rsidR="00181714" w:rsidRPr="00AE25A5">
        <w:trPr>
          <w:cantSplit/>
        </w:trPr>
        <w:tc>
          <w:tcPr>
            <w:tcW w:w="6580" w:type="dxa"/>
            <w:vMerge w:val="restart"/>
          </w:tcPr>
          <w:p w:rsidR="00181714" w:rsidRPr="00C45837" w:rsidRDefault="00181714" w:rsidP="00376934">
            <w:pPr>
              <w:shd w:val="solid" w:color="FFFFFF" w:fill="FFFFFF"/>
              <w:tabs>
                <w:tab w:val="clear" w:pos="1134"/>
                <w:tab w:val="clear" w:pos="1871"/>
                <w:tab w:val="clear" w:pos="2268"/>
              </w:tabs>
              <w:spacing w:before="0" w:after="240"/>
              <w:ind w:left="1134" w:hanging="1134"/>
              <w:rPr>
                <w:rFonts w:ascii="Verdana" w:hAnsi="Verdana"/>
                <w:sz w:val="20"/>
                <w:lang w:val="en-US" w:eastAsia="ja-JP"/>
              </w:rPr>
            </w:pPr>
            <w:bookmarkStart w:id="1" w:name="recibido"/>
            <w:bookmarkStart w:id="2" w:name="dnum" w:colFirst="1" w:colLast="1"/>
            <w:bookmarkEnd w:id="1"/>
            <w:r w:rsidRPr="00C45837">
              <w:rPr>
                <w:rFonts w:ascii="Verdana" w:hAnsi="Verdana"/>
                <w:sz w:val="20"/>
                <w:lang w:val="en-US"/>
              </w:rPr>
              <w:t>Source:</w:t>
            </w:r>
            <w:r w:rsidRPr="00C45837">
              <w:rPr>
                <w:rFonts w:ascii="Verdana" w:hAnsi="Verdana"/>
                <w:sz w:val="20"/>
                <w:lang w:val="en-US"/>
              </w:rPr>
              <w:tab/>
            </w:r>
            <w:r w:rsidRPr="00C45837">
              <w:rPr>
                <w:rFonts w:ascii="Verdana" w:hAnsi="Verdana"/>
                <w:sz w:val="20"/>
                <w:lang w:val="en-US" w:eastAsia="ja-JP"/>
              </w:rPr>
              <w:t>Document 5A/TEMP/33</w:t>
            </w:r>
          </w:p>
          <w:p w:rsidR="00181714" w:rsidRPr="00C45837" w:rsidRDefault="00181714" w:rsidP="00C45837">
            <w:pPr>
              <w:shd w:val="solid" w:color="FFFFFF" w:fill="FFFFFF"/>
              <w:tabs>
                <w:tab w:val="clear" w:pos="1134"/>
                <w:tab w:val="clear" w:pos="1871"/>
                <w:tab w:val="clear" w:pos="2268"/>
              </w:tabs>
              <w:spacing w:before="0" w:after="240"/>
              <w:jc w:val="both"/>
              <w:rPr>
                <w:rFonts w:ascii="Verdana" w:hAnsi="Verdana"/>
                <w:sz w:val="20"/>
                <w:lang w:val="en-US"/>
              </w:rPr>
            </w:pPr>
          </w:p>
        </w:tc>
        <w:tc>
          <w:tcPr>
            <w:tcW w:w="3451" w:type="dxa"/>
          </w:tcPr>
          <w:p w:rsidR="00181714" w:rsidRDefault="00181714" w:rsidP="00376934">
            <w:pPr>
              <w:keepLines/>
              <w:shd w:val="solid" w:color="FFFFFF" w:fill="FFFFFF"/>
              <w:tabs>
                <w:tab w:val="left" w:pos="567"/>
                <w:tab w:val="left" w:leader="dot" w:pos="7938"/>
                <w:tab w:val="center" w:pos="9526"/>
              </w:tabs>
              <w:spacing w:before="0" w:line="240" w:lineRule="atLeast"/>
              <w:ind w:left="567" w:hanging="567"/>
              <w:rPr>
                <w:rFonts w:ascii="Verdana" w:hAnsi="Verdana"/>
                <w:b/>
                <w:sz w:val="20"/>
                <w:lang w:val="en-US" w:eastAsia="zh-CN"/>
              </w:rPr>
            </w:pPr>
            <w:r>
              <w:rPr>
                <w:rFonts w:ascii="Verdana" w:hAnsi="Verdana"/>
                <w:b/>
                <w:sz w:val="20"/>
                <w:lang w:val="en-US" w:eastAsia="zh-CN"/>
              </w:rPr>
              <w:t>Annex 22 to</w:t>
            </w:r>
          </w:p>
          <w:p w:rsidR="00181714" w:rsidRPr="00C45837" w:rsidRDefault="00181714" w:rsidP="00376934">
            <w:pPr>
              <w:keepLines/>
              <w:shd w:val="solid" w:color="FFFFFF" w:fill="FFFFFF"/>
              <w:tabs>
                <w:tab w:val="left" w:pos="567"/>
                <w:tab w:val="left" w:leader="dot" w:pos="7938"/>
                <w:tab w:val="center" w:pos="9526"/>
              </w:tabs>
              <w:spacing w:before="0" w:line="240" w:lineRule="atLeast"/>
              <w:ind w:left="567" w:hanging="567"/>
              <w:rPr>
                <w:rFonts w:ascii="Verdana" w:hAnsi="Verdana"/>
                <w:sz w:val="20"/>
                <w:lang w:val="en-US" w:eastAsia="zh-CN"/>
              </w:rPr>
            </w:pPr>
            <w:r w:rsidRPr="00C45837">
              <w:rPr>
                <w:rFonts w:ascii="Verdana" w:hAnsi="Verdana"/>
                <w:b/>
                <w:sz w:val="20"/>
                <w:lang w:val="en-US" w:eastAsia="zh-CN"/>
              </w:rPr>
              <w:t>Document 5A/</w:t>
            </w:r>
            <w:r>
              <w:rPr>
                <w:rFonts w:ascii="Verdana" w:hAnsi="Verdana"/>
                <w:b/>
                <w:sz w:val="20"/>
                <w:lang w:val="en-US" w:eastAsia="zh-CN"/>
              </w:rPr>
              <w:t>79</w:t>
            </w:r>
            <w:r w:rsidRPr="00C45837">
              <w:rPr>
                <w:rFonts w:ascii="Verdana" w:hAnsi="Verdana"/>
                <w:b/>
                <w:sz w:val="20"/>
                <w:lang w:val="en-US" w:eastAsia="zh-CN"/>
              </w:rPr>
              <w:t>-E</w:t>
            </w:r>
          </w:p>
        </w:tc>
      </w:tr>
      <w:tr w:rsidR="00181714">
        <w:trPr>
          <w:cantSplit/>
        </w:trPr>
        <w:tc>
          <w:tcPr>
            <w:tcW w:w="6580" w:type="dxa"/>
            <w:vMerge/>
          </w:tcPr>
          <w:p w:rsidR="00181714" w:rsidRPr="00C45837" w:rsidRDefault="00181714" w:rsidP="00A5173C">
            <w:pPr>
              <w:spacing w:before="60"/>
              <w:jc w:val="center"/>
              <w:rPr>
                <w:b/>
                <w:smallCaps/>
                <w:sz w:val="32"/>
                <w:lang w:val="en-US" w:eastAsia="zh-CN"/>
              </w:rPr>
            </w:pPr>
            <w:bookmarkStart w:id="3" w:name="ddate" w:colFirst="1" w:colLast="1"/>
            <w:bookmarkEnd w:id="2"/>
          </w:p>
        </w:tc>
        <w:tc>
          <w:tcPr>
            <w:tcW w:w="3451" w:type="dxa"/>
          </w:tcPr>
          <w:p w:rsidR="00181714" w:rsidRPr="00E973AD" w:rsidRDefault="00647C2D" w:rsidP="00A5173C">
            <w:pPr>
              <w:shd w:val="solid" w:color="FFFFFF" w:fill="FFFFFF"/>
              <w:spacing w:before="0" w:line="240" w:lineRule="atLeast"/>
              <w:rPr>
                <w:rFonts w:ascii="Verdana" w:hAnsi="Verdana"/>
                <w:sz w:val="20"/>
                <w:lang w:eastAsia="zh-CN"/>
              </w:rPr>
            </w:pPr>
            <w:r>
              <w:rPr>
                <w:rFonts w:ascii="Verdana" w:hAnsi="Verdana"/>
                <w:b/>
                <w:sz w:val="20"/>
                <w:lang w:eastAsia="zh-CN"/>
              </w:rPr>
              <w:t>1 June</w:t>
            </w:r>
            <w:r w:rsidR="00181714">
              <w:rPr>
                <w:rFonts w:ascii="Verdana" w:hAnsi="Verdana"/>
                <w:b/>
                <w:sz w:val="20"/>
                <w:lang w:eastAsia="zh-CN"/>
              </w:rPr>
              <w:t xml:space="preserve"> 2012</w:t>
            </w:r>
          </w:p>
        </w:tc>
      </w:tr>
      <w:tr w:rsidR="00181714">
        <w:trPr>
          <w:cantSplit/>
        </w:trPr>
        <w:tc>
          <w:tcPr>
            <w:tcW w:w="6580" w:type="dxa"/>
            <w:vMerge/>
          </w:tcPr>
          <w:p w:rsidR="00181714" w:rsidRDefault="00181714" w:rsidP="00A5173C">
            <w:pPr>
              <w:spacing w:before="60"/>
              <w:jc w:val="center"/>
              <w:rPr>
                <w:b/>
                <w:smallCaps/>
                <w:sz w:val="32"/>
                <w:lang w:eastAsia="zh-CN"/>
              </w:rPr>
            </w:pPr>
            <w:bookmarkStart w:id="4" w:name="dorlang" w:colFirst="1" w:colLast="1"/>
            <w:bookmarkEnd w:id="3"/>
          </w:p>
        </w:tc>
        <w:tc>
          <w:tcPr>
            <w:tcW w:w="3451" w:type="dxa"/>
          </w:tcPr>
          <w:p w:rsidR="00181714" w:rsidRPr="00E973AD" w:rsidRDefault="001817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181714">
        <w:trPr>
          <w:cantSplit/>
        </w:trPr>
        <w:tc>
          <w:tcPr>
            <w:tcW w:w="10031" w:type="dxa"/>
            <w:gridSpan w:val="2"/>
          </w:tcPr>
          <w:p w:rsidR="00181714" w:rsidRPr="00C65338" w:rsidRDefault="00181714" w:rsidP="00C65338">
            <w:pPr>
              <w:pStyle w:val="Source"/>
            </w:pPr>
            <w:bookmarkStart w:id="5" w:name="dsource" w:colFirst="0" w:colLast="0"/>
            <w:bookmarkEnd w:id="4"/>
            <w:r w:rsidRPr="00A7792D">
              <w:rPr>
                <w:lang w:val="en-US" w:eastAsia="ja-JP"/>
              </w:rPr>
              <w:t xml:space="preserve">Annex </w:t>
            </w:r>
            <w:r>
              <w:rPr>
                <w:lang w:val="en-US" w:eastAsia="ja-JP"/>
              </w:rPr>
              <w:t>22</w:t>
            </w:r>
            <w:r w:rsidRPr="00A7792D">
              <w:rPr>
                <w:lang w:val="en-US" w:eastAsia="ja-JP"/>
              </w:rPr>
              <w:t xml:space="preserve"> to Working Party 5A Chairman’s Report</w:t>
            </w:r>
          </w:p>
        </w:tc>
      </w:tr>
      <w:tr w:rsidR="00181714">
        <w:trPr>
          <w:cantSplit/>
        </w:trPr>
        <w:tc>
          <w:tcPr>
            <w:tcW w:w="10031" w:type="dxa"/>
            <w:gridSpan w:val="2"/>
          </w:tcPr>
          <w:p w:rsidR="00181714" w:rsidRPr="00C65338" w:rsidRDefault="00181714" w:rsidP="00376934">
            <w:pPr>
              <w:pStyle w:val="Title1"/>
            </w:pPr>
            <w:r>
              <w:t xml:space="preserve">Working Document towards a </w:t>
            </w:r>
            <w:r>
              <w:rPr>
                <w:lang w:eastAsia="ja-JP"/>
              </w:rPr>
              <w:t xml:space="preserve">preliminary </w:t>
            </w:r>
            <w:r>
              <w:t xml:space="preserve">draft new </w:t>
            </w:r>
            <w:r>
              <w:br/>
              <w:t>RECOMMENDATION ITU-R M.[AUTO]</w:t>
            </w:r>
          </w:p>
        </w:tc>
      </w:tr>
      <w:tr w:rsidR="00181714">
        <w:trPr>
          <w:cantSplit/>
        </w:trPr>
        <w:tc>
          <w:tcPr>
            <w:tcW w:w="10031" w:type="dxa"/>
            <w:gridSpan w:val="2"/>
          </w:tcPr>
          <w:p w:rsidR="00181714" w:rsidRPr="00647C2D" w:rsidRDefault="00647C2D" w:rsidP="00647C2D">
            <w:pPr>
              <w:pStyle w:val="Title4"/>
            </w:pPr>
            <w:r>
              <w:t>S</w:t>
            </w:r>
            <w:r w:rsidRPr="00647C2D">
              <w:t>ystems characteristics of automotive radars operating in the frequency band 76</w:t>
            </w:r>
            <w:r>
              <w:noBreakHyphen/>
            </w:r>
            <w:r w:rsidRPr="00647C2D">
              <w:t>81 GHz for intelligent transport systems applications</w:t>
            </w:r>
          </w:p>
        </w:tc>
      </w:tr>
    </w:tbl>
    <w:bookmarkEnd w:id="5"/>
    <w:p w:rsidR="00181714" w:rsidRPr="00B62C85" w:rsidRDefault="00181714" w:rsidP="005B649F">
      <w:pPr>
        <w:pStyle w:val="headfoot"/>
      </w:pPr>
      <w:r w:rsidRPr="00B62C85">
        <w:t>ec. ITU-R M.1466</w:t>
      </w:r>
    </w:p>
    <w:p w:rsidR="00181714" w:rsidRPr="00C45837" w:rsidRDefault="00181714" w:rsidP="005B649F">
      <w:pPr>
        <w:pStyle w:val="HeadingSum"/>
        <w:rPr>
          <w:sz w:val="24"/>
          <w:szCs w:val="24"/>
          <w:lang w:val="en-US"/>
        </w:rPr>
      </w:pPr>
      <w:r w:rsidRPr="00C45837">
        <w:rPr>
          <w:sz w:val="24"/>
          <w:szCs w:val="24"/>
          <w:lang w:val="en-US"/>
        </w:rPr>
        <w:t>Scope</w:t>
      </w:r>
    </w:p>
    <w:p w:rsidR="00181714" w:rsidRPr="00C45837" w:rsidRDefault="00181714" w:rsidP="005B649F">
      <w:pPr>
        <w:pStyle w:val="HeadingSum"/>
        <w:jc w:val="left"/>
        <w:rPr>
          <w:b w:val="0"/>
          <w:bCs/>
          <w:sz w:val="24"/>
          <w:szCs w:val="24"/>
          <w:lang w:val="en-US"/>
        </w:rPr>
      </w:pPr>
      <w:r w:rsidRPr="00C45837">
        <w:rPr>
          <w:b w:val="0"/>
          <w:bCs/>
          <w:sz w:val="24"/>
          <w:szCs w:val="24"/>
          <w:lang w:val="en-US"/>
        </w:rPr>
        <w:t xml:space="preserve">This Recommendation specifies the </w:t>
      </w:r>
      <w:r w:rsidRPr="00C45837">
        <w:rPr>
          <w:b w:val="0"/>
          <w:bCs/>
          <w:sz w:val="24"/>
          <w:szCs w:val="24"/>
          <w:lang w:val="en-US" w:eastAsia="ja-JP"/>
        </w:rPr>
        <w:t xml:space="preserve">systems </w:t>
      </w:r>
      <w:r w:rsidRPr="00C45837">
        <w:rPr>
          <w:b w:val="0"/>
          <w:bCs/>
          <w:sz w:val="24"/>
          <w:szCs w:val="24"/>
          <w:lang w:val="en-US"/>
        </w:rPr>
        <w:t>characteristics of automotive radars operating under the radiolocation service in the frequency band 76</w:t>
      </w:r>
      <w:r w:rsidRPr="00C45837">
        <w:rPr>
          <w:b w:val="0"/>
          <w:bCs/>
          <w:sz w:val="24"/>
          <w:szCs w:val="24"/>
          <w:lang w:val="en-US"/>
        </w:rPr>
        <w:noBreakHyphen/>
        <w:t xml:space="preserve">81 GHz. These technical and operational characteristics should </w:t>
      </w:r>
      <w:r w:rsidRPr="00C45837">
        <w:rPr>
          <w:b w:val="0"/>
          <w:bCs/>
          <w:sz w:val="24"/>
          <w:szCs w:val="24"/>
          <w:lang w:val="en-US" w:eastAsia="ja-JP"/>
        </w:rPr>
        <w:t xml:space="preserve">be </w:t>
      </w:r>
      <w:r w:rsidRPr="00C45837">
        <w:rPr>
          <w:b w:val="0"/>
          <w:bCs/>
          <w:sz w:val="24"/>
          <w:szCs w:val="24"/>
          <w:lang w:val="en-US"/>
        </w:rPr>
        <w:t xml:space="preserve">used as a guideline in analyzing compatibility between </w:t>
      </w:r>
      <w:r w:rsidRPr="00C45837">
        <w:rPr>
          <w:b w:val="0"/>
          <w:bCs/>
          <w:sz w:val="24"/>
          <w:szCs w:val="24"/>
          <w:lang w:val="en-US" w:eastAsia="ja-JP"/>
        </w:rPr>
        <w:t xml:space="preserve">automotive </w:t>
      </w:r>
      <w:r w:rsidRPr="00C45837">
        <w:rPr>
          <w:b w:val="0"/>
          <w:bCs/>
          <w:sz w:val="24"/>
          <w:szCs w:val="24"/>
          <w:lang w:val="en-US"/>
        </w:rPr>
        <w:t>radars operating in the radiolocation service with systems</w:t>
      </w:r>
      <w:r w:rsidRPr="00C45837">
        <w:rPr>
          <w:b w:val="0"/>
          <w:bCs/>
          <w:sz w:val="24"/>
          <w:szCs w:val="24"/>
          <w:lang w:val="en-US" w:eastAsia="ja-JP"/>
        </w:rPr>
        <w:t xml:space="preserve"> operating within</w:t>
      </w:r>
      <w:r w:rsidRPr="00C45837">
        <w:rPr>
          <w:b w:val="0"/>
          <w:bCs/>
          <w:sz w:val="24"/>
          <w:szCs w:val="24"/>
          <w:lang w:val="en-US"/>
        </w:rPr>
        <w:t xml:space="preserve"> other services.</w:t>
      </w:r>
    </w:p>
    <w:p w:rsidR="00181714" w:rsidRDefault="00181714" w:rsidP="005B649F">
      <w:pPr>
        <w:pStyle w:val="Normalaftertitle0"/>
      </w:pPr>
      <w:r>
        <w:t>The ITU Radiocommunication Assembly,</w:t>
      </w:r>
    </w:p>
    <w:p w:rsidR="00181714" w:rsidRPr="00647C2D" w:rsidRDefault="00181714" w:rsidP="00647C2D">
      <w:pPr>
        <w:pStyle w:val="Call"/>
      </w:pPr>
      <w:r w:rsidRPr="00647C2D">
        <w:t>considering</w:t>
      </w:r>
    </w:p>
    <w:p w:rsidR="00181714" w:rsidRDefault="00181714" w:rsidP="005B649F">
      <w:r w:rsidRPr="00F829C8">
        <w:rPr>
          <w:i/>
          <w:iCs/>
        </w:rPr>
        <w:t>a)</w:t>
      </w:r>
      <w:r>
        <w:tab/>
        <w:t>that antenna, signal propagation, target detection, and large necessary bandwidth characteristics of radar to achieve their functions are optimum in certain frequency bands;</w:t>
      </w:r>
    </w:p>
    <w:p w:rsidR="00181714" w:rsidRDefault="00181714" w:rsidP="005B649F">
      <w:r w:rsidRPr="00F829C8">
        <w:rPr>
          <w:i/>
          <w:iCs/>
        </w:rPr>
        <w:t>b)</w:t>
      </w:r>
      <w:r>
        <w:tab/>
        <w:t>that the technical characteristics of radars operating in the radiodetermination service are determined by the mission of the system and vary widely even within a band;</w:t>
      </w:r>
    </w:p>
    <w:p w:rsidR="00181714" w:rsidRDefault="00181714" w:rsidP="005B649F">
      <w:r>
        <w:rPr>
          <w:i/>
          <w:iCs/>
        </w:rPr>
        <w:t>c</w:t>
      </w:r>
      <w:r w:rsidRPr="00F829C8">
        <w:rPr>
          <w:i/>
          <w:iCs/>
        </w:rPr>
        <w:t>)</w:t>
      </w:r>
      <w:r>
        <w:tab/>
        <w:t>that representative technical and operational characteristics of systems operating in bands allocated to the radiodetermination service are required to determine the feasibility of in</w:t>
      </w:r>
      <w:r w:rsidR="00CE2E20">
        <w:t>troducing new types of systems;</w:t>
      </w:r>
    </w:p>
    <w:p w:rsidR="00181714" w:rsidRDefault="00181714" w:rsidP="005B649F">
      <w:r w:rsidRPr="00F829C8">
        <w:rPr>
          <w:i/>
          <w:iCs/>
        </w:rPr>
        <w:t>d)</w:t>
      </w:r>
      <w:r>
        <w:tab/>
        <w:t>that procedures and methodologies are needed to analyse compatibility between radars operating in the radiodetermination service and systems in other services;</w:t>
      </w:r>
    </w:p>
    <w:p w:rsidR="00181714" w:rsidRPr="00C8536C" w:rsidRDefault="00181714" w:rsidP="005B649F">
      <w:r w:rsidRPr="00F829C8">
        <w:rPr>
          <w:i/>
          <w:iCs/>
        </w:rPr>
        <w:t>e)</w:t>
      </w:r>
      <w:r w:rsidRPr="00C8536C">
        <w:tab/>
        <w:t xml:space="preserve">that an integrated system </w:t>
      </w:r>
      <w:r>
        <w:t xml:space="preserve">consisting of sensors and data exchange systems </w:t>
      </w:r>
      <w:r w:rsidRPr="00C8536C">
        <w:t>is beneficial for safe driving and driver comfort;</w:t>
      </w:r>
    </w:p>
    <w:p w:rsidR="00181714" w:rsidRPr="00C8536C" w:rsidRDefault="00181714" w:rsidP="00647C2D">
      <w:r w:rsidRPr="00F829C8">
        <w:rPr>
          <w:i/>
          <w:iCs/>
          <w:lang w:eastAsia="ja-JP"/>
        </w:rPr>
        <w:t>f</w:t>
      </w:r>
      <w:r w:rsidRPr="00F829C8">
        <w:rPr>
          <w:i/>
          <w:iCs/>
        </w:rPr>
        <w:t>)</w:t>
      </w:r>
      <w:r w:rsidRPr="00C8536C">
        <w:tab/>
        <w:t xml:space="preserve">that strong absorption in </w:t>
      </w:r>
      <w:r w:rsidRPr="00C8536C">
        <w:rPr>
          <w:lang w:eastAsia="ja-JP"/>
        </w:rPr>
        <w:t xml:space="preserve">a part of </w:t>
      </w:r>
      <w:r w:rsidRPr="00C8536C">
        <w:t>millimetre wave frequency ranges due to atmospheric oxygen</w:t>
      </w:r>
      <w:r w:rsidRPr="00C8536C">
        <w:rPr>
          <w:lang w:eastAsia="ja-JP"/>
        </w:rPr>
        <w:t xml:space="preserve"> and water vapour</w:t>
      </w:r>
      <w:r w:rsidRPr="00C8536C">
        <w:t xml:space="preserve"> has a potential to reduce the interference among different radio services operating in the </w:t>
      </w:r>
      <w:r>
        <w:t>frequency band 76–81 GHz</w:t>
      </w:r>
      <w:r w:rsidR="00CE2E20">
        <w:t>,</w:t>
      </w:r>
    </w:p>
    <w:p w:rsidR="00181714" w:rsidRPr="00F829C8" w:rsidRDefault="00181714" w:rsidP="00647C2D">
      <w:pPr>
        <w:pStyle w:val="Call"/>
      </w:pPr>
      <w:r w:rsidRPr="00F829C8">
        <w:t>noting</w:t>
      </w:r>
    </w:p>
    <w:p w:rsidR="00181714" w:rsidRPr="00C8536C" w:rsidRDefault="00181714" w:rsidP="00647C2D">
      <w:pPr>
        <w:rPr>
          <w:lang w:eastAsia="ja-JP"/>
        </w:rPr>
      </w:pPr>
      <w:r w:rsidRPr="00F829C8">
        <w:rPr>
          <w:i/>
          <w:iCs/>
        </w:rPr>
        <w:t>a</w:t>
      </w:r>
      <w:r w:rsidRPr="00F829C8">
        <w:rPr>
          <w:i/>
          <w:iCs/>
          <w:lang w:eastAsia="ja-JP"/>
        </w:rPr>
        <w:t>)</w:t>
      </w:r>
      <w:r>
        <w:rPr>
          <w:lang w:eastAsia="ja-JP"/>
        </w:rPr>
        <w:tab/>
        <w:t>that the band 77.5–78 </w:t>
      </w:r>
      <w:r w:rsidRPr="00C8536C">
        <w:rPr>
          <w:lang w:eastAsia="ja-JP"/>
        </w:rPr>
        <w:t>GHz is allocated worldwide on a primary basis to the amateur and amateur-satellite services;</w:t>
      </w:r>
    </w:p>
    <w:p w:rsidR="00181714" w:rsidRPr="00C87195" w:rsidRDefault="00181714" w:rsidP="00647C2D">
      <w:pPr>
        <w:rPr>
          <w:szCs w:val="24"/>
          <w:lang w:eastAsia="ja-JP"/>
        </w:rPr>
      </w:pPr>
      <w:r w:rsidRPr="00F829C8">
        <w:rPr>
          <w:i/>
          <w:iCs/>
          <w:lang w:eastAsia="ja-JP"/>
        </w:rPr>
        <w:lastRenderedPageBreak/>
        <w:t>b</w:t>
      </w:r>
      <w:r w:rsidRPr="00F829C8">
        <w:rPr>
          <w:i/>
          <w:iCs/>
          <w:szCs w:val="24"/>
          <w:lang w:eastAsia="ja-JP"/>
        </w:rPr>
        <w:t>)</w:t>
      </w:r>
      <w:r w:rsidRPr="00C8536C">
        <w:rPr>
          <w:szCs w:val="24"/>
          <w:lang w:eastAsia="ja-JP"/>
        </w:rPr>
        <w:tab/>
      </w:r>
      <w:r>
        <w:rPr>
          <w:lang w:eastAsia="ja-JP"/>
        </w:rPr>
        <w:t>that the bands 76–77.5 </w:t>
      </w:r>
      <w:r w:rsidRPr="00C8536C">
        <w:rPr>
          <w:lang w:eastAsia="ja-JP"/>
        </w:rPr>
        <w:t>GHz and 79</w:t>
      </w:r>
      <w:r>
        <w:rPr>
          <w:lang w:eastAsia="ja-JP"/>
        </w:rPr>
        <w:t>–81 </w:t>
      </w:r>
      <w:r w:rsidRPr="00C8536C">
        <w:rPr>
          <w:lang w:eastAsia="ja-JP"/>
        </w:rPr>
        <w:t>GHz are allocated</w:t>
      </w:r>
      <w:r w:rsidRPr="00C8536C">
        <w:rPr>
          <w:szCs w:val="24"/>
          <w:lang w:eastAsia="ja-JP"/>
        </w:rPr>
        <w:t xml:space="preserve"> worldwide on a primary basis to </w:t>
      </w:r>
      <w:r w:rsidRPr="00C87195">
        <w:rPr>
          <w:szCs w:val="24"/>
          <w:lang w:eastAsia="ja-JP"/>
        </w:rPr>
        <w:t>the radiolocatio</w:t>
      </w:r>
      <w:r w:rsidR="00CE2E20">
        <w:rPr>
          <w:szCs w:val="24"/>
          <w:lang w:eastAsia="ja-JP"/>
        </w:rPr>
        <w:t>n and radio astronomy services;</w:t>
      </w:r>
    </w:p>
    <w:p w:rsidR="00181714" w:rsidRDefault="00181714" w:rsidP="00647C2D">
      <w:pPr>
        <w:rPr>
          <w:lang w:eastAsia="ja-JP"/>
        </w:rPr>
      </w:pPr>
      <w:r w:rsidRPr="00C87195">
        <w:rPr>
          <w:i/>
          <w:szCs w:val="24"/>
          <w:lang w:eastAsia="ja-JP"/>
        </w:rPr>
        <w:t>c)</w:t>
      </w:r>
      <w:r w:rsidRPr="00C87195">
        <w:rPr>
          <w:szCs w:val="24"/>
          <w:lang w:eastAsia="ja-JP"/>
        </w:rPr>
        <w:tab/>
      </w:r>
      <w:r w:rsidRPr="00A169CD">
        <w:rPr>
          <w:lang w:eastAsia="ja-JP"/>
        </w:rPr>
        <w:t xml:space="preserve">that the band 78–79 GHz is allocated worldwide on a primary basis to the </w:t>
      </w:r>
      <w:r w:rsidRPr="00A169CD">
        <w:rPr>
          <w:szCs w:val="24"/>
          <w:lang w:eastAsia="ja-JP"/>
        </w:rPr>
        <w:t>radiolocation</w:t>
      </w:r>
      <w:r w:rsidRPr="00A169CD">
        <w:rPr>
          <w:lang w:eastAsia="ja-JP"/>
        </w:rPr>
        <w:t xml:space="preserve"> service;</w:t>
      </w:r>
    </w:p>
    <w:p w:rsidR="00181714" w:rsidRDefault="00181714" w:rsidP="005B649F">
      <w:pPr>
        <w:rPr>
          <w:lang w:eastAsia="ja-JP"/>
        </w:rPr>
      </w:pPr>
      <w:r w:rsidRPr="00301755">
        <w:rPr>
          <w:i/>
          <w:lang w:eastAsia="ja-JP"/>
        </w:rPr>
        <w:t>d)</w:t>
      </w:r>
      <w:r>
        <w:rPr>
          <w:lang w:eastAsia="ja-JP"/>
        </w:rPr>
        <w:tab/>
        <w:t xml:space="preserve">that Recommendation ITU-R M.1452 on millimetre wave vehicular collision avoidance radars and radiocommunication systems for intelligent transport system applications provides further information on automotive radars </w:t>
      </w:r>
      <w:r w:rsidR="00CE2E20">
        <w:rPr>
          <w:lang w:eastAsia="ja-JP"/>
        </w:rPr>
        <w:t>operating in the band 76-81 GHz,</w:t>
      </w:r>
    </w:p>
    <w:p w:rsidR="00181714" w:rsidRPr="00C87195" w:rsidRDefault="00181714" w:rsidP="00647C2D">
      <w:pPr>
        <w:pStyle w:val="Call"/>
      </w:pPr>
      <w:r w:rsidRPr="00C87195">
        <w:t>recommends</w:t>
      </w:r>
    </w:p>
    <w:p w:rsidR="00181714" w:rsidRPr="00A169CD" w:rsidRDefault="00181714" w:rsidP="005B649F">
      <w:pPr>
        <w:rPr>
          <w:rFonts w:eastAsia="SimSun"/>
          <w:lang w:eastAsia="ja-JP"/>
        </w:rPr>
      </w:pPr>
      <w:r w:rsidRPr="00C87195">
        <w:t>1</w:t>
      </w:r>
      <w:r w:rsidRPr="00C87195">
        <w:tab/>
        <w:t xml:space="preserve">that the </w:t>
      </w:r>
      <w:r w:rsidRPr="00A169CD">
        <w:rPr>
          <w:rFonts w:eastAsia="SimSun"/>
          <w:lang w:eastAsia="ja-JP"/>
        </w:rPr>
        <w:t>systems</w:t>
      </w:r>
      <w:r w:rsidRPr="00A169CD">
        <w:t xml:space="preserve"> characteristics for radars operating in the frequency band 76</w:t>
      </w:r>
      <w:r w:rsidRPr="00A169CD">
        <w:noBreakHyphen/>
        <w:t xml:space="preserve">81 GHz </w:t>
      </w:r>
      <w:r w:rsidRPr="00A169CD">
        <w:rPr>
          <w:rFonts w:eastAsia="SimSun"/>
          <w:lang w:eastAsia="ja-JP"/>
        </w:rPr>
        <w:t xml:space="preserve">for ITS </w:t>
      </w:r>
      <w:r>
        <w:rPr>
          <w:rFonts w:eastAsia="SimSun"/>
          <w:lang w:eastAsia="ja-JP"/>
        </w:rPr>
        <w:t xml:space="preserve">applications </w:t>
      </w:r>
      <w:r w:rsidRPr="00A169CD">
        <w:t xml:space="preserve">as described in Annex 1 should be considered </w:t>
      </w:r>
      <w:r w:rsidRPr="00A169CD">
        <w:rPr>
          <w:rFonts w:eastAsia="SimSun"/>
          <w:lang w:eastAsia="ja-JP"/>
        </w:rPr>
        <w:t xml:space="preserve">as </w:t>
      </w:r>
      <w:r w:rsidRPr="00A169CD">
        <w:t>representative and be used for compatibility studies</w:t>
      </w:r>
      <w:r w:rsidRPr="00C87195">
        <w:rPr>
          <w:rFonts w:eastAsia="SimSun"/>
          <w:lang w:eastAsia="ja-JP"/>
        </w:rPr>
        <w:t>.</w:t>
      </w:r>
    </w:p>
    <w:p w:rsidR="00181714" w:rsidRDefault="00181714" w:rsidP="005B649F">
      <w:pPr>
        <w:pStyle w:val="AnnexNo"/>
      </w:pPr>
      <w:r>
        <w:br w:type="page"/>
      </w:r>
      <w:r>
        <w:lastRenderedPageBreak/>
        <w:t>ANNEX 1</w:t>
      </w:r>
    </w:p>
    <w:p w:rsidR="00181714" w:rsidRPr="001B729E" w:rsidRDefault="00181714" w:rsidP="00647C2D">
      <w:pPr>
        <w:pStyle w:val="AnnexTitle0"/>
        <w:rPr>
          <w:rFonts w:eastAsia="SimSun"/>
          <w:sz w:val="28"/>
          <w:lang w:eastAsia="ja-JP"/>
        </w:rPr>
      </w:pPr>
      <w:r w:rsidRPr="001B729E">
        <w:rPr>
          <w:sz w:val="28"/>
          <w:lang w:eastAsia="ja-JP"/>
        </w:rPr>
        <w:t>Systems</w:t>
      </w:r>
      <w:r w:rsidRPr="001B729E">
        <w:rPr>
          <w:sz w:val="28"/>
        </w:rPr>
        <w:t xml:space="preserve"> characteristics of automotive radar systems operating in the frequency band 76–81 GHz</w:t>
      </w:r>
      <w:r w:rsidRPr="001B729E">
        <w:rPr>
          <w:rFonts w:eastAsia="SimSun"/>
          <w:sz w:val="28"/>
          <w:lang w:eastAsia="ja-JP"/>
        </w:rPr>
        <w:t xml:space="preserve"> for ITS applications</w:t>
      </w:r>
    </w:p>
    <w:p w:rsidR="00181714" w:rsidRDefault="00181714" w:rsidP="005B649F">
      <w:pPr>
        <w:pStyle w:val="Heading1"/>
        <w:ind w:left="0" w:firstLine="0"/>
        <w:rPr>
          <w:rFonts w:eastAsia="Times New Roman"/>
        </w:rPr>
      </w:pPr>
      <w:r>
        <w:t>1</w:t>
      </w:r>
      <w:r>
        <w:tab/>
        <w:t>Introduction</w:t>
      </w:r>
    </w:p>
    <w:p w:rsidR="00181714" w:rsidRDefault="00181714" w:rsidP="00647C2D">
      <w:pPr>
        <w:rPr>
          <w:szCs w:val="24"/>
          <w:lang w:val="en-US" w:eastAsia="ja-JP"/>
        </w:rPr>
      </w:pPr>
      <w:r>
        <w:t xml:space="preserve">In the band </w:t>
      </w:r>
      <w:r w:rsidRPr="00701B5D">
        <w:t>76</w:t>
      </w:r>
      <w:r>
        <w:t>–</w:t>
      </w:r>
      <w:r w:rsidRPr="00701B5D">
        <w:t>81</w:t>
      </w:r>
      <w:r>
        <w:t xml:space="preserve"> GHz radar systems in support of enhanced road safety are operated. </w:t>
      </w:r>
      <w:r>
        <w:rPr>
          <w:szCs w:val="24"/>
          <w:lang w:eastAsia="ja-JP"/>
        </w:rPr>
        <w:t>Evolving demands</w:t>
      </w:r>
      <w:r w:rsidRPr="0097382A">
        <w:rPr>
          <w:szCs w:val="24"/>
          <w:lang w:eastAsia="ja-JP"/>
        </w:rPr>
        <w:t xml:space="preserve"> </w:t>
      </w:r>
      <w:r>
        <w:rPr>
          <w:szCs w:val="24"/>
          <w:lang w:eastAsia="ja-JP"/>
        </w:rPr>
        <w:t xml:space="preserve">related to </w:t>
      </w:r>
      <w:r>
        <w:rPr>
          <w:szCs w:val="24"/>
          <w:lang w:val="en-US" w:eastAsia="ja-JP"/>
        </w:rPr>
        <w:t>automotive safety applications, including the reduction of traffic fatalities and accidents</w:t>
      </w:r>
      <w:r w:rsidRPr="0097382A">
        <w:rPr>
          <w:szCs w:val="24"/>
          <w:lang w:eastAsia="ja-JP"/>
        </w:rPr>
        <w:t xml:space="preserve"> </w:t>
      </w:r>
      <w:r>
        <w:rPr>
          <w:szCs w:val="24"/>
          <w:lang w:eastAsia="ja-JP"/>
        </w:rPr>
        <w:t>require a range resolution</w:t>
      </w:r>
      <w:r w:rsidRPr="0097382A">
        <w:rPr>
          <w:szCs w:val="24"/>
          <w:lang w:eastAsia="ja-JP"/>
        </w:rPr>
        <w:t xml:space="preserve"> for automotive radar</w:t>
      </w:r>
      <w:r>
        <w:rPr>
          <w:szCs w:val="24"/>
          <w:lang w:eastAsia="ja-JP"/>
        </w:rPr>
        <w:t xml:space="preserve"> systems</w:t>
      </w:r>
      <w:r>
        <w:rPr>
          <w:lang w:val="en-US"/>
        </w:rPr>
        <w:t xml:space="preserve"> </w:t>
      </w:r>
      <w:r>
        <w:t>leading to a technical requirement for a nece</w:t>
      </w:r>
      <w:r w:rsidR="00CE2E20">
        <w:t>ssary bandwidth of up to 4 GHz.</w:t>
      </w:r>
      <w:bookmarkStart w:id="6" w:name="_GoBack"/>
      <w:bookmarkEnd w:id="6"/>
    </w:p>
    <w:p w:rsidR="00181714" w:rsidRDefault="00181714" w:rsidP="00647C2D">
      <w:pPr>
        <w:pStyle w:val="Heading1"/>
        <w:rPr>
          <w:rFonts w:eastAsia="Times New Roman"/>
        </w:rPr>
      </w:pPr>
      <w:r>
        <w:t>2</w:t>
      </w:r>
      <w:r>
        <w:tab/>
        <w:t xml:space="preserve">Technical characteristics of </w:t>
      </w:r>
      <w:r w:rsidRPr="00A169CD">
        <w:rPr>
          <w:rFonts w:eastAsia="SimSun"/>
          <w:lang w:eastAsia="ja-JP"/>
        </w:rPr>
        <w:t>automotive radar</w:t>
      </w:r>
      <w:r w:rsidRPr="006A639B">
        <w:t xml:space="preserve"> </w:t>
      </w:r>
      <w:r>
        <w:t xml:space="preserve">systems operating in the frequency band 76–81 GHz </w:t>
      </w:r>
    </w:p>
    <w:p w:rsidR="00181714" w:rsidRDefault="00181714" w:rsidP="00647C2D">
      <w:r>
        <w:t xml:space="preserve">Automotive </w:t>
      </w:r>
      <w:r>
        <w:rPr>
          <w:rFonts w:eastAsia="SimSun"/>
          <w:lang w:eastAsia="ja-JP"/>
        </w:rPr>
        <w:t xml:space="preserve">radar </w:t>
      </w:r>
      <w:r>
        <w:t xml:space="preserve">systems operating in the </w:t>
      </w:r>
      <w:r w:rsidRPr="00701B5D">
        <w:t>76</w:t>
      </w:r>
      <w:r>
        <w:t>–</w:t>
      </w:r>
      <w:r w:rsidRPr="00701B5D">
        <w:t>81</w:t>
      </w:r>
      <w:r>
        <w:t> GHz frequency range are separated in 2</w:t>
      </w:r>
      <w:r w:rsidR="00647C2D">
        <w:t> </w:t>
      </w:r>
      <w:r>
        <w:t>categories with the technical characteristics given in Table 1:</w:t>
      </w:r>
    </w:p>
    <w:p w:rsidR="00181714" w:rsidRDefault="00181714" w:rsidP="005B649F">
      <w:pPr>
        <w:ind w:left="720"/>
      </w:pPr>
      <w:r>
        <w:t xml:space="preserve">Category 1: Adaptive Cruise Control (ACC) and collision avoidance (CA) radar, for measurement ranges up </w:t>
      </w:r>
      <w:r w:rsidRPr="00C87195">
        <w:t xml:space="preserve">to </w:t>
      </w:r>
      <w:r w:rsidRPr="00A169CD">
        <w:t>250</w:t>
      </w:r>
      <w:r w:rsidRPr="00C87195">
        <w:t xml:space="preserve"> m</w:t>
      </w:r>
      <w:r>
        <w:t xml:space="preserve"> typical technical characteristics are listed as Radar A. Such radars are considered to add additional comfort functions for the driver, giving support for more stress-free driving.</w:t>
      </w:r>
    </w:p>
    <w:p w:rsidR="00181714" w:rsidRDefault="00181714" w:rsidP="005B649F">
      <w:pPr>
        <w:ind w:left="720"/>
      </w:pPr>
      <w:r>
        <w:t xml:space="preserve">Category 2: Sensors for high resolution applications such as Blind Spot Detection (BSD), Lane-Change Assist (LCA) and Rear-Traffic-Crossing-Alert (RTCA), detection of pedestrians and bicycles in close proximity to a vehicle, for measurement ranges up to 100 m typical technical characteristics are listed as Radar </w:t>
      </w:r>
      <w:r>
        <w:rPr>
          <w:rFonts w:ascii="Symbol" w:hAnsi="Symbol"/>
        </w:rPr>
        <w:t></w:t>
      </w:r>
      <w:r>
        <w:rPr>
          <w:rFonts w:ascii="Symbol" w:hAnsi="Symbol"/>
          <w:lang w:eastAsia="ja-JP"/>
        </w:rPr>
        <w:t></w:t>
      </w:r>
      <w:r>
        <w:rPr>
          <w:lang w:eastAsia="ja-JP"/>
        </w:rPr>
        <w:t>and C</w:t>
      </w:r>
      <w:r>
        <w:t>. Such radars</w:t>
      </w:r>
      <w:r w:rsidRPr="00E8072D">
        <w:t xml:space="preserve"> </w:t>
      </w:r>
      <w:r>
        <w:t xml:space="preserve">directly add to the passive and active safety of a vehicle and are therefore an essential benefit towards improved traffic safety. </w:t>
      </w:r>
    </w:p>
    <w:p w:rsidR="00181714" w:rsidRDefault="00181714" w:rsidP="005B649F">
      <w:pPr>
        <w:ind w:left="720"/>
      </w:pPr>
    </w:p>
    <w:p w:rsidR="00181714" w:rsidRDefault="00181714" w:rsidP="005B649F">
      <w:pPr>
        <w:sectPr w:rsidR="00181714" w:rsidSect="00680A85">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aperSrc w:first="15" w:other="15"/>
          <w:cols w:space="720"/>
          <w:titlePg/>
          <w:docGrid w:linePitch="326"/>
        </w:sectPr>
      </w:pPr>
    </w:p>
    <w:p w:rsidR="00181714" w:rsidRDefault="00181714" w:rsidP="005B649F">
      <w:pPr>
        <w:pStyle w:val="Table"/>
        <w:keepNext w:val="0"/>
      </w:pPr>
      <w:r>
        <w:lastRenderedPageBreak/>
        <w:t>TABLE 1</w:t>
      </w:r>
    </w:p>
    <w:p w:rsidR="00181714" w:rsidRDefault="00181714" w:rsidP="00647C2D">
      <w:pPr>
        <w:pStyle w:val="TableTitle0"/>
        <w:keepNext w:val="0"/>
      </w:pPr>
      <w:r>
        <w:rPr>
          <w:rFonts w:eastAsia="SimSun"/>
          <w:lang w:eastAsia="ja-JP"/>
        </w:rPr>
        <w:t>Automotive</w:t>
      </w:r>
      <w:r>
        <w:t xml:space="preserve"> radar characteristics in the band 76–81 GHz</w:t>
      </w:r>
    </w:p>
    <w:p w:rsidR="00181714" w:rsidRDefault="00181714" w:rsidP="005B649F">
      <w:pPr>
        <w:pStyle w:val="Blanc"/>
        <w:keepNext w:val="0"/>
        <w:keepLines w:val="0"/>
        <w:rPr>
          <w:rFonts w:eastAsia="Times New Roman"/>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3119"/>
        <w:gridCol w:w="2800"/>
        <w:gridCol w:w="2835"/>
        <w:gridCol w:w="2835"/>
      </w:tblGrid>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center"/>
            </w:pPr>
            <w:r>
              <w:t>Parameter</w:t>
            </w:r>
          </w:p>
        </w:tc>
        <w:tc>
          <w:tcPr>
            <w:tcW w:w="2800" w:type="dxa"/>
            <w:tcBorders>
              <w:top w:val="single" w:sz="6" w:space="0" w:color="auto"/>
              <w:left w:val="single" w:sz="6" w:space="0" w:color="auto"/>
              <w:bottom w:val="single" w:sz="6" w:space="0" w:color="auto"/>
              <w:right w:val="single" w:sz="6" w:space="0" w:color="auto"/>
            </w:tcBorders>
          </w:tcPr>
          <w:p w:rsidR="00181714" w:rsidRPr="00C87195" w:rsidRDefault="00181714" w:rsidP="00F2344D">
            <w:pPr>
              <w:pStyle w:val="TableText0"/>
              <w:keepNext w:val="0"/>
              <w:jc w:val="center"/>
            </w:pPr>
            <w:r w:rsidRPr="00C87195">
              <w:t>Radar A</w:t>
            </w:r>
          </w:p>
          <w:p w:rsidR="00181714" w:rsidRPr="00C87195" w:rsidRDefault="00181714" w:rsidP="00F2344D">
            <w:pPr>
              <w:pStyle w:val="TableText0"/>
              <w:keepNext w:val="0"/>
              <w:jc w:val="center"/>
            </w:pPr>
            <w:r w:rsidRPr="00A169CD">
              <w:t>Automotive radar</w:t>
            </w:r>
          </w:p>
        </w:tc>
        <w:tc>
          <w:tcPr>
            <w:tcW w:w="2835" w:type="dxa"/>
            <w:tcBorders>
              <w:top w:val="single" w:sz="6" w:space="0" w:color="auto"/>
              <w:left w:val="single" w:sz="6" w:space="0" w:color="auto"/>
              <w:bottom w:val="single" w:sz="6" w:space="0" w:color="auto"/>
              <w:right w:val="single" w:sz="6" w:space="0" w:color="auto"/>
            </w:tcBorders>
          </w:tcPr>
          <w:p w:rsidR="00181714" w:rsidRPr="00C87195" w:rsidRDefault="00181714" w:rsidP="00F2344D">
            <w:pPr>
              <w:pStyle w:val="TableText0"/>
              <w:keepNext w:val="0"/>
              <w:jc w:val="center"/>
            </w:pPr>
            <w:r w:rsidRPr="00C87195">
              <w:t>Radar B</w:t>
            </w:r>
          </w:p>
          <w:p w:rsidR="00181714" w:rsidRPr="00C87195" w:rsidRDefault="00181714" w:rsidP="00F2344D">
            <w:pPr>
              <w:pStyle w:val="TableText0"/>
              <w:keepNext w:val="0"/>
              <w:jc w:val="center"/>
            </w:pPr>
            <w:r>
              <w:t>Automotive high-</w:t>
            </w:r>
            <w:r w:rsidRPr="00A169CD">
              <w:t>resolution radar</w:t>
            </w:r>
          </w:p>
        </w:tc>
        <w:tc>
          <w:tcPr>
            <w:tcW w:w="2835" w:type="dxa"/>
            <w:tcBorders>
              <w:top w:val="single" w:sz="6" w:space="0" w:color="auto"/>
              <w:left w:val="single" w:sz="6" w:space="0" w:color="auto"/>
              <w:bottom w:val="single" w:sz="6" w:space="0" w:color="auto"/>
            </w:tcBorders>
          </w:tcPr>
          <w:p w:rsidR="00181714" w:rsidRDefault="00181714" w:rsidP="00F2344D">
            <w:pPr>
              <w:pStyle w:val="TableText0"/>
              <w:keepNext w:val="0"/>
              <w:jc w:val="center"/>
              <w:rPr>
                <w:rFonts w:eastAsia="SimSun"/>
                <w:lang w:eastAsia="ja-JP"/>
              </w:rPr>
            </w:pPr>
            <w:r>
              <w:t>Radar C</w:t>
            </w:r>
          </w:p>
          <w:p w:rsidR="00181714" w:rsidRPr="00A169CD" w:rsidRDefault="00181714" w:rsidP="00F2344D">
            <w:pPr>
              <w:pStyle w:val="TableText0"/>
              <w:keepNext w:val="0"/>
              <w:jc w:val="center"/>
              <w:rPr>
                <w:rFonts w:eastAsia="SimSun"/>
                <w:lang w:eastAsia="ja-JP"/>
              </w:rPr>
            </w:pPr>
            <w:r>
              <w:t>Automotive high</w:t>
            </w:r>
            <w:r>
              <w:rPr>
                <w:rFonts w:eastAsia="SimSun"/>
                <w:lang w:eastAsia="ja-JP"/>
              </w:rPr>
              <w:t>-</w:t>
            </w:r>
            <w:r w:rsidRPr="00A169CD">
              <w:t>resolution radar</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Sub Band used</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rsidRPr="00701B5D">
              <w:t>76</w:t>
            </w:r>
            <w:r>
              <w:t xml:space="preserve"> – 77 GHz </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77 – </w:t>
            </w:r>
            <w:r w:rsidRPr="00701B5D">
              <w:t>81</w:t>
            </w:r>
            <w:r>
              <w:t> GHz</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spacing w:before="0"/>
              <w:jc w:val="center"/>
              <w:rPr>
                <w:rFonts w:eastAsia="SimSun"/>
                <w:lang w:eastAsia="ja-JP"/>
              </w:rPr>
            </w:pPr>
            <w:r>
              <w:rPr>
                <w:rFonts w:eastAsia="SimSun"/>
                <w:lang w:eastAsia="ja-JP"/>
              </w:rPr>
              <w:t>77 – 81 GHz</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Typical operating range</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Up to 250m</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Up to 100m</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spacing w:before="0"/>
              <w:jc w:val="center"/>
              <w:rPr>
                <w:rFonts w:eastAsia="SimSun"/>
                <w:highlight w:val="yellow"/>
                <w:lang w:eastAsia="ja-JP"/>
              </w:rPr>
            </w:pPr>
            <w:r w:rsidRPr="00A169CD">
              <w:rPr>
                <w:rFonts w:eastAsia="SimSun"/>
                <w:lang w:eastAsia="ja-JP"/>
              </w:rPr>
              <w:t>Up to 70</w:t>
            </w:r>
            <w:r w:rsidRPr="00631A29">
              <w:rPr>
                <w:rFonts w:eastAsia="SimSun"/>
                <w:lang w:eastAsia="ja-JP"/>
              </w:rPr>
              <w:t>m</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Target separation capability</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75cm</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7</w:t>
            </w:r>
            <w:r>
              <w:rPr>
                <w:lang w:eastAsia="ja-JP"/>
              </w:rPr>
              <w:t>.</w:t>
            </w:r>
            <w:r>
              <w:t>5cm</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spacing w:before="0"/>
              <w:jc w:val="center"/>
              <w:rPr>
                <w:rFonts w:eastAsia="SimSun"/>
                <w:lang w:eastAsia="ja-JP"/>
              </w:rPr>
            </w:pPr>
            <w:r w:rsidRPr="00FB5885">
              <w:rPr>
                <w:rFonts w:eastAsia="SimSun"/>
                <w:lang w:eastAsia="ja-JP"/>
              </w:rPr>
              <w:t>15 cm</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Tuning type</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fixed frequency</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fixed frequency</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spacing w:before="0"/>
              <w:jc w:val="center"/>
              <w:rPr>
                <w:rFonts w:eastAsia="SimSun"/>
                <w:lang w:eastAsia="ja-JP"/>
              </w:rPr>
            </w:pPr>
            <w:r w:rsidRPr="00A169CD">
              <w:rPr>
                <w:rFonts w:eastAsia="SimSun"/>
                <w:lang w:eastAsia="ja-JP"/>
              </w:rPr>
              <w:t>Fixed frequency</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Emission type</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rsidRPr="00005FD9">
              <w:t>FMCW</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FMCW</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jc w:val="center"/>
              <w:rPr>
                <w:rFonts w:eastAsia="SimSun"/>
                <w:lang w:eastAsia="ja-JP"/>
              </w:rPr>
            </w:pPr>
            <w:r w:rsidRPr="00A169CD">
              <w:rPr>
                <w:rFonts w:eastAsia="SimSun"/>
                <w:lang w:eastAsia="ja-JP"/>
              </w:rPr>
              <w:t>Not specified</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RF emission bandwidth (GHz)</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Max 0.8</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Max 3.8</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jc w:val="center"/>
              <w:rPr>
                <w:rFonts w:eastAsia="SimSun"/>
                <w:lang w:eastAsia="ja-JP"/>
              </w:rPr>
            </w:pPr>
            <w:r w:rsidRPr="00A169CD">
              <w:rPr>
                <w:rFonts w:eastAsia="SimSun"/>
                <w:lang w:eastAsia="ja-JP"/>
              </w:rPr>
              <w:t>Max 4</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Sweep</w:t>
            </w:r>
            <w:r>
              <w:rPr>
                <w:lang w:eastAsia="ja-JP"/>
              </w:rPr>
              <w:t xml:space="preserve"> </w:t>
            </w:r>
            <w:r>
              <w:t>time</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10µs -  5ms</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10µs – 5ms</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jc w:val="center"/>
              <w:rPr>
                <w:rFonts w:eastAsia="SimSun"/>
                <w:lang w:eastAsia="ja-JP"/>
              </w:rPr>
            </w:pPr>
            <w:r w:rsidRPr="00FB5885">
              <w:t>10µs – 5ms</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446BBB">
            <w:pPr>
              <w:pStyle w:val="TableText0"/>
              <w:keepNext w:val="0"/>
              <w:jc w:val="left"/>
            </w:pPr>
            <w:r>
              <w:t xml:space="preserve">Maximum e.i.r.p  (dBm) </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36 @ over entire bandwidth</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33 @ over entire bandwidth</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jc w:val="center"/>
              <w:rPr>
                <w:rFonts w:eastAsia="SimSun"/>
                <w:lang w:eastAsia="ja-JP"/>
              </w:rPr>
            </w:pP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rPr>
                <w:lang w:eastAsia="ja-JP"/>
              </w:rPr>
            </w:pPr>
            <w:r>
              <w:rPr>
                <w:lang w:eastAsia="ja-JP"/>
              </w:rPr>
              <w:t>Maximum transmit power (</w:t>
            </w:r>
            <w:r w:rsidRPr="00A169CD">
              <w:t>mW</w:t>
            </w:r>
            <w:r>
              <w:rPr>
                <w:lang w:eastAsia="ja-JP"/>
              </w:rPr>
              <w:t>)</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jc w:val="center"/>
              <w:rPr>
                <w:rFonts w:eastAsia="SimSun"/>
                <w:lang w:eastAsia="ja-JP"/>
              </w:rPr>
            </w:pPr>
            <w:r w:rsidRPr="00A169CD">
              <w:t xml:space="preserve">10 </w:t>
            </w:r>
            <w:r>
              <w:rPr>
                <w:lang w:eastAsia="ja-JP"/>
              </w:rPr>
              <w:br/>
            </w:r>
            <w:r w:rsidRPr="00A169CD">
              <w:t>over entire bandwidth (4GHz)</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Mean power density  (dBm/MHz)</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+8@ RMS</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-3 @RMS</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jc w:val="center"/>
              <w:rPr>
                <w:rFonts w:eastAsia="SimSun"/>
                <w:lang w:eastAsia="ja-JP"/>
              </w:rPr>
            </w:pP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rPr>
                <w:lang w:eastAsia="ja-JP"/>
              </w:rPr>
            </w:pPr>
            <w:r>
              <w:rPr>
                <w:lang w:eastAsia="ja-JP"/>
              </w:rPr>
              <w:t xml:space="preserve">[Pending for determining whether it fits to the above row] </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jc w:val="center"/>
              <w:rPr>
                <w:rFonts w:eastAsia="SimSun"/>
                <w:lang w:eastAsia="ja-JP"/>
              </w:rPr>
            </w:pPr>
            <w:r w:rsidRPr="00FB5885">
              <w:t>-26 dBm/MHz</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Receiver IF bandwidth (–20 dB) (MHz)</w:t>
            </w:r>
          </w:p>
        </w:tc>
        <w:tc>
          <w:tcPr>
            <w:tcW w:w="2800" w:type="dxa"/>
            <w:tcBorders>
              <w:top w:val="single" w:sz="6" w:space="0" w:color="auto"/>
              <w:left w:val="single" w:sz="6" w:space="0" w:color="auto"/>
              <w:bottom w:val="single" w:sz="4" w:space="0" w:color="auto"/>
              <w:right w:val="single" w:sz="6" w:space="0" w:color="auto"/>
            </w:tcBorders>
            <w:vAlign w:val="center"/>
          </w:tcPr>
          <w:p w:rsidR="00181714" w:rsidRDefault="00181714" w:rsidP="00F2344D">
            <w:pPr>
              <w:pStyle w:val="TableText0"/>
              <w:keepNext w:val="0"/>
              <w:jc w:val="center"/>
            </w:pPr>
            <w:r>
              <w:t>0.5 – 20</w:t>
            </w:r>
          </w:p>
        </w:tc>
        <w:tc>
          <w:tcPr>
            <w:tcW w:w="2835" w:type="dxa"/>
            <w:tcBorders>
              <w:top w:val="single" w:sz="6" w:space="0" w:color="auto"/>
              <w:left w:val="single" w:sz="6" w:space="0" w:color="auto"/>
              <w:bottom w:val="single" w:sz="4" w:space="0" w:color="auto"/>
              <w:right w:val="single" w:sz="6" w:space="0" w:color="auto"/>
            </w:tcBorders>
            <w:vAlign w:val="center"/>
          </w:tcPr>
          <w:p w:rsidR="00181714" w:rsidRDefault="00181714" w:rsidP="00F2344D">
            <w:pPr>
              <w:pStyle w:val="TableText0"/>
              <w:keepNext w:val="0"/>
              <w:jc w:val="center"/>
            </w:pPr>
            <w:r>
              <w:t>0.5 – 20</w:t>
            </w:r>
          </w:p>
        </w:tc>
        <w:tc>
          <w:tcPr>
            <w:tcW w:w="2835" w:type="dxa"/>
            <w:tcBorders>
              <w:top w:val="single" w:sz="6" w:space="0" w:color="auto"/>
              <w:left w:val="single" w:sz="6" w:space="0" w:color="auto"/>
              <w:bottom w:val="single" w:sz="4" w:space="0" w:color="auto"/>
            </w:tcBorders>
            <w:vAlign w:val="center"/>
          </w:tcPr>
          <w:p w:rsidR="00181714" w:rsidRPr="00A169CD" w:rsidRDefault="00181714" w:rsidP="00F2344D">
            <w:pPr>
              <w:pStyle w:val="TableText0"/>
              <w:keepNext w:val="0"/>
              <w:jc w:val="center"/>
              <w:rPr>
                <w:rFonts w:eastAsia="SimSun"/>
                <w:lang w:eastAsia="ja-JP"/>
              </w:rPr>
            </w:pPr>
            <w:r w:rsidRPr="00A169CD">
              <w:rPr>
                <w:rFonts w:eastAsia="SimSun"/>
                <w:lang w:eastAsia="ja-JP"/>
              </w:rPr>
              <w:t>Not specified</w:t>
            </w:r>
          </w:p>
        </w:tc>
      </w:tr>
      <w:tr w:rsidR="00181714" w:rsidTr="00680A85">
        <w:trPr>
          <w:jc w:val="center"/>
        </w:trPr>
        <w:tc>
          <w:tcPr>
            <w:tcW w:w="3119" w:type="dxa"/>
            <w:tcBorders>
              <w:top w:val="single" w:sz="6" w:space="0" w:color="auto"/>
              <w:bottom w:val="single" w:sz="6" w:space="0" w:color="auto"/>
              <w:right w:val="single" w:sz="4" w:space="0" w:color="auto"/>
            </w:tcBorders>
          </w:tcPr>
          <w:p w:rsidR="00181714" w:rsidRDefault="00181714" w:rsidP="00F2344D">
            <w:pPr>
              <w:pStyle w:val="TableText0"/>
              <w:keepNext w:val="0"/>
              <w:jc w:val="left"/>
            </w:pPr>
            <w:r>
              <w:t>Receiver noise figure (dB)</w:t>
            </w:r>
          </w:p>
        </w:tc>
        <w:tc>
          <w:tcPr>
            <w:tcW w:w="2800" w:type="dxa"/>
            <w:tcBorders>
              <w:top w:val="single" w:sz="4" w:space="0" w:color="auto"/>
              <w:left w:val="single" w:sz="4" w:space="0" w:color="auto"/>
              <w:bottom w:val="single" w:sz="4" w:space="0" w:color="auto"/>
              <w:right w:val="single" w:sz="4" w:space="0" w:color="auto"/>
            </w:tcBorders>
            <w:vAlign w:val="center"/>
          </w:tcPr>
          <w:p w:rsidR="00181714" w:rsidRDefault="00181714" w:rsidP="00F2344D">
            <w:pPr>
              <w:pStyle w:val="TableText0"/>
              <w:keepNext w:val="0"/>
              <w:jc w:val="center"/>
            </w:pPr>
            <w:r>
              <w:t>15</w:t>
            </w:r>
          </w:p>
        </w:tc>
        <w:tc>
          <w:tcPr>
            <w:tcW w:w="2835" w:type="dxa"/>
            <w:tcBorders>
              <w:top w:val="single" w:sz="4" w:space="0" w:color="auto"/>
              <w:left w:val="single" w:sz="4" w:space="0" w:color="auto"/>
              <w:bottom w:val="single" w:sz="4" w:space="0" w:color="auto"/>
              <w:right w:val="single" w:sz="4" w:space="0" w:color="auto"/>
            </w:tcBorders>
            <w:vAlign w:val="center"/>
          </w:tcPr>
          <w:p w:rsidR="00181714" w:rsidRDefault="00181714" w:rsidP="00F2344D">
            <w:pPr>
              <w:pStyle w:val="TableText0"/>
              <w:keepNext w:val="0"/>
              <w:jc w:val="center"/>
            </w:pPr>
            <w:r>
              <w:t>15</w:t>
            </w:r>
          </w:p>
        </w:tc>
        <w:tc>
          <w:tcPr>
            <w:tcW w:w="2835" w:type="dxa"/>
            <w:tcBorders>
              <w:top w:val="single" w:sz="4" w:space="0" w:color="auto"/>
              <w:left w:val="single" w:sz="4" w:space="0" w:color="auto"/>
              <w:bottom w:val="single" w:sz="4" w:space="0" w:color="auto"/>
              <w:right w:val="single" w:sz="4" w:space="0" w:color="auto"/>
            </w:tcBorders>
            <w:vAlign w:val="center"/>
          </w:tcPr>
          <w:p w:rsidR="00181714" w:rsidRPr="00A169CD" w:rsidRDefault="00181714" w:rsidP="00F2344D">
            <w:pPr>
              <w:pStyle w:val="TableText0"/>
              <w:keepNext w:val="0"/>
              <w:jc w:val="center"/>
              <w:rPr>
                <w:rFonts w:eastAsia="SimSun"/>
                <w:lang w:eastAsia="ja-JP"/>
              </w:rPr>
            </w:pPr>
            <w:r w:rsidRPr="00A169CD">
              <w:rPr>
                <w:rFonts w:eastAsia="SimSun"/>
                <w:lang w:eastAsia="ja-JP"/>
              </w:rPr>
              <w:t>Not specified</w:t>
            </w:r>
          </w:p>
        </w:tc>
      </w:tr>
      <w:tr w:rsidR="00181714" w:rsidTr="00680A85">
        <w:trPr>
          <w:jc w:val="center"/>
        </w:trPr>
        <w:tc>
          <w:tcPr>
            <w:tcW w:w="3119" w:type="dxa"/>
            <w:tcBorders>
              <w:top w:val="single" w:sz="6" w:space="0" w:color="auto"/>
              <w:bottom w:val="single" w:sz="6" w:space="0" w:color="auto"/>
              <w:right w:val="single" w:sz="4" w:space="0" w:color="auto"/>
            </w:tcBorders>
          </w:tcPr>
          <w:p w:rsidR="00181714" w:rsidRDefault="00181714" w:rsidP="00F2344D">
            <w:pPr>
              <w:pStyle w:val="TableText0"/>
              <w:keepNext w:val="0"/>
              <w:jc w:val="left"/>
            </w:pPr>
            <w:r>
              <w:t>Antenna type</w:t>
            </w:r>
          </w:p>
        </w:tc>
        <w:tc>
          <w:tcPr>
            <w:tcW w:w="2800" w:type="dxa"/>
            <w:tcBorders>
              <w:top w:val="single" w:sz="4" w:space="0" w:color="auto"/>
              <w:left w:val="single" w:sz="4" w:space="0" w:color="auto"/>
              <w:bottom w:val="single" w:sz="4" w:space="0" w:color="auto"/>
              <w:right w:val="single" w:sz="4" w:space="0" w:color="auto"/>
            </w:tcBorders>
            <w:vAlign w:val="center"/>
          </w:tcPr>
          <w:p w:rsidR="00181714" w:rsidRDefault="00181714" w:rsidP="00F2344D">
            <w:pPr>
              <w:pStyle w:val="TableText0"/>
              <w:keepNext w:val="0"/>
              <w:jc w:val="center"/>
            </w:pPr>
            <w:r>
              <w:t>Patch feeds with dielectric lens</w:t>
            </w:r>
          </w:p>
        </w:tc>
        <w:tc>
          <w:tcPr>
            <w:tcW w:w="2835" w:type="dxa"/>
            <w:tcBorders>
              <w:top w:val="single" w:sz="4" w:space="0" w:color="auto"/>
              <w:left w:val="single" w:sz="4" w:space="0" w:color="auto"/>
              <w:bottom w:val="single" w:sz="4" w:space="0" w:color="auto"/>
              <w:right w:val="single" w:sz="4" w:space="0" w:color="auto"/>
            </w:tcBorders>
            <w:vAlign w:val="center"/>
          </w:tcPr>
          <w:p w:rsidR="00181714" w:rsidRDefault="00181714" w:rsidP="00F2344D">
            <w:pPr>
              <w:pStyle w:val="TableText0"/>
              <w:keepNext w:val="0"/>
              <w:jc w:val="center"/>
            </w:pPr>
            <w:r>
              <w:t>Patch Array</w:t>
            </w:r>
          </w:p>
        </w:tc>
        <w:tc>
          <w:tcPr>
            <w:tcW w:w="2835" w:type="dxa"/>
            <w:tcBorders>
              <w:top w:val="single" w:sz="4" w:space="0" w:color="auto"/>
              <w:left w:val="single" w:sz="4" w:space="0" w:color="auto"/>
              <w:bottom w:val="single" w:sz="4" w:space="0" w:color="auto"/>
              <w:right w:val="single" w:sz="4" w:space="0" w:color="auto"/>
            </w:tcBorders>
            <w:vAlign w:val="center"/>
          </w:tcPr>
          <w:p w:rsidR="00181714" w:rsidRPr="00A169CD" w:rsidRDefault="00181714" w:rsidP="00F2344D">
            <w:pPr>
              <w:pStyle w:val="TableText0"/>
              <w:keepNext w:val="0"/>
              <w:jc w:val="center"/>
              <w:rPr>
                <w:rFonts w:eastAsia="SimSun"/>
                <w:lang w:eastAsia="ja-JP"/>
              </w:rPr>
            </w:pPr>
            <w:r w:rsidRPr="00A169CD">
              <w:rPr>
                <w:rFonts w:eastAsia="SimSun"/>
                <w:lang w:eastAsia="ja-JP"/>
              </w:rPr>
              <w:t>Not specified</w:t>
            </w:r>
          </w:p>
        </w:tc>
      </w:tr>
      <w:tr w:rsidR="00181714"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Antenna main beam gain (dBi)</w:t>
            </w:r>
          </w:p>
        </w:tc>
        <w:tc>
          <w:tcPr>
            <w:tcW w:w="2800" w:type="dxa"/>
            <w:tcBorders>
              <w:top w:val="single" w:sz="4"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30</w:t>
            </w:r>
          </w:p>
        </w:tc>
        <w:tc>
          <w:tcPr>
            <w:tcW w:w="2835" w:type="dxa"/>
            <w:tcBorders>
              <w:top w:val="single" w:sz="4"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jc w:val="center"/>
            </w:pPr>
            <w:r>
              <w:t>25</w:t>
            </w:r>
          </w:p>
        </w:tc>
        <w:tc>
          <w:tcPr>
            <w:tcW w:w="2835" w:type="dxa"/>
            <w:tcBorders>
              <w:top w:val="single" w:sz="4" w:space="0" w:color="auto"/>
              <w:left w:val="single" w:sz="6" w:space="0" w:color="auto"/>
              <w:bottom w:val="single" w:sz="6" w:space="0" w:color="auto"/>
            </w:tcBorders>
            <w:vAlign w:val="center"/>
          </w:tcPr>
          <w:p w:rsidR="00181714" w:rsidRPr="00A169CD" w:rsidRDefault="00181714" w:rsidP="00F2344D">
            <w:pPr>
              <w:pStyle w:val="TableText0"/>
              <w:keepNext w:val="0"/>
              <w:jc w:val="center"/>
              <w:rPr>
                <w:rFonts w:eastAsia="SimSun"/>
                <w:lang w:eastAsia="ja-JP"/>
              </w:rPr>
            </w:pPr>
            <w:r w:rsidRPr="00A169CD">
              <w:rPr>
                <w:rFonts w:eastAsia="SimSun"/>
                <w:lang w:eastAsia="ja-JP"/>
              </w:rPr>
              <w:t>35</w:t>
            </w:r>
          </w:p>
        </w:tc>
      </w:tr>
      <w:tr w:rsidR="00181714" w:rsidRPr="00FB5885" w:rsidTr="00680A85">
        <w:trPr>
          <w:jc w:val="center"/>
        </w:trPr>
        <w:tc>
          <w:tcPr>
            <w:tcW w:w="3119" w:type="dxa"/>
            <w:tcBorders>
              <w:top w:val="single" w:sz="6" w:space="0" w:color="auto"/>
              <w:bottom w:val="single" w:sz="6" w:space="0" w:color="auto"/>
              <w:right w:val="single" w:sz="6" w:space="0" w:color="auto"/>
            </w:tcBorders>
          </w:tcPr>
          <w:p w:rsidR="00181714" w:rsidRDefault="00181714" w:rsidP="00F2344D">
            <w:pPr>
              <w:pStyle w:val="TableText0"/>
              <w:keepNext w:val="0"/>
              <w:jc w:val="left"/>
            </w:pPr>
            <w:r>
              <w:t>Antenna scan</w:t>
            </w:r>
          </w:p>
        </w:tc>
        <w:tc>
          <w:tcPr>
            <w:tcW w:w="2800"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Fixed or</w:t>
            </w:r>
            <w:r>
              <w:br/>
              <w:t>Electronically scanned</w:t>
            </w:r>
          </w:p>
        </w:tc>
        <w:tc>
          <w:tcPr>
            <w:tcW w:w="2835" w:type="dxa"/>
            <w:tcBorders>
              <w:top w:val="single" w:sz="6" w:space="0" w:color="auto"/>
              <w:left w:val="single" w:sz="6" w:space="0" w:color="auto"/>
              <w:bottom w:val="single" w:sz="6" w:space="0" w:color="auto"/>
              <w:right w:val="single" w:sz="6" w:space="0" w:color="auto"/>
            </w:tcBorders>
            <w:vAlign w:val="center"/>
          </w:tcPr>
          <w:p w:rsidR="00181714" w:rsidRDefault="00181714" w:rsidP="00F2344D">
            <w:pPr>
              <w:pStyle w:val="TableText0"/>
              <w:keepNext w:val="0"/>
              <w:spacing w:before="0"/>
              <w:jc w:val="center"/>
            </w:pPr>
            <w:r>
              <w:t>Fixed or</w:t>
            </w:r>
            <w:r>
              <w:br/>
              <w:t>Electronicall  scanned</w:t>
            </w:r>
          </w:p>
        </w:tc>
        <w:tc>
          <w:tcPr>
            <w:tcW w:w="2835" w:type="dxa"/>
            <w:tcBorders>
              <w:top w:val="single" w:sz="6" w:space="0" w:color="auto"/>
              <w:left w:val="single" w:sz="6" w:space="0" w:color="auto"/>
              <w:bottom w:val="single" w:sz="6" w:space="0" w:color="auto"/>
            </w:tcBorders>
            <w:vAlign w:val="center"/>
          </w:tcPr>
          <w:p w:rsidR="00181714" w:rsidRPr="00A169CD" w:rsidRDefault="00181714" w:rsidP="00F2344D">
            <w:pPr>
              <w:pStyle w:val="TableText0"/>
              <w:keepNext w:val="0"/>
              <w:spacing w:before="0"/>
              <w:jc w:val="center"/>
              <w:rPr>
                <w:rFonts w:eastAsia="SimSun"/>
                <w:highlight w:val="yellow"/>
                <w:lang w:eastAsia="ja-JP"/>
              </w:rPr>
            </w:pPr>
            <w:r>
              <w:t>Fixed</w:t>
            </w:r>
            <w:r>
              <w:rPr>
                <w:rFonts w:eastAsia="SimSun"/>
                <w:lang w:eastAsia="ja-JP"/>
              </w:rPr>
              <w:t>,</w:t>
            </w:r>
            <w:r>
              <w:t xml:space="preserve"> Electronic</w:t>
            </w:r>
            <w:r>
              <w:rPr>
                <w:rFonts w:eastAsia="SimSun"/>
                <w:lang w:eastAsia="ja-JP"/>
              </w:rPr>
              <w:t>ally</w:t>
            </w:r>
            <w:r>
              <w:t xml:space="preserve"> </w:t>
            </w:r>
            <w:r>
              <w:rPr>
                <w:rFonts w:eastAsia="SimSun"/>
                <w:lang w:eastAsia="ja-JP"/>
              </w:rPr>
              <w:br/>
              <w:t xml:space="preserve">or mechanical </w:t>
            </w:r>
            <w:r>
              <w:t>scanned</w:t>
            </w:r>
          </w:p>
        </w:tc>
      </w:tr>
    </w:tbl>
    <w:p w:rsidR="00181714" w:rsidRDefault="00181714" w:rsidP="005B649F">
      <w:pPr>
        <w:pStyle w:val="Heading1"/>
        <w:sectPr w:rsidR="00181714" w:rsidSect="00F2344D">
          <w:headerReference w:type="default" r:id="rId15"/>
          <w:footerReference w:type="default" r:id="rId16"/>
          <w:footerReference w:type="first" r:id="rId17"/>
          <w:pgSz w:w="16834" w:h="11913" w:orient="landscape" w:code="9"/>
          <w:pgMar w:top="1089" w:right="1089" w:bottom="1089" w:left="1089" w:header="482" w:footer="482" w:gutter="0"/>
          <w:cols w:space="720"/>
          <w:docGrid w:linePitch="326"/>
        </w:sectPr>
      </w:pPr>
    </w:p>
    <w:p w:rsidR="00181714" w:rsidRDefault="00181714" w:rsidP="00647C2D">
      <w:pPr>
        <w:pStyle w:val="Heading1"/>
      </w:pPr>
      <w:r>
        <w:lastRenderedPageBreak/>
        <w:t>3</w:t>
      </w:r>
      <w:r>
        <w:tab/>
        <w:t xml:space="preserve">Operational characteristics of </w:t>
      </w:r>
      <w:r>
        <w:rPr>
          <w:rFonts w:eastAsia="SimSun"/>
          <w:lang w:eastAsia="ja-JP"/>
        </w:rPr>
        <w:t>automotive radar</w:t>
      </w:r>
      <w:r>
        <w:t xml:space="preserve"> systems operating in the frequency bands 76–77 GHz and 77–</w:t>
      </w:r>
      <w:r w:rsidRPr="00701B5D">
        <w:t>81</w:t>
      </w:r>
      <w:r>
        <w:t xml:space="preserve"> GHz </w:t>
      </w:r>
    </w:p>
    <w:p w:rsidR="00181714" w:rsidRDefault="00181714" w:rsidP="005B649F">
      <w:r>
        <w:t>Automotive radar applications are evolving from providing additional comfort functions, such as Adaptive Cruise Control (ACC) and Collision Avoidance (CA) radar</w:t>
      </w:r>
      <w:r>
        <w:rPr>
          <w:lang w:eastAsia="ja-JP"/>
        </w:rPr>
        <w:t>,</w:t>
      </w:r>
      <w:r>
        <w:t xml:space="preserve"> to functions that significantly add to the passive and active vehicle safety. This requires systems that can detect objects in the close proximity of the vehicle, such as pedestrians or bicycles. Such applications require radar sensors that have a target separation capability of less than 10 cm. Radar sensors that provide this resolution require operating bandwidths of 4 GHz.</w:t>
      </w:r>
    </w:p>
    <w:p w:rsidR="00181714" w:rsidRDefault="00181714" w:rsidP="005B649F">
      <w:r>
        <w:t>Radar A type sensors</w:t>
      </w:r>
      <w:r w:rsidRPr="00733A4A">
        <w:t xml:space="preserve"> </w:t>
      </w:r>
      <w:r>
        <w:t>detect relevant road traffic in order to adapt the speed of the vehicle to that of other vehicles ahead. To satisfy the demands for increased car safety, and depending on the application, one or more radar</w:t>
      </w:r>
      <w:r>
        <w:rPr>
          <w:rFonts w:eastAsia="SimSun"/>
          <w:lang w:eastAsia="ja-JP"/>
        </w:rPr>
        <w:t xml:space="preserve"> </w:t>
      </w:r>
      <w:r>
        <w:t>A type systems may be combined with additional radar B</w:t>
      </w:r>
      <w:r>
        <w:rPr>
          <w:lang w:eastAsia="ja-JP"/>
        </w:rPr>
        <w:t xml:space="preserve"> and C</w:t>
      </w:r>
      <w:r>
        <w:t xml:space="preserve"> type sensors in one vehicle. Based on the sensor information, the data processing system in the vehicle will trigger the appropriate radar.</w:t>
      </w:r>
    </w:p>
    <w:p w:rsidR="00181714" w:rsidRDefault="00181714" w:rsidP="005B649F">
      <w:r>
        <w:t>Radar B</w:t>
      </w:r>
      <w:r>
        <w:rPr>
          <w:lang w:eastAsia="ja-JP"/>
        </w:rPr>
        <w:t xml:space="preserve"> and C</w:t>
      </w:r>
      <w:r>
        <w:t xml:space="preserve"> type sensors cover the close proximity of a vehicle and will add additional active and passive safety functions e.g. </w:t>
      </w:r>
      <w:r w:rsidRPr="00A43D18">
        <w:t>autonomous emergency breaking,</w:t>
      </w:r>
      <w:r w:rsidRPr="00F51B87">
        <w:t xml:space="preserve"> active</w:t>
      </w:r>
      <w:r w:rsidRPr="00533576">
        <w:t xml:space="preserve"> blind spot assis</w:t>
      </w:r>
      <w:r w:rsidRPr="00005FD9">
        <w:t>tant, lane change assistant.</w:t>
      </w:r>
    </w:p>
    <w:p w:rsidR="00181714" w:rsidRPr="00BB7529" w:rsidRDefault="00181714" w:rsidP="005B649F">
      <w:pPr>
        <w:rPr>
          <w:lang w:val="en-US"/>
        </w:rPr>
      </w:pPr>
    </w:p>
    <w:sectPr w:rsidR="00181714" w:rsidRPr="00BB7529" w:rsidSect="00680A85">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14" w:rsidRDefault="00181714">
      <w:r>
        <w:separator/>
      </w:r>
    </w:p>
  </w:endnote>
  <w:endnote w:type="continuationSeparator" w:id="0">
    <w:p w:rsidR="00181714" w:rsidRDefault="0018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Default="00CE2E20" w:rsidP="00F2344D">
    <w:pPr>
      <w:pStyle w:val="Footer"/>
    </w:pPr>
    <w:r>
      <w:fldChar w:fldCharType="begin"/>
    </w:r>
    <w:r>
      <w:instrText xml:space="preserve"> FILENAME  \p  \* MERGEFORMAT </w:instrText>
    </w:r>
    <w:r>
      <w:fldChar w:fldCharType="separate"/>
    </w:r>
    <w:r w:rsidR="00726082">
      <w:t>Y:\APP\BR\POOL\sg05\wp5a\Chairmansreport\5A79-Annex22.docx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2D" w:rsidRPr="00647C2D" w:rsidRDefault="00647C2D" w:rsidP="00647C2D">
    <w:pPr>
      <w:tabs>
        <w:tab w:val="clear" w:pos="1134"/>
        <w:tab w:val="clear" w:pos="1871"/>
        <w:tab w:val="clear" w:pos="2268"/>
        <w:tab w:val="left" w:pos="5954"/>
        <w:tab w:val="right" w:pos="9639"/>
      </w:tabs>
      <w:spacing w:before="0"/>
      <w:rPr>
        <w:caps/>
        <w:noProof/>
        <w:sz w:val="16"/>
        <w:lang w:val="en-US"/>
      </w:rPr>
    </w:pPr>
    <w:r w:rsidRPr="00647C2D">
      <w:rPr>
        <w:caps/>
        <w:noProof/>
        <w:sz w:val="16"/>
      </w:rPr>
      <w:fldChar w:fldCharType="begin"/>
    </w:r>
    <w:r w:rsidRPr="00647C2D">
      <w:rPr>
        <w:caps/>
        <w:noProof/>
        <w:sz w:val="16"/>
      </w:rPr>
      <w:instrText xml:space="preserve"> FILENAME  \p  \* MERGEFORMAT </w:instrText>
    </w:r>
    <w:r w:rsidRPr="00647C2D">
      <w:rPr>
        <w:caps/>
        <w:noProof/>
        <w:sz w:val="16"/>
      </w:rPr>
      <w:fldChar w:fldCharType="separate"/>
    </w:r>
    <w:r w:rsidRPr="00647C2D">
      <w:rPr>
        <w:caps/>
        <w:noProof/>
        <w:sz w:val="16"/>
      </w:rPr>
      <w:t>M:\BRSGD\TEXT2012\SG05\WP5A\000\079\079N22e.docx</w:t>
    </w:r>
    <w:r w:rsidRPr="00647C2D">
      <w:rPr>
        <w:caps/>
        <w:noProof/>
        <w:sz w:val="16"/>
      </w:rPr>
      <w:fldChar w:fldCharType="end"/>
    </w:r>
    <w:r w:rsidRPr="00647C2D">
      <w:rPr>
        <w:caps/>
        <w:noProof/>
        <w:sz w:val="16"/>
      </w:rPr>
      <w:tab/>
    </w:r>
    <w:r w:rsidRPr="00647C2D">
      <w:rPr>
        <w:caps/>
        <w:noProof/>
        <w:sz w:val="16"/>
        <w:lang w:val="en-US"/>
      </w:rPr>
      <w:t>24.05.12</w:t>
    </w:r>
    <w:r w:rsidRPr="00647C2D">
      <w:rPr>
        <w:caps/>
        <w:noProof/>
        <w:sz w:val="16"/>
        <w:lang w:val="en-US"/>
      </w:rPr>
      <w:tab/>
      <w:t>24.05.12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2D" w:rsidRPr="00647C2D" w:rsidRDefault="00647C2D" w:rsidP="00647C2D">
    <w:pPr>
      <w:tabs>
        <w:tab w:val="clear" w:pos="1134"/>
        <w:tab w:val="clear" w:pos="1871"/>
        <w:tab w:val="clear" w:pos="2268"/>
        <w:tab w:val="left" w:pos="5954"/>
        <w:tab w:val="right" w:pos="9639"/>
      </w:tabs>
      <w:spacing w:before="0"/>
      <w:rPr>
        <w:caps/>
        <w:noProof/>
        <w:sz w:val="16"/>
        <w:lang w:val="en-US"/>
      </w:rPr>
    </w:pPr>
    <w:r w:rsidRPr="00647C2D">
      <w:rPr>
        <w:caps/>
        <w:noProof/>
        <w:sz w:val="16"/>
      </w:rPr>
      <w:fldChar w:fldCharType="begin"/>
    </w:r>
    <w:r w:rsidRPr="00647C2D">
      <w:rPr>
        <w:caps/>
        <w:noProof/>
        <w:sz w:val="16"/>
      </w:rPr>
      <w:instrText xml:space="preserve"> FILENAME  \p  \* MERGEFORMAT </w:instrText>
    </w:r>
    <w:r w:rsidRPr="00647C2D">
      <w:rPr>
        <w:caps/>
        <w:noProof/>
        <w:sz w:val="16"/>
      </w:rPr>
      <w:fldChar w:fldCharType="separate"/>
    </w:r>
    <w:r w:rsidRPr="00647C2D">
      <w:rPr>
        <w:caps/>
        <w:noProof/>
        <w:sz w:val="16"/>
      </w:rPr>
      <w:t>M:\BRSGD\TEXT2012\SG05\WP5A\000\079\079N22e.docx</w:t>
    </w:r>
    <w:r w:rsidRPr="00647C2D">
      <w:rPr>
        <w:caps/>
        <w:noProof/>
        <w:sz w:val="16"/>
      </w:rPr>
      <w:fldChar w:fldCharType="end"/>
    </w:r>
    <w:r w:rsidRPr="00647C2D">
      <w:rPr>
        <w:caps/>
        <w:noProof/>
        <w:sz w:val="16"/>
      </w:rPr>
      <w:tab/>
    </w:r>
    <w:r w:rsidRPr="00647C2D">
      <w:rPr>
        <w:caps/>
        <w:noProof/>
        <w:sz w:val="16"/>
        <w:lang w:val="en-US"/>
      </w:rPr>
      <w:t>24.05.12</w:t>
    </w:r>
    <w:r w:rsidRPr="00647C2D">
      <w:rPr>
        <w:caps/>
        <w:noProof/>
        <w:sz w:val="16"/>
        <w:lang w:val="en-US"/>
      </w:rPr>
      <w:tab/>
      <w:t>24.05.12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2D" w:rsidRPr="00647C2D" w:rsidRDefault="00647C2D" w:rsidP="00647C2D">
    <w:pPr>
      <w:tabs>
        <w:tab w:val="clear" w:pos="1134"/>
        <w:tab w:val="clear" w:pos="1871"/>
        <w:tab w:val="clear" w:pos="2268"/>
        <w:tab w:val="left" w:pos="5954"/>
        <w:tab w:val="right" w:pos="9639"/>
      </w:tabs>
      <w:spacing w:before="0"/>
      <w:rPr>
        <w:caps/>
        <w:noProof/>
        <w:sz w:val="16"/>
        <w:lang w:val="en-US"/>
      </w:rPr>
    </w:pPr>
    <w:r w:rsidRPr="00647C2D">
      <w:rPr>
        <w:caps/>
        <w:noProof/>
        <w:sz w:val="16"/>
      </w:rPr>
      <w:fldChar w:fldCharType="begin"/>
    </w:r>
    <w:r w:rsidRPr="00647C2D">
      <w:rPr>
        <w:caps/>
        <w:noProof/>
        <w:sz w:val="16"/>
      </w:rPr>
      <w:instrText xml:space="preserve"> FILENAME  \p  \* MERGEFORMAT </w:instrText>
    </w:r>
    <w:r w:rsidRPr="00647C2D">
      <w:rPr>
        <w:caps/>
        <w:noProof/>
        <w:sz w:val="16"/>
      </w:rPr>
      <w:fldChar w:fldCharType="separate"/>
    </w:r>
    <w:r w:rsidRPr="00647C2D">
      <w:rPr>
        <w:caps/>
        <w:noProof/>
        <w:sz w:val="16"/>
      </w:rPr>
      <w:t>M:\BRSGD\TEXT2012\SG05\WP5A\000\079\079N22e.docx</w:t>
    </w:r>
    <w:r w:rsidRPr="00647C2D">
      <w:rPr>
        <w:caps/>
        <w:noProof/>
        <w:sz w:val="16"/>
      </w:rPr>
      <w:fldChar w:fldCharType="end"/>
    </w:r>
    <w:r w:rsidRPr="00647C2D">
      <w:rPr>
        <w:caps/>
        <w:noProof/>
        <w:sz w:val="16"/>
      </w:rPr>
      <w:tab/>
    </w:r>
    <w:r w:rsidRPr="00647C2D">
      <w:rPr>
        <w:caps/>
        <w:noProof/>
        <w:sz w:val="16"/>
        <w:lang w:val="en-US"/>
      </w:rPr>
      <w:t>24.05.12</w:t>
    </w:r>
    <w:r w:rsidRPr="00647C2D">
      <w:rPr>
        <w:caps/>
        <w:noProof/>
        <w:sz w:val="16"/>
        <w:lang w:val="en-US"/>
      </w:rPr>
      <w:tab/>
      <w:t>24.05.12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Default="00CE2E20">
    <w:pPr>
      <w:pStyle w:val="Footer"/>
    </w:pPr>
    <w:r>
      <w:fldChar w:fldCharType="begin"/>
    </w:r>
    <w:r>
      <w:instrText xml:space="preserve"> FILENAME  \p  \* MERGEFORMAT </w:instrText>
    </w:r>
    <w:r>
      <w:fldChar w:fldCharType="separate"/>
    </w:r>
    <w:r w:rsidR="00726082">
      <w:t>Y:\APP\BR\POOL\sg05\wp5a\Chairmansreport\5A79-Annex22.docx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Pr="00C24770" w:rsidRDefault="00CE2E20" w:rsidP="00C24770">
    <w:pPr>
      <w:pStyle w:val="Footer"/>
      <w:rPr>
        <w:lang w:val="en-US"/>
      </w:rPr>
    </w:pPr>
    <w:r>
      <w:fldChar w:fldCharType="begin"/>
    </w:r>
    <w:r>
      <w:instrText xml:space="preserve"> FILENAME  \p  \* MERGEFORMAT </w:instrText>
    </w:r>
    <w:r>
      <w:fldChar w:fldCharType="separate"/>
    </w:r>
    <w:r w:rsidR="00647C2D">
      <w:t>M:\BRSGD\TEXT2012\SG05\WP5A\000\079\079N22e.docx</w:t>
    </w:r>
    <w:r>
      <w:fldChar w:fldCharType="end"/>
    </w:r>
    <w:r w:rsidR="00181714">
      <w:tab/>
    </w:r>
    <w:r w:rsidR="00181714" w:rsidRPr="00C24770">
      <w:rPr>
        <w:lang w:val="en-US"/>
      </w:rPr>
      <w:t>24.05.12</w:t>
    </w:r>
    <w:r w:rsidR="00181714">
      <w:rPr>
        <w:lang w:val="en-US"/>
      </w:rPr>
      <w:tab/>
    </w:r>
    <w:r w:rsidR="00181714" w:rsidRPr="00C24770">
      <w:rPr>
        <w:lang w:val="en-US"/>
      </w:rPr>
      <w:t>24.05.12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Pr="00376934" w:rsidRDefault="00CE2E20" w:rsidP="00376934">
    <w:pPr>
      <w:pStyle w:val="Footer"/>
    </w:pPr>
    <w:r>
      <w:fldChar w:fldCharType="begin"/>
    </w:r>
    <w:r>
      <w:instrText xml:space="preserve"> FILENAME  \p  \* MERGEFORMAT </w:instrText>
    </w:r>
    <w:r>
      <w:fldChar w:fldCharType="separate"/>
    </w:r>
    <w:r w:rsidR="00726082">
      <w:t>Y:\APP\BR\POOL\sg05\wp5a\Chairmansreport\5A79-Annex22.docx</w:t>
    </w:r>
    <w:r>
      <w:fldChar w:fldCharType="end"/>
    </w:r>
  </w:p>
  <w:p w:rsidR="00181714" w:rsidRPr="00BB7529" w:rsidRDefault="00181714" w:rsidP="00BB7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14" w:rsidRDefault="00181714">
      <w:r>
        <w:t>____________________</w:t>
      </w:r>
    </w:p>
  </w:footnote>
  <w:footnote w:type="continuationSeparator" w:id="0">
    <w:p w:rsidR="00181714" w:rsidRDefault="00181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Pr="00303952" w:rsidRDefault="00181714" w:rsidP="00F2344D">
    <w:pPr>
      <w:pStyle w:val="Header"/>
      <w:rPr>
        <w:lang w:val="en-US"/>
      </w:rPr>
    </w:pPr>
    <w:r>
      <w:rPr>
        <w:lang w:val="en-US"/>
      </w:rP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Pr="00303952" w:rsidRDefault="00181714" w:rsidP="00647C2D">
    <w:pPr>
      <w:pStyle w:val="Header"/>
      <w:rPr>
        <w:lang w:val="en-US"/>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E2E20">
      <w:rPr>
        <w:rStyle w:val="PageNumber"/>
        <w:noProof/>
      </w:rPr>
      <w:t>3</w:t>
    </w:r>
    <w:r>
      <w:rPr>
        <w:rStyle w:val="PageNumber"/>
      </w:rPr>
      <w:fldChar w:fldCharType="end"/>
    </w:r>
    <w:r>
      <w:rPr>
        <w:rStyle w:val="PageNumber"/>
      </w:rPr>
      <w:t xml:space="preserve"> -</w:t>
    </w:r>
    <w:r>
      <w:rPr>
        <w:rStyle w:val="PageNumber"/>
      </w:rPr>
      <w:br/>
      <w:t>5A/</w:t>
    </w:r>
    <w:r>
      <w:rPr>
        <w:rStyle w:val="PageNumber"/>
        <w:lang w:eastAsia="ja-JP"/>
      </w:rPr>
      <w:t>79</w:t>
    </w:r>
    <w:r w:rsidR="00647C2D">
      <w:rPr>
        <w:rStyle w:val="PageNumber"/>
        <w:lang w:eastAsia="ja-JP"/>
      </w:rPr>
      <w:t xml:space="preserve"> </w:t>
    </w:r>
    <w:r>
      <w:rPr>
        <w:rStyle w:val="PageNumber"/>
        <w:lang w:eastAsia="ja-JP"/>
      </w:rPr>
      <w:t>(Annex 22)</w:t>
    </w:r>
    <w:r>
      <w:rPr>
        <w:rStyle w:val="PageNumber"/>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Default="00181714" w:rsidP="00680A85">
    <w:pPr>
      <w:pStyle w:val="Header"/>
    </w:pPr>
  </w:p>
  <w:p w:rsidR="00181714" w:rsidRDefault="001817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Pr="00303952" w:rsidRDefault="00181714" w:rsidP="00F2344D">
    <w:pPr>
      <w:pStyle w:val="Header"/>
      <w:rPr>
        <w:lang w:val="en-US"/>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E2E20">
      <w:rPr>
        <w:rStyle w:val="PageNumber"/>
        <w:noProof/>
      </w:rPr>
      <w:t>4</w:t>
    </w:r>
    <w:r>
      <w:rPr>
        <w:rStyle w:val="PageNumber"/>
      </w:rPr>
      <w:fldChar w:fldCharType="end"/>
    </w:r>
    <w:r>
      <w:rPr>
        <w:rStyle w:val="PageNumber"/>
      </w:rPr>
      <w:t xml:space="preserve"> -</w:t>
    </w:r>
    <w:r>
      <w:rPr>
        <w:rStyle w:val="PageNumber"/>
      </w:rPr>
      <w:br/>
      <w:t>5A/</w:t>
    </w:r>
    <w:r>
      <w:rPr>
        <w:rStyle w:val="PageNumber"/>
        <w:lang w:eastAsia="ja-JP"/>
      </w:rPr>
      <w:t>79</w:t>
    </w:r>
    <w:r w:rsidR="00647C2D">
      <w:rPr>
        <w:rStyle w:val="PageNumber"/>
        <w:lang w:eastAsia="ja-JP"/>
      </w:rPr>
      <w:t xml:space="preserve"> </w:t>
    </w:r>
    <w:r>
      <w:rPr>
        <w:rStyle w:val="PageNumber"/>
        <w:lang w:eastAsia="ja-JP"/>
      </w:rPr>
      <w:t>(Annex 22)</w:t>
    </w:r>
    <w:r>
      <w:rPr>
        <w:rStyle w:val="PageNumber"/>
      </w:rPr>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Default="00181714"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E2E20">
      <w:rPr>
        <w:rStyle w:val="PageNumber"/>
        <w:noProof/>
      </w:rPr>
      <w:t>5</w:t>
    </w:r>
    <w:r>
      <w:rPr>
        <w:rStyle w:val="PageNumber"/>
      </w:rPr>
      <w:fldChar w:fldCharType="end"/>
    </w:r>
    <w:r>
      <w:rPr>
        <w:rStyle w:val="PageNumber"/>
      </w:rPr>
      <w:t xml:space="preserve"> -</w:t>
    </w:r>
  </w:p>
  <w:p w:rsidR="00181714" w:rsidRDefault="00181714">
    <w:pPr>
      <w:pStyle w:val="Header"/>
      <w:rPr>
        <w:lang w:val="en-US"/>
      </w:rPr>
    </w:pPr>
    <w:r>
      <w:rPr>
        <w:lang w:val="en-US"/>
      </w:rPr>
      <w:t>5A/79</w:t>
    </w:r>
    <w:r w:rsidR="00647C2D">
      <w:rPr>
        <w:lang w:val="en-US"/>
      </w:rPr>
      <w:t xml:space="preserve"> </w:t>
    </w:r>
    <w:r>
      <w:rPr>
        <w:lang w:val="en-US"/>
      </w:rPr>
      <w:t>(Annex 22)-E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714" w:rsidRDefault="00726082">
    <w:pPr>
      <w:pStyle w:val="Header"/>
    </w:pPr>
    <w:r>
      <w:fldChar w:fldCharType="begin"/>
    </w:r>
    <w:r>
      <w:instrText xml:space="preserve"> PAGE   \* MERGEFORMAT </w:instrText>
    </w:r>
    <w:r>
      <w:fldChar w:fldCharType="separate"/>
    </w:r>
    <w:r w:rsidR="00181714">
      <w:rPr>
        <w:noProof/>
      </w:rPr>
      <w:t>5</w:t>
    </w:r>
    <w:r>
      <w:rPr>
        <w:noProof/>
      </w:rPr>
      <w:fldChar w:fldCharType="end"/>
    </w:r>
  </w:p>
  <w:p w:rsidR="00181714" w:rsidRDefault="00181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F3F86"/>
    <w:multiLevelType w:val="hybridMultilevel"/>
    <w:tmpl w:val="518E1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AD"/>
    <w:rsid w:val="00005FD9"/>
    <w:rsid w:val="000069D4"/>
    <w:rsid w:val="000174AD"/>
    <w:rsid w:val="000832A3"/>
    <w:rsid w:val="000A7D55"/>
    <w:rsid w:val="000C2E8E"/>
    <w:rsid w:val="000E0E7C"/>
    <w:rsid w:val="000F09D1"/>
    <w:rsid w:val="000F1B4B"/>
    <w:rsid w:val="0012744F"/>
    <w:rsid w:val="00156F66"/>
    <w:rsid w:val="00181714"/>
    <w:rsid w:val="00182528"/>
    <w:rsid w:val="0018500B"/>
    <w:rsid w:val="00196A19"/>
    <w:rsid w:val="001B729E"/>
    <w:rsid w:val="00202DC1"/>
    <w:rsid w:val="002070CD"/>
    <w:rsid w:val="002116EE"/>
    <w:rsid w:val="002309D8"/>
    <w:rsid w:val="002409B1"/>
    <w:rsid w:val="002A7FE2"/>
    <w:rsid w:val="002B291E"/>
    <w:rsid w:val="002B4613"/>
    <w:rsid w:val="002E1B4F"/>
    <w:rsid w:val="002F2E67"/>
    <w:rsid w:val="00301755"/>
    <w:rsid w:val="00303952"/>
    <w:rsid w:val="00315546"/>
    <w:rsid w:val="00330567"/>
    <w:rsid w:val="00376934"/>
    <w:rsid w:val="00386A9D"/>
    <w:rsid w:val="00391081"/>
    <w:rsid w:val="003B2789"/>
    <w:rsid w:val="003C13CE"/>
    <w:rsid w:val="003E2518"/>
    <w:rsid w:val="00440082"/>
    <w:rsid w:val="00446BBB"/>
    <w:rsid w:val="004B1EF7"/>
    <w:rsid w:val="004B3FAD"/>
    <w:rsid w:val="004C2A00"/>
    <w:rsid w:val="004E4C60"/>
    <w:rsid w:val="00501DCA"/>
    <w:rsid w:val="00513A47"/>
    <w:rsid w:val="0051782D"/>
    <w:rsid w:val="00533576"/>
    <w:rsid w:val="005408DF"/>
    <w:rsid w:val="0056398A"/>
    <w:rsid w:val="00573344"/>
    <w:rsid w:val="00583F9B"/>
    <w:rsid w:val="00595F0F"/>
    <w:rsid w:val="005A1E2E"/>
    <w:rsid w:val="005B218E"/>
    <w:rsid w:val="005B649F"/>
    <w:rsid w:val="005E5C10"/>
    <w:rsid w:val="005F2C78"/>
    <w:rsid w:val="006144E4"/>
    <w:rsid w:val="00631A29"/>
    <w:rsid w:val="00647C2D"/>
    <w:rsid w:val="00650299"/>
    <w:rsid w:val="00652A2D"/>
    <w:rsid w:val="00655FC5"/>
    <w:rsid w:val="00680A85"/>
    <w:rsid w:val="006A639B"/>
    <w:rsid w:val="00701B5D"/>
    <w:rsid w:val="00710D66"/>
    <w:rsid w:val="00726082"/>
    <w:rsid w:val="00733A4A"/>
    <w:rsid w:val="0078367C"/>
    <w:rsid w:val="007F2382"/>
    <w:rsid w:val="008167EF"/>
    <w:rsid w:val="00822581"/>
    <w:rsid w:val="008309DD"/>
    <w:rsid w:val="0083227A"/>
    <w:rsid w:val="00866900"/>
    <w:rsid w:val="00881BA1"/>
    <w:rsid w:val="008C26B8"/>
    <w:rsid w:val="008C319F"/>
    <w:rsid w:val="008E1AD9"/>
    <w:rsid w:val="009443F9"/>
    <w:rsid w:val="0097382A"/>
    <w:rsid w:val="00982084"/>
    <w:rsid w:val="00995963"/>
    <w:rsid w:val="009B61EB"/>
    <w:rsid w:val="009C2064"/>
    <w:rsid w:val="009D1697"/>
    <w:rsid w:val="00A014F8"/>
    <w:rsid w:val="00A169CD"/>
    <w:rsid w:val="00A43D18"/>
    <w:rsid w:val="00A5173C"/>
    <w:rsid w:val="00A61AEF"/>
    <w:rsid w:val="00A67E72"/>
    <w:rsid w:val="00A7792D"/>
    <w:rsid w:val="00A80D2B"/>
    <w:rsid w:val="00AC4BC0"/>
    <w:rsid w:val="00AE25A5"/>
    <w:rsid w:val="00AE27E1"/>
    <w:rsid w:val="00AE2D1D"/>
    <w:rsid w:val="00AF173A"/>
    <w:rsid w:val="00B066A4"/>
    <w:rsid w:val="00B07A13"/>
    <w:rsid w:val="00B33D3A"/>
    <w:rsid w:val="00B4279B"/>
    <w:rsid w:val="00B45FC9"/>
    <w:rsid w:val="00B62C85"/>
    <w:rsid w:val="00BB7529"/>
    <w:rsid w:val="00BC5A79"/>
    <w:rsid w:val="00BC7CCF"/>
    <w:rsid w:val="00BE470B"/>
    <w:rsid w:val="00C1774B"/>
    <w:rsid w:val="00C24770"/>
    <w:rsid w:val="00C45837"/>
    <w:rsid w:val="00C57A91"/>
    <w:rsid w:val="00C65338"/>
    <w:rsid w:val="00C71727"/>
    <w:rsid w:val="00C835B9"/>
    <w:rsid w:val="00C8536C"/>
    <w:rsid w:val="00C87195"/>
    <w:rsid w:val="00CC01C2"/>
    <w:rsid w:val="00CE2E20"/>
    <w:rsid w:val="00CF21F2"/>
    <w:rsid w:val="00D02712"/>
    <w:rsid w:val="00D214D0"/>
    <w:rsid w:val="00D60786"/>
    <w:rsid w:val="00D6546B"/>
    <w:rsid w:val="00D8032B"/>
    <w:rsid w:val="00DD4BED"/>
    <w:rsid w:val="00DE39F0"/>
    <w:rsid w:val="00DF0AF3"/>
    <w:rsid w:val="00E27D7E"/>
    <w:rsid w:val="00E42E13"/>
    <w:rsid w:val="00E6257C"/>
    <w:rsid w:val="00E63C59"/>
    <w:rsid w:val="00E8072D"/>
    <w:rsid w:val="00E87172"/>
    <w:rsid w:val="00E973AD"/>
    <w:rsid w:val="00E976AC"/>
    <w:rsid w:val="00EB0643"/>
    <w:rsid w:val="00F2344D"/>
    <w:rsid w:val="00F51B87"/>
    <w:rsid w:val="00F829C8"/>
    <w:rsid w:val="00FA124A"/>
    <w:rsid w:val="00FB588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65338"/>
    <w:rPr>
      <w:b/>
      <w:sz w:val="24"/>
      <w:lang w:val="en-GB" w:eastAsia="en-US"/>
    </w:rPr>
  </w:style>
  <w:style w:type="character" w:customStyle="1" w:styleId="Heading2Char">
    <w:name w:val="Heading 2 Char"/>
    <w:link w:val="Heading2"/>
    <w:uiPriority w:val="9"/>
    <w:semiHidden/>
    <w:rsid w:val="002A2E28"/>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2A2E28"/>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2A2E28"/>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2A2E28"/>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2A2E28"/>
    <w:rPr>
      <w:rFonts w:ascii="Calibri" w:eastAsia="SimSun" w:hAnsi="Calibri" w:cs="Arial"/>
      <w:b/>
      <w:bCs/>
      <w:lang w:val="en-GB" w:eastAsia="en-US"/>
    </w:rPr>
  </w:style>
  <w:style w:type="character" w:customStyle="1" w:styleId="Heading7Char">
    <w:name w:val="Heading 7 Char"/>
    <w:link w:val="Heading7"/>
    <w:uiPriority w:val="9"/>
    <w:semiHidden/>
    <w:rsid w:val="002A2E28"/>
    <w:rPr>
      <w:rFonts w:ascii="Calibri" w:eastAsia="SimSun" w:hAnsi="Calibri" w:cs="Arial"/>
      <w:sz w:val="24"/>
      <w:szCs w:val="24"/>
      <w:lang w:val="en-GB" w:eastAsia="en-US"/>
    </w:rPr>
  </w:style>
  <w:style w:type="character" w:customStyle="1" w:styleId="Heading8Char">
    <w:name w:val="Heading 8 Char"/>
    <w:link w:val="Heading8"/>
    <w:uiPriority w:val="9"/>
    <w:semiHidden/>
    <w:rsid w:val="002A2E28"/>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2A2E28"/>
    <w:rPr>
      <w:rFonts w:ascii="Cambria" w:eastAsia="SimSun"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5B649F"/>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link w:val="FootnoteText"/>
    <w:uiPriority w:val="99"/>
    <w:semiHidden/>
    <w:rsid w:val="002A2E28"/>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5B649F"/>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rsid w:val="00C65338"/>
    <w:rPr>
      <w:rFonts w:cs="Times New Roman"/>
    </w:rPr>
  </w:style>
  <w:style w:type="character" w:styleId="Strong">
    <w:name w:val="Strong"/>
    <w:uiPriority w:val="99"/>
    <w:qFormat/>
    <w:rsid w:val="00C65338"/>
    <w:rPr>
      <w:rFonts w:cs="Times New Roman"/>
      <w:b/>
    </w:rPr>
  </w:style>
  <w:style w:type="paragraph" w:customStyle="1" w:styleId="TableTitle0">
    <w:name w:val="Table_Title"/>
    <w:basedOn w:val="Table"/>
    <w:next w:val="Blanc"/>
    <w:uiPriority w:val="99"/>
    <w:rsid w:val="005B649F"/>
    <w:pPr>
      <w:spacing w:before="0"/>
    </w:pPr>
    <w:rPr>
      <w:b/>
    </w:rPr>
  </w:style>
  <w:style w:type="paragraph" w:customStyle="1" w:styleId="Table">
    <w:name w:val="Table_#"/>
    <w:basedOn w:val="Normal"/>
    <w:next w:val="TableTitle0"/>
    <w:uiPriority w:val="99"/>
    <w:rsid w:val="005B649F"/>
    <w:pPr>
      <w:keepNext/>
      <w:tabs>
        <w:tab w:val="clear" w:pos="1134"/>
        <w:tab w:val="clear" w:pos="1871"/>
        <w:tab w:val="clear" w:pos="2268"/>
      </w:tabs>
      <w:spacing w:before="567" w:after="113"/>
      <w:jc w:val="center"/>
    </w:pPr>
    <w:rPr>
      <w:sz w:val="18"/>
    </w:rPr>
  </w:style>
  <w:style w:type="paragraph" w:customStyle="1" w:styleId="Blanc">
    <w:name w:val="Blanc"/>
    <w:basedOn w:val="Normal"/>
    <w:next w:val="TableText0"/>
    <w:uiPriority w:val="99"/>
    <w:rsid w:val="005B649F"/>
    <w:pPr>
      <w:keepNext/>
      <w:keepLines/>
      <w:tabs>
        <w:tab w:val="clear" w:pos="1134"/>
        <w:tab w:val="clear" w:pos="1871"/>
        <w:tab w:val="clear" w:pos="2268"/>
      </w:tabs>
      <w:spacing w:before="0"/>
      <w:jc w:val="both"/>
    </w:pPr>
    <w:rPr>
      <w:sz w:val="16"/>
    </w:rPr>
  </w:style>
  <w:style w:type="paragraph" w:customStyle="1" w:styleId="TableText0">
    <w:name w:val="Table_Text"/>
    <w:basedOn w:val="Normal"/>
    <w:uiPriority w:val="99"/>
    <w:rsid w:val="005B649F"/>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AnnexTitle0">
    <w:name w:val="Annex_Title"/>
    <w:basedOn w:val="Normal"/>
    <w:next w:val="Normalaftertitle0"/>
    <w:uiPriority w:val="99"/>
    <w:rsid w:val="005B649F"/>
    <w:pPr>
      <w:tabs>
        <w:tab w:val="clear" w:pos="1134"/>
        <w:tab w:val="clear" w:pos="1871"/>
        <w:tab w:val="clear" w:pos="2268"/>
        <w:tab w:val="left" w:pos="4849"/>
        <w:tab w:val="right" w:pos="9696"/>
      </w:tabs>
      <w:spacing w:before="136" w:after="200"/>
      <w:jc w:val="center"/>
    </w:pPr>
    <w:rPr>
      <w:b/>
    </w:rPr>
  </w:style>
  <w:style w:type="paragraph" w:customStyle="1" w:styleId="headfoot">
    <w:name w:val="head_foot"/>
    <w:basedOn w:val="Normal"/>
    <w:next w:val="Normalaftertitle0"/>
    <w:uiPriority w:val="99"/>
    <w:rsid w:val="005B649F"/>
    <w:pPr>
      <w:tabs>
        <w:tab w:val="clear" w:pos="1134"/>
        <w:tab w:val="clear" w:pos="1871"/>
        <w:tab w:val="clear" w:pos="2268"/>
      </w:tabs>
      <w:spacing w:before="0"/>
      <w:jc w:val="both"/>
    </w:pPr>
    <w:rPr>
      <w:b/>
      <w:color w:val="FFFFFF"/>
      <w:sz w:val="8"/>
    </w:rPr>
  </w:style>
  <w:style w:type="paragraph" w:customStyle="1" w:styleId="call0">
    <w:name w:val="call"/>
    <w:basedOn w:val="Normal"/>
    <w:next w:val="Normal"/>
    <w:uiPriority w:val="99"/>
    <w:rsid w:val="005B649F"/>
    <w:pPr>
      <w:keepNext/>
      <w:keepLines/>
      <w:tabs>
        <w:tab w:val="clear" w:pos="1134"/>
        <w:tab w:val="clear" w:pos="1871"/>
        <w:tab w:val="clear" w:pos="2268"/>
        <w:tab w:val="left" w:pos="794"/>
      </w:tabs>
      <w:spacing w:before="227"/>
      <w:ind w:left="794"/>
    </w:pPr>
    <w:rPr>
      <w:i/>
      <w:sz w:val="20"/>
    </w:rPr>
  </w:style>
  <w:style w:type="paragraph" w:customStyle="1" w:styleId="HeadingSum">
    <w:name w:val="Heading_Sum"/>
    <w:basedOn w:val="Normal"/>
    <w:next w:val="Normal"/>
    <w:uiPriority w:val="99"/>
    <w:rsid w:val="005B649F"/>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styleId="BalloonText">
    <w:name w:val="Balloon Text"/>
    <w:basedOn w:val="Normal"/>
    <w:link w:val="BalloonTextChar"/>
    <w:uiPriority w:val="99"/>
    <w:rsid w:val="004E4C60"/>
    <w:pPr>
      <w:spacing w:before="0"/>
    </w:pPr>
    <w:rPr>
      <w:rFonts w:ascii="Cambria" w:eastAsia="SimSun" w:hAnsi="Cambria"/>
      <w:sz w:val="18"/>
      <w:szCs w:val="18"/>
    </w:rPr>
  </w:style>
  <w:style w:type="character" w:customStyle="1" w:styleId="BalloonTextChar">
    <w:name w:val="Balloon Text Char"/>
    <w:link w:val="BalloonText"/>
    <w:uiPriority w:val="99"/>
    <w:locked/>
    <w:rsid w:val="004E4C60"/>
    <w:rPr>
      <w:rFonts w:ascii="Cambria" w:eastAsia="SimSun" w:hAnsi="Cambria" w:cs="Times New Roman"/>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C2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65338"/>
    <w:rPr>
      <w:b/>
      <w:sz w:val="24"/>
      <w:lang w:val="en-GB" w:eastAsia="en-US"/>
    </w:rPr>
  </w:style>
  <w:style w:type="character" w:customStyle="1" w:styleId="Heading2Char">
    <w:name w:val="Heading 2 Char"/>
    <w:link w:val="Heading2"/>
    <w:uiPriority w:val="9"/>
    <w:semiHidden/>
    <w:rsid w:val="002A2E28"/>
    <w:rPr>
      <w:rFonts w:ascii="Cambria" w:eastAsia="SimSun" w:hAnsi="Cambria" w:cs="Times New Roman"/>
      <w:b/>
      <w:bCs/>
      <w:i/>
      <w:iCs/>
      <w:sz w:val="28"/>
      <w:szCs w:val="28"/>
      <w:lang w:val="en-GB" w:eastAsia="en-US"/>
    </w:rPr>
  </w:style>
  <w:style w:type="character" w:customStyle="1" w:styleId="Heading3Char">
    <w:name w:val="Heading 3 Char"/>
    <w:link w:val="Heading3"/>
    <w:uiPriority w:val="9"/>
    <w:semiHidden/>
    <w:rsid w:val="002A2E28"/>
    <w:rPr>
      <w:rFonts w:ascii="Cambria" w:eastAsia="SimSun" w:hAnsi="Cambria" w:cs="Times New Roman"/>
      <w:b/>
      <w:bCs/>
      <w:sz w:val="26"/>
      <w:szCs w:val="26"/>
      <w:lang w:val="en-GB" w:eastAsia="en-US"/>
    </w:rPr>
  </w:style>
  <w:style w:type="character" w:customStyle="1" w:styleId="Heading4Char">
    <w:name w:val="Heading 4 Char"/>
    <w:link w:val="Heading4"/>
    <w:uiPriority w:val="9"/>
    <w:semiHidden/>
    <w:rsid w:val="002A2E28"/>
    <w:rPr>
      <w:rFonts w:ascii="Calibri" w:eastAsia="SimSun" w:hAnsi="Calibri" w:cs="Arial"/>
      <w:b/>
      <w:bCs/>
      <w:sz w:val="28"/>
      <w:szCs w:val="28"/>
      <w:lang w:val="en-GB" w:eastAsia="en-US"/>
    </w:rPr>
  </w:style>
  <w:style w:type="character" w:customStyle="1" w:styleId="Heading5Char">
    <w:name w:val="Heading 5 Char"/>
    <w:link w:val="Heading5"/>
    <w:uiPriority w:val="9"/>
    <w:semiHidden/>
    <w:rsid w:val="002A2E28"/>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2A2E28"/>
    <w:rPr>
      <w:rFonts w:ascii="Calibri" w:eastAsia="SimSun" w:hAnsi="Calibri" w:cs="Arial"/>
      <w:b/>
      <w:bCs/>
      <w:lang w:val="en-GB" w:eastAsia="en-US"/>
    </w:rPr>
  </w:style>
  <w:style w:type="character" w:customStyle="1" w:styleId="Heading7Char">
    <w:name w:val="Heading 7 Char"/>
    <w:link w:val="Heading7"/>
    <w:uiPriority w:val="9"/>
    <w:semiHidden/>
    <w:rsid w:val="002A2E28"/>
    <w:rPr>
      <w:rFonts w:ascii="Calibri" w:eastAsia="SimSun" w:hAnsi="Calibri" w:cs="Arial"/>
      <w:sz w:val="24"/>
      <w:szCs w:val="24"/>
      <w:lang w:val="en-GB" w:eastAsia="en-US"/>
    </w:rPr>
  </w:style>
  <w:style w:type="character" w:customStyle="1" w:styleId="Heading8Char">
    <w:name w:val="Heading 8 Char"/>
    <w:link w:val="Heading8"/>
    <w:uiPriority w:val="9"/>
    <w:semiHidden/>
    <w:rsid w:val="002A2E28"/>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2A2E28"/>
    <w:rPr>
      <w:rFonts w:ascii="Cambria" w:eastAsia="SimSun" w:hAnsi="Cambria" w:cs="Times New Roman"/>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link w:val="Footer"/>
    <w:uiPriority w:val="99"/>
    <w:locked/>
    <w:rsid w:val="005B649F"/>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link w:val="FootnoteText"/>
    <w:uiPriority w:val="99"/>
    <w:semiHidden/>
    <w:rsid w:val="002A2E28"/>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link w:val="Header"/>
    <w:uiPriority w:val="99"/>
    <w:locked/>
    <w:rsid w:val="005B649F"/>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uiPriority w:val="99"/>
    <w:rsid w:val="00C65338"/>
    <w:rPr>
      <w:rFonts w:cs="Times New Roman"/>
    </w:rPr>
  </w:style>
  <w:style w:type="character" w:styleId="Strong">
    <w:name w:val="Strong"/>
    <w:uiPriority w:val="99"/>
    <w:qFormat/>
    <w:rsid w:val="00C65338"/>
    <w:rPr>
      <w:rFonts w:cs="Times New Roman"/>
      <w:b/>
    </w:rPr>
  </w:style>
  <w:style w:type="paragraph" w:customStyle="1" w:styleId="TableTitle0">
    <w:name w:val="Table_Title"/>
    <w:basedOn w:val="Table"/>
    <w:next w:val="Blanc"/>
    <w:uiPriority w:val="99"/>
    <w:rsid w:val="005B649F"/>
    <w:pPr>
      <w:spacing w:before="0"/>
    </w:pPr>
    <w:rPr>
      <w:b/>
    </w:rPr>
  </w:style>
  <w:style w:type="paragraph" w:customStyle="1" w:styleId="Table">
    <w:name w:val="Table_#"/>
    <w:basedOn w:val="Normal"/>
    <w:next w:val="TableTitle0"/>
    <w:uiPriority w:val="99"/>
    <w:rsid w:val="005B649F"/>
    <w:pPr>
      <w:keepNext/>
      <w:tabs>
        <w:tab w:val="clear" w:pos="1134"/>
        <w:tab w:val="clear" w:pos="1871"/>
        <w:tab w:val="clear" w:pos="2268"/>
      </w:tabs>
      <w:spacing w:before="567" w:after="113"/>
      <w:jc w:val="center"/>
    </w:pPr>
    <w:rPr>
      <w:sz w:val="18"/>
    </w:rPr>
  </w:style>
  <w:style w:type="paragraph" w:customStyle="1" w:styleId="Blanc">
    <w:name w:val="Blanc"/>
    <w:basedOn w:val="Normal"/>
    <w:next w:val="TableText0"/>
    <w:uiPriority w:val="99"/>
    <w:rsid w:val="005B649F"/>
    <w:pPr>
      <w:keepNext/>
      <w:keepLines/>
      <w:tabs>
        <w:tab w:val="clear" w:pos="1134"/>
        <w:tab w:val="clear" w:pos="1871"/>
        <w:tab w:val="clear" w:pos="2268"/>
      </w:tabs>
      <w:spacing w:before="0"/>
      <w:jc w:val="both"/>
    </w:pPr>
    <w:rPr>
      <w:sz w:val="16"/>
    </w:rPr>
  </w:style>
  <w:style w:type="paragraph" w:customStyle="1" w:styleId="TableText0">
    <w:name w:val="Table_Text"/>
    <w:basedOn w:val="Normal"/>
    <w:uiPriority w:val="99"/>
    <w:rsid w:val="005B649F"/>
    <w:pPr>
      <w:keepNext/>
      <w:tabs>
        <w:tab w:val="clear" w:pos="1134"/>
        <w:tab w:val="clear" w:pos="1871"/>
        <w:tab w:val="clear" w:pos="2268"/>
        <w:tab w:val="left" w:pos="794"/>
        <w:tab w:val="left" w:pos="1191"/>
        <w:tab w:val="left" w:pos="1588"/>
        <w:tab w:val="left" w:pos="1985"/>
      </w:tabs>
      <w:spacing w:before="100" w:after="100" w:line="190" w:lineRule="exact"/>
      <w:jc w:val="both"/>
    </w:pPr>
    <w:rPr>
      <w:sz w:val="18"/>
    </w:rPr>
  </w:style>
  <w:style w:type="paragraph" w:customStyle="1" w:styleId="AnnexTitle0">
    <w:name w:val="Annex_Title"/>
    <w:basedOn w:val="Normal"/>
    <w:next w:val="Normalaftertitle0"/>
    <w:uiPriority w:val="99"/>
    <w:rsid w:val="005B649F"/>
    <w:pPr>
      <w:tabs>
        <w:tab w:val="clear" w:pos="1134"/>
        <w:tab w:val="clear" w:pos="1871"/>
        <w:tab w:val="clear" w:pos="2268"/>
        <w:tab w:val="left" w:pos="4849"/>
        <w:tab w:val="right" w:pos="9696"/>
      </w:tabs>
      <w:spacing w:before="136" w:after="200"/>
      <w:jc w:val="center"/>
    </w:pPr>
    <w:rPr>
      <w:b/>
    </w:rPr>
  </w:style>
  <w:style w:type="paragraph" w:customStyle="1" w:styleId="headfoot">
    <w:name w:val="head_foot"/>
    <w:basedOn w:val="Normal"/>
    <w:next w:val="Normalaftertitle0"/>
    <w:uiPriority w:val="99"/>
    <w:rsid w:val="005B649F"/>
    <w:pPr>
      <w:tabs>
        <w:tab w:val="clear" w:pos="1134"/>
        <w:tab w:val="clear" w:pos="1871"/>
        <w:tab w:val="clear" w:pos="2268"/>
      </w:tabs>
      <w:spacing w:before="0"/>
      <w:jc w:val="both"/>
    </w:pPr>
    <w:rPr>
      <w:b/>
      <w:color w:val="FFFFFF"/>
      <w:sz w:val="8"/>
    </w:rPr>
  </w:style>
  <w:style w:type="paragraph" w:customStyle="1" w:styleId="call0">
    <w:name w:val="call"/>
    <w:basedOn w:val="Normal"/>
    <w:next w:val="Normal"/>
    <w:uiPriority w:val="99"/>
    <w:rsid w:val="005B649F"/>
    <w:pPr>
      <w:keepNext/>
      <w:keepLines/>
      <w:tabs>
        <w:tab w:val="clear" w:pos="1134"/>
        <w:tab w:val="clear" w:pos="1871"/>
        <w:tab w:val="clear" w:pos="2268"/>
        <w:tab w:val="left" w:pos="794"/>
      </w:tabs>
      <w:spacing w:before="227"/>
      <w:ind w:left="794"/>
    </w:pPr>
    <w:rPr>
      <w:i/>
      <w:sz w:val="20"/>
    </w:rPr>
  </w:style>
  <w:style w:type="paragraph" w:customStyle="1" w:styleId="HeadingSum">
    <w:name w:val="Heading_Sum"/>
    <w:basedOn w:val="Normal"/>
    <w:next w:val="Normal"/>
    <w:uiPriority w:val="99"/>
    <w:rsid w:val="005B649F"/>
    <w:pPr>
      <w:keepNext/>
      <w:keepLines/>
      <w:tabs>
        <w:tab w:val="clear" w:pos="1134"/>
        <w:tab w:val="clear" w:pos="1871"/>
        <w:tab w:val="clear" w:pos="2268"/>
        <w:tab w:val="left" w:pos="794"/>
        <w:tab w:val="left" w:pos="1191"/>
        <w:tab w:val="left" w:pos="1588"/>
        <w:tab w:val="left" w:pos="1985"/>
      </w:tabs>
      <w:spacing w:before="240"/>
      <w:jc w:val="both"/>
    </w:pPr>
    <w:rPr>
      <w:b/>
      <w:sz w:val="22"/>
      <w:lang w:val="es-ES_tradnl"/>
    </w:rPr>
  </w:style>
  <w:style w:type="paragraph" w:styleId="BalloonText">
    <w:name w:val="Balloon Text"/>
    <w:basedOn w:val="Normal"/>
    <w:link w:val="BalloonTextChar"/>
    <w:uiPriority w:val="99"/>
    <w:rsid w:val="004E4C60"/>
    <w:pPr>
      <w:spacing w:before="0"/>
    </w:pPr>
    <w:rPr>
      <w:rFonts w:ascii="Cambria" w:eastAsia="SimSun" w:hAnsi="Cambria"/>
      <w:sz w:val="18"/>
      <w:szCs w:val="18"/>
    </w:rPr>
  </w:style>
  <w:style w:type="character" w:customStyle="1" w:styleId="BalloonTextChar">
    <w:name w:val="Balloon Text Char"/>
    <w:link w:val="BalloonText"/>
    <w:uiPriority w:val="99"/>
    <w:locked/>
    <w:rsid w:val="004E4C60"/>
    <w:rPr>
      <w:rFonts w:ascii="Cambria" w:eastAsia="SimSun" w:hAnsi="Cambria"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24</TotalTime>
  <Pages>5</Pages>
  <Words>1017</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 1.18 Working Doc. PDNR </vt:lpstr>
    </vt:vector>
  </TitlesOfParts>
  <Company>Toshiba</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1.18 Working Doc. PDNR </dc:title>
  <dc:subject/>
  <dc:creator>detraz</dc:creator>
  <cp:keywords/>
  <dc:description/>
  <cp:lastModifiedBy>Frederique Bonet</cp:lastModifiedBy>
  <cp:revision>4</cp:revision>
  <cp:lastPrinted>2012-06-01T07:04:00Z</cp:lastPrinted>
  <dcterms:created xsi:type="dcterms:W3CDTF">2012-06-01T13:30:00Z</dcterms:created>
  <dcterms:modified xsi:type="dcterms:W3CDTF">2012-06-01T15:31:00Z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
  </property>
</Properties>
</file>