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C44E5">
        <w:trPr>
          <w:cantSplit/>
        </w:trPr>
        <w:tc>
          <w:tcPr>
            <w:tcW w:w="6580" w:type="dxa"/>
            <w:vAlign w:val="center"/>
          </w:tcPr>
          <w:p w:rsidR="009C44E5" w:rsidRPr="00D8032B" w:rsidRDefault="009C44E5"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9C44E5" w:rsidRDefault="00570ECB" w:rsidP="00694B53">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9C44E5" w:rsidRPr="0051782D">
        <w:trPr>
          <w:cantSplit/>
        </w:trPr>
        <w:tc>
          <w:tcPr>
            <w:tcW w:w="6580" w:type="dxa"/>
            <w:tcBorders>
              <w:bottom w:val="single" w:sz="12" w:space="0" w:color="auto"/>
            </w:tcBorders>
          </w:tcPr>
          <w:p w:rsidR="009C44E5" w:rsidRPr="0051782D" w:rsidRDefault="009C44E5"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9C44E5" w:rsidRPr="0051782D" w:rsidRDefault="009C44E5" w:rsidP="00A5173C">
            <w:pPr>
              <w:shd w:val="solid" w:color="FFFFFF" w:fill="FFFFFF"/>
              <w:spacing w:before="0" w:after="48" w:line="240" w:lineRule="atLeast"/>
              <w:rPr>
                <w:szCs w:val="22"/>
                <w:lang w:val="en-US"/>
              </w:rPr>
            </w:pPr>
          </w:p>
        </w:tc>
      </w:tr>
      <w:tr w:rsidR="009C44E5">
        <w:trPr>
          <w:cantSplit/>
        </w:trPr>
        <w:tc>
          <w:tcPr>
            <w:tcW w:w="6580" w:type="dxa"/>
            <w:tcBorders>
              <w:top w:val="single" w:sz="12" w:space="0" w:color="auto"/>
            </w:tcBorders>
          </w:tcPr>
          <w:p w:rsidR="009C44E5" w:rsidRPr="0051782D" w:rsidRDefault="009C44E5"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9C44E5" w:rsidRPr="00710D66" w:rsidRDefault="009C44E5" w:rsidP="00A5173C">
            <w:pPr>
              <w:shd w:val="solid" w:color="FFFFFF" w:fill="FFFFFF"/>
              <w:spacing w:before="0" w:after="48" w:line="240" w:lineRule="atLeast"/>
              <w:rPr>
                <w:lang w:val="en-US"/>
              </w:rPr>
            </w:pPr>
          </w:p>
        </w:tc>
      </w:tr>
      <w:tr w:rsidR="009C44E5">
        <w:trPr>
          <w:cantSplit/>
        </w:trPr>
        <w:tc>
          <w:tcPr>
            <w:tcW w:w="6580" w:type="dxa"/>
            <w:vMerge w:val="restart"/>
          </w:tcPr>
          <w:p w:rsidR="009C44E5" w:rsidRPr="000401B5" w:rsidRDefault="009C44E5" w:rsidP="00694B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 xml:space="preserve">Document </w:t>
            </w:r>
            <w:r w:rsidRPr="000401B5">
              <w:rPr>
                <w:rFonts w:ascii="Verdana" w:hAnsi="Verdana"/>
                <w:sz w:val="20"/>
              </w:rPr>
              <w:t>5A/TEMP/89</w:t>
            </w:r>
          </w:p>
        </w:tc>
        <w:tc>
          <w:tcPr>
            <w:tcW w:w="3451" w:type="dxa"/>
          </w:tcPr>
          <w:p w:rsidR="009C44E5" w:rsidRPr="00694B53" w:rsidRDefault="009C44E5" w:rsidP="00006C57">
            <w:pPr>
              <w:shd w:val="solid" w:color="FFFFFF" w:fill="FFFFFF"/>
              <w:spacing w:before="0" w:line="240" w:lineRule="atLeast"/>
              <w:rPr>
                <w:rFonts w:ascii="Verdana" w:hAnsi="Verdana"/>
                <w:sz w:val="20"/>
                <w:lang w:eastAsia="zh-CN"/>
              </w:rPr>
            </w:pPr>
            <w:r>
              <w:rPr>
                <w:rFonts w:ascii="Verdana" w:hAnsi="Verdana"/>
                <w:b/>
                <w:sz w:val="20"/>
                <w:lang w:eastAsia="zh-CN"/>
              </w:rPr>
              <w:t>Annex 12 to</w:t>
            </w:r>
            <w:r w:rsidR="00006C57">
              <w:rPr>
                <w:rFonts w:ascii="Verdana" w:hAnsi="Verdana"/>
                <w:b/>
                <w:sz w:val="20"/>
                <w:lang w:eastAsia="zh-CN"/>
              </w:rPr>
              <w:br/>
            </w:r>
            <w:r>
              <w:rPr>
                <w:rFonts w:ascii="Verdana" w:hAnsi="Verdana"/>
                <w:b/>
                <w:sz w:val="20"/>
                <w:lang w:eastAsia="zh-CN"/>
              </w:rPr>
              <w:t>Document 5A/198-E</w:t>
            </w:r>
          </w:p>
        </w:tc>
      </w:tr>
      <w:tr w:rsidR="009C44E5">
        <w:trPr>
          <w:cantSplit/>
        </w:trPr>
        <w:tc>
          <w:tcPr>
            <w:tcW w:w="6580" w:type="dxa"/>
            <w:vMerge/>
          </w:tcPr>
          <w:p w:rsidR="009C44E5" w:rsidRDefault="009C44E5" w:rsidP="00A5173C">
            <w:pPr>
              <w:spacing w:before="60"/>
              <w:jc w:val="center"/>
              <w:rPr>
                <w:b/>
                <w:smallCaps/>
                <w:sz w:val="32"/>
                <w:lang w:eastAsia="zh-CN"/>
              </w:rPr>
            </w:pPr>
            <w:bookmarkStart w:id="3" w:name="ddate" w:colFirst="1" w:colLast="1"/>
            <w:bookmarkEnd w:id="2"/>
          </w:p>
        </w:tc>
        <w:tc>
          <w:tcPr>
            <w:tcW w:w="3451" w:type="dxa"/>
          </w:tcPr>
          <w:p w:rsidR="009C44E5" w:rsidRPr="00694B53" w:rsidRDefault="00006C57"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9C44E5">
              <w:rPr>
                <w:rFonts w:ascii="Verdana" w:hAnsi="Verdana"/>
                <w:b/>
                <w:sz w:val="20"/>
                <w:lang w:eastAsia="zh-CN"/>
              </w:rPr>
              <w:t xml:space="preserve"> November 2012</w:t>
            </w:r>
          </w:p>
        </w:tc>
      </w:tr>
      <w:tr w:rsidR="009C44E5">
        <w:trPr>
          <w:cantSplit/>
        </w:trPr>
        <w:tc>
          <w:tcPr>
            <w:tcW w:w="6580" w:type="dxa"/>
            <w:vMerge/>
          </w:tcPr>
          <w:p w:rsidR="009C44E5" w:rsidRDefault="009C44E5" w:rsidP="00A5173C">
            <w:pPr>
              <w:spacing w:before="60"/>
              <w:jc w:val="center"/>
              <w:rPr>
                <w:b/>
                <w:smallCaps/>
                <w:sz w:val="32"/>
                <w:lang w:eastAsia="zh-CN"/>
              </w:rPr>
            </w:pPr>
            <w:bookmarkStart w:id="4" w:name="dorlang" w:colFirst="1" w:colLast="1"/>
            <w:bookmarkEnd w:id="3"/>
          </w:p>
        </w:tc>
        <w:tc>
          <w:tcPr>
            <w:tcW w:w="3451" w:type="dxa"/>
          </w:tcPr>
          <w:p w:rsidR="009C44E5" w:rsidRPr="00694B53" w:rsidRDefault="009C44E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C44E5">
        <w:trPr>
          <w:cantSplit/>
        </w:trPr>
        <w:tc>
          <w:tcPr>
            <w:tcW w:w="10031" w:type="dxa"/>
            <w:gridSpan w:val="2"/>
          </w:tcPr>
          <w:p w:rsidR="009C44E5" w:rsidRDefault="009C44E5" w:rsidP="00694B53">
            <w:pPr>
              <w:pStyle w:val="Source"/>
              <w:rPr>
                <w:lang w:eastAsia="zh-CN"/>
              </w:rPr>
            </w:pPr>
            <w:bookmarkStart w:id="5" w:name="dsource" w:colFirst="0" w:colLast="0"/>
            <w:bookmarkEnd w:id="4"/>
            <w:r w:rsidRPr="00A65947">
              <w:rPr>
                <w:lang w:val="en-US" w:eastAsia="ja-JP"/>
              </w:rPr>
              <w:t xml:space="preserve">Annex </w:t>
            </w:r>
            <w:r>
              <w:rPr>
                <w:lang w:val="en-US" w:eastAsia="ja-JP"/>
              </w:rPr>
              <w:t>12</w:t>
            </w:r>
            <w:r w:rsidRPr="00A65947">
              <w:rPr>
                <w:lang w:val="en-US" w:eastAsia="ja-JP"/>
              </w:rPr>
              <w:t xml:space="preserve"> to Working Party 5A Chairman’s Report</w:t>
            </w:r>
          </w:p>
        </w:tc>
      </w:tr>
      <w:tr w:rsidR="009C44E5">
        <w:trPr>
          <w:cantSplit/>
        </w:trPr>
        <w:tc>
          <w:tcPr>
            <w:tcW w:w="10031" w:type="dxa"/>
            <w:gridSpan w:val="2"/>
          </w:tcPr>
          <w:p w:rsidR="009C44E5" w:rsidRDefault="009C44E5" w:rsidP="00A5173C">
            <w:pPr>
              <w:pStyle w:val="Title1"/>
              <w:rPr>
                <w:lang w:eastAsia="zh-CN"/>
              </w:rPr>
            </w:pPr>
            <w:bookmarkStart w:id="6" w:name="drec" w:colFirst="0" w:colLast="0"/>
            <w:bookmarkEnd w:id="5"/>
            <w:r w:rsidRPr="000432D3">
              <w:t>WORKING</w:t>
            </w:r>
            <w:r>
              <w:t xml:space="preserve"> DOCUMENT TOWARDS A PRELIMINARY DRAFT</w:t>
            </w:r>
            <w:r>
              <w:br/>
            </w:r>
            <w:r w:rsidRPr="000432D3">
              <w:t>NEW REPORT ITU-R M.[HF-SPECTRAL OCCUPANCY]</w:t>
            </w:r>
          </w:p>
        </w:tc>
      </w:tr>
      <w:tr w:rsidR="009C44E5">
        <w:trPr>
          <w:cantSplit/>
        </w:trPr>
        <w:tc>
          <w:tcPr>
            <w:tcW w:w="10031" w:type="dxa"/>
            <w:gridSpan w:val="2"/>
          </w:tcPr>
          <w:p w:rsidR="009C44E5" w:rsidRDefault="009C44E5" w:rsidP="00F043A8">
            <w:pPr>
              <w:pStyle w:val="Title4"/>
              <w:rPr>
                <w:lang w:eastAsia="zh-CN"/>
              </w:rPr>
            </w:pPr>
            <w:bookmarkStart w:id="7" w:name="dtitle1" w:colFirst="0" w:colLast="0"/>
            <w:bookmarkEnd w:id="6"/>
            <w:r w:rsidRPr="000432D3">
              <w:t>Spectral occupancy within</w:t>
            </w:r>
            <w:r>
              <w:t xml:space="preserve"> </w:t>
            </w:r>
            <w:r w:rsidRPr="000432D3">
              <w:t>the band 5 250-5 450 kHz</w:t>
            </w:r>
            <w:r>
              <w:br/>
              <w:t xml:space="preserve">as observed near </w:t>
            </w:r>
            <w:smartTag w:uri="urn:schemas-microsoft-com:office:smarttags" w:element="place">
              <w:smartTag w:uri="urn:schemas-microsoft-com:office:smarttags" w:element="City">
                <w:r>
                  <w:t>Ottawa</w:t>
                </w:r>
              </w:smartTag>
              <w:r>
                <w:t xml:space="preserve">, </w:t>
              </w:r>
              <w:smartTag w:uri="urn:schemas-microsoft-com:office:smarttags" w:element="State">
                <w:r w:rsidRPr="00741999">
                  <w:t>Ontario</w:t>
                </w:r>
              </w:smartTag>
              <w:r w:rsidRPr="00741999">
                <w:t xml:space="preserve">, </w:t>
              </w:r>
              <w:smartTag w:uri="urn:schemas-microsoft-com:office:smarttags" w:element="country-region">
                <w:r w:rsidRPr="00741999">
                  <w:t>Canada</w:t>
                </w:r>
              </w:smartTag>
            </w:smartTag>
          </w:p>
        </w:tc>
      </w:tr>
    </w:tbl>
    <w:p w:rsidR="009C44E5" w:rsidRPr="00F043A8" w:rsidRDefault="009C44E5">
      <w:pPr>
        <w:tabs>
          <w:tab w:val="clear" w:pos="1134"/>
          <w:tab w:val="clear" w:pos="1871"/>
          <w:tab w:val="clear" w:pos="2268"/>
        </w:tabs>
        <w:overflowPunct/>
        <w:autoSpaceDE/>
        <w:autoSpaceDN/>
        <w:adjustRightInd/>
        <w:spacing w:before="0"/>
        <w:textAlignment w:val="auto"/>
        <w:rPr>
          <w:lang w:val="en-US" w:eastAsia="zh-CN"/>
        </w:rPr>
      </w:pPr>
      <w:bookmarkStart w:id="8" w:name="dbreak"/>
      <w:bookmarkEnd w:id="7"/>
      <w:bookmarkEnd w:id="8"/>
    </w:p>
    <w:p w:rsidR="009C44E5" w:rsidRPr="007955AE" w:rsidRDefault="009C44E5" w:rsidP="00F043A8">
      <w:pPr>
        <w:pStyle w:val="Normalaftertitle0"/>
        <w:rPr>
          <w:i/>
          <w:iCs/>
        </w:rPr>
      </w:pPr>
      <w:r w:rsidRPr="007955AE">
        <w:rPr>
          <w:i/>
          <w:iCs/>
        </w:rPr>
        <w:t>[Editor’s Note: This document is carried forward for information and future consideration.  The workplan for Agenda item 1.4 as adopted during the May 2012 meeting of Working Party 5A calls for the preparation of two relevant Reports, one for characteristics of amateur stations, and one documenting compatibility studies with existing services.]</w:t>
      </w:r>
    </w:p>
    <w:p w:rsidR="009C44E5" w:rsidRPr="00461C7C" w:rsidRDefault="009C44E5" w:rsidP="00F043A8">
      <w:pPr>
        <w:rPr>
          <w:i/>
          <w:szCs w:val="24"/>
        </w:rPr>
      </w:pPr>
      <w:r>
        <w:rPr>
          <w:i/>
          <w:szCs w:val="24"/>
        </w:rPr>
        <w:t>[</w:t>
      </w:r>
      <w:r w:rsidRPr="00461C7C">
        <w:rPr>
          <w:i/>
          <w:szCs w:val="24"/>
        </w:rPr>
        <w:t xml:space="preserve">Some administrations have pointed out that the measurements described in this document, taken prior to WRC-12, cannot accurately represent fixed and mobile service occupancy in the band 5 250-5 450 kHz for the purposes of Agenda item 1.4 and Resolution </w:t>
      </w:r>
      <w:r w:rsidRPr="00461C7C">
        <w:rPr>
          <w:b/>
          <w:i/>
          <w:szCs w:val="24"/>
        </w:rPr>
        <w:t>649</w:t>
      </w:r>
      <w:r w:rsidRPr="00461C7C">
        <w:rPr>
          <w:i/>
          <w:szCs w:val="24"/>
        </w:rPr>
        <w:t xml:space="preserve">. For example: </w:t>
      </w:r>
    </w:p>
    <w:p w:rsidR="009C44E5" w:rsidRPr="007955AE" w:rsidRDefault="009C44E5" w:rsidP="007955AE">
      <w:pPr>
        <w:pStyle w:val="enumlev1"/>
        <w:rPr>
          <w:i/>
          <w:iCs/>
        </w:rPr>
      </w:pPr>
      <w:r w:rsidRPr="007955AE">
        <w:rPr>
          <w:i/>
          <w:iCs/>
        </w:rPr>
        <w:t>•</w:t>
      </w:r>
      <w:r w:rsidRPr="007955AE">
        <w:rPr>
          <w:i/>
          <w:iCs/>
        </w:rPr>
        <w:tab/>
        <w:t>The measurements only recognize received emissions ten dB or more above the measured noise floor, while amateur service operators in the band would recognize use of a frequency at power levels much closer to the noise floor.  Thus, the "listening" represented in the measurements may find far less activity in the band than would that of amateur service operators.</w:t>
      </w:r>
    </w:p>
    <w:p w:rsidR="009C44E5" w:rsidRPr="007955AE" w:rsidRDefault="009C44E5" w:rsidP="007955AE">
      <w:pPr>
        <w:pStyle w:val="enumlev1"/>
        <w:rPr>
          <w:i/>
          <w:iCs/>
        </w:rPr>
      </w:pPr>
      <w:r w:rsidRPr="007955AE">
        <w:rPr>
          <w:i/>
          <w:iCs/>
        </w:rPr>
        <w:t>•</w:t>
      </w:r>
      <w:r w:rsidRPr="007955AE">
        <w:rPr>
          <w:i/>
          <w:iCs/>
        </w:rPr>
        <w:tab/>
        <w:t>The algorithm for the noise measurement should be clarified, with consideration that the noise level may not be constant across the measurement window of 180 kHz.</w:t>
      </w:r>
    </w:p>
    <w:p w:rsidR="009C44E5" w:rsidRPr="00461C7C" w:rsidRDefault="009C44E5" w:rsidP="007955AE">
      <w:pPr>
        <w:pStyle w:val="enumlev1"/>
      </w:pPr>
      <w:r w:rsidRPr="007955AE">
        <w:rPr>
          <w:i/>
          <w:iCs/>
        </w:rPr>
        <w:t>•</w:t>
      </w:r>
      <w:r w:rsidRPr="007955AE">
        <w:rPr>
          <w:i/>
          <w:iCs/>
        </w:rPr>
        <w:tab/>
        <w:t>Further information on the measurements, expected at the next meeting, may clarify whether other aspects of the procedure, such as the resolution bandwidth, were appropriate to justify the conclusions.]</w:t>
      </w:r>
    </w:p>
    <w:p w:rsidR="009C44E5" w:rsidRPr="007955AE" w:rsidRDefault="009C44E5" w:rsidP="00F043A8">
      <w:pPr>
        <w:pStyle w:val="Headingb"/>
        <w:rPr>
          <w:sz w:val="22"/>
          <w:szCs w:val="22"/>
        </w:rPr>
      </w:pPr>
      <w:r w:rsidRPr="007955AE">
        <w:rPr>
          <w:sz w:val="22"/>
          <w:szCs w:val="22"/>
        </w:rPr>
        <w:t>Scope</w:t>
      </w:r>
    </w:p>
    <w:p w:rsidR="009C44E5" w:rsidRPr="007955AE" w:rsidRDefault="009C44E5" w:rsidP="00F043A8">
      <w:pPr>
        <w:rPr>
          <w:sz w:val="22"/>
          <w:szCs w:val="22"/>
        </w:rPr>
      </w:pPr>
      <w:r w:rsidRPr="007955AE">
        <w:rPr>
          <w:sz w:val="22"/>
          <w:szCs w:val="22"/>
        </w:rPr>
        <w:t>This Report describes ITU-R studies undertaken to determine the spectral occupancy of channels within the frequency band 5 250-5 450 kHz.</w:t>
      </w:r>
    </w:p>
    <w:p w:rsidR="009C44E5" w:rsidRDefault="009C44E5" w:rsidP="00F043A8">
      <w:pPr>
        <w:pStyle w:val="Headingb"/>
      </w:pPr>
      <w:r w:rsidRPr="002E7DD9">
        <w:t>Vocabulary</w:t>
      </w:r>
    </w:p>
    <w:p w:rsidR="009C44E5" w:rsidRPr="002E7DD9" w:rsidRDefault="009C44E5" w:rsidP="00F043A8">
      <w:pPr>
        <w:tabs>
          <w:tab w:val="clear" w:pos="1134"/>
          <w:tab w:val="clear" w:pos="1871"/>
          <w:tab w:val="clear" w:pos="2268"/>
        </w:tabs>
        <w:overflowPunct/>
        <w:textAlignment w:val="auto"/>
        <w:rPr>
          <w:lang w:val="en-CA" w:eastAsia="en-CA"/>
        </w:rPr>
      </w:pPr>
      <w:r>
        <w:rPr>
          <w:lang w:val="en-CA" w:eastAsia="en-CA"/>
        </w:rPr>
        <w:t>The following definitions apply for the purpose of this study</w:t>
      </w:r>
    </w:p>
    <w:p w:rsidR="009C44E5" w:rsidRDefault="009C44E5" w:rsidP="00F043A8">
      <w:pPr>
        <w:tabs>
          <w:tab w:val="clear" w:pos="1134"/>
          <w:tab w:val="clear" w:pos="1871"/>
          <w:tab w:val="clear" w:pos="2268"/>
        </w:tabs>
        <w:overflowPunct/>
        <w:textAlignment w:val="auto"/>
        <w:rPr>
          <w:lang w:val="en-CA" w:eastAsia="en-CA"/>
        </w:rPr>
      </w:pPr>
      <w:r w:rsidRPr="00094C6F">
        <w:rPr>
          <w:lang w:val="en-CA" w:eastAsia="en-CA"/>
        </w:rPr>
        <w:t>Busy hour</w:t>
      </w:r>
      <w:r>
        <w:rPr>
          <w:lang w:val="en-CA" w:eastAsia="en-CA"/>
        </w:rPr>
        <w:t xml:space="preserve">: </w:t>
      </w:r>
      <w:r w:rsidRPr="00094C6F">
        <w:rPr>
          <w:lang w:val="en-CA" w:eastAsia="en-CA"/>
        </w:rPr>
        <w:t xml:space="preserve">the hour of the day when a frequency </w:t>
      </w:r>
      <w:r>
        <w:rPr>
          <w:lang w:val="en-CA" w:eastAsia="en-CA"/>
        </w:rPr>
        <w:t>band</w:t>
      </w:r>
      <w:r w:rsidRPr="00094C6F">
        <w:rPr>
          <w:lang w:val="en-CA" w:eastAsia="en-CA"/>
        </w:rPr>
        <w:t xml:space="preserve"> is most congested.</w:t>
      </w:r>
    </w:p>
    <w:p w:rsidR="009C44E5" w:rsidRDefault="009C44E5">
      <w:pPr>
        <w:tabs>
          <w:tab w:val="clear" w:pos="1134"/>
          <w:tab w:val="clear" w:pos="1871"/>
          <w:tab w:val="clear" w:pos="2268"/>
        </w:tabs>
        <w:overflowPunct/>
        <w:autoSpaceDE/>
        <w:autoSpaceDN/>
        <w:adjustRightInd/>
        <w:spacing w:before="0"/>
        <w:textAlignment w:val="auto"/>
        <w:rPr>
          <w:lang w:val="en-CA" w:eastAsia="en-CA"/>
        </w:rPr>
      </w:pPr>
      <w:r>
        <w:rPr>
          <w:lang w:val="en-CA" w:eastAsia="en-CA"/>
        </w:rPr>
        <w:br w:type="page"/>
      </w:r>
    </w:p>
    <w:p w:rsidR="009C44E5" w:rsidRPr="002E7DD9" w:rsidRDefault="009C44E5" w:rsidP="00F043A8">
      <w:pPr>
        <w:tabs>
          <w:tab w:val="clear" w:pos="1134"/>
          <w:tab w:val="clear" w:pos="1871"/>
          <w:tab w:val="clear" w:pos="2268"/>
        </w:tabs>
        <w:overflowPunct/>
        <w:textAlignment w:val="auto"/>
        <w:rPr>
          <w:b/>
          <w:bCs/>
        </w:rPr>
      </w:pPr>
      <w:r w:rsidRPr="002E7DD9">
        <w:rPr>
          <w:lang w:val="en-CA" w:eastAsia="en-CA"/>
        </w:rPr>
        <w:lastRenderedPageBreak/>
        <w:t xml:space="preserve">Congestion: the likelihood that the measured signal power </w:t>
      </w:r>
      <w:r>
        <w:rPr>
          <w:lang w:val="en-CA" w:eastAsia="en-CA"/>
        </w:rPr>
        <w:t xml:space="preserve">in </w:t>
      </w:r>
      <w:r w:rsidRPr="002E7DD9">
        <w:rPr>
          <w:lang w:val="en-CA" w:eastAsia="en-CA"/>
        </w:rPr>
        <w:t xml:space="preserve">a selected channel sampled within a </w:t>
      </w:r>
      <w:r>
        <w:rPr>
          <w:lang w:val="en-CA" w:eastAsia="en-CA"/>
        </w:rPr>
        <w:t>frequency band</w:t>
      </w:r>
      <w:r w:rsidRPr="002E7DD9">
        <w:rPr>
          <w:lang w:val="en-CA" w:eastAsia="en-CA"/>
        </w:rPr>
        <w:t xml:space="preserve"> will exceed a specified power threshold.</w:t>
      </w:r>
    </w:p>
    <w:p w:rsidR="009C44E5" w:rsidRDefault="009C44E5" w:rsidP="00F043A8">
      <w:pPr>
        <w:tabs>
          <w:tab w:val="clear" w:pos="1134"/>
          <w:tab w:val="clear" w:pos="1871"/>
          <w:tab w:val="clear" w:pos="2268"/>
        </w:tabs>
        <w:overflowPunct/>
        <w:textAlignment w:val="auto"/>
        <w:rPr>
          <w:lang w:val="en-CA" w:eastAsia="en-CA"/>
        </w:rPr>
      </w:pPr>
      <w:r w:rsidRPr="002E7DD9">
        <w:rPr>
          <w:lang w:val="en-CA" w:eastAsia="en-CA"/>
        </w:rPr>
        <w:t>Occupancy: the percentage of time that the measured signal power exceeds a specified threshold.</w:t>
      </w:r>
    </w:p>
    <w:p w:rsidR="009C44E5" w:rsidRPr="002E7DD9" w:rsidRDefault="009C44E5" w:rsidP="00F043A8">
      <w:pPr>
        <w:pStyle w:val="Headingb"/>
      </w:pPr>
      <w:r w:rsidRPr="002E7DD9">
        <w:t>Abbreviations</w:t>
      </w:r>
      <w:r>
        <w:rPr>
          <w:rStyle w:val="FootnoteReference"/>
        </w:rPr>
        <w:footnoteReference w:id="1"/>
      </w:r>
    </w:p>
    <w:p w:rsidR="009C44E5" w:rsidRDefault="009C44E5" w:rsidP="00F043A8">
      <w:pPr>
        <w:tabs>
          <w:tab w:val="clear" w:pos="1134"/>
          <w:tab w:val="left" w:pos="567"/>
        </w:tabs>
      </w:pPr>
      <w:r w:rsidRPr="002E7DD9">
        <w:t>HF</w:t>
      </w:r>
      <w:r>
        <w:tab/>
      </w:r>
      <w:r>
        <w:tab/>
      </w:r>
      <w:r w:rsidRPr="002E7DD9">
        <w:t>high frequency</w:t>
      </w:r>
    </w:p>
    <w:p w:rsidR="009C44E5" w:rsidRDefault="009C44E5" w:rsidP="00F043A8">
      <w:pPr>
        <w:tabs>
          <w:tab w:val="clear" w:pos="1134"/>
          <w:tab w:val="left" w:pos="567"/>
        </w:tabs>
      </w:pPr>
      <w:r w:rsidRPr="00741999">
        <w:t>VOACAP</w:t>
      </w:r>
      <w:r w:rsidRPr="00741999">
        <w:tab/>
        <w:t xml:space="preserve">Voice of </w:t>
      </w:r>
      <w:smartTag w:uri="urn:schemas-microsoft-com:office:smarttags" w:element="place">
        <w:smartTag w:uri="urn:schemas-microsoft-com:office:smarttags" w:element="country-region">
          <w:r w:rsidRPr="00741999">
            <w:t>America</w:t>
          </w:r>
        </w:smartTag>
      </w:smartTag>
      <w:r w:rsidRPr="00741999">
        <w:t xml:space="preserve"> Coverage Analysis Program</w:t>
      </w:r>
      <w:r w:rsidRPr="00741999">
        <w:rPr>
          <w:rStyle w:val="FootnoteReference"/>
        </w:rPr>
        <w:footnoteReference w:id="2"/>
      </w:r>
    </w:p>
    <w:p w:rsidR="009C44E5" w:rsidRDefault="009C44E5" w:rsidP="00F043A8">
      <w:pPr>
        <w:tabs>
          <w:tab w:val="clear" w:pos="1134"/>
          <w:tab w:val="left" w:pos="567"/>
        </w:tabs>
      </w:pPr>
      <w:r>
        <w:t>SSN</w:t>
      </w:r>
      <w:r>
        <w:tab/>
      </w:r>
      <w:r>
        <w:tab/>
        <w:t>Sunspot Number</w:t>
      </w:r>
    </w:p>
    <w:p w:rsidR="009C44E5" w:rsidRDefault="009C44E5" w:rsidP="00F043A8">
      <w:pPr>
        <w:tabs>
          <w:tab w:val="clear" w:pos="1134"/>
          <w:tab w:val="left" w:pos="567"/>
        </w:tabs>
      </w:pPr>
      <w:r>
        <w:t>SFI</w:t>
      </w:r>
      <w:r>
        <w:tab/>
      </w:r>
      <w:r>
        <w:tab/>
        <w:t>Solar Flux Index</w:t>
      </w:r>
    </w:p>
    <w:p w:rsidR="009C44E5" w:rsidRDefault="009C44E5" w:rsidP="00F043A8">
      <w:pPr>
        <w:tabs>
          <w:tab w:val="clear" w:pos="1134"/>
          <w:tab w:val="left" w:pos="567"/>
        </w:tabs>
      </w:pPr>
      <w:r>
        <w:t>A</w:t>
      </w:r>
      <w:r>
        <w:tab/>
      </w:r>
      <w:r>
        <w:tab/>
        <w:t>Solar “A” Index</w:t>
      </w:r>
    </w:p>
    <w:p w:rsidR="009C44E5" w:rsidRPr="002E7DD9" w:rsidRDefault="009C44E5" w:rsidP="00F043A8">
      <w:pPr>
        <w:tabs>
          <w:tab w:val="clear" w:pos="1134"/>
          <w:tab w:val="left" w:pos="567"/>
        </w:tabs>
      </w:pPr>
      <w:r>
        <w:t>K</w:t>
      </w:r>
      <w:r>
        <w:tab/>
      </w:r>
      <w:r>
        <w:tab/>
        <w:t>Solar “K” Index</w:t>
      </w:r>
    </w:p>
    <w:p w:rsidR="009C44E5" w:rsidRPr="002E7DD9" w:rsidRDefault="009C44E5" w:rsidP="00F043A8">
      <w:pPr>
        <w:pStyle w:val="Headingb"/>
      </w:pPr>
      <w:r w:rsidRPr="002E7DD9">
        <w:t>References</w:t>
      </w:r>
    </w:p>
    <w:p w:rsidR="009C44E5" w:rsidRDefault="009C44E5" w:rsidP="00F043A8">
      <w:pPr>
        <w:tabs>
          <w:tab w:val="clear" w:pos="1134"/>
          <w:tab w:val="clear" w:pos="1871"/>
          <w:tab w:val="clear" w:pos="2268"/>
          <w:tab w:val="left" w:pos="709"/>
        </w:tabs>
        <w:overflowPunct/>
        <w:textAlignment w:val="auto"/>
        <w:rPr>
          <w:lang w:val="en-CA" w:eastAsia="en-CA"/>
        </w:rPr>
      </w:pPr>
      <w:r>
        <w:rPr>
          <w:lang w:val="en-CA" w:eastAsia="en-CA"/>
        </w:rPr>
        <w:t>[1]</w:t>
      </w:r>
      <w:r>
        <w:rPr>
          <w:lang w:val="en-CA" w:eastAsia="en-CA"/>
        </w:rPr>
        <w:tab/>
      </w:r>
      <w:r w:rsidRPr="008E3F58">
        <w:rPr>
          <w:lang w:val="en-CA" w:eastAsia="en-CA"/>
        </w:rPr>
        <w:t>TCI International, Inc, TCI Model 613-N Broadband Dipole Antenna, Data Sheet.</w:t>
      </w:r>
    </w:p>
    <w:p w:rsidR="009C44E5" w:rsidRDefault="000D1D35" w:rsidP="00F043A8">
      <w:pPr>
        <w:tabs>
          <w:tab w:val="clear" w:pos="1134"/>
          <w:tab w:val="clear" w:pos="1871"/>
          <w:tab w:val="clear" w:pos="2268"/>
        </w:tabs>
        <w:overflowPunct/>
        <w:ind w:firstLine="720"/>
        <w:textAlignment w:val="auto"/>
        <w:rPr>
          <w:color w:val="0000FF"/>
          <w:lang w:val="en-CA" w:eastAsia="en-CA"/>
        </w:rPr>
      </w:pPr>
      <w:hyperlink r:id="rId9" w:history="1">
        <w:r w:rsidR="009C44E5">
          <w:rPr>
            <w:rStyle w:val="Hyperlink"/>
            <w:lang w:val="en-CA" w:eastAsia="en-CA"/>
          </w:rPr>
          <w:t>http://www.spx.com/en/assets/pdf/TCI%20613.pdf</w:t>
        </w:r>
      </w:hyperlink>
      <w:r w:rsidR="009C44E5">
        <w:t xml:space="preserve"> (Online)</w:t>
      </w:r>
    </w:p>
    <w:p w:rsidR="009C44E5" w:rsidRDefault="009C44E5" w:rsidP="00F043A8">
      <w:pPr>
        <w:tabs>
          <w:tab w:val="clear" w:pos="1134"/>
          <w:tab w:val="clear" w:pos="1871"/>
          <w:tab w:val="clear" w:pos="2268"/>
          <w:tab w:val="left" w:pos="709"/>
        </w:tabs>
        <w:overflowPunct/>
        <w:ind w:left="705" w:hanging="705"/>
        <w:textAlignment w:val="auto"/>
        <w:rPr>
          <w:lang w:eastAsia="en-CA"/>
        </w:rPr>
      </w:pPr>
      <w:r w:rsidRPr="008E3F58">
        <w:rPr>
          <w:color w:val="000000"/>
          <w:lang w:val="en-CA" w:eastAsia="en-CA"/>
        </w:rPr>
        <w:t>[</w:t>
      </w:r>
      <w:r>
        <w:rPr>
          <w:color w:val="000000"/>
          <w:lang w:val="en-CA" w:eastAsia="en-CA"/>
        </w:rPr>
        <w:t>2]</w:t>
      </w:r>
      <w:r>
        <w:rPr>
          <w:color w:val="000000"/>
          <w:lang w:val="en-CA" w:eastAsia="en-CA"/>
        </w:rPr>
        <w:tab/>
        <w:t>D.I. Warner, S. Bantseev, and N. Serinken. “Spectral occupancy of fixed and mobile allocations within the high frequency band,”</w:t>
      </w:r>
      <w:r w:rsidRPr="00585564">
        <w:rPr>
          <w:color w:val="000080"/>
          <w:lang w:eastAsia="en-CA"/>
        </w:rPr>
        <w:t xml:space="preserve"> </w:t>
      </w:r>
      <w:r w:rsidRPr="002040A4">
        <w:rPr>
          <w:i/>
          <w:iCs/>
          <w:lang w:eastAsia="en-CA"/>
        </w:rPr>
        <w:t xml:space="preserve">Ionospheric radio systems and techniques Conference </w:t>
      </w:r>
      <w:smartTag w:uri="urn:schemas-microsoft-com:office:smarttags" w:element="City">
        <w:r w:rsidRPr="002040A4">
          <w:rPr>
            <w:i/>
            <w:iCs/>
            <w:lang w:val="en-US" w:eastAsia="en-CA"/>
          </w:rPr>
          <w:t>York</w:t>
        </w:r>
      </w:smartTag>
      <w:r w:rsidRPr="002040A4">
        <w:rPr>
          <w:i/>
          <w:iCs/>
          <w:lang w:val="en-US" w:eastAsia="en-CA"/>
        </w:rPr>
        <w:t xml:space="preserve"> </w:t>
      </w:r>
      <w:smartTag w:uri="urn:schemas-microsoft-com:office:smarttags" w:element="place">
        <w:smartTag w:uri="urn:schemas-microsoft-com:office:smarttags" w:element="country-region">
          <w:r w:rsidRPr="002040A4">
            <w:rPr>
              <w:i/>
              <w:iCs/>
              <w:lang w:val="en-US" w:eastAsia="en-CA"/>
            </w:rPr>
            <w:t>UK</w:t>
          </w:r>
        </w:smartTag>
      </w:smartTag>
      <w:r w:rsidRPr="002040A4">
        <w:rPr>
          <w:lang w:val="en-US" w:eastAsia="en-CA"/>
        </w:rPr>
        <w:t xml:space="preserve">, </w:t>
      </w:r>
      <w:r w:rsidRPr="002040A4">
        <w:rPr>
          <w:lang w:eastAsia="en-CA"/>
        </w:rPr>
        <w:t>May 15-17, 2012.</w:t>
      </w:r>
    </w:p>
    <w:p w:rsidR="009C44E5" w:rsidRDefault="000D1D35" w:rsidP="00F043A8">
      <w:pPr>
        <w:tabs>
          <w:tab w:val="clear" w:pos="1134"/>
          <w:tab w:val="clear" w:pos="1871"/>
          <w:tab w:val="clear" w:pos="2268"/>
          <w:tab w:val="left" w:pos="709"/>
        </w:tabs>
        <w:overflowPunct/>
        <w:ind w:left="705" w:firstLine="15"/>
        <w:textAlignment w:val="auto"/>
        <w:rPr>
          <w:lang w:val="en-CA" w:eastAsia="en-CA"/>
        </w:rPr>
      </w:pPr>
      <w:hyperlink r:id="rId10" w:history="1">
        <w:r w:rsidR="009C44E5">
          <w:rPr>
            <w:rStyle w:val="Hyperlink"/>
            <w:lang w:eastAsia="en-CA"/>
          </w:rPr>
          <w:t>http://scpro.streamuk.com/uk/player/Default.aspx?wid=13437&amp;ptid=26&amp;t=0</w:t>
        </w:r>
      </w:hyperlink>
      <w:r w:rsidR="009C44E5">
        <w:rPr>
          <w:lang w:eastAsia="en-CA"/>
        </w:rPr>
        <w:t xml:space="preserve"> (Online)</w:t>
      </w:r>
    </w:p>
    <w:p w:rsidR="009C44E5" w:rsidRPr="008E3F58" w:rsidRDefault="009C44E5" w:rsidP="00F043A8">
      <w:pPr>
        <w:tabs>
          <w:tab w:val="clear" w:pos="1134"/>
          <w:tab w:val="clear" w:pos="1871"/>
          <w:tab w:val="clear" w:pos="2268"/>
          <w:tab w:val="left" w:pos="709"/>
        </w:tabs>
        <w:overflowPunct/>
        <w:ind w:left="705" w:hanging="705"/>
        <w:textAlignment w:val="auto"/>
        <w:rPr>
          <w:color w:val="0000FF"/>
          <w:lang w:val="en-CA" w:eastAsia="en-CA"/>
        </w:rPr>
      </w:pPr>
      <w:r>
        <w:rPr>
          <w:color w:val="000000"/>
          <w:lang w:val="en-CA" w:eastAsia="en-CA"/>
        </w:rPr>
        <w:t>[3]</w:t>
      </w:r>
      <w:r>
        <w:rPr>
          <w:color w:val="000000"/>
          <w:lang w:val="en-CA" w:eastAsia="en-CA"/>
        </w:rPr>
        <w:tab/>
      </w:r>
      <w:r w:rsidRPr="008E3F58">
        <w:rPr>
          <w:color w:val="000000"/>
          <w:lang w:val="en-CA" w:eastAsia="en-CA"/>
        </w:rPr>
        <w:t xml:space="preserve">Industry </w:t>
      </w:r>
      <w:smartTag w:uri="urn:schemas-microsoft-com:office:smarttags" w:element="place">
        <w:smartTag w:uri="urn:schemas-microsoft-com:office:smarttags" w:element="country-region">
          <w:r w:rsidRPr="008E3F58">
            <w:rPr>
              <w:color w:val="000000"/>
              <w:lang w:val="en-CA" w:eastAsia="en-CA"/>
            </w:rPr>
            <w:t>Canada</w:t>
          </w:r>
        </w:smartTag>
      </w:smartTag>
      <w:r w:rsidRPr="008E3F58">
        <w:rPr>
          <w:color w:val="000000"/>
          <w:lang w:val="en-CA" w:eastAsia="en-CA"/>
        </w:rPr>
        <w:t xml:space="preserve"> </w:t>
      </w:r>
      <w:r>
        <w:rPr>
          <w:color w:val="000000"/>
          <w:lang w:val="en-CA" w:eastAsia="en-CA"/>
        </w:rPr>
        <w:t>–</w:t>
      </w:r>
      <w:r w:rsidRPr="008E3F58">
        <w:rPr>
          <w:color w:val="000000"/>
          <w:lang w:val="en-CA" w:eastAsia="en-CA"/>
        </w:rPr>
        <w:t xml:space="preserve"> Spectrum Management and Telecommunications. (2009, December) Industry </w:t>
      </w:r>
      <w:smartTag w:uri="urn:schemas-microsoft-com:office:smarttags" w:element="place">
        <w:smartTag w:uri="urn:schemas-microsoft-com:office:smarttags" w:element="country-region">
          <w:r w:rsidRPr="008E3F58">
            <w:rPr>
              <w:color w:val="000000"/>
              <w:lang w:val="en-CA" w:eastAsia="en-CA"/>
            </w:rPr>
            <w:t>Canada</w:t>
          </w:r>
        </w:smartTag>
      </w:smartTag>
      <w:r w:rsidRPr="008E3F58">
        <w:rPr>
          <w:color w:val="000000"/>
          <w:lang w:val="en-CA" w:eastAsia="en-CA"/>
        </w:rPr>
        <w:t>.</w:t>
      </w:r>
    </w:p>
    <w:p w:rsidR="009C44E5" w:rsidRDefault="000D1D35" w:rsidP="00F043A8">
      <w:pPr>
        <w:tabs>
          <w:tab w:val="clear" w:pos="1134"/>
          <w:tab w:val="clear" w:pos="1871"/>
          <w:tab w:val="clear" w:pos="2268"/>
        </w:tabs>
        <w:overflowPunct/>
        <w:ind w:left="720"/>
        <w:textAlignment w:val="auto"/>
        <w:rPr>
          <w:color w:val="0000FF"/>
          <w:lang w:val="en-CA" w:eastAsia="en-CA"/>
        </w:rPr>
      </w:pPr>
      <w:hyperlink r:id="rId11" w:history="1">
        <w:r w:rsidR="009C44E5">
          <w:rPr>
            <w:rStyle w:val="Hyperlink"/>
            <w:lang w:val="en-CA" w:eastAsia="en-CA"/>
          </w:rPr>
          <w:t>http://www.ic.gc.ca/eic/site/smt-gst.nsf/vwapj/cane2009edition-eng.pdf/$FILE/cane2009edition-eng.pdf</w:t>
        </w:r>
      </w:hyperlink>
      <w:r w:rsidR="009C44E5">
        <w:rPr>
          <w:color w:val="000000"/>
          <w:u w:val="single"/>
          <w:lang w:val="en-CA" w:eastAsia="en-CA"/>
        </w:rPr>
        <w:t xml:space="preserve"> (Online)</w:t>
      </w:r>
    </w:p>
    <w:p w:rsidR="009C44E5" w:rsidRPr="008E3F58" w:rsidRDefault="009C44E5" w:rsidP="00F043A8">
      <w:pPr>
        <w:tabs>
          <w:tab w:val="clear" w:pos="1134"/>
          <w:tab w:val="clear" w:pos="1871"/>
          <w:tab w:val="clear" w:pos="2268"/>
        </w:tabs>
        <w:overflowPunct/>
        <w:textAlignment w:val="auto"/>
        <w:rPr>
          <w:color w:val="0000FF"/>
          <w:lang w:val="en-CA" w:eastAsia="en-CA"/>
        </w:rPr>
      </w:pPr>
      <w:r>
        <w:rPr>
          <w:color w:val="000000"/>
          <w:lang w:val="en-CA" w:eastAsia="en-CA"/>
        </w:rPr>
        <w:t>[4]</w:t>
      </w:r>
      <w:r>
        <w:rPr>
          <w:color w:val="000000"/>
          <w:lang w:val="en-CA" w:eastAsia="en-CA"/>
        </w:rPr>
        <w:tab/>
      </w:r>
      <w:r w:rsidRPr="008E3F58">
        <w:rPr>
          <w:color w:val="000000"/>
          <w:lang w:val="en-CA" w:eastAsia="en-CA"/>
        </w:rPr>
        <w:t>(2012, Feb) Solar Influences Data Analysis Centre.</w:t>
      </w:r>
    </w:p>
    <w:p w:rsidR="009C44E5" w:rsidRDefault="000D1D35" w:rsidP="00F043A8">
      <w:pPr>
        <w:tabs>
          <w:tab w:val="clear" w:pos="1134"/>
          <w:tab w:val="clear" w:pos="1871"/>
          <w:tab w:val="clear" w:pos="2268"/>
        </w:tabs>
        <w:overflowPunct/>
        <w:ind w:firstLine="720"/>
        <w:textAlignment w:val="auto"/>
        <w:rPr>
          <w:color w:val="0000FF"/>
          <w:lang w:val="en-CA" w:eastAsia="en-CA"/>
        </w:rPr>
      </w:pPr>
      <w:hyperlink r:id="rId12" w:history="1">
        <w:r w:rsidR="009C44E5" w:rsidRPr="008F3AB8">
          <w:rPr>
            <w:rStyle w:val="Hyperlink"/>
            <w:lang w:val="en-CA" w:eastAsia="en-CA"/>
          </w:rPr>
          <w:t>http://sidc.oma.be/sunspot-data/</w:t>
        </w:r>
      </w:hyperlink>
      <w:r w:rsidR="009C44E5">
        <w:t>(Online)</w:t>
      </w:r>
    </w:p>
    <w:p w:rsidR="009C44E5" w:rsidRPr="008E3F58" w:rsidRDefault="009C44E5" w:rsidP="00F043A8">
      <w:pPr>
        <w:tabs>
          <w:tab w:val="clear" w:pos="1134"/>
          <w:tab w:val="clear" w:pos="1871"/>
          <w:tab w:val="clear" w:pos="2268"/>
        </w:tabs>
        <w:overflowPunct/>
        <w:ind w:left="720" w:hanging="720"/>
        <w:textAlignment w:val="auto"/>
        <w:rPr>
          <w:color w:val="0000FF"/>
          <w:lang w:val="en-CA" w:eastAsia="en-CA"/>
        </w:rPr>
      </w:pPr>
      <w:r>
        <w:rPr>
          <w:lang w:val="en-CA" w:eastAsia="en-CA"/>
        </w:rPr>
        <w:t>[5]</w:t>
      </w:r>
      <w:r>
        <w:rPr>
          <w:lang w:val="en-CA" w:eastAsia="en-CA"/>
        </w:rPr>
        <w:tab/>
      </w:r>
      <w:r w:rsidRPr="008E3F58">
        <w:rPr>
          <w:lang w:val="en-CA" w:eastAsia="en-CA"/>
        </w:rPr>
        <w:t xml:space="preserve">N.F. Wong, G.F. Gott, and L.W. Barclay, </w:t>
      </w:r>
      <w:r>
        <w:rPr>
          <w:lang w:val="en-CA" w:eastAsia="en-CA"/>
        </w:rPr>
        <w:t>“</w:t>
      </w:r>
      <w:r w:rsidRPr="008E3F58">
        <w:rPr>
          <w:lang w:val="en-CA" w:eastAsia="en-CA"/>
        </w:rPr>
        <w:t>HF Spectral occupancy and frequency planning,</w:t>
      </w:r>
      <w:r>
        <w:rPr>
          <w:lang w:val="en-CA" w:eastAsia="en-CA"/>
        </w:rPr>
        <w:t>”</w:t>
      </w:r>
      <w:r w:rsidRPr="008E3F58">
        <w:rPr>
          <w:lang w:val="en-CA" w:eastAsia="en-CA"/>
        </w:rPr>
        <w:t xml:space="preserve"> </w:t>
      </w:r>
      <w:r w:rsidRPr="008E3F58">
        <w:rPr>
          <w:i/>
          <w:iCs/>
          <w:lang w:val="en-CA" w:eastAsia="en-CA"/>
        </w:rPr>
        <w:t xml:space="preserve">IEE Proceedings </w:t>
      </w:r>
      <w:r>
        <w:rPr>
          <w:i/>
          <w:iCs/>
          <w:lang w:val="en-CA" w:eastAsia="en-CA"/>
        </w:rPr>
        <w:t>–</w:t>
      </w:r>
      <w:r w:rsidRPr="008E3F58">
        <w:rPr>
          <w:i/>
          <w:iCs/>
          <w:lang w:val="en-CA" w:eastAsia="en-CA"/>
        </w:rPr>
        <w:t xml:space="preserve"> Communications, radar and signal processing</w:t>
      </w:r>
      <w:r w:rsidRPr="008E3F58">
        <w:rPr>
          <w:lang w:val="en-CA" w:eastAsia="en-CA"/>
        </w:rPr>
        <w:t xml:space="preserve">, vol. 132 Part F, no. 7, </w:t>
      </w:r>
      <w:r>
        <w:rPr>
          <w:lang w:val="en-CA" w:eastAsia="en-CA"/>
        </w:rPr>
        <w:br/>
      </w:r>
      <w:r w:rsidRPr="008E3F58">
        <w:rPr>
          <w:lang w:val="en-CA" w:eastAsia="en-CA"/>
        </w:rPr>
        <w:t>pp. 548-557, December 1985.</w:t>
      </w:r>
    </w:p>
    <w:p w:rsidR="009C44E5" w:rsidRDefault="009C44E5" w:rsidP="00F043A8">
      <w:pPr>
        <w:tabs>
          <w:tab w:val="clear" w:pos="1134"/>
          <w:tab w:val="clear" w:pos="1871"/>
          <w:tab w:val="clear" w:pos="2268"/>
        </w:tabs>
        <w:overflowPunct/>
        <w:ind w:left="720" w:hanging="720"/>
        <w:textAlignment w:val="auto"/>
        <w:rPr>
          <w:lang w:val="en-CA" w:eastAsia="en-CA"/>
        </w:rPr>
      </w:pPr>
      <w:r w:rsidRPr="008E3F58">
        <w:rPr>
          <w:lang w:val="en-CA" w:eastAsia="en-CA"/>
        </w:rPr>
        <w:t>[</w:t>
      </w:r>
      <w:r>
        <w:rPr>
          <w:lang w:val="en-CA" w:eastAsia="en-CA"/>
        </w:rPr>
        <w:t>6]</w:t>
      </w:r>
      <w:r>
        <w:rPr>
          <w:lang w:val="en-CA" w:eastAsia="en-CA"/>
        </w:rPr>
        <w:tab/>
      </w:r>
      <w:r w:rsidRPr="008E3F58">
        <w:rPr>
          <w:lang w:val="en-CA" w:eastAsia="en-CA"/>
        </w:rPr>
        <w:t xml:space="preserve">Roy H. Stehle and George H. Hagn, </w:t>
      </w:r>
      <w:r>
        <w:rPr>
          <w:lang w:val="en-CA" w:eastAsia="en-CA"/>
        </w:rPr>
        <w:t>“</w:t>
      </w:r>
      <w:r w:rsidRPr="008E3F58">
        <w:rPr>
          <w:lang w:val="en-CA" w:eastAsia="en-CA"/>
        </w:rPr>
        <w:t>HF Channel occupancy and band c</w:t>
      </w:r>
      <w:r>
        <w:rPr>
          <w:lang w:val="en-CA" w:eastAsia="en-CA"/>
        </w:rPr>
        <w:t>ongestion: The </w:t>
      </w:r>
      <w:r w:rsidRPr="008E3F58">
        <w:rPr>
          <w:lang w:val="en-CA" w:eastAsia="en-CA"/>
        </w:rPr>
        <w:t>other-user interference problem,</w:t>
      </w:r>
      <w:r>
        <w:rPr>
          <w:lang w:val="en-CA" w:eastAsia="en-CA"/>
        </w:rPr>
        <w:t>”</w:t>
      </w:r>
      <w:r w:rsidRPr="008E3F58">
        <w:rPr>
          <w:lang w:val="en-CA" w:eastAsia="en-CA"/>
        </w:rPr>
        <w:t xml:space="preserve"> </w:t>
      </w:r>
      <w:r w:rsidRPr="008E3F58">
        <w:rPr>
          <w:i/>
          <w:iCs/>
          <w:lang w:val="en-CA" w:eastAsia="en-CA"/>
        </w:rPr>
        <w:t>Radio Science</w:t>
      </w:r>
      <w:r w:rsidRPr="008E3F58">
        <w:rPr>
          <w:lang w:val="en-CA" w:eastAsia="en-CA"/>
        </w:rPr>
        <w:t xml:space="preserve">, vol. 26, no. 4, pp. 959-970, </w:t>
      </w:r>
      <w:r>
        <w:rPr>
          <w:lang w:val="en-CA" w:eastAsia="en-CA"/>
        </w:rPr>
        <w:br/>
      </w:r>
      <w:r w:rsidRPr="008E3F58">
        <w:rPr>
          <w:lang w:val="en-CA" w:eastAsia="en-CA"/>
        </w:rPr>
        <w:t>July-August 1991.</w:t>
      </w:r>
    </w:p>
    <w:p w:rsidR="009C44E5" w:rsidRDefault="009C44E5" w:rsidP="00F043A8">
      <w:pPr>
        <w:pStyle w:val="Headingb"/>
      </w:pPr>
      <w:r w:rsidRPr="002E7DD9">
        <w:t>ITU-R Recommendations</w:t>
      </w:r>
    </w:p>
    <w:p w:rsidR="009C44E5" w:rsidRPr="00FB5CF5" w:rsidRDefault="009C44E5" w:rsidP="00F043A8">
      <w:r>
        <w:t>TBD</w:t>
      </w:r>
    </w:p>
    <w:p w:rsidR="009C44E5" w:rsidRDefault="009C44E5">
      <w:pPr>
        <w:tabs>
          <w:tab w:val="clear" w:pos="1134"/>
          <w:tab w:val="clear" w:pos="1871"/>
          <w:tab w:val="clear" w:pos="2268"/>
        </w:tabs>
        <w:overflowPunct/>
        <w:autoSpaceDE/>
        <w:autoSpaceDN/>
        <w:adjustRightInd/>
        <w:spacing w:before="0"/>
        <w:textAlignment w:val="auto"/>
        <w:rPr>
          <w:b/>
          <w:sz w:val="28"/>
        </w:rPr>
      </w:pPr>
      <w:r>
        <w:br w:type="page"/>
      </w:r>
    </w:p>
    <w:p w:rsidR="009C44E5" w:rsidRPr="002E7DD9" w:rsidRDefault="009C44E5" w:rsidP="00F043A8">
      <w:pPr>
        <w:pStyle w:val="Heading1"/>
      </w:pPr>
      <w:r w:rsidRPr="002E7DD9">
        <w:lastRenderedPageBreak/>
        <w:t>1</w:t>
      </w:r>
      <w:r w:rsidRPr="002E7DD9">
        <w:tab/>
        <w:t>Introduction</w:t>
      </w:r>
    </w:p>
    <w:p w:rsidR="009C44E5" w:rsidRPr="002E7DD9" w:rsidRDefault="009C44E5" w:rsidP="00F043A8">
      <w:pPr>
        <w:tabs>
          <w:tab w:val="clear" w:pos="1134"/>
          <w:tab w:val="clear" w:pos="1871"/>
          <w:tab w:val="clear" w:pos="2268"/>
        </w:tabs>
        <w:overflowPunct/>
        <w:ind w:right="-142"/>
        <w:textAlignment w:val="auto"/>
        <w:rPr>
          <w:lang w:val="en-CA" w:eastAsia="en-CA"/>
        </w:rPr>
      </w:pPr>
      <w:r w:rsidRPr="002E7DD9">
        <w:rPr>
          <w:lang w:val="en-CA" w:eastAsia="en-CA"/>
        </w:rPr>
        <w:t xml:space="preserve">The high frequency (HF) band is the highest frequency band that supports propagation of radio signals via a reflected path incident on the ionosphere. </w:t>
      </w:r>
      <w:r>
        <w:rPr>
          <w:lang w:val="en-CA" w:eastAsia="en-CA"/>
        </w:rPr>
        <w:t xml:space="preserve"> </w:t>
      </w:r>
      <w:r w:rsidRPr="002E7DD9">
        <w:rPr>
          <w:lang w:val="en-CA" w:eastAsia="en-CA"/>
        </w:rPr>
        <w:t xml:space="preserve">This is called ionospheric or sky-wave propagation. </w:t>
      </w:r>
      <w:r>
        <w:rPr>
          <w:lang w:val="en-CA" w:eastAsia="en-CA"/>
        </w:rPr>
        <w:t xml:space="preserve"> </w:t>
      </w:r>
      <w:r w:rsidRPr="002E7DD9">
        <w:rPr>
          <w:lang w:val="en-CA" w:eastAsia="en-CA"/>
        </w:rPr>
        <w:t>Because of this unique</w:t>
      </w:r>
      <w:r>
        <w:rPr>
          <w:lang w:val="en-CA" w:eastAsia="en-CA"/>
        </w:rPr>
        <w:t xml:space="preserve"> characteristic, an important fea</w:t>
      </w:r>
      <w:r w:rsidRPr="002E7DD9">
        <w:rPr>
          <w:lang w:val="en-CA" w:eastAsia="en-CA"/>
        </w:rPr>
        <w:t xml:space="preserve">ture of the HF spectrum is its ability to support long range communications via sky-wave </w:t>
      </w:r>
      <w:r>
        <w:rPr>
          <w:lang w:val="en-CA" w:eastAsia="en-CA"/>
        </w:rPr>
        <w:t>propagation.  However, one </w:t>
      </w:r>
      <w:r w:rsidRPr="002E7DD9">
        <w:rPr>
          <w:lang w:val="en-CA" w:eastAsia="en-CA"/>
        </w:rPr>
        <w:t xml:space="preserve">disadvantage of long range propagation is the likelihood that noise and interference from distant sources may affect a desired communication. </w:t>
      </w:r>
      <w:r>
        <w:rPr>
          <w:lang w:val="en-CA" w:eastAsia="en-CA"/>
        </w:rPr>
        <w:t xml:space="preserve"> </w:t>
      </w:r>
      <w:r w:rsidRPr="002E7DD9">
        <w:rPr>
          <w:lang w:val="en-CA" w:eastAsia="en-CA"/>
        </w:rPr>
        <w:t xml:space="preserve">Therefore, the usability of HF sky-wave communication channels depends on both signal propagation and the absence of excess noise and interference. </w:t>
      </w:r>
      <w:r>
        <w:rPr>
          <w:lang w:val="en-CA" w:eastAsia="en-CA"/>
        </w:rPr>
        <w:t xml:space="preserve"> </w:t>
      </w:r>
      <w:r w:rsidRPr="002E7DD9">
        <w:rPr>
          <w:lang w:val="en-CA" w:eastAsia="en-CA"/>
        </w:rPr>
        <w:t>While propagation conditions have been studied extensively over several dec</w:t>
      </w:r>
      <w:r>
        <w:rPr>
          <w:lang w:val="en-CA" w:eastAsia="en-CA"/>
        </w:rPr>
        <w:t>ades, there are relatively few</w:t>
      </w:r>
      <w:r w:rsidRPr="002E7DD9">
        <w:rPr>
          <w:lang w:val="en-CA" w:eastAsia="en-CA"/>
        </w:rPr>
        <w:t xml:space="preserve"> published </w:t>
      </w:r>
      <w:r>
        <w:rPr>
          <w:lang w:val="en-CA" w:eastAsia="en-CA"/>
        </w:rPr>
        <w:t xml:space="preserve">measurement </w:t>
      </w:r>
      <w:r w:rsidRPr="002E7DD9">
        <w:rPr>
          <w:lang w:val="en-CA" w:eastAsia="en-CA"/>
        </w:rPr>
        <w:t>studies that have looked at noise and interference in the HF band</w:t>
      </w:r>
      <w:r>
        <w:rPr>
          <w:lang w:val="en-CA" w:eastAsia="en-CA"/>
        </w:rPr>
        <w:t xml:space="preserve"> 5 250-5 450 kHz</w:t>
      </w:r>
      <w:r w:rsidRPr="002E7DD9">
        <w:rPr>
          <w:lang w:val="en-CA" w:eastAsia="en-CA"/>
        </w:rPr>
        <w:t>.</w:t>
      </w:r>
    </w:p>
    <w:p w:rsidR="009C44E5" w:rsidRPr="002E7DD9" w:rsidRDefault="009C44E5" w:rsidP="00F043A8">
      <w:r w:rsidRPr="002E7DD9">
        <w:t xml:space="preserve">This Report examines congestion and occupancy statistics in the frequency range 5 250-5 450 kHz to determine how channel availability varies with frequency, hour of the day, </w:t>
      </w:r>
      <w:r>
        <w:t xml:space="preserve">season of the year </w:t>
      </w:r>
      <w:r w:rsidRPr="002E7DD9">
        <w:t xml:space="preserve">and channel bandwidth.  </w:t>
      </w:r>
    </w:p>
    <w:p w:rsidR="009C44E5" w:rsidRPr="002C2318" w:rsidRDefault="009C44E5" w:rsidP="00F043A8">
      <w:pPr>
        <w:pStyle w:val="Heading1"/>
      </w:pPr>
      <w:r>
        <w:t>2</w:t>
      </w:r>
      <w:r w:rsidRPr="002C2318">
        <w:tab/>
        <w:t>Data collection procedures</w:t>
      </w:r>
    </w:p>
    <w:p w:rsidR="009C44E5" w:rsidRPr="002C2318" w:rsidRDefault="009C44E5" w:rsidP="00F043A8">
      <w:pPr>
        <w:rPr>
          <w:lang w:val="en-CA" w:eastAsia="en-CA"/>
        </w:rPr>
      </w:pPr>
      <w:r w:rsidRPr="002C2318">
        <w:rPr>
          <w:lang w:val="en-CA" w:eastAsia="en-CA"/>
        </w:rPr>
        <w:t xml:space="preserve">Measurements were taken </w:t>
      </w:r>
      <w:r>
        <w:rPr>
          <w:lang w:val="en-CA" w:eastAsia="en-CA"/>
        </w:rPr>
        <w:t>near</w:t>
      </w:r>
      <w:r w:rsidRPr="002C2318">
        <w:rPr>
          <w:lang w:val="en-CA" w:eastAsia="en-CA"/>
        </w:rPr>
        <w:t xml:space="preserve"> </w:t>
      </w:r>
      <w:smartTag w:uri="urn:schemas-microsoft-com:office:smarttags" w:element="place">
        <w:smartTag w:uri="urn:schemas-microsoft-com:office:smarttags" w:element="City">
          <w:r w:rsidRPr="002C2318">
            <w:rPr>
              <w:lang w:val="en-CA" w:eastAsia="en-CA"/>
            </w:rPr>
            <w:t>Ottawa</w:t>
          </w:r>
        </w:smartTag>
        <w:r w:rsidRPr="002C2318">
          <w:rPr>
            <w:lang w:val="en-CA" w:eastAsia="en-CA"/>
          </w:rPr>
          <w:t xml:space="preserve">, </w:t>
        </w:r>
        <w:smartTag w:uri="urn:schemas-microsoft-com:office:smarttags" w:element="country-region">
          <w:r w:rsidRPr="002C2318">
            <w:rPr>
              <w:lang w:val="en-CA" w:eastAsia="en-CA"/>
            </w:rPr>
            <w:t>Canada</w:t>
          </w:r>
        </w:smartTag>
      </w:smartTag>
      <w:r w:rsidRPr="002C2318">
        <w:rPr>
          <w:lang w:val="en-CA" w:eastAsia="en-CA"/>
        </w:rPr>
        <w:t xml:space="preserve"> (Lat 45.36N Long 75.88W) using a TCI-613N broadband dipole antenna </w:t>
      </w:r>
      <w:r>
        <w:rPr>
          <w:lang w:val="en-CA" w:eastAsia="en-CA"/>
        </w:rPr>
        <w:t>[1]</w:t>
      </w:r>
      <w:r w:rsidRPr="002C2318">
        <w:rPr>
          <w:lang w:val="en-CA" w:eastAsia="en-CA"/>
        </w:rPr>
        <w:t xml:space="preserve">. </w:t>
      </w:r>
      <w:r>
        <w:rPr>
          <w:lang w:val="en-CA" w:eastAsia="en-CA"/>
        </w:rPr>
        <w:t xml:space="preserve"> </w:t>
      </w:r>
      <w:r w:rsidRPr="002C2318">
        <w:rPr>
          <w:lang w:val="en-CA" w:eastAsia="en-CA"/>
        </w:rPr>
        <w:t xml:space="preserve">The antenna was connected, via a band-pass filter, to a Rohde and Schwarz </w:t>
      </w:r>
      <w:r>
        <w:rPr>
          <w:lang w:val="en-CA" w:eastAsia="en-CA"/>
        </w:rPr>
        <w:t xml:space="preserve">model </w:t>
      </w:r>
      <w:r w:rsidRPr="002C2318">
        <w:rPr>
          <w:lang w:val="en-CA" w:eastAsia="en-CA"/>
        </w:rPr>
        <w:t xml:space="preserve">FSP spectrum analyzer. </w:t>
      </w:r>
      <w:r>
        <w:rPr>
          <w:lang w:val="en-CA" w:eastAsia="en-CA"/>
        </w:rPr>
        <w:t xml:space="preserve"> </w:t>
      </w:r>
      <w:r w:rsidRPr="002C2318">
        <w:rPr>
          <w:lang w:val="en-CA" w:eastAsia="en-CA"/>
        </w:rPr>
        <w:t>The TCI</w:t>
      </w:r>
      <w:r>
        <w:rPr>
          <w:lang w:val="en-CA" w:eastAsia="en-CA"/>
        </w:rPr>
        <w:t>-</w:t>
      </w:r>
      <w:r w:rsidRPr="002C2318">
        <w:rPr>
          <w:lang w:val="en-CA" w:eastAsia="en-CA"/>
        </w:rPr>
        <w:t xml:space="preserve">613N is a passive, horizontally polarized, nearly omni-directional antenna, with nulls at the horizontal elevation angle. </w:t>
      </w:r>
      <w:r>
        <w:rPr>
          <w:lang w:val="en-CA" w:eastAsia="en-CA"/>
        </w:rPr>
        <w:t xml:space="preserve"> </w:t>
      </w:r>
      <w:r w:rsidRPr="002C2318">
        <w:rPr>
          <w:lang w:val="en-CA" w:eastAsia="en-CA"/>
        </w:rPr>
        <w:t xml:space="preserve">At 3.4 MHz the maximum gain is at vertical, with the elevation angle decreasing to 30° as </w:t>
      </w:r>
      <w:r>
        <w:rPr>
          <w:lang w:val="en-CA" w:eastAsia="en-CA"/>
        </w:rPr>
        <w:t>the frequency increases to 13.6 MHz</w:t>
      </w:r>
      <w:r w:rsidRPr="002C2318">
        <w:rPr>
          <w:lang w:val="en-CA" w:eastAsia="en-CA"/>
        </w:rPr>
        <w:t xml:space="preserve">. </w:t>
      </w:r>
      <w:r>
        <w:rPr>
          <w:lang w:val="en-CA" w:eastAsia="en-CA"/>
        </w:rPr>
        <w:t xml:space="preserve"> A </w:t>
      </w:r>
      <w:r w:rsidRPr="002C2318">
        <w:rPr>
          <w:lang w:val="en-CA" w:eastAsia="en-CA"/>
        </w:rPr>
        <w:t>band-pass filter with cut</w:t>
      </w:r>
      <w:r>
        <w:rPr>
          <w:lang w:val="en-CA" w:eastAsia="en-CA"/>
        </w:rPr>
        <w:t>-</w:t>
      </w:r>
      <w:r w:rsidRPr="002C2318">
        <w:rPr>
          <w:lang w:val="en-CA" w:eastAsia="en-CA"/>
        </w:rPr>
        <w:t>off frequencies at 2.5 and 33 MHz and a surge protector were used to protect the input of the spectrum analyzer.</w:t>
      </w:r>
    </w:p>
    <w:p w:rsidR="009C44E5" w:rsidRPr="00741999" w:rsidRDefault="009C44E5" w:rsidP="00EA2D8F">
      <w:pPr>
        <w:rPr>
          <w:lang w:val="en-CA" w:eastAsia="en-CA"/>
        </w:rPr>
      </w:pPr>
      <w:r w:rsidRPr="002C2318">
        <w:rPr>
          <w:lang w:val="en-CA" w:eastAsia="en-CA"/>
        </w:rPr>
        <w:t xml:space="preserve">The </w:t>
      </w:r>
      <w:r>
        <w:rPr>
          <w:lang w:val="en-CA" w:eastAsia="en-CA"/>
        </w:rPr>
        <w:t>spectrum analyzer</w:t>
      </w:r>
      <w:r w:rsidRPr="002C2318">
        <w:rPr>
          <w:lang w:val="en-CA" w:eastAsia="en-CA"/>
        </w:rPr>
        <w:t xml:space="preserve"> scan</w:t>
      </w:r>
      <w:r>
        <w:rPr>
          <w:lang w:val="en-CA" w:eastAsia="en-CA"/>
        </w:rPr>
        <w:t>ned</w:t>
      </w:r>
      <w:r w:rsidRPr="002C2318">
        <w:rPr>
          <w:lang w:val="en-CA" w:eastAsia="en-CA"/>
        </w:rPr>
        <w:t xml:space="preserve"> the spectrum between 3 a</w:t>
      </w:r>
      <w:r>
        <w:rPr>
          <w:lang w:val="en-CA" w:eastAsia="en-CA"/>
        </w:rPr>
        <w:t>nd 30.03 MHz in approximately 2 </w:t>
      </w:r>
      <w:r w:rsidRPr="002C2318">
        <w:rPr>
          <w:lang w:val="en-CA" w:eastAsia="en-CA"/>
        </w:rPr>
        <w:t xml:space="preserve">seconds. </w:t>
      </w:r>
      <w:r w:rsidRPr="00741999">
        <w:rPr>
          <w:lang w:val="en-CA" w:eastAsia="en-CA"/>
        </w:rPr>
        <w:t xml:space="preserve"> A 180 kHz window was moved up the 3-30 MHz range to estimate the noise floor for every range.  The noise after estimation from 180 kHz was converted to a density and then scaled to 1 kHz (Nk, where k is the kth range), to detect the signal power above or below the threshold in a 1 kHz segment of spectrum</w:t>
      </w:r>
      <w:r w:rsidRPr="00741999">
        <w:rPr>
          <w:rFonts w:ascii="Calibri" w:hAnsi="Calibri" w:cs="Calibri"/>
          <w:color w:val="1F497D"/>
          <w:sz w:val="22"/>
          <w:szCs w:val="22"/>
          <w:lang w:val="en-CA"/>
        </w:rPr>
        <w:t>.</w:t>
      </w:r>
      <w:r>
        <w:rPr>
          <w:rFonts w:ascii="Calibri" w:hAnsi="Calibri" w:cs="Calibri"/>
          <w:color w:val="1F497D"/>
          <w:sz w:val="22"/>
          <w:szCs w:val="22"/>
          <w:lang w:val="en-CA"/>
        </w:rPr>
        <w:t xml:space="preserve"> </w:t>
      </w:r>
    </w:p>
    <w:p w:rsidR="009C44E5" w:rsidRDefault="009C44E5" w:rsidP="00F043A8">
      <w:pPr>
        <w:tabs>
          <w:tab w:val="clear" w:pos="1134"/>
          <w:tab w:val="clear" w:pos="1871"/>
          <w:tab w:val="clear" w:pos="2268"/>
        </w:tabs>
        <w:overflowPunct/>
        <w:textAlignment w:val="auto"/>
        <w:rPr>
          <w:lang w:val="en-CA" w:eastAsia="en-CA"/>
        </w:rPr>
      </w:pPr>
      <w:r>
        <w:rPr>
          <w:lang w:val="en-CA" w:eastAsia="en-CA"/>
        </w:rPr>
        <w:t>U</w:t>
      </w:r>
      <w:r w:rsidRPr="00741999">
        <w:rPr>
          <w:lang w:val="en-CA" w:eastAsia="en-CA"/>
        </w:rPr>
        <w:t>sing a sampling period of 8.533 ms for an FFT based spectrum analyzer the frequency resolution (bin size) was 122.7 Hz.  The power for 1 kHz channels was calculated by combining the power observed in nine or ten contiguous bins so as to make up 1 kHz.  If the combined power exceeded 10 dB above N</w:t>
      </w:r>
      <w:r w:rsidRPr="00741999">
        <w:rPr>
          <w:vertAlign w:val="subscript"/>
          <w:lang w:val="en-CA" w:eastAsia="en-CA"/>
        </w:rPr>
        <w:t>k</w:t>
      </w:r>
      <w:r>
        <w:rPr>
          <w:vertAlign w:val="subscript"/>
          <w:lang w:val="en-CA" w:eastAsia="en-CA"/>
        </w:rPr>
        <w:t>,</w:t>
      </w:r>
      <w:r w:rsidRPr="00741999">
        <w:rPr>
          <w:lang w:val="en-CA" w:eastAsia="en-CA"/>
        </w:rPr>
        <w:t xml:space="preserve"> then the 1 kHz channel was considered occupied.</w:t>
      </w:r>
    </w:p>
    <w:p w:rsidR="009C44E5" w:rsidRDefault="009C44E5" w:rsidP="00F043A8">
      <w:pPr>
        <w:tabs>
          <w:tab w:val="clear" w:pos="1134"/>
          <w:tab w:val="clear" w:pos="1871"/>
          <w:tab w:val="clear" w:pos="2268"/>
        </w:tabs>
        <w:overflowPunct/>
        <w:textAlignment w:val="auto"/>
        <w:rPr>
          <w:lang w:val="en-CA" w:eastAsia="en-CA"/>
        </w:rPr>
      </w:pPr>
      <w:r w:rsidRPr="00741999">
        <w:rPr>
          <w:lang w:val="en-CA" w:eastAsia="en-CA"/>
        </w:rPr>
        <w:t xml:space="preserve">During the month of August 2011 measurements were taken for approximately 20 minutes each hour resulting in approximately 600 sample traces.  In November 2011 measurements were collected for periods of approximately 10 minutes resulting in approximately 300 sample traces each hour.  In August, between 22 and 28 days of data were collected depending on the hour, and between 25 and 27 days of data were collected in November. </w:t>
      </w:r>
      <w:r>
        <w:rPr>
          <w:lang w:val="en-CA" w:eastAsia="en-CA"/>
        </w:rPr>
        <w:t xml:space="preserve"> </w:t>
      </w:r>
      <w:r w:rsidRPr="00741999">
        <w:rPr>
          <w:lang w:val="en-CA" w:eastAsia="en-CA"/>
        </w:rPr>
        <w:t xml:space="preserve">This measurement database is held at the Communications Research Centre Canada (CRC), in </w:t>
      </w:r>
      <w:smartTag w:uri="urn:schemas-microsoft-com:office:smarttags" w:element="place">
        <w:smartTag w:uri="urn:schemas-microsoft-com:office:smarttags" w:element="City">
          <w:r w:rsidRPr="00741999">
            <w:rPr>
              <w:lang w:val="en-CA" w:eastAsia="en-CA"/>
            </w:rPr>
            <w:t>Ottawa</w:t>
          </w:r>
        </w:smartTag>
      </w:smartTag>
      <w:r w:rsidRPr="00741999">
        <w:rPr>
          <w:lang w:val="en-CA" w:eastAsia="en-CA"/>
        </w:rPr>
        <w:t>.</w:t>
      </w:r>
    </w:p>
    <w:p w:rsidR="009C44E5" w:rsidRPr="007F6716" w:rsidRDefault="009C44E5" w:rsidP="00EA2D8F">
      <w:pPr>
        <w:tabs>
          <w:tab w:val="clear" w:pos="1134"/>
          <w:tab w:val="clear" w:pos="1871"/>
          <w:tab w:val="clear" w:pos="2268"/>
        </w:tabs>
        <w:overflowPunct/>
        <w:textAlignment w:val="auto"/>
        <w:rPr>
          <w:i/>
          <w:iCs/>
          <w:lang w:val="en-CA" w:eastAsia="en-CA"/>
        </w:rPr>
      </w:pPr>
      <w:r w:rsidRPr="007F6716">
        <w:rPr>
          <w:i/>
          <w:iCs/>
          <w:lang w:val="en-CA" w:eastAsia="en-CA"/>
        </w:rPr>
        <w:t xml:space="preserve">(Editors Note: </w:t>
      </w:r>
      <w:smartTag w:uri="urn:schemas-microsoft-com:office:smarttags" w:element="place">
        <w:smartTag w:uri="urn:schemas-microsoft-com:office:smarttags" w:element="country-region">
          <w:r w:rsidRPr="007F6716">
            <w:rPr>
              <w:i/>
              <w:iCs/>
              <w:lang w:val="en-CA" w:eastAsia="en-CA"/>
            </w:rPr>
            <w:t>Canada</w:t>
          </w:r>
        </w:smartTag>
      </w:smartTag>
      <w:r w:rsidRPr="007F6716">
        <w:rPr>
          <w:i/>
          <w:iCs/>
          <w:lang w:val="en-CA" w:eastAsia="en-CA"/>
        </w:rPr>
        <w:t xml:space="preserve"> will provide further information on the January 2012 observations)  </w:t>
      </w:r>
    </w:p>
    <w:p w:rsidR="009C44E5" w:rsidRDefault="009C44E5" w:rsidP="00F043A8">
      <w:pPr>
        <w:pStyle w:val="Heading1"/>
        <w:ind w:left="0" w:firstLine="0"/>
      </w:pPr>
      <w:r>
        <w:t>3</w:t>
      </w:r>
      <w:r w:rsidRPr="00094C6F">
        <w:tab/>
        <w:t>Observations</w:t>
      </w:r>
    </w:p>
    <w:p w:rsidR="009C44E5" w:rsidRDefault="009C44E5" w:rsidP="00F043A8">
      <w:pPr>
        <w:rPr>
          <w:lang w:val="en-CA" w:eastAsia="en-CA"/>
        </w:rPr>
      </w:pPr>
      <w:r w:rsidRPr="00094C6F">
        <w:rPr>
          <w:lang w:val="en-CA" w:eastAsia="en-CA"/>
        </w:rPr>
        <w:t>Congestion rates were computed for each hour and then averaged across four hour</w:t>
      </w:r>
      <w:r>
        <w:rPr>
          <w:lang w:val="en-CA" w:eastAsia="en-CA"/>
        </w:rPr>
        <w:t>-</w:t>
      </w:r>
      <w:r w:rsidRPr="00094C6F">
        <w:rPr>
          <w:lang w:val="en-CA" w:eastAsia="en-CA"/>
        </w:rPr>
        <w:t xml:space="preserve">time blocks. </w:t>
      </w:r>
      <w:r>
        <w:rPr>
          <w:lang w:val="en-CA" w:eastAsia="en-CA"/>
        </w:rPr>
        <w:t xml:space="preserve"> </w:t>
      </w:r>
      <w:r w:rsidRPr="00094C6F">
        <w:rPr>
          <w:lang w:val="en-CA" w:eastAsia="en-CA"/>
        </w:rPr>
        <w:t xml:space="preserve">Hourly figures for </w:t>
      </w:r>
      <w:r>
        <w:rPr>
          <w:lang w:val="en-CA" w:eastAsia="en-CA"/>
        </w:rPr>
        <w:t>each month are presented in Table 1</w:t>
      </w:r>
      <w:r w:rsidRPr="00094C6F">
        <w:rPr>
          <w:lang w:val="en-CA" w:eastAsia="en-CA"/>
        </w:rPr>
        <w:t>.</w:t>
      </w:r>
    </w:p>
    <w:p w:rsidR="009C44E5" w:rsidRPr="007D7E82" w:rsidRDefault="009C44E5" w:rsidP="007F6716">
      <w:pPr>
        <w:rPr>
          <w:lang w:val="en-CA" w:eastAsia="en-CA"/>
        </w:rPr>
      </w:pPr>
      <w:r w:rsidRPr="00094C6F">
        <w:rPr>
          <w:lang w:val="en-CA" w:eastAsia="en-CA"/>
        </w:rPr>
        <w:t xml:space="preserve">Hourly and seasonal trends variations are apparent in the congestion statistics, which correlate to the diurnal cycles and variation in the hours of daylight. </w:t>
      </w:r>
      <w:r>
        <w:rPr>
          <w:lang w:val="en-CA" w:eastAsia="en-CA"/>
        </w:rPr>
        <w:t xml:space="preserve"> </w:t>
      </w:r>
      <w:r w:rsidRPr="00094C6F">
        <w:rPr>
          <w:lang w:val="en-CA" w:eastAsia="en-CA"/>
        </w:rPr>
        <w:t xml:space="preserve">In </w:t>
      </w:r>
      <w:smartTag w:uri="urn:schemas-microsoft-com:office:smarttags" w:element="place">
        <w:smartTag w:uri="urn:schemas-microsoft-com:office:smarttags" w:element="City">
          <w:r w:rsidRPr="00094C6F">
            <w:rPr>
              <w:lang w:val="en-CA" w:eastAsia="en-CA"/>
            </w:rPr>
            <w:t>Ottawa</w:t>
          </w:r>
        </w:smartTag>
      </w:smartTag>
      <w:r w:rsidRPr="00094C6F">
        <w:rPr>
          <w:lang w:val="en-CA" w:eastAsia="en-CA"/>
        </w:rPr>
        <w:t>, during the month of August</w:t>
      </w:r>
      <w:r>
        <w:rPr>
          <w:lang w:val="en-CA" w:eastAsia="en-CA"/>
        </w:rPr>
        <w:t> 2011</w:t>
      </w:r>
      <w:r w:rsidRPr="00094C6F">
        <w:rPr>
          <w:lang w:val="en-CA" w:eastAsia="en-CA"/>
        </w:rPr>
        <w:t xml:space="preserve">, sunrise ranges from </w:t>
      </w:r>
      <w:r>
        <w:rPr>
          <w:lang w:val="en-CA" w:eastAsia="en-CA"/>
        </w:rPr>
        <w:t>0</w:t>
      </w:r>
      <w:r w:rsidRPr="00094C6F">
        <w:rPr>
          <w:lang w:val="en-CA" w:eastAsia="en-CA"/>
        </w:rPr>
        <w:t xml:space="preserve">9:47 to 10:23 UTC and sunset from </w:t>
      </w:r>
      <w:r>
        <w:rPr>
          <w:lang w:val="en-CA" w:eastAsia="en-CA"/>
        </w:rPr>
        <w:t>0</w:t>
      </w:r>
      <w:r w:rsidRPr="00094C6F">
        <w:rPr>
          <w:lang w:val="en-CA" w:eastAsia="en-CA"/>
        </w:rPr>
        <w:t xml:space="preserve">0:31 to 23:43 UTC. </w:t>
      </w:r>
      <w:r>
        <w:rPr>
          <w:lang w:val="en-CA" w:eastAsia="en-CA"/>
        </w:rPr>
        <w:t xml:space="preserve"> </w:t>
      </w:r>
      <w:smartTag w:uri="urn:schemas-microsoft-com:office:smarttags" w:element="place">
        <w:smartTag w:uri="urn:schemas-microsoft-com:office:smarttags" w:element="City">
          <w:r w:rsidRPr="00094C6F">
            <w:rPr>
              <w:lang w:val="en-CA" w:eastAsia="en-CA"/>
            </w:rPr>
            <w:t>Sunrise</w:t>
          </w:r>
        </w:smartTag>
      </w:smartTag>
      <w:r>
        <w:rPr>
          <w:lang w:val="en-CA" w:eastAsia="en-CA"/>
        </w:rPr>
        <w:t> </w:t>
      </w:r>
      <w:r w:rsidRPr="00094C6F">
        <w:rPr>
          <w:lang w:val="en-CA" w:eastAsia="en-CA"/>
        </w:rPr>
        <w:t>in November</w:t>
      </w:r>
      <w:r>
        <w:rPr>
          <w:lang w:val="en-CA" w:eastAsia="en-CA"/>
        </w:rPr>
        <w:t> 2011</w:t>
      </w:r>
      <w:r w:rsidRPr="00094C6F">
        <w:rPr>
          <w:lang w:val="en-CA" w:eastAsia="en-CA"/>
        </w:rPr>
        <w:t xml:space="preserve"> ranges from 11:42 to 12:21 UTC, and sunset ranges from 21:50 to </w:t>
      </w:r>
      <w:r>
        <w:rPr>
          <w:lang w:val="en-CA" w:eastAsia="en-CA"/>
        </w:rPr>
        <w:br/>
      </w:r>
      <w:r w:rsidRPr="00094C6F">
        <w:rPr>
          <w:lang w:val="en-CA" w:eastAsia="en-CA"/>
        </w:rPr>
        <w:lastRenderedPageBreak/>
        <w:t>21:22 UTC.</w:t>
      </w:r>
      <w:r>
        <w:rPr>
          <w:lang w:val="en-CA" w:eastAsia="en-CA"/>
        </w:rPr>
        <w:t xml:space="preserve"> </w:t>
      </w:r>
      <w:smartTag w:uri="urn:schemas-microsoft-com:office:smarttags" w:element="place">
        <w:smartTag w:uri="urn:schemas-microsoft-com:office:smarttags" w:element="City">
          <w:r w:rsidRPr="00094C6F">
            <w:rPr>
              <w:lang w:val="en-CA" w:eastAsia="en-CA"/>
            </w:rPr>
            <w:t>Sunrise</w:t>
          </w:r>
        </w:smartTag>
      </w:smartTag>
      <w:r w:rsidRPr="00094C6F">
        <w:rPr>
          <w:lang w:val="en-CA" w:eastAsia="en-CA"/>
        </w:rPr>
        <w:t xml:space="preserve"> in </w:t>
      </w:r>
      <w:r>
        <w:rPr>
          <w:lang w:val="en-CA" w:eastAsia="en-CA"/>
        </w:rPr>
        <w:t>January 2012 ranges from 12:43</w:t>
      </w:r>
      <w:r w:rsidRPr="00094C6F">
        <w:rPr>
          <w:lang w:val="en-CA" w:eastAsia="en-CA"/>
        </w:rPr>
        <w:t xml:space="preserve"> to 12:2</w:t>
      </w:r>
      <w:r>
        <w:rPr>
          <w:lang w:val="en-CA" w:eastAsia="en-CA"/>
        </w:rPr>
        <w:t>6 UTC, and sunset ranges from 22:</w:t>
      </w:r>
      <w:r w:rsidRPr="00094C6F">
        <w:rPr>
          <w:lang w:val="en-CA" w:eastAsia="en-CA"/>
        </w:rPr>
        <w:t>0</w:t>
      </w:r>
      <w:r>
        <w:rPr>
          <w:lang w:val="en-CA" w:eastAsia="en-CA"/>
        </w:rPr>
        <w:t>3 to 22:06</w:t>
      </w:r>
      <w:r w:rsidRPr="00094C6F">
        <w:rPr>
          <w:lang w:val="en-CA" w:eastAsia="en-CA"/>
        </w:rPr>
        <w:t xml:space="preserve"> UTC. </w:t>
      </w:r>
      <w:r>
        <w:rPr>
          <w:lang w:val="en-CA" w:eastAsia="en-CA"/>
        </w:rPr>
        <w:t xml:space="preserve"> </w:t>
      </w:r>
      <w:r w:rsidRPr="00094C6F">
        <w:rPr>
          <w:lang w:val="en-CA" w:eastAsia="en-CA"/>
        </w:rPr>
        <w:t xml:space="preserve">Observed sunspot numbers for August </w:t>
      </w:r>
      <w:r>
        <w:rPr>
          <w:lang w:val="en-CA" w:eastAsia="en-CA"/>
        </w:rPr>
        <w:t>2011,</w:t>
      </w:r>
      <w:r w:rsidRPr="00094C6F">
        <w:rPr>
          <w:lang w:val="en-CA" w:eastAsia="en-CA"/>
        </w:rPr>
        <w:t xml:space="preserve"> November </w:t>
      </w:r>
      <w:r>
        <w:rPr>
          <w:lang w:val="en-CA" w:eastAsia="en-CA"/>
        </w:rPr>
        <w:t xml:space="preserve">2011 and January 2012 </w:t>
      </w:r>
      <w:r w:rsidRPr="00094C6F">
        <w:rPr>
          <w:lang w:val="en-CA" w:eastAsia="en-CA"/>
        </w:rPr>
        <w:t xml:space="preserve">were 42.4, 66.1 </w:t>
      </w:r>
      <w:r>
        <w:rPr>
          <w:lang w:val="en-CA" w:eastAsia="en-CA"/>
        </w:rPr>
        <w:t xml:space="preserve">and 24.7 </w:t>
      </w:r>
      <w:r w:rsidRPr="007D7E82">
        <w:rPr>
          <w:lang w:val="en-CA" w:eastAsia="en-CA"/>
        </w:rPr>
        <w:t>respectively [4].</w:t>
      </w:r>
      <w:r>
        <w:rPr>
          <w:lang w:val="en-CA" w:eastAsia="en-CA"/>
        </w:rPr>
        <w:t xml:space="preserve">  </w:t>
      </w:r>
      <w:r w:rsidRPr="009418B7">
        <w:rPr>
          <w:lang w:val="en-CA" w:eastAsia="en-CA"/>
        </w:rPr>
        <w:t>The monthly mean Solar Flux Index (SFI)</w:t>
      </w:r>
      <w:r>
        <w:rPr>
          <w:rStyle w:val="FootnoteReference"/>
          <w:lang w:val="en-CA" w:eastAsia="en-CA"/>
        </w:rPr>
        <w:footnoteReference w:id="3"/>
      </w:r>
      <w:r w:rsidRPr="009418B7">
        <w:rPr>
          <w:lang w:val="en-CA" w:eastAsia="en-CA"/>
        </w:rPr>
        <w:t xml:space="preserve"> based on the Dominion Astrophysical Observatory (</w:t>
      </w:r>
      <w:smartTag w:uri="urn:schemas-microsoft-com:office:smarttags" w:element="place">
        <w:smartTag w:uri="urn:schemas-microsoft-com:office:smarttags" w:element="City">
          <w:r w:rsidRPr="009418B7">
            <w:rPr>
              <w:lang w:val="en-CA" w:eastAsia="en-CA"/>
            </w:rPr>
            <w:t>Penticton</w:t>
          </w:r>
        </w:smartTag>
      </w:smartTag>
      <w:r w:rsidRPr="009418B7">
        <w:rPr>
          <w:lang w:val="en-CA" w:eastAsia="en-CA"/>
        </w:rPr>
        <w:t>) observed 2800 MHz values were 101.7 for August 2011, 153.1 for November 2011 and 133.1 for January 2012. A solar event was reported for 05 August 2011; however, there was no observed impact on radio propagation</w:t>
      </w:r>
      <w:r>
        <w:rPr>
          <w:lang w:val="en-CA" w:eastAsia="en-CA"/>
        </w:rPr>
        <w:t>.</w:t>
      </w:r>
    </w:p>
    <w:p w:rsidR="009C44E5" w:rsidRDefault="009C44E5" w:rsidP="00F043A8">
      <w:pPr>
        <w:pStyle w:val="TableNo"/>
      </w:pPr>
      <w:r w:rsidRPr="004B5656">
        <w:t>Table</w:t>
      </w:r>
      <w:r>
        <w:t xml:space="preserve"> 1</w:t>
      </w:r>
    </w:p>
    <w:p w:rsidR="009C44E5" w:rsidRDefault="009C44E5" w:rsidP="00F043A8">
      <w:pPr>
        <w:pStyle w:val="Tabletitle"/>
      </w:pPr>
      <w:r w:rsidRPr="004B5656">
        <w:t>Congestion</w:t>
      </w:r>
      <w:r>
        <w:t xml:space="preserve"> for 1 kHz channel bandwidth</w:t>
      </w:r>
      <w:r>
        <w:br/>
        <w:t>within the frequency range 5 250-5 450 MHz</w:t>
      </w:r>
    </w:p>
    <w:p w:rsidR="009C44E5" w:rsidRPr="009418B7" w:rsidRDefault="009C44E5" w:rsidP="00F043A8">
      <w:pPr>
        <w:pStyle w:val="Tabletext"/>
      </w:pPr>
      <w:r w:rsidRPr="009418B7">
        <w:t>Local time at Ottawa ON in August 2011 was UTC minus 4 hours (EDT)  and in January 2012 was UTC minus</w:t>
      </w:r>
    </w:p>
    <w:p w:rsidR="009C44E5" w:rsidRPr="009418B7" w:rsidRDefault="009C44E5" w:rsidP="00F043A8">
      <w:pPr>
        <w:pStyle w:val="Tabletext"/>
      </w:pPr>
      <w:r w:rsidRPr="009418B7">
        <w:t>5 hours (EST). In November 2011 local time was UTC minus 4 hours up to and including 05 November and UTC</w:t>
      </w:r>
    </w:p>
    <w:p w:rsidR="009C44E5" w:rsidRPr="009418B7" w:rsidRDefault="009C44E5" w:rsidP="00F043A8">
      <w:pPr>
        <w:pStyle w:val="Tabletext"/>
      </w:pPr>
      <w:r w:rsidRPr="009418B7">
        <w:t>minus 5 hours from 6 to 30 November.</w:t>
      </w:r>
    </w:p>
    <w:p w:rsidR="009C44E5" w:rsidRPr="009418B7" w:rsidRDefault="009C44E5" w:rsidP="00F043A8">
      <w:pPr>
        <w:pStyle w:val="Tabletext"/>
      </w:pPr>
    </w:p>
    <w:p w:rsidR="009C44E5" w:rsidRPr="007F6716" w:rsidRDefault="009C44E5" w:rsidP="007F6716">
      <w:pPr>
        <w:tabs>
          <w:tab w:val="clear" w:pos="1134"/>
          <w:tab w:val="clear" w:pos="1871"/>
          <w:tab w:val="clear" w:pos="2268"/>
        </w:tabs>
        <w:overflowPunct/>
        <w:autoSpaceDE/>
        <w:autoSpaceDN/>
        <w:adjustRightInd/>
        <w:spacing w:before="0"/>
        <w:textAlignment w:val="auto"/>
      </w:pPr>
      <w:r w:rsidRPr="009418B7">
        <w:rPr>
          <w:sz w:val="20"/>
        </w:rPr>
        <w:t>Note: Time blocks cover four-hour periods, e.g., 0-3 covers 00:00 to 03:59 UTC</w:t>
      </w:r>
      <w:r w:rsidRPr="009418B7">
        <w:t>.</w:t>
      </w:r>
    </w:p>
    <w:p w:rsidR="009C44E5" w:rsidRDefault="00570ECB" w:rsidP="007F6716">
      <w:pPr>
        <w:pStyle w:val="Figure"/>
        <w:rPr>
          <w:noProof/>
          <w:lang w:val="en-CA" w:eastAsia="en-CA"/>
        </w:rPr>
      </w:pPr>
      <w:r>
        <w:rPr>
          <w:noProof/>
          <w:lang w:val="en-US" w:eastAsia="zh-CN"/>
        </w:rPr>
        <w:drawing>
          <wp:inline distT="0" distB="0" distL="0" distR="0">
            <wp:extent cx="6086475" cy="1971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1971675"/>
                    </a:xfrm>
                    <a:prstGeom prst="rect">
                      <a:avLst/>
                    </a:prstGeom>
                    <a:noFill/>
                    <a:ln>
                      <a:noFill/>
                    </a:ln>
                  </pic:spPr>
                </pic:pic>
              </a:graphicData>
            </a:graphic>
          </wp:inline>
        </w:drawing>
      </w:r>
    </w:p>
    <w:p w:rsidR="009C44E5" w:rsidRDefault="009C44E5" w:rsidP="00F043A8">
      <w:pPr>
        <w:tabs>
          <w:tab w:val="clear" w:pos="1134"/>
          <w:tab w:val="clear" w:pos="1871"/>
          <w:tab w:val="clear" w:pos="2268"/>
        </w:tabs>
        <w:overflowPunct/>
        <w:spacing w:before="0"/>
        <w:textAlignment w:val="auto"/>
        <w:rPr>
          <w:lang w:val="en-CA" w:eastAsia="en-CA"/>
        </w:rPr>
      </w:pPr>
    </w:p>
    <w:p w:rsidR="009C44E5" w:rsidRDefault="009C44E5" w:rsidP="00F043A8">
      <w:pPr>
        <w:tabs>
          <w:tab w:val="clear" w:pos="1134"/>
          <w:tab w:val="clear" w:pos="1871"/>
          <w:tab w:val="clear" w:pos="2268"/>
        </w:tabs>
        <w:overflowPunct/>
        <w:autoSpaceDE/>
        <w:autoSpaceDN/>
        <w:adjustRightInd/>
        <w:spacing w:before="0"/>
        <w:textAlignment w:val="auto"/>
        <w:rPr>
          <w:lang w:val="en-CA" w:eastAsia="en-CA"/>
        </w:rPr>
      </w:pPr>
      <w:r>
        <w:rPr>
          <w:lang w:val="en-CA" w:eastAsia="en-CA"/>
        </w:rPr>
        <w:t>T</w:t>
      </w:r>
      <w:r w:rsidRPr="00094C6F">
        <w:rPr>
          <w:lang w:val="en-CA" w:eastAsia="en-CA"/>
        </w:rPr>
        <w:t xml:space="preserve">here is a trend toward moderately higher congestion rates in November </w:t>
      </w:r>
      <w:r>
        <w:rPr>
          <w:lang w:val="en-CA" w:eastAsia="en-CA"/>
        </w:rPr>
        <w:t xml:space="preserve">2011 </w:t>
      </w:r>
      <w:r w:rsidRPr="00094C6F">
        <w:rPr>
          <w:lang w:val="en-CA" w:eastAsia="en-CA"/>
        </w:rPr>
        <w:t>as compared to August</w:t>
      </w:r>
      <w:r>
        <w:rPr>
          <w:lang w:val="en-CA" w:eastAsia="en-CA"/>
        </w:rPr>
        <w:t xml:space="preserve"> 2011</w:t>
      </w:r>
      <w:r w:rsidRPr="00094C6F">
        <w:rPr>
          <w:lang w:val="en-CA" w:eastAsia="en-CA"/>
        </w:rPr>
        <w:t xml:space="preserve">. </w:t>
      </w:r>
      <w:r>
        <w:rPr>
          <w:lang w:val="en-CA" w:eastAsia="en-CA"/>
        </w:rPr>
        <w:t xml:space="preserve"> </w:t>
      </w:r>
      <w:r w:rsidRPr="00094C6F">
        <w:rPr>
          <w:lang w:val="en-CA" w:eastAsia="en-CA"/>
        </w:rPr>
        <w:t>The congested periods are longer in duration, which is consistent with the shorter daylight hours when D layer absorption limits propagation in these bands.</w:t>
      </w:r>
    </w:p>
    <w:p w:rsidR="009C44E5" w:rsidRPr="00094C6F" w:rsidRDefault="009C44E5" w:rsidP="00F043A8">
      <w:pPr>
        <w:tabs>
          <w:tab w:val="clear" w:pos="1134"/>
          <w:tab w:val="clear" w:pos="1871"/>
          <w:tab w:val="clear" w:pos="2268"/>
        </w:tabs>
        <w:overflowPunct/>
        <w:textAlignment w:val="auto"/>
        <w:rPr>
          <w:lang w:val="en-CA" w:eastAsia="en-CA"/>
        </w:rPr>
      </w:pPr>
      <w:r w:rsidRPr="00094C6F">
        <w:rPr>
          <w:lang w:val="en-CA" w:eastAsia="en-CA"/>
        </w:rPr>
        <w:t xml:space="preserve">The “busy hour” was also computed and is </w:t>
      </w:r>
      <w:r>
        <w:rPr>
          <w:lang w:val="en-CA" w:eastAsia="en-CA"/>
        </w:rPr>
        <w:t>included in Table 1</w:t>
      </w:r>
      <w:r w:rsidRPr="00094C6F">
        <w:rPr>
          <w:lang w:val="en-CA" w:eastAsia="en-CA"/>
        </w:rPr>
        <w:t xml:space="preserve">. </w:t>
      </w:r>
      <w:r w:rsidRPr="00822BDA">
        <w:rPr>
          <w:lang w:val="en-CA" w:eastAsia="en-CA"/>
        </w:rPr>
        <w:t xml:space="preserve">The fact that frequencies are most congested in the early evening hours may be related to time of use patterns, and/or changing propagation conditions allowing long range propagation of signals from other parts of the globe.  </w:t>
      </w:r>
      <w:r w:rsidRPr="009418B7">
        <w:rPr>
          <w:lang w:val="en-CA" w:eastAsia="en-CA"/>
        </w:rPr>
        <w:t>An analysis of coverage contours using the VOACAP Propagation Prediction tool suggests that likely sources of observed</w:t>
      </w:r>
      <w:r>
        <w:rPr>
          <w:lang w:val="en-CA" w:eastAsia="en-CA"/>
        </w:rPr>
        <w:t xml:space="preserve"> </w:t>
      </w:r>
      <w:r w:rsidRPr="00822BDA">
        <w:rPr>
          <w:lang w:val="en-CA" w:eastAsia="en-CA"/>
        </w:rPr>
        <w:t>signals at this frequency range are Western Europe, North and Central America.</w:t>
      </w:r>
    </w:p>
    <w:p w:rsidR="009C44E5" w:rsidRDefault="009C44E5" w:rsidP="00F043A8">
      <w:pPr>
        <w:tabs>
          <w:tab w:val="clear" w:pos="1134"/>
          <w:tab w:val="clear" w:pos="1871"/>
          <w:tab w:val="clear" w:pos="2268"/>
        </w:tabs>
        <w:overflowPunct/>
        <w:textAlignment w:val="auto"/>
        <w:rPr>
          <w:szCs w:val="24"/>
          <w:lang w:val="en-CA" w:eastAsia="en-CA"/>
        </w:rPr>
      </w:pPr>
      <w:r w:rsidRPr="00BB356D">
        <w:rPr>
          <w:szCs w:val="24"/>
          <w:lang w:val="en-CA" w:eastAsia="en-CA"/>
        </w:rPr>
        <w:t xml:space="preserve">An objective of this study is to determine the availability of </w:t>
      </w:r>
      <w:r w:rsidRPr="00850EC0">
        <w:rPr>
          <w:szCs w:val="24"/>
          <w:lang w:val="en-CA" w:eastAsia="en-CA"/>
        </w:rPr>
        <w:t xml:space="preserve">a sequence of adjacent channels in the frequency band 5 250-5 450 kHz  that can support </w:t>
      </w:r>
      <w:r w:rsidRPr="009418B7">
        <w:rPr>
          <w:szCs w:val="24"/>
          <w:lang w:val="en-US" w:eastAsia="zh-CN"/>
        </w:rPr>
        <w:t>available bandwidth for transmission</w:t>
      </w:r>
      <w:r w:rsidRPr="009418B7">
        <w:rPr>
          <w:szCs w:val="24"/>
          <w:lang w:val="en-CA" w:eastAsia="en-CA"/>
        </w:rPr>
        <w:t xml:space="preserve"> of </w:t>
      </w:r>
      <w:r>
        <w:rPr>
          <w:szCs w:val="24"/>
          <w:lang w:val="en-CA" w:eastAsia="en-CA"/>
        </w:rPr>
        <w:t>up to 24 </w:t>
      </w:r>
      <w:r w:rsidRPr="00850EC0">
        <w:rPr>
          <w:szCs w:val="24"/>
          <w:lang w:val="en-CA" w:eastAsia="en-CA"/>
        </w:rPr>
        <w:t xml:space="preserve">kHz bandwidth.  Table 2 displays percentages which represent the number of observed unoccupied channels in fixed and land mobile allocations in the 5 000-6 000 kHz frequency range, divided by the total number of channels that the frequency range could support assuming no guard </w:t>
      </w:r>
      <w:r>
        <w:rPr>
          <w:szCs w:val="24"/>
          <w:lang w:val="en-CA" w:eastAsia="en-CA"/>
        </w:rPr>
        <w:br w:type="page"/>
      </w:r>
    </w:p>
    <w:p w:rsidR="009C44E5" w:rsidRPr="00DD6170" w:rsidRDefault="009C44E5" w:rsidP="00F043A8">
      <w:pPr>
        <w:tabs>
          <w:tab w:val="clear" w:pos="1134"/>
          <w:tab w:val="clear" w:pos="1871"/>
          <w:tab w:val="clear" w:pos="2268"/>
        </w:tabs>
        <w:overflowPunct/>
        <w:textAlignment w:val="auto"/>
        <w:rPr>
          <w:szCs w:val="24"/>
          <w:lang w:val="en-CA" w:eastAsia="en-CA"/>
        </w:rPr>
      </w:pPr>
      <w:r w:rsidRPr="00850EC0">
        <w:rPr>
          <w:szCs w:val="24"/>
          <w:lang w:val="en-CA" w:eastAsia="en-CA"/>
        </w:rPr>
        <w:lastRenderedPageBreak/>
        <w:t>space between channels.  An “unoccupied channel” is defined for this study as a 1 kHz channel where the measured occupancy rate is less than 5%, nine days out of ten.  Available 3 kHz, 12 kHz, and 24</w:t>
      </w:r>
      <w:r>
        <w:rPr>
          <w:szCs w:val="24"/>
          <w:lang w:val="en-CA" w:eastAsia="en-CA"/>
        </w:rPr>
        <w:t> </w:t>
      </w:r>
      <w:r w:rsidRPr="00850EC0">
        <w:rPr>
          <w:szCs w:val="24"/>
          <w:lang w:val="en-CA" w:eastAsia="en-CA"/>
        </w:rPr>
        <w:t>kHz channels are determined by contiguous spans of 1 kHz channels that meet this “unoccupied channel” criteria.</w:t>
      </w:r>
    </w:p>
    <w:p w:rsidR="009C44E5" w:rsidRDefault="009C44E5" w:rsidP="00F043A8">
      <w:pPr>
        <w:pStyle w:val="TableNo"/>
      </w:pPr>
      <w:r>
        <w:t>[Table 2</w:t>
      </w:r>
    </w:p>
    <w:p w:rsidR="009C44E5" w:rsidRDefault="009C44E5" w:rsidP="00F043A8">
      <w:pPr>
        <w:pStyle w:val="Tabletitle"/>
      </w:pPr>
      <w:r>
        <w:t>Percentage of 3, 12 and 24 kHz bandwidths channels that are unoccupied (occupancy &lt; 5%, 9 days out of 10) in fixed and land mobile allocations for 3, 12 and 24 kHz channel bandwidths</w:t>
      </w:r>
      <w:r>
        <w:br/>
        <w:t>within the frequency range 5 000</w:t>
      </w:r>
      <w:r>
        <w:noBreakHyphen/>
        <w:t>6 000 kHz</w:t>
      </w:r>
    </w:p>
    <w:p w:rsidR="009C44E5" w:rsidRDefault="00570ECB" w:rsidP="00F043A8">
      <w:pPr>
        <w:tabs>
          <w:tab w:val="clear" w:pos="1134"/>
          <w:tab w:val="clear" w:pos="1871"/>
          <w:tab w:val="clear" w:pos="2268"/>
        </w:tabs>
        <w:overflowPunct/>
        <w:textAlignment w:val="auto"/>
      </w:pPr>
      <w:r>
        <w:rPr>
          <w:noProof/>
          <w:lang w:val="en-US" w:eastAsia="zh-CN"/>
        </w:rPr>
        <w:drawing>
          <wp:inline distT="0" distB="0" distL="0" distR="0">
            <wp:extent cx="6105525" cy="10287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1028700"/>
                    </a:xfrm>
                    <a:prstGeom prst="rect">
                      <a:avLst/>
                    </a:prstGeom>
                    <a:noFill/>
                    <a:ln>
                      <a:noFill/>
                    </a:ln>
                  </pic:spPr>
                </pic:pic>
              </a:graphicData>
            </a:graphic>
          </wp:inline>
        </w:drawing>
      </w:r>
    </w:p>
    <w:p w:rsidR="009C44E5" w:rsidRDefault="009C44E5" w:rsidP="00F043A8">
      <w:pPr>
        <w:tabs>
          <w:tab w:val="clear" w:pos="1134"/>
          <w:tab w:val="clear" w:pos="1871"/>
          <w:tab w:val="clear" w:pos="2268"/>
        </w:tabs>
        <w:overflowPunct/>
        <w:autoSpaceDE/>
        <w:autoSpaceDN/>
        <w:adjustRightInd/>
        <w:spacing w:before="0"/>
        <w:jc w:val="center"/>
        <w:textAlignment w:val="auto"/>
      </w:pPr>
      <w:r w:rsidRPr="00850EC0">
        <w:rPr>
          <w:sz w:val="20"/>
        </w:rPr>
        <w:t>Note: Time blocks cover four-hour periods, e.g., 0</w:t>
      </w:r>
      <w:r>
        <w:rPr>
          <w:sz w:val="20"/>
        </w:rPr>
        <w:t>-</w:t>
      </w:r>
      <w:r w:rsidRPr="00850EC0">
        <w:rPr>
          <w:sz w:val="20"/>
        </w:rPr>
        <w:t>3 covers 00:00 to 03:59 UTC</w:t>
      </w:r>
      <w:r>
        <w:t>.</w:t>
      </w:r>
    </w:p>
    <w:p w:rsidR="009C44E5" w:rsidRDefault="009C44E5" w:rsidP="007F6716">
      <w:pPr>
        <w:pStyle w:val="Normalaftertitle0"/>
        <w:rPr>
          <w:lang w:val="en-CA" w:eastAsia="en-CA"/>
        </w:rPr>
      </w:pPr>
      <w:r>
        <w:rPr>
          <w:lang w:val="en-CA" w:eastAsia="en-CA"/>
        </w:rPr>
        <w:t>The results in</w:t>
      </w:r>
      <w:r w:rsidRPr="00094C6F">
        <w:rPr>
          <w:lang w:val="en-CA" w:eastAsia="en-CA"/>
        </w:rPr>
        <w:t xml:space="preserve"> Table </w:t>
      </w:r>
      <w:r>
        <w:rPr>
          <w:lang w:val="en-CA" w:eastAsia="en-CA"/>
        </w:rPr>
        <w:t>2</w:t>
      </w:r>
      <w:r w:rsidRPr="00094C6F">
        <w:rPr>
          <w:lang w:val="en-CA" w:eastAsia="en-CA"/>
        </w:rPr>
        <w:t xml:space="preserve"> show that there are few if any contiguous channels available even with 3 kHz bandwidth during the first time block </w:t>
      </w:r>
      <w:r>
        <w:rPr>
          <w:lang w:val="en-CA" w:eastAsia="en-CA"/>
        </w:rPr>
        <w:t>(0-3 UTC) however, a significant number of channels are available in time block 5 (16-19 UTC) corresponding to about noon local time.  The</w:t>
      </w:r>
      <w:r w:rsidRPr="003E7F9C">
        <w:rPr>
          <w:lang w:val="en-CA" w:eastAsia="en-CA"/>
        </w:rPr>
        <w:t xml:space="preserve"> lack of </w:t>
      </w:r>
      <w:r>
        <w:rPr>
          <w:lang w:val="en-CA" w:eastAsia="en-CA"/>
        </w:rPr>
        <w:t xml:space="preserve">wideband (24 kHz) </w:t>
      </w:r>
      <w:r w:rsidRPr="003E7F9C">
        <w:rPr>
          <w:lang w:val="en-CA" w:eastAsia="en-CA"/>
        </w:rPr>
        <w:t>channels available at night is more severe in the August data</w:t>
      </w:r>
      <w:r w:rsidRPr="00094C6F">
        <w:rPr>
          <w:lang w:val="en-CA" w:eastAsia="en-CA"/>
        </w:rPr>
        <w:t>.</w:t>
      </w:r>
      <w:r>
        <w:rPr>
          <w:lang w:val="en-CA" w:eastAsia="en-CA"/>
        </w:rPr>
        <w:t xml:space="preserve"> </w:t>
      </w:r>
      <w:r w:rsidRPr="00094C6F">
        <w:rPr>
          <w:lang w:val="en-CA" w:eastAsia="en-CA"/>
        </w:rPr>
        <w:t xml:space="preserve"> </w:t>
      </w:r>
      <w:r>
        <w:rPr>
          <w:lang w:val="en-CA" w:eastAsia="en-CA"/>
        </w:rPr>
        <w:t>At some intervals</w:t>
      </w:r>
      <w:r w:rsidRPr="00094C6F">
        <w:rPr>
          <w:lang w:val="en-CA" w:eastAsia="en-CA"/>
        </w:rPr>
        <w:t xml:space="preserve"> </w:t>
      </w:r>
      <w:r>
        <w:rPr>
          <w:lang w:val="en-CA" w:eastAsia="en-CA"/>
        </w:rPr>
        <w:t>of</w:t>
      </w:r>
      <w:r w:rsidRPr="00094C6F">
        <w:rPr>
          <w:lang w:val="en-CA" w:eastAsia="en-CA"/>
        </w:rPr>
        <w:t xml:space="preserve"> time and frequency where there are some smaller bandwidth channels </w:t>
      </w:r>
      <w:r>
        <w:rPr>
          <w:lang w:val="en-CA" w:eastAsia="en-CA"/>
        </w:rPr>
        <w:t xml:space="preserve">(e.g. 3 kHz) </w:t>
      </w:r>
      <w:r w:rsidRPr="00094C6F">
        <w:rPr>
          <w:lang w:val="en-CA" w:eastAsia="en-CA"/>
        </w:rPr>
        <w:t xml:space="preserve">available, but few or no wider-band channels. </w:t>
      </w:r>
      <w:r>
        <w:rPr>
          <w:lang w:val="en-CA" w:eastAsia="en-CA"/>
        </w:rPr>
        <w:t xml:space="preserve"> </w:t>
      </w:r>
    </w:p>
    <w:p w:rsidR="009C44E5" w:rsidRPr="00094C6F" w:rsidRDefault="009C44E5" w:rsidP="00F043A8">
      <w:pPr>
        <w:pStyle w:val="Heading1"/>
      </w:pPr>
      <w:r>
        <w:t>[4</w:t>
      </w:r>
      <w:r w:rsidRPr="00094C6F">
        <w:tab/>
        <w:t>Conclusions</w:t>
      </w:r>
      <w:r>
        <w:t xml:space="preserve"> </w:t>
      </w:r>
    </w:p>
    <w:p w:rsidR="009C44E5" w:rsidRDefault="009C44E5" w:rsidP="007F6716">
      <w:pPr>
        <w:rPr>
          <w:lang w:val="en-CA" w:eastAsia="en-CA"/>
        </w:rPr>
      </w:pPr>
      <w:r w:rsidRPr="00094C6F">
        <w:rPr>
          <w:lang w:val="en-CA" w:eastAsia="en-CA"/>
        </w:rPr>
        <w:t>Th</w:t>
      </w:r>
      <w:r>
        <w:rPr>
          <w:lang w:val="en-CA" w:eastAsia="en-CA"/>
        </w:rPr>
        <w:t>e measurements of this</w:t>
      </w:r>
      <w:r w:rsidRPr="00094C6F">
        <w:rPr>
          <w:lang w:val="en-CA" w:eastAsia="en-CA"/>
        </w:rPr>
        <w:t xml:space="preserve"> study</w:t>
      </w:r>
      <w:r>
        <w:rPr>
          <w:lang w:val="en-CA" w:eastAsia="en-CA"/>
        </w:rPr>
        <w:t xml:space="preserve"> as observed near Ottawa, Ontario, Canada </w:t>
      </w:r>
      <w:r w:rsidRPr="00094C6F">
        <w:rPr>
          <w:lang w:val="en-CA" w:eastAsia="en-CA"/>
        </w:rPr>
        <w:t xml:space="preserve"> </w:t>
      </w:r>
      <w:r>
        <w:rPr>
          <w:lang w:val="en-CA" w:eastAsia="en-CA"/>
        </w:rPr>
        <w:t>indicate</w:t>
      </w:r>
      <w:r w:rsidRPr="00094C6F">
        <w:rPr>
          <w:lang w:val="en-CA" w:eastAsia="en-CA"/>
        </w:rPr>
        <w:t xml:space="preserve"> that at most times of the day</w:t>
      </w:r>
      <w:r>
        <w:rPr>
          <w:lang w:val="en-CA" w:eastAsia="en-CA"/>
        </w:rPr>
        <w:t xml:space="preserve">time locally, </w:t>
      </w:r>
      <w:r w:rsidRPr="00094C6F">
        <w:rPr>
          <w:lang w:val="en-CA" w:eastAsia="en-CA"/>
        </w:rPr>
        <w:t xml:space="preserve">there is adequate frequency support for </w:t>
      </w:r>
      <w:r>
        <w:rPr>
          <w:lang w:val="en-CA" w:eastAsia="en-CA"/>
        </w:rPr>
        <w:t xml:space="preserve">usage of communication channel </w:t>
      </w:r>
      <w:r w:rsidRPr="00094C6F">
        <w:rPr>
          <w:lang w:val="en-CA" w:eastAsia="en-CA"/>
        </w:rPr>
        <w:t>bandwidths up to 24 kHz</w:t>
      </w:r>
      <w:r>
        <w:rPr>
          <w:lang w:val="en-CA" w:eastAsia="en-CA"/>
        </w:rPr>
        <w:t xml:space="preserve"> in the frequency range 5 250-5 450 kHz</w:t>
      </w:r>
      <w:r w:rsidRPr="00094C6F">
        <w:rPr>
          <w:lang w:val="en-CA" w:eastAsia="en-CA"/>
        </w:rPr>
        <w:t xml:space="preserve">.  However, during the </w:t>
      </w:r>
      <w:r>
        <w:rPr>
          <w:lang w:val="en-CA" w:eastAsia="en-CA"/>
        </w:rPr>
        <w:t xml:space="preserve">local </w:t>
      </w:r>
      <w:r w:rsidRPr="00094C6F">
        <w:rPr>
          <w:lang w:val="en-CA" w:eastAsia="en-CA"/>
        </w:rPr>
        <w:t xml:space="preserve">late afternoon and evening hours when congestion is most severe, there are </w:t>
      </w:r>
      <w:r>
        <w:rPr>
          <w:lang w:val="en-CA" w:eastAsia="en-CA"/>
        </w:rPr>
        <w:t xml:space="preserve">very </w:t>
      </w:r>
      <w:r w:rsidRPr="00094C6F">
        <w:rPr>
          <w:lang w:val="en-CA" w:eastAsia="en-CA"/>
        </w:rPr>
        <w:t>few contiguous unoccupied channels available in th</w:t>
      </w:r>
      <w:r>
        <w:rPr>
          <w:lang w:val="en-CA" w:eastAsia="en-CA"/>
        </w:rPr>
        <w:t>is</w:t>
      </w:r>
      <w:r w:rsidRPr="00094C6F">
        <w:rPr>
          <w:lang w:val="en-CA" w:eastAsia="en-CA"/>
        </w:rPr>
        <w:t xml:space="preserve"> frequency range.</w:t>
      </w:r>
      <w:r>
        <w:rPr>
          <w:lang w:val="en-CA" w:eastAsia="en-CA"/>
        </w:rPr>
        <w:t>]</w:t>
      </w:r>
    </w:p>
    <w:p w:rsidR="009C44E5" w:rsidRPr="007F6716" w:rsidRDefault="009C44E5" w:rsidP="007F6716">
      <w:pPr>
        <w:tabs>
          <w:tab w:val="clear" w:pos="1134"/>
          <w:tab w:val="clear" w:pos="1871"/>
          <w:tab w:val="clear" w:pos="2268"/>
        </w:tabs>
        <w:overflowPunct/>
        <w:jc w:val="center"/>
        <w:textAlignment w:val="auto"/>
        <w:rPr>
          <w:lang w:val="en-CA" w:eastAsia="en-CA"/>
        </w:rPr>
      </w:pPr>
    </w:p>
    <w:sectPr w:rsidR="009C44E5" w:rsidRPr="007F6716"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E5" w:rsidRDefault="009C44E5">
      <w:r>
        <w:separator/>
      </w:r>
    </w:p>
  </w:endnote>
  <w:endnote w:type="continuationSeparator" w:id="0">
    <w:p w:rsidR="009C44E5" w:rsidRDefault="009C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E5" w:rsidRPr="00006C57" w:rsidRDefault="00006C57" w:rsidP="00006C57">
    <w:pPr>
      <w:pStyle w:val="Footer"/>
      <w:rPr>
        <w:lang w:val="es-ES_tradnl"/>
      </w:rPr>
    </w:pPr>
    <w:r>
      <w:fldChar w:fldCharType="begin"/>
    </w:r>
    <w:r w:rsidRPr="00006C57">
      <w:rPr>
        <w:lang w:val="es-ES_tradnl"/>
      </w:rPr>
      <w:instrText xml:space="preserve"> FILENAME  \p  \* MERGEFORMAT </w:instrText>
    </w:r>
    <w:r>
      <w:fldChar w:fldCharType="separate"/>
    </w:r>
    <w:r w:rsidRPr="00006C57">
      <w:rPr>
        <w:lang w:val="es-ES_tradnl"/>
      </w:rPr>
      <w:t>M:\BRSGD\TEXT2012\SG05\WP5A\100\198e\198N12e.docx</w:t>
    </w:r>
    <w:r>
      <w:fldChar w:fldCharType="end"/>
    </w:r>
    <w:r w:rsidRPr="00006C57">
      <w:rPr>
        <w:lang w:val="es-ES_tradnl"/>
      </w:rPr>
      <w:tab/>
      <w:t>20.11.12</w:t>
    </w:r>
    <w:r>
      <w:rPr>
        <w:lang w:val="es-ES_tradnl"/>
      </w:rPr>
      <w:tab/>
    </w:r>
    <w:r w:rsidRPr="00006C57">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E5" w:rsidRPr="00006C57" w:rsidRDefault="00006C57" w:rsidP="00006C57">
    <w:pPr>
      <w:pStyle w:val="Footer"/>
      <w:rPr>
        <w:lang w:val="es-ES_tradnl"/>
      </w:rPr>
    </w:pPr>
    <w:r>
      <w:fldChar w:fldCharType="begin"/>
    </w:r>
    <w:r w:rsidRPr="00006C57">
      <w:rPr>
        <w:lang w:val="es-ES_tradnl"/>
      </w:rPr>
      <w:instrText xml:space="preserve"> FILENAME  \p  \* MERGEFORMAT </w:instrText>
    </w:r>
    <w:r>
      <w:fldChar w:fldCharType="separate"/>
    </w:r>
    <w:r w:rsidRPr="00006C57">
      <w:rPr>
        <w:lang w:val="es-ES_tradnl"/>
      </w:rPr>
      <w:t>M:\BRSGD\TEXT2012\SG05\WP5A\100\198e\198N12e.docx</w:t>
    </w:r>
    <w:r>
      <w:fldChar w:fldCharType="end"/>
    </w:r>
    <w:r w:rsidRPr="00006C57">
      <w:rPr>
        <w:lang w:val="es-ES_tradnl"/>
      </w:rPr>
      <w:tab/>
      <w:t>20.11.12</w:t>
    </w:r>
    <w:r>
      <w:rPr>
        <w:lang w:val="es-ES_tradnl"/>
      </w:rPr>
      <w:tab/>
    </w:r>
    <w:r w:rsidRPr="00006C57">
      <w:rPr>
        <w:lang w:val="es-ES_tradnl"/>
      </w:rPr>
      <w:t>20.11.12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E5" w:rsidRDefault="009C44E5">
      <w:r>
        <w:t>____________________</w:t>
      </w:r>
    </w:p>
  </w:footnote>
  <w:footnote w:type="continuationSeparator" w:id="0">
    <w:p w:rsidR="009C44E5" w:rsidRDefault="009C44E5">
      <w:r>
        <w:continuationSeparator/>
      </w:r>
    </w:p>
  </w:footnote>
  <w:footnote w:id="1">
    <w:p w:rsidR="009C44E5" w:rsidRDefault="009C44E5" w:rsidP="00F043A8">
      <w:pPr>
        <w:pStyle w:val="FootnoteText"/>
      </w:pPr>
      <w:r>
        <w:rPr>
          <w:rStyle w:val="FootnoteReference"/>
        </w:rPr>
        <w:footnoteRef/>
      </w:r>
      <w:r>
        <w:tab/>
      </w:r>
      <w:r>
        <w:rPr>
          <w:lang w:val="en-US"/>
        </w:rPr>
        <w:t xml:space="preserve">Definitions, as they appear in this document, are specific to this document and are not intended to supplement or contradict ITU-R definitions, e.g., those in the </w:t>
      </w:r>
      <w:hyperlink r:id="rId1" w:history="1">
        <w:r w:rsidRPr="00BF2176">
          <w:rPr>
            <w:rStyle w:val="Hyperlink"/>
            <w:lang w:val="en-US"/>
          </w:rPr>
          <w:t>ITU-T/ITU-R Terms and Definitions Database</w:t>
        </w:r>
      </w:hyperlink>
      <w:r>
        <w:rPr>
          <w:rStyle w:val="Hyperlink"/>
          <w:lang w:val="en-US"/>
        </w:rPr>
        <w:t>.</w:t>
      </w:r>
    </w:p>
  </w:footnote>
  <w:footnote w:id="2">
    <w:p w:rsidR="009C44E5" w:rsidRPr="000D1D35" w:rsidRDefault="009C44E5" w:rsidP="000D1D35">
      <w:pPr>
        <w:pStyle w:val="FootnoteText"/>
        <w:rPr>
          <w:lang w:val="en-US"/>
        </w:rPr>
      </w:pPr>
      <w:r w:rsidRPr="00741999">
        <w:rPr>
          <w:rStyle w:val="FootnoteReference"/>
        </w:rPr>
        <w:footnoteRef/>
      </w:r>
      <w:r>
        <w:tab/>
      </w:r>
      <w:hyperlink r:id="rId2" w:history="1">
        <w:r w:rsidRPr="00741999">
          <w:rPr>
            <w:rStyle w:val="Hyperlink"/>
            <w:lang w:val="en-US"/>
          </w:rPr>
          <w:t>http://www.voacap.com</w:t>
        </w:r>
      </w:hyperlink>
      <w:bookmarkStart w:id="9" w:name="_GoBack"/>
      <w:bookmarkEnd w:id="9"/>
    </w:p>
  </w:footnote>
  <w:footnote w:id="3">
    <w:p w:rsidR="009C44E5" w:rsidRDefault="009C44E5">
      <w:pPr>
        <w:pStyle w:val="FootnoteText"/>
      </w:pPr>
      <w:r>
        <w:rPr>
          <w:rStyle w:val="FootnoteReference"/>
        </w:rPr>
        <w:footnoteRef/>
      </w:r>
      <w:r>
        <w:tab/>
      </w:r>
      <w:hyperlink r:id="rId3" w:history="1">
        <w:r w:rsidRPr="007F6716">
          <w:rPr>
            <w:rStyle w:val="Hyperlink"/>
            <w:sz w:val="22"/>
            <w:szCs w:val="22"/>
          </w:rPr>
          <w:t>http://www.ngdc.noaa.gov/nndc/struts/results?op_0=eq&amp;v_0=Penticton_Observed&amp;t=102827&amp;s=4&amp;d=8&amp;d=22&amp;d=9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E5" w:rsidRDefault="009C44E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D1D35">
      <w:rPr>
        <w:rStyle w:val="PageNumber"/>
        <w:noProof/>
      </w:rPr>
      <w:t>2</w:t>
    </w:r>
    <w:r>
      <w:rPr>
        <w:rStyle w:val="PageNumber"/>
      </w:rPr>
      <w:fldChar w:fldCharType="end"/>
    </w:r>
    <w:r>
      <w:rPr>
        <w:rStyle w:val="PageNumber"/>
      </w:rPr>
      <w:t xml:space="preserve"> -</w:t>
    </w:r>
  </w:p>
  <w:p w:rsidR="009C44E5" w:rsidRDefault="009C44E5">
    <w:pPr>
      <w:pStyle w:val="Header"/>
      <w:rPr>
        <w:lang w:val="en-US"/>
      </w:rPr>
    </w:pPr>
    <w:r>
      <w:rPr>
        <w:lang w:val="en-US"/>
      </w:rPr>
      <w:t>5A/198 (Annex 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116"/>
    <w:multiLevelType w:val="hybridMultilevel"/>
    <w:tmpl w:val="9748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53"/>
    <w:rsid w:val="000069D4"/>
    <w:rsid w:val="00006C57"/>
    <w:rsid w:val="000174AD"/>
    <w:rsid w:val="000401B5"/>
    <w:rsid w:val="000432D3"/>
    <w:rsid w:val="00094C6F"/>
    <w:rsid w:val="000A7D55"/>
    <w:rsid w:val="000C2E8E"/>
    <w:rsid w:val="000D1D35"/>
    <w:rsid w:val="000E0E7C"/>
    <w:rsid w:val="000F1B4B"/>
    <w:rsid w:val="0012744F"/>
    <w:rsid w:val="00156F66"/>
    <w:rsid w:val="00174DFF"/>
    <w:rsid w:val="00182528"/>
    <w:rsid w:val="0018500B"/>
    <w:rsid w:val="00196A19"/>
    <w:rsid w:val="00202DC1"/>
    <w:rsid w:val="002040A4"/>
    <w:rsid w:val="002116EE"/>
    <w:rsid w:val="002309D8"/>
    <w:rsid w:val="002A7FE2"/>
    <w:rsid w:val="002C2318"/>
    <w:rsid w:val="002E1B4F"/>
    <w:rsid w:val="002E7DD9"/>
    <w:rsid w:val="002F2E67"/>
    <w:rsid w:val="00315546"/>
    <w:rsid w:val="00330567"/>
    <w:rsid w:val="00386A9D"/>
    <w:rsid w:val="00391081"/>
    <w:rsid w:val="003B2789"/>
    <w:rsid w:val="003C13CE"/>
    <w:rsid w:val="003E2518"/>
    <w:rsid w:val="003E7F9C"/>
    <w:rsid w:val="00431DBD"/>
    <w:rsid w:val="00461C7C"/>
    <w:rsid w:val="004B1EF7"/>
    <w:rsid w:val="004B3FAD"/>
    <w:rsid w:val="004B5656"/>
    <w:rsid w:val="00501DCA"/>
    <w:rsid w:val="00513A47"/>
    <w:rsid w:val="0051782D"/>
    <w:rsid w:val="005408DF"/>
    <w:rsid w:val="00570ECB"/>
    <w:rsid w:val="00573344"/>
    <w:rsid w:val="00583F9B"/>
    <w:rsid w:val="00585564"/>
    <w:rsid w:val="005E5C10"/>
    <w:rsid w:val="005F2C78"/>
    <w:rsid w:val="006144E4"/>
    <w:rsid w:val="00650299"/>
    <w:rsid w:val="00655FC5"/>
    <w:rsid w:val="00694B53"/>
    <w:rsid w:val="006C7861"/>
    <w:rsid w:val="006F1FE3"/>
    <w:rsid w:val="00710D66"/>
    <w:rsid w:val="00741999"/>
    <w:rsid w:val="007955AE"/>
    <w:rsid w:val="007D7E82"/>
    <w:rsid w:val="007F6716"/>
    <w:rsid w:val="00822581"/>
    <w:rsid w:val="00822BDA"/>
    <w:rsid w:val="008309DD"/>
    <w:rsid w:val="0083227A"/>
    <w:rsid w:val="00850EC0"/>
    <w:rsid w:val="00866900"/>
    <w:rsid w:val="00881BA1"/>
    <w:rsid w:val="008C26B8"/>
    <w:rsid w:val="008E3F58"/>
    <w:rsid w:val="008F3AB8"/>
    <w:rsid w:val="009418B7"/>
    <w:rsid w:val="00982084"/>
    <w:rsid w:val="00995963"/>
    <w:rsid w:val="009B61EB"/>
    <w:rsid w:val="009C2064"/>
    <w:rsid w:val="009C44E5"/>
    <w:rsid w:val="009D1697"/>
    <w:rsid w:val="00A014F8"/>
    <w:rsid w:val="00A5173C"/>
    <w:rsid w:val="00A61AEF"/>
    <w:rsid w:val="00A65947"/>
    <w:rsid w:val="00AF173A"/>
    <w:rsid w:val="00B066A4"/>
    <w:rsid w:val="00B07A13"/>
    <w:rsid w:val="00B4279B"/>
    <w:rsid w:val="00B45FC9"/>
    <w:rsid w:val="00BB356D"/>
    <w:rsid w:val="00BC7CCF"/>
    <w:rsid w:val="00BE470B"/>
    <w:rsid w:val="00BF2176"/>
    <w:rsid w:val="00C57A91"/>
    <w:rsid w:val="00CC01C2"/>
    <w:rsid w:val="00CF21F2"/>
    <w:rsid w:val="00D02712"/>
    <w:rsid w:val="00D214D0"/>
    <w:rsid w:val="00D23FC4"/>
    <w:rsid w:val="00D6546B"/>
    <w:rsid w:val="00D8032B"/>
    <w:rsid w:val="00DD4BED"/>
    <w:rsid w:val="00DD6170"/>
    <w:rsid w:val="00DE39F0"/>
    <w:rsid w:val="00DF0AF3"/>
    <w:rsid w:val="00E27D7E"/>
    <w:rsid w:val="00E42E13"/>
    <w:rsid w:val="00E6257C"/>
    <w:rsid w:val="00E63C59"/>
    <w:rsid w:val="00EA2D8F"/>
    <w:rsid w:val="00F043A8"/>
    <w:rsid w:val="00FA124A"/>
    <w:rsid w:val="00FB5CF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F043A8"/>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41494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41494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41494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41494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41494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41494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41494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41494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41494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F043A8"/>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41494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F043A8"/>
    <w:rPr>
      <w:rFonts w:cs="Times New Roman"/>
      <w:color w:val="0000FF"/>
      <w:u w:val="single"/>
    </w:rPr>
  </w:style>
  <w:style w:type="character" w:customStyle="1" w:styleId="HeadingbChar">
    <w:name w:val="Heading_b Char"/>
    <w:basedOn w:val="DefaultParagraphFont"/>
    <w:link w:val="Headingb"/>
    <w:uiPriority w:val="99"/>
    <w:locked/>
    <w:rsid w:val="00F043A8"/>
    <w:rPr>
      <w:rFonts w:ascii="Times" w:hAnsi="Times" w:cs="Times New Roman"/>
      <w:b/>
      <w:sz w:val="24"/>
      <w:lang w:val="en-GB" w:eastAsia="en-US"/>
    </w:rPr>
  </w:style>
  <w:style w:type="character" w:customStyle="1" w:styleId="TableNoChar">
    <w:name w:val="Table_No Char"/>
    <w:link w:val="TableNo"/>
    <w:uiPriority w:val="99"/>
    <w:locked/>
    <w:rsid w:val="00F043A8"/>
    <w:rPr>
      <w:rFonts w:ascii="Times New Roman" w:hAnsi="Times New Roman"/>
      <w:caps/>
      <w:lang w:val="en-GB" w:eastAsia="en-US"/>
    </w:rPr>
  </w:style>
  <w:style w:type="character" w:customStyle="1" w:styleId="Tabletitle0">
    <w:name w:val="Table_title Знак"/>
    <w:link w:val="Tabletitle"/>
    <w:uiPriority w:val="99"/>
    <w:locked/>
    <w:rsid w:val="00F043A8"/>
    <w:rPr>
      <w:rFonts w:ascii="Times New Roman Bold" w:hAnsi="Times New Roman Bold"/>
      <w:b/>
      <w:lang w:val="en-GB" w:eastAsia="en-US"/>
    </w:rPr>
  </w:style>
  <w:style w:type="paragraph" w:styleId="ListParagraph">
    <w:name w:val="List Paragraph"/>
    <w:basedOn w:val="Normal"/>
    <w:uiPriority w:val="99"/>
    <w:qFormat/>
    <w:rsid w:val="00F043A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F043A8"/>
    <w:rPr>
      <w:rFonts w:ascii="Times New Roman" w:hAnsi="Times New Roman"/>
      <w:b/>
      <w:sz w:val="28"/>
      <w:lang w:val="en-GB" w:eastAsia="en-US"/>
    </w:rPr>
  </w:style>
  <w:style w:type="character" w:customStyle="1" w:styleId="Heading2Char">
    <w:name w:val="Heading 2 Char"/>
    <w:basedOn w:val="DefaultParagraphFont"/>
    <w:link w:val="Heading2"/>
    <w:uiPriority w:val="9"/>
    <w:semiHidden/>
    <w:rsid w:val="0041494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41494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41494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41494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41494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41494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41494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41494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41494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F043A8"/>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41494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F043A8"/>
    <w:rPr>
      <w:rFonts w:cs="Times New Roman"/>
      <w:color w:val="0000FF"/>
      <w:u w:val="single"/>
    </w:rPr>
  </w:style>
  <w:style w:type="character" w:customStyle="1" w:styleId="HeadingbChar">
    <w:name w:val="Heading_b Char"/>
    <w:basedOn w:val="DefaultParagraphFont"/>
    <w:link w:val="Headingb"/>
    <w:uiPriority w:val="99"/>
    <w:locked/>
    <w:rsid w:val="00F043A8"/>
    <w:rPr>
      <w:rFonts w:ascii="Times" w:hAnsi="Times" w:cs="Times New Roman"/>
      <w:b/>
      <w:sz w:val="24"/>
      <w:lang w:val="en-GB" w:eastAsia="en-US"/>
    </w:rPr>
  </w:style>
  <w:style w:type="character" w:customStyle="1" w:styleId="TableNoChar">
    <w:name w:val="Table_No Char"/>
    <w:link w:val="TableNo"/>
    <w:uiPriority w:val="99"/>
    <w:locked/>
    <w:rsid w:val="00F043A8"/>
    <w:rPr>
      <w:rFonts w:ascii="Times New Roman" w:hAnsi="Times New Roman"/>
      <w:caps/>
      <w:lang w:val="en-GB" w:eastAsia="en-US"/>
    </w:rPr>
  </w:style>
  <w:style w:type="character" w:customStyle="1" w:styleId="Tabletitle0">
    <w:name w:val="Table_title Знак"/>
    <w:link w:val="Tabletitle"/>
    <w:uiPriority w:val="99"/>
    <w:locked/>
    <w:rsid w:val="00F043A8"/>
    <w:rPr>
      <w:rFonts w:ascii="Times New Roman Bold" w:hAnsi="Times New Roman Bold"/>
      <w:b/>
      <w:lang w:val="en-GB" w:eastAsia="en-US"/>
    </w:rPr>
  </w:style>
  <w:style w:type="paragraph" w:styleId="ListParagraph">
    <w:name w:val="List Paragraph"/>
    <w:basedOn w:val="Normal"/>
    <w:uiPriority w:val="99"/>
    <w:qFormat/>
    <w:rsid w:val="00F043A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c.oma.be/sunspot-da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gc.ca/eic/site/smt-gst.nsf/vwapj/cane2009edition-eng.pdf/$FILE/cane2009edition-en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pro.streamuk.com/uk/player/Default.aspx?wid=13437&amp;ptid=26&amp;t=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x.com/en/assets/pdf/TCI%20613.pdf"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ngdc.noaa.gov/nndc/struts/results?op_0=eq&amp;v_0=Penticton_Observed&amp;t=102827&amp;s=4&amp;d=8&amp;d=22&amp;d=9" TargetMode="External"/><Relationship Id="rId2" Type="http://schemas.openxmlformats.org/officeDocument/2006/relationships/hyperlink" Target="http://www.voacap.com" TargetMode="External"/><Relationship Id="rId1" Type="http://schemas.openxmlformats.org/officeDocument/2006/relationships/hyperlink" Target="http://www.itu.int/oth/R0B0500000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TotalTime>
  <Pages>5</Pages>
  <Words>1724</Words>
  <Characters>9635</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detraz</cp:lastModifiedBy>
  <cp:revision>5</cp:revision>
  <cp:lastPrinted>2008-02-21T14:04:00Z</cp:lastPrinted>
  <dcterms:created xsi:type="dcterms:W3CDTF">2012-11-20T08:02:00Z</dcterms:created>
  <dcterms:modified xsi:type="dcterms:W3CDTF">2012-11-20T08:09:00Z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