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501A85" w:rsidP="00501A8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3D6E0EA" wp14:editId="057F3EA3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771557">
        <w:trPr>
          <w:cantSplit/>
        </w:trPr>
        <w:tc>
          <w:tcPr>
            <w:tcW w:w="6580" w:type="dxa"/>
            <w:vMerge w:val="restart"/>
          </w:tcPr>
          <w:p w:rsidR="00771557" w:rsidRPr="00771557" w:rsidRDefault="00771557" w:rsidP="007F550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r w:rsidRPr="00771557">
              <w:rPr>
                <w:rFonts w:ascii="Verdana" w:hAnsi="Verdana"/>
                <w:sz w:val="20"/>
                <w:lang w:val="fr-FR"/>
              </w:rPr>
              <w:t>Source:</w:t>
            </w:r>
            <w:r w:rsidRPr="00771557">
              <w:rPr>
                <w:rFonts w:ascii="Verdana" w:hAnsi="Verdana"/>
                <w:sz w:val="20"/>
                <w:lang w:val="fr-FR"/>
              </w:rPr>
              <w:tab/>
              <w:t>Document 5A/TEMP/231</w:t>
            </w:r>
          </w:p>
          <w:p w:rsidR="00501A85" w:rsidRPr="00771557" w:rsidRDefault="00771557" w:rsidP="00B93DA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FR" w:eastAsia="ja-JP"/>
              </w:rPr>
            </w:pPr>
            <w:r>
              <w:rPr>
                <w:rFonts w:ascii="Verdana" w:hAnsi="Verdana"/>
                <w:sz w:val="20"/>
                <w:lang w:val="fr-FR"/>
              </w:rPr>
              <w:t>Subject:</w:t>
            </w:r>
            <w:r>
              <w:rPr>
                <w:rFonts w:ascii="Verdana" w:hAnsi="Verdana"/>
                <w:sz w:val="20"/>
                <w:lang w:val="fr-FR"/>
              </w:rPr>
              <w:tab/>
            </w:r>
            <w:r w:rsidR="00246608" w:rsidRPr="00771557">
              <w:rPr>
                <w:rFonts w:ascii="Verdana" w:hAnsi="Verdana"/>
                <w:sz w:val="20"/>
                <w:lang w:val="fr-FR"/>
              </w:rPr>
              <w:t>Question ITU-R 205-5/5</w:t>
            </w:r>
          </w:p>
        </w:tc>
        <w:tc>
          <w:tcPr>
            <w:tcW w:w="3451" w:type="dxa"/>
          </w:tcPr>
          <w:p w:rsidR="00771557" w:rsidRPr="00771557" w:rsidRDefault="00771557" w:rsidP="007F5504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771557">
              <w:rPr>
                <w:rFonts w:ascii="Verdana" w:hAnsi="Verdana"/>
                <w:b/>
                <w:sz w:val="20"/>
                <w:lang w:val="pt-PT" w:eastAsia="zh-CN"/>
              </w:rPr>
              <w:t>Annex 20 to</w:t>
            </w:r>
          </w:p>
          <w:p w:rsidR="000069D4" w:rsidRPr="00771557" w:rsidRDefault="00501A85" w:rsidP="0077155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771557">
              <w:rPr>
                <w:rFonts w:ascii="Verdana" w:hAnsi="Verdana"/>
                <w:b/>
                <w:sz w:val="20"/>
                <w:lang w:val="pt-PT" w:eastAsia="zh-CN"/>
              </w:rPr>
              <w:t xml:space="preserve">Document </w:t>
            </w:r>
            <w:r w:rsidR="00047DA7" w:rsidRPr="00771557">
              <w:rPr>
                <w:rFonts w:ascii="Verdana" w:hAnsi="Verdana" w:hint="eastAsia"/>
                <w:b/>
                <w:sz w:val="20"/>
                <w:lang w:val="pt-PT" w:eastAsia="ja-JP"/>
              </w:rPr>
              <w:t>5A/</w:t>
            </w:r>
            <w:r w:rsidR="00771557">
              <w:rPr>
                <w:rFonts w:ascii="Verdana" w:hAnsi="Verdana"/>
                <w:b/>
                <w:sz w:val="20"/>
                <w:lang w:val="pt-PT" w:eastAsia="ja-JP"/>
              </w:rPr>
              <w:t>543</w:t>
            </w:r>
            <w:r w:rsidRPr="00771557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77155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2364C4" w:rsidRDefault="0077155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ja-JP"/>
              </w:rPr>
            </w:pPr>
            <w:r>
              <w:rPr>
                <w:rFonts w:ascii="Verdana" w:hAnsi="Verdana"/>
                <w:b/>
                <w:sz w:val="20"/>
                <w:lang w:eastAsia="ja-JP"/>
              </w:rPr>
              <w:t>4 June</w:t>
            </w:r>
            <w:r w:rsidR="001C3096" w:rsidRPr="002364C4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742057" w:rsidRPr="002364C4">
              <w:rPr>
                <w:rFonts w:ascii="Verdana" w:hAnsi="Verdana" w:hint="eastAsia"/>
                <w:b/>
                <w:sz w:val="20"/>
                <w:lang w:eastAsia="ja-JP"/>
              </w:rPr>
              <w:t>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2364C4" w:rsidRDefault="00501A8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2364C4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742057" w:rsidRPr="0040225A" w:rsidRDefault="00771557" w:rsidP="00B93DAE">
            <w:pPr>
              <w:pStyle w:val="Source"/>
              <w:spacing w:before="600"/>
              <w:rPr>
                <w:b w:val="0"/>
                <w:lang w:eastAsia="ja-JP"/>
              </w:rPr>
            </w:pPr>
            <w:bookmarkStart w:id="5" w:name="dsource" w:colFirst="0" w:colLast="0"/>
            <w:bookmarkEnd w:id="4"/>
            <w:r w:rsidRPr="00771557">
              <w:rPr>
                <w:lang w:eastAsia="ja-JP"/>
              </w:rPr>
              <w:t xml:space="preserve">Annex </w:t>
            </w:r>
            <w:r>
              <w:rPr>
                <w:lang w:eastAsia="ja-JP"/>
              </w:rPr>
              <w:t>20</w:t>
            </w:r>
            <w:r w:rsidRPr="00771557">
              <w:rPr>
                <w:lang w:eastAsia="ja-JP"/>
              </w:rPr>
              <w:t xml:space="preserve"> to Working Party 5</w:t>
            </w:r>
            <w:bookmarkStart w:id="6" w:name="_GoBack"/>
            <w:bookmarkEnd w:id="6"/>
            <w:r w:rsidRPr="00771557">
              <w:rPr>
                <w:lang w:eastAsia="ja-JP"/>
              </w:rPr>
              <w:t xml:space="preserve">A </w:t>
            </w:r>
            <w:r w:rsidRPr="00B93DAE">
              <w:t>Chairman’s</w:t>
            </w:r>
            <w:r w:rsidRPr="00771557">
              <w:rPr>
                <w:lang w:eastAsia="ja-JP"/>
              </w:rPr>
              <w:t xml:space="preserve"> Report 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42057" w:rsidP="00B93DAE">
            <w:pPr>
              <w:pStyle w:val="RepNo"/>
              <w:rPr>
                <w:lang w:eastAsia="ja-JP"/>
              </w:rPr>
            </w:pPr>
            <w:bookmarkStart w:id="7" w:name="drec" w:colFirst="0" w:colLast="0"/>
            <w:bookmarkEnd w:id="5"/>
            <w:r>
              <w:rPr>
                <w:rFonts w:hint="eastAsia"/>
                <w:lang w:eastAsia="ja-JP"/>
              </w:rPr>
              <w:t xml:space="preserve">Draft Working document toward a preliminary </w:t>
            </w:r>
            <w:r w:rsidR="002364C4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 xml:space="preserve">new report </w:t>
            </w:r>
            <w:r w:rsidR="007F5504">
              <w:rPr>
                <w:lang w:eastAsia="ja-JP"/>
              </w:rPr>
              <w:t xml:space="preserve">ITU-R </w:t>
            </w:r>
            <w:r>
              <w:rPr>
                <w:rFonts w:hint="eastAsia"/>
                <w:lang w:eastAsia="ja-JP"/>
              </w:rPr>
              <w:t>M.[ITS usage]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5A56FB" w:rsidRDefault="00742057" w:rsidP="00B93DAE">
            <w:pPr>
              <w:pStyle w:val="Reptitle"/>
              <w:rPr>
                <w:lang w:eastAsia="ja-JP"/>
              </w:rPr>
            </w:pPr>
            <w:bookmarkStart w:id="8" w:name="dtitle1" w:colFirst="0" w:colLast="0"/>
            <w:bookmarkEnd w:id="7"/>
            <w:r w:rsidRPr="005A56FB">
              <w:rPr>
                <w:rFonts w:hint="eastAsia"/>
                <w:lang w:eastAsia="ja-JP"/>
              </w:rPr>
              <w:t>I</w:t>
            </w:r>
            <w:r w:rsidR="0040225A" w:rsidRPr="005A56FB">
              <w:rPr>
                <w:lang w:eastAsia="ja-JP"/>
              </w:rPr>
              <w:t>ntelligent t</w:t>
            </w:r>
            <w:r w:rsidR="0040225A" w:rsidRPr="005A56FB">
              <w:rPr>
                <w:rFonts w:hint="eastAsia"/>
                <w:lang w:eastAsia="ja-JP"/>
              </w:rPr>
              <w:t>r</w:t>
            </w:r>
            <w:r w:rsidR="0040225A" w:rsidRPr="005A56FB">
              <w:rPr>
                <w:lang w:eastAsia="ja-JP"/>
              </w:rPr>
              <w:t>ansport systems usage report in ITU-R member countries</w:t>
            </w:r>
          </w:p>
        </w:tc>
      </w:tr>
    </w:tbl>
    <w:p w:rsidR="00246608" w:rsidRPr="007F5504" w:rsidRDefault="005A56FB" w:rsidP="002364C4">
      <w:pPr>
        <w:pStyle w:val="Repref"/>
        <w:rPr>
          <w:lang w:val="en-US" w:eastAsia="ja-JP"/>
        </w:rPr>
      </w:pPr>
      <w:bookmarkStart w:id="9" w:name="dbreak"/>
      <w:bookmarkEnd w:id="8"/>
      <w:bookmarkEnd w:id="9"/>
      <w:r w:rsidRPr="007F5504">
        <w:rPr>
          <w:rFonts w:hint="eastAsia"/>
          <w:lang w:val="en-US" w:eastAsia="ja-JP"/>
        </w:rPr>
        <w:t>(</w:t>
      </w:r>
      <w:r w:rsidRPr="007F5504">
        <w:rPr>
          <w:lang w:val="en-US" w:eastAsia="ja-JP"/>
        </w:rPr>
        <w:t>Question ITU-R 205-5/5</w:t>
      </w:r>
      <w:r w:rsidRPr="007F5504">
        <w:rPr>
          <w:rFonts w:hint="eastAsia"/>
          <w:lang w:val="en-US" w:eastAsia="ja-JP"/>
        </w:rPr>
        <w:t>)</w:t>
      </w:r>
    </w:p>
    <w:p w:rsidR="005A56FB" w:rsidRPr="007F5504" w:rsidRDefault="005A56FB" w:rsidP="002364C4">
      <w:pPr>
        <w:rPr>
          <w:lang w:val="en-US" w:eastAsia="ja-JP"/>
        </w:rPr>
      </w:pPr>
    </w:p>
    <w:p w:rsidR="00880B6A" w:rsidRPr="007F5504" w:rsidRDefault="00246608" w:rsidP="008307ED">
      <w:pPr>
        <w:jc w:val="center"/>
        <w:rPr>
          <w:lang w:val="en-US" w:eastAsia="ja-JP"/>
        </w:rPr>
      </w:pPr>
      <w:r w:rsidRPr="007F5504">
        <w:rPr>
          <w:lang w:val="en-US" w:eastAsia="zh-CN"/>
        </w:rPr>
        <w:t>TABLE OF CONTENTS</w:t>
      </w:r>
    </w:p>
    <w:p w:rsidR="00470C2D" w:rsidRPr="00652C13" w:rsidRDefault="00246608" w:rsidP="00652C13">
      <w:pPr>
        <w:pStyle w:val="Headingb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Introduction</w:t>
      </w:r>
    </w:p>
    <w:p w:rsidR="00470C2D" w:rsidRPr="00652C13" w:rsidRDefault="00B924D5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2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Background</w:t>
      </w:r>
    </w:p>
    <w:p w:rsidR="00470C2D" w:rsidRPr="00652C13" w:rsidRDefault="00B924D5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3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 xml:space="preserve">Related </w:t>
      </w:r>
      <w:r w:rsidR="00145728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documents</w:t>
      </w:r>
    </w:p>
    <w:p w:rsidR="00B924D5" w:rsidRPr="00652C13" w:rsidRDefault="00B924D5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4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 xml:space="preserve">List of acronyms and abbreviations </w:t>
      </w:r>
    </w:p>
    <w:p w:rsidR="00246608" w:rsidRPr="00652C13" w:rsidRDefault="00B924D5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Overview of ITS radiocommunication and vehicular radar</w:t>
      </w:r>
    </w:p>
    <w:p w:rsidR="00246608" w:rsidRPr="00652C13" w:rsidRDefault="008307ED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 xml:space="preserve">  </w:t>
      </w:r>
      <w:r w:rsidR="002A696C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ITS radiocommunication</w:t>
      </w:r>
    </w:p>
    <w:p w:rsidR="00246608" w:rsidRPr="00652C13" w:rsidRDefault="00652C13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.1.1</w:t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Terms and definitions</w:t>
      </w:r>
    </w:p>
    <w:p w:rsidR="00246608" w:rsidRPr="00652C13" w:rsidRDefault="00652C13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="00536E48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.1.</w:t>
      </w:r>
      <w:r w:rsidR="00536E48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2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Technical characteristics</w:t>
      </w:r>
    </w:p>
    <w:p w:rsidR="00246608" w:rsidRPr="00652C13" w:rsidRDefault="00652C13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.2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Vehicular radar</w:t>
      </w:r>
    </w:p>
    <w:p w:rsidR="00246608" w:rsidRPr="00652C13" w:rsidRDefault="00652C13" w:rsidP="002364C4">
      <w:pPr>
        <w:pStyle w:val="Headingb"/>
        <w:spacing w:before="120"/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.2.1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Terms and definitions</w:t>
      </w:r>
    </w:p>
    <w:p w:rsidR="00B924D5" w:rsidRPr="003E66BC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noProof/>
          <w:szCs w:val="24"/>
          <w:lang w:val="en-US" w:eastAsia="ja-JP"/>
        </w:rPr>
      </w:pP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 w:eastAsia="ja-JP"/>
        </w:rPr>
        <w:tab/>
      </w:r>
      <w:r w:rsidR="00B924D5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5</w:t>
      </w:r>
      <w:r w:rsidR="00536E48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>.2.</w:t>
      </w:r>
      <w:r w:rsidR="00536E48">
        <w:rPr>
          <w:rStyle w:val="Hyperlink"/>
          <w:rFonts w:ascii="Times New Roman" w:hAnsi="Times New Roman" w:cs="Times New Roman" w:hint="eastAsia"/>
          <w:b w:val="0"/>
          <w:noProof/>
          <w:color w:val="auto"/>
          <w:szCs w:val="24"/>
          <w:u w:val="none"/>
          <w:lang w:val="en-US" w:eastAsia="ja-JP"/>
        </w:rPr>
        <w:t>2</w:t>
      </w:r>
      <w:r w:rsidR="00246608" w:rsidRPr="00652C13">
        <w:rPr>
          <w:rStyle w:val="Hyperlink"/>
          <w:rFonts w:ascii="Times New Roman" w:hAnsi="Times New Roman" w:cs="Times New Roman"/>
          <w:b w:val="0"/>
          <w:noProof/>
          <w:color w:val="auto"/>
          <w:szCs w:val="24"/>
          <w:u w:val="none"/>
          <w:lang w:val="en-US"/>
        </w:rPr>
        <w:tab/>
        <w:t>Technical characteristics</w:t>
      </w:r>
    </w:p>
    <w:p w:rsidR="00246608" w:rsidRPr="007F5504" w:rsidRDefault="00B924D5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Advanced ITS radiocommunications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Overview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Europe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lastRenderedPageBreak/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North America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Asia-Pacific 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470C2D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6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470C2D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Millimeter-wave vehicular radar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Overview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.1.4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Europe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.2.4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North America 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.3.4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 xml:space="preserve">Asia-Pacific 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.4.1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Technical characteristics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zh-CN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.4.2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Frequency usage</w:t>
      </w:r>
    </w:p>
    <w:p w:rsidR="00246608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zh-CN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.4.3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Standardization</w:t>
      </w:r>
    </w:p>
    <w:p w:rsidR="00B924D5" w:rsidRPr="007F5504" w:rsidRDefault="00652C13" w:rsidP="002364C4">
      <w:pPr>
        <w:pStyle w:val="Headingb"/>
        <w:spacing w:before="120"/>
        <w:rPr>
          <w:rFonts w:ascii="Times New Roman" w:hAnsi="Times New Roman" w:cs="Times New Roman"/>
          <w:b w:val="0"/>
          <w:szCs w:val="24"/>
          <w:lang w:val="en-US" w:eastAsia="ja-JP"/>
        </w:rPr>
      </w:pP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>7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>.4.4</w:t>
      </w:r>
      <w:r w:rsidR="00246608" w:rsidRPr="007F5504">
        <w:rPr>
          <w:rFonts w:ascii="Times New Roman" w:hAnsi="Times New Roman" w:cs="Times New Roman"/>
          <w:b w:val="0"/>
          <w:szCs w:val="24"/>
          <w:lang w:val="en-US" w:eastAsia="zh-CN"/>
        </w:rPr>
        <w:tab/>
        <w:t>Applications</w:t>
      </w:r>
    </w:p>
    <w:p w:rsidR="00652C13" w:rsidRDefault="00B93DAE" w:rsidP="001F73F6">
      <w:pPr>
        <w:pStyle w:val="Headingb"/>
        <w:spacing w:before="120"/>
        <w:rPr>
          <w:b w:val="0"/>
          <w:lang w:val="en-US" w:eastAsia="ja-JP"/>
        </w:rPr>
      </w:pPr>
      <w:r>
        <w:rPr>
          <w:rFonts w:ascii="Times New Roman" w:hAnsi="Times New Roman" w:cs="Times New Roman"/>
          <w:b w:val="0"/>
          <w:szCs w:val="24"/>
          <w:lang w:val="en-US" w:eastAsia="ja-JP"/>
        </w:rPr>
        <w:t>8</w:t>
      </w:r>
      <w:r w:rsidR="00470C2D" w:rsidRPr="007F5504">
        <w:rPr>
          <w:rFonts w:ascii="Times New Roman" w:hAnsi="Times New Roman" w:cs="Times New Roman"/>
          <w:b w:val="0"/>
          <w:szCs w:val="24"/>
          <w:lang w:val="en-US" w:eastAsia="ja-JP"/>
        </w:rPr>
        <w:tab/>
      </w:r>
      <w:r w:rsidR="00B924D5" w:rsidRPr="007F5504">
        <w:rPr>
          <w:rFonts w:ascii="Times New Roman" w:hAnsi="Times New Roman" w:cs="Times New Roman"/>
          <w:b w:val="0"/>
          <w:szCs w:val="24"/>
          <w:lang w:val="en-US" w:eastAsia="ja-JP"/>
        </w:rPr>
        <w:t>Conclusions</w:t>
      </w:r>
    </w:p>
    <w:p w:rsidR="001F73F6" w:rsidRDefault="001F73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lang w:val="en-US" w:eastAsia="zh-CN"/>
        </w:rPr>
      </w:pPr>
      <w:r>
        <w:rPr>
          <w:i/>
          <w:lang w:val="en-US" w:eastAsia="zh-CN"/>
        </w:rPr>
        <w:br w:type="page"/>
      </w:r>
    </w:p>
    <w:p w:rsidR="00982A6E" w:rsidRPr="007F5504" w:rsidRDefault="00982A6E" w:rsidP="00982A6E">
      <w:pPr>
        <w:rPr>
          <w:i/>
          <w:lang w:val="en-US" w:eastAsia="ja-JP"/>
        </w:rPr>
      </w:pPr>
      <w:r w:rsidRPr="007F5504">
        <w:rPr>
          <w:i/>
          <w:lang w:val="en-US" w:eastAsia="zh-CN"/>
        </w:rPr>
        <w:lastRenderedPageBreak/>
        <w:t xml:space="preserve">[Editor’s note: All the texts may be addressed in future contributions to this document.] </w:t>
      </w:r>
    </w:p>
    <w:p w:rsidR="008307ED" w:rsidRDefault="00246608" w:rsidP="002364C4">
      <w:pPr>
        <w:pStyle w:val="Heading1"/>
        <w:rPr>
          <w:lang w:val="en-US" w:eastAsia="ja-JP"/>
        </w:rPr>
      </w:pPr>
      <w:r w:rsidRPr="008307ED">
        <w:rPr>
          <w:lang w:val="en-US"/>
        </w:rPr>
        <w:t>1</w:t>
      </w:r>
      <w:r w:rsidRPr="008307ED">
        <w:rPr>
          <w:lang w:val="en-US"/>
        </w:rPr>
        <w:tab/>
      </w:r>
      <w:r w:rsidR="004D259D" w:rsidRPr="002364C4">
        <w:rPr>
          <w:rFonts w:hint="eastAsia"/>
        </w:rPr>
        <w:t>Introduction</w:t>
      </w:r>
    </w:p>
    <w:p w:rsidR="004D259D" w:rsidRPr="004D259D" w:rsidRDefault="00246608" w:rsidP="002364C4">
      <w:pPr>
        <w:rPr>
          <w:b/>
          <w:lang w:val="en-US" w:eastAsia="ja-JP"/>
        </w:rPr>
      </w:pPr>
      <w:r w:rsidRPr="004D259D">
        <w:rPr>
          <w:lang w:val="en-US"/>
        </w:rPr>
        <w:t xml:space="preserve">This report  </w:t>
      </w:r>
      <w:r w:rsidR="00B924D5" w:rsidRPr="004D259D">
        <w:rPr>
          <w:lang w:val="en-US"/>
        </w:rPr>
        <w:t>addresses</w:t>
      </w:r>
      <w:r w:rsidR="004D259D" w:rsidRPr="004D259D">
        <w:rPr>
          <w:lang w:val="en-US" w:eastAsia="ja-JP"/>
        </w:rPr>
        <w:t xml:space="preserve"> the</w:t>
      </w:r>
      <w:r w:rsidR="00B924D5" w:rsidRPr="004D259D">
        <w:rPr>
          <w:lang w:val="en-US"/>
        </w:rPr>
        <w:t xml:space="preserve"> </w:t>
      </w:r>
      <w:r w:rsidRPr="004D259D">
        <w:rPr>
          <w:lang w:val="en-US"/>
        </w:rPr>
        <w:t>usages of ITS radiocommunication a</w:t>
      </w:r>
      <w:r w:rsidR="008307ED" w:rsidRPr="004D259D">
        <w:rPr>
          <w:lang w:val="en-US"/>
        </w:rPr>
        <w:t>pplications, such as vehicle to</w:t>
      </w:r>
      <w:r w:rsidR="002364C4">
        <w:rPr>
          <w:lang w:val="en-US"/>
        </w:rPr>
        <w:t xml:space="preserve"> </w:t>
      </w:r>
      <w:r w:rsidRPr="004D259D">
        <w:rPr>
          <w:lang w:val="en-US"/>
        </w:rPr>
        <w:t>infrastructure, vehicle to vehicle, vehicle to pedestrian communication</w:t>
      </w:r>
      <w:r w:rsidR="008307ED" w:rsidRPr="004D259D">
        <w:rPr>
          <w:lang w:val="en-US"/>
        </w:rPr>
        <w:t>s for road safety applications</w:t>
      </w:r>
      <w:r w:rsidR="002364C4">
        <w:rPr>
          <w:lang w:val="en-US"/>
        </w:rPr>
        <w:t xml:space="preserve"> </w:t>
      </w:r>
      <w:r w:rsidRPr="004D259D">
        <w:rPr>
          <w:lang w:val="en-US"/>
        </w:rPr>
        <w:t xml:space="preserve">and vehicular radars for collision avoidance in ITU-R Member countries. </w:t>
      </w:r>
    </w:p>
    <w:p w:rsidR="004D259D" w:rsidRDefault="004D259D" w:rsidP="002364C4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t>2</w:t>
      </w:r>
      <w:r w:rsidRPr="008307ED">
        <w:rPr>
          <w:lang w:val="en-US"/>
        </w:rPr>
        <w:tab/>
      </w:r>
      <w:r>
        <w:rPr>
          <w:rFonts w:hint="eastAsia"/>
          <w:lang w:val="en-US" w:eastAsia="ja-JP"/>
        </w:rPr>
        <w:t>Background</w:t>
      </w:r>
    </w:p>
    <w:p w:rsidR="004D259D" w:rsidRPr="004D259D" w:rsidRDefault="004D259D" w:rsidP="002364C4">
      <w:pPr>
        <w:rPr>
          <w:lang w:val="en-US" w:eastAsia="ja-JP"/>
        </w:rPr>
      </w:pPr>
      <w:r w:rsidRPr="004D259D">
        <w:rPr>
          <w:lang w:eastAsia="ja-JP"/>
        </w:rPr>
        <w:t>Asia-Pacific Telecommunity (APT) already published an APT Report on “The usage of intelligent</w:t>
      </w:r>
      <w:r>
        <w:rPr>
          <w:rFonts w:hint="eastAsia"/>
          <w:lang w:eastAsia="ja-JP"/>
        </w:rPr>
        <w:t xml:space="preserve"> </w:t>
      </w:r>
      <w:r w:rsidRPr="004D259D">
        <w:rPr>
          <w:lang w:eastAsia="ja-JP"/>
        </w:rPr>
        <w:t>transport systems in APT Countries” (</w:t>
      </w:r>
      <w:hyperlink r:id="rId8" w:history="1">
        <w:r w:rsidRPr="004D259D">
          <w:rPr>
            <w:rStyle w:val="Hyperlink"/>
            <w:lang w:eastAsia="ja-JP"/>
          </w:rPr>
          <w:t>APT/AWG/REP-18 (Rev.1)</w:t>
        </w:r>
      </w:hyperlink>
      <w:r w:rsidR="002364C4">
        <w:rPr>
          <w:lang w:eastAsia="ja-JP"/>
        </w:rPr>
        <w:t>) which APT contributed to WP </w:t>
      </w:r>
      <w:r w:rsidRPr="004D259D">
        <w:rPr>
          <w:lang w:eastAsia="ja-JP"/>
        </w:rPr>
        <w:t xml:space="preserve">5A in May 2013 (Document </w:t>
      </w:r>
      <w:hyperlink r:id="rId9" w:history="1">
        <w:r w:rsidRPr="004D259D">
          <w:rPr>
            <w:rStyle w:val="Hyperlink"/>
            <w:lang w:eastAsia="ja-JP"/>
          </w:rPr>
          <w:t>5A/223</w:t>
        </w:r>
      </w:hyperlink>
      <w:r w:rsidRPr="004D259D">
        <w:rPr>
          <w:lang w:eastAsia="ja-JP"/>
        </w:rPr>
        <w:t xml:space="preserve">). </w:t>
      </w:r>
    </w:p>
    <w:p w:rsidR="00145728" w:rsidRDefault="004D259D" w:rsidP="002364C4">
      <w:pPr>
        <w:pStyle w:val="Heading1"/>
        <w:rPr>
          <w:lang w:eastAsia="ja-JP"/>
        </w:rPr>
      </w:pPr>
      <w:r w:rsidRPr="004D259D">
        <w:rPr>
          <w:rFonts w:hint="eastAsia"/>
          <w:lang w:eastAsia="ja-JP"/>
        </w:rPr>
        <w:t>3</w:t>
      </w:r>
      <w:r w:rsidRPr="004D259D">
        <w:rPr>
          <w:rFonts w:hint="eastAsia"/>
          <w:lang w:eastAsia="ja-JP"/>
        </w:rPr>
        <w:tab/>
      </w:r>
      <w:r w:rsidRPr="004D259D">
        <w:rPr>
          <w:lang w:eastAsia="ja-JP"/>
        </w:rPr>
        <w:t xml:space="preserve">Related </w:t>
      </w:r>
      <w:r w:rsidR="00145728">
        <w:rPr>
          <w:rFonts w:hint="eastAsia"/>
          <w:lang w:eastAsia="ja-JP"/>
        </w:rPr>
        <w:t>docume</w:t>
      </w:r>
      <w:r w:rsidR="001D60AF">
        <w:rPr>
          <w:rFonts w:hint="eastAsia"/>
          <w:lang w:eastAsia="ja-JP"/>
        </w:rPr>
        <w:t>n</w:t>
      </w:r>
      <w:r w:rsidR="00145728">
        <w:rPr>
          <w:rFonts w:hint="eastAsia"/>
          <w:lang w:eastAsia="ja-JP"/>
        </w:rPr>
        <w:t>ts</w:t>
      </w:r>
    </w:p>
    <w:p w:rsidR="00982A6E" w:rsidRPr="00982A6E" w:rsidRDefault="002364C4" w:rsidP="00982A6E">
      <w:pPr>
        <w:rPr>
          <w:lang w:eastAsia="ja-JP"/>
        </w:rPr>
      </w:pPr>
      <w:r>
        <w:rPr>
          <w:lang w:eastAsia="ja-JP"/>
        </w:rPr>
        <w:t xml:space="preserve">ITU-R </w:t>
      </w:r>
      <w:r w:rsidR="00982A6E">
        <w:rPr>
          <w:rFonts w:hint="eastAsia"/>
          <w:lang w:eastAsia="ja-JP"/>
        </w:rPr>
        <w:t>Recommendation</w:t>
      </w:r>
      <w:r>
        <w:rPr>
          <w:lang w:eastAsia="ja-JP"/>
        </w:rPr>
        <w:t>s</w:t>
      </w:r>
      <w:r w:rsidR="00982A6E">
        <w:rPr>
          <w:rFonts w:hint="eastAsia"/>
          <w:lang w:eastAsia="ja-JP"/>
        </w:rPr>
        <w:t>:</w:t>
      </w:r>
    </w:p>
    <w:p w:rsidR="004D259D" w:rsidRPr="004D259D" w:rsidRDefault="004D259D" w:rsidP="004D259D">
      <w:pPr>
        <w:rPr>
          <w:lang w:val="en-US" w:eastAsia="ja-JP"/>
        </w:rPr>
      </w:pPr>
      <w:r w:rsidRPr="004D259D">
        <w:rPr>
          <w:lang w:val="en-US" w:eastAsia="ja-JP"/>
        </w:rPr>
        <w:t>ITU-R M.1890</w:t>
      </w:r>
      <w:r w:rsidRPr="004D259D">
        <w:rPr>
          <w:lang w:val="en-US" w:eastAsia="ja-JP"/>
        </w:rPr>
        <w:tab/>
        <w:t>Intelligent transport systems – Guidelines and objectives</w:t>
      </w:r>
    </w:p>
    <w:p w:rsidR="004D259D" w:rsidRPr="004D259D" w:rsidRDefault="004D259D" w:rsidP="002A696C">
      <w:pPr>
        <w:ind w:left="1871" w:hanging="1871"/>
        <w:rPr>
          <w:lang w:val="en-US" w:eastAsia="ja-JP"/>
        </w:rPr>
      </w:pPr>
      <w:r w:rsidRPr="004D259D">
        <w:rPr>
          <w:lang w:val="en-US" w:eastAsia="ja-JP"/>
        </w:rPr>
        <w:t>ITU-R M.1452</w:t>
      </w:r>
      <w:r w:rsidRPr="004D259D">
        <w:rPr>
          <w:lang w:val="en-US" w:eastAsia="ja-JP"/>
        </w:rPr>
        <w:tab/>
        <w:t>Millimetre wave radiocommunication systems for Intelligent Transport Systems applications</w:t>
      </w:r>
    </w:p>
    <w:p w:rsidR="004D259D" w:rsidRDefault="004D259D" w:rsidP="00B93DAE">
      <w:pPr>
        <w:ind w:left="1871" w:hanging="1871"/>
        <w:rPr>
          <w:lang w:val="en-US" w:eastAsia="ja-JP"/>
        </w:rPr>
      </w:pPr>
      <w:r w:rsidRPr="004D259D">
        <w:rPr>
          <w:lang w:val="en-US" w:eastAsia="ja-JP"/>
        </w:rPr>
        <w:t>ITU-R M.1453</w:t>
      </w:r>
      <w:r w:rsidRPr="004D259D">
        <w:rPr>
          <w:lang w:val="en-US" w:eastAsia="ja-JP"/>
        </w:rPr>
        <w:tab/>
        <w:t xml:space="preserve">Intelligent Transport Systems – dedicated short-range communications </w:t>
      </w:r>
      <w:r w:rsidR="00B93DAE">
        <w:rPr>
          <w:lang w:val="en-US" w:eastAsia="ja-JP"/>
        </w:rPr>
        <w:t>at </w:t>
      </w:r>
      <w:r w:rsidRPr="004D259D">
        <w:rPr>
          <w:lang w:val="en-US" w:eastAsia="ja-JP"/>
        </w:rPr>
        <w:t>5.8 GHz</w:t>
      </w:r>
    </w:p>
    <w:p w:rsidR="004D259D" w:rsidRDefault="004D259D" w:rsidP="00B93DAE">
      <w:pPr>
        <w:ind w:left="1871" w:hanging="1871"/>
        <w:rPr>
          <w:lang w:eastAsia="ja-JP"/>
        </w:rPr>
      </w:pPr>
      <w:r>
        <w:rPr>
          <w:rFonts w:hint="eastAsia"/>
          <w:lang w:val="en-US" w:eastAsia="ja-JP"/>
        </w:rPr>
        <w:t>ITU-R M.</w:t>
      </w:r>
      <w:r w:rsidR="00982A6E">
        <w:rPr>
          <w:rFonts w:hint="eastAsia"/>
          <w:lang w:val="en-US" w:eastAsia="ja-JP"/>
        </w:rPr>
        <w:t>2057</w:t>
      </w:r>
      <w:r w:rsidR="00982A6E">
        <w:rPr>
          <w:rFonts w:hint="eastAsia"/>
          <w:lang w:val="en-US" w:eastAsia="ja-JP"/>
        </w:rPr>
        <w:tab/>
      </w:r>
      <w:r w:rsidR="00982A6E" w:rsidRPr="00982A6E">
        <w:rPr>
          <w:lang w:eastAsia="ja-JP"/>
        </w:rPr>
        <w:t>Systems characteristics of automotive radars operating in the frequency band 76-81 GHz for intelligent transport systems applications</w:t>
      </w:r>
    </w:p>
    <w:p w:rsidR="00982A6E" w:rsidRDefault="00145728" w:rsidP="004D259D">
      <w:pPr>
        <w:rPr>
          <w:lang w:eastAsia="ja-JP"/>
        </w:rPr>
      </w:pPr>
      <w:r>
        <w:rPr>
          <w:rFonts w:hint="eastAsia"/>
          <w:lang w:eastAsia="ja-JP"/>
        </w:rPr>
        <w:t xml:space="preserve">ITU-R </w:t>
      </w:r>
      <w:r w:rsidR="00982A6E">
        <w:rPr>
          <w:rFonts w:hint="eastAsia"/>
          <w:lang w:eastAsia="ja-JP"/>
        </w:rPr>
        <w:t>Report:</w:t>
      </w:r>
    </w:p>
    <w:p w:rsidR="00982A6E" w:rsidRDefault="00982A6E" w:rsidP="00982A6E">
      <w:pPr>
        <w:rPr>
          <w:lang w:val="en-US" w:eastAsia="ja-JP"/>
        </w:rPr>
      </w:pPr>
      <w:r>
        <w:rPr>
          <w:rFonts w:hint="eastAsia"/>
          <w:lang w:val="en-US" w:eastAsia="ja-JP"/>
        </w:rPr>
        <w:t>ITU-R M.2228</w:t>
      </w:r>
      <w:r>
        <w:rPr>
          <w:rFonts w:hint="eastAsia"/>
          <w:lang w:val="en-US" w:eastAsia="ja-JP"/>
        </w:rPr>
        <w:tab/>
      </w:r>
      <w:r w:rsidRPr="00982A6E">
        <w:rPr>
          <w:lang w:val="en-US" w:eastAsia="ja-JP"/>
        </w:rPr>
        <w:t>Advanced intelligent transport systems (ITS) radiocommunications</w:t>
      </w:r>
    </w:p>
    <w:p w:rsidR="009D3A85" w:rsidRDefault="00145728" w:rsidP="00982A6E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ITU-R </w:t>
      </w:r>
      <w:r w:rsidR="002364C4">
        <w:rPr>
          <w:rFonts w:hint="eastAsia"/>
          <w:lang w:val="en-US" w:eastAsia="ja-JP"/>
        </w:rPr>
        <w:t>Handbook:</w:t>
      </w:r>
      <w:r w:rsidR="002364C4">
        <w:rPr>
          <w:rFonts w:hint="eastAsia"/>
          <w:lang w:val="en-US" w:eastAsia="ja-JP"/>
        </w:rPr>
        <w:tab/>
      </w:r>
    </w:p>
    <w:p w:rsidR="009D3A85" w:rsidRDefault="009D3A85" w:rsidP="00982A6E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 w:rsidRPr="009D3A85">
        <w:rPr>
          <w:lang w:val="en-US" w:eastAsia="ja-JP"/>
        </w:rPr>
        <w:t xml:space="preserve">Land Mobile (including Wireless Access) - Volume 4: </w:t>
      </w:r>
      <w:r>
        <w:rPr>
          <w:rFonts w:hint="eastAsia"/>
          <w:lang w:val="en-US" w:eastAsia="ja-JP"/>
        </w:rPr>
        <w:br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 w:rsidRPr="009D3A85">
        <w:rPr>
          <w:lang w:val="en-US" w:eastAsia="ja-JP"/>
        </w:rPr>
        <w:t>Intelligent Transport Systems</w:t>
      </w:r>
    </w:p>
    <w:p w:rsidR="00982A6E" w:rsidRDefault="00145728" w:rsidP="004D259D">
      <w:pPr>
        <w:rPr>
          <w:lang w:val="en-US" w:eastAsia="ja-JP"/>
        </w:rPr>
      </w:pPr>
      <w:r>
        <w:rPr>
          <w:rFonts w:hint="eastAsia"/>
          <w:lang w:val="en-US" w:eastAsia="ja-JP"/>
        </w:rPr>
        <w:t>Other related documents:</w:t>
      </w:r>
    </w:p>
    <w:p w:rsidR="00145728" w:rsidRPr="00982A6E" w:rsidRDefault="00145728" w:rsidP="004D259D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  <w:t>[To be listed</w:t>
      </w:r>
      <w:r>
        <w:rPr>
          <w:lang w:val="en-US" w:eastAsia="ja-JP"/>
        </w:rPr>
        <w:t>]</w:t>
      </w:r>
    </w:p>
    <w:p w:rsidR="004D259D" w:rsidRPr="002364C4" w:rsidRDefault="004D259D" w:rsidP="002364C4">
      <w:pPr>
        <w:pStyle w:val="Heading1"/>
        <w:rPr>
          <w:rStyle w:val="Hyperlink"/>
          <w:color w:val="auto"/>
          <w:u w:val="none"/>
        </w:rPr>
      </w:pPr>
      <w:r w:rsidRPr="002364C4">
        <w:rPr>
          <w:rFonts w:hint="eastAsia"/>
        </w:rPr>
        <w:t>4</w:t>
      </w:r>
      <w:r w:rsidRPr="002364C4">
        <w:rPr>
          <w:rFonts w:hint="eastAsia"/>
        </w:rPr>
        <w:tab/>
      </w:r>
      <w:r w:rsidRPr="002364C4">
        <w:rPr>
          <w:rStyle w:val="Hyperlink"/>
          <w:color w:val="auto"/>
          <w:u w:val="none"/>
        </w:rPr>
        <w:t xml:space="preserve">List of acronyms and abbreviations </w:t>
      </w:r>
    </w:p>
    <w:p w:rsidR="00982A6E" w:rsidRPr="00982A6E" w:rsidRDefault="00982A6E" w:rsidP="002364C4">
      <w:pPr>
        <w:rPr>
          <w:lang w:val="en-US" w:eastAsia="ja-JP"/>
        </w:rPr>
      </w:pPr>
      <w:r w:rsidRPr="00982A6E">
        <w:rPr>
          <w:lang w:val="en-US" w:eastAsia="ja-JP"/>
        </w:rPr>
        <w:t>ARIB</w:t>
      </w:r>
      <w:r w:rsidRPr="00982A6E">
        <w:rPr>
          <w:lang w:val="en-US" w:eastAsia="ja-JP"/>
        </w:rPr>
        <w:tab/>
        <w:t>Association of Radio Industries and Businesses</w:t>
      </w:r>
    </w:p>
    <w:p w:rsidR="00982A6E" w:rsidRPr="00982A6E" w:rsidRDefault="00982A6E" w:rsidP="002364C4">
      <w:pPr>
        <w:spacing w:before="80"/>
        <w:rPr>
          <w:lang w:val="en-US" w:eastAsia="ja-JP"/>
        </w:rPr>
      </w:pPr>
      <w:bookmarkStart w:id="10" w:name="OLE_LINK20"/>
      <w:bookmarkStart w:id="11" w:name="OLE_LINK21"/>
      <w:r w:rsidRPr="00982A6E">
        <w:rPr>
          <w:lang w:val="en-US" w:eastAsia="ja-JP"/>
        </w:rPr>
        <w:t xml:space="preserve">ATIS </w:t>
      </w:r>
      <w:r w:rsidRPr="00982A6E">
        <w:rPr>
          <w:lang w:val="en-US" w:eastAsia="ja-JP"/>
        </w:rPr>
        <w:tab/>
        <w:t>Alliance for Telecommunications Industry Solutions</w:t>
      </w:r>
    </w:p>
    <w:p w:rsidR="00982A6E" w:rsidRPr="00982A6E" w:rsidRDefault="00982A6E" w:rsidP="002364C4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ECC</w:t>
      </w:r>
      <w:r w:rsidRPr="00982A6E">
        <w:rPr>
          <w:lang w:val="en-US" w:eastAsia="ja-JP"/>
        </w:rPr>
        <w:tab/>
        <w:t>Electronic Communications Committee</w:t>
      </w:r>
    </w:p>
    <w:p w:rsidR="00982A6E" w:rsidRPr="00982A6E" w:rsidRDefault="00982A6E" w:rsidP="002364C4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ETSI</w:t>
      </w:r>
      <w:r w:rsidRPr="00982A6E">
        <w:rPr>
          <w:lang w:val="en-US" w:eastAsia="ja-JP"/>
        </w:rPr>
        <w:tab/>
        <w:t>European Telecommunications Standards Institute</w:t>
      </w:r>
    </w:p>
    <w:p w:rsidR="00982A6E" w:rsidRPr="00982A6E" w:rsidRDefault="00982A6E" w:rsidP="002364C4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IEEE</w:t>
      </w:r>
      <w:r w:rsidRPr="00982A6E">
        <w:rPr>
          <w:lang w:val="en-US" w:eastAsia="ja-JP"/>
        </w:rPr>
        <w:tab/>
        <w:t>Institute of Electrical and Electronics Engineers</w:t>
      </w:r>
    </w:p>
    <w:p w:rsidR="005A56FB" w:rsidRDefault="005A56FB" w:rsidP="002364C4">
      <w:pPr>
        <w:spacing w:before="80"/>
        <w:rPr>
          <w:lang w:val="en-US" w:eastAsia="ja-JP"/>
        </w:rPr>
      </w:pPr>
      <w:r>
        <w:rPr>
          <w:rFonts w:hint="eastAsia"/>
          <w:lang w:val="en-US" w:eastAsia="ja-JP"/>
        </w:rPr>
        <w:t>ITS</w:t>
      </w:r>
      <w:r>
        <w:rPr>
          <w:rFonts w:hint="eastAsia"/>
          <w:lang w:val="en-US" w:eastAsia="ja-JP"/>
        </w:rPr>
        <w:tab/>
        <w:t>Intelligent Transport Systems</w:t>
      </w:r>
    </w:p>
    <w:p w:rsidR="00982A6E" w:rsidRPr="00982A6E" w:rsidRDefault="00982A6E" w:rsidP="002364C4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TIA</w:t>
      </w:r>
      <w:r w:rsidRPr="00982A6E">
        <w:rPr>
          <w:lang w:val="en-US" w:eastAsia="ja-JP"/>
        </w:rPr>
        <w:tab/>
        <w:t>Telecommunications Industry Association</w:t>
      </w:r>
    </w:p>
    <w:p w:rsidR="00982A6E" w:rsidRDefault="00982A6E" w:rsidP="002364C4">
      <w:pPr>
        <w:spacing w:before="80"/>
        <w:rPr>
          <w:lang w:val="en-US" w:eastAsia="ja-JP"/>
        </w:rPr>
      </w:pPr>
      <w:r w:rsidRPr="00982A6E">
        <w:rPr>
          <w:lang w:val="en-US" w:eastAsia="ja-JP"/>
        </w:rPr>
        <w:t>TTA</w:t>
      </w:r>
      <w:r w:rsidRPr="00982A6E">
        <w:rPr>
          <w:lang w:val="en-US" w:eastAsia="ja-JP"/>
        </w:rPr>
        <w:tab/>
        <w:t>Telecommunication Technology Association</w:t>
      </w:r>
      <w:bookmarkEnd w:id="10"/>
      <w:bookmarkEnd w:id="11"/>
    </w:p>
    <w:p w:rsidR="004D259D" w:rsidRPr="002364C4" w:rsidRDefault="004D259D" w:rsidP="002364C4">
      <w:pPr>
        <w:pStyle w:val="Heading1"/>
        <w:rPr>
          <w:rStyle w:val="Hyperlink"/>
          <w:color w:val="auto"/>
          <w:u w:val="none"/>
        </w:rPr>
      </w:pPr>
      <w:r w:rsidRPr="002364C4">
        <w:rPr>
          <w:rStyle w:val="Hyperlink"/>
          <w:rFonts w:hint="eastAsia"/>
          <w:color w:val="auto"/>
          <w:u w:val="none"/>
        </w:rPr>
        <w:t>5</w:t>
      </w:r>
      <w:r w:rsidRPr="002364C4">
        <w:rPr>
          <w:rStyle w:val="Hyperlink"/>
          <w:rFonts w:hint="eastAsia"/>
          <w:color w:val="auto"/>
          <w:u w:val="none"/>
        </w:rPr>
        <w:tab/>
      </w:r>
      <w:r w:rsidRPr="002364C4">
        <w:rPr>
          <w:rStyle w:val="Hyperlink"/>
          <w:color w:val="auto"/>
          <w:u w:val="none"/>
        </w:rPr>
        <w:t>Overview of ITS radiocommunication and vehicular radar</w:t>
      </w:r>
    </w:p>
    <w:sectPr w:rsidR="004D259D" w:rsidRPr="002364C4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04" w:rsidRDefault="00FC1104">
      <w:r>
        <w:separator/>
      </w:r>
    </w:p>
  </w:endnote>
  <w:endnote w:type="continuationSeparator" w:id="0">
    <w:p w:rsidR="00FC1104" w:rsidRDefault="00F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A696C" w:rsidRDefault="002A696C" w:rsidP="002A696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B93DAE">
      <w:t>M:\BRSGD\TEXT2014\SG05\WP5A\500\543\543N20e.docx</w:t>
    </w:r>
    <w: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93DAE">
      <w:t>05.06.14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93DAE">
      <w:t>05.06.14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C4" w:rsidRDefault="002A696C" w:rsidP="002A696C">
    <w:pPr>
      <w:pStyle w:val="Footer"/>
    </w:pPr>
    <w:fldSimple w:instr=" FILENAME \p  \* MERGEFORMAT ">
      <w:r w:rsidR="00B93DAE">
        <w:t>M:\BRSGD\TEXT2014\SG05\WP5A\500\543\543N20e.docx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93DAE">
      <w:t>05.06.14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B93DAE">
      <w:t>05.06.14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04" w:rsidRDefault="00FC1104">
      <w:r>
        <w:t>____________________</w:t>
      </w:r>
    </w:p>
  </w:footnote>
  <w:footnote w:type="continuationSeparator" w:id="0">
    <w:p w:rsidR="00FC1104" w:rsidRDefault="00FC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93DA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364C4">
    <w:pPr>
      <w:pStyle w:val="Header"/>
      <w:rPr>
        <w:lang w:val="en-US"/>
      </w:rPr>
    </w:pPr>
    <w:r>
      <w:rPr>
        <w:lang w:val="en-US"/>
      </w:rPr>
      <w:t>5A/</w:t>
    </w:r>
    <w:r w:rsidR="00354ABC">
      <w:rPr>
        <w:lang w:val="en-US"/>
      </w:rPr>
      <w:t>543 (Annex 20)</w:t>
    </w:r>
    <w:r w:rsidR="00501A85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5"/>
    <w:rsid w:val="000069D4"/>
    <w:rsid w:val="000174AD"/>
    <w:rsid w:val="000439D9"/>
    <w:rsid w:val="00047DA7"/>
    <w:rsid w:val="000A7D55"/>
    <w:rsid w:val="000C2E8E"/>
    <w:rsid w:val="000E0E7C"/>
    <w:rsid w:val="000F1B4B"/>
    <w:rsid w:val="0012744F"/>
    <w:rsid w:val="00145728"/>
    <w:rsid w:val="00156F66"/>
    <w:rsid w:val="0016478A"/>
    <w:rsid w:val="00182528"/>
    <w:rsid w:val="0018500B"/>
    <w:rsid w:val="00196A19"/>
    <w:rsid w:val="001C3096"/>
    <w:rsid w:val="001D60AF"/>
    <w:rsid w:val="001F4B78"/>
    <w:rsid w:val="001F73F6"/>
    <w:rsid w:val="00202DC1"/>
    <w:rsid w:val="002116EE"/>
    <w:rsid w:val="002309D8"/>
    <w:rsid w:val="002364C4"/>
    <w:rsid w:val="00246608"/>
    <w:rsid w:val="002A696C"/>
    <w:rsid w:val="002A7FE2"/>
    <w:rsid w:val="002B7D7C"/>
    <w:rsid w:val="002E1B4F"/>
    <w:rsid w:val="002F2E67"/>
    <w:rsid w:val="00315546"/>
    <w:rsid w:val="00330567"/>
    <w:rsid w:val="00354ABC"/>
    <w:rsid w:val="00380777"/>
    <w:rsid w:val="00386A9D"/>
    <w:rsid w:val="00391081"/>
    <w:rsid w:val="003B2789"/>
    <w:rsid w:val="003C13CE"/>
    <w:rsid w:val="003E2518"/>
    <w:rsid w:val="003E66BC"/>
    <w:rsid w:val="003E7CEF"/>
    <w:rsid w:val="0040225A"/>
    <w:rsid w:val="00470C2D"/>
    <w:rsid w:val="004B1EF7"/>
    <w:rsid w:val="004B3FAD"/>
    <w:rsid w:val="004D259D"/>
    <w:rsid w:val="00501A85"/>
    <w:rsid w:val="00501DCA"/>
    <w:rsid w:val="00513A47"/>
    <w:rsid w:val="00536E48"/>
    <w:rsid w:val="005408DF"/>
    <w:rsid w:val="00573344"/>
    <w:rsid w:val="00583F9B"/>
    <w:rsid w:val="005A56FB"/>
    <w:rsid w:val="005E5C10"/>
    <w:rsid w:val="005F2C78"/>
    <w:rsid w:val="006144E4"/>
    <w:rsid w:val="00650299"/>
    <w:rsid w:val="00652C13"/>
    <w:rsid w:val="00655FC5"/>
    <w:rsid w:val="00742057"/>
    <w:rsid w:val="00771557"/>
    <w:rsid w:val="007F5504"/>
    <w:rsid w:val="00822581"/>
    <w:rsid w:val="008307ED"/>
    <w:rsid w:val="008309DD"/>
    <w:rsid w:val="0083227A"/>
    <w:rsid w:val="00866900"/>
    <w:rsid w:val="00880B6A"/>
    <w:rsid w:val="00881BA1"/>
    <w:rsid w:val="008C26B8"/>
    <w:rsid w:val="008D48B4"/>
    <w:rsid w:val="008F208F"/>
    <w:rsid w:val="00982084"/>
    <w:rsid w:val="00982A6E"/>
    <w:rsid w:val="00995963"/>
    <w:rsid w:val="009B61EB"/>
    <w:rsid w:val="009C2064"/>
    <w:rsid w:val="009D1697"/>
    <w:rsid w:val="009D3A85"/>
    <w:rsid w:val="00A014F8"/>
    <w:rsid w:val="00A5173C"/>
    <w:rsid w:val="00A61AEF"/>
    <w:rsid w:val="00AA57D0"/>
    <w:rsid w:val="00AF173A"/>
    <w:rsid w:val="00B066A4"/>
    <w:rsid w:val="00B07A13"/>
    <w:rsid w:val="00B4279B"/>
    <w:rsid w:val="00B45FC9"/>
    <w:rsid w:val="00B924D5"/>
    <w:rsid w:val="00B93DAE"/>
    <w:rsid w:val="00BC7CCF"/>
    <w:rsid w:val="00BE470B"/>
    <w:rsid w:val="00C25F48"/>
    <w:rsid w:val="00C53DC4"/>
    <w:rsid w:val="00C57A91"/>
    <w:rsid w:val="00CC01C2"/>
    <w:rsid w:val="00CF21F2"/>
    <w:rsid w:val="00D02712"/>
    <w:rsid w:val="00D214D0"/>
    <w:rsid w:val="00D6546B"/>
    <w:rsid w:val="00DD4BED"/>
    <w:rsid w:val="00DD7279"/>
    <w:rsid w:val="00DE39F0"/>
    <w:rsid w:val="00DF0AF3"/>
    <w:rsid w:val="00E27D7E"/>
    <w:rsid w:val="00E42E13"/>
    <w:rsid w:val="00E54F40"/>
    <w:rsid w:val="00E6257C"/>
    <w:rsid w:val="00E63C59"/>
    <w:rsid w:val="00F17E24"/>
    <w:rsid w:val="00F9447E"/>
    <w:rsid w:val="00FA124A"/>
    <w:rsid w:val="00FB4919"/>
    <w:rsid w:val="00FC08DD"/>
    <w:rsid w:val="00FC1104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4205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05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rsid w:val="00246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4205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05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rsid w:val="0024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mOyama\Desktop\140318_Pataya_16th%20AWG\AWG&#23550;&#31574;&#36899;&#32097;&#20250;&#35696;\APT-AWG-REP-18-R1-APT_Report_on_Usage_of_ITS%20(3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mOyama\Desktop\140318_Pataya_16th%20AWG\AWG&#23550;&#31574;&#36899;&#32097;&#20250;&#35696;\R12-WP5A-C-0223!!MSW-E%20(1)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3</Pages>
  <Words>425</Words>
  <Characters>3385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9</vt:i4>
      </vt:variant>
    </vt:vector>
  </HeadingPairs>
  <TitlesOfParts>
    <vt:vector size="11" baseType="lpstr">
      <vt:lpstr/>
      <vt:lpstr/>
      <vt:lpstr>1	Introduction</vt:lpstr>
      <vt:lpstr/>
      <vt:lpstr>This report  addresses the usages of ITS radiocommunication applications, such a</vt:lpstr>
      <vt:lpstr>infrastructure, vehicle to vehicle, vehicle to pedestrian communications for roa</vt:lpstr>
      <vt:lpstr>and vehicular radars for collision avoidance in ITU-R Member countries. </vt:lpstr>
      <vt:lpstr>2	Background</vt:lpstr>
      <vt:lpstr>3	Related documents</vt:lpstr>
      <vt:lpstr>4	List of acronyms and abbreviations </vt:lpstr>
      <vt:lpstr>5	Overview of ITS radiocommunication and vehicular radar</vt:lpstr>
    </vt:vector>
  </TitlesOfParts>
  <Company>ITU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Mostyn-Jones, Elizabeth</dc:creator>
  <cp:lastModifiedBy>ITU</cp:lastModifiedBy>
  <cp:revision>4</cp:revision>
  <cp:lastPrinted>2014-06-05T06:23:00Z</cp:lastPrinted>
  <dcterms:created xsi:type="dcterms:W3CDTF">2014-06-05T09:49:00Z</dcterms:created>
  <dcterms:modified xsi:type="dcterms:W3CDTF">2014-06-05T09:52:00Z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