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C62BA">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0C62BA">
              <w:rPr>
                <w:rFonts w:ascii="Verdana" w:hAnsi="Verdana" w:cs="Times New Roman Bold"/>
                <w:b/>
                <w:bCs/>
                <w:sz w:val="20"/>
              </w:rPr>
              <w:t>4</w:t>
            </w:r>
            <w:r>
              <w:rPr>
                <w:rFonts w:ascii="Verdana" w:hAnsi="Verdana" w:cs="Times New Roman Bold"/>
                <w:b/>
                <w:bCs/>
                <w:sz w:val="20"/>
              </w:rPr>
              <w:t>-</w:t>
            </w:r>
            <w:r w:rsidR="00482905">
              <w:rPr>
                <w:rFonts w:ascii="Verdana" w:hAnsi="Verdana" w:cs="Times New Roman Bold"/>
                <w:b/>
                <w:bCs/>
                <w:sz w:val="20"/>
              </w:rPr>
              <w:t>2</w:t>
            </w:r>
            <w:r w:rsidR="000C62BA">
              <w:rPr>
                <w:rFonts w:ascii="Verdana" w:hAnsi="Verdana" w:cs="Times New Roman Bold"/>
                <w:b/>
                <w:bCs/>
                <w:sz w:val="20"/>
              </w:rPr>
              <w:t>7</w:t>
            </w:r>
            <w:r>
              <w:rPr>
                <w:rFonts w:ascii="Verdana" w:hAnsi="Verdana" w:cs="Times New Roman Bold"/>
                <w:b/>
                <w:bCs/>
                <w:sz w:val="20"/>
              </w:rPr>
              <w:t xml:space="preserve"> de </w:t>
            </w:r>
            <w:r w:rsidR="000C62BA">
              <w:rPr>
                <w:rFonts w:ascii="Verdana" w:hAnsi="Verdana" w:cs="Times New Roman Bold"/>
                <w:b/>
                <w:bCs/>
                <w:sz w:val="20"/>
              </w:rPr>
              <w:t>junio</w:t>
            </w:r>
            <w:r>
              <w:rPr>
                <w:rFonts w:ascii="Verdana" w:hAnsi="Verdana" w:cs="Times New Roman Bold"/>
                <w:b/>
                <w:bCs/>
                <w:sz w:val="20"/>
              </w:rPr>
              <w:t xml:space="preserve"> de 20</w:t>
            </w:r>
            <w:r w:rsidR="005D3E02">
              <w:rPr>
                <w:rFonts w:ascii="Verdana" w:hAnsi="Verdana" w:cs="Times New Roman Bold"/>
                <w:b/>
                <w:bCs/>
                <w:sz w:val="20"/>
              </w:rPr>
              <w:t>1</w:t>
            </w:r>
            <w:r w:rsidR="000C62BA">
              <w:rPr>
                <w:rFonts w:ascii="Verdana" w:hAnsi="Verdana" w:cs="Times New Roman Bold"/>
                <w:b/>
                <w:bCs/>
                <w:sz w:val="20"/>
              </w:rPr>
              <w:t>4</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78CAA8CB" wp14:editId="11BA6AA9">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186EAF" w:rsidRDefault="00186EAF" w:rsidP="00186EAF">
            <w:pPr>
              <w:shd w:val="solid" w:color="FFFFFF" w:fill="FFFFFF"/>
              <w:spacing w:before="0" w:line="240" w:lineRule="atLeast"/>
              <w:rPr>
                <w:rFonts w:ascii="Verdana" w:hAnsi="Verdana"/>
                <w:sz w:val="20"/>
              </w:rPr>
            </w:pPr>
            <w:r>
              <w:rPr>
                <w:rFonts w:ascii="Verdana" w:hAnsi="Verdana"/>
                <w:b/>
                <w:sz w:val="20"/>
              </w:rPr>
              <w:t>Documento RAG14-1/1-S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186EAF" w:rsidRDefault="00186EAF" w:rsidP="00186EAF">
            <w:pPr>
              <w:shd w:val="solid" w:color="FFFFFF" w:fill="FFFFFF"/>
              <w:spacing w:before="0" w:line="240" w:lineRule="atLeast"/>
              <w:rPr>
                <w:rFonts w:ascii="Verdana" w:hAnsi="Verdana"/>
                <w:sz w:val="20"/>
              </w:rPr>
            </w:pPr>
            <w:r>
              <w:rPr>
                <w:rFonts w:ascii="Verdana" w:hAnsi="Verdana"/>
                <w:b/>
                <w:sz w:val="20"/>
              </w:rPr>
              <w:t>30 de mayo de 2014</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186EAF" w:rsidRDefault="00186EAF" w:rsidP="00186EAF">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186EAF" w:rsidP="00CB7A43">
            <w:pPr>
              <w:pStyle w:val="Source"/>
            </w:pPr>
            <w:bookmarkStart w:id="3" w:name="dsource" w:colFirst="0" w:colLast="0"/>
            <w:bookmarkEnd w:id="2"/>
            <w:r w:rsidRPr="00255CCF">
              <w:t>Director de la Oficina de Radiocomunicaciones</w:t>
            </w:r>
          </w:p>
        </w:tc>
      </w:tr>
      <w:tr w:rsidR="00186EAF" w:rsidTr="005638D8">
        <w:trPr>
          <w:cantSplit/>
        </w:trPr>
        <w:tc>
          <w:tcPr>
            <w:tcW w:w="9889" w:type="dxa"/>
            <w:gridSpan w:val="2"/>
          </w:tcPr>
          <w:p w:rsidR="00186EAF" w:rsidRDefault="00186EAF" w:rsidP="00DA05CB">
            <w:pPr>
              <w:pStyle w:val="Title1"/>
            </w:pPr>
            <w:bookmarkStart w:id="4" w:name="dtitle1" w:colFirst="0" w:colLast="0"/>
            <w:bookmarkEnd w:id="3"/>
            <w:r>
              <w:t xml:space="preserve">INFORME A LA </w:t>
            </w:r>
            <w:r w:rsidR="00DA05CB">
              <w:t xml:space="preserve">VIGÉSIMa PRIMERA </w:t>
            </w:r>
            <w:r>
              <w:t xml:space="preserve">REUNIÓN DEL </w:t>
            </w:r>
            <w:r>
              <w:br/>
              <w:t>GRUPO ASESOR DE RADIOCOMUNICACIONES</w:t>
            </w:r>
          </w:p>
        </w:tc>
      </w:tr>
    </w:tbl>
    <w:bookmarkEnd w:id="4"/>
    <w:p w:rsidR="00186EAF" w:rsidRPr="00187C22" w:rsidRDefault="00186EAF" w:rsidP="00F041F7">
      <w:pPr>
        <w:pStyle w:val="Heading1"/>
        <w:rPr>
          <w:lang w:val="es-ES"/>
        </w:rPr>
      </w:pPr>
      <w:r w:rsidRPr="00187C22">
        <w:rPr>
          <w:lang w:val="es-ES"/>
        </w:rPr>
        <w:t>1</w:t>
      </w:r>
      <w:r w:rsidRPr="00187C22">
        <w:rPr>
          <w:lang w:val="es-ES"/>
        </w:rPr>
        <w:tab/>
        <w:t>Introducción</w:t>
      </w:r>
    </w:p>
    <w:p w:rsidR="00186EAF" w:rsidRPr="00187C22" w:rsidRDefault="00186EAF" w:rsidP="00A92D9C">
      <w:pPr>
        <w:spacing w:after="120"/>
        <w:rPr>
          <w:lang w:val="es-ES"/>
        </w:rPr>
      </w:pPr>
      <w:r w:rsidRPr="00187C22">
        <w:rPr>
          <w:lang w:val="es-ES"/>
        </w:rPr>
        <w:t xml:space="preserve">El presente Informe tiene por objeto rendir cuenta de la marcha de los trabajos y proporcionar información </w:t>
      </w:r>
      <w:r w:rsidR="0019598A">
        <w:rPr>
          <w:lang w:val="es-ES"/>
        </w:rPr>
        <w:t>de carácter general</w:t>
      </w:r>
      <w:r w:rsidRPr="00187C22">
        <w:rPr>
          <w:lang w:val="es-ES"/>
        </w:rPr>
        <w:t xml:space="preserve"> sobre algunos temas que figuran en el orden del día provisional</w:t>
      </w:r>
      <w:r w:rsidRPr="00187C22">
        <w:rPr>
          <w:rFonts w:asciiTheme="majorBidi" w:hAnsiTheme="majorBidi" w:cstheme="majorBidi"/>
          <w:szCs w:val="24"/>
          <w:lang w:val="es-ES"/>
        </w:rPr>
        <w:t xml:space="preserve"> de la </w:t>
      </w:r>
      <w:r>
        <w:rPr>
          <w:rFonts w:asciiTheme="majorBidi" w:hAnsiTheme="majorBidi" w:cstheme="majorBidi"/>
          <w:szCs w:val="24"/>
          <w:lang w:val="es-ES"/>
        </w:rPr>
        <w:t>21</w:t>
      </w:r>
      <w:r w:rsidRPr="00187C22">
        <w:rPr>
          <w:rFonts w:asciiTheme="majorBidi" w:hAnsiTheme="majorBidi" w:cstheme="majorBidi"/>
          <w:szCs w:val="24"/>
          <w:lang w:val="es-ES"/>
        </w:rPr>
        <w:t xml:space="preserve">ª reunión del GAR (véase </w:t>
      </w:r>
      <w:hyperlink r:id="rId10" w:history="1">
        <w:r w:rsidRPr="00186EAF">
          <w:rPr>
            <w:rStyle w:val="Hyperlink"/>
          </w:rPr>
          <w:t>CA/212</w:t>
        </w:r>
      </w:hyperlink>
      <w:r w:rsidRPr="00187C22">
        <w:rPr>
          <w:lang w:val="es-ES"/>
        </w:rPr>
        <w:t xml:space="preserve"> de</w:t>
      </w:r>
      <w:r w:rsidR="0019598A">
        <w:rPr>
          <w:lang w:val="es-ES"/>
        </w:rPr>
        <w:t>l</w:t>
      </w:r>
      <w:r w:rsidRPr="00187C22">
        <w:rPr>
          <w:lang w:val="es-ES"/>
        </w:rPr>
        <w:t xml:space="preserve"> </w:t>
      </w:r>
      <w:r w:rsidR="0019598A">
        <w:t>7.</w:t>
      </w:r>
      <w:r w:rsidRPr="00186EAF">
        <w:t>2.14</w:t>
      </w:r>
      <w:r w:rsidRPr="00187C22">
        <w:rPr>
          <w:lang w:val="es-ES"/>
        </w:rPr>
        <w:t>)</w:t>
      </w:r>
      <w:r w:rsidR="0019598A">
        <w:rPr>
          <w:lang w:val="es-ES"/>
        </w:rPr>
        <w:t xml:space="preserve"> </w:t>
      </w:r>
      <w:r w:rsidRPr="00187C22">
        <w:rPr>
          <w:lang w:val="es-ES"/>
        </w:rPr>
        <w:t>con el fin de ayudar a los participantes en la reunión a examinar los correspondientes puntos del orden del día.</w:t>
      </w:r>
    </w:p>
    <w:p w:rsidR="00186EAF" w:rsidRPr="00187C22" w:rsidRDefault="00186EAF" w:rsidP="00886232">
      <w:pPr>
        <w:rPr>
          <w:lang w:val="es-ES"/>
        </w:rPr>
      </w:pPr>
      <w:r w:rsidRPr="00187C22">
        <w:rPr>
          <w:lang w:val="es-ES"/>
        </w:rPr>
        <w:t xml:space="preserve">Se presentarán </w:t>
      </w:r>
      <w:r w:rsidR="00886232">
        <w:rPr>
          <w:lang w:val="es-ES"/>
        </w:rPr>
        <w:t>i</w:t>
      </w:r>
      <w:r w:rsidRPr="00187C22">
        <w:rPr>
          <w:lang w:val="es-ES"/>
        </w:rPr>
        <w:t xml:space="preserve">nformes separados para </w:t>
      </w:r>
      <w:r w:rsidR="0019598A">
        <w:rPr>
          <w:lang w:val="es-ES"/>
        </w:rPr>
        <w:t xml:space="preserve">ciertos </w:t>
      </w:r>
      <w:r w:rsidRPr="00187C22">
        <w:rPr>
          <w:lang w:val="es-ES"/>
        </w:rPr>
        <w:t>puntos del orden del día.</w:t>
      </w:r>
    </w:p>
    <w:p w:rsidR="00186EAF" w:rsidRPr="00187C22" w:rsidRDefault="007C7759" w:rsidP="007C7759">
      <w:pPr>
        <w:pStyle w:val="Heading1"/>
        <w:rPr>
          <w:lang w:val="es-ES"/>
        </w:rPr>
      </w:pPr>
      <w:r>
        <w:rPr>
          <w:lang w:val="es-ES"/>
        </w:rPr>
        <w:t>2</w:t>
      </w:r>
      <w:r>
        <w:rPr>
          <w:lang w:val="es-ES"/>
        </w:rPr>
        <w:tab/>
        <w:t xml:space="preserve">Asuntos relativos al </w:t>
      </w:r>
      <w:r w:rsidR="00186EAF" w:rsidRPr="00187C22">
        <w:rPr>
          <w:lang w:val="es-ES"/>
        </w:rPr>
        <w:t>Consejo</w:t>
      </w:r>
    </w:p>
    <w:p w:rsidR="00186EAF" w:rsidRPr="00187C22" w:rsidRDefault="00186EAF" w:rsidP="00A92D9C">
      <w:pPr>
        <w:rPr>
          <w:rFonts w:asciiTheme="majorBidi" w:hAnsiTheme="majorBidi" w:cstheme="majorBidi"/>
          <w:szCs w:val="24"/>
          <w:lang w:val="es-ES"/>
        </w:rPr>
      </w:pPr>
      <w:r w:rsidRPr="00187C22">
        <w:rPr>
          <w:rFonts w:asciiTheme="majorBidi" w:hAnsiTheme="majorBidi" w:cstheme="majorBidi"/>
          <w:szCs w:val="24"/>
          <w:lang w:val="es-ES"/>
        </w:rPr>
        <w:t>En est</w:t>
      </w:r>
      <w:r>
        <w:rPr>
          <w:rFonts w:asciiTheme="majorBidi" w:hAnsiTheme="majorBidi" w:cstheme="majorBidi"/>
          <w:szCs w:val="24"/>
          <w:lang w:val="es-ES"/>
        </w:rPr>
        <w:t>e</w:t>
      </w:r>
      <w:r w:rsidRPr="00187C22">
        <w:rPr>
          <w:rFonts w:asciiTheme="majorBidi" w:hAnsiTheme="majorBidi" w:cstheme="majorBidi"/>
          <w:szCs w:val="24"/>
          <w:lang w:val="es-ES"/>
        </w:rPr>
        <w:t xml:space="preserve"> </w:t>
      </w:r>
      <w:r>
        <w:rPr>
          <w:rFonts w:asciiTheme="majorBidi" w:hAnsiTheme="majorBidi" w:cstheme="majorBidi"/>
          <w:szCs w:val="24"/>
          <w:lang w:val="es-ES"/>
        </w:rPr>
        <w:t>punto</w:t>
      </w:r>
      <w:r w:rsidRPr="00187C22">
        <w:rPr>
          <w:rFonts w:asciiTheme="majorBidi" w:hAnsiTheme="majorBidi" w:cstheme="majorBidi"/>
          <w:szCs w:val="24"/>
          <w:lang w:val="es-ES"/>
        </w:rPr>
        <w:t xml:space="preserve"> se abordan los asuntos examinados por el Consejo en su</w:t>
      </w:r>
      <w:r w:rsidR="00745FCD">
        <w:rPr>
          <w:rFonts w:asciiTheme="majorBidi" w:hAnsiTheme="majorBidi" w:cstheme="majorBidi"/>
          <w:szCs w:val="24"/>
          <w:lang w:val="es-ES"/>
        </w:rPr>
        <w:t xml:space="preserve"> </w:t>
      </w:r>
      <w:r w:rsidRPr="00187C22">
        <w:rPr>
          <w:rFonts w:asciiTheme="majorBidi" w:hAnsiTheme="majorBidi" w:cstheme="majorBidi"/>
          <w:szCs w:val="24"/>
          <w:lang w:val="es-ES"/>
        </w:rPr>
        <w:t>reuni</w:t>
      </w:r>
      <w:r w:rsidR="00745FCD">
        <w:rPr>
          <w:rFonts w:asciiTheme="majorBidi" w:hAnsiTheme="majorBidi" w:cstheme="majorBidi"/>
          <w:szCs w:val="24"/>
          <w:lang w:val="es-ES"/>
        </w:rPr>
        <w:t xml:space="preserve">ón </w:t>
      </w:r>
      <w:r w:rsidRPr="00187C22">
        <w:rPr>
          <w:rFonts w:asciiTheme="majorBidi" w:hAnsiTheme="majorBidi" w:cstheme="majorBidi"/>
          <w:szCs w:val="24"/>
          <w:lang w:val="es-ES"/>
        </w:rPr>
        <w:t xml:space="preserve">de </w:t>
      </w:r>
      <w:r>
        <w:rPr>
          <w:rFonts w:asciiTheme="majorBidi" w:hAnsiTheme="majorBidi" w:cstheme="majorBidi"/>
          <w:szCs w:val="24"/>
          <w:lang w:val="es-ES"/>
        </w:rPr>
        <w:t>2014</w:t>
      </w:r>
      <w:r w:rsidRPr="00187C22">
        <w:rPr>
          <w:rFonts w:asciiTheme="majorBidi" w:hAnsiTheme="majorBidi" w:cstheme="majorBidi"/>
          <w:szCs w:val="24"/>
          <w:lang w:val="es-ES"/>
        </w:rPr>
        <w:t xml:space="preserve"> (véase: </w:t>
      </w:r>
      <w:hyperlink r:id="rId11" w:history="1">
        <w:r w:rsidRPr="00186EAF">
          <w:rPr>
            <w:rStyle w:val="Hyperlink"/>
          </w:rPr>
          <w:t>http://www.itu.int/council/</w:t>
        </w:r>
      </w:hyperlink>
      <w:r w:rsidRPr="00187C22">
        <w:rPr>
          <w:rFonts w:asciiTheme="majorBidi" w:hAnsiTheme="majorBidi" w:cstheme="majorBidi"/>
          <w:szCs w:val="24"/>
          <w:lang w:val="es-ES"/>
        </w:rPr>
        <w:t>).</w:t>
      </w:r>
    </w:p>
    <w:p w:rsidR="0017464F" w:rsidRDefault="0017464F" w:rsidP="0017464F">
      <w:pPr>
        <w:pStyle w:val="Heading2"/>
      </w:pPr>
      <w:r>
        <w:t>2.1</w:t>
      </w:r>
      <w:r>
        <w:tab/>
        <w:t>Publicaciones</w:t>
      </w:r>
    </w:p>
    <w:p w:rsidR="00D63C15" w:rsidRDefault="00D63C15" w:rsidP="00F041F7">
      <w:r>
        <w:t>Gracias a l</w:t>
      </w:r>
      <w:r w:rsidR="00A92D9C" w:rsidRPr="00A92D9C">
        <w:t xml:space="preserve">a política de acceso gratuito en línea </w:t>
      </w:r>
      <w:r>
        <w:t>pro</w:t>
      </w:r>
      <w:r w:rsidR="00A92D9C" w:rsidRPr="00A92D9C">
        <w:t xml:space="preserve">sigue </w:t>
      </w:r>
      <w:r>
        <w:t>la</w:t>
      </w:r>
      <w:r w:rsidR="00A92D9C" w:rsidRPr="00A92D9C">
        <w:t xml:space="preserve"> difusión de las normas de la UIT a un público más amplio, especialmente en los países en desarrollo con limitaciones financieras. </w:t>
      </w:r>
      <w:r w:rsidR="004F2076" w:rsidRPr="004F2076">
        <w:t xml:space="preserve">Esta ampliación del acceso </w:t>
      </w:r>
      <w:r w:rsidR="004F2076">
        <w:t xml:space="preserve">gratuito </w:t>
      </w:r>
      <w:r w:rsidR="004F2076" w:rsidRPr="004F2076">
        <w:t xml:space="preserve">en línea </w:t>
      </w:r>
      <w:r w:rsidR="004F2076">
        <w:t>contribuye</w:t>
      </w:r>
      <w:r w:rsidR="0063606F">
        <w:t xml:space="preserve"> a dar mejor a conocer </w:t>
      </w:r>
      <w:r w:rsidR="004F2076" w:rsidRPr="004F2076">
        <w:t xml:space="preserve">la misión y </w:t>
      </w:r>
      <w:r w:rsidR="004F2076">
        <w:t xml:space="preserve">el </w:t>
      </w:r>
      <w:r w:rsidR="004F2076" w:rsidRPr="004F2076">
        <w:t xml:space="preserve">mandato de la UIT y </w:t>
      </w:r>
      <w:r w:rsidR="004F2076">
        <w:t xml:space="preserve">a </w:t>
      </w:r>
      <w:r w:rsidR="004F2076" w:rsidRPr="004F2076">
        <w:t xml:space="preserve">reforzar </w:t>
      </w:r>
      <w:r w:rsidR="009458D0">
        <w:t xml:space="preserve">su papel de </w:t>
      </w:r>
      <w:r w:rsidR="004F2076" w:rsidRPr="004F2076">
        <w:t>autoridad mundial en materia de telecomunicaciones</w:t>
      </w:r>
      <w:r w:rsidR="004F2076">
        <w:t>.</w:t>
      </w:r>
    </w:p>
    <w:p w:rsidR="009F663F" w:rsidRPr="008045D0" w:rsidRDefault="00993971" w:rsidP="00886232">
      <w:r>
        <w:t>Mediante su</w:t>
      </w:r>
      <w:r w:rsidR="008045D0" w:rsidRPr="008045D0">
        <w:t xml:space="preserve"> Decisión 12 (Guadalajara, 2010), la PP-10 amplió la política de acceso gratuito en línea </w:t>
      </w:r>
      <w:r w:rsidR="00A34C21">
        <w:t xml:space="preserve">a </w:t>
      </w:r>
      <w:r w:rsidR="008045D0" w:rsidRPr="008045D0">
        <w:t>Recom</w:t>
      </w:r>
      <w:r w:rsidR="00A34C21">
        <w:t>endaciones e Informes del UIT-R, entre otros documentos.</w:t>
      </w:r>
      <w:r w:rsidR="008045D0" w:rsidRPr="008045D0">
        <w:t xml:space="preserve"> Posteriormente, con arreglo </w:t>
      </w:r>
      <w:r w:rsidR="001F39DC">
        <w:t>al Acuerdo</w:t>
      </w:r>
      <w:r w:rsidR="008045D0" w:rsidRPr="008045D0">
        <w:t xml:space="preserve"> 571, el Consejo, en su reunión de 2012, proporcionó </w:t>
      </w:r>
      <w:r w:rsidR="00A97226">
        <w:t xml:space="preserve">al público en general </w:t>
      </w:r>
      <w:r w:rsidR="008045D0" w:rsidRPr="008045D0">
        <w:t>acceso gratuito en línea al Reglamento de Radiocomunicaciones durante un per</w:t>
      </w:r>
      <w:r w:rsidR="00886232">
        <w:t>i</w:t>
      </w:r>
      <w:r w:rsidR="008045D0" w:rsidRPr="008045D0">
        <w:t xml:space="preserve">odo de prueba hasta la celebración de la </w:t>
      </w:r>
      <w:r w:rsidR="00A34C21">
        <w:t>Conferencia de Plenipotenciarios de 20</w:t>
      </w:r>
      <w:r w:rsidR="008045D0" w:rsidRPr="008045D0">
        <w:t xml:space="preserve">14. En su reunión de 2013, el Consejo revisó </w:t>
      </w:r>
      <w:r w:rsidR="001F39DC">
        <w:t>el Acuerdo</w:t>
      </w:r>
      <w:r w:rsidR="008045D0" w:rsidRPr="008045D0">
        <w:t> 571 y acordó dar al público en general acceso gratuito en línea permanente a los Manuales del UIT-R sob</w:t>
      </w:r>
      <w:r w:rsidR="00A34C21">
        <w:t xml:space="preserve">re gestión del espectro de </w:t>
      </w:r>
      <w:r w:rsidR="006E6A02">
        <w:t>f</w:t>
      </w:r>
      <w:r w:rsidR="008045D0" w:rsidRPr="008045D0">
        <w:t>recuencias</w:t>
      </w:r>
      <w:r w:rsidR="006E6A02">
        <w:t xml:space="preserve"> radioeléctricas</w:t>
      </w:r>
      <w:r w:rsidR="009F663F" w:rsidRPr="007A5260">
        <w:rPr>
          <w:vertAlign w:val="superscript"/>
          <w:lang w:val="en-GB"/>
        </w:rPr>
        <w:footnoteReference w:id="1"/>
      </w:r>
      <w:r w:rsidR="009F663F" w:rsidRPr="00886232">
        <w:t>.</w:t>
      </w:r>
    </w:p>
    <w:p w:rsidR="001F39DC" w:rsidRPr="001F39DC" w:rsidRDefault="001F39DC" w:rsidP="002539F2">
      <w:r w:rsidRPr="001F39DC">
        <w:t>E</w:t>
      </w:r>
      <w:r w:rsidR="00A97226">
        <w:t>n su reunión de 2014, e</w:t>
      </w:r>
      <w:r w:rsidRPr="001F39DC">
        <w:t xml:space="preserve">l </w:t>
      </w:r>
      <w:r w:rsidR="00A92D9C" w:rsidRPr="00A92D9C">
        <w:t xml:space="preserve">Consejo </w:t>
      </w:r>
      <w:r w:rsidR="002539F2">
        <w:t xml:space="preserve">volvió a revisar </w:t>
      </w:r>
      <w:r>
        <w:t>el Acuerdo</w:t>
      </w:r>
      <w:r w:rsidR="00A92D9C" w:rsidRPr="00A92D9C">
        <w:t xml:space="preserve"> 571 </w:t>
      </w:r>
      <w:r>
        <w:t xml:space="preserve">y acordó </w:t>
      </w:r>
      <w:r w:rsidRPr="001F39DC">
        <w:t>dar al público en general acceso gratuito en línea al Reglamento de Radiocomunicaciones</w:t>
      </w:r>
      <w:r>
        <w:t xml:space="preserve"> y a las</w:t>
      </w:r>
      <w:r w:rsidRPr="001F39DC">
        <w:t xml:space="preserve"> Reglas de Procedimiento</w:t>
      </w:r>
      <w:r w:rsidR="002539F2">
        <w:t xml:space="preserve"> con carácter permanente</w:t>
      </w:r>
      <w:r>
        <w:t>.</w:t>
      </w:r>
    </w:p>
    <w:p w:rsidR="00936611" w:rsidRPr="001F39DC" w:rsidRDefault="00936611" w:rsidP="00936611"/>
    <w:p w:rsidR="0017464F" w:rsidRPr="00A92D9C" w:rsidRDefault="00217DFB" w:rsidP="001F6BB9">
      <w:r>
        <w:lastRenderedPageBreak/>
        <w:t>La incidencia</w:t>
      </w:r>
      <w:r w:rsidR="00A92D9C" w:rsidRPr="00A92D9C">
        <w:t xml:space="preserve"> de estas decisiones se </w:t>
      </w:r>
      <w:r>
        <w:t xml:space="preserve">pone de relieve en </w:t>
      </w:r>
      <w:r w:rsidR="00A92D9C" w:rsidRPr="00A92D9C">
        <w:t>el número de publicaciones</w:t>
      </w:r>
      <w:r w:rsidR="00CB6F98">
        <w:t xml:space="preserve"> </w:t>
      </w:r>
      <w:r w:rsidR="001F6BB9">
        <w:t>que se han distribuido</w:t>
      </w:r>
      <w:r w:rsidR="00A92D9C" w:rsidRPr="00A92D9C">
        <w:t>, como se indica en los cuadros que figuran a continuación</w:t>
      </w:r>
      <w:r w:rsidR="00CB6F98">
        <w:t>:</w:t>
      </w:r>
    </w:p>
    <w:p w:rsidR="004F2076" w:rsidRDefault="008850BE" w:rsidP="008850BE">
      <w:pPr>
        <w:pStyle w:val="enumlev1"/>
      </w:pPr>
      <w:r>
        <w:t>–</w:t>
      </w:r>
      <w:r>
        <w:tab/>
      </w:r>
      <w:r w:rsidR="003A7B37" w:rsidRPr="00CC0A64">
        <w:t xml:space="preserve">En cuanto al </w:t>
      </w:r>
      <w:r w:rsidR="004F2076" w:rsidRPr="00CC0A64">
        <w:t xml:space="preserve">Reglamento de Radiocomunicaciones, </w:t>
      </w:r>
      <w:r w:rsidR="00A964C8">
        <w:t xml:space="preserve">se ha realizado una comparación en un mismo periodo </w:t>
      </w:r>
      <w:r w:rsidR="003A7B37" w:rsidRPr="00CC0A64">
        <w:t xml:space="preserve">desde su publicación. </w:t>
      </w:r>
      <w:r w:rsidR="003A7B37" w:rsidRPr="003A7B37">
        <w:t xml:space="preserve">De esta forma, </w:t>
      </w:r>
      <w:r w:rsidR="003A7B37">
        <w:t xml:space="preserve">cuando se </w:t>
      </w:r>
      <w:r w:rsidR="003A7B37" w:rsidRPr="003A7B37">
        <w:t xml:space="preserve">compara la situación </w:t>
      </w:r>
      <w:r w:rsidR="003A7B37">
        <w:t xml:space="preserve">con respecto a </w:t>
      </w:r>
      <w:r w:rsidR="003A7B37" w:rsidRPr="003A7B37">
        <w:t>la</w:t>
      </w:r>
      <w:r w:rsidR="003A7B37">
        <w:t xml:space="preserve"> </w:t>
      </w:r>
      <w:r w:rsidR="003A7B37" w:rsidRPr="003A7B37">
        <w:t xml:space="preserve">edición </w:t>
      </w:r>
      <w:r w:rsidR="003A7B37">
        <w:t>de</w:t>
      </w:r>
      <w:r w:rsidR="00A964C8">
        <w:t xml:space="preserve"> 2008 de</w:t>
      </w:r>
      <w:r w:rsidR="003A7B37">
        <w:t xml:space="preserve">l RR </w:t>
      </w:r>
      <w:r w:rsidR="003A7B37" w:rsidRPr="003A7B37">
        <w:t>(publicad</w:t>
      </w:r>
      <w:r w:rsidR="003A7B37">
        <w:t>a</w:t>
      </w:r>
      <w:r w:rsidR="003A7B37" w:rsidRPr="003A7B37">
        <w:t xml:space="preserve"> en septiembre de 2008</w:t>
      </w:r>
      <w:r w:rsidR="003A7B37">
        <w:t xml:space="preserve">) </w:t>
      </w:r>
      <w:r w:rsidR="003A7B37" w:rsidRPr="003A7B37">
        <w:t xml:space="preserve">y </w:t>
      </w:r>
      <w:r w:rsidR="003A7B37">
        <w:t xml:space="preserve">a </w:t>
      </w:r>
      <w:r w:rsidR="003A7B37" w:rsidRPr="003A7B37">
        <w:t>la</w:t>
      </w:r>
      <w:r w:rsidR="00A964C8">
        <w:t xml:space="preserve"> edición de</w:t>
      </w:r>
      <w:r>
        <w:t> </w:t>
      </w:r>
      <w:r w:rsidR="00A964C8">
        <w:t xml:space="preserve">2012 </w:t>
      </w:r>
      <w:r w:rsidR="003A7B37" w:rsidRPr="003A7B37">
        <w:t>de</w:t>
      </w:r>
      <w:r w:rsidR="003A7B37">
        <w:t>l RR</w:t>
      </w:r>
      <w:r w:rsidR="00A964C8">
        <w:t xml:space="preserve"> </w:t>
      </w:r>
      <w:r w:rsidR="003A7B37" w:rsidRPr="003A7B37">
        <w:t>(publicad</w:t>
      </w:r>
      <w:r w:rsidR="003A7B37">
        <w:t>a</w:t>
      </w:r>
      <w:r w:rsidR="003A7B37" w:rsidRPr="003A7B37">
        <w:t xml:space="preserve"> en diciembre de 201</w:t>
      </w:r>
      <w:r w:rsidR="00E160E4">
        <w:t>2</w:t>
      </w:r>
      <w:r w:rsidR="00A964C8">
        <w:t xml:space="preserve">), se obtienen los siguientes resultados para </w:t>
      </w:r>
      <w:r w:rsidR="003A7B37" w:rsidRPr="003A7B37">
        <w:t xml:space="preserve">los primeros 14 meses después de </w:t>
      </w:r>
      <w:r w:rsidR="00A964C8">
        <w:t>la</w:t>
      </w:r>
      <w:r w:rsidR="003A7B37">
        <w:t xml:space="preserve"> publicación: </w:t>
      </w:r>
    </w:p>
    <w:p w:rsidR="008850BE" w:rsidRPr="003A7B37" w:rsidRDefault="008850BE" w:rsidP="008850BE">
      <w:pPr>
        <w:pStyle w:val="enumlev1"/>
      </w:pPr>
    </w:p>
    <w:tbl>
      <w:tblPr>
        <w:tblW w:w="0" w:type="auto"/>
        <w:jc w:val="center"/>
        <w:tblLook w:val="04A0" w:firstRow="1" w:lastRow="0" w:firstColumn="1" w:lastColumn="0" w:noHBand="0" w:noVBand="1"/>
      </w:tblPr>
      <w:tblGrid>
        <w:gridCol w:w="2536"/>
        <w:gridCol w:w="1582"/>
        <w:gridCol w:w="1701"/>
        <w:gridCol w:w="1850"/>
      </w:tblGrid>
      <w:tr w:rsidR="008850BE" w:rsidRPr="008850BE" w:rsidTr="008850BE">
        <w:trPr>
          <w:jc w:val="center"/>
        </w:trPr>
        <w:tc>
          <w:tcPr>
            <w:tcW w:w="2536" w:type="dxa"/>
            <w:tcBorders>
              <w:bottom w:val="single" w:sz="4" w:space="0" w:color="auto"/>
              <w:right w:val="single" w:sz="4" w:space="0" w:color="auto"/>
            </w:tcBorders>
          </w:tcPr>
          <w:p w:rsidR="008850BE" w:rsidRPr="008850BE" w:rsidRDefault="008850BE" w:rsidP="008850BE">
            <w:pPr>
              <w:pStyle w:val="Tabletext"/>
            </w:pPr>
          </w:p>
        </w:tc>
        <w:tc>
          <w:tcPr>
            <w:tcW w:w="1582" w:type="dxa"/>
            <w:tcBorders>
              <w:top w:val="single" w:sz="4" w:space="0" w:color="auto"/>
              <w:left w:val="single" w:sz="4" w:space="0" w:color="auto"/>
              <w:bottom w:val="single" w:sz="4" w:space="0" w:color="auto"/>
              <w:right w:val="single" w:sz="4" w:space="0" w:color="auto"/>
            </w:tcBorders>
          </w:tcPr>
          <w:p w:rsidR="008850BE" w:rsidRPr="008850BE" w:rsidRDefault="008850BE" w:rsidP="008850BE">
            <w:pPr>
              <w:pStyle w:val="Tablehead"/>
              <w:rPr>
                <w:lang w:val="en-US"/>
              </w:rPr>
            </w:pPr>
            <w:r w:rsidRPr="008850BE">
              <w:rPr>
                <w:lang w:val="es-ES"/>
              </w:rPr>
              <w:t>Acceso pagado</w:t>
            </w:r>
            <w:r w:rsidRPr="008850BE">
              <w:rPr>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8850BE" w:rsidRPr="008850BE" w:rsidRDefault="008850BE" w:rsidP="008850BE">
            <w:pPr>
              <w:pStyle w:val="Tablehead"/>
              <w:rPr>
                <w:lang w:val="en-US"/>
              </w:rPr>
            </w:pPr>
            <w:r w:rsidRPr="008850BE">
              <w:rPr>
                <w:lang w:val="es-ES"/>
              </w:rPr>
              <w:t>Descarga gratuita</w:t>
            </w:r>
            <w:r w:rsidRPr="008850BE">
              <w:rPr>
                <w:lang w:val="en-US"/>
              </w:rPr>
              <w:t xml:space="preserve"> </w:t>
            </w:r>
          </w:p>
        </w:tc>
        <w:tc>
          <w:tcPr>
            <w:tcW w:w="1850" w:type="dxa"/>
            <w:tcBorders>
              <w:top w:val="single" w:sz="4" w:space="0" w:color="auto"/>
              <w:left w:val="single" w:sz="4" w:space="0" w:color="auto"/>
              <w:bottom w:val="single" w:sz="4" w:space="0" w:color="auto"/>
              <w:right w:val="single" w:sz="4" w:space="0" w:color="auto"/>
            </w:tcBorders>
          </w:tcPr>
          <w:p w:rsidR="008850BE" w:rsidRPr="008850BE" w:rsidRDefault="008850BE" w:rsidP="008850BE">
            <w:pPr>
              <w:pStyle w:val="Tablehead"/>
              <w:rPr>
                <w:lang w:val="en-US"/>
              </w:rPr>
            </w:pPr>
            <w:r w:rsidRPr="008850BE">
              <w:rPr>
                <w:lang w:val="en-US"/>
              </w:rPr>
              <w:t>TOTAL</w:t>
            </w:r>
          </w:p>
        </w:tc>
      </w:tr>
      <w:tr w:rsidR="008850BE" w:rsidRPr="008850BE" w:rsidTr="008850BE">
        <w:trPr>
          <w:jc w:val="center"/>
        </w:trPr>
        <w:tc>
          <w:tcPr>
            <w:tcW w:w="2536" w:type="dxa"/>
            <w:tcBorders>
              <w:top w:val="single" w:sz="4" w:space="0" w:color="auto"/>
              <w:left w:val="single" w:sz="4" w:space="0" w:color="auto"/>
              <w:bottom w:val="single" w:sz="4" w:space="0" w:color="auto"/>
              <w:right w:val="single" w:sz="4" w:space="0" w:color="auto"/>
            </w:tcBorders>
          </w:tcPr>
          <w:p w:rsidR="008850BE" w:rsidRPr="00886232" w:rsidRDefault="008850BE" w:rsidP="008850BE">
            <w:pPr>
              <w:pStyle w:val="Tabletext"/>
              <w:rPr>
                <w:b/>
                <w:bCs/>
                <w:lang w:val="en-US"/>
              </w:rPr>
            </w:pPr>
            <w:r w:rsidRPr="00886232">
              <w:rPr>
                <w:b/>
                <w:bCs/>
                <w:lang w:val="en-US"/>
              </w:rPr>
              <w:t>RR-08</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9 373</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9 373</w:t>
            </w:r>
          </w:p>
        </w:tc>
      </w:tr>
      <w:tr w:rsidR="008850BE" w:rsidRPr="008850BE" w:rsidTr="008850BE">
        <w:trPr>
          <w:jc w:val="center"/>
        </w:trPr>
        <w:tc>
          <w:tcPr>
            <w:tcW w:w="2536" w:type="dxa"/>
            <w:tcBorders>
              <w:top w:val="single" w:sz="4" w:space="0" w:color="auto"/>
              <w:left w:val="single" w:sz="4" w:space="0" w:color="auto"/>
              <w:bottom w:val="single" w:sz="4" w:space="0" w:color="auto"/>
              <w:right w:val="single" w:sz="4" w:space="0" w:color="auto"/>
            </w:tcBorders>
          </w:tcPr>
          <w:p w:rsidR="008850BE" w:rsidRPr="00886232" w:rsidRDefault="008850BE" w:rsidP="008850BE">
            <w:pPr>
              <w:pStyle w:val="Tabletext"/>
              <w:rPr>
                <w:b/>
                <w:bCs/>
                <w:lang w:val="en-US"/>
              </w:rPr>
            </w:pPr>
            <w:r w:rsidRPr="00886232">
              <w:rPr>
                <w:b/>
                <w:bCs/>
                <w:lang w:val="en-US"/>
              </w:rPr>
              <w:t>RR-12</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10 200</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12 634</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22 834</w:t>
            </w:r>
          </w:p>
        </w:tc>
      </w:tr>
      <w:tr w:rsidR="008850BE" w:rsidRPr="008850BE" w:rsidTr="008850BE">
        <w:trPr>
          <w:jc w:val="center"/>
        </w:trPr>
        <w:tc>
          <w:tcPr>
            <w:tcW w:w="2536" w:type="dxa"/>
            <w:tcBorders>
              <w:top w:val="single" w:sz="4" w:space="0" w:color="auto"/>
              <w:left w:val="single" w:sz="4" w:space="0" w:color="auto"/>
              <w:bottom w:val="single" w:sz="4" w:space="0" w:color="auto"/>
              <w:right w:val="single" w:sz="4" w:space="0" w:color="auto"/>
            </w:tcBorders>
          </w:tcPr>
          <w:p w:rsidR="008850BE" w:rsidRPr="00886232" w:rsidRDefault="008850BE" w:rsidP="008850BE">
            <w:pPr>
              <w:pStyle w:val="Tabletext"/>
              <w:rPr>
                <w:b/>
                <w:bCs/>
                <w:lang w:val="en-US"/>
              </w:rPr>
            </w:pPr>
            <w:r w:rsidRPr="00886232">
              <w:rPr>
                <w:b/>
                <w:bCs/>
                <w:lang w:val="es-ES"/>
              </w:rPr>
              <w:t>Aumento</w:t>
            </w:r>
            <w:r w:rsidRPr="00886232">
              <w:rPr>
                <w:b/>
                <w:bCs/>
                <w:lang w:val="en-US"/>
              </w:rPr>
              <w:t xml:space="preserve"> </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827</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s-ES"/>
              </w:rPr>
              <w:t>n.d.</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13 461</w:t>
            </w:r>
          </w:p>
        </w:tc>
      </w:tr>
      <w:tr w:rsidR="008850BE" w:rsidRPr="008850BE" w:rsidTr="008850BE">
        <w:trPr>
          <w:jc w:val="center"/>
        </w:trPr>
        <w:tc>
          <w:tcPr>
            <w:tcW w:w="2536" w:type="dxa"/>
            <w:tcBorders>
              <w:top w:val="single" w:sz="4" w:space="0" w:color="auto"/>
              <w:left w:val="single" w:sz="4" w:space="0" w:color="auto"/>
              <w:bottom w:val="single" w:sz="4" w:space="0" w:color="auto"/>
              <w:right w:val="single" w:sz="4" w:space="0" w:color="auto"/>
            </w:tcBorders>
          </w:tcPr>
          <w:p w:rsidR="008850BE" w:rsidRPr="00886232" w:rsidRDefault="008850BE" w:rsidP="008850BE">
            <w:pPr>
              <w:pStyle w:val="Tabletext"/>
              <w:rPr>
                <w:b/>
                <w:bCs/>
                <w:lang w:val="en-US"/>
              </w:rPr>
            </w:pPr>
            <w:r w:rsidRPr="00886232">
              <w:rPr>
                <w:b/>
                <w:bCs/>
                <w:lang w:val="es-ES"/>
              </w:rPr>
              <w:t xml:space="preserve">Porcentaje de aumento </w:t>
            </w:r>
          </w:p>
        </w:tc>
        <w:tc>
          <w:tcPr>
            <w:tcW w:w="1582"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8,8%</w:t>
            </w:r>
          </w:p>
        </w:tc>
        <w:tc>
          <w:tcPr>
            <w:tcW w:w="1701"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s-ES"/>
              </w:rPr>
              <w:t>n.d.</w:t>
            </w:r>
          </w:p>
        </w:tc>
        <w:tc>
          <w:tcPr>
            <w:tcW w:w="1850" w:type="dxa"/>
            <w:tcBorders>
              <w:top w:val="single" w:sz="4" w:space="0" w:color="auto"/>
              <w:left w:val="single" w:sz="4" w:space="0" w:color="auto"/>
              <w:bottom w:val="single" w:sz="4" w:space="0" w:color="auto"/>
              <w:right w:val="single" w:sz="4" w:space="0" w:color="auto"/>
            </w:tcBorders>
            <w:tcMar>
              <w:right w:w="340" w:type="dxa"/>
            </w:tcMar>
          </w:tcPr>
          <w:p w:rsidR="008850BE" w:rsidRPr="008850BE" w:rsidRDefault="008850BE" w:rsidP="008850BE">
            <w:pPr>
              <w:pStyle w:val="Tabletext"/>
              <w:jc w:val="center"/>
              <w:rPr>
                <w:lang w:val="en-US"/>
              </w:rPr>
            </w:pPr>
            <w:r w:rsidRPr="008850BE">
              <w:rPr>
                <w:lang w:val="en-US"/>
              </w:rPr>
              <w:t>143,6%</w:t>
            </w:r>
          </w:p>
        </w:tc>
      </w:tr>
    </w:tbl>
    <w:p w:rsidR="001F6BB9" w:rsidRPr="001F6BB9" w:rsidRDefault="008850BE" w:rsidP="008850BE">
      <w:pPr>
        <w:pStyle w:val="enumlev1"/>
      </w:pPr>
      <w:r>
        <w:tab/>
      </w:r>
      <w:r w:rsidR="001F6BB9" w:rsidRPr="001F6BB9">
        <w:t>Estas cifras muestran un aumento total</w:t>
      </w:r>
      <w:r w:rsidR="001F6BB9">
        <w:t xml:space="preserve"> de prácticamente el 150% en </w:t>
      </w:r>
      <w:r w:rsidR="001F6BB9" w:rsidRPr="001F6BB9">
        <w:t>la di</w:t>
      </w:r>
      <w:r w:rsidR="00B1130F">
        <w:t xml:space="preserve">fusión </w:t>
      </w:r>
      <w:r w:rsidR="001F6BB9">
        <w:t>del RR. A pesar del acceso gratuito, el número de ejemplares pagados también se ha incrementado (casi el 9%), lo cual confirma la ventaja de esta decisión.</w:t>
      </w:r>
      <w:r w:rsidR="00E72A0F">
        <w:t xml:space="preserve"> </w:t>
      </w:r>
    </w:p>
    <w:p w:rsidR="001F6BB9" w:rsidRDefault="008850BE" w:rsidP="008850BE">
      <w:pPr>
        <w:pStyle w:val="enumlev1"/>
      </w:pPr>
      <w:r>
        <w:t>–</w:t>
      </w:r>
      <w:r>
        <w:tab/>
      </w:r>
      <w:r w:rsidR="00936FEB" w:rsidRPr="00936FEB">
        <w:t>En lo que concierne a los Manuales sobre gestión del espectro de frecuencias</w:t>
      </w:r>
      <w:r w:rsidR="001F7A43">
        <w:t xml:space="preserve"> radioeléctricas</w:t>
      </w:r>
      <w:r w:rsidR="00936FEB" w:rsidRPr="00936FEB">
        <w:t xml:space="preserve">, desde el Acuerdo </w:t>
      </w:r>
      <w:r w:rsidR="00936FEB">
        <w:t>conven</w:t>
      </w:r>
      <w:r w:rsidR="00936FEB" w:rsidRPr="00936FEB">
        <w:t>ido por el Consejo, en su reuni</w:t>
      </w:r>
      <w:r w:rsidR="00936FEB">
        <w:t xml:space="preserve">ón de 2013, </w:t>
      </w:r>
      <w:r w:rsidR="001F7A43">
        <w:t xml:space="preserve">el número </w:t>
      </w:r>
      <w:r w:rsidR="00936FEB">
        <w:t xml:space="preserve">de descargas es la siguiente (hasta el 31.3.2014, es decir, </w:t>
      </w:r>
      <w:r w:rsidR="001F7A43">
        <w:t xml:space="preserve">durante </w:t>
      </w:r>
      <w:r w:rsidR="00936FEB">
        <w:t>9 meses):</w:t>
      </w:r>
    </w:p>
    <w:p w:rsidR="008850BE" w:rsidRPr="00936FEB" w:rsidRDefault="008850BE" w:rsidP="008850BE">
      <w:pPr>
        <w:pStyle w:val="enumlev1"/>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843"/>
      </w:tblGrid>
      <w:tr w:rsidR="008850BE" w:rsidRPr="007134AA" w:rsidTr="008850BE">
        <w:tc>
          <w:tcPr>
            <w:tcW w:w="5811" w:type="dxa"/>
          </w:tcPr>
          <w:p w:rsidR="008850BE" w:rsidRDefault="008850BE" w:rsidP="007134AA">
            <w:pPr>
              <w:pStyle w:val="Tablehead"/>
              <w:rPr>
                <w:lang w:val="en-US"/>
              </w:rPr>
            </w:pPr>
            <w:r>
              <w:rPr>
                <w:lang w:val="en-US"/>
              </w:rPr>
              <w:t>Manual</w:t>
            </w:r>
          </w:p>
        </w:tc>
        <w:tc>
          <w:tcPr>
            <w:tcW w:w="1843" w:type="dxa"/>
          </w:tcPr>
          <w:p w:rsidR="008850BE" w:rsidRPr="007134AA" w:rsidRDefault="008850BE" w:rsidP="007134AA">
            <w:pPr>
              <w:pStyle w:val="Tablehead"/>
              <w:rPr>
                <w:szCs w:val="22"/>
                <w:lang w:val="en-US"/>
              </w:rPr>
            </w:pPr>
            <w:r w:rsidRPr="007134AA">
              <w:rPr>
                <w:bCs/>
                <w:szCs w:val="22"/>
                <w:lang w:val="es-ES"/>
              </w:rPr>
              <w:t>Descargas</w:t>
            </w:r>
            <w:r w:rsidRPr="007134AA">
              <w:rPr>
                <w:szCs w:val="22"/>
                <w:lang w:val="en-US"/>
              </w:rPr>
              <w:t xml:space="preserve"> </w:t>
            </w:r>
          </w:p>
        </w:tc>
      </w:tr>
      <w:tr w:rsidR="008850BE" w:rsidRPr="007134AA" w:rsidTr="008850BE">
        <w:tc>
          <w:tcPr>
            <w:tcW w:w="5811" w:type="dxa"/>
          </w:tcPr>
          <w:p w:rsidR="008850BE" w:rsidRPr="007134AA" w:rsidRDefault="007134AA" w:rsidP="007134AA">
            <w:pPr>
              <w:pStyle w:val="Tabletext"/>
              <w:rPr>
                <w:szCs w:val="22"/>
                <w:lang w:val="es-ES"/>
              </w:rPr>
            </w:pPr>
            <w:r w:rsidRPr="007134AA">
              <w:rPr>
                <w:szCs w:val="22"/>
                <w:lang w:val="es-ES"/>
              </w:rPr>
              <w:t>Técnicas informatizadas para la gestión del espectro (CAT)</w:t>
            </w:r>
          </w:p>
        </w:tc>
        <w:tc>
          <w:tcPr>
            <w:tcW w:w="1843" w:type="dxa"/>
            <w:tcMar>
              <w:right w:w="340" w:type="dxa"/>
            </w:tcMar>
          </w:tcPr>
          <w:p w:rsidR="008850BE" w:rsidRPr="007134AA" w:rsidRDefault="008850BE" w:rsidP="007134AA">
            <w:pPr>
              <w:pStyle w:val="Tabletext"/>
              <w:jc w:val="right"/>
              <w:rPr>
                <w:szCs w:val="22"/>
                <w:lang w:val="fr-CH"/>
              </w:rPr>
            </w:pPr>
            <w:r w:rsidRPr="007134AA">
              <w:rPr>
                <w:szCs w:val="22"/>
                <w:lang w:val="fr-CH"/>
              </w:rPr>
              <w:t>180</w:t>
            </w:r>
          </w:p>
        </w:tc>
      </w:tr>
      <w:tr w:rsidR="008850BE" w:rsidRPr="007134AA" w:rsidTr="008850BE">
        <w:tc>
          <w:tcPr>
            <w:tcW w:w="5811" w:type="dxa"/>
          </w:tcPr>
          <w:p w:rsidR="008850BE" w:rsidRPr="007134AA" w:rsidRDefault="007134AA" w:rsidP="007134AA">
            <w:pPr>
              <w:pStyle w:val="Tabletext"/>
              <w:rPr>
                <w:szCs w:val="22"/>
                <w:lang w:val="fr-CH"/>
              </w:rPr>
            </w:pPr>
            <w:r w:rsidRPr="007134AA">
              <w:rPr>
                <w:szCs w:val="22"/>
                <w:lang w:val="es-ES"/>
              </w:rPr>
              <w:t>Gestión nacional del espectro 2005</w:t>
            </w:r>
          </w:p>
        </w:tc>
        <w:tc>
          <w:tcPr>
            <w:tcW w:w="1843" w:type="dxa"/>
            <w:tcMar>
              <w:right w:w="340" w:type="dxa"/>
            </w:tcMar>
          </w:tcPr>
          <w:p w:rsidR="008850BE" w:rsidRPr="007134AA" w:rsidRDefault="008850BE" w:rsidP="007134AA">
            <w:pPr>
              <w:pStyle w:val="Tabletext"/>
              <w:jc w:val="right"/>
              <w:rPr>
                <w:szCs w:val="22"/>
                <w:lang w:val="fr-CH"/>
              </w:rPr>
            </w:pPr>
            <w:r w:rsidRPr="007134AA">
              <w:rPr>
                <w:szCs w:val="22"/>
                <w:lang w:val="fr-CH"/>
              </w:rPr>
              <w:t>545</w:t>
            </w:r>
          </w:p>
        </w:tc>
      </w:tr>
      <w:tr w:rsidR="008850BE" w:rsidRPr="007134AA" w:rsidTr="008850BE">
        <w:tc>
          <w:tcPr>
            <w:tcW w:w="5811" w:type="dxa"/>
          </w:tcPr>
          <w:p w:rsidR="008850BE" w:rsidRPr="007134AA" w:rsidRDefault="007134AA" w:rsidP="007134AA">
            <w:pPr>
              <w:pStyle w:val="Tabletext"/>
              <w:rPr>
                <w:szCs w:val="22"/>
                <w:lang w:val="fr-CH"/>
              </w:rPr>
            </w:pPr>
            <w:r w:rsidRPr="007134AA">
              <w:rPr>
                <w:szCs w:val="22"/>
                <w:lang w:val="es-ES"/>
              </w:rPr>
              <w:t>Comprobación técnica del espectro 2011</w:t>
            </w:r>
          </w:p>
        </w:tc>
        <w:tc>
          <w:tcPr>
            <w:tcW w:w="1843" w:type="dxa"/>
            <w:tcMar>
              <w:right w:w="340" w:type="dxa"/>
            </w:tcMar>
          </w:tcPr>
          <w:p w:rsidR="008850BE" w:rsidRPr="007134AA" w:rsidRDefault="008850BE" w:rsidP="007134AA">
            <w:pPr>
              <w:pStyle w:val="Tabletext"/>
              <w:jc w:val="right"/>
              <w:rPr>
                <w:szCs w:val="22"/>
                <w:lang w:val="fr-CH"/>
              </w:rPr>
            </w:pPr>
            <w:r w:rsidRPr="007134AA">
              <w:rPr>
                <w:szCs w:val="22"/>
                <w:lang w:val="fr-CH"/>
              </w:rPr>
              <w:t>1 345</w:t>
            </w:r>
          </w:p>
        </w:tc>
      </w:tr>
      <w:tr w:rsidR="008850BE" w:rsidRPr="007134AA" w:rsidTr="008850BE">
        <w:tc>
          <w:tcPr>
            <w:tcW w:w="5811" w:type="dxa"/>
          </w:tcPr>
          <w:p w:rsidR="008850BE" w:rsidRPr="007134AA" w:rsidRDefault="007134AA" w:rsidP="007134AA">
            <w:pPr>
              <w:pStyle w:val="Tabletext"/>
              <w:rPr>
                <w:b/>
                <w:bCs/>
                <w:szCs w:val="22"/>
                <w:lang w:val="fr-CH"/>
              </w:rPr>
            </w:pPr>
            <w:r w:rsidRPr="007134AA">
              <w:rPr>
                <w:b/>
                <w:bCs/>
                <w:szCs w:val="22"/>
                <w:lang w:val="es-ES"/>
              </w:rPr>
              <w:t>Total</w:t>
            </w:r>
          </w:p>
        </w:tc>
        <w:tc>
          <w:tcPr>
            <w:tcW w:w="1843" w:type="dxa"/>
            <w:tcMar>
              <w:right w:w="340" w:type="dxa"/>
            </w:tcMar>
          </w:tcPr>
          <w:p w:rsidR="008850BE" w:rsidRPr="00886232" w:rsidRDefault="008850BE" w:rsidP="007134AA">
            <w:pPr>
              <w:pStyle w:val="Tabletext"/>
              <w:jc w:val="right"/>
              <w:rPr>
                <w:b/>
                <w:bCs/>
                <w:szCs w:val="22"/>
                <w:lang w:val="fr-CH"/>
              </w:rPr>
            </w:pPr>
            <w:r w:rsidRPr="00886232">
              <w:rPr>
                <w:b/>
                <w:bCs/>
                <w:szCs w:val="22"/>
                <w:lang w:val="fr-CH"/>
              </w:rPr>
              <w:t>2 070</w:t>
            </w:r>
          </w:p>
        </w:tc>
      </w:tr>
    </w:tbl>
    <w:p w:rsidR="008564B5" w:rsidRPr="008564B5" w:rsidRDefault="008564B5" w:rsidP="00AC0DE2">
      <w:pPr>
        <w:pStyle w:val="Heading2"/>
        <w:rPr>
          <w:rFonts w:asciiTheme="majorBidi" w:hAnsiTheme="majorBidi" w:cstheme="majorBidi"/>
        </w:rPr>
      </w:pPr>
      <w:r w:rsidRPr="008564B5">
        <w:rPr>
          <w:rFonts w:asciiTheme="majorBidi" w:hAnsiTheme="majorBidi" w:cstheme="majorBidi"/>
        </w:rPr>
        <w:t>2.2</w:t>
      </w:r>
      <w:r w:rsidRPr="008564B5">
        <w:rPr>
          <w:rFonts w:asciiTheme="majorBidi" w:hAnsiTheme="majorBidi" w:cstheme="majorBidi"/>
        </w:rPr>
        <w:tab/>
      </w:r>
      <w:r w:rsidR="00AC0DE2">
        <w:rPr>
          <w:rStyle w:val="hps"/>
          <w:rFonts w:asciiTheme="majorBidi" w:hAnsiTheme="majorBidi" w:cstheme="majorBidi"/>
          <w:color w:val="222222"/>
          <w:lang w:val="es-ES"/>
        </w:rPr>
        <w:t>R</w:t>
      </w:r>
      <w:r w:rsidRPr="008564B5">
        <w:rPr>
          <w:rStyle w:val="hps"/>
          <w:rFonts w:asciiTheme="majorBidi" w:hAnsiTheme="majorBidi" w:cstheme="majorBidi"/>
          <w:color w:val="222222"/>
          <w:lang w:val="es-ES"/>
        </w:rPr>
        <w:t>ecuperación de cost</w:t>
      </w:r>
      <w:r>
        <w:rPr>
          <w:rStyle w:val="hps"/>
          <w:rFonts w:asciiTheme="majorBidi" w:hAnsiTheme="majorBidi" w:cstheme="majorBidi"/>
          <w:color w:val="222222"/>
          <w:lang w:val="es-ES"/>
        </w:rPr>
        <w:t>e</w:t>
      </w:r>
      <w:r w:rsidRPr="008564B5">
        <w:rPr>
          <w:rStyle w:val="hps"/>
          <w:rFonts w:asciiTheme="majorBidi" w:hAnsiTheme="majorBidi" w:cstheme="majorBidi"/>
          <w:color w:val="222222"/>
          <w:lang w:val="es-ES"/>
        </w:rPr>
        <w:t>s</w:t>
      </w:r>
      <w:r w:rsidRPr="008564B5">
        <w:rPr>
          <w:rFonts w:asciiTheme="majorBidi" w:hAnsiTheme="majorBidi" w:cstheme="majorBidi"/>
          <w:lang w:val="es-ES"/>
        </w:rPr>
        <w:t xml:space="preserve"> </w:t>
      </w:r>
      <w:r w:rsidR="00AC0DE2">
        <w:rPr>
          <w:rFonts w:asciiTheme="majorBidi" w:hAnsiTheme="majorBidi" w:cstheme="majorBidi"/>
          <w:lang w:val="es-ES"/>
        </w:rPr>
        <w:t>en</w:t>
      </w:r>
      <w:r w:rsidRPr="008564B5">
        <w:rPr>
          <w:rStyle w:val="hps"/>
          <w:rFonts w:asciiTheme="majorBidi" w:hAnsiTheme="majorBidi" w:cstheme="majorBidi"/>
          <w:color w:val="222222"/>
          <w:lang w:val="es-ES"/>
        </w:rPr>
        <w:t xml:space="preserve"> las notificaciones</w:t>
      </w:r>
      <w:r w:rsidRPr="008564B5">
        <w:rPr>
          <w:rFonts w:asciiTheme="majorBidi" w:hAnsiTheme="majorBidi" w:cstheme="majorBidi"/>
          <w:lang w:val="es-ES"/>
        </w:rPr>
        <w:t xml:space="preserve"> </w:t>
      </w:r>
      <w:r w:rsidRPr="008564B5">
        <w:rPr>
          <w:rStyle w:val="hps"/>
          <w:rFonts w:asciiTheme="majorBidi" w:hAnsiTheme="majorBidi" w:cstheme="majorBidi"/>
          <w:color w:val="222222"/>
          <w:lang w:val="es-ES"/>
        </w:rPr>
        <w:t>de redes de satélite</w:t>
      </w:r>
    </w:p>
    <w:p w:rsidR="00686ACE" w:rsidRDefault="00D72074" w:rsidP="0004499A">
      <w:r>
        <w:t xml:space="preserve">El Consejo, en su reunión de 2013, </w:t>
      </w:r>
      <w:r w:rsidR="008564B5">
        <w:t xml:space="preserve">aprobó </w:t>
      </w:r>
      <w:r w:rsidR="0004499A">
        <w:t xml:space="preserve">la </w:t>
      </w:r>
      <w:r w:rsidR="008564B5">
        <w:t>modificaci</w:t>
      </w:r>
      <w:r w:rsidR="0004499A">
        <w:t>ón de</w:t>
      </w:r>
      <w:r w:rsidR="00AC0DE2">
        <w:t xml:space="preserve">l Acuerdo 482 </w:t>
      </w:r>
      <w:r w:rsidR="0004499A">
        <w:t xml:space="preserve">relativo </w:t>
      </w:r>
      <w:r w:rsidR="008564B5">
        <w:t>a la aplicación de la recuperación de costes a la consolidación de asignaciones de frecuencias de distintas redes OSG contenidas en el Registro Internacional de Frecuencias, que hayan sido presentadas por una administración (o por una administración que actúa en nombre de un grupo de administraciones nominadas).</w:t>
      </w:r>
    </w:p>
    <w:p w:rsidR="00DD3F79" w:rsidRDefault="00D72074" w:rsidP="0004499A">
      <w:pPr>
        <w:tabs>
          <w:tab w:val="left" w:pos="284"/>
        </w:tabs>
        <w:rPr>
          <w:lang w:val="es-ES"/>
        </w:rPr>
      </w:pPr>
      <w:r>
        <w:rPr>
          <w:rFonts w:asciiTheme="majorBidi" w:hAnsiTheme="majorBidi" w:cstheme="majorBidi"/>
        </w:rPr>
        <w:t xml:space="preserve">El Consejo, en su reunión de 2013, también acordó que, en aplicación de </w:t>
      </w:r>
      <w:r>
        <w:rPr>
          <w:lang w:eastAsia="zh-CN"/>
        </w:rPr>
        <w:t>la Resolución 553 (CMR</w:t>
      </w:r>
      <w:r>
        <w:rPr>
          <w:lang w:eastAsia="zh-CN"/>
        </w:rPr>
        <w:noBreakHyphen/>
      </w:r>
      <w:r w:rsidR="00D37886" w:rsidRPr="00E765DF">
        <w:rPr>
          <w:lang w:eastAsia="zh-CN"/>
        </w:rPr>
        <w:t xml:space="preserve">12) y la Resolución 554 (CMR-12), </w:t>
      </w:r>
      <w:r w:rsidR="0004499A">
        <w:rPr>
          <w:lang w:eastAsia="zh-CN"/>
        </w:rPr>
        <w:t xml:space="preserve">la presentación de </w:t>
      </w:r>
      <w:r w:rsidR="00D37886" w:rsidRPr="00E765DF">
        <w:rPr>
          <w:lang w:eastAsia="zh-CN"/>
        </w:rPr>
        <w:t>una notificación de red de satélites que incluya la banda de frecuencias 21,4-22 GHz se</w:t>
      </w:r>
      <w:r w:rsidR="0004499A">
        <w:rPr>
          <w:lang w:eastAsia="zh-CN"/>
        </w:rPr>
        <w:t>a</w:t>
      </w:r>
      <w:r w:rsidR="00D37886" w:rsidRPr="00E765DF">
        <w:rPr>
          <w:lang w:eastAsia="zh-CN"/>
        </w:rPr>
        <w:t xml:space="preserve"> consider</w:t>
      </w:r>
      <w:r w:rsidR="0004499A">
        <w:rPr>
          <w:lang w:eastAsia="zh-CN"/>
        </w:rPr>
        <w:t>ada</w:t>
      </w:r>
      <w:r w:rsidR="00D37886" w:rsidRPr="00E765DF">
        <w:rPr>
          <w:lang w:eastAsia="zh-CN"/>
        </w:rPr>
        <w:t xml:space="preserve"> como una única notificación a los efectos de la aplicación del Acuerdo</w:t>
      </w:r>
      <w:r w:rsidR="00D37886">
        <w:rPr>
          <w:lang w:eastAsia="zh-CN"/>
        </w:rPr>
        <w:t> </w:t>
      </w:r>
      <w:r w:rsidR="00D37886" w:rsidRPr="00E765DF">
        <w:rPr>
          <w:lang w:eastAsia="zh-CN"/>
        </w:rPr>
        <w:t>482 del Consejo y no se le apliquen tasas de recuperación de cost</w:t>
      </w:r>
      <w:r>
        <w:rPr>
          <w:lang w:eastAsia="zh-CN"/>
        </w:rPr>
        <w:t>e</w:t>
      </w:r>
      <w:r w:rsidR="00D37886" w:rsidRPr="00E765DF">
        <w:rPr>
          <w:lang w:eastAsia="zh-CN"/>
        </w:rPr>
        <w:t>s adicionale</w:t>
      </w:r>
      <w:r w:rsidR="00D37886">
        <w:rPr>
          <w:lang w:eastAsia="zh-CN"/>
        </w:rPr>
        <w:t>s o separadas</w:t>
      </w:r>
      <w:r w:rsidR="00D37886">
        <w:t xml:space="preserve">. </w:t>
      </w:r>
      <w:r w:rsidR="00DD3F79" w:rsidRPr="00EE1BE2">
        <w:rPr>
          <w:lang w:val="es-ES"/>
        </w:rPr>
        <w:t xml:space="preserve">La </w:t>
      </w:r>
      <w:r>
        <w:rPr>
          <w:lang w:val="es-ES"/>
        </w:rPr>
        <w:t>aplicación d</w:t>
      </w:r>
      <w:r w:rsidR="00DD3F79" w:rsidRPr="00EE1BE2">
        <w:rPr>
          <w:lang w:val="es-ES"/>
        </w:rPr>
        <w:t>el Acuerdo 482 (</w:t>
      </w:r>
      <w:r w:rsidR="0004499A">
        <w:rPr>
          <w:lang w:val="es-ES"/>
        </w:rPr>
        <w:t>reunión de 2005 del Consejo</w:t>
      </w:r>
      <w:r w:rsidR="00DD3F79" w:rsidRPr="00EE1BE2">
        <w:rPr>
          <w:lang w:val="es-ES"/>
        </w:rPr>
        <w:t>)</w:t>
      </w:r>
      <w:r w:rsidR="00DD3F79">
        <w:rPr>
          <w:lang w:val="es-ES"/>
        </w:rPr>
        <w:t>,</w:t>
      </w:r>
      <w:r w:rsidR="00DD3F79" w:rsidRPr="00EE1BE2">
        <w:rPr>
          <w:lang w:val="es-ES"/>
        </w:rPr>
        <w:t xml:space="preserve"> </w:t>
      </w:r>
      <w:r w:rsidR="00DD3F79">
        <w:rPr>
          <w:lang w:val="es-ES"/>
        </w:rPr>
        <w:t>y ulteriormente d</w:t>
      </w:r>
      <w:r w:rsidR="00DD3F79" w:rsidRPr="00EE1BE2">
        <w:rPr>
          <w:lang w:val="es-ES"/>
        </w:rPr>
        <w:t>el Acuerdo 482 (modificado en</w:t>
      </w:r>
      <w:r w:rsidR="00DD3F79">
        <w:rPr>
          <w:lang w:val="es-ES"/>
        </w:rPr>
        <w:t> </w:t>
      </w:r>
      <w:r w:rsidR="00DD3F79" w:rsidRPr="00EE1BE2">
        <w:rPr>
          <w:lang w:val="es-ES"/>
        </w:rPr>
        <w:t>20</w:t>
      </w:r>
      <w:r w:rsidR="00DD3F79">
        <w:rPr>
          <w:lang w:val="es-ES"/>
        </w:rPr>
        <w:t>12</w:t>
      </w:r>
      <w:r w:rsidR="00DD3F79" w:rsidRPr="00EE1BE2">
        <w:rPr>
          <w:lang w:val="es-ES"/>
        </w:rPr>
        <w:t>)</w:t>
      </w:r>
      <w:r w:rsidR="00DD3F79" w:rsidRPr="00C1030A">
        <w:t xml:space="preserve"> </w:t>
      </w:r>
      <w:r w:rsidR="00DD3F79">
        <w:t xml:space="preserve">y del </w:t>
      </w:r>
      <w:r w:rsidR="00DD3F79" w:rsidRPr="00C1030A">
        <w:rPr>
          <w:lang w:val="es-ES"/>
        </w:rPr>
        <w:t>Acuerdo 482 (modificado en 201</w:t>
      </w:r>
      <w:r w:rsidR="00DD3F79">
        <w:rPr>
          <w:lang w:val="es-ES"/>
        </w:rPr>
        <w:t>3</w:t>
      </w:r>
      <w:r w:rsidR="00DD3F79" w:rsidRPr="00C1030A">
        <w:rPr>
          <w:lang w:val="es-ES"/>
        </w:rPr>
        <w:t>)</w:t>
      </w:r>
      <w:r w:rsidR="00DD3F79" w:rsidRPr="00EE1BE2">
        <w:rPr>
          <w:lang w:val="es-ES"/>
        </w:rPr>
        <w:t xml:space="preserve"> por la Oficina de Radiocomunicaciones no planteó ninguna dificultad </w:t>
      </w:r>
      <w:r>
        <w:rPr>
          <w:lang w:val="es-ES"/>
        </w:rPr>
        <w:t xml:space="preserve">a nivel </w:t>
      </w:r>
      <w:r w:rsidR="00DD3F79" w:rsidRPr="00EE1BE2">
        <w:rPr>
          <w:lang w:val="es-ES"/>
        </w:rPr>
        <w:t>intern</w:t>
      </w:r>
      <w:r>
        <w:rPr>
          <w:lang w:val="es-ES"/>
        </w:rPr>
        <w:t>o ni co</w:t>
      </w:r>
      <w:r w:rsidR="00DD3F79" w:rsidRPr="00EE1BE2">
        <w:rPr>
          <w:lang w:val="es-ES"/>
        </w:rPr>
        <w:t xml:space="preserve">n las </w:t>
      </w:r>
      <w:r w:rsidR="0004499A">
        <w:rPr>
          <w:lang w:val="es-ES"/>
        </w:rPr>
        <w:t xml:space="preserve">administraciones notificantes de </w:t>
      </w:r>
      <w:r>
        <w:rPr>
          <w:lang w:val="es-ES"/>
        </w:rPr>
        <w:t xml:space="preserve">redes de satélite. </w:t>
      </w:r>
    </w:p>
    <w:p w:rsidR="00DD3F79" w:rsidRPr="00D30E4F" w:rsidRDefault="00DD3F79" w:rsidP="00DD3F79">
      <w:pPr>
        <w:pStyle w:val="Heading2"/>
      </w:pPr>
      <w:r w:rsidRPr="00D30E4F">
        <w:t>2.3</w:t>
      </w:r>
      <w:r w:rsidRPr="00D30E4F">
        <w:tab/>
        <w:t>Conformidad e interfuncionamiento</w:t>
      </w:r>
    </w:p>
    <w:p w:rsidR="009A2BED" w:rsidRPr="009A2BED" w:rsidRDefault="009A2BED" w:rsidP="00886232">
      <w:pPr>
        <w:rPr>
          <w:bCs/>
        </w:rPr>
      </w:pPr>
      <w:r w:rsidRPr="009A2BED">
        <w:rPr>
          <w:bCs/>
        </w:rPr>
        <w:t xml:space="preserve">El Consejo, en su reunión de 2013, </w:t>
      </w:r>
      <w:r>
        <w:rPr>
          <w:bCs/>
        </w:rPr>
        <w:t xml:space="preserve">refrendó </w:t>
      </w:r>
      <w:r w:rsidR="002A15F9">
        <w:rPr>
          <w:bCs/>
        </w:rPr>
        <w:t xml:space="preserve">el </w:t>
      </w:r>
      <w:r w:rsidR="00886232">
        <w:rPr>
          <w:bCs/>
        </w:rPr>
        <w:t>i</w:t>
      </w:r>
      <w:r w:rsidR="002A15F9" w:rsidRPr="002A15F9">
        <w:rPr>
          <w:bCs/>
        </w:rPr>
        <w:t>nforme actualizado</w:t>
      </w:r>
      <w:r w:rsidR="002A15F9">
        <w:rPr>
          <w:bCs/>
        </w:rPr>
        <w:t xml:space="preserve"> y el </w:t>
      </w:r>
      <w:r w:rsidR="00886232">
        <w:rPr>
          <w:bCs/>
        </w:rPr>
        <w:t>P</w:t>
      </w:r>
      <w:r w:rsidR="002A15F9">
        <w:rPr>
          <w:bCs/>
        </w:rPr>
        <w:t xml:space="preserve">lan de </w:t>
      </w:r>
      <w:r w:rsidR="00886232">
        <w:rPr>
          <w:bCs/>
        </w:rPr>
        <w:t>A</w:t>
      </w:r>
      <w:r w:rsidR="002A15F9">
        <w:rPr>
          <w:bCs/>
        </w:rPr>
        <w:t xml:space="preserve">cción sobre las actividades de la UIT relativas al </w:t>
      </w:r>
      <w:r w:rsidR="002A15F9" w:rsidRPr="002A15F9">
        <w:rPr>
          <w:bCs/>
        </w:rPr>
        <w:t>programa de conformidad e</w:t>
      </w:r>
      <w:r w:rsidR="002A15F9">
        <w:rPr>
          <w:bCs/>
        </w:rPr>
        <w:t xml:space="preserve"> interfuncionamiento. Se tomó nota de </w:t>
      </w:r>
      <w:r w:rsidR="002A15F9">
        <w:rPr>
          <w:bCs/>
        </w:rPr>
        <w:lastRenderedPageBreak/>
        <w:t xml:space="preserve">que el UIT-R proseguirá colaborando con el UIT-T y el UIT-D </w:t>
      </w:r>
      <w:r w:rsidR="00A96946">
        <w:rPr>
          <w:bCs/>
        </w:rPr>
        <w:t>en relación con</w:t>
      </w:r>
      <w:r w:rsidR="002A15F9">
        <w:rPr>
          <w:bCs/>
        </w:rPr>
        <w:t xml:space="preserve"> las pruebas de conformidad e interfuncionamiento, como se indica en los </w:t>
      </w:r>
      <w:r w:rsidR="002A15F9" w:rsidRPr="00A96946">
        <w:rPr>
          <w:bCs/>
          <w:i/>
          <w:iCs/>
        </w:rPr>
        <w:t>resuelve</w:t>
      </w:r>
      <w:r w:rsidR="002A15F9">
        <w:rPr>
          <w:bCs/>
        </w:rPr>
        <w:t xml:space="preserve"> de la Resolución UIT-R 62, y facilitará a ambos Sectores toda la información al respecto que le soliciten. </w:t>
      </w:r>
    </w:p>
    <w:p w:rsidR="00DD3F79" w:rsidRDefault="00DD3F79" w:rsidP="000A569E">
      <w:pPr>
        <w:pStyle w:val="Heading2"/>
      </w:pPr>
      <w:r>
        <w:t>2.4</w:t>
      </w:r>
      <w:r>
        <w:tab/>
        <w:t>Presupuesto para el periodo 2014-2015</w:t>
      </w:r>
    </w:p>
    <w:p w:rsidR="006B534E" w:rsidRDefault="000A569E" w:rsidP="00A96946">
      <w:r>
        <w:t xml:space="preserve">En su reunión de 2013, el Consejo adoptó el presupuesto bienal correspondiente a 2014-2015, contemplado en </w:t>
      </w:r>
      <w:r w:rsidR="00A96946" w:rsidRPr="00A96946">
        <w:t xml:space="preserve">la </w:t>
      </w:r>
      <w:hyperlink r:id="rId12" w:history="1">
        <w:r w:rsidR="00A96946">
          <w:rPr>
            <w:rStyle w:val="Hyperlink"/>
          </w:rPr>
          <w:t>Re</w:t>
        </w:r>
        <w:r w:rsidR="00A96946" w:rsidRPr="00A96946">
          <w:rPr>
            <w:rStyle w:val="Hyperlink"/>
          </w:rPr>
          <w:t>solu</w:t>
        </w:r>
        <w:r w:rsidR="00A96946">
          <w:rPr>
            <w:rStyle w:val="Hyperlink"/>
          </w:rPr>
          <w:t>ció</w:t>
        </w:r>
        <w:r w:rsidR="00A96946" w:rsidRPr="00A96946">
          <w:rPr>
            <w:rStyle w:val="Hyperlink"/>
          </w:rPr>
          <w:t>n 1359</w:t>
        </w:r>
      </w:hyperlink>
      <w:r w:rsidR="00A96946">
        <w:t>.</w:t>
      </w:r>
    </w:p>
    <w:p w:rsidR="00E13BB6" w:rsidRPr="00E13BB6" w:rsidRDefault="005660B7" w:rsidP="005660B7">
      <w:r>
        <w:t xml:space="preserve">En esa misma </w:t>
      </w:r>
      <w:r w:rsidR="00E13BB6">
        <w:t>reunión, el Consejo acordó autorizar una detracción de 4</w:t>
      </w:r>
      <w:r w:rsidR="00803D75">
        <w:t> millones</w:t>
      </w:r>
      <w:r w:rsidR="00E13BB6">
        <w:t xml:space="preserve"> CHF de la </w:t>
      </w:r>
      <w:r w:rsidR="00E13BB6" w:rsidRPr="00E13BB6">
        <w:t>Cuenta de Provisión</w:t>
      </w:r>
      <w:r w:rsidR="00E13BB6">
        <w:t xml:space="preserve"> </w:t>
      </w:r>
      <w:r w:rsidR="00E13BB6" w:rsidRPr="00E13BB6">
        <w:t xml:space="preserve">para financiar el programa de actividades </w:t>
      </w:r>
      <w:r>
        <w:t xml:space="preserve">acordado durante el </w:t>
      </w:r>
      <w:r w:rsidR="00E13BB6" w:rsidRPr="00E13BB6">
        <w:t>periodo presupuestado, lo que incluye la organización de la CMR-15 y la A</w:t>
      </w:r>
      <w:r w:rsidR="00E13BB6">
        <w:t>R</w:t>
      </w:r>
      <w:r w:rsidR="00E13BB6">
        <w:noBreakHyphen/>
        <w:t>15</w:t>
      </w:r>
      <w:r>
        <w:t>,</w:t>
      </w:r>
      <w:r w:rsidR="00E13BB6">
        <w:t xml:space="preserve"> en virtud de la Resolución </w:t>
      </w:r>
      <w:r w:rsidR="00E13BB6" w:rsidRPr="00E13BB6">
        <w:t>1343 adoptada por el Consejo en su reunión de 2012.</w:t>
      </w:r>
    </w:p>
    <w:p w:rsidR="00E13BB6" w:rsidRPr="00803D75" w:rsidRDefault="00803D75" w:rsidP="00677A59">
      <w:pPr>
        <w:rPr>
          <w:rFonts w:cs="Calibri"/>
          <w:szCs w:val="24"/>
        </w:rPr>
      </w:pPr>
      <w:r w:rsidRPr="00803D75">
        <w:rPr>
          <w:rFonts w:cs="Calibri"/>
          <w:szCs w:val="24"/>
        </w:rPr>
        <w:t>Conviene recordar que el presupuesto original de la organizaci</w:t>
      </w:r>
      <w:r>
        <w:rPr>
          <w:rFonts w:cs="Calibri"/>
          <w:szCs w:val="24"/>
        </w:rPr>
        <w:t>ón de la AR/CMR-15 era de 5 millones CHF (UIT-R y Secretaría General) y</w:t>
      </w:r>
      <w:r w:rsidR="005660B7">
        <w:rPr>
          <w:rFonts w:cs="Calibri"/>
          <w:szCs w:val="24"/>
        </w:rPr>
        <w:t xml:space="preserve"> que</w:t>
      </w:r>
      <w:r>
        <w:rPr>
          <w:rFonts w:cs="Calibri"/>
          <w:szCs w:val="24"/>
        </w:rPr>
        <w:t xml:space="preserve"> la reducción convenida tuvo repercusiones en otras partidas del presupuesto de la </w:t>
      </w:r>
      <w:r w:rsidR="004818E9">
        <w:rPr>
          <w:rFonts w:cs="Calibri"/>
          <w:szCs w:val="24"/>
        </w:rPr>
        <w:t>Oficina de Radiocomunicaciones (</w:t>
      </w:r>
      <w:r>
        <w:rPr>
          <w:rFonts w:cs="Calibri"/>
          <w:szCs w:val="24"/>
        </w:rPr>
        <w:t>BR</w:t>
      </w:r>
      <w:r w:rsidR="004818E9">
        <w:rPr>
          <w:rFonts w:cs="Calibri"/>
          <w:szCs w:val="24"/>
        </w:rPr>
        <w:t>)</w:t>
      </w:r>
      <w:r>
        <w:rPr>
          <w:rFonts w:cs="Calibri"/>
          <w:szCs w:val="24"/>
        </w:rPr>
        <w:t>.</w:t>
      </w:r>
    </w:p>
    <w:p w:rsidR="006B534E" w:rsidRPr="00803D75" w:rsidRDefault="006B534E">
      <w:pPr>
        <w:tabs>
          <w:tab w:val="clear" w:pos="794"/>
          <w:tab w:val="clear" w:pos="1191"/>
          <w:tab w:val="clear" w:pos="1588"/>
          <w:tab w:val="clear" w:pos="1985"/>
        </w:tabs>
        <w:overflowPunct/>
        <w:autoSpaceDE/>
        <w:autoSpaceDN/>
        <w:adjustRightInd/>
        <w:spacing w:before="0"/>
        <w:textAlignment w:val="auto"/>
        <w:rPr>
          <w:rFonts w:cs="Calibri"/>
          <w:bCs/>
          <w:szCs w:val="24"/>
        </w:rPr>
      </w:pPr>
    </w:p>
    <w:tbl>
      <w:tblPr>
        <w:tblW w:w="5000" w:type="pct"/>
        <w:tblLayout w:type="fixed"/>
        <w:tblCellMar>
          <w:left w:w="57" w:type="dxa"/>
          <w:right w:w="57" w:type="dxa"/>
        </w:tblCellMar>
        <w:tblLook w:val="04A0" w:firstRow="1" w:lastRow="0" w:firstColumn="1" w:lastColumn="0" w:noHBand="0" w:noVBand="1"/>
      </w:tblPr>
      <w:tblGrid>
        <w:gridCol w:w="855"/>
        <w:gridCol w:w="98"/>
        <w:gridCol w:w="3501"/>
        <w:gridCol w:w="831"/>
        <w:gridCol w:w="928"/>
        <w:gridCol w:w="595"/>
        <w:gridCol w:w="983"/>
        <w:gridCol w:w="983"/>
        <w:gridCol w:w="979"/>
      </w:tblGrid>
      <w:tr w:rsidR="006B534E" w:rsidRPr="0061429D" w:rsidTr="00591D09">
        <w:trPr>
          <w:trHeight w:val="405"/>
        </w:trPr>
        <w:tc>
          <w:tcPr>
            <w:tcW w:w="5000" w:type="pct"/>
            <w:gridSpan w:val="9"/>
            <w:tcBorders>
              <w:top w:val="nil"/>
              <w:left w:val="nil"/>
              <w:bottom w:val="single" w:sz="4" w:space="0" w:color="000099"/>
              <w:right w:val="nil"/>
            </w:tcBorders>
            <w:shd w:val="clear" w:color="000000" w:fill="FFFFFF"/>
            <w:noWrap/>
            <w:vAlign w:val="center"/>
            <w:hideMark/>
          </w:tcPr>
          <w:p w:rsidR="006B534E" w:rsidRPr="00886232" w:rsidRDefault="006B534E" w:rsidP="005638D8">
            <w:pPr>
              <w:overflowPunct/>
              <w:autoSpaceDE/>
              <w:autoSpaceDN/>
              <w:adjustRightInd/>
              <w:spacing w:before="0"/>
              <w:jc w:val="center"/>
              <w:textAlignment w:val="auto"/>
              <w:rPr>
                <w:rFonts w:asciiTheme="majorBidi" w:hAnsiTheme="majorBidi" w:cstheme="majorBidi"/>
                <w:b/>
                <w:bCs/>
                <w:color w:val="000099"/>
                <w:sz w:val="22"/>
                <w:szCs w:val="22"/>
                <w:lang w:eastAsia="zh-CN"/>
              </w:rPr>
            </w:pPr>
            <w:r w:rsidRPr="00886232">
              <w:rPr>
                <w:rFonts w:asciiTheme="majorBidi" w:hAnsiTheme="majorBidi" w:cstheme="majorBidi"/>
                <w:b/>
                <w:bCs/>
                <w:color w:val="000099"/>
                <w:sz w:val="22"/>
                <w:szCs w:val="22"/>
                <w:lang w:eastAsia="zh-CN"/>
              </w:rPr>
              <w:t xml:space="preserve">Presupuesto 2014-2015 </w:t>
            </w:r>
            <w:r w:rsidR="007A5260" w:rsidRPr="00886232">
              <w:rPr>
                <w:sz w:val="22"/>
                <w:szCs w:val="22"/>
                <w:lang w:eastAsia="zh-CN"/>
              </w:rPr>
              <w:t>–</w:t>
            </w:r>
            <w:r w:rsidRPr="00886232">
              <w:rPr>
                <w:rFonts w:asciiTheme="majorBidi" w:hAnsiTheme="majorBidi" w:cstheme="majorBidi"/>
                <w:b/>
                <w:bCs/>
                <w:color w:val="000099"/>
                <w:sz w:val="22"/>
                <w:szCs w:val="22"/>
                <w:lang w:eastAsia="zh-CN"/>
              </w:rPr>
              <w:t xml:space="preserve"> Sector de Radiocomunicaciones</w:t>
            </w:r>
          </w:p>
        </w:tc>
      </w:tr>
      <w:tr w:rsidR="00591D09" w:rsidRPr="0061429D" w:rsidTr="007A5260">
        <w:trPr>
          <w:trHeight w:val="240"/>
        </w:trPr>
        <w:tc>
          <w:tcPr>
            <w:tcW w:w="438" w:type="pct"/>
            <w:tcBorders>
              <w:top w:val="single" w:sz="4" w:space="0" w:color="000099"/>
              <w:left w:val="nil"/>
              <w:bottom w:val="nil"/>
              <w:right w:val="nil"/>
            </w:tcBorders>
            <w:shd w:val="clear" w:color="000000" w:fill="DBE5F1"/>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 </w:t>
            </w:r>
          </w:p>
        </w:tc>
        <w:tc>
          <w:tcPr>
            <w:tcW w:w="1844" w:type="pct"/>
            <w:gridSpan w:val="2"/>
            <w:tcBorders>
              <w:top w:val="single" w:sz="4" w:space="0" w:color="000099"/>
              <w:left w:val="nil"/>
              <w:bottom w:val="nil"/>
              <w:right w:val="nil"/>
            </w:tcBorders>
            <w:shd w:val="clear" w:color="000000" w:fill="DBE5F1"/>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b/>
                <w:bCs/>
                <w:color w:val="000099"/>
                <w:sz w:val="16"/>
                <w:szCs w:val="16"/>
                <w:u w:val="single"/>
                <w:lang w:eastAsia="zh-CN"/>
              </w:rPr>
            </w:pPr>
          </w:p>
        </w:tc>
        <w:tc>
          <w:tcPr>
            <w:tcW w:w="2718" w:type="pct"/>
            <w:gridSpan w:val="6"/>
            <w:tcBorders>
              <w:top w:val="single" w:sz="4" w:space="0" w:color="000099"/>
              <w:left w:val="nil"/>
              <w:bottom w:val="nil"/>
              <w:right w:val="nil"/>
            </w:tcBorders>
            <w:shd w:val="clear" w:color="000000" w:fill="DBE5F1"/>
            <w:noWrap/>
            <w:vAlign w:val="bottom"/>
            <w:hideMark/>
          </w:tcPr>
          <w:p w:rsidR="006B534E" w:rsidRPr="007A5260" w:rsidRDefault="006B534E" w:rsidP="005638D8">
            <w:pPr>
              <w:overflowPunct/>
              <w:autoSpaceDE/>
              <w:autoSpaceDN/>
              <w:adjustRightInd/>
              <w:spacing w:before="0"/>
              <w:jc w:val="right"/>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En miles de francos suizos</w:t>
            </w:r>
          </w:p>
        </w:tc>
      </w:tr>
      <w:tr w:rsidR="00591D09" w:rsidRPr="0061429D" w:rsidTr="007A5260">
        <w:trPr>
          <w:trHeight w:val="300"/>
        </w:trPr>
        <w:tc>
          <w:tcPr>
            <w:tcW w:w="2282" w:type="pct"/>
            <w:gridSpan w:val="3"/>
            <w:tcBorders>
              <w:top w:val="nil"/>
              <w:left w:val="nil"/>
              <w:bottom w:val="nil"/>
              <w:right w:val="nil"/>
            </w:tcBorders>
            <w:shd w:val="clear" w:color="000000" w:fill="DBE5F1"/>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Gastos de explotación por sección</w:t>
            </w:r>
          </w:p>
        </w:tc>
        <w:tc>
          <w:tcPr>
            <w:tcW w:w="426" w:type="pct"/>
            <w:tcBorders>
              <w:top w:val="nil"/>
              <w:left w:val="nil"/>
              <w:bottom w:val="nil"/>
              <w:right w:val="nil"/>
            </w:tcBorders>
            <w:shd w:val="clear" w:color="000000" w:fill="DBE5F1"/>
            <w:noWrap/>
            <w:vAlign w:val="center"/>
            <w:hideMark/>
          </w:tcPr>
          <w:p w:rsidR="006B534E" w:rsidRPr="007A5260" w:rsidRDefault="006B534E" w:rsidP="005638D8">
            <w:pPr>
              <w:overflowPunct/>
              <w:autoSpaceDE/>
              <w:autoSpaceDN/>
              <w:adjustRightInd/>
              <w:spacing w:before="0"/>
              <w:jc w:val="center"/>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Real</w:t>
            </w:r>
          </w:p>
        </w:tc>
        <w:tc>
          <w:tcPr>
            <w:tcW w:w="476" w:type="pct"/>
            <w:tcBorders>
              <w:top w:val="nil"/>
              <w:left w:val="nil"/>
              <w:bottom w:val="nil"/>
              <w:right w:val="nil"/>
            </w:tcBorders>
            <w:shd w:val="clear" w:color="000000" w:fill="DBE5F1"/>
            <w:noWrap/>
            <w:vAlign w:val="center"/>
            <w:hideMark/>
          </w:tcPr>
          <w:p w:rsidR="006B534E" w:rsidRPr="007A5260" w:rsidRDefault="006B534E" w:rsidP="00591D09">
            <w:pPr>
              <w:overflowPunct/>
              <w:autoSpaceDE/>
              <w:autoSpaceDN/>
              <w:adjustRightInd/>
              <w:spacing w:before="0"/>
              <w:ind w:right="-57"/>
              <w:jc w:val="center"/>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Presupuesto</w:t>
            </w:r>
          </w:p>
        </w:tc>
        <w:tc>
          <w:tcPr>
            <w:tcW w:w="305" w:type="pct"/>
            <w:tcBorders>
              <w:top w:val="nil"/>
              <w:left w:val="nil"/>
              <w:bottom w:val="nil"/>
              <w:right w:val="nil"/>
            </w:tcBorders>
            <w:shd w:val="clear" w:color="000000" w:fill="DBE5F1"/>
            <w:vAlign w:val="center"/>
            <w:hideMark/>
          </w:tcPr>
          <w:p w:rsidR="006B534E" w:rsidRPr="007A5260" w:rsidRDefault="006B534E" w:rsidP="005638D8">
            <w:pPr>
              <w:overflowPunct/>
              <w:autoSpaceDE/>
              <w:autoSpaceDN/>
              <w:adjustRightInd/>
              <w:spacing w:before="0"/>
              <w:jc w:val="center"/>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Real</w:t>
            </w:r>
          </w:p>
        </w:tc>
        <w:tc>
          <w:tcPr>
            <w:tcW w:w="504" w:type="pct"/>
            <w:tcBorders>
              <w:top w:val="nil"/>
              <w:left w:val="nil"/>
              <w:bottom w:val="nil"/>
              <w:right w:val="nil"/>
            </w:tcBorders>
            <w:shd w:val="clear" w:color="000000" w:fill="DBE5F1"/>
            <w:noWrap/>
            <w:vAlign w:val="center"/>
            <w:hideMark/>
          </w:tcPr>
          <w:p w:rsidR="006B534E" w:rsidRPr="007A5260" w:rsidRDefault="006B534E" w:rsidP="00591D09">
            <w:pPr>
              <w:overflowPunct/>
              <w:autoSpaceDE/>
              <w:autoSpaceDN/>
              <w:adjustRightInd/>
              <w:spacing w:before="0"/>
              <w:ind w:right="-57"/>
              <w:jc w:val="center"/>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Estimaciones</w:t>
            </w:r>
          </w:p>
        </w:tc>
        <w:tc>
          <w:tcPr>
            <w:tcW w:w="504" w:type="pct"/>
            <w:tcBorders>
              <w:top w:val="nil"/>
              <w:left w:val="nil"/>
              <w:bottom w:val="nil"/>
              <w:right w:val="nil"/>
            </w:tcBorders>
            <w:shd w:val="clear" w:color="000000" w:fill="DBE5F1"/>
            <w:noWrap/>
            <w:vAlign w:val="center"/>
            <w:hideMark/>
          </w:tcPr>
          <w:p w:rsidR="006B534E" w:rsidRPr="007A5260" w:rsidRDefault="006B534E" w:rsidP="00591D09">
            <w:pPr>
              <w:overflowPunct/>
              <w:autoSpaceDE/>
              <w:autoSpaceDN/>
              <w:adjustRightInd/>
              <w:spacing w:before="0"/>
              <w:ind w:right="-57"/>
              <w:jc w:val="center"/>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Estimaciones</w:t>
            </w:r>
          </w:p>
        </w:tc>
        <w:tc>
          <w:tcPr>
            <w:tcW w:w="503" w:type="pct"/>
            <w:tcBorders>
              <w:top w:val="nil"/>
              <w:left w:val="nil"/>
              <w:bottom w:val="nil"/>
              <w:right w:val="nil"/>
            </w:tcBorders>
            <w:shd w:val="clear" w:color="000000" w:fill="DBE5F1"/>
            <w:noWrap/>
            <w:vAlign w:val="center"/>
            <w:hideMark/>
          </w:tcPr>
          <w:p w:rsidR="006B534E" w:rsidRPr="007A5260" w:rsidRDefault="006B534E" w:rsidP="00591D09">
            <w:pPr>
              <w:overflowPunct/>
              <w:autoSpaceDE/>
              <w:autoSpaceDN/>
              <w:adjustRightInd/>
              <w:spacing w:before="0"/>
              <w:ind w:right="-57"/>
              <w:jc w:val="center"/>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Estimaciones</w:t>
            </w:r>
          </w:p>
        </w:tc>
      </w:tr>
      <w:tr w:rsidR="00591D09" w:rsidRPr="0061429D" w:rsidTr="007A5260">
        <w:trPr>
          <w:trHeight w:val="240"/>
        </w:trPr>
        <w:tc>
          <w:tcPr>
            <w:tcW w:w="488" w:type="pct"/>
            <w:gridSpan w:val="2"/>
            <w:tcBorders>
              <w:top w:val="nil"/>
              <w:left w:val="nil"/>
              <w:bottom w:val="single" w:sz="4" w:space="0" w:color="000099"/>
              <w:right w:val="nil"/>
            </w:tcBorders>
            <w:shd w:val="clear" w:color="000000" w:fill="DBE5F1"/>
            <w:noWrap/>
            <w:vAlign w:val="center"/>
            <w:hideMark/>
          </w:tcPr>
          <w:p w:rsidR="006B534E" w:rsidRPr="007A5260" w:rsidRDefault="006B534E" w:rsidP="005638D8">
            <w:pPr>
              <w:overflowPunct/>
              <w:autoSpaceDE/>
              <w:autoSpaceDN/>
              <w:adjustRightInd/>
              <w:spacing w:before="0"/>
              <w:jc w:val="right"/>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 </w:t>
            </w:r>
          </w:p>
        </w:tc>
        <w:tc>
          <w:tcPr>
            <w:tcW w:w="1795"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overflowPunct/>
              <w:autoSpaceDE/>
              <w:autoSpaceDN/>
              <w:adjustRightInd/>
              <w:spacing w:before="0"/>
              <w:jc w:val="right"/>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 </w:t>
            </w:r>
          </w:p>
        </w:tc>
        <w:tc>
          <w:tcPr>
            <w:tcW w:w="426" w:type="pct"/>
            <w:tcBorders>
              <w:top w:val="nil"/>
              <w:left w:val="nil"/>
              <w:bottom w:val="single" w:sz="4" w:space="0" w:color="000099"/>
              <w:right w:val="nil"/>
            </w:tcBorders>
            <w:shd w:val="clear" w:color="000000" w:fill="DBE5F1"/>
            <w:vAlign w:val="center"/>
            <w:hideMark/>
          </w:tcPr>
          <w:p w:rsidR="006B534E" w:rsidRPr="007A5260" w:rsidRDefault="006B534E" w:rsidP="005638D8">
            <w:pPr>
              <w:spacing w:before="20" w:after="20"/>
              <w:jc w:val="center"/>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2010-2011</w:t>
            </w:r>
          </w:p>
        </w:tc>
        <w:tc>
          <w:tcPr>
            <w:tcW w:w="476" w:type="pct"/>
            <w:tcBorders>
              <w:top w:val="nil"/>
              <w:left w:val="nil"/>
              <w:bottom w:val="single" w:sz="4" w:space="0" w:color="000099"/>
              <w:right w:val="nil"/>
            </w:tcBorders>
            <w:shd w:val="clear" w:color="000000" w:fill="DBE5F1"/>
            <w:vAlign w:val="center"/>
            <w:hideMark/>
          </w:tcPr>
          <w:p w:rsidR="006B534E" w:rsidRPr="007A5260" w:rsidRDefault="006B534E" w:rsidP="005638D8">
            <w:pPr>
              <w:spacing w:before="20" w:after="20"/>
              <w:jc w:val="center"/>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2012-2013</w:t>
            </w:r>
          </w:p>
        </w:tc>
        <w:tc>
          <w:tcPr>
            <w:tcW w:w="305"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20" w:after="20"/>
              <w:jc w:val="center"/>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2012</w:t>
            </w:r>
          </w:p>
        </w:tc>
        <w:tc>
          <w:tcPr>
            <w:tcW w:w="504" w:type="pct"/>
            <w:tcBorders>
              <w:top w:val="nil"/>
              <w:left w:val="nil"/>
              <w:bottom w:val="single" w:sz="4" w:space="0" w:color="000099"/>
              <w:right w:val="nil"/>
            </w:tcBorders>
            <w:shd w:val="clear" w:color="000000" w:fill="DBE5F1"/>
            <w:vAlign w:val="center"/>
            <w:hideMark/>
          </w:tcPr>
          <w:p w:rsidR="006B534E" w:rsidRPr="007A5260" w:rsidRDefault="006B534E" w:rsidP="005638D8">
            <w:pPr>
              <w:spacing w:before="20" w:after="20"/>
              <w:jc w:val="center"/>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2014</w:t>
            </w:r>
          </w:p>
        </w:tc>
        <w:tc>
          <w:tcPr>
            <w:tcW w:w="504" w:type="pct"/>
            <w:tcBorders>
              <w:top w:val="nil"/>
              <w:left w:val="nil"/>
              <w:bottom w:val="single" w:sz="4" w:space="0" w:color="000099"/>
              <w:right w:val="nil"/>
            </w:tcBorders>
            <w:shd w:val="clear" w:color="000000" w:fill="DBE5F1"/>
            <w:vAlign w:val="center"/>
            <w:hideMark/>
          </w:tcPr>
          <w:p w:rsidR="006B534E" w:rsidRPr="007A5260" w:rsidRDefault="006B534E" w:rsidP="005638D8">
            <w:pPr>
              <w:spacing w:before="20" w:after="20"/>
              <w:jc w:val="center"/>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2015</w:t>
            </w:r>
          </w:p>
        </w:tc>
        <w:tc>
          <w:tcPr>
            <w:tcW w:w="503" w:type="pct"/>
            <w:tcBorders>
              <w:top w:val="nil"/>
              <w:left w:val="nil"/>
              <w:bottom w:val="single" w:sz="4" w:space="0" w:color="000099"/>
              <w:right w:val="nil"/>
            </w:tcBorders>
            <w:shd w:val="clear" w:color="000000" w:fill="DBE5F1"/>
            <w:vAlign w:val="center"/>
            <w:hideMark/>
          </w:tcPr>
          <w:p w:rsidR="006B534E" w:rsidRPr="007A5260" w:rsidRDefault="006B534E" w:rsidP="005638D8">
            <w:pPr>
              <w:spacing w:before="20" w:after="20"/>
              <w:jc w:val="center"/>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2014-2015</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20" w:after="2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20" w:after="2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20" w:after="2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20" w:after="2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20" w:after="2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20" w:after="20"/>
              <w:jc w:val="right"/>
              <w:rPr>
                <w:rFonts w:asciiTheme="majorBidi" w:hAnsiTheme="majorBidi" w:cstheme="majorBidi"/>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3.1</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Conferencias Mundiales de Radiocomunicaciones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3'000</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2'619</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2'811</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2'811</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3.2</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Asambleas de Radiocomunicaciones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0</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375</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359</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368</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368</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4.1</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Conferencias Regionales de Radiocomunicaciones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0</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0</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0</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0</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5.1</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Junta del Reglamento de Radiocomunicaciones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977</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1'363</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467</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731</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731</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1'462</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b/>
                <w:bCs/>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b/>
                <w:bCs/>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5.2</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Grupo Asesor de Radiocomunicaciones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115</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123</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50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72</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72</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144</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6</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Comisiones de Estudio</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2'244</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1'750</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226</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988</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975</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1'963</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7</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Actividades y programas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1'585</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1'920</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465</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850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650</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1'500</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8</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Seminarios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476</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944</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177</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521</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422</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943</w:t>
            </w:r>
          </w:p>
        </w:tc>
      </w:tr>
      <w:tr w:rsidR="00591D09" w:rsidRPr="0061429D" w:rsidTr="007A5260">
        <w:trPr>
          <w:trHeight w:val="199"/>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sz w:val="16"/>
                <w:szCs w:val="16"/>
              </w:rPr>
            </w:pP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91D0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Sección 9</w:t>
            </w: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Oficina</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55'192</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52'311</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26'357</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27'000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25'868</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52'868</w:t>
            </w: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F0139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 xml:space="preserve">   -</w:t>
            </w:r>
            <w:r w:rsidR="00F01399" w:rsidRPr="007A5260">
              <w:rPr>
                <w:rFonts w:asciiTheme="majorBidi" w:hAnsiTheme="majorBidi" w:cstheme="majorBidi"/>
                <w:sz w:val="16"/>
                <w:szCs w:val="16"/>
                <w:lang w:eastAsia="zh-CN"/>
              </w:rPr>
              <w:t xml:space="preserve"> </w:t>
            </w:r>
            <w:r w:rsidRPr="007A5260">
              <w:rPr>
                <w:rFonts w:asciiTheme="majorBidi" w:hAnsiTheme="majorBidi" w:cstheme="majorBidi"/>
                <w:sz w:val="16"/>
                <w:szCs w:val="16"/>
                <w:lang w:eastAsia="zh-CN"/>
              </w:rPr>
              <w:t>Gastos comunes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2'105</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2'054</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563</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1'034</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934</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1'968</w:t>
            </w: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 xml:space="preserve">   - Oficina del Director</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1'459</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1'278</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643</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643</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629</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1'272</w:t>
            </w: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 xml:space="preserve">   - Departamento de Comisiones de Estudio</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6'632</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6'243</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2'790</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2'587</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2'484</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5'071</w:t>
            </w: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 xml:space="preserve">   - Departamento de Servicios Espaciales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17'639</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16'496</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8'644</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8'538</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8'078</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16'616</w:t>
            </w: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 xml:space="preserve">   - Departamento de Servicios Terrenales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14'205</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13'131</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6'744</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6'671</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6'414</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13'085</w:t>
            </w:r>
          </w:p>
        </w:tc>
      </w:tr>
      <w:tr w:rsidR="00591D09" w:rsidRPr="0061429D" w:rsidTr="007A5260">
        <w:trPr>
          <w:trHeight w:val="252"/>
        </w:trPr>
        <w:tc>
          <w:tcPr>
            <w:tcW w:w="488" w:type="pct"/>
            <w:gridSpan w:val="2"/>
            <w:tcBorders>
              <w:top w:val="nil"/>
              <w:left w:val="nil"/>
              <w:bottom w:val="nil"/>
              <w:right w:val="nil"/>
            </w:tcBorders>
            <w:shd w:val="clear" w:color="auto" w:fill="auto"/>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sz w:val="16"/>
                <w:szCs w:val="16"/>
                <w:lang w:eastAsia="zh-CN"/>
              </w:rPr>
            </w:pPr>
          </w:p>
        </w:tc>
        <w:tc>
          <w:tcPr>
            <w:tcW w:w="1795" w:type="pct"/>
            <w:tcBorders>
              <w:top w:val="nil"/>
              <w:left w:val="nil"/>
              <w:bottom w:val="nil"/>
              <w:right w:val="nil"/>
            </w:tcBorders>
            <w:shd w:val="clear" w:color="auto" w:fill="auto"/>
            <w:noWrap/>
            <w:vAlign w:val="center"/>
            <w:hideMark/>
          </w:tcPr>
          <w:p w:rsidR="006B534E" w:rsidRPr="007A5260" w:rsidRDefault="006B534E" w:rsidP="00F01399">
            <w:pPr>
              <w:overflowPunct/>
              <w:autoSpaceDE/>
              <w:autoSpaceDN/>
              <w:adjustRightInd/>
              <w:spacing w:before="0"/>
              <w:textAlignment w:val="auto"/>
              <w:rPr>
                <w:rFonts w:asciiTheme="majorBidi" w:hAnsiTheme="majorBidi" w:cstheme="majorBidi"/>
                <w:sz w:val="16"/>
                <w:szCs w:val="16"/>
                <w:lang w:eastAsia="zh-CN"/>
              </w:rPr>
            </w:pPr>
            <w:r w:rsidRPr="007A5260">
              <w:rPr>
                <w:rFonts w:asciiTheme="majorBidi" w:hAnsiTheme="majorBidi" w:cstheme="majorBidi"/>
                <w:sz w:val="16"/>
                <w:szCs w:val="16"/>
                <w:lang w:eastAsia="zh-CN"/>
              </w:rPr>
              <w:t xml:space="preserve">   - Departamento de Informática, Administración y</w:t>
            </w:r>
            <w:r w:rsidR="00F01399" w:rsidRPr="007A5260">
              <w:rPr>
                <w:rFonts w:asciiTheme="majorBidi" w:hAnsiTheme="majorBidi" w:cstheme="majorBidi"/>
                <w:sz w:val="16"/>
                <w:szCs w:val="16"/>
                <w:lang w:eastAsia="zh-CN"/>
              </w:rPr>
              <w:br/>
              <w:t xml:space="preserve">     </w:t>
            </w:r>
            <w:r w:rsidRPr="007A5260">
              <w:rPr>
                <w:rFonts w:asciiTheme="majorBidi" w:hAnsiTheme="majorBidi" w:cstheme="majorBidi"/>
                <w:sz w:val="16"/>
                <w:szCs w:val="16"/>
                <w:lang w:eastAsia="zh-CN"/>
              </w:rPr>
              <w:t>Publicaciones</w:t>
            </w:r>
          </w:p>
        </w:tc>
        <w:tc>
          <w:tcPr>
            <w:tcW w:w="42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13'152</w:t>
            </w:r>
          </w:p>
        </w:tc>
        <w:tc>
          <w:tcPr>
            <w:tcW w:w="476"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13'109</w:t>
            </w:r>
          </w:p>
        </w:tc>
        <w:tc>
          <w:tcPr>
            <w:tcW w:w="305"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sz w:val="16"/>
                <w:szCs w:val="16"/>
              </w:rPr>
            </w:pPr>
            <w:r w:rsidRPr="007A5260">
              <w:rPr>
                <w:rFonts w:asciiTheme="majorBidi" w:hAnsiTheme="majorBidi" w:cstheme="majorBidi"/>
                <w:sz w:val="16"/>
                <w:szCs w:val="16"/>
              </w:rPr>
              <w:t>6'973</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7'527</w:t>
            </w:r>
          </w:p>
        </w:tc>
        <w:tc>
          <w:tcPr>
            <w:tcW w:w="504"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caps/>
                <w:sz w:val="16"/>
                <w:szCs w:val="16"/>
              </w:rPr>
            </w:pPr>
            <w:r w:rsidRPr="007A5260">
              <w:rPr>
                <w:rFonts w:asciiTheme="majorBidi" w:hAnsiTheme="majorBidi" w:cstheme="majorBidi"/>
                <w:sz w:val="16"/>
                <w:szCs w:val="16"/>
              </w:rPr>
              <w:t>7'329</w:t>
            </w:r>
          </w:p>
        </w:tc>
        <w:tc>
          <w:tcPr>
            <w:tcW w:w="503" w:type="pct"/>
            <w:tcBorders>
              <w:top w:val="nil"/>
              <w:left w:val="nil"/>
              <w:bottom w:val="nil"/>
              <w:right w:val="nil"/>
            </w:tcBorders>
            <w:shd w:val="clear" w:color="auto" w:fill="auto"/>
            <w:noWrap/>
            <w:vAlign w:val="center"/>
            <w:hideMark/>
          </w:tcPr>
          <w:p w:rsidR="006B534E" w:rsidRPr="007A5260" w:rsidRDefault="006B534E" w:rsidP="005638D8">
            <w:pPr>
              <w:spacing w:before="0"/>
              <w:jc w:val="right"/>
              <w:rPr>
                <w:rFonts w:asciiTheme="majorBidi" w:hAnsiTheme="majorBidi" w:cstheme="majorBidi"/>
                <w:b/>
                <w:bCs/>
                <w:caps/>
                <w:sz w:val="16"/>
                <w:szCs w:val="16"/>
              </w:rPr>
            </w:pPr>
            <w:r w:rsidRPr="007A5260">
              <w:rPr>
                <w:rFonts w:asciiTheme="majorBidi" w:hAnsiTheme="majorBidi" w:cstheme="majorBidi"/>
                <w:b/>
                <w:bCs/>
                <w:sz w:val="16"/>
                <w:szCs w:val="16"/>
              </w:rPr>
              <w:t>14'856</w:t>
            </w:r>
          </w:p>
        </w:tc>
      </w:tr>
      <w:tr w:rsidR="00591D09" w:rsidRPr="0061429D" w:rsidTr="007A5260">
        <w:trPr>
          <w:trHeight w:val="199"/>
        </w:trPr>
        <w:tc>
          <w:tcPr>
            <w:tcW w:w="488" w:type="pct"/>
            <w:gridSpan w:val="2"/>
            <w:tcBorders>
              <w:top w:val="nil"/>
              <w:left w:val="nil"/>
              <w:bottom w:val="single" w:sz="4" w:space="0" w:color="000099"/>
              <w:right w:val="nil"/>
            </w:tcBorders>
            <w:shd w:val="clear" w:color="000000" w:fill="FFFFFF"/>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color w:val="000099"/>
                <w:sz w:val="16"/>
                <w:szCs w:val="16"/>
                <w:lang w:eastAsia="zh-CN"/>
              </w:rPr>
            </w:pPr>
            <w:r w:rsidRPr="007A5260">
              <w:rPr>
                <w:rFonts w:asciiTheme="majorBidi" w:hAnsiTheme="majorBidi" w:cstheme="majorBidi"/>
                <w:color w:val="000099"/>
                <w:sz w:val="16"/>
                <w:szCs w:val="16"/>
                <w:lang w:eastAsia="zh-CN"/>
              </w:rPr>
              <w:t> </w:t>
            </w:r>
          </w:p>
        </w:tc>
        <w:tc>
          <w:tcPr>
            <w:tcW w:w="1795"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color w:val="000099"/>
                <w:sz w:val="16"/>
                <w:szCs w:val="16"/>
                <w:lang w:eastAsia="zh-CN"/>
              </w:rPr>
            </w:pPr>
            <w:r w:rsidRPr="007A5260">
              <w:rPr>
                <w:rFonts w:asciiTheme="majorBidi" w:hAnsiTheme="majorBidi" w:cstheme="majorBidi"/>
                <w:color w:val="000099"/>
                <w:sz w:val="16"/>
                <w:szCs w:val="16"/>
                <w:lang w:eastAsia="zh-CN"/>
              </w:rPr>
              <w:t> </w:t>
            </w:r>
          </w:p>
        </w:tc>
        <w:tc>
          <w:tcPr>
            <w:tcW w:w="426"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spacing w:before="0"/>
              <w:jc w:val="right"/>
              <w:rPr>
                <w:rFonts w:asciiTheme="majorBidi" w:hAnsiTheme="majorBidi" w:cstheme="majorBidi"/>
                <w:color w:val="000099"/>
                <w:sz w:val="16"/>
                <w:szCs w:val="16"/>
              </w:rPr>
            </w:pPr>
            <w:r w:rsidRPr="007A5260">
              <w:rPr>
                <w:rFonts w:asciiTheme="majorBidi" w:hAnsiTheme="majorBidi" w:cstheme="majorBidi"/>
                <w:color w:val="000099"/>
                <w:sz w:val="16"/>
                <w:szCs w:val="16"/>
              </w:rPr>
              <w:t> </w:t>
            </w:r>
          </w:p>
        </w:tc>
        <w:tc>
          <w:tcPr>
            <w:tcW w:w="476"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spacing w:before="0"/>
              <w:jc w:val="right"/>
              <w:rPr>
                <w:rFonts w:asciiTheme="majorBidi" w:hAnsiTheme="majorBidi" w:cstheme="majorBidi"/>
                <w:color w:val="000099"/>
                <w:sz w:val="16"/>
                <w:szCs w:val="16"/>
              </w:rPr>
            </w:pPr>
            <w:r w:rsidRPr="007A5260">
              <w:rPr>
                <w:rFonts w:asciiTheme="majorBidi" w:hAnsiTheme="majorBidi" w:cstheme="majorBidi"/>
                <w:color w:val="000099"/>
                <w:sz w:val="16"/>
                <w:szCs w:val="16"/>
              </w:rPr>
              <w:t> </w:t>
            </w:r>
          </w:p>
        </w:tc>
        <w:tc>
          <w:tcPr>
            <w:tcW w:w="305"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spacing w:before="0"/>
              <w:jc w:val="right"/>
              <w:rPr>
                <w:rFonts w:asciiTheme="majorBidi" w:hAnsiTheme="majorBidi" w:cstheme="majorBidi"/>
                <w:color w:val="000099"/>
                <w:sz w:val="16"/>
                <w:szCs w:val="16"/>
              </w:rPr>
            </w:pPr>
            <w:r w:rsidRPr="007A5260">
              <w:rPr>
                <w:rFonts w:asciiTheme="majorBidi" w:hAnsiTheme="majorBidi" w:cstheme="majorBidi"/>
                <w:color w:val="000099"/>
                <w:sz w:val="16"/>
                <w:szCs w:val="16"/>
              </w:rPr>
              <w:t> </w:t>
            </w:r>
          </w:p>
        </w:tc>
        <w:tc>
          <w:tcPr>
            <w:tcW w:w="504"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spacing w:before="0"/>
              <w:jc w:val="right"/>
              <w:rPr>
                <w:rFonts w:asciiTheme="majorBidi" w:hAnsiTheme="majorBidi" w:cstheme="majorBidi"/>
                <w:caps/>
                <w:color w:val="000099"/>
                <w:sz w:val="16"/>
                <w:szCs w:val="16"/>
              </w:rPr>
            </w:pPr>
            <w:r w:rsidRPr="007A5260">
              <w:rPr>
                <w:rFonts w:asciiTheme="majorBidi" w:hAnsiTheme="majorBidi" w:cstheme="majorBidi"/>
                <w:color w:val="000099"/>
                <w:sz w:val="16"/>
                <w:szCs w:val="16"/>
              </w:rPr>
              <w:t> </w:t>
            </w:r>
          </w:p>
        </w:tc>
        <w:tc>
          <w:tcPr>
            <w:tcW w:w="504"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spacing w:before="0"/>
              <w:jc w:val="right"/>
              <w:rPr>
                <w:rFonts w:asciiTheme="majorBidi" w:hAnsiTheme="majorBidi" w:cstheme="majorBidi"/>
                <w:caps/>
                <w:color w:val="000099"/>
                <w:sz w:val="16"/>
                <w:szCs w:val="16"/>
              </w:rPr>
            </w:pPr>
            <w:r w:rsidRPr="007A5260">
              <w:rPr>
                <w:rFonts w:asciiTheme="majorBidi" w:hAnsiTheme="majorBidi" w:cstheme="majorBidi"/>
                <w:color w:val="000099"/>
                <w:sz w:val="16"/>
                <w:szCs w:val="16"/>
              </w:rPr>
              <w:t> </w:t>
            </w:r>
          </w:p>
        </w:tc>
        <w:tc>
          <w:tcPr>
            <w:tcW w:w="503" w:type="pct"/>
            <w:tcBorders>
              <w:top w:val="nil"/>
              <w:left w:val="nil"/>
              <w:bottom w:val="single" w:sz="4" w:space="0" w:color="000099"/>
              <w:right w:val="nil"/>
            </w:tcBorders>
            <w:shd w:val="clear" w:color="000000" w:fill="FFFFFF"/>
            <w:noWrap/>
            <w:vAlign w:val="center"/>
            <w:hideMark/>
          </w:tcPr>
          <w:p w:rsidR="006B534E" w:rsidRPr="007A5260" w:rsidRDefault="006B534E" w:rsidP="005638D8">
            <w:pPr>
              <w:spacing w:before="0"/>
              <w:jc w:val="right"/>
              <w:rPr>
                <w:rFonts w:asciiTheme="majorBidi" w:hAnsiTheme="majorBidi" w:cstheme="majorBidi"/>
                <w:caps/>
                <w:color w:val="000099"/>
                <w:sz w:val="16"/>
                <w:szCs w:val="16"/>
              </w:rPr>
            </w:pPr>
            <w:r w:rsidRPr="007A5260">
              <w:rPr>
                <w:rFonts w:asciiTheme="majorBidi" w:hAnsiTheme="majorBidi" w:cstheme="majorBidi"/>
                <w:color w:val="000099"/>
                <w:sz w:val="16"/>
                <w:szCs w:val="16"/>
              </w:rPr>
              <w:t> </w:t>
            </w:r>
          </w:p>
        </w:tc>
      </w:tr>
      <w:tr w:rsidR="00591D09" w:rsidRPr="0061429D" w:rsidTr="007A5260">
        <w:trPr>
          <w:trHeight w:val="285"/>
        </w:trPr>
        <w:tc>
          <w:tcPr>
            <w:tcW w:w="488" w:type="pct"/>
            <w:gridSpan w:val="2"/>
            <w:tcBorders>
              <w:top w:val="nil"/>
              <w:left w:val="nil"/>
              <w:bottom w:val="single" w:sz="4" w:space="0" w:color="000099"/>
              <w:right w:val="nil"/>
            </w:tcBorders>
            <w:shd w:val="clear" w:color="000000" w:fill="DBE5F1"/>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TOTAL</w:t>
            </w:r>
          </w:p>
        </w:tc>
        <w:tc>
          <w:tcPr>
            <w:tcW w:w="1795"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overflowPunct/>
              <w:autoSpaceDE/>
              <w:autoSpaceDN/>
              <w:adjustRightInd/>
              <w:spacing w:before="0"/>
              <w:textAlignment w:val="auto"/>
              <w:rPr>
                <w:rFonts w:asciiTheme="majorBidi" w:hAnsiTheme="majorBidi" w:cstheme="majorBidi"/>
                <w:b/>
                <w:bCs/>
                <w:color w:val="000099"/>
                <w:sz w:val="16"/>
                <w:szCs w:val="16"/>
                <w:lang w:eastAsia="zh-CN"/>
              </w:rPr>
            </w:pPr>
            <w:r w:rsidRPr="007A5260">
              <w:rPr>
                <w:rFonts w:asciiTheme="majorBidi" w:hAnsiTheme="majorBidi" w:cstheme="majorBidi"/>
                <w:b/>
                <w:bCs/>
                <w:color w:val="000099"/>
                <w:sz w:val="16"/>
                <w:szCs w:val="16"/>
                <w:lang w:eastAsia="zh-CN"/>
              </w:rPr>
              <w:t> </w:t>
            </w:r>
          </w:p>
        </w:tc>
        <w:tc>
          <w:tcPr>
            <w:tcW w:w="426"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0"/>
              <w:jc w:val="right"/>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60'591</w:t>
            </w:r>
          </w:p>
        </w:tc>
        <w:tc>
          <w:tcPr>
            <w:tcW w:w="476"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0"/>
              <w:jc w:val="right"/>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61'786</w:t>
            </w:r>
          </w:p>
        </w:tc>
        <w:tc>
          <w:tcPr>
            <w:tcW w:w="305"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0"/>
              <w:jc w:val="right"/>
              <w:rPr>
                <w:rFonts w:asciiTheme="majorBidi" w:hAnsiTheme="majorBidi" w:cstheme="majorBidi"/>
                <w:b/>
                <w:bCs/>
                <w:color w:val="000099"/>
                <w:sz w:val="16"/>
                <w:szCs w:val="16"/>
              </w:rPr>
            </w:pPr>
            <w:r w:rsidRPr="007A5260">
              <w:rPr>
                <w:rFonts w:asciiTheme="majorBidi" w:hAnsiTheme="majorBidi" w:cstheme="majorBidi"/>
                <w:b/>
                <w:bCs/>
                <w:color w:val="000099"/>
                <w:sz w:val="16"/>
                <w:szCs w:val="16"/>
              </w:rPr>
              <w:t>30'720</w:t>
            </w:r>
          </w:p>
        </w:tc>
        <w:tc>
          <w:tcPr>
            <w:tcW w:w="504"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0"/>
              <w:jc w:val="right"/>
              <w:rPr>
                <w:rFonts w:asciiTheme="majorBidi" w:hAnsiTheme="majorBidi" w:cstheme="majorBidi"/>
                <w:b/>
                <w:bCs/>
                <w:caps/>
                <w:color w:val="000099"/>
                <w:sz w:val="16"/>
                <w:szCs w:val="16"/>
              </w:rPr>
            </w:pPr>
            <w:r w:rsidRPr="007A5260">
              <w:rPr>
                <w:rFonts w:asciiTheme="majorBidi" w:hAnsiTheme="majorBidi" w:cstheme="majorBidi"/>
                <w:b/>
                <w:bCs/>
                <w:color w:val="000099"/>
                <w:sz w:val="16"/>
                <w:szCs w:val="16"/>
              </w:rPr>
              <w:t>30'162</w:t>
            </w:r>
          </w:p>
        </w:tc>
        <w:tc>
          <w:tcPr>
            <w:tcW w:w="504"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0"/>
              <w:jc w:val="right"/>
              <w:rPr>
                <w:rFonts w:asciiTheme="majorBidi" w:hAnsiTheme="majorBidi" w:cstheme="majorBidi"/>
                <w:b/>
                <w:bCs/>
                <w:caps/>
                <w:color w:val="000099"/>
                <w:sz w:val="16"/>
                <w:szCs w:val="16"/>
              </w:rPr>
            </w:pPr>
            <w:r w:rsidRPr="007A5260">
              <w:rPr>
                <w:rFonts w:asciiTheme="majorBidi" w:hAnsiTheme="majorBidi" w:cstheme="majorBidi"/>
                <w:b/>
                <w:bCs/>
                <w:color w:val="000099"/>
                <w:sz w:val="16"/>
                <w:szCs w:val="16"/>
              </w:rPr>
              <w:t>31'897</w:t>
            </w:r>
          </w:p>
        </w:tc>
        <w:tc>
          <w:tcPr>
            <w:tcW w:w="503" w:type="pct"/>
            <w:tcBorders>
              <w:top w:val="nil"/>
              <w:left w:val="nil"/>
              <w:bottom w:val="single" w:sz="4" w:space="0" w:color="000099"/>
              <w:right w:val="nil"/>
            </w:tcBorders>
            <w:shd w:val="clear" w:color="000000" w:fill="DBE5F1"/>
            <w:noWrap/>
            <w:vAlign w:val="center"/>
            <w:hideMark/>
          </w:tcPr>
          <w:p w:rsidR="006B534E" w:rsidRPr="007A5260" w:rsidRDefault="006B534E" w:rsidP="005638D8">
            <w:pPr>
              <w:spacing w:before="0"/>
              <w:jc w:val="right"/>
              <w:rPr>
                <w:rFonts w:asciiTheme="majorBidi" w:hAnsiTheme="majorBidi" w:cstheme="majorBidi"/>
                <w:b/>
                <w:bCs/>
                <w:caps/>
                <w:color w:val="000099"/>
                <w:sz w:val="16"/>
                <w:szCs w:val="16"/>
              </w:rPr>
            </w:pPr>
            <w:r w:rsidRPr="007A5260">
              <w:rPr>
                <w:rFonts w:asciiTheme="majorBidi" w:hAnsiTheme="majorBidi" w:cstheme="majorBidi"/>
                <w:b/>
                <w:bCs/>
                <w:color w:val="000099"/>
                <w:sz w:val="16"/>
                <w:szCs w:val="16"/>
              </w:rPr>
              <w:t>62'059</w:t>
            </w:r>
          </w:p>
        </w:tc>
      </w:tr>
    </w:tbl>
    <w:p w:rsidR="00591D09" w:rsidRDefault="00591D09">
      <w:pPr>
        <w:tabs>
          <w:tab w:val="clear" w:pos="794"/>
          <w:tab w:val="clear" w:pos="1191"/>
          <w:tab w:val="clear" w:pos="1588"/>
          <w:tab w:val="clear" w:pos="1985"/>
        </w:tabs>
        <w:overflowPunct/>
        <w:autoSpaceDE/>
        <w:autoSpaceDN/>
        <w:adjustRightInd/>
        <w:spacing w:before="0"/>
        <w:textAlignment w:val="auto"/>
      </w:pPr>
    </w:p>
    <w:p w:rsidR="006B534E" w:rsidRDefault="005C1CB1" w:rsidP="00F01399">
      <w:pPr>
        <w:pStyle w:val="Heading1"/>
      </w:pPr>
      <w:r>
        <w:lastRenderedPageBreak/>
        <w:t>2.5</w:t>
      </w:r>
      <w:r>
        <w:tab/>
        <w:t>Proyecto</w:t>
      </w:r>
      <w:r w:rsidR="005660B7">
        <w:t>s</w:t>
      </w:r>
      <w:r>
        <w:t xml:space="preserve"> de Plan Estratégico y de Plan Financiero </w:t>
      </w:r>
      <w:r w:rsidR="00C05855">
        <w:t>del</w:t>
      </w:r>
      <w:r>
        <w:t xml:space="preserve"> UIT-R </w:t>
      </w:r>
      <w:r w:rsidR="00C05855">
        <w:t>para 2016</w:t>
      </w:r>
      <w:r w:rsidR="00C05855">
        <w:noBreakHyphen/>
        <w:t>2019</w:t>
      </w:r>
    </w:p>
    <w:p w:rsidR="00C05855" w:rsidRDefault="00F0316E" w:rsidP="00886232">
      <w:pPr>
        <w:keepNext/>
        <w:keepLines/>
      </w:pPr>
      <w:r>
        <w:t>Est</w:t>
      </w:r>
      <w:r w:rsidR="0037323F">
        <w:t xml:space="preserve">a cuestión </w:t>
      </w:r>
      <w:r>
        <w:t xml:space="preserve">se presenta en forma de </w:t>
      </w:r>
      <w:r w:rsidR="00886232">
        <w:t>a</w:t>
      </w:r>
      <w:r>
        <w:t>dd</w:t>
      </w:r>
      <w:r w:rsidR="007A5842">
        <w:t>é</w:t>
      </w:r>
      <w:r>
        <w:t>ndum al presente documento para que el GAR lo examine y formule comentarios.</w:t>
      </w:r>
    </w:p>
    <w:p w:rsidR="00C05855" w:rsidRDefault="00C05855" w:rsidP="00CA4164">
      <w:pPr>
        <w:pStyle w:val="Heading2"/>
      </w:pPr>
      <w:r>
        <w:t>2.6</w:t>
      </w:r>
      <w:r>
        <w:tab/>
        <w:t xml:space="preserve">Protocolo </w:t>
      </w:r>
      <w:r w:rsidR="00CA4164">
        <w:t xml:space="preserve">del </w:t>
      </w:r>
      <w:r>
        <w:t>Espac</w:t>
      </w:r>
      <w:r w:rsidR="00CA4164">
        <w:t>io</w:t>
      </w:r>
    </w:p>
    <w:p w:rsidR="00C05855" w:rsidRDefault="00C05855" w:rsidP="00595C74">
      <w:pPr>
        <w:rPr>
          <w:rFonts w:eastAsiaTheme="minorEastAsia"/>
          <w:lang w:val="es-ES" w:eastAsia="zh-CN"/>
        </w:rPr>
      </w:pPr>
      <w:r w:rsidRPr="00994449">
        <w:rPr>
          <w:rFonts w:eastAsiaTheme="minorEastAsia"/>
          <w:lang w:val="es-ES" w:eastAsia="zh-CN"/>
        </w:rPr>
        <w:t>En su reunión de 2013, el Consejo</w:t>
      </w:r>
      <w:r w:rsidR="00AF0DFD">
        <w:rPr>
          <w:rFonts w:eastAsiaTheme="minorEastAsia"/>
          <w:lang w:val="es-ES" w:eastAsia="zh-CN"/>
        </w:rPr>
        <w:t xml:space="preserve">, en virtud de su </w:t>
      </w:r>
      <w:r w:rsidRPr="00994449">
        <w:rPr>
          <w:rFonts w:eastAsiaTheme="minorEastAsia"/>
          <w:lang w:val="es-ES" w:eastAsia="zh-CN"/>
        </w:rPr>
        <w:t>Acuerdo 576 (</w:t>
      </w:r>
      <w:hyperlink r:id="rId13" w:history="1">
        <w:r w:rsidR="00595C74">
          <w:rPr>
            <w:rStyle w:val="Hyperlink"/>
            <w:rFonts w:cs="Calibri"/>
            <w:bCs/>
            <w:szCs w:val="24"/>
            <w:lang w:val="es-ES"/>
          </w:rPr>
          <w:t>Documento C</w:t>
        </w:r>
        <w:r w:rsidRPr="009B6580">
          <w:rPr>
            <w:rStyle w:val="Hyperlink"/>
            <w:rFonts w:cs="Calibri"/>
            <w:bCs/>
            <w:szCs w:val="24"/>
            <w:lang w:val="es-ES"/>
          </w:rPr>
          <w:t>13/107</w:t>
        </w:r>
      </w:hyperlink>
      <w:r w:rsidRPr="00994449">
        <w:rPr>
          <w:rFonts w:eastAsiaTheme="minorEastAsia"/>
          <w:lang w:val="es-ES" w:eastAsia="zh-CN"/>
        </w:rPr>
        <w:t xml:space="preserve">), autorizó al Secretario General a seguir manifestando interés por que la UIT sea la Autoridad Supervisora, en el momento o después de la entrada en vigor del Protocolo, y facultó al Secretario </w:t>
      </w:r>
      <w:r w:rsidR="00AF0DFD">
        <w:rPr>
          <w:rFonts w:eastAsiaTheme="minorEastAsia"/>
          <w:lang w:val="es-ES" w:eastAsia="zh-CN"/>
        </w:rPr>
        <w:t>General o a su representante a participar en los trabajos de</w:t>
      </w:r>
      <w:r w:rsidR="00BF5CDD">
        <w:rPr>
          <w:rFonts w:eastAsiaTheme="minorEastAsia"/>
          <w:lang w:val="es-ES" w:eastAsia="zh-CN"/>
        </w:rPr>
        <w:t xml:space="preserve"> </w:t>
      </w:r>
      <w:r w:rsidR="00AF0DFD">
        <w:rPr>
          <w:rFonts w:eastAsiaTheme="minorEastAsia"/>
          <w:lang w:val="es-ES" w:eastAsia="zh-CN"/>
        </w:rPr>
        <w:t>l</w:t>
      </w:r>
      <w:r w:rsidR="00BF5CDD">
        <w:rPr>
          <w:rFonts w:eastAsiaTheme="minorEastAsia"/>
          <w:lang w:val="es-ES" w:eastAsia="zh-CN"/>
        </w:rPr>
        <w:t>a</w:t>
      </w:r>
      <w:r w:rsidR="00AF0DFD">
        <w:rPr>
          <w:rFonts w:eastAsiaTheme="minorEastAsia"/>
          <w:lang w:val="es-ES" w:eastAsia="zh-CN"/>
        </w:rPr>
        <w:t xml:space="preserve"> Comi</w:t>
      </w:r>
      <w:r w:rsidR="00BF5CDD">
        <w:rPr>
          <w:rFonts w:eastAsiaTheme="minorEastAsia"/>
          <w:lang w:val="es-ES" w:eastAsia="zh-CN"/>
        </w:rPr>
        <w:t>sión</w:t>
      </w:r>
      <w:r w:rsidR="00AF0DFD">
        <w:rPr>
          <w:rFonts w:eastAsiaTheme="minorEastAsia"/>
          <w:lang w:val="es-ES" w:eastAsia="zh-CN"/>
        </w:rPr>
        <w:t xml:space="preserve"> </w:t>
      </w:r>
      <w:r w:rsidRPr="00994449">
        <w:rPr>
          <w:rFonts w:eastAsiaTheme="minorEastAsia"/>
          <w:lang w:val="es-ES" w:eastAsia="zh-CN"/>
        </w:rPr>
        <w:t>Preparatori</w:t>
      </w:r>
      <w:r w:rsidR="00BF5CDD">
        <w:rPr>
          <w:rFonts w:eastAsiaTheme="minorEastAsia"/>
          <w:lang w:val="es-ES" w:eastAsia="zh-CN"/>
        </w:rPr>
        <w:t>a</w:t>
      </w:r>
      <w:r w:rsidRPr="00994449">
        <w:rPr>
          <w:rFonts w:eastAsiaTheme="minorEastAsia"/>
          <w:lang w:val="es-ES" w:eastAsia="zh-CN"/>
        </w:rPr>
        <w:t xml:space="preserve"> en calidad de observador. </w:t>
      </w:r>
    </w:p>
    <w:p w:rsidR="00C05855" w:rsidRDefault="00AF0DFD" w:rsidP="003773C8">
      <w:pPr>
        <w:rPr>
          <w:rFonts w:eastAsiaTheme="minorEastAsia"/>
          <w:lang w:val="es-ES" w:eastAsia="zh-CN"/>
        </w:rPr>
      </w:pPr>
      <w:r>
        <w:rPr>
          <w:rFonts w:eastAsiaTheme="minorEastAsia"/>
          <w:lang w:val="es-ES" w:eastAsia="zh-CN"/>
        </w:rPr>
        <w:t xml:space="preserve">Mediante ese </w:t>
      </w:r>
      <w:r w:rsidR="003773C8">
        <w:rPr>
          <w:rFonts w:eastAsiaTheme="minorEastAsia"/>
          <w:lang w:val="es-ES" w:eastAsia="zh-CN"/>
        </w:rPr>
        <w:t>A</w:t>
      </w:r>
      <w:r>
        <w:rPr>
          <w:rFonts w:eastAsiaTheme="minorEastAsia"/>
          <w:lang w:val="es-ES" w:eastAsia="zh-CN"/>
        </w:rPr>
        <w:t>cuerdo, el Consejo de 2013 encargó a</w:t>
      </w:r>
      <w:r w:rsidR="00C05855" w:rsidRPr="00994449">
        <w:rPr>
          <w:rFonts w:eastAsiaTheme="minorEastAsia"/>
          <w:lang w:val="es-ES" w:eastAsia="zh-CN"/>
        </w:rPr>
        <w:t>simismo</w:t>
      </w:r>
      <w:r>
        <w:rPr>
          <w:rFonts w:eastAsiaTheme="minorEastAsia"/>
          <w:lang w:val="es-ES" w:eastAsia="zh-CN"/>
        </w:rPr>
        <w:t xml:space="preserve"> </w:t>
      </w:r>
      <w:r w:rsidR="00C05855" w:rsidRPr="00994449">
        <w:rPr>
          <w:rFonts w:eastAsiaTheme="minorEastAsia"/>
          <w:lang w:val="es-ES" w:eastAsia="zh-CN"/>
        </w:rPr>
        <w:t xml:space="preserve">al Secretario General que sometiera a la reunión de 2014 del Consejo </w:t>
      </w:r>
      <w:r>
        <w:rPr>
          <w:rFonts w:eastAsiaTheme="minorEastAsia"/>
          <w:lang w:val="es-ES" w:eastAsia="zh-CN"/>
        </w:rPr>
        <w:t>un</w:t>
      </w:r>
      <w:r w:rsidR="00595C74">
        <w:rPr>
          <w:rFonts w:eastAsiaTheme="minorEastAsia"/>
          <w:lang w:val="es-ES" w:eastAsia="zh-CN"/>
        </w:rPr>
        <w:t xml:space="preserve"> Informe</w:t>
      </w:r>
      <w:r>
        <w:rPr>
          <w:rFonts w:eastAsiaTheme="minorEastAsia"/>
          <w:lang w:val="es-ES" w:eastAsia="zh-CN"/>
        </w:rPr>
        <w:t xml:space="preserve"> </w:t>
      </w:r>
      <w:r w:rsidR="00595C74" w:rsidRPr="00595C74">
        <w:rPr>
          <w:rFonts w:eastAsiaTheme="minorEastAsia"/>
          <w:lang w:eastAsia="zh-CN"/>
        </w:rPr>
        <w:t>(</w:t>
      </w:r>
      <w:hyperlink r:id="rId14" w:history="1">
        <w:r w:rsidR="00595C74" w:rsidRPr="00595C74">
          <w:rPr>
            <w:rStyle w:val="Hyperlink"/>
            <w:rFonts w:eastAsiaTheme="minorEastAsia"/>
            <w:lang w:eastAsia="zh-CN"/>
          </w:rPr>
          <w:t>Document</w:t>
        </w:r>
        <w:r w:rsidR="00595C74">
          <w:rPr>
            <w:rStyle w:val="Hyperlink"/>
            <w:rFonts w:eastAsiaTheme="minorEastAsia"/>
            <w:lang w:eastAsia="zh-CN"/>
          </w:rPr>
          <w:t>o</w:t>
        </w:r>
        <w:r w:rsidR="00595C74" w:rsidRPr="00595C74">
          <w:rPr>
            <w:rStyle w:val="Hyperlink"/>
            <w:rFonts w:eastAsiaTheme="minorEastAsia"/>
            <w:lang w:eastAsia="zh-CN"/>
          </w:rPr>
          <w:t xml:space="preserve"> C14/13</w:t>
        </w:r>
      </w:hyperlink>
      <w:r w:rsidR="00595C74" w:rsidRPr="00595C74">
        <w:rPr>
          <w:rFonts w:eastAsiaTheme="minorEastAsia"/>
          <w:lang w:eastAsia="zh-CN"/>
        </w:rPr>
        <w:t xml:space="preserve">) </w:t>
      </w:r>
      <w:r>
        <w:rPr>
          <w:rFonts w:eastAsiaTheme="minorEastAsia"/>
          <w:lang w:val="es-ES" w:eastAsia="zh-CN"/>
        </w:rPr>
        <w:t>sobre los resultados de</w:t>
      </w:r>
      <w:r w:rsidR="007A5842">
        <w:rPr>
          <w:rFonts w:eastAsiaTheme="minorEastAsia"/>
          <w:lang w:val="es-ES" w:eastAsia="zh-CN"/>
        </w:rPr>
        <w:t xml:space="preserve"> </w:t>
      </w:r>
      <w:r w:rsidR="00C05855" w:rsidRPr="00994449">
        <w:rPr>
          <w:rFonts w:eastAsiaTheme="minorEastAsia"/>
          <w:lang w:val="es-ES" w:eastAsia="zh-CN"/>
        </w:rPr>
        <w:t>l</w:t>
      </w:r>
      <w:r w:rsidR="007A5842">
        <w:rPr>
          <w:rFonts w:eastAsiaTheme="minorEastAsia"/>
          <w:lang w:val="es-ES" w:eastAsia="zh-CN"/>
        </w:rPr>
        <w:t>a</w:t>
      </w:r>
      <w:r w:rsidR="00C05855" w:rsidRPr="00994449">
        <w:rPr>
          <w:rFonts w:eastAsiaTheme="minorEastAsia"/>
          <w:lang w:val="es-ES" w:eastAsia="zh-CN"/>
        </w:rPr>
        <w:t xml:space="preserve"> Comi</w:t>
      </w:r>
      <w:r w:rsidR="007A5842">
        <w:rPr>
          <w:rFonts w:eastAsiaTheme="minorEastAsia"/>
          <w:lang w:val="es-ES" w:eastAsia="zh-CN"/>
        </w:rPr>
        <w:t>sión</w:t>
      </w:r>
      <w:r>
        <w:rPr>
          <w:rFonts w:eastAsiaTheme="minorEastAsia"/>
          <w:lang w:val="es-ES" w:eastAsia="zh-CN"/>
        </w:rPr>
        <w:t xml:space="preserve"> Preparatori</w:t>
      </w:r>
      <w:r w:rsidR="007A5842">
        <w:rPr>
          <w:rFonts w:eastAsiaTheme="minorEastAsia"/>
          <w:lang w:val="es-ES" w:eastAsia="zh-CN"/>
        </w:rPr>
        <w:t>a</w:t>
      </w:r>
      <w:r w:rsidR="00C05855" w:rsidRPr="00994449">
        <w:rPr>
          <w:rFonts w:eastAsiaTheme="minorEastAsia"/>
          <w:lang w:val="es-ES" w:eastAsia="zh-CN"/>
        </w:rPr>
        <w:t xml:space="preserve"> y las consecuencias financieras, jurídicas y técnicas </w:t>
      </w:r>
      <w:r>
        <w:rPr>
          <w:rFonts w:eastAsiaTheme="minorEastAsia"/>
          <w:lang w:val="es-ES" w:eastAsia="zh-CN"/>
        </w:rPr>
        <w:t>que tendría para la UIT asumir</w:t>
      </w:r>
      <w:r w:rsidR="00C05855" w:rsidRPr="00994449">
        <w:rPr>
          <w:rFonts w:eastAsiaTheme="minorEastAsia"/>
          <w:lang w:val="es-ES" w:eastAsia="zh-CN"/>
        </w:rPr>
        <w:t xml:space="preserve"> el papel de Autoridad Supervisora</w:t>
      </w:r>
      <w:r>
        <w:rPr>
          <w:rFonts w:eastAsiaTheme="minorEastAsia"/>
          <w:lang w:val="es-ES" w:eastAsia="zh-CN"/>
        </w:rPr>
        <w:t>.</w:t>
      </w:r>
    </w:p>
    <w:p w:rsidR="003E4804" w:rsidRPr="009624A4" w:rsidRDefault="003E4804" w:rsidP="00886232">
      <w:pPr>
        <w:rPr>
          <w:rFonts w:eastAsiaTheme="minorEastAsia"/>
          <w:lang w:eastAsia="zh-CN"/>
        </w:rPr>
      </w:pPr>
      <w:r>
        <w:rPr>
          <w:rFonts w:eastAsiaTheme="minorEastAsia"/>
          <w:lang w:val="es-ES" w:eastAsia="zh-CN"/>
        </w:rPr>
        <w:t xml:space="preserve">Como seguimiento dado al Acuerdo 576, se presentó en </w:t>
      </w:r>
      <w:r w:rsidR="009624A4">
        <w:rPr>
          <w:rFonts w:eastAsiaTheme="minorEastAsia"/>
          <w:lang w:val="es-ES" w:eastAsia="zh-CN"/>
        </w:rPr>
        <w:t>la reunión de 2014 del Consejo (</w:t>
      </w:r>
      <w:r w:rsidR="009624A4" w:rsidRPr="009624A4">
        <w:rPr>
          <w:rFonts w:eastAsiaTheme="minorEastAsia"/>
          <w:lang w:eastAsia="zh-CN"/>
        </w:rPr>
        <w:t>Document</w:t>
      </w:r>
      <w:r w:rsidR="009624A4">
        <w:rPr>
          <w:rFonts w:eastAsiaTheme="minorEastAsia"/>
          <w:lang w:eastAsia="zh-CN"/>
        </w:rPr>
        <w:t>o</w:t>
      </w:r>
      <w:r w:rsidR="009624A4" w:rsidRPr="009624A4">
        <w:rPr>
          <w:rFonts w:eastAsiaTheme="minorEastAsia"/>
          <w:lang w:eastAsia="zh-CN"/>
        </w:rPr>
        <w:t> C14/13)</w:t>
      </w:r>
      <w:r w:rsidR="009624A4">
        <w:rPr>
          <w:rFonts w:eastAsiaTheme="minorEastAsia"/>
          <w:lang w:eastAsia="zh-CN"/>
        </w:rPr>
        <w:t xml:space="preserve"> un </w:t>
      </w:r>
      <w:r w:rsidR="00886232">
        <w:rPr>
          <w:rFonts w:eastAsiaTheme="minorEastAsia"/>
          <w:lang w:eastAsia="zh-CN"/>
        </w:rPr>
        <w:t>i</w:t>
      </w:r>
      <w:r w:rsidR="009624A4">
        <w:rPr>
          <w:rFonts w:eastAsiaTheme="minorEastAsia"/>
          <w:lang w:eastAsia="zh-CN"/>
        </w:rPr>
        <w:t>nforme actualizado sobre la segunda reuni</w:t>
      </w:r>
      <w:r w:rsidR="007A5842">
        <w:rPr>
          <w:rFonts w:eastAsiaTheme="minorEastAsia"/>
          <w:lang w:eastAsia="zh-CN"/>
        </w:rPr>
        <w:t xml:space="preserve">ón del Comisión </w:t>
      </w:r>
      <w:r w:rsidR="009624A4">
        <w:rPr>
          <w:rFonts w:eastAsiaTheme="minorEastAsia"/>
          <w:lang w:eastAsia="zh-CN"/>
        </w:rPr>
        <w:t>Preparatori</w:t>
      </w:r>
      <w:r w:rsidR="007A5842">
        <w:rPr>
          <w:rFonts w:eastAsiaTheme="minorEastAsia"/>
          <w:lang w:eastAsia="zh-CN"/>
        </w:rPr>
        <w:t>a</w:t>
      </w:r>
      <w:r w:rsidR="009624A4">
        <w:rPr>
          <w:rFonts w:eastAsiaTheme="minorEastAsia"/>
          <w:lang w:eastAsia="zh-CN"/>
        </w:rPr>
        <w:t xml:space="preserve"> </w:t>
      </w:r>
      <w:r w:rsidR="003773C8">
        <w:rPr>
          <w:rFonts w:eastAsiaTheme="minorEastAsia"/>
          <w:lang w:eastAsia="zh-CN"/>
        </w:rPr>
        <w:t>encargada del</w:t>
      </w:r>
      <w:r w:rsidR="009624A4">
        <w:rPr>
          <w:rFonts w:eastAsiaTheme="minorEastAsia"/>
          <w:lang w:eastAsia="zh-CN"/>
        </w:rPr>
        <w:t xml:space="preserve"> establecimiento del Registro Internacional de bienes de equipo espacial (27-28 de enero de 2014, Roma). </w:t>
      </w:r>
      <w:r w:rsidR="007A5842">
        <w:rPr>
          <w:rFonts w:eastAsiaTheme="minorEastAsia"/>
          <w:lang w:eastAsia="zh-CN"/>
        </w:rPr>
        <w:t xml:space="preserve">En lo que concierne a </w:t>
      </w:r>
      <w:r w:rsidR="009624A4">
        <w:rPr>
          <w:rFonts w:eastAsiaTheme="minorEastAsia"/>
          <w:lang w:eastAsia="zh-CN"/>
        </w:rPr>
        <w:t xml:space="preserve">las preguntas planteadas y los comentarios formulados por ciertas administraciones durante las reuniones de 2012 y 2013 del Consejo en relación con el posible papel de la UIT como Autoridad Supervisora, la Secretaría General </w:t>
      </w:r>
      <w:r w:rsidR="003773C8">
        <w:rPr>
          <w:rFonts w:eastAsiaTheme="minorEastAsia"/>
          <w:lang w:eastAsia="zh-CN"/>
        </w:rPr>
        <w:t xml:space="preserve">presentó </w:t>
      </w:r>
      <w:r w:rsidR="009624A4">
        <w:rPr>
          <w:rFonts w:eastAsiaTheme="minorEastAsia"/>
          <w:lang w:eastAsia="zh-CN"/>
        </w:rPr>
        <w:t>asimismo un documento de información al Consejo</w:t>
      </w:r>
      <w:r w:rsidR="003773C8">
        <w:rPr>
          <w:rFonts w:eastAsiaTheme="minorEastAsia"/>
          <w:lang w:eastAsia="zh-CN"/>
        </w:rPr>
        <w:t>, en su reunión</w:t>
      </w:r>
      <w:r w:rsidR="009624A4">
        <w:rPr>
          <w:rFonts w:eastAsiaTheme="minorEastAsia"/>
          <w:lang w:eastAsia="zh-CN"/>
        </w:rPr>
        <w:t xml:space="preserve"> de 2014</w:t>
      </w:r>
      <w:r w:rsidR="003773C8">
        <w:rPr>
          <w:rFonts w:eastAsiaTheme="minorEastAsia"/>
          <w:lang w:eastAsia="zh-CN"/>
        </w:rPr>
        <w:t>,</w:t>
      </w:r>
      <w:r w:rsidR="009624A4">
        <w:rPr>
          <w:rFonts w:eastAsiaTheme="minorEastAsia"/>
          <w:lang w:eastAsia="zh-CN"/>
        </w:rPr>
        <w:t xml:space="preserve"> </w:t>
      </w:r>
      <w:r w:rsidR="003773C8">
        <w:rPr>
          <w:rFonts w:eastAsiaTheme="minorEastAsia"/>
          <w:lang w:eastAsia="zh-CN"/>
        </w:rPr>
        <w:t xml:space="preserve">aportando todas </w:t>
      </w:r>
      <w:r w:rsidR="009624A4">
        <w:rPr>
          <w:rFonts w:eastAsiaTheme="minorEastAsia"/>
          <w:lang w:eastAsia="zh-CN"/>
        </w:rPr>
        <w:t>la</w:t>
      </w:r>
      <w:r w:rsidR="00D106C3">
        <w:rPr>
          <w:rFonts w:eastAsiaTheme="minorEastAsia"/>
          <w:lang w:eastAsia="zh-CN"/>
        </w:rPr>
        <w:t>s</w:t>
      </w:r>
      <w:r w:rsidR="009624A4">
        <w:rPr>
          <w:rFonts w:eastAsiaTheme="minorEastAsia"/>
          <w:lang w:eastAsia="zh-CN"/>
        </w:rPr>
        <w:t xml:space="preserve"> informaci</w:t>
      </w:r>
      <w:r w:rsidR="00D106C3">
        <w:rPr>
          <w:rFonts w:eastAsiaTheme="minorEastAsia"/>
          <w:lang w:eastAsia="zh-CN"/>
        </w:rPr>
        <w:t>ones</w:t>
      </w:r>
      <w:r w:rsidR="003773C8">
        <w:rPr>
          <w:rFonts w:eastAsiaTheme="minorEastAsia"/>
          <w:lang w:eastAsia="zh-CN"/>
        </w:rPr>
        <w:t xml:space="preserve"> y</w:t>
      </w:r>
      <w:r w:rsidR="009624A4">
        <w:rPr>
          <w:rFonts w:eastAsiaTheme="minorEastAsia"/>
          <w:lang w:eastAsia="zh-CN"/>
        </w:rPr>
        <w:t xml:space="preserve"> aclaraciones </w:t>
      </w:r>
      <w:r w:rsidR="003773C8">
        <w:rPr>
          <w:rFonts w:eastAsiaTheme="minorEastAsia"/>
          <w:lang w:eastAsia="zh-CN"/>
        </w:rPr>
        <w:t>necesaria</w:t>
      </w:r>
      <w:r w:rsidR="009624A4">
        <w:rPr>
          <w:rFonts w:eastAsiaTheme="minorEastAsia"/>
          <w:lang w:eastAsia="zh-CN"/>
        </w:rPr>
        <w:t>s (</w:t>
      </w:r>
      <w:hyperlink r:id="rId15" w:history="1">
        <w:r w:rsidR="003773C8">
          <w:rPr>
            <w:rStyle w:val="Hyperlink"/>
            <w:rFonts w:eastAsiaTheme="minorEastAsia"/>
            <w:lang w:eastAsia="zh-CN"/>
          </w:rPr>
          <w:t>Documento C</w:t>
        </w:r>
        <w:r w:rsidR="003773C8" w:rsidRPr="003773C8">
          <w:rPr>
            <w:rStyle w:val="Hyperlink"/>
            <w:rFonts w:eastAsiaTheme="minorEastAsia"/>
            <w:lang w:eastAsia="zh-CN"/>
          </w:rPr>
          <w:t>14/INF/12</w:t>
        </w:r>
      </w:hyperlink>
      <w:r w:rsidR="009624A4">
        <w:rPr>
          <w:rFonts w:eastAsiaTheme="minorEastAsia"/>
          <w:lang w:eastAsia="zh-CN"/>
        </w:rPr>
        <w:t xml:space="preserve">). </w:t>
      </w:r>
    </w:p>
    <w:p w:rsidR="004D7AA4" w:rsidRPr="004D7AA4" w:rsidRDefault="004D7AA4" w:rsidP="00886232">
      <w:pPr>
        <w:rPr>
          <w:rFonts w:eastAsiaTheme="minorEastAsia"/>
          <w:lang w:val="es-ES" w:eastAsia="zh-CN"/>
        </w:rPr>
      </w:pPr>
      <w:r>
        <w:rPr>
          <w:rFonts w:eastAsiaTheme="minorEastAsia"/>
          <w:lang w:val="es-ES" w:eastAsia="zh-CN"/>
        </w:rPr>
        <w:t xml:space="preserve">En su reunión de 2014, el Consejo tomó nota del Documento C14/13 y autorizó </w:t>
      </w:r>
      <w:r w:rsidRPr="004D7AA4">
        <w:rPr>
          <w:rFonts w:eastAsiaTheme="minorEastAsia"/>
          <w:lang w:val="es-ES" w:eastAsia="zh-CN"/>
        </w:rPr>
        <w:t xml:space="preserve">al Secretario General a seguir manifestando </w:t>
      </w:r>
      <w:r w:rsidR="005D2F43">
        <w:rPr>
          <w:rFonts w:eastAsiaTheme="minorEastAsia"/>
          <w:lang w:val="es-ES" w:eastAsia="zh-CN"/>
        </w:rPr>
        <w:t xml:space="preserve">el </w:t>
      </w:r>
      <w:r w:rsidRPr="004D7AA4">
        <w:rPr>
          <w:rFonts w:eastAsiaTheme="minorEastAsia"/>
          <w:lang w:val="es-ES" w:eastAsia="zh-CN"/>
        </w:rPr>
        <w:t xml:space="preserve">interés </w:t>
      </w:r>
      <w:r w:rsidR="005D2F43">
        <w:rPr>
          <w:rFonts w:eastAsiaTheme="minorEastAsia"/>
          <w:lang w:val="es-ES" w:eastAsia="zh-CN"/>
        </w:rPr>
        <w:t xml:space="preserve">de la Unión </w:t>
      </w:r>
      <w:r w:rsidRPr="004D7AA4">
        <w:rPr>
          <w:rFonts w:eastAsiaTheme="minorEastAsia"/>
          <w:lang w:val="es-ES" w:eastAsia="zh-CN"/>
        </w:rPr>
        <w:t>por que la UIT se convierta en Autoridad Supervisora, señalando al mismo tiempo que por el momento no proced</w:t>
      </w:r>
      <w:r w:rsidR="0065667D">
        <w:rPr>
          <w:rFonts w:eastAsiaTheme="minorEastAsia"/>
          <w:lang w:val="es-ES" w:eastAsia="zh-CN"/>
        </w:rPr>
        <w:t>ía</w:t>
      </w:r>
      <w:r w:rsidRPr="004D7AA4">
        <w:rPr>
          <w:rFonts w:eastAsiaTheme="minorEastAsia"/>
          <w:lang w:val="es-ES" w:eastAsia="zh-CN"/>
        </w:rPr>
        <w:t xml:space="preserve"> prejuzgar si la Unión podría ocupar o no dicho cargo.</w:t>
      </w:r>
      <w:r>
        <w:rPr>
          <w:rFonts w:eastAsiaTheme="minorEastAsia"/>
          <w:lang w:val="es-ES" w:eastAsia="zh-CN"/>
        </w:rPr>
        <w:t xml:space="preserve"> Además, autorizó a</w:t>
      </w:r>
      <w:r w:rsidRPr="004D7AA4">
        <w:rPr>
          <w:rFonts w:eastAsiaTheme="minorEastAsia"/>
          <w:lang w:val="es-ES" w:eastAsia="zh-CN"/>
        </w:rPr>
        <w:t>l Secretario General</w:t>
      </w:r>
      <w:r w:rsidR="005D2F43">
        <w:rPr>
          <w:rFonts w:eastAsiaTheme="minorEastAsia"/>
          <w:lang w:val="es-ES" w:eastAsia="zh-CN"/>
        </w:rPr>
        <w:t xml:space="preserve">, o </w:t>
      </w:r>
      <w:r w:rsidRPr="004D7AA4">
        <w:rPr>
          <w:rFonts w:eastAsiaTheme="minorEastAsia"/>
          <w:lang w:val="es-ES" w:eastAsia="zh-CN"/>
        </w:rPr>
        <w:t>su representante</w:t>
      </w:r>
      <w:r w:rsidR="005D2F43">
        <w:rPr>
          <w:rFonts w:eastAsiaTheme="minorEastAsia"/>
          <w:lang w:val="es-ES" w:eastAsia="zh-CN"/>
        </w:rPr>
        <w:t>,</w:t>
      </w:r>
      <w:r w:rsidRPr="004D7AA4">
        <w:rPr>
          <w:rFonts w:eastAsiaTheme="minorEastAsia"/>
          <w:lang w:val="es-ES" w:eastAsia="zh-CN"/>
        </w:rPr>
        <w:t xml:space="preserve"> a seguir participando en calidad de observador en los trabajos de la Comisión Preparatoria y sus Grupos de Trabajo.</w:t>
      </w:r>
      <w:r>
        <w:rPr>
          <w:rFonts w:eastAsiaTheme="minorEastAsia"/>
          <w:lang w:val="es-ES" w:eastAsia="zh-CN"/>
        </w:rPr>
        <w:t xml:space="preserve"> </w:t>
      </w:r>
      <w:r w:rsidR="005D2F43">
        <w:rPr>
          <w:rFonts w:eastAsiaTheme="minorEastAsia"/>
          <w:lang w:val="es-ES" w:eastAsia="zh-CN"/>
        </w:rPr>
        <w:t>El Consejo autorizó a</w:t>
      </w:r>
      <w:r>
        <w:rPr>
          <w:rFonts w:eastAsiaTheme="minorEastAsia"/>
          <w:lang w:val="es-ES" w:eastAsia="zh-CN"/>
        </w:rPr>
        <w:t>simismo</w:t>
      </w:r>
      <w:r w:rsidR="005D2F43">
        <w:rPr>
          <w:rFonts w:eastAsiaTheme="minorEastAsia"/>
          <w:lang w:val="es-ES" w:eastAsia="zh-CN"/>
        </w:rPr>
        <w:t xml:space="preserve"> </w:t>
      </w:r>
      <w:r w:rsidRPr="004D7AA4">
        <w:rPr>
          <w:rFonts w:eastAsiaTheme="minorEastAsia"/>
          <w:lang w:val="es-ES" w:eastAsia="zh-CN"/>
        </w:rPr>
        <w:t>al Secret</w:t>
      </w:r>
      <w:r w:rsidR="0065667D">
        <w:rPr>
          <w:rFonts w:eastAsiaTheme="minorEastAsia"/>
          <w:lang w:val="es-ES" w:eastAsia="zh-CN"/>
        </w:rPr>
        <w:t>ario General a presentar</w:t>
      </w:r>
      <w:r>
        <w:rPr>
          <w:rFonts w:eastAsiaTheme="minorEastAsia"/>
          <w:lang w:val="es-ES" w:eastAsia="zh-CN"/>
        </w:rPr>
        <w:t xml:space="preserve"> un I</w:t>
      </w:r>
      <w:r w:rsidR="0065667D">
        <w:rPr>
          <w:rFonts w:eastAsiaTheme="minorEastAsia"/>
          <w:lang w:val="es-ES" w:eastAsia="zh-CN"/>
        </w:rPr>
        <w:t>nforme sobre es</w:t>
      </w:r>
      <w:r w:rsidRPr="004D7AA4">
        <w:rPr>
          <w:rFonts w:eastAsiaTheme="minorEastAsia"/>
          <w:lang w:val="es-ES" w:eastAsia="zh-CN"/>
        </w:rPr>
        <w:t xml:space="preserve">a cuestión a la </w:t>
      </w:r>
      <w:r w:rsidR="005D2F43">
        <w:rPr>
          <w:rFonts w:eastAsiaTheme="minorEastAsia"/>
          <w:lang w:val="es-ES" w:eastAsia="zh-CN"/>
        </w:rPr>
        <w:t>Conferencia de Plenipotenciarios de 20</w:t>
      </w:r>
      <w:r>
        <w:rPr>
          <w:rFonts w:eastAsiaTheme="minorEastAsia"/>
          <w:lang w:val="es-ES" w:eastAsia="zh-CN"/>
        </w:rPr>
        <w:t xml:space="preserve">14 y un </w:t>
      </w:r>
      <w:r w:rsidR="00886232">
        <w:rPr>
          <w:rFonts w:eastAsiaTheme="minorEastAsia"/>
          <w:lang w:val="es-ES" w:eastAsia="zh-CN"/>
        </w:rPr>
        <w:t>i</w:t>
      </w:r>
      <w:r>
        <w:rPr>
          <w:rFonts w:eastAsiaTheme="minorEastAsia"/>
          <w:lang w:val="es-ES" w:eastAsia="zh-CN"/>
        </w:rPr>
        <w:t>nforme sobre el avance de los trabajos al Consejo</w:t>
      </w:r>
      <w:r w:rsidR="005D2F43">
        <w:rPr>
          <w:rFonts w:eastAsiaTheme="minorEastAsia"/>
          <w:lang w:val="es-ES" w:eastAsia="zh-CN"/>
        </w:rPr>
        <w:t>, en su reunión</w:t>
      </w:r>
      <w:r>
        <w:rPr>
          <w:rFonts w:eastAsiaTheme="minorEastAsia"/>
          <w:lang w:val="es-ES" w:eastAsia="zh-CN"/>
        </w:rPr>
        <w:t xml:space="preserve"> de 2015</w:t>
      </w:r>
      <w:r w:rsidRPr="004D7AA4">
        <w:rPr>
          <w:rFonts w:eastAsiaTheme="minorEastAsia"/>
          <w:lang w:val="es-ES" w:eastAsia="zh-CN"/>
        </w:rPr>
        <w:t>.</w:t>
      </w:r>
    </w:p>
    <w:p w:rsidR="00BB7353" w:rsidRPr="002D7BB0" w:rsidRDefault="002D7BB0" w:rsidP="00C155CE">
      <w:pPr>
        <w:rPr>
          <w:rFonts w:eastAsiaTheme="minorEastAsia"/>
          <w:lang w:eastAsia="zh-CN"/>
        </w:rPr>
      </w:pPr>
      <w:r w:rsidRPr="002D7BB0">
        <w:rPr>
          <w:rFonts w:eastAsiaTheme="minorEastAsia"/>
          <w:lang w:eastAsia="zh-CN"/>
        </w:rPr>
        <w:t xml:space="preserve">Con objeto de que el Secretario General pueda llevar a cabo su labor </w:t>
      </w:r>
      <w:r w:rsidR="00C155CE">
        <w:rPr>
          <w:rFonts w:eastAsiaTheme="minorEastAsia"/>
          <w:lang w:eastAsia="zh-CN"/>
        </w:rPr>
        <w:t>con toda</w:t>
      </w:r>
      <w:r w:rsidRPr="002D7BB0">
        <w:rPr>
          <w:rFonts w:eastAsiaTheme="minorEastAsia"/>
          <w:lang w:eastAsia="zh-CN"/>
        </w:rPr>
        <w:t xml:space="preserve"> transparen</w:t>
      </w:r>
      <w:r w:rsidR="00C155CE">
        <w:rPr>
          <w:rFonts w:eastAsiaTheme="minorEastAsia"/>
          <w:lang w:eastAsia="zh-CN"/>
        </w:rPr>
        <w:t>cia</w:t>
      </w:r>
      <w:r w:rsidRPr="002D7BB0">
        <w:rPr>
          <w:rFonts w:eastAsiaTheme="minorEastAsia"/>
          <w:lang w:eastAsia="zh-CN"/>
        </w:rPr>
        <w:t xml:space="preserve">, se ha creado </w:t>
      </w:r>
      <w:r w:rsidR="00C155CE">
        <w:rPr>
          <w:rFonts w:eastAsiaTheme="minorEastAsia"/>
          <w:lang w:eastAsia="zh-CN"/>
        </w:rPr>
        <w:t xml:space="preserve">un sitio </w:t>
      </w:r>
      <w:r w:rsidR="008253C4">
        <w:rPr>
          <w:rFonts w:eastAsiaTheme="minorEastAsia"/>
          <w:i/>
          <w:iCs/>
          <w:lang w:eastAsia="zh-CN"/>
        </w:rPr>
        <w:t>SharePoint</w:t>
      </w:r>
      <w:r w:rsidR="00C155CE">
        <w:rPr>
          <w:rFonts w:eastAsiaTheme="minorEastAsia"/>
          <w:lang w:eastAsia="zh-CN"/>
        </w:rPr>
        <w:t xml:space="preserve">. Ese sitio </w:t>
      </w:r>
      <w:r w:rsidR="00C155CE" w:rsidRPr="00C155CE">
        <w:rPr>
          <w:rFonts w:eastAsiaTheme="minorEastAsia"/>
          <w:lang w:eastAsia="zh-CN"/>
        </w:rPr>
        <w:t>(</w:t>
      </w:r>
      <w:hyperlink r:id="rId16" w:history="1">
        <w:r w:rsidR="00C155CE" w:rsidRPr="00C155CE">
          <w:rPr>
            <w:rStyle w:val="Hyperlink"/>
            <w:rFonts w:eastAsiaTheme="minorEastAsia"/>
            <w:lang w:eastAsia="zh-CN"/>
          </w:rPr>
          <w:t>https://extranet.itu.int/ITU</w:t>
        </w:r>
        <w:r w:rsidR="00C155CE" w:rsidRPr="00C155CE">
          <w:rPr>
            <w:rStyle w:val="Hyperlink"/>
            <w:rFonts w:eastAsiaTheme="minorEastAsia"/>
            <w:lang w:eastAsia="zh-CN"/>
          </w:rPr>
          <w:noBreakHyphen/>
          <w:t>R/space-assets</w:t>
        </w:r>
      </w:hyperlink>
      <w:r w:rsidR="00C155CE" w:rsidRPr="00C155CE">
        <w:rPr>
          <w:rFonts w:eastAsiaTheme="minorEastAsia"/>
          <w:lang w:eastAsia="zh-CN"/>
        </w:rPr>
        <w:t>)</w:t>
      </w:r>
      <w:r w:rsidR="00C155CE">
        <w:rPr>
          <w:rFonts w:eastAsiaTheme="minorEastAsia"/>
          <w:lang w:eastAsia="zh-CN"/>
        </w:rPr>
        <w:t xml:space="preserve"> está abierto a la participación de todos los miembros del Consejo que podrán intercambiar en línea informaciones y comentarios.</w:t>
      </w:r>
      <w:r w:rsidR="00BB7353" w:rsidRPr="002D7BB0">
        <w:rPr>
          <w:rFonts w:eastAsiaTheme="minorEastAsia"/>
          <w:lang w:eastAsia="zh-CN"/>
        </w:rPr>
        <w:t xml:space="preserve"> </w:t>
      </w:r>
    </w:p>
    <w:p w:rsidR="005C03D1" w:rsidRDefault="005C03D1" w:rsidP="009F385A">
      <w:pPr>
        <w:pStyle w:val="Heading1"/>
        <w:rPr>
          <w:rFonts w:eastAsiaTheme="minorEastAsia"/>
          <w:lang w:val="es-ES" w:eastAsia="zh-CN"/>
        </w:rPr>
      </w:pPr>
      <w:r>
        <w:rPr>
          <w:rFonts w:eastAsiaTheme="minorEastAsia"/>
          <w:lang w:val="es-ES" w:eastAsia="zh-CN"/>
        </w:rPr>
        <w:t>3</w:t>
      </w:r>
      <w:r>
        <w:rPr>
          <w:rFonts w:eastAsiaTheme="minorEastAsia"/>
          <w:lang w:val="es-ES" w:eastAsia="zh-CN"/>
        </w:rPr>
        <w:tab/>
      </w:r>
      <w:r w:rsidR="009F385A">
        <w:rPr>
          <w:rFonts w:eastAsiaTheme="minorEastAsia"/>
          <w:lang w:val="es-ES" w:eastAsia="zh-CN"/>
        </w:rPr>
        <w:t xml:space="preserve">Cuestiones relativas a la </w:t>
      </w:r>
      <w:r>
        <w:rPr>
          <w:rFonts w:eastAsiaTheme="minorEastAsia"/>
          <w:lang w:val="es-ES" w:eastAsia="zh-CN"/>
        </w:rPr>
        <w:t>CMR</w:t>
      </w:r>
    </w:p>
    <w:p w:rsidR="005C03D1" w:rsidRDefault="005C03D1" w:rsidP="005C03D1">
      <w:pPr>
        <w:pStyle w:val="Heading2"/>
        <w:rPr>
          <w:rFonts w:eastAsiaTheme="minorEastAsia"/>
          <w:lang w:val="es-ES" w:eastAsia="zh-CN"/>
        </w:rPr>
      </w:pPr>
      <w:r>
        <w:rPr>
          <w:rFonts w:eastAsiaTheme="minorEastAsia"/>
          <w:lang w:val="es-ES" w:eastAsia="zh-CN"/>
        </w:rPr>
        <w:t>3.1</w:t>
      </w:r>
      <w:r>
        <w:rPr>
          <w:rFonts w:eastAsiaTheme="minorEastAsia"/>
          <w:lang w:val="es-ES" w:eastAsia="zh-CN"/>
        </w:rPr>
        <w:tab/>
        <w:t>Preparación de la CMR-15</w:t>
      </w:r>
    </w:p>
    <w:p w:rsidR="005C03D1" w:rsidRPr="00ED7C58" w:rsidRDefault="00A21583" w:rsidP="00886232">
      <w:r>
        <w:t xml:space="preserve">Sobre la base de </w:t>
      </w:r>
      <w:r w:rsidR="005C03D1" w:rsidRPr="00ED7C58">
        <w:t>los resultados de la primera sesión de la Reunión Preparatoria de la CMR-15</w:t>
      </w:r>
      <w:r w:rsidR="005C03D1">
        <w:t xml:space="preserve"> </w:t>
      </w:r>
      <w:r w:rsidR="005C03D1" w:rsidRPr="00ED7C58">
        <w:t>(RPC</w:t>
      </w:r>
      <w:r>
        <w:noBreakHyphen/>
      </w:r>
      <w:r w:rsidR="005C03D1" w:rsidRPr="00ED7C58">
        <w:t xml:space="preserve">15) y teniendo en cuenta los plazos para la preparación del proyecto de Informe de la RPC a la CMR-15 (véase la </w:t>
      </w:r>
      <w:hyperlink r:id="rId17" w:history="1">
        <w:r w:rsidR="005C03D1" w:rsidRPr="00ED7C58">
          <w:rPr>
            <w:rStyle w:val="Hyperlink"/>
          </w:rPr>
          <w:t>C</w:t>
        </w:r>
        <w:r>
          <w:rPr>
            <w:rStyle w:val="Hyperlink"/>
          </w:rPr>
          <w:t xml:space="preserve">ircular Administrativa </w:t>
        </w:r>
        <w:r w:rsidR="005C03D1" w:rsidRPr="00ED7C58">
          <w:rPr>
            <w:rStyle w:val="Hyperlink"/>
          </w:rPr>
          <w:t>CA/20</w:t>
        </w:r>
        <w:r>
          <w:rPr>
            <w:rStyle w:val="Hyperlink"/>
          </w:rPr>
          <w:t>1 de la BR</w:t>
        </w:r>
      </w:hyperlink>
      <w:r w:rsidR="005C03D1" w:rsidRPr="00ED7C58">
        <w:t xml:space="preserve"> de</w:t>
      </w:r>
      <w:r w:rsidR="00B05C5E">
        <w:t>l</w:t>
      </w:r>
      <w:r w:rsidR="005C03D1" w:rsidRPr="00ED7C58">
        <w:t xml:space="preserve"> 19 de marzo de 2012 y su Addéndum 1 de</w:t>
      </w:r>
      <w:r w:rsidR="00B05C5E">
        <w:t xml:space="preserve">l </w:t>
      </w:r>
      <w:r w:rsidR="005C03D1" w:rsidRPr="00ED7C58">
        <w:t>15 de enero de 2013), se han logrado importantes avances en lo que respecta a los Grupos de Trabajo del UIT-R</w:t>
      </w:r>
      <w:r w:rsidR="005C03D1">
        <w:t xml:space="preserve"> </w:t>
      </w:r>
      <w:r w:rsidR="005C03D1" w:rsidRPr="00ED7C58">
        <w:t>y el Grupo Mixto de Tareas Especiales</w:t>
      </w:r>
      <w:r w:rsidR="005C03D1">
        <w:t xml:space="preserve"> </w:t>
      </w:r>
      <w:r w:rsidR="005C03D1" w:rsidRPr="00ED7C58">
        <w:t>encargado de los estudios preparatorios sobre los puntos del orden del día de la CMR-15 y/o las Resoluciones conexas de la CMR,</w:t>
      </w:r>
      <w:r w:rsidR="005C03D1">
        <w:t xml:space="preserve"> </w:t>
      </w:r>
      <w:r w:rsidR="005C03D1" w:rsidRPr="00ED7C58">
        <w:t>así como</w:t>
      </w:r>
      <w:r w:rsidR="005C03D1">
        <w:t xml:space="preserve"> </w:t>
      </w:r>
      <w:r w:rsidR="003407B5">
        <w:t>sobre</w:t>
      </w:r>
      <w:r w:rsidR="005C03D1" w:rsidRPr="00ED7C58">
        <w:t xml:space="preserve"> los estudios en </w:t>
      </w:r>
      <w:r w:rsidR="003407B5">
        <w:t xml:space="preserve">aplicación de </w:t>
      </w:r>
      <w:r w:rsidR="005C03D1" w:rsidRPr="00ED7C58">
        <w:t>Resoluciones UIT-R para la preparación de la AR-15.</w:t>
      </w:r>
      <w:r w:rsidR="00E72A0F">
        <w:t xml:space="preserve"> </w:t>
      </w:r>
      <w:r w:rsidR="00B05C5E">
        <w:t>Puede hallarse una información detallada sobre estos estudios preparatorios del UIT</w:t>
      </w:r>
      <w:r w:rsidR="00B05C5E">
        <w:noBreakHyphen/>
        <w:t xml:space="preserve">R en la siguiente página web actualizada de la UIT: </w:t>
      </w:r>
      <w:hyperlink r:id="rId18" w:history="1">
        <w:r w:rsidR="005C03D1" w:rsidRPr="005C03D1">
          <w:rPr>
            <w:rStyle w:val="Hyperlink"/>
            <w:rFonts w:eastAsia="SimSun"/>
            <w:szCs w:val="24"/>
            <w:lang w:eastAsia="zh-CN"/>
          </w:rPr>
          <w:t>www.itu.int/ITU</w:t>
        </w:r>
        <w:r w:rsidR="005C03D1" w:rsidRPr="005C03D1">
          <w:rPr>
            <w:rStyle w:val="Hyperlink"/>
            <w:rFonts w:eastAsia="SimSun"/>
            <w:szCs w:val="24"/>
            <w:lang w:eastAsia="zh-CN"/>
          </w:rPr>
          <w:noBreakHyphen/>
          <w:t>R/go/rcpm-wrc-15-studies</w:t>
        </w:r>
      </w:hyperlink>
      <w:r w:rsidR="005C03D1" w:rsidRPr="005C03D1">
        <w:rPr>
          <w:rStyle w:val="Hyperlink"/>
          <w:rFonts w:eastAsia="SimSun"/>
          <w:szCs w:val="24"/>
          <w:lang w:eastAsia="zh-CN"/>
        </w:rPr>
        <w:t>.</w:t>
      </w:r>
      <w:r w:rsidR="00B05C5E">
        <w:rPr>
          <w:rStyle w:val="Hyperlink"/>
          <w:rFonts w:eastAsia="SimSun"/>
          <w:szCs w:val="24"/>
          <w:u w:val="none"/>
          <w:lang w:eastAsia="zh-CN"/>
        </w:rPr>
        <w:t xml:space="preserve"> </w:t>
      </w:r>
      <w:r w:rsidR="005C03D1" w:rsidRPr="00ED7C58">
        <w:t>La conclusión de estas actividades</w:t>
      </w:r>
      <w:r w:rsidR="00B05C5E">
        <w:t>,</w:t>
      </w:r>
      <w:r w:rsidR="005C03D1" w:rsidRPr="00ED7C58">
        <w:t xml:space="preserve"> con arr</w:t>
      </w:r>
      <w:r w:rsidR="00B05C5E">
        <w:t xml:space="preserve">eglo a los planes de trabajo </w:t>
      </w:r>
      <w:r w:rsidR="005C03D1" w:rsidRPr="00ED7C58">
        <w:t>establecidos</w:t>
      </w:r>
      <w:r w:rsidR="00B05C5E">
        <w:t xml:space="preserve"> previamente,</w:t>
      </w:r>
      <w:r w:rsidR="00E72A0F">
        <w:t xml:space="preserve"> </w:t>
      </w:r>
      <w:r w:rsidR="005C03D1" w:rsidRPr="00ED7C58">
        <w:lastRenderedPageBreak/>
        <w:t xml:space="preserve">debería garantizar en particular la disponibilidad a su debido tiempo del proyecto de Informe de la RPC a la CMR-15, para </w:t>
      </w:r>
      <w:r w:rsidR="00B05C5E">
        <w:t>su examen durante la segunda reun</w:t>
      </w:r>
      <w:r w:rsidR="005C03D1" w:rsidRPr="00ED7C58">
        <w:t>ión de la RPC-15</w:t>
      </w:r>
      <w:r w:rsidR="00B05C5E">
        <w:t>,</w:t>
      </w:r>
      <w:r w:rsidR="005C03D1" w:rsidRPr="00ED7C58">
        <w:t xml:space="preserve"> que tendrá lugar del 23 de marzo al 2 de abril de 2015 (véase el </w:t>
      </w:r>
      <w:r w:rsidR="00886232">
        <w:t>D</w:t>
      </w:r>
      <w:r w:rsidR="005C03D1" w:rsidRPr="00ED7C58">
        <w:t xml:space="preserve">ocumento </w:t>
      </w:r>
      <w:hyperlink r:id="rId19" w:history="1">
        <w:r w:rsidR="005C03D1" w:rsidRPr="00ED7C58">
          <w:rPr>
            <w:rStyle w:val="Hyperlink"/>
          </w:rPr>
          <w:t>C13/37(Rev.3)</w:t>
        </w:r>
      </w:hyperlink>
      <w:r w:rsidR="005C03D1" w:rsidRPr="00ED7C58">
        <w:t xml:space="preserve">). </w:t>
      </w:r>
    </w:p>
    <w:p w:rsidR="005C03D1" w:rsidRDefault="005C03D1" w:rsidP="00886232">
      <w:r w:rsidRPr="00ED7C58">
        <w:t>Teniendo en cuenta la Resolución 80 (Rev. Marrakech, 2002)</w:t>
      </w:r>
      <w:r w:rsidR="00B00B49">
        <w:t xml:space="preserve"> de la Conferencia de Plenipotenciarios</w:t>
      </w:r>
      <w:r w:rsidRPr="00ED7C58">
        <w:t xml:space="preserve">, se han </w:t>
      </w:r>
      <w:r w:rsidR="00F735FE">
        <w:t>realizado</w:t>
      </w:r>
      <w:r w:rsidRPr="00ED7C58">
        <w:t xml:space="preserve"> </w:t>
      </w:r>
      <w:r w:rsidR="00B00B49">
        <w:t xml:space="preserve">importantes actividades de preparación de </w:t>
      </w:r>
      <w:r w:rsidRPr="00ED7C58">
        <w:t xml:space="preserve">la CMR-15 </w:t>
      </w:r>
      <w:r w:rsidR="00B00B49">
        <w:t xml:space="preserve">por intermedio de </w:t>
      </w:r>
      <w:r w:rsidRPr="00ED7C58">
        <w:t>organizaciones regionales de telecomunicaciones</w:t>
      </w:r>
      <w:r w:rsidR="00B00B49">
        <w:t xml:space="preserve"> como </w:t>
      </w:r>
      <w:r w:rsidRPr="00ED7C58">
        <w:t>la CEPT, la CITEL, la APT, la CRC, el Grupo de Países Árabes y el Grupo de Países Africanos de la ATU. Siempre que ha sido posib</w:t>
      </w:r>
      <w:r w:rsidR="00B00B49">
        <w:t>le, la UIT ha ayudado en es</w:t>
      </w:r>
      <w:r w:rsidRPr="00ED7C58">
        <w:t>os preparativos, teniendo en cuenta especialmente la Resolución 72 (Rev.</w:t>
      </w:r>
      <w:r w:rsidR="00B00B49">
        <w:t>CMR-07</w:t>
      </w:r>
      <w:r w:rsidRPr="00ED7C58">
        <w:t xml:space="preserve">). </w:t>
      </w:r>
    </w:p>
    <w:p w:rsidR="00937407" w:rsidRDefault="00D0317D" w:rsidP="00886232">
      <w:r>
        <w:t>Con objeto de empezar a lograr un</w:t>
      </w:r>
      <w:r w:rsidR="00D30E4F">
        <w:t xml:space="preserve"> consenso s</w:t>
      </w:r>
      <w:r w:rsidR="00D30E4F" w:rsidRPr="00D30E4F">
        <w:t>obre las posiciones y las propuestas formuladas por</w:t>
      </w:r>
      <w:r w:rsidR="00E72A0F">
        <w:t xml:space="preserve"> </w:t>
      </w:r>
      <w:r w:rsidR="00D30E4F" w:rsidRPr="00D30E4F">
        <w:t>divers</w:t>
      </w:r>
      <w:r w:rsidR="00D30E4F">
        <w:t>a</w:t>
      </w:r>
      <w:r w:rsidR="00D30E4F" w:rsidRPr="00D30E4F">
        <w:t xml:space="preserve">s organizaciones regionales de telecomunicaciones, la BR convocó </w:t>
      </w:r>
      <w:r w:rsidR="00D30E4F">
        <w:t>el</w:t>
      </w:r>
      <w:r w:rsidRPr="00D0317D">
        <w:t xml:space="preserve"> </w:t>
      </w:r>
      <w:hyperlink r:id="rId20" w:history="1">
        <w:r w:rsidRPr="00D0317D">
          <w:rPr>
            <w:rStyle w:val="Hyperlink"/>
          </w:rPr>
          <w:t>pr</w:t>
        </w:r>
        <w:r w:rsidR="003106D4">
          <w:rPr>
            <w:rStyle w:val="Hyperlink"/>
          </w:rPr>
          <w:t xml:space="preserve">imer Taller </w:t>
        </w:r>
        <w:r w:rsidR="00886232">
          <w:rPr>
            <w:rStyle w:val="Hyperlink"/>
          </w:rPr>
          <w:t>I</w:t>
        </w:r>
        <w:r>
          <w:rPr>
            <w:rStyle w:val="Hyperlink"/>
          </w:rPr>
          <w:t xml:space="preserve">nterregional de la UIT sobre la preparación de la </w:t>
        </w:r>
        <w:r w:rsidRPr="00D0317D">
          <w:rPr>
            <w:rStyle w:val="Hyperlink"/>
          </w:rPr>
          <w:t>CMR-15</w:t>
        </w:r>
      </w:hyperlink>
      <w:r>
        <w:t xml:space="preserve"> </w:t>
      </w:r>
      <w:r w:rsidR="00D30E4F" w:rsidRPr="00D30E4F">
        <w:t xml:space="preserve">en Ginebra </w:t>
      </w:r>
      <w:r w:rsidR="00D30E4F">
        <w:t>el 4 y 5 de diciembre de</w:t>
      </w:r>
      <w:r w:rsidR="00886232">
        <w:t> </w:t>
      </w:r>
      <w:r w:rsidR="00D30E4F">
        <w:t xml:space="preserve">2013. Asistieron al </w:t>
      </w:r>
      <w:r w:rsidR="00D30E4F" w:rsidRPr="00D30E4F">
        <w:t xml:space="preserve">taller </w:t>
      </w:r>
      <w:r w:rsidR="00D30E4F">
        <w:t>2</w:t>
      </w:r>
      <w:r w:rsidR="00D30E4F" w:rsidRPr="00D30E4F">
        <w:t xml:space="preserve">45 </w:t>
      </w:r>
      <w:r w:rsidR="00D30E4F">
        <w:t xml:space="preserve">participantes en representación de </w:t>
      </w:r>
      <w:r w:rsidR="00D30E4F" w:rsidRPr="00D30E4F">
        <w:t>55 países y 35</w:t>
      </w:r>
      <w:r w:rsidR="00D30E4F">
        <w:t> </w:t>
      </w:r>
      <w:r w:rsidR="00D30E4F" w:rsidRPr="00D30E4F">
        <w:t>empresas y organizaciones</w:t>
      </w:r>
      <w:r w:rsidR="00D30E4F">
        <w:t xml:space="preserve">, entre ellos </w:t>
      </w:r>
      <w:r w:rsidR="00D30E4F" w:rsidRPr="00D30E4F">
        <w:t xml:space="preserve">algunos </w:t>
      </w:r>
      <w:r w:rsidR="00D30E4F">
        <w:t xml:space="preserve">miembros de </w:t>
      </w:r>
      <w:r w:rsidR="00D30E4F" w:rsidRPr="00D30E4F">
        <w:t xml:space="preserve">la RRB </w:t>
      </w:r>
      <w:r w:rsidR="00D30E4F">
        <w:t>y</w:t>
      </w:r>
      <w:r w:rsidR="00D30E4F" w:rsidRPr="00D30E4F">
        <w:t xml:space="preserve"> </w:t>
      </w:r>
      <w:r w:rsidR="00D30E4F">
        <w:t xml:space="preserve">representantes de </w:t>
      </w:r>
      <w:r w:rsidR="00D30E4F" w:rsidRPr="00D30E4F">
        <w:t xml:space="preserve">las organizaciones regionales de telecomunicaciones </w:t>
      </w:r>
      <w:r w:rsidR="00D30E4F">
        <w:t xml:space="preserve">indicadas </w:t>
      </w:r>
      <w:r w:rsidR="00D30E4F" w:rsidRPr="00D30E4F">
        <w:t>anteriormente. Las ponencias</w:t>
      </w:r>
      <w:r w:rsidR="00D30E4F">
        <w:t xml:space="preserve"> realizadas</w:t>
      </w:r>
      <w:r w:rsidR="00D30E4F" w:rsidRPr="00D30E4F">
        <w:t xml:space="preserve"> durante el </w:t>
      </w:r>
      <w:r w:rsidR="00D30E4F">
        <w:t>taller por es</w:t>
      </w:r>
      <w:r w:rsidR="00D30E4F" w:rsidRPr="00D30E4F">
        <w:t xml:space="preserve">os representantes y </w:t>
      </w:r>
      <w:r w:rsidR="00D30E4F">
        <w:t xml:space="preserve">por </w:t>
      </w:r>
      <w:r w:rsidR="00D30E4F" w:rsidRPr="00D30E4F">
        <w:t xml:space="preserve">los Presidentes de los </w:t>
      </w:r>
      <w:r w:rsidR="00D30E4F">
        <w:t>G</w:t>
      </w:r>
      <w:r w:rsidR="00D30E4F" w:rsidRPr="00D30E4F">
        <w:t xml:space="preserve">rupos de </w:t>
      </w:r>
      <w:r w:rsidR="00D30E4F">
        <w:t>T</w:t>
      </w:r>
      <w:r w:rsidR="00D30E4F" w:rsidRPr="00D30E4F">
        <w:t>rabajo</w:t>
      </w:r>
      <w:r w:rsidR="00D30E4F">
        <w:t xml:space="preserve">, </w:t>
      </w:r>
      <w:r w:rsidR="00D30E4F" w:rsidRPr="00D30E4F">
        <w:t>Grupo</w:t>
      </w:r>
      <w:r w:rsidR="00D30E4F">
        <w:t>s</w:t>
      </w:r>
      <w:r w:rsidR="00D30E4F" w:rsidRPr="00D30E4F">
        <w:t xml:space="preserve"> Mixto</w:t>
      </w:r>
      <w:r w:rsidR="00D30E4F">
        <w:t>s</w:t>
      </w:r>
      <w:r w:rsidR="00D30E4F" w:rsidRPr="00D30E4F">
        <w:t xml:space="preserve"> de Tareas </w:t>
      </w:r>
      <w:r w:rsidR="007E5148">
        <w:t>o Comisiones</w:t>
      </w:r>
      <w:r w:rsidR="00D30E4F" w:rsidRPr="00D30E4F">
        <w:t xml:space="preserve"> de </w:t>
      </w:r>
      <w:r w:rsidR="007E5148">
        <w:t>E</w:t>
      </w:r>
      <w:r w:rsidR="00D30E4F" w:rsidRPr="00D30E4F">
        <w:t>studio</w:t>
      </w:r>
      <w:r w:rsidR="007E5148">
        <w:t xml:space="preserve"> competentes, </w:t>
      </w:r>
      <w:r w:rsidR="00D30E4F" w:rsidRPr="00D30E4F">
        <w:t xml:space="preserve">así como los intercambios de opiniones </w:t>
      </w:r>
      <w:r w:rsidR="007E5148">
        <w:t xml:space="preserve">a que dieron origen, fueron sumamente </w:t>
      </w:r>
      <w:r w:rsidR="00D30E4F" w:rsidRPr="00D30E4F">
        <w:t>valora</w:t>
      </w:r>
      <w:r w:rsidR="00B869CA">
        <w:t>do</w:t>
      </w:r>
      <w:r w:rsidR="007E5148">
        <w:t xml:space="preserve">s </w:t>
      </w:r>
      <w:r w:rsidR="00D30E4F" w:rsidRPr="00D30E4F">
        <w:t xml:space="preserve">y </w:t>
      </w:r>
      <w:r w:rsidR="007E5148">
        <w:t xml:space="preserve">siguen estando </w:t>
      </w:r>
      <w:r w:rsidR="00D30E4F" w:rsidRPr="00D30E4F">
        <w:t xml:space="preserve">disponibles en formato vídeo y en los seis idiomas oficiales de la Unión en </w:t>
      </w:r>
      <w:r w:rsidR="00E45ED8" w:rsidRPr="00E45ED8">
        <w:t xml:space="preserve">la </w:t>
      </w:r>
      <w:hyperlink r:id="rId21" w:history="1">
        <w:r w:rsidR="00E45ED8" w:rsidRPr="00E45ED8">
          <w:rPr>
            <w:rStyle w:val="Hyperlink"/>
          </w:rPr>
          <w:t>p</w:t>
        </w:r>
        <w:r w:rsidR="00E45ED8">
          <w:rPr>
            <w:rStyle w:val="Hyperlink"/>
          </w:rPr>
          <w:t xml:space="preserve">ágina </w:t>
        </w:r>
        <w:r w:rsidR="00E45ED8" w:rsidRPr="00E45ED8">
          <w:rPr>
            <w:rStyle w:val="Hyperlink"/>
          </w:rPr>
          <w:t>web de</w:t>
        </w:r>
        <w:r w:rsidR="00E45ED8">
          <w:rPr>
            <w:rStyle w:val="Hyperlink"/>
          </w:rPr>
          <w:t>l taller</w:t>
        </w:r>
      </w:hyperlink>
      <w:r w:rsidR="00D30E4F" w:rsidRPr="00D30E4F">
        <w:t xml:space="preserve">. </w:t>
      </w:r>
      <w:r w:rsidR="00937407">
        <w:t>Está prevista la organización de o</w:t>
      </w:r>
      <w:r w:rsidR="00931E39">
        <w:t xml:space="preserve">tros dos </w:t>
      </w:r>
      <w:r w:rsidR="003106D4">
        <w:t>t</w:t>
      </w:r>
      <w:r w:rsidR="00D30E4F" w:rsidRPr="00D30E4F">
        <w:t xml:space="preserve">alleres </w:t>
      </w:r>
      <w:r w:rsidR="003106D4">
        <w:t>i</w:t>
      </w:r>
      <w:r w:rsidR="00937407">
        <w:t>nter</w:t>
      </w:r>
      <w:r w:rsidR="00D30E4F" w:rsidRPr="00D30E4F">
        <w:t xml:space="preserve">regionales </w:t>
      </w:r>
      <w:r w:rsidR="003106D4">
        <w:t>sobre el mismo tema:</w:t>
      </w:r>
      <w:r w:rsidR="00937407">
        <w:t xml:space="preserve"> uno para</w:t>
      </w:r>
      <w:r w:rsidR="00D30E4F" w:rsidRPr="00D30E4F">
        <w:t xml:space="preserve"> final</w:t>
      </w:r>
      <w:r w:rsidR="00937407">
        <w:t>es</w:t>
      </w:r>
      <w:r w:rsidR="00D30E4F" w:rsidRPr="00D30E4F">
        <w:t xml:space="preserve"> de 2014, y </w:t>
      </w:r>
      <w:r w:rsidR="00937407">
        <w:t xml:space="preserve">el </w:t>
      </w:r>
      <w:r w:rsidR="003106D4">
        <w:t>otro en 2015, antes de la</w:t>
      </w:r>
      <w:r w:rsidR="00F01399">
        <w:t> </w:t>
      </w:r>
      <w:r w:rsidR="00937407">
        <w:t>CMR</w:t>
      </w:r>
      <w:r w:rsidR="00D30E4F" w:rsidRPr="00D30E4F">
        <w:t>-15.</w:t>
      </w:r>
    </w:p>
    <w:p w:rsidR="00931E39" w:rsidRDefault="00931E39" w:rsidP="003032E6">
      <w:r>
        <w:t xml:space="preserve">La página web del </w:t>
      </w:r>
      <w:r w:rsidRPr="00931E39">
        <w:t xml:space="preserve">UIT-R para </w:t>
      </w:r>
      <w:r>
        <w:t xml:space="preserve">la </w:t>
      </w:r>
      <w:r w:rsidR="00886232">
        <w:t>CMR</w:t>
      </w:r>
      <w:r w:rsidRPr="00931E39">
        <w:t>-15</w:t>
      </w:r>
      <w:r w:rsidR="003032E6">
        <w:t xml:space="preserve"> (</w:t>
      </w:r>
      <w:hyperlink r:id="rId22" w:history="1">
        <w:r w:rsidRPr="00DD0C74">
          <w:rPr>
            <w:rStyle w:val="Hyperlink"/>
          </w:rPr>
          <w:t>www.itu.int/go/wrc-15</w:t>
        </w:r>
      </w:hyperlink>
      <w:r w:rsidR="003032E6">
        <w:t xml:space="preserve">) </w:t>
      </w:r>
      <w:r>
        <w:t xml:space="preserve">ha sido actualizada y permite el acceso </w:t>
      </w:r>
      <w:r w:rsidRPr="00931E39">
        <w:t xml:space="preserve">directo a la información </w:t>
      </w:r>
      <w:r>
        <w:t xml:space="preserve">facilitada </w:t>
      </w:r>
      <w:r>
        <w:rPr>
          <w:i/>
          <w:iCs/>
        </w:rPr>
        <w:t>supra</w:t>
      </w:r>
      <w:r>
        <w:t xml:space="preserve">. </w:t>
      </w:r>
    </w:p>
    <w:p w:rsidR="00D74AFC" w:rsidRDefault="006034C1" w:rsidP="006034C1">
      <w:pPr>
        <w:pStyle w:val="Heading2"/>
      </w:pPr>
      <w:r>
        <w:t>3</w:t>
      </w:r>
      <w:r w:rsidR="00D74AFC">
        <w:t>.2</w:t>
      </w:r>
      <w:r w:rsidR="00D74AFC">
        <w:tab/>
      </w:r>
      <w:r>
        <w:t>Aplicación de los resultados de la CMR-12</w:t>
      </w:r>
    </w:p>
    <w:p w:rsidR="00DA6E40" w:rsidRPr="00DA6E40" w:rsidRDefault="00DA6E40" w:rsidP="00F40F6F">
      <w:pPr>
        <w:rPr>
          <w:b/>
          <w:lang w:val="es-ES"/>
        </w:rPr>
      </w:pPr>
      <w:r w:rsidRPr="00DA6E40">
        <w:rPr>
          <w:b/>
          <w:lang w:val="es-ES"/>
        </w:rPr>
        <w:t>3.2.1</w:t>
      </w:r>
      <w:r w:rsidRPr="00DA6E40">
        <w:rPr>
          <w:b/>
          <w:lang w:val="es-ES"/>
        </w:rPr>
        <w:tab/>
        <w:t>D</w:t>
      </w:r>
      <w:r w:rsidR="00F40F6F">
        <w:rPr>
          <w:b/>
          <w:lang w:val="es-ES"/>
        </w:rPr>
        <w:t xml:space="preserve">iseño </w:t>
      </w:r>
      <w:r w:rsidRPr="00DA6E40">
        <w:rPr>
          <w:b/>
          <w:lang w:val="es-ES"/>
        </w:rPr>
        <w:t>de software para la aplicación de las decisiones de la Conferencia</w:t>
      </w:r>
    </w:p>
    <w:p w:rsidR="00DA6E40" w:rsidRDefault="00DA6E40" w:rsidP="00DA6E40">
      <w:pPr>
        <w:rPr>
          <w:lang w:val="es-ES"/>
        </w:rPr>
      </w:pPr>
      <w:r w:rsidRPr="00DA6E40">
        <w:rPr>
          <w:lang w:val="es-ES"/>
        </w:rPr>
        <w:t xml:space="preserve">La BR ha comenzado a </w:t>
      </w:r>
      <w:r>
        <w:rPr>
          <w:lang w:val="es-ES"/>
        </w:rPr>
        <w:t>elaborar</w:t>
      </w:r>
      <w:r w:rsidRPr="00DA6E40">
        <w:rPr>
          <w:lang w:val="es-ES"/>
        </w:rPr>
        <w:t xml:space="preserve"> </w:t>
      </w:r>
      <w:r w:rsidR="00F40F6F">
        <w:rPr>
          <w:lang w:val="es-ES"/>
        </w:rPr>
        <w:t xml:space="preserve">y utilizar </w:t>
      </w:r>
      <w:r w:rsidRPr="00DA6E40">
        <w:rPr>
          <w:lang w:val="es-ES"/>
        </w:rPr>
        <w:t xml:space="preserve">software para aplicar las decisiones de la CMR-12. En el siguiente cuadro se resumen las </w:t>
      </w:r>
      <w:r>
        <w:rPr>
          <w:lang w:val="es-ES"/>
        </w:rPr>
        <w:t xml:space="preserve">principales tareas en cuestión: </w:t>
      </w:r>
    </w:p>
    <w:p w:rsidR="00DA6E40" w:rsidRPr="00886232" w:rsidRDefault="00F40F6F" w:rsidP="00F01399">
      <w:pPr>
        <w:pStyle w:val="Tabletitle"/>
        <w:spacing w:before="360"/>
        <w:rPr>
          <w:sz w:val="22"/>
          <w:szCs w:val="22"/>
          <w:lang w:val="es-ES_tradnl"/>
        </w:rPr>
      </w:pPr>
      <w:r w:rsidRPr="00886232">
        <w:rPr>
          <w:sz w:val="22"/>
          <w:szCs w:val="22"/>
          <w:lang w:val="es-ES_tradnl"/>
        </w:rPr>
        <w:t>Diseño</w:t>
      </w:r>
      <w:r w:rsidR="00DA6E40" w:rsidRPr="00886232">
        <w:rPr>
          <w:sz w:val="22"/>
          <w:szCs w:val="22"/>
          <w:lang w:val="es-ES_tradnl"/>
        </w:rPr>
        <w:t xml:space="preserve"> de software para aplicar las decisiones de la CMR-12</w:t>
      </w:r>
    </w:p>
    <w:tbl>
      <w:tblPr>
        <w:tblW w:w="0" w:type="auto"/>
        <w:tblInd w:w="392" w:type="dxa"/>
        <w:tblLook w:val="04A0" w:firstRow="1" w:lastRow="0" w:firstColumn="1" w:lastColumn="0" w:noHBand="0" w:noVBand="1"/>
      </w:tblPr>
      <w:tblGrid>
        <w:gridCol w:w="9463"/>
      </w:tblGrid>
      <w:tr w:rsidR="007B0411" w:rsidTr="005638D8">
        <w:tc>
          <w:tcPr>
            <w:tcW w:w="9463" w:type="dxa"/>
            <w:tcBorders>
              <w:top w:val="single" w:sz="4" w:space="0" w:color="auto"/>
              <w:left w:val="single" w:sz="4" w:space="0" w:color="auto"/>
              <w:bottom w:val="single" w:sz="4" w:space="0" w:color="auto"/>
              <w:right w:val="single" w:sz="4" w:space="0" w:color="auto"/>
            </w:tcBorders>
            <w:hideMark/>
          </w:tcPr>
          <w:p w:rsidR="007B0411" w:rsidRPr="00F01399" w:rsidRDefault="007B0411" w:rsidP="0000099A">
            <w:pPr>
              <w:rPr>
                <w:sz w:val="22"/>
                <w:szCs w:val="22"/>
              </w:rPr>
            </w:pPr>
            <w:r w:rsidRPr="00F01399">
              <w:rPr>
                <w:sz w:val="22"/>
                <w:szCs w:val="22"/>
              </w:rPr>
              <w:t>Resolución 417:</w:t>
            </w:r>
            <w:r w:rsidR="007C41F4" w:rsidRPr="00F01399">
              <w:rPr>
                <w:sz w:val="22"/>
                <w:szCs w:val="22"/>
              </w:rPr>
              <w:t xml:space="preserve"> </w:t>
            </w:r>
            <w:r w:rsidR="0000099A" w:rsidRPr="00F01399">
              <w:rPr>
                <w:sz w:val="22"/>
                <w:szCs w:val="22"/>
              </w:rPr>
              <w:t>A</w:t>
            </w:r>
            <w:r w:rsidR="007C41F4" w:rsidRPr="00F01399">
              <w:rPr>
                <w:sz w:val="22"/>
                <w:szCs w:val="22"/>
              </w:rPr>
              <w:t>utomatización del software para el examen de notificaciones de servicios terrenales.</w:t>
            </w:r>
          </w:p>
          <w:p w:rsidR="007B0411" w:rsidRPr="00F01399" w:rsidRDefault="007C41F4" w:rsidP="007B0411">
            <w:pPr>
              <w:rPr>
                <w:sz w:val="22"/>
                <w:szCs w:val="22"/>
              </w:rPr>
            </w:pPr>
            <w:r w:rsidRPr="00F01399">
              <w:rPr>
                <w:sz w:val="22"/>
                <w:szCs w:val="22"/>
              </w:rPr>
              <w:t>Situación</w:t>
            </w:r>
            <w:r w:rsidR="007B0411" w:rsidRPr="00F01399">
              <w:rPr>
                <w:sz w:val="22"/>
                <w:szCs w:val="22"/>
              </w:rPr>
              <w:t>:</w:t>
            </w:r>
            <w:r w:rsidRPr="00F01399">
              <w:rPr>
                <w:sz w:val="22"/>
                <w:szCs w:val="22"/>
              </w:rPr>
              <w:t xml:space="preserve"> Completa</w:t>
            </w:r>
          </w:p>
        </w:tc>
      </w:tr>
      <w:tr w:rsidR="007B0411" w:rsidRPr="007B0411" w:rsidTr="005638D8">
        <w:tc>
          <w:tcPr>
            <w:tcW w:w="9463" w:type="dxa"/>
            <w:tcBorders>
              <w:top w:val="single" w:sz="4" w:space="0" w:color="auto"/>
              <w:left w:val="single" w:sz="4" w:space="0" w:color="auto"/>
              <w:bottom w:val="single" w:sz="4" w:space="0" w:color="auto"/>
              <w:right w:val="single" w:sz="4" w:space="0" w:color="auto"/>
            </w:tcBorders>
            <w:hideMark/>
          </w:tcPr>
          <w:p w:rsidR="007B0411" w:rsidRPr="00F01399" w:rsidRDefault="007B0411" w:rsidP="007B0411">
            <w:pPr>
              <w:rPr>
                <w:sz w:val="22"/>
                <w:szCs w:val="22"/>
              </w:rPr>
            </w:pPr>
            <w:r w:rsidRPr="00F01399">
              <w:rPr>
                <w:sz w:val="22"/>
                <w:szCs w:val="22"/>
              </w:rPr>
              <w:t xml:space="preserve">Resolución 552: </w:t>
            </w:r>
            <w:r w:rsidR="0000099A" w:rsidRPr="00F01399">
              <w:rPr>
                <w:sz w:val="22"/>
                <w:szCs w:val="22"/>
              </w:rPr>
              <w:t>N</w:t>
            </w:r>
            <w:r w:rsidR="007C41F4" w:rsidRPr="00F01399">
              <w:rPr>
                <w:sz w:val="22"/>
                <w:szCs w:val="22"/>
              </w:rPr>
              <w:t xml:space="preserve">ueva interfaz de </w:t>
            </w:r>
            <w:r w:rsidR="00715F05" w:rsidRPr="00F01399">
              <w:rPr>
                <w:sz w:val="22"/>
                <w:szCs w:val="22"/>
              </w:rPr>
              <w:t>captación.</w:t>
            </w:r>
          </w:p>
          <w:p w:rsidR="007B0411" w:rsidRPr="00F01399" w:rsidRDefault="007C41F4" w:rsidP="007B0411">
            <w:pPr>
              <w:rPr>
                <w:sz w:val="22"/>
                <w:szCs w:val="22"/>
                <w:lang w:val="en-US"/>
              </w:rPr>
            </w:pPr>
            <w:r w:rsidRPr="00F01399">
              <w:rPr>
                <w:sz w:val="22"/>
                <w:szCs w:val="22"/>
                <w:lang w:val="en-US"/>
              </w:rPr>
              <w:t>Situación: Completa</w:t>
            </w:r>
          </w:p>
        </w:tc>
      </w:tr>
      <w:tr w:rsidR="007B0411" w:rsidTr="005638D8">
        <w:tc>
          <w:tcPr>
            <w:tcW w:w="9463" w:type="dxa"/>
            <w:tcBorders>
              <w:top w:val="single" w:sz="4" w:space="0" w:color="auto"/>
              <w:left w:val="single" w:sz="4" w:space="0" w:color="auto"/>
              <w:bottom w:val="single" w:sz="4" w:space="0" w:color="auto"/>
              <w:right w:val="single" w:sz="4" w:space="0" w:color="auto"/>
            </w:tcBorders>
            <w:hideMark/>
          </w:tcPr>
          <w:p w:rsidR="007B0411" w:rsidRPr="00F01399" w:rsidRDefault="007B0411" w:rsidP="007B0411">
            <w:pPr>
              <w:rPr>
                <w:sz w:val="22"/>
                <w:szCs w:val="22"/>
              </w:rPr>
            </w:pPr>
            <w:r w:rsidRPr="00F01399">
              <w:rPr>
                <w:sz w:val="22"/>
                <w:szCs w:val="22"/>
              </w:rPr>
              <w:t xml:space="preserve">Resolución 552: </w:t>
            </w:r>
            <w:r w:rsidR="0000099A" w:rsidRPr="00F01399">
              <w:rPr>
                <w:sz w:val="22"/>
                <w:szCs w:val="22"/>
              </w:rPr>
              <w:t>V</w:t>
            </w:r>
            <w:r w:rsidR="00715F05" w:rsidRPr="00F01399">
              <w:rPr>
                <w:sz w:val="22"/>
                <w:szCs w:val="22"/>
              </w:rPr>
              <w:t>alidación de nuevos elementos de datos.</w:t>
            </w:r>
          </w:p>
          <w:p w:rsidR="007B0411" w:rsidRPr="00F01399" w:rsidRDefault="007C41F4" w:rsidP="007B0411">
            <w:pPr>
              <w:rPr>
                <w:sz w:val="22"/>
                <w:szCs w:val="22"/>
              </w:rPr>
            </w:pPr>
            <w:r w:rsidRPr="00F01399">
              <w:rPr>
                <w:sz w:val="22"/>
                <w:szCs w:val="22"/>
              </w:rPr>
              <w:t>Situación</w:t>
            </w:r>
            <w:r w:rsidR="007B0411" w:rsidRPr="00F01399">
              <w:rPr>
                <w:sz w:val="22"/>
                <w:szCs w:val="22"/>
              </w:rPr>
              <w:t xml:space="preserve">: </w:t>
            </w:r>
            <w:r w:rsidRPr="00F01399">
              <w:rPr>
                <w:sz w:val="22"/>
                <w:szCs w:val="22"/>
              </w:rPr>
              <w:t>En curso</w:t>
            </w:r>
          </w:p>
        </w:tc>
      </w:tr>
      <w:tr w:rsidR="007B0411" w:rsidTr="005638D8">
        <w:tc>
          <w:tcPr>
            <w:tcW w:w="9463" w:type="dxa"/>
            <w:tcBorders>
              <w:top w:val="single" w:sz="4" w:space="0" w:color="auto"/>
              <w:left w:val="single" w:sz="4" w:space="0" w:color="auto"/>
              <w:bottom w:val="single" w:sz="4" w:space="0" w:color="auto"/>
              <w:right w:val="single" w:sz="4" w:space="0" w:color="auto"/>
            </w:tcBorders>
            <w:hideMark/>
          </w:tcPr>
          <w:p w:rsidR="007B0411" w:rsidRPr="00F01399" w:rsidRDefault="007B0411" w:rsidP="00715F05">
            <w:pPr>
              <w:rPr>
                <w:rFonts w:eastAsiaTheme="minorEastAsia"/>
                <w:sz w:val="22"/>
                <w:szCs w:val="22"/>
              </w:rPr>
            </w:pPr>
            <w:r w:rsidRPr="00F01399">
              <w:rPr>
                <w:sz w:val="22"/>
                <w:szCs w:val="22"/>
              </w:rPr>
              <w:t>Resolución 612</w:t>
            </w:r>
            <w:r w:rsidR="00715F05" w:rsidRPr="00F01399">
              <w:rPr>
                <w:sz w:val="22"/>
                <w:szCs w:val="22"/>
              </w:rPr>
              <w:t xml:space="preserve"> (radares oceanográficos)</w:t>
            </w:r>
            <w:r w:rsidRPr="00F01399">
              <w:rPr>
                <w:sz w:val="22"/>
                <w:szCs w:val="22"/>
              </w:rPr>
              <w:t>:</w:t>
            </w:r>
            <w:r w:rsidR="0000099A" w:rsidRPr="00F01399">
              <w:rPr>
                <w:sz w:val="22"/>
                <w:szCs w:val="22"/>
              </w:rPr>
              <w:t xml:space="preserve"> A</w:t>
            </w:r>
            <w:r w:rsidR="00715F05" w:rsidRPr="00F01399">
              <w:rPr>
                <w:sz w:val="22"/>
                <w:szCs w:val="22"/>
              </w:rPr>
              <w:t>utomatización del software para el examen de notificaciones de servicios terrenales.</w:t>
            </w:r>
          </w:p>
          <w:p w:rsidR="007B0411" w:rsidRPr="00F01399" w:rsidRDefault="007C41F4" w:rsidP="007B0411">
            <w:pPr>
              <w:rPr>
                <w:sz w:val="22"/>
                <w:szCs w:val="22"/>
              </w:rPr>
            </w:pPr>
            <w:r w:rsidRPr="00F01399">
              <w:rPr>
                <w:sz w:val="22"/>
                <w:szCs w:val="22"/>
              </w:rPr>
              <w:t>Situación</w:t>
            </w:r>
            <w:r w:rsidR="007B0411" w:rsidRPr="00F01399">
              <w:rPr>
                <w:sz w:val="22"/>
                <w:szCs w:val="22"/>
              </w:rPr>
              <w:t>:</w:t>
            </w:r>
            <w:r w:rsidRPr="00F01399">
              <w:rPr>
                <w:sz w:val="22"/>
                <w:szCs w:val="22"/>
              </w:rPr>
              <w:t xml:space="preserve"> Completa</w:t>
            </w:r>
          </w:p>
        </w:tc>
      </w:tr>
      <w:tr w:rsidR="007B0411" w:rsidTr="005638D8">
        <w:tc>
          <w:tcPr>
            <w:tcW w:w="9463" w:type="dxa"/>
            <w:tcBorders>
              <w:top w:val="single" w:sz="4" w:space="0" w:color="auto"/>
              <w:left w:val="single" w:sz="4" w:space="0" w:color="auto"/>
              <w:bottom w:val="single" w:sz="4" w:space="0" w:color="auto"/>
              <w:right w:val="single" w:sz="4" w:space="0" w:color="auto"/>
            </w:tcBorders>
            <w:hideMark/>
          </w:tcPr>
          <w:p w:rsidR="005079F5" w:rsidRPr="00F01399" w:rsidRDefault="007B0411" w:rsidP="005E1850">
            <w:pPr>
              <w:rPr>
                <w:sz w:val="22"/>
                <w:szCs w:val="22"/>
                <w:lang w:val="es-ES"/>
              </w:rPr>
            </w:pPr>
            <w:r w:rsidRPr="00F01399">
              <w:rPr>
                <w:sz w:val="22"/>
                <w:szCs w:val="22"/>
              </w:rPr>
              <w:t>Resolución 907:</w:t>
            </w:r>
            <w:r w:rsidR="0000099A" w:rsidRPr="00F01399">
              <w:rPr>
                <w:sz w:val="22"/>
                <w:szCs w:val="22"/>
                <w:lang w:val="es-ES"/>
              </w:rPr>
              <w:t xml:space="preserve"> C</w:t>
            </w:r>
            <w:r w:rsidRPr="00F01399">
              <w:rPr>
                <w:sz w:val="22"/>
                <w:szCs w:val="22"/>
                <w:lang w:val="es-ES"/>
              </w:rPr>
              <w:t xml:space="preserve">reación de una nueva aplicación [web] para que las administraciones puedan </w:t>
            </w:r>
            <w:r w:rsidR="003C1DD5" w:rsidRPr="00F01399">
              <w:rPr>
                <w:sz w:val="22"/>
                <w:szCs w:val="22"/>
                <w:lang w:val="es-ES"/>
              </w:rPr>
              <w:t xml:space="preserve">mantener (enviar y recibir) </w:t>
            </w:r>
            <w:r w:rsidRPr="00F01399">
              <w:rPr>
                <w:sz w:val="22"/>
                <w:szCs w:val="22"/>
                <w:lang w:val="es-ES"/>
              </w:rPr>
              <w:t xml:space="preserve">correspondencia </w:t>
            </w:r>
            <w:r w:rsidR="003C1DD5" w:rsidRPr="00F01399">
              <w:rPr>
                <w:sz w:val="22"/>
                <w:szCs w:val="22"/>
                <w:lang w:val="es-ES"/>
              </w:rPr>
              <w:t xml:space="preserve">con </w:t>
            </w:r>
            <w:r w:rsidRPr="00F01399">
              <w:rPr>
                <w:sz w:val="22"/>
                <w:szCs w:val="22"/>
                <w:lang w:val="es-ES"/>
              </w:rPr>
              <w:t>la BR</w:t>
            </w:r>
            <w:r w:rsidR="005E1850" w:rsidRPr="00F01399">
              <w:rPr>
                <w:sz w:val="22"/>
                <w:szCs w:val="22"/>
                <w:lang w:val="es-ES"/>
              </w:rPr>
              <w:t xml:space="preserve">, incluidas </w:t>
            </w:r>
            <w:r w:rsidR="003C1DD5" w:rsidRPr="00F01399">
              <w:rPr>
                <w:sz w:val="22"/>
                <w:szCs w:val="22"/>
                <w:lang w:val="es-ES"/>
              </w:rPr>
              <w:t>notificaciones de redes de satélite,</w:t>
            </w:r>
            <w:r w:rsidRPr="00F01399">
              <w:rPr>
                <w:sz w:val="22"/>
                <w:szCs w:val="22"/>
                <w:lang w:val="es-ES"/>
              </w:rPr>
              <w:t xml:space="preserve"> en un entorno seguro. </w:t>
            </w:r>
          </w:p>
          <w:p w:rsidR="007B0411" w:rsidRPr="00F01399" w:rsidRDefault="007C41F4" w:rsidP="005079F5">
            <w:pPr>
              <w:rPr>
                <w:rFonts w:ascii="Calibri" w:hAnsi="Calibri"/>
                <w:color w:val="1F497D"/>
                <w:sz w:val="22"/>
                <w:szCs w:val="22"/>
              </w:rPr>
            </w:pPr>
            <w:r w:rsidRPr="00F01399">
              <w:rPr>
                <w:sz w:val="22"/>
                <w:szCs w:val="22"/>
              </w:rPr>
              <w:t>Situación</w:t>
            </w:r>
            <w:r w:rsidR="007B0411" w:rsidRPr="00F01399">
              <w:rPr>
                <w:sz w:val="22"/>
                <w:szCs w:val="22"/>
              </w:rPr>
              <w:t xml:space="preserve">: </w:t>
            </w:r>
            <w:r w:rsidR="003C1DD5" w:rsidRPr="00F01399">
              <w:rPr>
                <w:sz w:val="22"/>
                <w:szCs w:val="22"/>
              </w:rPr>
              <w:t>En fase de diseño</w:t>
            </w:r>
          </w:p>
        </w:tc>
      </w:tr>
      <w:tr w:rsidR="007B0411" w:rsidRPr="007B0411" w:rsidTr="005638D8">
        <w:tc>
          <w:tcPr>
            <w:tcW w:w="9463" w:type="dxa"/>
            <w:tcBorders>
              <w:top w:val="single" w:sz="4" w:space="0" w:color="auto"/>
              <w:left w:val="single" w:sz="4" w:space="0" w:color="auto"/>
              <w:bottom w:val="single" w:sz="4" w:space="0" w:color="auto"/>
              <w:right w:val="single" w:sz="4" w:space="0" w:color="auto"/>
            </w:tcBorders>
            <w:hideMark/>
          </w:tcPr>
          <w:p w:rsidR="007B0411" w:rsidRPr="00F01399" w:rsidRDefault="00FE40BA" w:rsidP="00F01399">
            <w:pPr>
              <w:keepNext/>
              <w:keepLines/>
              <w:rPr>
                <w:rFonts w:eastAsiaTheme="minorEastAsia"/>
                <w:sz w:val="22"/>
                <w:szCs w:val="22"/>
              </w:rPr>
            </w:pPr>
            <w:r w:rsidRPr="00F01399">
              <w:rPr>
                <w:sz w:val="22"/>
                <w:szCs w:val="22"/>
              </w:rPr>
              <w:lastRenderedPageBreak/>
              <w:t>Resolución</w:t>
            </w:r>
            <w:r w:rsidR="007B0411" w:rsidRPr="00F01399">
              <w:rPr>
                <w:sz w:val="22"/>
                <w:szCs w:val="22"/>
              </w:rPr>
              <w:t xml:space="preserve"> 908: </w:t>
            </w:r>
            <w:r w:rsidR="0000099A" w:rsidRPr="00F01399">
              <w:rPr>
                <w:sz w:val="22"/>
                <w:szCs w:val="22"/>
                <w:lang w:val="es-ES"/>
              </w:rPr>
              <w:t>C</w:t>
            </w:r>
            <w:r w:rsidR="007A6EBB" w:rsidRPr="00F01399">
              <w:rPr>
                <w:sz w:val="22"/>
                <w:szCs w:val="22"/>
                <w:lang w:val="es-ES"/>
              </w:rPr>
              <w:t>reación de una nueva aplicación para que las administraciones puedan adquirir la información de publicación anticipada sujeta a coordinación con arreglo a la subsección 1B del Artículo 9, con miras a la publicación y gestión de las Secciones Especiales API.</w:t>
            </w:r>
          </w:p>
          <w:p w:rsidR="00572611" w:rsidRPr="00F01399" w:rsidRDefault="007C41F4" w:rsidP="00F01399">
            <w:pPr>
              <w:keepNext/>
              <w:keepLines/>
              <w:rPr>
                <w:rFonts w:ascii="Calibri" w:hAnsi="Calibri"/>
                <w:color w:val="1F497D"/>
                <w:sz w:val="22"/>
                <w:szCs w:val="22"/>
              </w:rPr>
            </w:pPr>
            <w:r w:rsidRPr="00F01399">
              <w:rPr>
                <w:sz w:val="22"/>
                <w:szCs w:val="22"/>
              </w:rPr>
              <w:t>Situación</w:t>
            </w:r>
            <w:r w:rsidR="007B0411" w:rsidRPr="00F01399">
              <w:rPr>
                <w:sz w:val="22"/>
                <w:szCs w:val="22"/>
              </w:rPr>
              <w:t xml:space="preserve">: </w:t>
            </w:r>
            <w:r w:rsidR="00572611" w:rsidRPr="00F01399">
              <w:rPr>
                <w:sz w:val="22"/>
                <w:szCs w:val="22"/>
              </w:rPr>
              <w:t>Publica</w:t>
            </w:r>
            <w:r w:rsidR="005E1850" w:rsidRPr="00F01399">
              <w:rPr>
                <w:sz w:val="22"/>
                <w:szCs w:val="22"/>
              </w:rPr>
              <w:t xml:space="preserve">ción de la aplicación SpaceWisc con miras a la realización de pruebas beta por las administraciones en </w:t>
            </w:r>
            <w:r w:rsidR="00AA0B93" w:rsidRPr="00F01399">
              <w:rPr>
                <w:sz w:val="22"/>
                <w:szCs w:val="22"/>
              </w:rPr>
              <w:t>abril de 2014</w:t>
            </w:r>
            <w:r w:rsidR="00E90113" w:rsidRPr="00F01399">
              <w:rPr>
                <w:sz w:val="22"/>
                <w:szCs w:val="22"/>
              </w:rPr>
              <w:t xml:space="preserve"> (CR/363)</w:t>
            </w:r>
            <w:r w:rsidR="005E1850" w:rsidRPr="00F01399">
              <w:rPr>
                <w:sz w:val="22"/>
                <w:szCs w:val="22"/>
              </w:rPr>
              <w:t>; publicación y gestión de las informaciones para la publicación anticipada (</w:t>
            </w:r>
            <w:r w:rsidR="007B0411" w:rsidRPr="00F01399">
              <w:rPr>
                <w:sz w:val="22"/>
                <w:szCs w:val="22"/>
              </w:rPr>
              <w:t>API</w:t>
            </w:r>
            <w:r w:rsidR="005E1850" w:rsidRPr="00F01399">
              <w:rPr>
                <w:sz w:val="22"/>
                <w:szCs w:val="22"/>
              </w:rPr>
              <w:t>)</w:t>
            </w:r>
            <w:r w:rsidR="00572611" w:rsidRPr="00F01399">
              <w:rPr>
                <w:sz w:val="22"/>
                <w:szCs w:val="22"/>
              </w:rPr>
              <w:t xml:space="preserve"> en curso</w:t>
            </w:r>
            <w:r w:rsidR="007B0411" w:rsidRPr="00F01399">
              <w:rPr>
                <w:sz w:val="22"/>
                <w:szCs w:val="22"/>
              </w:rPr>
              <w:t>.</w:t>
            </w:r>
            <w:r w:rsidR="00572611" w:rsidRPr="00F01399">
              <w:rPr>
                <w:rFonts w:ascii="Calibri" w:hAnsi="Calibri"/>
                <w:color w:val="1F497D"/>
                <w:sz w:val="22"/>
                <w:szCs w:val="22"/>
              </w:rPr>
              <w:t xml:space="preserve"> </w:t>
            </w:r>
          </w:p>
        </w:tc>
      </w:tr>
      <w:tr w:rsidR="007B0411" w:rsidTr="005638D8">
        <w:tc>
          <w:tcPr>
            <w:tcW w:w="9463" w:type="dxa"/>
            <w:tcBorders>
              <w:top w:val="single" w:sz="4" w:space="0" w:color="auto"/>
              <w:left w:val="single" w:sz="4" w:space="0" w:color="auto"/>
              <w:bottom w:val="single" w:sz="4" w:space="0" w:color="auto"/>
              <w:right w:val="single" w:sz="4" w:space="0" w:color="auto"/>
            </w:tcBorders>
            <w:hideMark/>
          </w:tcPr>
          <w:p w:rsidR="007B0411" w:rsidRPr="00F01399" w:rsidRDefault="00BA0A3B" w:rsidP="00886232">
            <w:pPr>
              <w:rPr>
                <w:sz w:val="22"/>
                <w:szCs w:val="22"/>
              </w:rPr>
            </w:pPr>
            <w:r w:rsidRPr="00F01399">
              <w:rPr>
                <w:sz w:val="22"/>
                <w:szCs w:val="22"/>
              </w:rPr>
              <w:t xml:space="preserve">Armonización de la parte terrenal del Registro con la base de datos de la OACI: </w:t>
            </w:r>
            <w:r w:rsidR="00886232">
              <w:rPr>
                <w:sz w:val="22"/>
                <w:szCs w:val="22"/>
              </w:rPr>
              <w:t>L</w:t>
            </w:r>
            <w:r w:rsidRPr="00F01399">
              <w:rPr>
                <w:sz w:val="22"/>
                <w:szCs w:val="22"/>
              </w:rPr>
              <w:t>a Oficina comenzó a estudiar y elaborar las herramientas de software adecuadas para que las Administraciones puedan armonizar sus datos en el Registro con los datos pertinentes de la base de datos de la OACI.</w:t>
            </w:r>
          </w:p>
          <w:p w:rsidR="007B0411" w:rsidRPr="00F01399" w:rsidRDefault="007C41F4" w:rsidP="007B0411">
            <w:pPr>
              <w:rPr>
                <w:sz w:val="22"/>
                <w:szCs w:val="22"/>
              </w:rPr>
            </w:pPr>
            <w:r w:rsidRPr="00F01399">
              <w:rPr>
                <w:sz w:val="22"/>
                <w:szCs w:val="22"/>
              </w:rPr>
              <w:t>Situación</w:t>
            </w:r>
            <w:r w:rsidR="007B0411" w:rsidRPr="00F01399">
              <w:rPr>
                <w:sz w:val="22"/>
                <w:szCs w:val="22"/>
              </w:rPr>
              <w:t>:</w:t>
            </w:r>
            <w:r w:rsidR="007F59EB" w:rsidRPr="00F01399">
              <w:rPr>
                <w:sz w:val="22"/>
                <w:szCs w:val="22"/>
              </w:rPr>
              <w:t xml:space="preserve"> En curso</w:t>
            </w:r>
            <w:r w:rsidR="007B0411" w:rsidRPr="00F01399">
              <w:rPr>
                <w:sz w:val="22"/>
                <w:szCs w:val="22"/>
              </w:rPr>
              <w:t>.</w:t>
            </w:r>
          </w:p>
        </w:tc>
      </w:tr>
    </w:tbl>
    <w:p w:rsidR="007B0411" w:rsidRPr="007073E1" w:rsidRDefault="007B0411" w:rsidP="00F01399">
      <w:pPr>
        <w:pStyle w:val="Heading3"/>
        <w:rPr>
          <w:lang w:val="es-ES"/>
        </w:rPr>
      </w:pPr>
      <w:r w:rsidRPr="007073E1">
        <w:rPr>
          <w:lang w:val="es-ES"/>
        </w:rPr>
        <w:t>3.2.2</w:t>
      </w:r>
      <w:r w:rsidRPr="007073E1">
        <w:rPr>
          <w:lang w:val="es-ES"/>
        </w:rPr>
        <w:tab/>
        <w:t>Medidas generales para aplicar decisiones de la Conferencia</w:t>
      </w:r>
    </w:p>
    <w:p w:rsidR="007B0411" w:rsidRDefault="007B0411" w:rsidP="00882177">
      <w:pPr>
        <w:rPr>
          <w:lang w:val="es-ES"/>
        </w:rPr>
      </w:pPr>
      <w:r w:rsidRPr="007073E1">
        <w:rPr>
          <w:lang w:val="es-ES"/>
        </w:rPr>
        <w:t xml:space="preserve">Las </w:t>
      </w:r>
      <w:hyperlink r:id="rId23" w:history="1">
        <w:r w:rsidR="00882177">
          <w:rPr>
            <w:rStyle w:val="Hyperlink"/>
          </w:rPr>
          <w:t xml:space="preserve">siguientes Cartas Circulares de la </w:t>
        </w:r>
        <w:r w:rsidR="00882177" w:rsidRPr="00882177">
          <w:rPr>
            <w:rStyle w:val="Hyperlink"/>
          </w:rPr>
          <w:t>BR</w:t>
        </w:r>
      </w:hyperlink>
      <w:r w:rsidR="00882177" w:rsidRPr="00882177">
        <w:t xml:space="preserve"> </w:t>
      </w:r>
      <w:r w:rsidRPr="007073E1">
        <w:rPr>
          <w:lang w:val="es-ES"/>
        </w:rPr>
        <w:t>contienen información sobre las medidas destinadas a aplicar las decisiones de la CMR-12:</w:t>
      </w:r>
    </w:p>
    <w:p w:rsidR="00312024" w:rsidRPr="007073E1" w:rsidRDefault="00312024" w:rsidP="007B0411">
      <w:pPr>
        <w:rPr>
          <w:lang w:val="es-ES"/>
        </w:rPr>
      </w:pPr>
    </w:p>
    <w:tbl>
      <w:tblPr>
        <w:tblW w:w="9355" w:type="dxa"/>
        <w:tblInd w:w="392" w:type="dxa"/>
        <w:tblBorders>
          <w:top w:val="nil"/>
          <w:left w:val="nil"/>
          <w:right w:val="nil"/>
        </w:tblBorders>
        <w:tblLayout w:type="fixed"/>
        <w:tblLook w:val="0000" w:firstRow="0" w:lastRow="0" w:firstColumn="0" w:lastColumn="0" w:noHBand="0" w:noVBand="0"/>
      </w:tblPr>
      <w:tblGrid>
        <w:gridCol w:w="1559"/>
        <w:gridCol w:w="1418"/>
        <w:gridCol w:w="6378"/>
      </w:tblGrid>
      <w:tr w:rsidR="00312024" w:rsidRPr="007073E1" w:rsidTr="005638D8">
        <w:tc>
          <w:tcPr>
            <w:tcW w:w="1559" w:type="dxa"/>
            <w:tcBorders>
              <w:top w:val="single" w:sz="8" w:space="0" w:color="000000"/>
              <w:left w:val="single" w:sz="8" w:space="0" w:color="000000"/>
              <w:bottom w:val="single" w:sz="8" w:space="0" w:color="000000"/>
              <w:right w:val="single" w:sz="8" w:space="0" w:color="000000"/>
            </w:tcBorders>
            <w:tcMar>
              <w:top w:w="140" w:type="nil"/>
              <w:right w:w="140" w:type="nil"/>
            </w:tcMar>
          </w:tcPr>
          <w:p w:rsidR="00312024" w:rsidRPr="007073E1" w:rsidRDefault="00312024" w:rsidP="005638D8">
            <w:pPr>
              <w:pStyle w:val="Tablehead"/>
              <w:rPr>
                <w:lang w:val="es-ES"/>
              </w:rPr>
            </w:pPr>
            <w:r w:rsidRPr="007073E1">
              <w:rPr>
                <w:lang w:val="es-ES"/>
              </w:rPr>
              <w:t>Circular</w:t>
            </w:r>
            <w:r w:rsidRPr="007073E1">
              <w:rPr>
                <w:lang w:val="es-ES"/>
              </w:rPr>
              <w:br/>
              <w:t>de la BR</w:t>
            </w:r>
          </w:p>
        </w:tc>
        <w:tc>
          <w:tcPr>
            <w:tcW w:w="1418" w:type="dxa"/>
            <w:tcBorders>
              <w:top w:val="single" w:sz="8" w:space="0" w:color="000000"/>
              <w:bottom w:val="single" w:sz="8" w:space="0" w:color="000000"/>
              <w:right w:val="single" w:sz="8" w:space="0" w:color="000000"/>
            </w:tcBorders>
            <w:tcMar>
              <w:top w:w="140" w:type="nil"/>
              <w:right w:w="140" w:type="nil"/>
            </w:tcMar>
          </w:tcPr>
          <w:p w:rsidR="00312024" w:rsidRPr="007073E1" w:rsidRDefault="00312024" w:rsidP="005638D8">
            <w:pPr>
              <w:pStyle w:val="Tablehead"/>
              <w:rPr>
                <w:lang w:val="es-ES"/>
              </w:rPr>
            </w:pPr>
            <w:r>
              <w:rPr>
                <w:lang w:val="es-ES"/>
              </w:rPr>
              <w:t>Fecha</w:t>
            </w:r>
          </w:p>
        </w:tc>
        <w:tc>
          <w:tcPr>
            <w:tcW w:w="6378" w:type="dxa"/>
            <w:tcBorders>
              <w:top w:val="single" w:sz="8" w:space="0" w:color="000000"/>
              <w:bottom w:val="single" w:sz="8" w:space="0" w:color="000000"/>
              <w:right w:val="single" w:sz="8" w:space="0" w:color="000000"/>
            </w:tcBorders>
            <w:tcMar>
              <w:top w:w="140" w:type="nil"/>
              <w:right w:w="140" w:type="nil"/>
            </w:tcMar>
          </w:tcPr>
          <w:p w:rsidR="00312024" w:rsidRPr="007073E1" w:rsidRDefault="00312024" w:rsidP="005638D8">
            <w:pPr>
              <w:pStyle w:val="Tablehead"/>
              <w:rPr>
                <w:lang w:val="es-ES"/>
              </w:rPr>
            </w:pPr>
            <w:r w:rsidRPr="007073E1">
              <w:rPr>
                <w:lang w:val="es-ES"/>
              </w:rPr>
              <w:t>Asunto</w:t>
            </w:r>
          </w:p>
        </w:tc>
      </w:tr>
      <w:tr w:rsidR="00312024" w:rsidRPr="00312024" w:rsidTr="005638D8">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312024" w:rsidRDefault="001D3EC1" w:rsidP="005638D8">
            <w:pPr>
              <w:pStyle w:val="Tabletext"/>
            </w:pPr>
            <w:hyperlink r:id="rId24" w:history="1">
              <w:r w:rsidR="00312024">
                <w:rPr>
                  <w:rStyle w:val="Hyperlink"/>
                </w:rPr>
                <w:t>CR/345</w:t>
              </w:r>
            </w:hyperlink>
          </w:p>
        </w:tc>
        <w:tc>
          <w:tcPr>
            <w:tcW w:w="1418" w:type="dxa"/>
            <w:tcBorders>
              <w:bottom w:val="single" w:sz="8" w:space="0" w:color="000000"/>
              <w:right w:val="single" w:sz="8" w:space="0" w:color="000000"/>
            </w:tcBorders>
            <w:tcMar>
              <w:top w:w="140" w:type="nil"/>
              <w:right w:w="140" w:type="nil"/>
            </w:tcMar>
          </w:tcPr>
          <w:p w:rsidR="00312024" w:rsidRPr="00F01399" w:rsidRDefault="00312024" w:rsidP="005638D8">
            <w:pPr>
              <w:pStyle w:val="Tabletext"/>
              <w:rPr>
                <w:szCs w:val="22"/>
                <w:lang w:val="en-US"/>
              </w:rPr>
            </w:pPr>
            <w:r w:rsidRPr="00F01399">
              <w:rPr>
                <w:szCs w:val="22"/>
                <w:lang w:val="en-US"/>
              </w:rPr>
              <w:t>10.04.2013</w:t>
            </w:r>
          </w:p>
        </w:tc>
        <w:tc>
          <w:tcPr>
            <w:tcW w:w="6378" w:type="dxa"/>
            <w:tcBorders>
              <w:bottom w:val="single" w:sz="8" w:space="0" w:color="000000"/>
              <w:right w:val="single" w:sz="8" w:space="0" w:color="000000"/>
            </w:tcBorders>
            <w:tcMar>
              <w:top w:w="140" w:type="nil"/>
              <w:right w:w="140" w:type="nil"/>
            </w:tcMar>
          </w:tcPr>
          <w:p w:rsidR="00312024" w:rsidRPr="00F01399" w:rsidRDefault="00312024" w:rsidP="00886232">
            <w:pPr>
              <w:pStyle w:val="Tabletext"/>
              <w:rPr>
                <w:rFonts w:asciiTheme="majorBidi" w:hAnsiTheme="majorBidi" w:cstheme="majorBidi"/>
                <w:szCs w:val="22"/>
              </w:rPr>
            </w:pPr>
            <w:r w:rsidRPr="00F01399">
              <w:rPr>
                <w:szCs w:val="22"/>
              </w:rPr>
              <w:t xml:space="preserve">Aplicación de la Resolución 150 (CMR-12) </w:t>
            </w:r>
            <w:r w:rsidR="00886232">
              <w:rPr>
                <w:szCs w:val="22"/>
              </w:rPr>
              <w:t>–</w:t>
            </w:r>
            <w:r w:rsidRPr="00F01399">
              <w:rPr>
                <w:szCs w:val="22"/>
              </w:rPr>
              <w:t xml:space="preserve"> Elementos de datos para la notificación y el examen de asignaciones de frecuencias a enlaces de pasarela HAPS que funcionan en las bandas 6</w:t>
            </w:r>
            <w:r w:rsidR="007E3591">
              <w:rPr>
                <w:szCs w:val="22"/>
              </w:rPr>
              <w:t> </w:t>
            </w:r>
            <w:r w:rsidRPr="00F01399">
              <w:rPr>
                <w:szCs w:val="22"/>
              </w:rPr>
              <w:t>440</w:t>
            </w:r>
            <w:r w:rsidR="007E3591">
              <w:rPr>
                <w:szCs w:val="22"/>
              </w:rPr>
              <w:noBreakHyphen/>
            </w:r>
            <w:r w:rsidRPr="00F01399">
              <w:rPr>
                <w:szCs w:val="22"/>
              </w:rPr>
              <w:t>6</w:t>
            </w:r>
            <w:r w:rsidR="007E3591">
              <w:rPr>
                <w:szCs w:val="22"/>
              </w:rPr>
              <w:t> </w:t>
            </w:r>
            <w:r w:rsidRPr="00F01399">
              <w:rPr>
                <w:szCs w:val="22"/>
              </w:rPr>
              <w:t>520</w:t>
            </w:r>
            <w:r w:rsidR="007E3591">
              <w:rPr>
                <w:szCs w:val="22"/>
              </w:rPr>
              <w:t> </w:t>
            </w:r>
            <w:r w:rsidRPr="00F01399">
              <w:rPr>
                <w:szCs w:val="22"/>
              </w:rPr>
              <w:t>MHz y 6 560-6 640 MHz</w:t>
            </w:r>
          </w:p>
        </w:tc>
      </w:tr>
    </w:tbl>
    <w:p w:rsidR="00B54B3E" w:rsidRPr="00B54B3E" w:rsidRDefault="00B54B3E" w:rsidP="00886232">
      <w:pPr>
        <w:rPr>
          <w:lang w:val="es-ES" w:eastAsia="zh-CN"/>
        </w:rPr>
      </w:pPr>
      <w:r>
        <w:rPr>
          <w:lang w:val="es-ES" w:eastAsia="zh-CN"/>
        </w:rPr>
        <w:t>Sobre la base del análisis</w:t>
      </w:r>
      <w:r w:rsidR="002F7148">
        <w:rPr>
          <w:lang w:val="es-ES" w:eastAsia="zh-CN"/>
        </w:rPr>
        <w:t>, realizado por la Oficina,</w:t>
      </w:r>
      <w:r>
        <w:rPr>
          <w:lang w:val="es-ES" w:eastAsia="zh-CN"/>
        </w:rPr>
        <w:t xml:space="preserve"> de</w:t>
      </w:r>
      <w:r w:rsidRPr="00B54B3E">
        <w:rPr>
          <w:lang w:val="es-ES" w:eastAsia="zh-CN"/>
        </w:rPr>
        <w:t xml:space="preserve"> las decisiones de la CMR-12 y su incidencia en las Reglas de Procedimiento </w:t>
      </w:r>
      <w:r>
        <w:rPr>
          <w:lang w:val="es-ES" w:eastAsia="zh-CN"/>
        </w:rPr>
        <w:t xml:space="preserve">vigentes, </w:t>
      </w:r>
      <w:r w:rsidRPr="00B54B3E">
        <w:rPr>
          <w:lang w:val="es-ES" w:eastAsia="zh-CN"/>
        </w:rPr>
        <w:t>la Junta del Reglamento de Radiocomunicaciones (RRB)</w:t>
      </w:r>
      <w:r>
        <w:rPr>
          <w:lang w:val="es-ES" w:eastAsia="zh-CN"/>
        </w:rPr>
        <w:t>, c</w:t>
      </w:r>
      <w:r w:rsidRPr="00B54B3E">
        <w:rPr>
          <w:lang w:val="es-ES" w:eastAsia="zh-CN"/>
        </w:rPr>
        <w:t xml:space="preserve">on arreglo a las disposiciones de los números 13.12 y 13.14 del Reglamento de Radiocomunicaciones, </w:t>
      </w:r>
      <w:r>
        <w:rPr>
          <w:lang w:val="es-ES" w:eastAsia="zh-CN"/>
        </w:rPr>
        <w:t xml:space="preserve">prosiguió la adopción de </w:t>
      </w:r>
      <w:r w:rsidRPr="00B54B3E">
        <w:rPr>
          <w:lang w:val="es-ES" w:eastAsia="zh-CN"/>
        </w:rPr>
        <w:t xml:space="preserve">Reglas de Procedimiento nuevas </w:t>
      </w:r>
      <w:r>
        <w:rPr>
          <w:lang w:val="es-ES" w:eastAsia="zh-CN"/>
        </w:rPr>
        <w:t>y revisadas. Fueron publicadas las actualizaciones introducidas en la edición 2012, que incorpora todas las revisiones hasta la fecha y contiene las Regla</w:t>
      </w:r>
      <w:r w:rsidR="00DB2519">
        <w:rPr>
          <w:lang w:val="es-ES" w:eastAsia="zh-CN"/>
        </w:rPr>
        <w:t>s</w:t>
      </w:r>
      <w:r>
        <w:rPr>
          <w:lang w:val="es-ES" w:eastAsia="zh-CN"/>
        </w:rPr>
        <w:t xml:space="preserve"> aprobadas que se enumeran en los </w:t>
      </w:r>
      <w:r w:rsidR="00886232">
        <w:rPr>
          <w:lang w:val="es-ES" w:eastAsia="zh-CN"/>
        </w:rPr>
        <w:t>a</w:t>
      </w:r>
      <w:r>
        <w:rPr>
          <w:lang w:val="es-ES" w:eastAsia="zh-CN"/>
        </w:rPr>
        <w:t>nexo</w:t>
      </w:r>
      <w:r w:rsidR="00DB2519">
        <w:rPr>
          <w:lang w:val="es-ES" w:eastAsia="zh-CN"/>
        </w:rPr>
        <w:t>s</w:t>
      </w:r>
      <w:r>
        <w:rPr>
          <w:lang w:val="es-ES" w:eastAsia="zh-CN"/>
        </w:rPr>
        <w:t xml:space="preserve"> a la </w:t>
      </w:r>
      <w:r w:rsidRPr="00B54B3E">
        <w:rPr>
          <w:lang w:val="es-ES" w:eastAsia="zh-CN"/>
        </w:rPr>
        <w:t>Carta Circular</w:t>
      </w:r>
      <w:r w:rsidR="002F7148">
        <w:rPr>
          <w:lang w:val="es-ES" w:eastAsia="zh-CN"/>
        </w:rPr>
        <w:t xml:space="preserve"> </w:t>
      </w:r>
      <w:hyperlink r:id="rId25" w:history="1">
        <w:r w:rsidR="007E3591" w:rsidRPr="007E3591">
          <w:rPr>
            <w:rStyle w:val="Hyperlink"/>
            <w:rFonts w:asciiTheme="majorBidi" w:hAnsiTheme="majorBidi" w:cstheme="majorBidi"/>
            <w:szCs w:val="24"/>
            <w:lang w:eastAsia="zh-CN"/>
          </w:rPr>
          <w:t>CR/355</w:t>
        </w:r>
      </w:hyperlink>
      <w:r w:rsidR="002F7148" w:rsidRPr="002F7148">
        <w:rPr>
          <w:lang w:eastAsia="zh-CN"/>
        </w:rPr>
        <w:t xml:space="preserve"> </w:t>
      </w:r>
      <w:r w:rsidRPr="00B54B3E">
        <w:rPr>
          <w:lang w:val="es-ES" w:eastAsia="zh-CN"/>
        </w:rPr>
        <w:t>de</w:t>
      </w:r>
      <w:r>
        <w:rPr>
          <w:lang w:val="es-ES" w:eastAsia="zh-CN"/>
        </w:rPr>
        <w:t>l 13 de enero de 2014</w:t>
      </w:r>
      <w:r w:rsidRPr="00B54B3E">
        <w:rPr>
          <w:lang w:val="es-ES" w:eastAsia="zh-CN"/>
        </w:rPr>
        <w:t xml:space="preserve">. </w:t>
      </w:r>
    </w:p>
    <w:p w:rsidR="00312024" w:rsidRPr="007073E1" w:rsidRDefault="00312024" w:rsidP="007E3591">
      <w:pPr>
        <w:pStyle w:val="Heading1"/>
        <w:rPr>
          <w:lang w:val="es-ES"/>
        </w:rPr>
      </w:pPr>
      <w:r w:rsidRPr="007073E1">
        <w:rPr>
          <w:rFonts w:eastAsia="SimSun"/>
          <w:lang w:val="es-ES" w:eastAsia="zh-CN"/>
        </w:rPr>
        <w:t>4</w:t>
      </w:r>
      <w:r w:rsidRPr="007073E1">
        <w:rPr>
          <w:rFonts w:eastAsia="SimSun"/>
          <w:lang w:val="es-ES" w:eastAsia="zh-CN"/>
        </w:rPr>
        <w:tab/>
        <w:t>Actividades de las Comisiones de Estudio</w:t>
      </w:r>
    </w:p>
    <w:p w:rsidR="00312024" w:rsidRPr="007073E1" w:rsidRDefault="00312024" w:rsidP="007E3591">
      <w:pPr>
        <w:rPr>
          <w:lang w:val="es-ES"/>
        </w:rPr>
      </w:pPr>
      <w:r w:rsidRPr="007073E1">
        <w:rPr>
          <w:lang w:val="es-ES"/>
        </w:rPr>
        <w:t>Est</w:t>
      </w:r>
      <w:r w:rsidR="000E1ED9">
        <w:rPr>
          <w:lang w:val="es-ES"/>
        </w:rPr>
        <w:t xml:space="preserve">a cuestión se contempla </w:t>
      </w:r>
      <w:r w:rsidRPr="007073E1">
        <w:rPr>
          <w:lang w:val="es-ES"/>
        </w:rPr>
        <w:t xml:space="preserve">en un </w:t>
      </w:r>
      <w:r>
        <w:rPr>
          <w:lang w:val="es-ES"/>
        </w:rPr>
        <w:t>a</w:t>
      </w:r>
      <w:r w:rsidRPr="007073E1">
        <w:rPr>
          <w:lang w:val="es-ES"/>
        </w:rPr>
        <w:t>ddéndum al presente documento.</w:t>
      </w:r>
    </w:p>
    <w:p w:rsidR="00312024" w:rsidRPr="007073E1" w:rsidRDefault="00312024" w:rsidP="007E3591">
      <w:pPr>
        <w:pStyle w:val="Heading1"/>
        <w:rPr>
          <w:rFonts w:eastAsiaTheme="minorEastAsia"/>
          <w:lang w:val="es-ES"/>
        </w:rPr>
      </w:pPr>
      <w:r>
        <w:rPr>
          <w:rFonts w:eastAsiaTheme="minorEastAsia"/>
          <w:lang w:val="es-ES"/>
        </w:rPr>
        <w:t>5</w:t>
      </w:r>
      <w:r w:rsidRPr="007073E1">
        <w:rPr>
          <w:rFonts w:eastAsiaTheme="minorEastAsia"/>
          <w:lang w:val="es-ES"/>
        </w:rPr>
        <w:tab/>
        <w:t xml:space="preserve">Resultados de la </w:t>
      </w:r>
      <w:r>
        <w:rPr>
          <w:rFonts w:eastAsiaTheme="minorEastAsia"/>
          <w:lang w:val="es-ES"/>
        </w:rPr>
        <w:t>CMDT</w:t>
      </w:r>
      <w:r w:rsidRPr="007073E1">
        <w:rPr>
          <w:rFonts w:eastAsiaTheme="minorEastAsia"/>
          <w:lang w:val="es-ES"/>
        </w:rPr>
        <w:t>-1</w:t>
      </w:r>
      <w:r>
        <w:rPr>
          <w:rFonts w:eastAsiaTheme="minorEastAsia"/>
          <w:lang w:val="es-ES"/>
        </w:rPr>
        <w:t>4</w:t>
      </w:r>
      <w:r w:rsidRPr="007073E1">
        <w:rPr>
          <w:rFonts w:eastAsiaTheme="minorEastAsia"/>
          <w:lang w:val="es-ES"/>
        </w:rPr>
        <w:t xml:space="preserve"> que </w:t>
      </w:r>
      <w:r w:rsidR="00D66621">
        <w:rPr>
          <w:rFonts w:eastAsiaTheme="minorEastAsia"/>
          <w:lang w:val="es-ES"/>
        </w:rPr>
        <w:t>interesan</w:t>
      </w:r>
      <w:r w:rsidRPr="007073E1">
        <w:rPr>
          <w:rFonts w:eastAsiaTheme="minorEastAsia"/>
          <w:lang w:val="es-ES"/>
        </w:rPr>
        <w:t xml:space="preserve"> directamente al UIT-R</w:t>
      </w:r>
    </w:p>
    <w:p w:rsidR="00D66621" w:rsidRPr="00D66621" w:rsidRDefault="00D66621" w:rsidP="007E3591">
      <w:pPr>
        <w:rPr>
          <w:rFonts w:eastAsiaTheme="minorEastAsia"/>
          <w:lang w:eastAsia="zh-CN"/>
        </w:rPr>
      </w:pPr>
      <w:r w:rsidRPr="00D66621">
        <w:rPr>
          <w:rFonts w:eastAsiaTheme="minorEastAsia"/>
          <w:lang w:val="es-ES" w:eastAsia="zh-CN"/>
        </w:rPr>
        <w:t xml:space="preserve">La </w:t>
      </w:r>
      <w:r w:rsidRPr="00D66621">
        <w:rPr>
          <w:rFonts w:eastAsiaTheme="minorEastAsia"/>
          <w:lang w:eastAsia="zh-CN"/>
        </w:rPr>
        <w:t>Conferencia Mundial de Desarrollo de las Telecomunicaciones de 2014 (CMDT-14) se celebró en Dubái</w:t>
      </w:r>
      <w:r>
        <w:rPr>
          <w:rFonts w:eastAsiaTheme="minorEastAsia"/>
          <w:lang w:eastAsia="zh-CN"/>
        </w:rPr>
        <w:t xml:space="preserve"> (</w:t>
      </w:r>
      <w:r w:rsidRPr="00D66621">
        <w:rPr>
          <w:rFonts w:eastAsiaTheme="minorEastAsia"/>
          <w:lang w:eastAsia="zh-CN"/>
        </w:rPr>
        <w:t>Emiratos Árabes Unidos</w:t>
      </w:r>
      <w:r>
        <w:rPr>
          <w:rFonts w:eastAsiaTheme="minorEastAsia"/>
          <w:lang w:eastAsia="zh-CN"/>
        </w:rPr>
        <w:t>)</w:t>
      </w:r>
      <w:r w:rsidRPr="00D66621">
        <w:rPr>
          <w:rFonts w:eastAsiaTheme="minorEastAsia"/>
          <w:lang w:eastAsia="zh-CN"/>
        </w:rPr>
        <w:t>, del 30 de marzo al 10 de abril de 2014</w:t>
      </w:r>
      <w:r>
        <w:rPr>
          <w:rFonts w:eastAsiaTheme="minorEastAsia"/>
          <w:lang w:eastAsia="zh-CN"/>
        </w:rPr>
        <w:t xml:space="preserve">. La BR participó activamente en ella, </w:t>
      </w:r>
      <w:r w:rsidR="00A2159A">
        <w:rPr>
          <w:rFonts w:eastAsiaTheme="minorEastAsia"/>
          <w:lang w:eastAsia="zh-CN"/>
        </w:rPr>
        <w:t xml:space="preserve">siguiendo los </w:t>
      </w:r>
      <w:r w:rsidRPr="00D66621">
        <w:rPr>
          <w:rFonts w:eastAsiaTheme="minorEastAsia"/>
          <w:lang w:eastAsia="zh-CN"/>
        </w:rPr>
        <w:t xml:space="preserve">debates y </w:t>
      </w:r>
      <w:r w:rsidR="00816230">
        <w:rPr>
          <w:rFonts w:eastAsiaTheme="minorEastAsia"/>
          <w:lang w:eastAsia="zh-CN"/>
        </w:rPr>
        <w:t>aportando</w:t>
      </w:r>
      <w:r w:rsidR="00A2159A">
        <w:rPr>
          <w:rFonts w:eastAsiaTheme="minorEastAsia"/>
          <w:lang w:eastAsia="zh-CN"/>
        </w:rPr>
        <w:t xml:space="preserve"> </w:t>
      </w:r>
      <w:r w:rsidRPr="00D66621">
        <w:rPr>
          <w:rFonts w:eastAsiaTheme="minorEastAsia"/>
          <w:lang w:eastAsia="zh-CN"/>
        </w:rPr>
        <w:t>contribu</w:t>
      </w:r>
      <w:r w:rsidR="00A2159A">
        <w:rPr>
          <w:rFonts w:eastAsiaTheme="minorEastAsia"/>
          <w:lang w:eastAsia="zh-CN"/>
        </w:rPr>
        <w:t xml:space="preserve">ciones a </w:t>
      </w:r>
      <w:r w:rsidRPr="00D66621">
        <w:rPr>
          <w:rFonts w:eastAsiaTheme="minorEastAsia"/>
          <w:lang w:eastAsia="zh-CN"/>
        </w:rPr>
        <w:t xml:space="preserve">los </w:t>
      </w:r>
      <w:r w:rsidR="00816230">
        <w:rPr>
          <w:rFonts w:eastAsiaTheme="minorEastAsia"/>
          <w:lang w:eastAsia="zh-CN"/>
        </w:rPr>
        <w:t xml:space="preserve">productos de su interés. </w:t>
      </w:r>
      <w:r w:rsidRPr="00D66621">
        <w:rPr>
          <w:rFonts w:eastAsiaTheme="minorEastAsia"/>
          <w:lang w:eastAsia="zh-CN"/>
        </w:rPr>
        <w:t>A este r</w:t>
      </w:r>
      <w:r w:rsidR="00A2159A">
        <w:rPr>
          <w:rFonts w:eastAsiaTheme="minorEastAsia"/>
          <w:lang w:eastAsia="zh-CN"/>
        </w:rPr>
        <w:t>especto, cabe señalar que, de la</w:t>
      </w:r>
      <w:r w:rsidRPr="00D66621">
        <w:rPr>
          <w:rFonts w:eastAsiaTheme="minorEastAsia"/>
          <w:lang w:eastAsia="zh-CN"/>
        </w:rPr>
        <w:t xml:space="preserve">s casi 200 contribuciones presentadas </w:t>
      </w:r>
      <w:r w:rsidR="00A2159A">
        <w:rPr>
          <w:rFonts w:eastAsiaTheme="minorEastAsia"/>
          <w:lang w:eastAsia="zh-CN"/>
        </w:rPr>
        <w:t>en l</w:t>
      </w:r>
      <w:r w:rsidRPr="00D66621">
        <w:rPr>
          <w:rFonts w:eastAsiaTheme="minorEastAsia"/>
          <w:lang w:eastAsia="zh-CN"/>
        </w:rPr>
        <w:t>a CMDT</w:t>
      </w:r>
      <w:r w:rsidR="00816230">
        <w:rPr>
          <w:rFonts w:eastAsiaTheme="minorEastAsia"/>
          <w:lang w:eastAsia="zh-CN"/>
        </w:rPr>
        <w:t>-14</w:t>
      </w:r>
      <w:r w:rsidR="00A2159A">
        <w:rPr>
          <w:rFonts w:eastAsiaTheme="minorEastAsia"/>
          <w:lang w:eastAsia="zh-CN"/>
        </w:rPr>
        <w:t xml:space="preserve">, prácticamente el 25% de ellas guardaba cierta </w:t>
      </w:r>
      <w:r w:rsidRPr="00D66621">
        <w:rPr>
          <w:rFonts w:eastAsiaTheme="minorEastAsia"/>
          <w:lang w:eastAsia="zh-CN"/>
        </w:rPr>
        <w:t xml:space="preserve">relación con </w:t>
      </w:r>
      <w:r w:rsidR="00A2159A">
        <w:rPr>
          <w:rFonts w:eastAsiaTheme="minorEastAsia"/>
          <w:lang w:eastAsia="zh-CN"/>
        </w:rPr>
        <w:t>las actividades d</w:t>
      </w:r>
      <w:r w:rsidRPr="00D66621">
        <w:rPr>
          <w:rFonts w:eastAsiaTheme="minorEastAsia"/>
          <w:lang w:eastAsia="zh-CN"/>
        </w:rPr>
        <w:t>el UIT-R, y</w:t>
      </w:r>
      <w:r w:rsidR="00A2159A">
        <w:rPr>
          <w:rFonts w:eastAsiaTheme="minorEastAsia"/>
          <w:lang w:eastAsia="zh-CN"/>
        </w:rPr>
        <w:t xml:space="preserve"> </w:t>
      </w:r>
      <w:r w:rsidR="00816230">
        <w:rPr>
          <w:rFonts w:eastAsiaTheme="minorEastAsia"/>
          <w:lang w:eastAsia="zh-CN"/>
        </w:rPr>
        <w:t xml:space="preserve">casi el </w:t>
      </w:r>
      <w:r w:rsidRPr="00D66621">
        <w:rPr>
          <w:rFonts w:eastAsiaTheme="minorEastAsia"/>
          <w:lang w:eastAsia="zh-CN"/>
        </w:rPr>
        <w:t>25%</w:t>
      </w:r>
      <w:r w:rsidR="00A2159A">
        <w:rPr>
          <w:rFonts w:eastAsiaTheme="minorEastAsia"/>
          <w:lang w:eastAsia="zh-CN"/>
        </w:rPr>
        <w:t xml:space="preserve">, una relación </w:t>
      </w:r>
      <w:r w:rsidRPr="00D66621">
        <w:rPr>
          <w:rFonts w:eastAsiaTheme="minorEastAsia"/>
          <w:lang w:eastAsia="zh-CN"/>
        </w:rPr>
        <w:t xml:space="preserve">indirecta. Los principales temas </w:t>
      </w:r>
      <w:r w:rsidR="00A2159A">
        <w:rPr>
          <w:rFonts w:eastAsiaTheme="minorEastAsia"/>
          <w:lang w:eastAsia="zh-CN"/>
        </w:rPr>
        <w:t xml:space="preserve">en </w:t>
      </w:r>
      <w:r w:rsidRPr="00D66621">
        <w:rPr>
          <w:rFonts w:eastAsiaTheme="minorEastAsia"/>
          <w:lang w:eastAsia="zh-CN"/>
        </w:rPr>
        <w:t>examen e</w:t>
      </w:r>
      <w:r w:rsidR="00A2159A">
        <w:rPr>
          <w:rFonts w:eastAsiaTheme="minorEastAsia"/>
          <w:lang w:eastAsia="zh-CN"/>
        </w:rPr>
        <w:t>n es</w:t>
      </w:r>
      <w:r w:rsidRPr="00D66621">
        <w:rPr>
          <w:rFonts w:eastAsiaTheme="minorEastAsia"/>
          <w:lang w:eastAsia="zh-CN"/>
        </w:rPr>
        <w:t xml:space="preserve">as contribuciones </w:t>
      </w:r>
      <w:r w:rsidR="00A2159A">
        <w:rPr>
          <w:rFonts w:eastAsiaTheme="minorEastAsia"/>
          <w:lang w:eastAsia="zh-CN"/>
        </w:rPr>
        <w:t xml:space="preserve">eran los siguientes: </w:t>
      </w:r>
    </w:p>
    <w:p w:rsidR="00D66621" w:rsidRPr="00174E80"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174E80" w:rsidRPr="00174E80">
        <w:rPr>
          <w:rFonts w:eastAsiaTheme="minorEastAsia"/>
          <w:lang w:eastAsia="zh-CN"/>
        </w:rPr>
        <w:t>Gestión del espectro en los países en desarrollo</w:t>
      </w:r>
      <w:r w:rsidR="00D66621" w:rsidRPr="00174E80">
        <w:rPr>
          <w:rFonts w:eastAsiaTheme="minorEastAsia"/>
          <w:lang w:eastAsia="zh-CN"/>
        </w:rPr>
        <w:t xml:space="preserve"> </w:t>
      </w:r>
    </w:p>
    <w:p w:rsidR="00D66621" w:rsidRPr="00174E80"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174E80" w:rsidRPr="00174E80">
        <w:rPr>
          <w:rFonts w:eastAsiaTheme="minorEastAsia"/>
          <w:lang w:eastAsia="zh-CN"/>
        </w:rPr>
        <w:t>Acceso dinámico al espectro y espacios blancos</w:t>
      </w:r>
    </w:p>
    <w:p w:rsidR="00D66621" w:rsidRPr="007E3591"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D66621" w:rsidRPr="007E3591">
        <w:rPr>
          <w:rFonts w:eastAsiaTheme="minorEastAsia"/>
          <w:lang w:eastAsia="zh-CN"/>
        </w:rPr>
        <w:t>Conform</w:t>
      </w:r>
      <w:r w:rsidR="00174E80" w:rsidRPr="007E3591">
        <w:rPr>
          <w:rFonts w:eastAsiaTheme="minorEastAsia"/>
          <w:lang w:eastAsia="zh-CN"/>
        </w:rPr>
        <w:t>idad e interfuncionamiento</w:t>
      </w:r>
    </w:p>
    <w:p w:rsidR="00D66621" w:rsidRPr="00174E80"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174E80" w:rsidRPr="00174E80">
        <w:rPr>
          <w:rFonts w:eastAsiaTheme="minorEastAsia"/>
          <w:lang w:eastAsia="zh-CN"/>
        </w:rPr>
        <w:t>As</w:t>
      </w:r>
      <w:r w:rsidR="00D66621" w:rsidRPr="00174E80">
        <w:rPr>
          <w:rFonts w:eastAsiaTheme="minorEastAsia"/>
          <w:lang w:eastAsia="zh-CN"/>
        </w:rPr>
        <w:t>ist</w:t>
      </w:r>
      <w:r w:rsidR="00174E80" w:rsidRPr="00174E80">
        <w:rPr>
          <w:rFonts w:eastAsiaTheme="minorEastAsia"/>
          <w:lang w:eastAsia="zh-CN"/>
        </w:rPr>
        <w:t xml:space="preserve">encia a los países en desarrollo e implantación de las IMT </w:t>
      </w:r>
    </w:p>
    <w:p w:rsidR="00D66621" w:rsidRPr="00174E80"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174E80" w:rsidRPr="00174E80">
        <w:rPr>
          <w:rFonts w:eastAsiaTheme="minorEastAsia"/>
          <w:lang w:eastAsia="zh-CN"/>
        </w:rPr>
        <w:t xml:space="preserve">Asistencia a los países en desarrollo </w:t>
      </w:r>
      <w:r w:rsidR="00174E80">
        <w:rPr>
          <w:rFonts w:eastAsiaTheme="minorEastAsia"/>
          <w:lang w:eastAsia="zh-CN"/>
        </w:rPr>
        <w:t>en la radio</w:t>
      </w:r>
      <w:r w:rsidR="00290BA6">
        <w:rPr>
          <w:rFonts w:eastAsiaTheme="minorEastAsia"/>
          <w:lang w:eastAsia="zh-CN"/>
        </w:rPr>
        <w:t>di</w:t>
      </w:r>
      <w:r w:rsidR="00174E80">
        <w:rPr>
          <w:rFonts w:eastAsiaTheme="minorEastAsia"/>
          <w:lang w:eastAsia="zh-CN"/>
        </w:rPr>
        <w:t xml:space="preserve">fusión </w:t>
      </w:r>
      <w:r w:rsidR="00D66621" w:rsidRPr="00174E80">
        <w:rPr>
          <w:rFonts w:eastAsiaTheme="minorEastAsia"/>
          <w:lang w:eastAsia="zh-CN"/>
        </w:rPr>
        <w:t>digital</w:t>
      </w:r>
      <w:r w:rsidR="00174E80">
        <w:rPr>
          <w:rFonts w:eastAsiaTheme="minorEastAsia"/>
          <w:lang w:eastAsia="zh-CN"/>
        </w:rPr>
        <w:t xml:space="preserve"> y la adopción de sistemas digitales </w:t>
      </w:r>
    </w:p>
    <w:p w:rsidR="00D66621" w:rsidRPr="00290BA6" w:rsidRDefault="007E3591" w:rsidP="007E3591">
      <w:pPr>
        <w:pStyle w:val="enumlev1"/>
        <w:rPr>
          <w:rFonts w:eastAsiaTheme="minorEastAsia"/>
          <w:lang w:eastAsia="zh-CN"/>
        </w:rPr>
      </w:pPr>
      <w:r>
        <w:rPr>
          <w:rFonts w:eastAsiaTheme="minorEastAsia"/>
          <w:lang w:eastAsia="zh-CN"/>
        </w:rPr>
        <w:lastRenderedPageBreak/>
        <w:t>–</w:t>
      </w:r>
      <w:r>
        <w:rPr>
          <w:rFonts w:eastAsiaTheme="minorEastAsia"/>
          <w:lang w:eastAsia="zh-CN"/>
        </w:rPr>
        <w:tab/>
      </w:r>
      <w:r w:rsidR="00290BA6" w:rsidRPr="00290BA6">
        <w:rPr>
          <w:rFonts w:eastAsiaTheme="minorEastAsia"/>
          <w:lang w:eastAsia="zh-CN"/>
        </w:rPr>
        <w:t>Planes de preparación</w:t>
      </w:r>
      <w:r w:rsidR="00290BA6">
        <w:rPr>
          <w:rFonts w:eastAsiaTheme="minorEastAsia"/>
          <w:lang w:eastAsia="zh-CN"/>
        </w:rPr>
        <w:t xml:space="preserve"> e intervención</w:t>
      </w:r>
      <w:r w:rsidR="00816230">
        <w:rPr>
          <w:rFonts w:eastAsiaTheme="minorEastAsia"/>
          <w:lang w:eastAsia="zh-CN"/>
        </w:rPr>
        <w:t xml:space="preserve"> en situaciones de catástrofe</w:t>
      </w:r>
      <w:r w:rsidR="00886232">
        <w:rPr>
          <w:rFonts w:eastAsiaTheme="minorEastAsia"/>
          <w:lang w:eastAsia="zh-CN"/>
        </w:rPr>
        <w:t>, alerta temprana</w:t>
      </w:r>
      <w:r w:rsidR="00816230">
        <w:rPr>
          <w:rFonts w:eastAsiaTheme="minorEastAsia"/>
          <w:lang w:eastAsia="zh-CN"/>
        </w:rPr>
        <w:t xml:space="preserve">, atenuación de los efectos de las catástrofes </w:t>
      </w:r>
      <w:r w:rsidR="00290BA6">
        <w:rPr>
          <w:rFonts w:eastAsiaTheme="minorEastAsia"/>
          <w:lang w:eastAsia="zh-CN"/>
        </w:rPr>
        <w:t>y</w:t>
      </w:r>
      <w:r w:rsidR="00290BA6" w:rsidRPr="00290BA6">
        <w:rPr>
          <w:rFonts w:eastAsiaTheme="minorEastAsia"/>
          <w:lang w:eastAsia="zh-CN"/>
        </w:rPr>
        <w:t xml:space="preserve"> operaciones de socorro</w:t>
      </w:r>
      <w:r w:rsidR="00290BA6">
        <w:rPr>
          <w:rFonts w:eastAsiaTheme="minorEastAsia"/>
          <w:lang w:eastAsia="zh-CN"/>
        </w:rPr>
        <w:t xml:space="preserve"> y ayuda</w:t>
      </w:r>
      <w:r w:rsidR="00816230">
        <w:rPr>
          <w:rFonts w:eastAsiaTheme="minorEastAsia"/>
          <w:lang w:eastAsia="zh-CN"/>
        </w:rPr>
        <w:t>.</w:t>
      </w:r>
      <w:r w:rsidR="00290BA6">
        <w:rPr>
          <w:rFonts w:eastAsiaTheme="minorEastAsia"/>
          <w:lang w:eastAsia="zh-CN"/>
        </w:rPr>
        <w:t xml:space="preserve"> </w:t>
      </w:r>
    </w:p>
    <w:p w:rsidR="00D66621" w:rsidRPr="00F0337A"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F0337A" w:rsidRPr="00F0337A">
        <w:rPr>
          <w:rFonts w:eastAsiaTheme="minorEastAsia"/>
          <w:lang w:eastAsia="zh-CN"/>
        </w:rPr>
        <w:t>Exposición de</w:t>
      </w:r>
      <w:r w:rsidR="00F06DFB">
        <w:rPr>
          <w:rFonts w:eastAsiaTheme="minorEastAsia"/>
          <w:lang w:eastAsia="zh-CN"/>
        </w:rPr>
        <w:t xml:space="preserve"> </w:t>
      </w:r>
      <w:r w:rsidR="00F0337A" w:rsidRPr="00F0337A">
        <w:rPr>
          <w:rFonts w:eastAsiaTheme="minorEastAsia"/>
          <w:lang w:eastAsia="zh-CN"/>
        </w:rPr>
        <w:t>l</w:t>
      </w:r>
      <w:r w:rsidR="00F06DFB">
        <w:rPr>
          <w:rFonts w:eastAsiaTheme="minorEastAsia"/>
          <w:lang w:eastAsia="zh-CN"/>
        </w:rPr>
        <w:t>as personas a</w:t>
      </w:r>
      <w:r w:rsidR="00F0337A" w:rsidRPr="00F0337A">
        <w:rPr>
          <w:rFonts w:eastAsiaTheme="minorEastAsia"/>
          <w:lang w:eastAsia="zh-CN"/>
        </w:rPr>
        <w:t xml:space="preserve"> </w:t>
      </w:r>
      <w:r w:rsidR="00F0337A">
        <w:rPr>
          <w:rFonts w:eastAsiaTheme="minorEastAsia"/>
          <w:lang w:eastAsia="zh-CN"/>
        </w:rPr>
        <w:t>los campos electromagnéticos (EMF)</w:t>
      </w:r>
    </w:p>
    <w:p w:rsidR="00D66621" w:rsidRPr="00886232"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F0337A" w:rsidRPr="00886232">
        <w:rPr>
          <w:rFonts w:eastAsiaTheme="minorEastAsia"/>
          <w:lang w:eastAsia="zh-CN"/>
        </w:rPr>
        <w:t>T</w:t>
      </w:r>
      <w:r w:rsidR="00D66621" w:rsidRPr="00886232">
        <w:rPr>
          <w:rFonts w:eastAsiaTheme="minorEastAsia"/>
          <w:lang w:eastAsia="zh-CN"/>
        </w:rPr>
        <w:t>elecomunica</w:t>
      </w:r>
      <w:r w:rsidR="00F0337A" w:rsidRPr="00886232">
        <w:rPr>
          <w:rFonts w:eastAsiaTheme="minorEastAsia"/>
          <w:lang w:eastAsia="zh-CN"/>
        </w:rPr>
        <w:t>ciones rurales</w:t>
      </w:r>
    </w:p>
    <w:p w:rsidR="00D66621" w:rsidRPr="00886232"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D66621" w:rsidRPr="00886232">
        <w:rPr>
          <w:rFonts w:eastAsiaTheme="minorEastAsia"/>
          <w:lang w:eastAsia="zh-CN"/>
        </w:rPr>
        <w:t>C</w:t>
      </w:r>
      <w:r w:rsidR="00F0337A" w:rsidRPr="00886232">
        <w:rPr>
          <w:rFonts w:eastAsiaTheme="minorEastAsia"/>
          <w:lang w:eastAsia="zh-CN"/>
        </w:rPr>
        <w:t xml:space="preserve">ambio climático </w:t>
      </w:r>
    </w:p>
    <w:p w:rsidR="00D66621" w:rsidRPr="000002DB" w:rsidRDefault="000002DB" w:rsidP="007E3591">
      <w:pPr>
        <w:rPr>
          <w:rFonts w:eastAsiaTheme="minorEastAsia"/>
          <w:lang w:eastAsia="zh-CN"/>
        </w:rPr>
      </w:pPr>
      <w:r w:rsidRPr="000002DB">
        <w:rPr>
          <w:rFonts w:eastAsiaTheme="minorEastAsia"/>
          <w:lang w:eastAsia="zh-CN"/>
        </w:rPr>
        <w:t xml:space="preserve">La BR participó activamente en </w:t>
      </w:r>
      <w:r w:rsidR="002C664D">
        <w:rPr>
          <w:rFonts w:eastAsiaTheme="minorEastAsia"/>
          <w:lang w:eastAsia="zh-CN"/>
        </w:rPr>
        <w:t xml:space="preserve">los debates mantenidos </w:t>
      </w:r>
      <w:r w:rsidRPr="000002DB">
        <w:rPr>
          <w:rFonts w:eastAsiaTheme="minorEastAsia"/>
          <w:lang w:eastAsia="zh-CN"/>
        </w:rPr>
        <w:t>sobre esas contribuciones, teniendo en cuenta los siguientes objetivos:</w:t>
      </w:r>
    </w:p>
    <w:p w:rsidR="00D66621" w:rsidRPr="000002DB"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002DB" w:rsidRPr="000002DB">
        <w:rPr>
          <w:rFonts w:eastAsiaTheme="minorEastAsia"/>
          <w:lang w:eastAsia="zh-CN"/>
        </w:rPr>
        <w:t xml:space="preserve">Armonizar las actividades emprendidas </w:t>
      </w:r>
      <w:r w:rsidR="002C664D">
        <w:rPr>
          <w:rFonts w:eastAsiaTheme="minorEastAsia"/>
          <w:lang w:eastAsia="zh-CN"/>
        </w:rPr>
        <w:t xml:space="preserve">por </w:t>
      </w:r>
      <w:r w:rsidR="00886232">
        <w:rPr>
          <w:rFonts w:eastAsiaTheme="minorEastAsia"/>
          <w:lang w:eastAsia="zh-CN"/>
        </w:rPr>
        <w:t>el UIT-R y el UIT</w:t>
      </w:r>
      <w:r w:rsidR="000002DB" w:rsidRPr="000002DB">
        <w:rPr>
          <w:rFonts w:eastAsiaTheme="minorEastAsia"/>
          <w:lang w:eastAsia="zh-CN"/>
        </w:rPr>
        <w:t>-D, en particular con respecto a la gesti</w:t>
      </w:r>
      <w:r w:rsidR="000002DB">
        <w:rPr>
          <w:rFonts w:eastAsiaTheme="minorEastAsia"/>
          <w:lang w:eastAsia="zh-CN"/>
        </w:rPr>
        <w:t xml:space="preserve">ón del espectro y, de forma más general, a la utilización de los sistemas de radiocomunicaciones </w:t>
      </w:r>
      <w:r w:rsidR="002C664D">
        <w:rPr>
          <w:rFonts w:eastAsiaTheme="minorEastAsia"/>
          <w:lang w:eastAsia="zh-CN"/>
        </w:rPr>
        <w:t xml:space="preserve">para </w:t>
      </w:r>
      <w:r w:rsidR="000002DB">
        <w:rPr>
          <w:rFonts w:eastAsiaTheme="minorEastAsia"/>
          <w:lang w:eastAsia="zh-CN"/>
        </w:rPr>
        <w:t>el desarrollo mundial de las TIC.</w:t>
      </w:r>
    </w:p>
    <w:p w:rsidR="00D66621" w:rsidRPr="000002DB"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002DB">
        <w:rPr>
          <w:rFonts w:eastAsiaTheme="minorEastAsia"/>
          <w:lang w:eastAsia="zh-CN"/>
        </w:rPr>
        <w:t>Procurar que l</w:t>
      </w:r>
      <w:r w:rsidR="002C664D">
        <w:rPr>
          <w:rFonts w:eastAsiaTheme="minorEastAsia"/>
          <w:lang w:eastAsia="zh-CN"/>
        </w:rPr>
        <w:t xml:space="preserve">as nociones, </w:t>
      </w:r>
      <w:r w:rsidR="000002DB">
        <w:rPr>
          <w:rFonts w:eastAsiaTheme="minorEastAsia"/>
          <w:lang w:eastAsia="zh-CN"/>
        </w:rPr>
        <w:t>las</w:t>
      </w:r>
      <w:r w:rsidR="000002DB" w:rsidRPr="000002DB">
        <w:rPr>
          <w:rFonts w:eastAsiaTheme="minorEastAsia"/>
          <w:lang w:eastAsia="zh-CN"/>
        </w:rPr>
        <w:t xml:space="preserve"> definiciones y </w:t>
      </w:r>
      <w:r w:rsidR="002C664D">
        <w:rPr>
          <w:rFonts w:eastAsiaTheme="minorEastAsia"/>
          <w:lang w:eastAsia="zh-CN"/>
        </w:rPr>
        <w:t>la terminología relativa</w:t>
      </w:r>
      <w:r w:rsidR="000002DB" w:rsidRPr="000002DB">
        <w:rPr>
          <w:rFonts w:eastAsiaTheme="minorEastAsia"/>
          <w:lang w:eastAsia="zh-CN"/>
        </w:rPr>
        <w:t>s a la gesti</w:t>
      </w:r>
      <w:r w:rsidR="000002DB">
        <w:rPr>
          <w:rFonts w:eastAsiaTheme="minorEastAsia"/>
          <w:lang w:eastAsia="zh-CN"/>
        </w:rPr>
        <w:t>ón del espectro y las radiocomu</w:t>
      </w:r>
      <w:r w:rsidR="00B81FDB">
        <w:rPr>
          <w:rFonts w:eastAsiaTheme="minorEastAsia"/>
          <w:lang w:eastAsia="zh-CN"/>
        </w:rPr>
        <w:t xml:space="preserve">nicaciones </w:t>
      </w:r>
      <w:r w:rsidR="007C5022">
        <w:rPr>
          <w:rFonts w:eastAsiaTheme="minorEastAsia"/>
          <w:lang w:eastAsia="zh-CN"/>
        </w:rPr>
        <w:t>utilizada</w:t>
      </w:r>
      <w:r w:rsidR="00B81FDB">
        <w:rPr>
          <w:rFonts w:eastAsiaTheme="minorEastAsia"/>
          <w:lang w:eastAsia="zh-CN"/>
        </w:rPr>
        <w:t>s en la</w:t>
      </w:r>
      <w:r w:rsidR="000002DB">
        <w:rPr>
          <w:rFonts w:eastAsiaTheme="minorEastAsia"/>
          <w:lang w:eastAsia="zh-CN"/>
        </w:rPr>
        <w:t xml:space="preserve">s </w:t>
      </w:r>
      <w:r w:rsidR="00B81FDB">
        <w:rPr>
          <w:rFonts w:eastAsiaTheme="minorEastAsia"/>
          <w:lang w:eastAsia="zh-CN"/>
        </w:rPr>
        <w:t xml:space="preserve">contribuciones de la CMDT sean </w:t>
      </w:r>
      <w:r w:rsidR="000002DB">
        <w:rPr>
          <w:rFonts w:eastAsiaTheme="minorEastAsia"/>
          <w:lang w:eastAsia="zh-CN"/>
        </w:rPr>
        <w:t>coherente</w:t>
      </w:r>
      <w:r w:rsidR="00B81FDB">
        <w:rPr>
          <w:rFonts w:eastAsiaTheme="minorEastAsia"/>
          <w:lang w:eastAsia="zh-CN"/>
        </w:rPr>
        <w:t>s</w:t>
      </w:r>
      <w:r w:rsidR="000002DB">
        <w:rPr>
          <w:rFonts w:eastAsiaTheme="minorEastAsia"/>
          <w:lang w:eastAsia="zh-CN"/>
        </w:rPr>
        <w:t xml:space="preserve"> con los </w:t>
      </w:r>
      <w:r w:rsidR="00B81FDB">
        <w:rPr>
          <w:rFonts w:eastAsiaTheme="minorEastAsia"/>
          <w:lang w:eastAsia="zh-CN"/>
        </w:rPr>
        <w:t xml:space="preserve">que han sido </w:t>
      </w:r>
      <w:r w:rsidR="000002DB">
        <w:rPr>
          <w:rFonts w:eastAsiaTheme="minorEastAsia"/>
          <w:lang w:eastAsia="zh-CN"/>
        </w:rPr>
        <w:t xml:space="preserve">adoptados en las actividades del UIT-R. </w:t>
      </w:r>
    </w:p>
    <w:p w:rsidR="00D66621" w:rsidRPr="000002DB"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002DB" w:rsidRPr="000002DB">
        <w:rPr>
          <w:rFonts w:eastAsiaTheme="minorEastAsia"/>
          <w:lang w:eastAsia="zh-CN"/>
        </w:rPr>
        <w:t xml:space="preserve">Evitar la duplicación o </w:t>
      </w:r>
      <w:r w:rsidR="000002DB">
        <w:rPr>
          <w:rFonts w:eastAsiaTheme="minorEastAsia"/>
          <w:lang w:eastAsia="zh-CN"/>
        </w:rPr>
        <w:t>coincidencia d</w:t>
      </w:r>
      <w:r w:rsidR="000002DB" w:rsidRPr="000002DB">
        <w:rPr>
          <w:rFonts w:eastAsiaTheme="minorEastAsia"/>
          <w:lang w:eastAsia="zh-CN"/>
        </w:rPr>
        <w:t xml:space="preserve">e actividades y estudios </w:t>
      </w:r>
      <w:r w:rsidR="000002DB">
        <w:rPr>
          <w:rFonts w:eastAsiaTheme="minorEastAsia"/>
          <w:lang w:eastAsia="zh-CN"/>
        </w:rPr>
        <w:t xml:space="preserve">que llevan a cabo </w:t>
      </w:r>
      <w:r w:rsidR="000002DB" w:rsidRPr="000002DB">
        <w:rPr>
          <w:rFonts w:eastAsiaTheme="minorEastAsia"/>
          <w:lang w:eastAsia="zh-CN"/>
        </w:rPr>
        <w:t>el UIT-D y el UIT-R.</w:t>
      </w:r>
    </w:p>
    <w:p w:rsidR="00D66621" w:rsidRPr="000002DB"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002DB" w:rsidRPr="000002DB">
        <w:rPr>
          <w:rFonts w:eastAsiaTheme="minorEastAsia"/>
          <w:lang w:eastAsia="zh-CN"/>
        </w:rPr>
        <w:t xml:space="preserve">Evitar </w:t>
      </w:r>
      <w:r w:rsidR="000002DB">
        <w:rPr>
          <w:rFonts w:eastAsiaTheme="minorEastAsia"/>
          <w:lang w:eastAsia="zh-CN"/>
        </w:rPr>
        <w:t xml:space="preserve">duplicaciones o </w:t>
      </w:r>
      <w:r w:rsidR="000002DB" w:rsidRPr="000002DB">
        <w:rPr>
          <w:rFonts w:eastAsiaTheme="minorEastAsia"/>
          <w:lang w:eastAsia="zh-CN"/>
        </w:rPr>
        <w:t>conflicto</w:t>
      </w:r>
      <w:r w:rsidR="000002DB">
        <w:rPr>
          <w:rFonts w:eastAsiaTheme="minorEastAsia"/>
          <w:lang w:eastAsia="zh-CN"/>
        </w:rPr>
        <w:t>s</w:t>
      </w:r>
      <w:r w:rsidR="000002DB" w:rsidRPr="000002DB">
        <w:rPr>
          <w:rFonts w:eastAsiaTheme="minorEastAsia"/>
          <w:lang w:eastAsia="zh-CN"/>
        </w:rPr>
        <w:t xml:space="preserve"> entre </w:t>
      </w:r>
      <w:r w:rsidR="001A6792">
        <w:rPr>
          <w:rFonts w:eastAsiaTheme="minorEastAsia"/>
          <w:lang w:eastAsia="zh-CN"/>
        </w:rPr>
        <w:t>las cuestiones examinada</w:t>
      </w:r>
      <w:r w:rsidR="000002DB" w:rsidRPr="000002DB">
        <w:rPr>
          <w:rFonts w:eastAsiaTheme="minorEastAsia"/>
          <w:lang w:eastAsia="zh-CN"/>
        </w:rPr>
        <w:t>s por la CMDT y la CMR</w:t>
      </w:r>
      <w:r w:rsidR="000002DB" w:rsidRPr="000002DB">
        <w:rPr>
          <w:rFonts w:eastAsiaTheme="minorEastAsia"/>
          <w:lang w:eastAsia="zh-CN"/>
        </w:rPr>
        <w:noBreakHyphen/>
        <w:t>15 o el Reglamento de Radiocomunicaciones.</w:t>
      </w:r>
    </w:p>
    <w:p w:rsidR="00D66621" w:rsidRPr="000002DB" w:rsidRDefault="000002DB" w:rsidP="007E3591">
      <w:pPr>
        <w:rPr>
          <w:rFonts w:eastAsiaTheme="minorEastAsia"/>
          <w:lang w:eastAsia="zh-CN"/>
        </w:rPr>
      </w:pPr>
      <w:r w:rsidRPr="000002DB">
        <w:rPr>
          <w:rFonts w:eastAsiaTheme="minorEastAsia"/>
          <w:lang w:eastAsia="zh-CN"/>
        </w:rPr>
        <w:t xml:space="preserve">Los principales resultados de esa labor </w:t>
      </w:r>
      <w:r w:rsidR="001A6792">
        <w:rPr>
          <w:rFonts w:eastAsiaTheme="minorEastAsia"/>
          <w:lang w:eastAsia="zh-CN"/>
        </w:rPr>
        <w:t>relativa a</w:t>
      </w:r>
      <w:r>
        <w:rPr>
          <w:rFonts w:eastAsiaTheme="minorEastAsia"/>
          <w:lang w:eastAsia="zh-CN"/>
        </w:rPr>
        <w:t>l UIT-R fueron los siguientes:</w:t>
      </w:r>
    </w:p>
    <w:p w:rsidR="00D66621" w:rsidRPr="00092903"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92903" w:rsidRPr="00092903">
        <w:rPr>
          <w:rFonts w:eastAsiaTheme="minorEastAsia"/>
          <w:lang w:eastAsia="zh-CN"/>
        </w:rPr>
        <w:t>Se revisó y actualizó la Resolución 9</w:t>
      </w:r>
      <w:r w:rsidR="00092903">
        <w:rPr>
          <w:rFonts w:eastAsiaTheme="minorEastAsia"/>
          <w:lang w:eastAsia="zh-CN"/>
        </w:rPr>
        <w:t xml:space="preserve"> del UIT-D</w:t>
      </w:r>
      <w:r w:rsidR="00092903" w:rsidRPr="00092903">
        <w:rPr>
          <w:rFonts w:eastAsiaTheme="minorEastAsia"/>
          <w:lang w:eastAsia="zh-CN"/>
        </w:rPr>
        <w:t xml:space="preserve">; se hace mención a los nuevos </w:t>
      </w:r>
      <w:r w:rsidR="007F3D99">
        <w:rPr>
          <w:rFonts w:eastAsiaTheme="minorEastAsia"/>
          <w:lang w:eastAsia="zh-CN"/>
        </w:rPr>
        <w:t xml:space="preserve">métodos </w:t>
      </w:r>
      <w:r w:rsidR="00092903" w:rsidRPr="00092903">
        <w:rPr>
          <w:rFonts w:eastAsiaTheme="minorEastAsia"/>
          <w:lang w:eastAsia="zh-CN"/>
        </w:rPr>
        <w:t>de gestión del espectro, como el acceso din</w:t>
      </w:r>
      <w:r w:rsidR="00092903">
        <w:rPr>
          <w:rFonts w:eastAsiaTheme="minorEastAsia"/>
          <w:lang w:eastAsia="zh-CN"/>
        </w:rPr>
        <w:t xml:space="preserve">ámico al espectro (DSA), manteniendo al mismo tiempo el principio de neutralidad con respecto a la tecnología. </w:t>
      </w:r>
    </w:p>
    <w:p w:rsidR="00D66621" w:rsidRPr="00092903"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92903" w:rsidRPr="00092903">
        <w:rPr>
          <w:rFonts w:eastAsiaTheme="minorEastAsia"/>
          <w:lang w:eastAsia="zh-CN"/>
        </w:rPr>
        <w:t xml:space="preserve">Espacios blancos: en armonía con lo indicado </w:t>
      </w:r>
      <w:r w:rsidR="00092903" w:rsidRPr="00092903">
        <w:rPr>
          <w:rFonts w:eastAsiaTheme="minorEastAsia"/>
          <w:i/>
          <w:iCs/>
          <w:lang w:eastAsia="zh-CN"/>
        </w:rPr>
        <w:t>supra</w:t>
      </w:r>
      <w:r w:rsidR="00092903" w:rsidRPr="00092903">
        <w:rPr>
          <w:rFonts w:eastAsiaTheme="minorEastAsia"/>
          <w:lang w:eastAsia="zh-CN"/>
        </w:rPr>
        <w:t xml:space="preserve">, no se hizo </w:t>
      </w:r>
      <w:r w:rsidR="007F3D99">
        <w:rPr>
          <w:rFonts w:eastAsiaTheme="minorEastAsia"/>
          <w:lang w:eastAsia="zh-CN"/>
        </w:rPr>
        <w:t xml:space="preserve">ninguna </w:t>
      </w:r>
      <w:r w:rsidR="00092903" w:rsidRPr="00092903">
        <w:rPr>
          <w:rFonts w:eastAsiaTheme="minorEastAsia"/>
          <w:lang w:eastAsia="zh-CN"/>
        </w:rPr>
        <w:t>menci</w:t>
      </w:r>
      <w:r w:rsidR="00092903">
        <w:rPr>
          <w:rFonts w:eastAsiaTheme="minorEastAsia"/>
          <w:lang w:eastAsia="zh-CN"/>
        </w:rPr>
        <w:t>ón a los espacios blancos dado que son sólo una aplicación particular del DSA.</w:t>
      </w:r>
    </w:p>
    <w:p w:rsidR="00D66621" w:rsidRPr="00092903"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092903" w:rsidRPr="00092903">
        <w:rPr>
          <w:rFonts w:eastAsiaTheme="minorEastAsia"/>
          <w:lang w:eastAsia="zh-CN"/>
        </w:rPr>
        <w:t xml:space="preserve">Implantación de las IMT: se </w:t>
      </w:r>
      <w:r w:rsidR="007F3D99">
        <w:rPr>
          <w:rFonts w:eastAsiaTheme="minorEastAsia"/>
          <w:lang w:eastAsia="zh-CN"/>
        </w:rPr>
        <w:t>asegur</w:t>
      </w:r>
      <w:r w:rsidR="00BE5499">
        <w:rPr>
          <w:rFonts w:eastAsiaTheme="minorEastAsia"/>
          <w:lang w:eastAsia="zh-CN"/>
        </w:rPr>
        <w:t>ó</w:t>
      </w:r>
      <w:r w:rsidR="00092903" w:rsidRPr="00092903">
        <w:rPr>
          <w:rFonts w:eastAsiaTheme="minorEastAsia"/>
          <w:lang w:eastAsia="zh-CN"/>
        </w:rPr>
        <w:t xml:space="preserve"> la coherencia entre las bandas de frecuencias citadas y las identificadas en el RR para esos sistemas. </w:t>
      </w:r>
    </w:p>
    <w:p w:rsidR="00D66621" w:rsidRPr="00BE5499"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BE5499" w:rsidRPr="00BE5499">
        <w:rPr>
          <w:rFonts w:eastAsiaTheme="minorEastAsia"/>
          <w:lang w:eastAsia="zh-CN"/>
        </w:rPr>
        <w:t xml:space="preserve">Radiodifusión digital y </w:t>
      </w:r>
      <w:r w:rsidR="00BE5499">
        <w:rPr>
          <w:rFonts w:eastAsiaTheme="minorEastAsia"/>
          <w:lang w:eastAsia="zh-CN"/>
        </w:rPr>
        <w:t>adopción de sistemas digitales.</w:t>
      </w:r>
    </w:p>
    <w:p w:rsidR="00D66621" w:rsidRDefault="007E3591" w:rsidP="00886232">
      <w:pPr>
        <w:pStyle w:val="enumlev1"/>
        <w:rPr>
          <w:rFonts w:eastAsiaTheme="minorEastAsia"/>
          <w:lang w:eastAsia="zh-CN"/>
        </w:rPr>
      </w:pPr>
      <w:r>
        <w:rPr>
          <w:rFonts w:eastAsiaTheme="minorEastAsia"/>
          <w:lang w:eastAsia="zh-CN"/>
        </w:rPr>
        <w:t>–</w:t>
      </w:r>
      <w:r>
        <w:rPr>
          <w:rFonts w:eastAsiaTheme="minorEastAsia"/>
          <w:lang w:eastAsia="zh-CN"/>
        </w:rPr>
        <w:tab/>
      </w:r>
      <w:r w:rsidR="00B9785F">
        <w:rPr>
          <w:rFonts w:eastAsiaTheme="minorEastAsia"/>
          <w:lang w:eastAsia="zh-CN"/>
        </w:rPr>
        <w:t xml:space="preserve">Se </w:t>
      </w:r>
      <w:r w:rsidR="007F3D99">
        <w:rPr>
          <w:rFonts w:eastAsiaTheme="minorEastAsia"/>
          <w:lang w:eastAsia="zh-CN"/>
        </w:rPr>
        <w:t>aportar</w:t>
      </w:r>
      <w:r w:rsidR="00B9785F">
        <w:rPr>
          <w:rFonts w:eastAsiaTheme="minorEastAsia"/>
          <w:lang w:eastAsia="zh-CN"/>
        </w:rPr>
        <w:t xml:space="preserve">on </w:t>
      </w:r>
      <w:r w:rsidR="000E5D71" w:rsidRPr="000E5D71">
        <w:rPr>
          <w:rFonts w:eastAsiaTheme="minorEastAsia"/>
          <w:lang w:eastAsia="zh-CN"/>
        </w:rPr>
        <w:t>modificaciones para indicar</w:t>
      </w:r>
      <w:r w:rsidR="007F3D99">
        <w:rPr>
          <w:rFonts w:eastAsiaTheme="minorEastAsia"/>
          <w:lang w:eastAsia="zh-CN"/>
        </w:rPr>
        <w:t xml:space="preserve"> las </w:t>
      </w:r>
      <w:r w:rsidR="000E5D71" w:rsidRPr="000E5D71">
        <w:rPr>
          <w:rFonts w:eastAsiaTheme="minorEastAsia"/>
          <w:lang w:eastAsia="zh-CN"/>
        </w:rPr>
        <w:t xml:space="preserve">Recomendaciones provenientes de cada Sector (UIT-R, UIT-T, UIT-D) y </w:t>
      </w:r>
      <w:r w:rsidR="000E5D71">
        <w:rPr>
          <w:rFonts w:eastAsiaTheme="minorEastAsia"/>
          <w:lang w:eastAsia="zh-CN"/>
        </w:rPr>
        <w:t>no</w:t>
      </w:r>
      <w:r w:rsidR="007F3D99">
        <w:rPr>
          <w:rFonts w:eastAsiaTheme="minorEastAsia"/>
          <w:lang w:eastAsia="zh-CN"/>
        </w:rPr>
        <w:t xml:space="preserve"> las</w:t>
      </w:r>
      <w:r w:rsidR="000E5D71">
        <w:rPr>
          <w:rFonts w:eastAsiaTheme="minorEastAsia"/>
          <w:lang w:eastAsia="zh-CN"/>
        </w:rPr>
        <w:t xml:space="preserve"> </w:t>
      </w:r>
      <w:r w:rsidR="00886232">
        <w:rPr>
          <w:rFonts w:eastAsiaTheme="minorEastAsia"/>
          <w:lang w:eastAsia="zh-CN"/>
        </w:rPr>
        <w:t>«</w:t>
      </w:r>
      <w:r w:rsidR="000E5D71">
        <w:rPr>
          <w:rFonts w:eastAsiaTheme="minorEastAsia"/>
          <w:lang w:eastAsia="zh-CN"/>
        </w:rPr>
        <w:t>Recomendaciones UIT</w:t>
      </w:r>
      <w:r w:rsidR="00886232">
        <w:rPr>
          <w:rFonts w:eastAsiaTheme="minorEastAsia"/>
          <w:lang w:eastAsia="zh-CN"/>
        </w:rPr>
        <w:t>»</w:t>
      </w:r>
      <w:r w:rsidR="000E5D71">
        <w:rPr>
          <w:rFonts w:eastAsiaTheme="minorEastAsia"/>
          <w:lang w:eastAsia="zh-CN"/>
        </w:rPr>
        <w:t>.</w:t>
      </w:r>
    </w:p>
    <w:p w:rsidR="00D66621" w:rsidRPr="00B9785F" w:rsidRDefault="007E3591" w:rsidP="007E3591">
      <w:pPr>
        <w:pStyle w:val="enumlev1"/>
        <w:rPr>
          <w:rFonts w:eastAsiaTheme="minorEastAsia"/>
          <w:lang w:eastAsia="zh-CN"/>
        </w:rPr>
      </w:pPr>
      <w:r>
        <w:rPr>
          <w:rFonts w:eastAsiaTheme="minorEastAsia"/>
          <w:lang w:eastAsia="zh-CN"/>
        </w:rPr>
        <w:t>–</w:t>
      </w:r>
      <w:r>
        <w:rPr>
          <w:rFonts w:eastAsiaTheme="minorEastAsia"/>
          <w:lang w:eastAsia="zh-CN"/>
        </w:rPr>
        <w:tab/>
      </w:r>
      <w:r w:rsidR="00B9785F">
        <w:rPr>
          <w:rFonts w:eastAsiaTheme="minorEastAsia"/>
          <w:lang w:eastAsia="zh-CN"/>
        </w:rPr>
        <w:t>Se mantuvo el p</w:t>
      </w:r>
      <w:r w:rsidR="00B9785F" w:rsidRPr="00B9785F">
        <w:rPr>
          <w:rFonts w:eastAsiaTheme="minorEastAsia"/>
          <w:lang w:eastAsia="zh-CN"/>
        </w:rPr>
        <w:t>apel del UIT-R y de la BR en la revisi</w:t>
      </w:r>
      <w:r w:rsidR="00B9785F">
        <w:rPr>
          <w:rFonts w:eastAsiaTheme="minorEastAsia"/>
          <w:lang w:eastAsia="zh-CN"/>
        </w:rPr>
        <w:t xml:space="preserve">ón de cuestiones relativas a la conformidad y el interfuncionamiento. Esta revisión fue respaldada por varias administraciones que </w:t>
      </w:r>
      <w:r w:rsidR="007F3D99">
        <w:rPr>
          <w:rFonts w:eastAsiaTheme="minorEastAsia"/>
          <w:lang w:eastAsia="zh-CN"/>
        </w:rPr>
        <w:t>comparten las mismas i</w:t>
      </w:r>
      <w:r w:rsidR="00B9785F">
        <w:rPr>
          <w:rFonts w:eastAsiaTheme="minorEastAsia"/>
          <w:lang w:eastAsia="zh-CN"/>
        </w:rPr>
        <w:t>nquietudes</w:t>
      </w:r>
      <w:r w:rsidR="007F3D99">
        <w:rPr>
          <w:rFonts w:eastAsiaTheme="minorEastAsia"/>
          <w:lang w:eastAsia="zh-CN"/>
        </w:rPr>
        <w:t>: mantener una cierta</w:t>
      </w:r>
      <w:r w:rsidR="00B9785F">
        <w:rPr>
          <w:rFonts w:eastAsiaTheme="minorEastAsia"/>
          <w:lang w:eastAsia="zh-CN"/>
        </w:rPr>
        <w:t xml:space="preserve"> coherencia entre las actividades del UIT-R y el UIT-D, evitar la duplicación de tareas y preservar la coherencia de</w:t>
      </w:r>
      <w:r w:rsidR="007F3D99">
        <w:rPr>
          <w:rFonts w:eastAsiaTheme="minorEastAsia"/>
          <w:lang w:eastAsia="zh-CN"/>
        </w:rPr>
        <w:t xml:space="preserve"> la terminología</w:t>
      </w:r>
      <w:r w:rsidR="00B9785F">
        <w:rPr>
          <w:rFonts w:eastAsiaTheme="minorEastAsia"/>
          <w:lang w:eastAsia="zh-CN"/>
        </w:rPr>
        <w:t>.</w:t>
      </w:r>
    </w:p>
    <w:p w:rsidR="00312024" w:rsidRPr="007073E1" w:rsidRDefault="00312024" w:rsidP="007E3591">
      <w:pPr>
        <w:pStyle w:val="Heading1"/>
        <w:rPr>
          <w:lang w:val="es-ES"/>
        </w:rPr>
      </w:pPr>
      <w:r w:rsidRPr="007073E1">
        <w:rPr>
          <w:lang w:val="es-ES"/>
        </w:rPr>
        <w:t>6</w:t>
      </w:r>
      <w:r w:rsidRPr="007073E1">
        <w:rPr>
          <w:lang w:val="es-ES"/>
        </w:rPr>
        <w:tab/>
        <w:t>Sistema de información de la BR</w:t>
      </w:r>
    </w:p>
    <w:p w:rsidR="00312024" w:rsidRPr="007073E1" w:rsidRDefault="00312024" w:rsidP="007E3591">
      <w:pPr>
        <w:rPr>
          <w:lang w:val="es-ES" w:eastAsia="zh-CN"/>
        </w:rPr>
      </w:pPr>
      <w:r w:rsidRPr="007073E1">
        <w:rPr>
          <w:lang w:val="es-ES" w:eastAsia="zh-CN"/>
        </w:rPr>
        <w:t>E</w:t>
      </w:r>
      <w:r w:rsidR="00AF5CEF">
        <w:rPr>
          <w:lang w:val="es-ES" w:eastAsia="zh-CN"/>
        </w:rPr>
        <w:t>n su 19ª reunión (2012), e</w:t>
      </w:r>
      <w:r w:rsidRPr="007073E1">
        <w:rPr>
          <w:lang w:val="es-ES" w:eastAsia="zh-CN"/>
        </w:rPr>
        <w:t>l GAR</w:t>
      </w:r>
      <w:r w:rsidR="00AF5CEF">
        <w:rPr>
          <w:lang w:val="es-ES" w:eastAsia="zh-CN"/>
        </w:rPr>
        <w:t xml:space="preserve"> </w:t>
      </w:r>
      <w:r w:rsidRPr="007073E1">
        <w:rPr>
          <w:lang w:val="es-ES" w:eastAsia="zh-CN"/>
        </w:rPr>
        <w:t>aconsejó al Director aplicar las medidas recomendadas en los plazos propuestos, como se describe en la hoja de ruta, que comprenden la Fase 1 (Aplicación de las decisiones de la CMR</w:t>
      </w:r>
      <w:r w:rsidRPr="007073E1">
        <w:rPr>
          <w:lang w:val="es-ES" w:eastAsia="zh-CN"/>
        </w:rPr>
        <w:noBreakHyphen/>
        <w:t>12) hasta el 12 de diciembre de 2012, la Fase 2 (Reescribir parte del software existente) hasta el 31 de diciembre de 2015 y la Fase 3 (Crear un equipo de proyecto para implementar un marco común, un sistema de seguridad y una base de datos espacial centralizada) desde el 1 de enero de 2016 hasta el 31 de diciembre de 2018. El GAR alentó a los Estados Miembros y a los Miembros de Sector a</w:t>
      </w:r>
      <w:r w:rsidR="003E136B">
        <w:rPr>
          <w:lang w:val="es-ES" w:eastAsia="zh-CN"/>
        </w:rPr>
        <w:t xml:space="preserve"> formular </w:t>
      </w:r>
      <w:r w:rsidRPr="007073E1">
        <w:rPr>
          <w:lang w:val="es-ES" w:eastAsia="zh-CN"/>
        </w:rPr>
        <w:t xml:space="preserve">comentarios sobre la Fase 3. </w:t>
      </w:r>
    </w:p>
    <w:p w:rsidR="00312024" w:rsidRPr="007073E1" w:rsidRDefault="00312024" w:rsidP="007E3591">
      <w:pPr>
        <w:rPr>
          <w:lang w:val="es-ES" w:eastAsia="zh-CN"/>
        </w:rPr>
      </w:pPr>
      <w:r w:rsidRPr="007073E1">
        <w:rPr>
          <w:lang w:val="es-ES" w:eastAsia="zh-CN"/>
        </w:rPr>
        <w:t>E</w:t>
      </w:r>
      <w:r w:rsidR="00A22D6B">
        <w:rPr>
          <w:lang w:val="es-ES" w:eastAsia="zh-CN"/>
        </w:rPr>
        <w:t>l I</w:t>
      </w:r>
      <w:r w:rsidRPr="007073E1">
        <w:rPr>
          <w:lang w:val="es-ES" w:eastAsia="zh-CN"/>
        </w:rPr>
        <w:t xml:space="preserve">nforme sobre </w:t>
      </w:r>
      <w:r w:rsidR="000D5F7A">
        <w:rPr>
          <w:lang w:val="es-ES" w:eastAsia="zh-CN"/>
        </w:rPr>
        <w:t>los avances</w:t>
      </w:r>
      <w:r w:rsidR="00E72A0F">
        <w:rPr>
          <w:lang w:val="es-ES" w:eastAsia="zh-CN"/>
        </w:rPr>
        <w:t xml:space="preserve"> </w:t>
      </w:r>
      <w:r w:rsidR="000D5F7A">
        <w:rPr>
          <w:lang w:val="es-ES" w:eastAsia="zh-CN"/>
        </w:rPr>
        <w:t>logrados</w:t>
      </w:r>
      <w:r w:rsidR="00E72A0F">
        <w:rPr>
          <w:lang w:val="es-ES" w:eastAsia="zh-CN"/>
        </w:rPr>
        <w:t xml:space="preserve"> </w:t>
      </w:r>
      <w:r w:rsidR="003E136B">
        <w:rPr>
          <w:lang w:val="es-ES" w:eastAsia="zh-CN"/>
        </w:rPr>
        <w:t xml:space="preserve">en esta cuestión </w:t>
      </w:r>
      <w:r w:rsidR="00A22D6B">
        <w:rPr>
          <w:lang w:val="es-ES" w:eastAsia="zh-CN"/>
        </w:rPr>
        <w:t xml:space="preserve">se </w:t>
      </w:r>
      <w:r w:rsidR="000D5F7A">
        <w:rPr>
          <w:lang w:val="es-ES" w:eastAsia="zh-CN"/>
        </w:rPr>
        <w:t xml:space="preserve">facilita </w:t>
      </w:r>
      <w:r w:rsidR="00A22D6B">
        <w:rPr>
          <w:lang w:val="es-ES" w:eastAsia="zh-CN"/>
        </w:rPr>
        <w:t>en el Anexo 1 al presente documento</w:t>
      </w:r>
      <w:r>
        <w:rPr>
          <w:lang w:val="es-ES" w:eastAsia="zh-CN"/>
        </w:rPr>
        <w:t>.</w:t>
      </w:r>
    </w:p>
    <w:p w:rsidR="00312024" w:rsidRPr="007073E1" w:rsidRDefault="00312024" w:rsidP="00886232">
      <w:pPr>
        <w:pStyle w:val="Heading1"/>
        <w:rPr>
          <w:lang w:val="es-ES"/>
        </w:rPr>
      </w:pPr>
      <w:r>
        <w:rPr>
          <w:rFonts w:eastAsiaTheme="minorEastAsia"/>
          <w:lang w:val="es-ES" w:eastAsia="zh-CN"/>
        </w:rPr>
        <w:lastRenderedPageBreak/>
        <w:t>7</w:t>
      </w:r>
      <w:r>
        <w:rPr>
          <w:rFonts w:eastAsiaTheme="minorEastAsia"/>
          <w:lang w:val="es-ES" w:eastAsia="zh-CN"/>
        </w:rPr>
        <w:tab/>
      </w:r>
      <w:r w:rsidRPr="007073E1">
        <w:rPr>
          <w:lang w:val="es-ES"/>
        </w:rPr>
        <w:t xml:space="preserve">Grupos </w:t>
      </w:r>
      <w:r w:rsidR="003E136B">
        <w:rPr>
          <w:lang w:val="es-ES"/>
        </w:rPr>
        <w:t xml:space="preserve">de </w:t>
      </w:r>
      <w:r w:rsidR="00886232">
        <w:rPr>
          <w:lang w:val="es-ES"/>
        </w:rPr>
        <w:t>T</w:t>
      </w:r>
      <w:r w:rsidR="003E136B">
        <w:rPr>
          <w:lang w:val="es-ES"/>
        </w:rPr>
        <w:t xml:space="preserve">rabajo </w:t>
      </w:r>
      <w:r w:rsidRPr="007073E1">
        <w:rPr>
          <w:lang w:val="es-ES"/>
        </w:rPr>
        <w:t xml:space="preserve">por </w:t>
      </w:r>
      <w:r w:rsidR="00886232">
        <w:rPr>
          <w:lang w:val="es-ES"/>
        </w:rPr>
        <w:t>C</w:t>
      </w:r>
      <w:r w:rsidRPr="007073E1">
        <w:rPr>
          <w:lang w:val="es-ES"/>
        </w:rPr>
        <w:t>orrespondencia</w:t>
      </w:r>
    </w:p>
    <w:p w:rsidR="00312024" w:rsidRPr="007073E1" w:rsidRDefault="00312024" w:rsidP="00886232">
      <w:pPr>
        <w:rPr>
          <w:lang w:val="es-ES"/>
        </w:rPr>
      </w:pPr>
      <w:r w:rsidRPr="007073E1">
        <w:rPr>
          <w:lang w:val="es-ES"/>
        </w:rPr>
        <w:t xml:space="preserve">La BR creó direcciones </w:t>
      </w:r>
      <w:r w:rsidR="008253C4">
        <w:rPr>
          <w:lang w:val="es-ES"/>
        </w:rPr>
        <w:t>SharePoint</w:t>
      </w:r>
      <w:r w:rsidRPr="007073E1">
        <w:rPr>
          <w:lang w:val="es-ES"/>
        </w:rPr>
        <w:t xml:space="preserve"> para apoyar los trabajos de los </w:t>
      </w:r>
      <w:r w:rsidR="00886232" w:rsidRPr="007073E1">
        <w:rPr>
          <w:lang w:val="es-ES"/>
        </w:rPr>
        <w:t xml:space="preserve">Grupos </w:t>
      </w:r>
      <w:r w:rsidR="00886232">
        <w:rPr>
          <w:lang w:val="es-ES"/>
        </w:rPr>
        <w:t>de Trabajo p</w:t>
      </w:r>
      <w:r w:rsidR="00886232" w:rsidRPr="007073E1">
        <w:rPr>
          <w:lang w:val="es-ES"/>
        </w:rPr>
        <w:t>or Correspondencia</w:t>
      </w:r>
      <w:r w:rsidRPr="007073E1">
        <w:rPr>
          <w:lang w:val="es-ES"/>
        </w:rPr>
        <w:t xml:space="preserve"> </w:t>
      </w:r>
      <w:r w:rsidR="00056612">
        <w:rPr>
          <w:lang w:val="es-ES"/>
        </w:rPr>
        <w:t xml:space="preserve">activos </w:t>
      </w:r>
      <w:r w:rsidRPr="007073E1">
        <w:rPr>
          <w:lang w:val="es-ES"/>
        </w:rPr>
        <w:t>establecidos durante la</w:t>
      </w:r>
      <w:r w:rsidR="00056612">
        <w:rPr>
          <w:lang w:val="es-ES"/>
        </w:rPr>
        <w:t>s</w:t>
      </w:r>
      <w:r w:rsidRPr="007073E1">
        <w:rPr>
          <w:lang w:val="es-ES"/>
        </w:rPr>
        <w:t xml:space="preserve"> reuni</w:t>
      </w:r>
      <w:r w:rsidR="00056612">
        <w:rPr>
          <w:lang w:val="es-ES"/>
        </w:rPr>
        <w:t xml:space="preserve">ones </w:t>
      </w:r>
      <w:r w:rsidRPr="007073E1">
        <w:rPr>
          <w:lang w:val="es-ES"/>
        </w:rPr>
        <w:t>del GAR:</w:t>
      </w:r>
    </w:p>
    <w:p w:rsidR="00312024" w:rsidRPr="007073E1" w:rsidRDefault="00312024" w:rsidP="00312024">
      <w:pPr>
        <w:pStyle w:val="enumlev1"/>
        <w:rPr>
          <w:rFonts w:asciiTheme="majorBidi" w:hAnsiTheme="majorBidi" w:cstheme="majorBidi"/>
          <w:szCs w:val="24"/>
          <w:lang w:val="es-ES" w:eastAsia="zh-CN"/>
        </w:rPr>
      </w:pPr>
      <w:r w:rsidRPr="007073E1">
        <w:rPr>
          <w:szCs w:val="24"/>
          <w:lang w:val="es-ES"/>
        </w:rPr>
        <w:t>•</w:t>
      </w:r>
      <w:r w:rsidRPr="007073E1">
        <w:rPr>
          <w:szCs w:val="24"/>
          <w:lang w:val="es-ES"/>
        </w:rPr>
        <w:tab/>
      </w:r>
      <w:hyperlink r:id="rId26" w:history="1">
        <w:r w:rsidRPr="007073E1">
          <w:rPr>
            <w:rFonts w:asciiTheme="majorBidi" w:hAnsiTheme="majorBidi" w:cstheme="majorBidi"/>
            <w:color w:val="02274B"/>
            <w:szCs w:val="24"/>
            <w:u w:val="single"/>
            <w:lang w:val="es-ES" w:eastAsia="zh-CN"/>
          </w:rPr>
          <w:t>Revisión de la Resolución UIT</w:t>
        </w:r>
        <w:r w:rsidRPr="007073E1">
          <w:rPr>
            <w:rFonts w:asciiTheme="majorBidi" w:hAnsiTheme="majorBidi" w:cstheme="majorBidi"/>
            <w:color w:val="02274B"/>
            <w:szCs w:val="24"/>
            <w:u w:val="single"/>
            <w:lang w:val="es-ES" w:eastAsia="zh-CN"/>
          </w:rPr>
          <w:noBreakHyphen/>
          <w:t>R 1-6</w:t>
        </w:r>
      </w:hyperlink>
      <w:r w:rsidRPr="007073E1">
        <w:rPr>
          <w:rFonts w:asciiTheme="majorBidi" w:hAnsiTheme="majorBidi" w:cstheme="majorBidi"/>
          <w:szCs w:val="24"/>
          <w:lang w:val="es-ES" w:eastAsia="zh-CN"/>
        </w:rPr>
        <w:t>, Sr. Robin Haines (EE.UU.),</w:t>
      </w:r>
      <w:r w:rsidRPr="007073E1">
        <w:rPr>
          <w:rFonts w:asciiTheme="majorBidi" w:hAnsiTheme="majorBidi" w:cstheme="majorBidi"/>
          <w:szCs w:val="24"/>
          <w:lang w:val="es-ES" w:eastAsia="zh-CN"/>
        </w:rPr>
        <w:br/>
      </w:r>
      <w:hyperlink r:id="rId27" w:history="1">
        <w:r w:rsidRPr="007073E1">
          <w:rPr>
            <w:rStyle w:val="Hyperlink"/>
            <w:rFonts w:asciiTheme="majorBidi" w:hAnsiTheme="majorBidi" w:cstheme="majorBidi"/>
            <w:szCs w:val="24"/>
            <w:lang w:val="es-ES" w:eastAsia="zh-CN"/>
          </w:rPr>
          <w:t>https://extranet.itu.int/ITU</w:t>
        </w:r>
        <w:r w:rsidRPr="007073E1">
          <w:rPr>
            <w:rStyle w:val="Hyperlink"/>
            <w:rFonts w:asciiTheme="majorBidi" w:hAnsiTheme="majorBidi" w:cstheme="majorBidi"/>
            <w:szCs w:val="24"/>
            <w:lang w:val="es-ES" w:eastAsia="zh-CN"/>
          </w:rPr>
          <w:noBreakHyphen/>
          <w:t>r/conferences/rag/cg_resolution_itu_r_1_6/</w:t>
        </w:r>
      </w:hyperlink>
    </w:p>
    <w:p w:rsidR="00312024" w:rsidRPr="007073E1" w:rsidRDefault="00312024" w:rsidP="00056612">
      <w:pPr>
        <w:pStyle w:val="enumlev1"/>
        <w:rPr>
          <w:rFonts w:asciiTheme="majorBidi" w:hAnsiTheme="majorBidi" w:cstheme="majorBidi"/>
          <w:szCs w:val="24"/>
          <w:lang w:val="es-ES" w:eastAsia="zh-CN"/>
        </w:rPr>
      </w:pPr>
      <w:r w:rsidRPr="007073E1">
        <w:rPr>
          <w:szCs w:val="24"/>
          <w:lang w:val="es-ES"/>
        </w:rPr>
        <w:t>•</w:t>
      </w:r>
      <w:r w:rsidRPr="007073E1">
        <w:rPr>
          <w:szCs w:val="24"/>
          <w:lang w:val="es-ES"/>
        </w:rPr>
        <w:tab/>
      </w:r>
      <w:hyperlink r:id="rId28" w:history="1">
        <w:r w:rsidRPr="007073E1">
          <w:rPr>
            <w:rFonts w:asciiTheme="majorBidi" w:hAnsiTheme="majorBidi" w:cstheme="majorBidi"/>
            <w:color w:val="02274B"/>
            <w:szCs w:val="24"/>
            <w:u w:val="single"/>
            <w:lang w:val="es-ES" w:eastAsia="zh-CN"/>
          </w:rPr>
          <w:t>Formato(s) de la</w:t>
        </w:r>
        <w:r w:rsidR="00056612">
          <w:rPr>
            <w:rFonts w:asciiTheme="majorBidi" w:hAnsiTheme="majorBidi" w:cstheme="majorBidi"/>
            <w:color w:val="02274B"/>
            <w:szCs w:val="24"/>
            <w:u w:val="single"/>
            <w:lang w:val="es-ES" w:eastAsia="zh-CN"/>
          </w:rPr>
          <w:t>s</w:t>
        </w:r>
        <w:r w:rsidRPr="007073E1">
          <w:rPr>
            <w:rFonts w:asciiTheme="majorBidi" w:hAnsiTheme="majorBidi" w:cstheme="majorBidi"/>
            <w:color w:val="02274B"/>
            <w:szCs w:val="24"/>
            <w:u w:val="single"/>
            <w:lang w:val="es-ES" w:eastAsia="zh-CN"/>
          </w:rPr>
          <w:t xml:space="preserve"> Recomendaciones</w:t>
        </w:r>
      </w:hyperlink>
      <w:r w:rsidRPr="007073E1">
        <w:rPr>
          <w:rFonts w:asciiTheme="majorBidi" w:hAnsiTheme="majorBidi" w:cstheme="majorBidi"/>
          <w:szCs w:val="24"/>
          <w:lang w:val="es-ES" w:eastAsia="zh-CN"/>
        </w:rPr>
        <w:t>, Sr. Albert Nalbandian (Armenia)</w:t>
      </w:r>
      <w:r w:rsidRPr="007073E1">
        <w:rPr>
          <w:rFonts w:asciiTheme="majorBidi" w:hAnsiTheme="majorBidi" w:cstheme="majorBidi"/>
          <w:szCs w:val="24"/>
          <w:lang w:val="es-ES" w:eastAsia="zh-CN"/>
        </w:rPr>
        <w:br/>
      </w:r>
      <w:hyperlink r:id="rId29" w:history="1">
        <w:r w:rsidRPr="007073E1">
          <w:rPr>
            <w:rStyle w:val="Hyperlink"/>
            <w:rFonts w:asciiTheme="majorBidi" w:hAnsiTheme="majorBidi" w:cstheme="majorBidi"/>
            <w:szCs w:val="24"/>
            <w:lang w:val="es-ES" w:eastAsia="zh-CN"/>
          </w:rPr>
          <w:t>https://extranet.itu.int/ITU</w:t>
        </w:r>
        <w:r w:rsidRPr="007073E1">
          <w:rPr>
            <w:rStyle w:val="Hyperlink"/>
            <w:rFonts w:asciiTheme="majorBidi" w:hAnsiTheme="majorBidi" w:cstheme="majorBidi"/>
            <w:szCs w:val="24"/>
            <w:lang w:val="es-ES" w:eastAsia="zh-CN"/>
          </w:rPr>
          <w:noBreakHyphen/>
          <w:t>r/conferences/rag/cg_format_itu_r_rec/</w:t>
        </w:r>
      </w:hyperlink>
    </w:p>
    <w:p w:rsidR="00312024" w:rsidRPr="007073E1" w:rsidRDefault="00312024" w:rsidP="00312024">
      <w:pPr>
        <w:pStyle w:val="enumlev1"/>
        <w:rPr>
          <w:rFonts w:asciiTheme="majorBidi" w:hAnsiTheme="majorBidi" w:cstheme="majorBidi"/>
          <w:szCs w:val="24"/>
          <w:lang w:val="es-ES" w:eastAsia="zh-CN"/>
        </w:rPr>
      </w:pPr>
      <w:r w:rsidRPr="007073E1">
        <w:rPr>
          <w:szCs w:val="24"/>
          <w:lang w:val="es-ES"/>
        </w:rPr>
        <w:t>•</w:t>
      </w:r>
      <w:r w:rsidRPr="007073E1">
        <w:rPr>
          <w:szCs w:val="24"/>
          <w:lang w:val="es-ES"/>
        </w:rPr>
        <w:tab/>
      </w:r>
      <w:hyperlink r:id="rId30" w:history="1">
        <w:r w:rsidRPr="007073E1">
          <w:rPr>
            <w:rFonts w:asciiTheme="majorBidi" w:hAnsiTheme="majorBidi" w:cstheme="majorBidi"/>
            <w:color w:val="02274B"/>
            <w:szCs w:val="24"/>
            <w:u w:val="single"/>
            <w:lang w:val="es-ES" w:eastAsia="zh-CN"/>
          </w:rPr>
          <w:t>Revisión de la Resolución UIT</w:t>
        </w:r>
        <w:r w:rsidRPr="007073E1">
          <w:rPr>
            <w:rFonts w:asciiTheme="majorBidi" w:hAnsiTheme="majorBidi" w:cstheme="majorBidi"/>
            <w:color w:val="02274B"/>
            <w:szCs w:val="24"/>
            <w:u w:val="single"/>
            <w:lang w:val="es-ES" w:eastAsia="zh-CN"/>
          </w:rPr>
          <w:noBreakHyphen/>
          <w:t>R 6-1</w:t>
        </w:r>
      </w:hyperlink>
      <w:r w:rsidRPr="007073E1">
        <w:rPr>
          <w:rFonts w:asciiTheme="majorBidi" w:hAnsiTheme="majorBidi" w:cstheme="majorBidi"/>
          <w:szCs w:val="24"/>
          <w:lang w:val="es-ES" w:eastAsia="zh-CN"/>
        </w:rPr>
        <w:t>, Sr. Paolo Zaccarian (Italia)</w:t>
      </w:r>
      <w:r w:rsidRPr="007073E1">
        <w:rPr>
          <w:rFonts w:asciiTheme="majorBidi" w:hAnsiTheme="majorBidi" w:cstheme="majorBidi"/>
          <w:szCs w:val="24"/>
          <w:lang w:val="es-ES" w:eastAsia="zh-CN"/>
        </w:rPr>
        <w:br/>
      </w:r>
      <w:hyperlink r:id="rId31" w:history="1">
        <w:r w:rsidRPr="007073E1">
          <w:rPr>
            <w:rStyle w:val="Hyperlink"/>
            <w:rFonts w:asciiTheme="majorBidi" w:hAnsiTheme="majorBidi" w:cstheme="majorBidi"/>
            <w:szCs w:val="24"/>
            <w:lang w:val="es-ES" w:eastAsia="zh-CN"/>
          </w:rPr>
          <w:t>https://extranet.itu.int/ITU</w:t>
        </w:r>
        <w:r w:rsidRPr="007073E1">
          <w:rPr>
            <w:rStyle w:val="Hyperlink"/>
            <w:rFonts w:asciiTheme="majorBidi" w:hAnsiTheme="majorBidi" w:cstheme="majorBidi"/>
            <w:szCs w:val="24"/>
            <w:lang w:val="es-ES" w:eastAsia="zh-CN"/>
          </w:rPr>
          <w:noBreakHyphen/>
          <w:t>r/conferences/rag/cg_resolution_itu_r_6_1/</w:t>
        </w:r>
      </w:hyperlink>
    </w:p>
    <w:p w:rsidR="00312024" w:rsidRPr="00056612" w:rsidRDefault="00056612" w:rsidP="00312024">
      <w:pPr>
        <w:pStyle w:val="Heading1"/>
        <w:rPr>
          <w:rFonts w:eastAsiaTheme="minorEastAsia"/>
          <w:b w:val="0"/>
          <w:bCs/>
          <w:lang w:val="es-ES" w:eastAsia="zh-CN"/>
        </w:rPr>
      </w:pPr>
      <w:r>
        <w:rPr>
          <w:rFonts w:eastAsiaTheme="minorEastAsia"/>
          <w:b w:val="0"/>
          <w:bCs/>
          <w:lang w:val="es-ES" w:eastAsia="zh-CN"/>
        </w:rPr>
        <w:t>Todos estos grupos han concluido sus actividades.</w:t>
      </w:r>
    </w:p>
    <w:p w:rsidR="00312024" w:rsidRPr="00187C22" w:rsidRDefault="00312024" w:rsidP="00312024">
      <w:pPr>
        <w:pStyle w:val="Heading1"/>
        <w:rPr>
          <w:rFonts w:eastAsia="SimSun"/>
          <w:lang w:val="es-ES" w:eastAsia="zh-CN"/>
        </w:rPr>
      </w:pPr>
      <w:r>
        <w:rPr>
          <w:rFonts w:eastAsia="SimSun"/>
          <w:lang w:val="es-ES" w:eastAsia="zh-CN"/>
        </w:rPr>
        <w:t>8</w:t>
      </w:r>
      <w:r w:rsidR="00F92604">
        <w:rPr>
          <w:rFonts w:eastAsia="SimSun"/>
          <w:lang w:val="es-ES" w:eastAsia="zh-CN"/>
        </w:rPr>
        <w:tab/>
        <w:t>Planificación o</w:t>
      </w:r>
      <w:r w:rsidRPr="00187C22">
        <w:rPr>
          <w:rFonts w:eastAsia="SimSun"/>
          <w:lang w:val="es-ES" w:eastAsia="zh-CN"/>
        </w:rPr>
        <w:t>peracional</w:t>
      </w:r>
    </w:p>
    <w:p w:rsidR="00312024" w:rsidRPr="00187C22" w:rsidRDefault="00312024" w:rsidP="00C11215">
      <w:pPr>
        <w:rPr>
          <w:lang w:val="es-ES"/>
        </w:rPr>
      </w:pPr>
      <w:r w:rsidRPr="00187C22">
        <w:rPr>
          <w:lang w:val="es-ES"/>
        </w:rPr>
        <w:t>El Plan Operacional para el periodo</w:t>
      </w:r>
      <w:r w:rsidR="00E301B0">
        <w:rPr>
          <w:lang w:val="es-ES"/>
        </w:rPr>
        <w:t>2015-2018, adoptado por el Consejo en su reunión de 2014 (Resolución 1363)</w:t>
      </w:r>
      <w:r w:rsidR="00452B27">
        <w:rPr>
          <w:lang w:val="es-ES"/>
        </w:rPr>
        <w:t>,</w:t>
      </w:r>
      <w:r w:rsidR="00E301B0">
        <w:rPr>
          <w:lang w:val="es-ES"/>
        </w:rPr>
        <w:t xml:space="preserve"> </w:t>
      </w:r>
      <w:r w:rsidRPr="00187C22">
        <w:rPr>
          <w:lang w:val="es-ES"/>
        </w:rPr>
        <w:t xml:space="preserve">está disponible en: </w:t>
      </w:r>
      <w:hyperlink r:id="rId32" w:history="1">
        <w:r w:rsidRPr="00187C22">
          <w:rPr>
            <w:rStyle w:val="Hyperlink"/>
            <w:lang w:val="es-ES"/>
          </w:rPr>
          <w:t>http://www.itu.int/ITU-R/go/operational-plans/</w:t>
        </w:r>
      </w:hyperlink>
      <w:r w:rsidR="00452B27">
        <w:rPr>
          <w:lang w:val="es-ES"/>
        </w:rPr>
        <w:t>. E</w:t>
      </w:r>
      <w:r w:rsidRPr="00187C22">
        <w:rPr>
          <w:lang w:val="es-ES"/>
        </w:rPr>
        <w:t xml:space="preserve">ste Plan se ha estructurado </w:t>
      </w:r>
      <w:r w:rsidR="00C11215">
        <w:rPr>
          <w:lang w:val="es-ES"/>
        </w:rPr>
        <w:t>en función de</w:t>
      </w:r>
      <w:r w:rsidRPr="00187C22">
        <w:rPr>
          <w:lang w:val="es-ES"/>
        </w:rPr>
        <w:t xml:space="preserve"> los resultados</w:t>
      </w:r>
      <w:r w:rsidR="00C11215">
        <w:rPr>
          <w:lang w:val="es-ES"/>
        </w:rPr>
        <w:t>,</w:t>
      </w:r>
      <w:r w:rsidRPr="00187C22">
        <w:rPr>
          <w:lang w:val="es-ES"/>
        </w:rPr>
        <w:t xml:space="preserve"> a fin de garantizar una vinculación completa con el presupuesto y otros instrumentos financieros de la Unión. También aborda los aspectos estrat</w:t>
      </w:r>
      <w:r w:rsidR="00C11215">
        <w:rPr>
          <w:lang w:val="es-ES"/>
        </w:rPr>
        <w:t>égicos del UIT-R y proporciona un</w:t>
      </w:r>
      <w:r w:rsidRPr="00187C22">
        <w:rPr>
          <w:lang w:val="es-ES"/>
        </w:rPr>
        <w:t>a vinculación adecuada con el Plan Estratégico de la UIT.</w:t>
      </w:r>
    </w:p>
    <w:p w:rsidR="00312024" w:rsidRPr="00187C22" w:rsidRDefault="00312024" w:rsidP="00C11215">
      <w:pPr>
        <w:rPr>
          <w:lang w:val="es-ES"/>
        </w:rPr>
      </w:pPr>
      <w:r w:rsidRPr="00187C22">
        <w:rPr>
          <w:lang w:val="es-ES"/>
        </w:rPr>
        <w:t xml:space="preserve">El Informe de </w:t>
      </w:r>
      <w:r w:rsidR="003C51CA">
        <w:rPr>
          <w:lang w:val="es-ES"/>
        </w:rPr>
        <w:t xml:space="preserve">actividades </w:t>
      </w:r>
      <w:r>
        <w:rPr>
          <w:lang w:val="es-ES"/>
        </w:rPr>
        <w:t xml:space="preserve">de </w:t>
      </w:r>
      <w:r w:rsidR="003C51CA">
        <w:rPr>
          <w:lang w:val="es-ES"/>
        </w:rPr>
        <w:t>2013</w:t>
      </w:r>
      <w:r w:rsidR="00C11215">
        <w:rPr>
          <w:lang w:val="es-ES"/>
        </w:rPr>
        <w:t xml:space="preserve">, </w:t>
      </w:r>
      <w:r w:rsidRPr="00187C22">
        <w:rPr>
          <w:lang w:val="es-ES"/>
        </w:rPr>
        <w:t xml:space="preserve">disponible en: </w:t>
      </w:r>
      <w:hyperlink r:id="rId33" w:history="1">
        <w:r w:rsidRPr="00187C22">
          <w:rPr>
            <w:rStyle w:val="Hyperlink"/>
            <w:lang w:val="es-ES"/>
          </w:rPr>
          <w:t>http://www.itu.int/ITU-R/go/performance-reports/</w:t>
        </w:r>
      </w:hyperlink>
      <w:r w:rsidR="00C11215">
        <w:rPr>
          <w:lang w:val="es-ES"/>
        </w:rPr>
        <w:t xml:space="preserve">, tiene por finalidad dar </w:t>
      </w:r>
      <w:r w:rsidRPr="00187C22">
        <w:rPr>
          <w:lang w:val="es-ES"/>
        </w:rPr>
        <w:t xml:space="preserve">información </w:t>
      </w:r>
      <w:r w:rsidR="00C11215">
        <w:rPr>
          <w:lang w:val="es-ES"/>
        </w:rPr>
        <w:t>sobre</w:t>
      </w:r>
      <w:r w:rsidRPr="00187C22">
        <w:rPr>
          <w:lang w:val="es-ES"/>
        </w:rPr>
        <w:t xml:space="preserve"> la aplicación de los r</w:t>
      </w:r>
      <w:r w:rsidR="00C11215">
        <w:rPr>
          <w:lang w:val="es-ES"/>
        </w:rPr>
        <w:t>esultados y actividades previsto</w:t>
      </w:r>
      <w:r w:rsidRPr="00187C22">
        <w:rPr>
          <w:lang w:val="es-ES"/>
        </w:rPr>
        <w:t>s en el Plan</w:t>
      </w:r>
      <w:r>
        <w:rPr>
          <w:lang w:val="es-ES"/>
        </w:rPr>
        <w:t xml:space="preserve"> Operacional del UIT-R</w:t>
      </w:r>
      <w:r w:rsidR="003C51CA">
        <w:rPr>
          <w:lang w:val="es-ES"/>
        </w:rPr>
        <w:t xml:space="preserve"> para el periodo en estudio</w:t>
      </w:r>
      <w:r w:rsidRPr="00187C22">
        <w:rPr>
          <w:lang w:val="es-ES"/>
        </w:rPr>
        <w:t>. E</w:t>
      </w:r>
      <w:r w:rsidR="003C51CA">
        <w:rPr>
          <w:lang w:val="es-ES"/>
        </w:rPr>
        <w:t>n e</w:t>
      </w:r>
      <w:r w:rsidRPr="00187C22">
        <w:rPr>
          <w:lang w:val="es-ES"/>
        </w:rPr>
        <w:t xml:space="preserve">l Informe de </w:t>
      </w:r>
      <w:r w:rsidR="003C51CA">
        <w:rPr>
          <w:lang w:val="es-ES"/>
        </w:rPr>
        <w:t xml:space="preserve">actividades se comparan </w:t>
      </w:r>
      <w:r w:rsidRPr="00187C22">
        <w:rPr>
          <w:lang w:val="es-ES"/>
        </w:rPr>
        <w:t xml:space="preserve">los resultados logrados y los resultados </w:t>
      </w:r>
      <w:r w:rsidR="00386408">
        <w:rPr>
          <w:lang w:val="es-ES"/>
        </w:rPr>
        <w:t xml:space="preserve">previstos, </w:t>
      </w:r>
      <w:r w:rsidR="00C11215">
        <w:rPr>
          <w:lang w:val="es-ES"/>
        </w:rPr>
        <w:t>y se proporcionan l</w:t>
      </w:r>
      <w:r w:rsidRPr="00187C22">
        <w:rPr>
          <w:lang w:val="es-ES"/>
        </w:rPr>
        <w:t xml:space="preserve">os indicadores </w:t>
      </w:r>
      <w:r w:rsidR="00386408">
        <w:rPr>
          <w:lang w:val="es-ES"/>
        </w:rPr>
        <w:t xml:space="preserve">fundamentales </w:t>
      </w:r>
      <w:r w:rsidRPr="00187C22">
        <w:rPr>
          <w:lang w:val="es-ES"/>
        </w:rPr>
        <w:t>de rendimiento</w:t>
      </w:r>
      <w:r w:rsidR="00C11215">
        <w:rPr>
          <w:lang w:val="es-ES"/>
        </w:rPr>
        <w:t xml:space="preserve"> correspondientes</w:t>
      </w:r>
      <w:r w:rsidRPr="00187C22">
        <w:rPr>
          <w:lang w:val="es-ES"/>
        </w:rPr>
        <w:t xml:space="preserve">, </w:t>
      </w:r>
      <w:r w:rsidR="00C11215">
        <w:rPr>
          <w:lang w:val="es-ES"/>
        </w:rPr>
        <w:t xml:space="preserve">indicados para </w:t>
      </w:r>
      <w:r w:rsidRPr="00187C22">
        <w:rPr>
          <w:lang w:val="es-ES"/>
        </w:rPr>
        <w:t xml:space="preserve">cada </w:t>
      </w:r>
      <w:r w:rsidR="00386408">
        <w:rPr>
          <w:lang w:val="es-ES"/>
        </w:rPr>
        <w:t>O</w:t>
      </w:r>
      <w:r w:rsidRPr="00187C22">
        <w:rPr>
          <w:lang w:val="es-ES"/>
        </w:rPr>
        <w:t xml:space="preserve">bjetivo </w:t>
      </w:r>
      <w:r w:rsidR="00C11215">
        <w:rPr>
          <w:lang w:val="es-ES"/>
        </w:rPr>
        <w:t xml:space="preserve">principal </w:t>
      </w:r>
      <w:r w:rsidRPr="00187C22">
        <w:rPr>
          <w:lang w:val="es-ES"/>
        </w:rPr>
        <w:t xml:space="preserve">y en relación </w:t>
      </w:r>
      <w:r w:rsidR="00C11215">
        <w:rPr>
          <w:lang w:val="es-ES"/>
        </w:rPr>
        <w:t xml:space="preserve">con </w:t>
      </w:r>
      <w:r w:rsidRPr="00187C22">
        <w:rPr>
          <w:lang w:val="es-ES"/>
        </w:rPr>
        <w:t xml:space="preserve">cada </w:t>
      </w:r>
      <w:r w:rsidR="00C11215">
        <w:rPr>
          <w:lang w:val="es-ES"/>
        </w:rPr>
        <w:t xml:space="preserve">producto </w:t>
      </w:r>
      <w:r w:rsidRPr="00187C22">
        <w:rPr>
          <w:lang w:val="es-ES"/>
        </w:rPr>
        <w:t>pertinente en el documento.</w:t>
      </w:r>
    </w:p>
    <w:p w:rsidR="00312024" w:rsidRPr="00187C22" w:rsidRDefault="00312024" w:rsidP="007E3591">
      <w:pPr>
        <w:pStyle w:val="Heading1"/>
        <w:rPr>
          <w:lang w:val="es-ES" w:eastAsia="zh-CN"/>
        </w:rPr>
      </w:pPr>
      <w:r>
        <w:rPr>
          <w:lang w:val="es-ES" w:eastAsia="zh-CN"/>
        </w:rPr>
        <w:t>9</w:t>
      </w:r>
      <w:r w:rsidRPr="00187C22">
        <w:rPr>
          <w:lang w:val="es-ES" w:eastAsia="zh-CN"/>
        </w:rPr>
        <w:tab/>
        <w:t>Información y asistencia a los Miembros</w:t>
      </w:r>
    </w:p>
    <w:p w:rsidR="00312024" w:rsidRPr="00187C22" w:rsidRDefault="00312024" w:rsidP="0082271F">
      <w:pPr>
        <w:rPr>
          <w:rFonts w:cs="Calibri"/>
          <w:lang w:val="es-ES"/>
        </w:rPr>
      </w:pPr>
      <w:r w:rsidRPr="00187C22">
        <w:rPr>
          <w:rFonts w:cs="Calibri"/>
          <w:lang w:val="es-ES"/>
        </w:rPr>
        <w:t>Con el fin de informar y ayudar a los Miembros de la UIT, en particular</w:t>
      </w:r>
      <w:r w:rsidR="005D4676">
        <w:rPr>
          <w:rFonts w:cs="Calibri"/>
          <w:lang w:val="es-ES"/>
        </w:rPr>
        <w:t xml:space="preserve"> a</w:t>
      </w:r>
      <w:r w:rsidRPr="00187C22">
        <w:rPr>
          <w:rFonts w:cs="Calibri"/>
          <w:lang w:val="es-ES"/>
        </w:rPr>
        <w:t xml:space="preserve"> los países en desarrollo, </w:t>
      </w:r>
      <w:r w:rsidR="00130FBD">
        <w:rPr>
          <w:rFonts w:cs="Calibri"/>
          <w:lang w:val="es-ES"/>
        </w:rPr>
        <w:t xml:space="preserve">en el examen </w:t>
      </w:r>
      <w:r w:rsidRPr="00187C22">
        <w:rPr>
          <w:rFonts w:cs="Calibri"/>
          <w:lang w:val="es-ES"/>
        </w:rPr>
        <w:t xml:space="preserve">de asuntos relacionados con las radiocomunicaciones, la BR organiza </w:t>
      </w:r>
      <w:r w:rsidR="00130FBD">
        <w:rPr>
          <w:rFonts w:cs="Calibri"/>
          <w:lang w:val="es-ES"/>
        </w:rPr>
        <w:t xml:space="preserve">un cierto número de </w:t>
      </w:r>
      <w:r w:rsidRPr="00187C22">
        <w:rPr>
          <w:rFonts w:cs="Calibri"/>
          <w:lang w:val="es-ES"/>
        </w:rPr>
        <w:t xml:space="preserve">talleres, </w:t>
      </w:r>
      <w:r w:rsidR="005D4676">
        <w:rPr>
          <w:rFonts w:cs="Calibri"/>
          <w:lang w:val="es-ES"/>
        </w:rPr>
        <w:t xml:space="preserve">seminarios, </w:t>
      </w:r>
      <w:r w:rsidRPr="00187C22">
        <w:rPr>
          <w:rFonts w:cs="Calibri"/>
          <w:lang w:val="es-ES"/>
        </w:rPr>
        <w:t>reuniones y actividades de formación en materia de espectro</w:t>
      </w:r>
      <w:r w:rsidR="00130FBD">
        <w:rPr>
          <w:rFonts w:cs="Calibri"/>
          <w:lang w:val="es-ES"/>
        </w:rPr>
        <w:t>, y participa en ellos</w:t>
      </w:r>
      <w:r w:rsidRPr="00187C22">
        <w:rPr>
          <w:rFonts w:cs="Calibri"/>
          <w:lang w:val="es-ES"/>
        </w:rPr>
        <w:t>.</w:t>
      </w:r>
      <w:r w:rsidRPr="00187C22">
        <w:rPr>
          <w:lang w:val="es-ES"/>
        </w:rPr>
        <w:t xml:space="preserve"> Estas actividades se llevan a cabo en estrecha cooperación con la BDT, las oficinas regionales y de zona de la UIT y las organizaciones internacionales o autoridades </w:t>
      </w:r>
      <w:r w:rsidR="0082271F">
        <w:rPr>
          <w:lang w:val="es-ES"/>
        </w:rPr>
        <w:t>nacionales interesadas. C</w:t>
      </w:r>
      <w:r w:rsidRPr="00187C22">
        <w:rPr>
          <w:lang w:val="es-ES"/>
        </w:rPr>
        <w:t>ontribuyen directamente a la creación de capacidades y el intercambio de experiencias entre los Miembros de la</w:t>
      </w:r>
      <w:r>
        <w:rPr>
          <w:lang w:val="es-ES"/>
        </w:rPr>
        <w:t> </w:t>
      </w:r>
      <w:r w:rsidRPr="00187C22">
        <w:rPr>
          <w:lang w:val="es-ES"/>
        </w:rPr>
        <w:t xml:space="preserve">UIT </w:t>
      </w:r>
      <w:r w:rsidRPr="00187C22">
        <w:rPr>
          <w:rFonts w:cs="Calibri"/>
          <w:lang w:val="es-ES"/>
        </w:rPr>
        <w:t>sobre cuestiones de espectro.</w:t>
      </w:r>
      <w:r w:rsidR="0082271F">
        <w:rPr>
          <w:rFonts w:cs="Calibri"/>
          <w:lang w:val="es-ES"/>
        </w:rPr>
        <w:t xml:space="preserve"> La Oficina ha</w:t>
      </w:r>
      <w:r w:rsidRPr="00187C22">
        <w:rPr>
          <w:rFonts w:cs="Calibri"/>
          <w:lang w:val="es-ES"/>
        </w:rPr>
        <w:t xml:space="preserve"> desplegado esfuerzos especiales para ayudar a los miembros y promover la cooperación en la transición a la televisión digital terrenal y a la atribución del dividendo digital.</w:t>
      </w:r>
    </w:p>
    <w:p w:rsidR="00312024" w:rsidRDefault="00312024" w:rsidP="005D4676">
      <w:r>
        <w:t xml:space="preserve">La lista de eventos en los que participó la BR durante </w:t>
      </w:r>
      <w:r w:rsidR="005D4676">
        <w:t xml:space="preserve">2013 se enumera </w:t>
      </w:r>
      <w:r>
        <w:t>en el Anexo 2.</w:t>
      </w:r>
    </w:p>
    <w:p w:rsidR="00312024" w:rsidRDefault="00312024" w:rsidP="00312024">
      <w:r>
        <w:t xml:space="preserve">En la dirección </w:t>
      </w:r>
      <w:hyperlink r:id="rId34" w:history="1">
        <w:r w:rsidRPr="00080AD5">
          <w:rPr>
            <w:rStyle w:val="Hyperlink"/>
            <w:bCs/>
            <w:lang w:eastAsia="zh-CN"/>
          </w:rPr>
          <w:t>http://www.itu.int/ITU</w:t>
        </w:r>
        <w:r w:rsidRPr="00080AD5">
          <w:rPr>
            <w:rStyle w:val="Hyperlink"/>
            <w:bCs/>
            <w:lang w:eastAsia="zh-CN"/>
          </w:rPr>
          <w:noBreakHyphen/>
          <w:t>R/go/seminars</w:t>
        </w:r>
      </w:hyperlink>
      <w:r>
        <w:t xml:space="preserve"> figura una lista completa de seminarios y talleres organizados directamente por la UIT o en cooperación con otras entidades regionales o nacionales.</w:t>
      </w:r>
    </w:p>
    <w:p w:rsidR="00312024" w:rsidRDefault="005638D8" w:rsidP="005638D8">
      <w:pPr>
        <w:pStyle w:val="Heading2"/>
        <w:rPr>
          <w:rFonts w:eastAsiaTheme="minorEastAsia"/>
          <w:lang w:eastAsia="zh-CN"/>
        </w:rPr>
      </w:pPr>
      <w:r>
        <w:rPr>
          <w:rFonts w:eastAsiaTheme="minorEastAsia"/>
          <w:lang w:eastAsia="zh-CN"/>
        </w:rPr>
        <w:t>9.1</w:t>
      </w:r>
      <w:r>
        <w:rPr>
          <w:rFonts w:eastAsiaTheme="minorEastAsia"/>
          <w:lang w:eastAsia="zh-CN"/>
        </w:rPr>
        <w:tab/>
        <w:t>Seminarios de Radiocomunicaciones</w:t>
      </w:r>
    </w:p>
    <w:p w:rsidR="008402C7" w:rsidRPr="008402C7" w:rsidRDefault="003860E7" w:rsidP="007D53C8">
      <w:r w:rsidRPr="003860E7">
        <w:t>Como complemento de</w:t>
      </w:r>
      <w:r>
        <w:t xml:space="preserve"> los </w:t>
      </w:r>
      <w:r w:rsidR="007D53C8" w:rsidRPr="003860E7">
        <w:t>Seminarios</w:t>
      </w:r>
      <w:r w:rsidR="007D53C8">
        <w:t xml:space="preserve"> Mundiales de Radiocomunicaciones </w:t>
      </w:r>
      <w:r>
        <w:t xml:space="preserve">(SMR) bienales, la </w:t>
      </w:r>
      <w:r w:rsidRPr="003860E7">
        <w:t xml:space="preserve">BR </w:t>
      </w:r>
      <w:r w:rsidR="0082271F">
        <w:t>o</w:t>
      </w:r>
      <w:r w:rsidRPr="003860E7">
        <w:t>rganiza</w:t>
      </w:r>
      <w:r w:rsidR="0082271F">
        <w:t xml:space="preserve"> </w:t>
      </w:r>
      <w:r>
        <w:t>un ciclo</w:t>
      </w:r>
      <w:r w:rsidRPr="003860E7">
        <w:t xml:space="preserve"> anual de </w:t>
      </w:r>
      <w:r w:rsidR="007D53C8" w:rsidRPr="003860E7">
        <w:t xml:space="preserve">Seminarios Regionales </w:t>
      </w:r>
      <w:r w:rsidR="007D53C8">
        <w:t>d</w:t>
      </w:r>
      <w:r w:rsidR="007D53C8" w:rsidRPr="003860E7">
        <w:t xml:space="preserve">e Radiocomunicaciones </w:t>
      </w:r>
      <w:r w:rsidRPr="003860E7">
        <w:t>(</w:t>
      </w:r>
      <w:r>
        <w:t>SRR),</w:t>
      </w:r>
      <w:r w:rsidRPr="003860E7">
        <w:t xml:space="preserve"> que se celebra</w:t>
      </w:r>
      <w:r>
        <w:t xml:space="preserve">n </w:t>
      </w:r>
      <w:r w:rsidRPr="003860E7">
        <w:t>en diferentes regiones del mundo</w:t>
      </w:r>
      <w:r>
        <w:t xml:space="preserve"> entero con la finalidad de </w:t>
      </w:r>
      <w:r w:rsidRPr="003860E7">
        <w:t>foment</w:t>
      </w:r>
      <w:r>
        <w:t xml:space="preserve">ar </w:t>
      </w:r>
      <w:r w:rsidRPr="003860E7">
        <w:t>la creación de capacidad</w:t>
      </w:r>
      <w:r>
        <w:t>es</w:t>
      </w:r>
      <w:r w:rsidRPr="003860E7">
        <w:t xml:space="preserve"> humana</w:t>
      </w:r>
      <w:r>
        <w:t>s</w:t>
      </w:r>
      <w:r w:rsidRPr="003860E7">
        <w:t xml:space="preserve"> </w:t>
      </w:r>
      <w:r>
        <w:t xml:space="preserve">relativas a la utilización del espectro </w:t>
      </w:r>
      <w:r w:rsidRPr="003860E7">
        <w:t>de frecuencias</w:t>
      </w:r>
      <w:r>
        <w:t xml:space="preserve"> radioeléctricas</w:t>
      </w:r>
      <w:r w:rsidRPr="003860E7">
        <w:t xml:space="preserve"> y</w:t>
      </w:r>
      <w:r>
        <w:t xml:space="preserve"> </w:t>
      </w:r>
      <w:r w:rsidRPr="003860E7">
        <w:t>las órbitas de satélite</w:t>
      </w:r>
      <w:r w:rsidR="0082271F">
        <w:t xml:space="preserve"> </w:t>
      </w:r>
      <w:r w:rsidR="0082271F">
        <w:lastRenderedPageBreak/>
        <w:t>y,</w:t>
      </w:r>
      <w:r>
        <w:t xml:space="preserve"> </w:t>
      </w:r>
      <w:r w:rsidRPr="003860E7">
        <w:t>en particular</w:t>
      </w:r>
      <w:r>
        <w:t>,</w:t>
      </w:r>
      <w:r w:rsidRPr="003860E7">
        <w:t xml:space="preserve"> la aplicación de las disposiciones del Reglamento de Radiocomunicaciones de la UIT. Las ventajas principales de</w:t>
      </w:r>
      <w:r>
        <w:t xml:space="preserve"> los SRR </w:t>
      </w:r>
      <w:r w:rsidRPr="003860E7">
        <w:t>son</w:t>
      </w:r>
      <w:r w:rsidR="00190C1C">
        <w:t xml:space="preserve"> las siguientes</w:t>
      </w:r>
      <w:r w:rsidRPr="003860E7">
        <w:t>:</w:t>
      </w:r>
    </w:p>
    <w:p w:rsidR="008402C7" w:rsidRPr="008402C7" w:rsidRDefault="007E3591" w:rsidP="007E3591">
      <w:pPr>
        <w:pStyle w:val="enumlev1"/>
      </w:pPr>
      <w:r>
        <w:t>–</w:t>
      </w:r>
      <w:r>
        <w:tab/>
      </w:r>
      <w:r w:rsidR="00B148B9">
        <w:t>E</w:t>
      </w:r>
      <w:r w:rsidR="00450A9D" w:rsidRPr="00450A9D">
        <w:t xml:space="preserve">n cada región, puede participar un número mayor de funcionarios de organizaciones nacionales </w:t>
      </w:r>
      <w:r w:rsidR="00450A9D">
        <w:t>encargadas de la gestión de frecuencias, y de representantes de otros interesados del sector de las radiocomunicaciones</w:t>
      </w:r>
      <w:r w:rsidR="00B148B9">
        <w:t>.</w:t>
      </w:r>
      <w:r w:rsidR="00E72A0F">
        <w:t xml:space="preserve"> </w:t>
      </w:r>
    </w:p>
    <w:p w:rsidR="008402C7" w:rsidRPr="008402C7" w:rsidRDefault="007E3591" w:rsidP="007E3591">
      <w:pPr>
        <w:pStyle w:val="enumlev1"/>
      </w:pPr>
      <w:r>
        <w:t>–</w:t>
      </w:r>
      <w:r>
        <w:tab/>
      </w:r>
      <w:r w:rsidR="00B148B9">
        <w:t>E</w:t>
      </w:r>
      <w:r w:rsidR="00190C1C">
        <w:t xml:space="preserve">n </w:t>
      </w:r>
      <w:r w:rsidR="00190C1C" w:rsidRPr="00190C1C">
        <w:t>el programa de los seminarios puede dar</w:t>
      </w:r>
      <w:r w:rsidR="00190C1C">
        <w:t>se</w:t>
      </w:r>
      <w:r w:rsidR="00190C1C" w:rsidRPr="00190C1C">
        <w:t xml:space="preserve"> prioridad a situaciones </w:t>
      </w:r>
      <w:r w:rsidR="00190C1C">
        <w:t>y problemas regionales de interés</w:t>
      </w:r>
      <w:r w:rsidR="00B148B9">
        <w:t>.</w:t>
      </w:r>
      <w:r w:rsidR="00190C1C" w:rsidRPr="00190C1C">
        <w:t xml:space="preserve"> </w:t>
      </w:r>
    </w:p>
    <w:p w:rsidR="008402C7" w:rsidRPr="008402C7" w:rsidRDefault="007E3591" w:rsidP="007E3591">
      <w:pPr>
        <w:pStyle w:val="enumlev1"/>
      </w:pPr>
      <w:r>
        <w:t>–</w:t>
      </w:r>
      <w:r>
        <w:tab/>
      </w:r>
      <w:r w:rsidR="00B148B9">
        <w:t>L</w:t>
      </w:r>
      <w:r w:rsidR="00190C1C" w:rsidRPr="00190C1C">
        <w:t>os participantes pueden entablar un diálogo más profundo</w:t>
      </w:r>
      <w:r w:rsidR="00417D2C">
        <w:t xml:space="preserve">, </w:t>
      </w:r>
      <w:r w:rsidR="00190C1C" w:rsidRPr="00190C1C">
        <w:t xml:space="preserve">recibir más fácilmente una capacitación en las </w:t>
      </w:r>
      <w:r w:rsidR="00190C1C">
        <w:t xml:space="preserve">últimas </w:t>
      </w:r>
      <w:r w:rsidR="00190C1C" w:rsidRPr="00190C1C">
        <w:t>herramientas</w:t>
      </w:r>
      <w:r w:rsidR="00190C1C">
        <w:t xml:space="preserve"> TIC de gestión de frecuencias elaboradas por la UIT</w:t>
      </w:r>
      <w:r w:rsidR="00417D2C">
        <w:t xml:space="preserve"> y tener mejor en cu</w:t>
      </w:r>
      <w:r w:rsidR="00B148B9">
        <w:t>enta sus problemas particulares.</w:t>
      </w:r>
      <w:r w:rsidR="00E72A0F">
        <w:t xml:space="preserve"> </w:t>
      </w:r>
      <w:r w:rsidR="00190C1C" w:rsidRPr="00190C1C">
        <w:t xml:space="preserve"> </w:t>
      </w:r>
    </w:p>
    <w:p w:rsidR="008402C7" w:rsidRPr="008402C7" w:rsidRDefault="007E3591" w:rsidP="007E3591">
      <w:pPr>
        <w:pStyle w:val="enumlev1"/>
      </w:pPr>
      <w:r>
        <w:t>–</w:t>
      </w:r>
      <w:r>
        <w:tab/>
      </w:r>
      <w:r w:rsidR="00B148B9">
        <w:t>E</w:t>
      </w:r>
      <w:r w:rsidR="00FC10AD" w:rsidRPr="00FC10AD">
        <w:t>l personal de la UIT está en condiciones de comprender mejor los problemas locales en materia de gesti</w:t>
      </w:r>
      <w:r w:rsidR="00FC10AD">
        <w:t xml:space="preserve">ón de frecuencias y, por consiguiente, prestar una asistencia más adecuada. </w:t>
      </w:r>
    </w:p>
    <w:p w:rsidR="008402C7" w:rsidRPr="002F4D0B" w:rsidRDefault="002F4D0B" w:rsidP="007E3591">
      <w:r w:rsidRPr="002F4D0B">
        <w:t xml:space="preserve">La </w:t>
      </w:r>
      <w:r w:rsidR="00B148B9">
        <w:t xml:space="preserve">estructura </w:t>
      </w:r>
      <w:r w:rsidRPr="002F4D0B">
        <w:t>de los S</w:t>
      </w:r>
      <w:r w:rsidR="00E36666">
        <w:t>RR</w:t>
      </w:r>
      <w:r w:rsidR="008402C7" w:rsidRPr="008402C7">
        <w:t xml:space="preserve"> </w:t>
      </w:r>
      <w:r w:rsidR="00B148B9">
        <w:t xml:space="preserve">es la </w:t>
      </w:r>
      <w:r w:rsidRPr="002F4D0B">
        <w:t>siguiente</w:t>
      </w:r>
      <w:r w:rsidR="008402C7" w:rsidRPr="008402C7">
        <w:t>:</w:t>
      </w:r>
    </w:p>
    <w:p w:rsidR="008402C7" w:rsidRPr="008402C7" w:rsidRDefault="007E3591" w:rsidP="007E3591">
      <w:pPr>
        <w:pStyle w:val="enumlev1"/>
      </w:pPr>
      <w:r>
        <w:rPr>
          <w:b/>
          <w:bCs/>
          <w:i/>
          <w:iCs/>
        </w:rPr>
        <w:t>–</w:t>
      </w:r>
      <w:r>
        <w:rPr>
          <w:b/>
          <w:bCs/>
          <w:i/>
          <w:iCs/>
        </w:rPr>
        <w:tab/>
      </w:r>
      <w:r w:rsidR="008C26B7">
        <w:rPr>
          <w:b/>
          <w:bCs/>
          <w:i/>
          <w:iCs/>
        </w:rPr>
        <w:t>Material didáctico disponible en la web antes del seminario</w:t>
      </w:r>
      <w:r w:rsidR="008402C7" w:rsidRPr="008402C7">
        <w:t xml:space="preserve">: </w:t>
      </w:r>
      <w:r w:rsidR="00D60449" w:rsidRPr="00D60449">
        <w:t>e</w:t>
      </w:r>
      <w:r w:rsidR="00D551F3">
        <w:t xml:space="preserve">ste material </w:t>
      </w:r>
      <w:r w:rsidR="00E95294">
        <w:t>e</w:t>
      </w:r>
      <w:r w:rsidR="00D60449" w:rsidRPr="00D60449">
        <w:t xml:space="preserve">stá disponible en </w:t>
      </w:r>
      <w:r w:rsidR="00D60449">
        <w:t xml:space="preserve">la página </w:t>
      </w:r>
      <w:r w:rsidR="00D60449" w:rsidRPr="00D60449">
        <w:t>web de la UIT</w:t>
      </w:r>
      <w:r w:rsidR="00D60449">
        <w:t xml:space="preserve"> </w:t>
      </w:r>
      <w:r w:rsidR="00D60449" w:rsidRPr="00D60449">
        <w:t xml:space="preserve">y </w:t>
      </w:r>
      <w:r w:rsidR="00D60449">
        <w:t>p</w:t>
      </w:r>
      <w:r w:rsidR="00D60449" w:rsidRPr="00D60449">
        <w:t>resent</w:t>
      </w:r>
      <w:r w:rsidR="00D60449">
        <w:t xml:space="preserve">a </w:t>
      </w:r>
      <w:r w:rsidR="00D60449" w:rsidRPr="00D60449">
        <w:t xml:space="preserve">los conceptos básicos de la gestión del espectro en </w:t>
      </w:r>
      <w:r w:rsidR="00D60449">
        <w:t xml:space="preserve">el </w:t>
      </w:r>
      <w:r w:rsidR="00D60449" w:rsidRPr="00D60449">
        <w:t>plano</w:t>
      </w:r>
      <w:r w:rsidR="00D60449">
        <w:t xml:space="preserve"> nacional e </w:t>
      </w:r>
      <w:r w:rsidR="00D60449" w:rsidRPr="00D60449">
        <w:t xml:space="preserve">internacional, sus vínculos con </w:t>
      </w:r>
      <w:r w:rsidR="00D551F3">
        <w:t>el</w:t>
      </w:r>
      <w:r w:rsidR="00D60449">
        <w:t xml:space="preserve"> R</w:t>
      </w:r>
      <w:r w:rsidR="00D60449" w:rsidRPr="00D60449">
        <w:t xml:space="preserve">eglamento de Radiocomunicaciones </w:t>
      </w:r>
      <w:r w:rsidR="00D60449">
        <w:t xml:space="preserve">(RR) </w:t>
      </w:r>
      <w:r w:rsidR="00D60449" w:rsidRPr="00D60449">
        <w:t xml:space="preserve">de la UIT, </w:t>
      </w:r>
      <w:r w:rsidR="00D551F3">
        <w:t xml:space="preserve">la estructura y las funciones de </w:t>
      </w:r>
      <w:r w:rsidR="00D60449" w:rsidRPr="00D60449">
        <w:t xml:space="preserve">la UIT y </w:t>
      </w:r>
      <w:r w:rsidR="00D60449">
        <w:t xml:space="preserve">el </w:t>
      </w:r>
      <w:r w:rsidR="00D60449" w:rsidRPr="00D60449">
        <w:t xml:space="preserve">UIT-R, </w:t>
      </w:r>
      <w:r w:rsidR="00D60449">
        <w:t>incluidas</w:t>
      </w:r>
      <w:r w:rsidR="00D551F3">
        <w:t xml:space="preserve"> las correspondientes a las</w:t>
      </w:r>
      <w:r w:rsidR="00D60449">
        <w:t xml:space="preserve"> Comisiones de E</w:t>
      </w:r>
      <w:r w:rsidR="00D60449" w:rsidRPr="00D60449">
        <w:t>studio y otros departamentos</w:t>
      </w:r>
      <w:r w:rsidR="00D60449">
        <w:t xml:space="preserve"> de la BR</w:t>
      </w:r>
      <w:r w:rsidR="00D60449" w:rsidRPr="00D60449">
        <w:t xml:space="preserve">, </w:t>
      </w:r>
      <w:r w:rsidR="00D60449">
        <w:t>los</w:t>
      </w:r>
      <w:r w:rsidR="00037103">
        <w:t xml:space="preserve"> Textos Fundamentales </w:t>
      </w:r>
      <w:r w:rsidR="00D60449">
        <w:t>de</w:t>
      </w:r>
      <w:r w:rsidR="00D60449" w:rsidRPr="00D60449">
        <w:t xml:space="preserve"> la UIT, </w:t>
      </w:r>
      <w:r w:rsidR="00D60449">
        <w:t xml:space="preserve">haciendo principal hincapié en el </w:t>
      </w:r>
      <w:r w:rsidR="00D60449" w:rsidRPr="00D60449">
        <w:t>Reglamento</w:t>
      </w:r>
      <w:r w:rsidR="00D60449">
        <w:t xml:space="preserve"> de Radiocomunicaciones y las Reglas de Procedimiento </w:t>
      </w:r>
      <w:r w:rsidR="00037103">
        <w:t xml:space="preserve">(RoP) </w:t>
      </w:r>
      <w:r w:rsidR="00D60449">
        <w:t>afines</w:t>
      </w:r>
      <w:r w:rsidR="00D60449" w:rsidRPr="00D60449">
        <w:t>.</w:t>
      </w:r>
    </w:p>
    <w:p w:rsidR="008402C7" w:rsidRPr="008402C7" w:rsidRDefault="007E3591" w:rsidP="007E3591">
      <w:pPr>
        <w:pStyle w:val="enumlev1"/>
      </w:pPr>
      <w:r>
        <w:t>–</w:t>
      </w:r>
      <w:r>
        <w:tab/>
      </w:r>
      <w:r w:rsidR="00F7610A" w:rsidRPr="0027532E">
        <w:rPr>
          <w:b/>
          <w:bCs/>
          <w:i/>
          <w:iCs/>
        </w:rPr>
        <w:t>Parte teórica</w:t>
      </w:r>
      <w:r w:rsidR="006D7CA3">
        <w:t>:</w:t>
      </w:r>
      <w:r w:rsidR="00F7610A" w:rsidRPr="00F7610A">
        <w:t xml:space="preserve"> dos días </w:t>
      </w:r>
      <w:r w:rsidR="006D7CA3">
        <w:t>consagrados a</w:t>
      </w:r>
      <w:r w:rsidR="00F23EB7">
        <w:t xml:space="preserve"> las </w:t>
      </w:r>
      <w:r w:rsidR="00F7610A" w:rsidRPr="00F7610A">
        <w:t>bases de la gestión del espectro</w:t>
      </w:r>
      <w:r w:rsidR="006D7CA3">
        <w:t>, en el plano</w:t>
      </w:r>
      <w:r w:rsidR="00F7610A" w:rsidRPr="00F7610A">
        <w:t xml:space="preserve"> mundial y regional</w:t>
      </w:r>
      <w:r w:rsidR="006D7CA3">
        <w:t>,</w:t>
      </w:r>
      <w:r w:rsidR="00F7610A" w:rsidRPr="00F7610A">
        <w:t xml:space="preserve"> con intercambio de experi</w:t>
      </w:r>
      <w:r w:rsidR="00F23EB7">
        <w:t xml:space="preserve">encias nacionales </w:t>
      </w:r>
      <w:r w:rsidR="00981124">
        <w:t xml:space="preserve">en la materia, </w:t>
      </w:r>
      <w:r w:rsidR="00F7610A" w:rsidRPr="00F7610A">
        <w:t xml:space="preserve">así como </w:t>
      </w:r>
      <w:r w:rsidR="00981124">
        <w:t xml:space="preserve">a </w:t>
      </w:r>
      <w:r w:rsidR="00F7610A" w:rsidRPr="00F7610A">
        <w:t xml:space="preserve">los procedimientos relacionados con el </w:t>
      </w:r>
      <w:r w:rsidR="006D7CA3">
        <w:t>Registro I</w:t>
      </w:r>
      <w:r w:rsidR="00F7610A" w:rsidRPr="00F7610A">
        <w:t xml:space="preserve">nternacional </w:t>
      </w:r>
      <w:r w:rsidR="006D7CA3">
        <w:t>de F</w:t>
      </w:r>
      <w:r w:rsidR="00F7610A" w:rsidRPr="00F7610A">
        <w:t xml:space="preserve">recuencias. </w:t>
      </w:r>
      <w:r w:rsidR="006D7CA3">
        <w:t>Se examinan además l</w:t>
      </w:r>
      <w:r w:rsidR="00F7610A" w:rsidRPr="00F7610A">
        <w:t>as modificaciones</w:t>
      </w:r>
      <w:r w:rsidR="006D7CA3">
        <w:t xml:space="preserve"> introducidas en el RR, </w:t>
      </w:r>
      <w:r w:rsidR="00981124">
        <w:t>en la</w:t>
      </w:r>
      <w:r w:rsidR="006D7CA3">
        <w:t>s R</w:t>
      </w:r>
      <w:r w:rsidR="00F7610A" w:rsidRPr="00F7610A">
        <w:t>esoluciones</w:t>
      </w:r>
      <w:r w:rsidR="006D7CA3">
        <w:t xml:space="preserve"> de la</w:t>
      </w:r>
      <w:r w:rsidR="00981124">
        <w:t>s</w:t>
      </w:r>
      <w:r w:rsidR="006D7CA3">
        <w:t xml:space="preserve"> CMR afines y </w:t>
      </w:r>
      <w:r w:rsidR="00981124">
        <w:t xml:space="preserve">en </w:t>
      </w:r>
      <w:r w:rsidR="006D7CA3">
        <w:t>las R</w:t>
      </w:r>
      <w:r w:rsidR="00F7610A" w:rsidRPr="00F7610A">
        <w:t>esoluciones</w:t>
      </w:r>
      <w:r w:rsidR="006D7CA3">
        <w:t xml:space="preserve"> del UIT-R </w:t>
      </w:r>
      <w:r w:rsidR="00F23EB7">
        <w:t xml:space="preserve">adoptadas </w:t>
      </w:r>
      <w:r w:rsidR="006D7CA3">
        <w:t xml:space="preserve">por </w:t>
      </w:r>
      <w:r w:rsidR="00F7610A" w:rsidRPr="00F7610A">
        <w:t>la última Conferencia Mund</w:t>
      </w:r>
      <w:r w:rsidR="006D7CA3">
        <w:t>ial de Radiocomunicaciones (CMR</w:t>
      </w:r>
      <w:r w:rsidR="00F7610A" w:rsidRPr="00F7610A">
        <w:t>-12</w:t>
      </w:r>
      <w:r w:rsidR="006D7CA3">
        <w:t>) y la Asamblea de R</w:t>
      </w:r>
      <w:r w:rsidR="00F7610A" w:rsidRPr="00F7610A">
        <w:t>adiocomunicaciones (</w:t>
      </w:r>
      <w:r w:rsidR="006D7CA3">
        <w:t>A</w:t>
      </w:r>
      <w:r w:rsidR="00F7610A" w:rsidRPr="00F7610A">
        <w:t>R-12)</w:t>
      </w:r>
      <w:r w:rsidR="006D7CA3">
        <w:t>, así como el orden del día de la CMR</w:t>
      </w:r>
      <w:r w:rsidR="00F7610A" w:rsidRPr="00F7610A">
        <w:t>-15</w:t>
      </w:r>
      <w:r w:rsidR="006D7CA3">
        <w:t xml:space="preserve">. </w:t>
      </w:r>
      <w:r w:rsidR="00F7610A" w:rsidRPr="00F7610A">
        <w:t>Esta parte comprende también el marco reg</w:t>
      </w:r>
      <w:r w:rsidR="006D7CA3">
        <w:t xml:space="preserve">lamentario actual </w:t>
      </w:r>
      <w:r w:rsidR="009E6F56">
        <w:t xml:space="preserve">de </w:t>
      </w:r>
      <w:r w:rsidR="006D7CA3">
        <w:t>la gestión</w:t>
      </w:r>
      <w:r w:rsidR="00F7610A" w:rsidRPr="00F7610A">
        <w:t xml:space="preserve"> internacional </w:t>
      </w:r>
      <w:r w:rsidR="006D7CA3">
        <w:t>d</w:t>
      </w:r>
      <w:r w:rsidR="00F7610A" w:rsidRPr="00F7610A">
        <w:t>e frecuencias</w:t>
      </w:r>
      <w:r w:rsidR="00F23EB7">
        <w:t xml:space="preserve">, </w:t>
      </w:r>
      <w:r w:rsidR="00F7610A" w:rsidRPr="00F7610A">
        <w:t>la</w:t>
      </w:r>
      <w:r w:rsidR="006D7CA3">
        <w:t>s Recomendaciones del</w:t>
      </w:r>
      <w:r w:rsidR="00F7610A" w:rsidRPr="00F7610A">
        <w:t xml:space="preserve"> UIT-R y las prácticas </w:t>
      </w:r>
      <w:r w:rsidR="006D7CA3">
        <w:t xml:space="preserve">óptimas </w:t>
      </w:r>
      <w:r w:rsidR="00F7610A" w:rsidRPr="00F7610A">
        <w:t>relativas a la utilización del espectro</w:t>
      </w:r>
      <w:r w:rsidR="006D7CA3">
        <w:t xml:space="preserve"> </w:t>
      </w:r>
      <w:r w:rsidR="009E6F56">
        <w:t xml:space="preserve">para </w:t>
      </w:r>
      <w:r w:rsidR="00F7610A" w:rsidRPr="00F7610A">
        <w:t>los servicios terrenales y espaciales</w:t>
      </w:r>
      <w:r w:rsidR="006D7CA3">
        <w:t xml:space="preserve">, </w:t>
      </w:r>
      <w:r w:rsidR="009E6F56">
        <w:t xml:space="preserve">así como una formación </w:t>
      </w:r>
      <w:r w:rsidR="00F7610A" w:rsidRPr="00F7610A">
        <w:t xml:space="preserve">básica </w:t>
      </w:r>
      <w:r w:rsidR="006D7CA3">
        <w:t xml:space="preserve">en </w:t>
      </w:r>
      <w:r w:rsidR="009E6F56">
        <w:t xml:space="preserve">las </w:t>
      </w:r>
      <w:r w:rsidR="006D7CA3">
        <w:t>herramientas TIC elaborada</w:t>
      </w:r>
      <w:r w:rsidR="00F7610A" w:rsidRPr="00F7610A">
        <w:t>s por la UIT p</w:t>
      </w:r>
      <w:r w:rsidR="006D7CA3">
        <w:t xml:space="preserve">ara </w:t>
      </w:r>
      <w:r w:rsidR="009E6F56">
        <w:t xml:space="preserve">la notificación </w:t>
      </w:r>
      <w:r w:rsidR="006D7CA3">
        <w:t xml:space="preserve">de </w:t>
      </w:r>
      <w:r w:rsidR="009E6F56">
        <w:t>asignaciones de frecuencias a</w:t>
      </w:r>
      <w:r w:rsidR="006D7CA3">
        <w:t xml:space="preserve"> es</w:t>
      </w:r>
      <w:r w:rsidR="00F7610A" w:rsidRPr="00F7610A">
        <w:t xml:space="preserve">os servicios y </w:t>
      </w:r>
      <w:r w:rsidR="006D7CA3">
        <w:t xml:space="preserve">para </w:t>
      </w:r>
      <w:r w:rsidR="00F7610A" w:rsidRPr="00F7610A">
        <w:t>los exámenes técnicos</w:t>
      </w:r>
      <w:r w:rsidR="006D7CA3">
        <w:t>.</w:t>
      </w:r>
    </w:p>
    <w:p w:rsidR="008402C7" w:rsidRPr="008402C7" w:rsidRDefault="007E3591" w:rsidP="007E3591">
      <w:pPr>
        <w:pStyle w:val="enumlev1"/>
      </w:pPr>
      <w:r>
        <w:t>–</w:t>
      </w:r>
      <w:r>
        <w:tab/>
      </w:r>
      <w:r w:rsidR="00E160E4" w:rsidRPr="0027532E">
        <w:rPr>
          <w:b/>
          <w:bCs/>
          <w:i/>
          <w:iCs/>
        </w:rPr>
        <w:t>Talleres prácticos</w:t>
      </w:r>
      <w:r w:rsidR="00E160E4" w:rsidRPr="00E160E4">
        <w:t xml:space="preserve">: dos días </w:t>
      </w:r>
      <w:r w:rsidR="00BF3F02">
        <w:t xml:space="preserve">consagrados a </w:t>
      </w:r>
      <w:r w:rsidR="00E160E4">
        <w:t>talleres (</w:t>
      </w:r>
      <w:r w:rsidR="00BF3F02">
        <w:t xml:space="preserve">servicios </w:t>
      </w:r>
      <w:r w:rsidR="00E160E4">
        <w:t xml:space="preserve">terrenales </w:t>
      </w:r>
      <w:r w:rsidR="00E160E4" w:rsidRPr="00E160E4">
        <w:t>y espaciales</w:t>
      </w:r>
      <w:r w:rsidR="00E160E4">
        <w:t>)</w:t>
      </w:r>
      <w:r w:rsidR="00E160E4" w:rsidRPr="00E160E4">
        <w:t xml:space="preserve">, </w:t>
      </w:r>
      <w:r w:rsidR="00BF3F02">
        <w:t>que permiten a l</w:t>
      </w:r>
      <w:r w:rsidR="00E160E4">
        <w:t>os</w:t>
      </w:r>
      <w:r w:rsidR="00E160E4" w:rsidRPr="00E160E4">
        <w:t xml:space="preserve"> participantes </w:t>
      </w:r>
      <w:r w:rsidR="00BF3F02">
        <w:t xml:space="preserve">adquirir una </w:t>
      </w:r>
      <w:r w:rsidR="00E160E4" w:rsidRPr="00E160E4">
        <w:t>experiencia</w:t>
      </w:r>
      <w:r w:rsidR="00E160E4">
        <w:t xml:space="preserve"> práctica sobre los </w:t>
      </w:r>
      <w:r w:rsidR="00E160E4" w:rsidRPr="00E160E4">
        <w:t xml:space="preserve">procedimientos de notificación </w:t>
      </w:r>
      <w:r w:rsidR="00BF3F02">
        <w:t xml:space="preserve">aplicados en </w:t>
      </w:r>
      <w:r w:rsidR="00E160E4">
        <w:t xml:space="preserve">la UIT </w:t>
      </w:r>
      <w:r w:rsidR="00E160E4" w:rsidRPr="00E160E4">
        <w:t xml:space="preserve">para cada tipo de servicio, y </w:t>
      </w:r>
      <w:r w:rsidR="00E160E4">
        <w:t xml:space="preserve">sobre el software y las </w:t>
      </w:r>
      <w:r w:rsidR="00E160E4" w:rsidRPr="00E160E4">
        <w:t xml:space="preserve">publicaciones electrónicas </w:t>
      </w:r>
      <w:r w:rsidR="00BF3F02">
        <w:t xml:space="preserve">que </w:t>
      </w:r>
      <w:r w:rsidR="00E160E4" w:rsidRPr="00E160E4">
        <w:t>la Oficina de Radiocomunicaciones</w:t>
      </w:r>
      <w:r w:rsidR="00BF3F02">
        <w:t xml:space="preserve"> pone a disposición</w:t>
      </w:r>
      <w:r w:rsidR="00E160E4" w:rsidRPr="00E160E4">
        <w:t xml:space="preserve">. </w:t>
      </w:r>
    </w:p>
    <w:p w:rsidR="008402C7" w:rsidRPr="008402C7" w:rsidRDefault="007E3591" w:rsidP="007E3591">
      <w:pPr>
        <w:pStyle w:val="enumlev1"/>
      </w:pPr>
      <w:r>
        <w:t>–</w:t>
      </w:r>
      <w:r>
        <w:tab/>
      </w:r>
      <w:r w:rsidR="008402C7" w:rsidRPr="008402C7">
        <w:rPr>
          <w:b/>
          <w:bCs/>
          <w:i/>
          <w:iCs/>
        </w:rPr>
        <w:t>For</w:t>
      </w:r>
      <w:r w:rsidR="00555FF0">
        <w:rPr>
          <w:b/>
          <w:bCs/>
          <w:i/>
          <w:iCs/>
        </w:rPr>
        <w:t>o</w:t>
      </w:r>
      <w:r w:rsidR="008402C7" w:rsidRPr="00037103">
        <w:t xml:space="preserve">: </w:t>
      </w:r>
      <w:r w:rsidR="00E160E4" w:rsidRPr="00E160E4">
        <w:t xml:space="preserve">un </w:t>
      </w:r>
      <w:r w:rsidR="00555FF0">
        <w:t>F</w:t>
      </w:r>
      <w:r w:rsidR="00E160E4" w:rsidRPr="00E160E4">
        <w:t xml:space="preserve">oro de un día de duración </w:t>
      </w:r>
      <w:r w:rsidR="0065311B">
        <w:t xml:space="preserve">sobre un tema </w:t>
      </w:r>
      <w:r w:rsidR="0065311B" w:rsidRPr="0065311B">
        <w:t>vinculado al espectro</w:t>
      </w:r>
      <w:r w:rsidR="007F06F4">
        <w:t xml:space="preserve"> que presenta</w:t>
      </w:r>
      <w:r w:rsidR="0065311B" w:rsidRPr="0065311B">
        <w:t xml:space="preserve"> </w:t>
      </w:r>
      <w:r w:rsidR="00555FF0">
        <w:t>gran interés para la región,</w:t>
      </w:r>
      <w:r w:rsidR="00E160E4" w:rsidRPr="00E160E4">
        <w:t xml:space="preserve"> con la participación de l</w:t>
      </w:r>
      <w:r w:rsidR="00555FF0">
        <w:t>o</w:t>
      </w:r>
      <w:r w:rsidR="00E160E4" w:rsidRPr="00E160E4">
        <w:t>s principales interesad</w:t>
      </w:r>
      <w:r w:rsidR="00555FF0">
        <w:t>o</w:t>
      </w:r>
      <w:r w:rsidR="00E160E4" w:rsidRPr="00E160E4">
        <w:t>s</w:t>
      </w:r>
      <w:r w:rsidR="008402C7" w:rsidRPr="008402C7">
        <w:t>.</w:t>
      </w:r>
    </w:p>
    <w:p w:rsidR="005E38BC" w:rsidRPr="008402C7" w:rsidRDefault="00F473CA" w:rsidP="007F06F4">
      <w:r>
        <w:t xml:space="preserve">Las </w:t>
      </w:r>
      <w:r w:rsidR="005E38BC" w:rsidRPr="005E38BC">
        <w:t>presentaci</w:t>
      </w:r>
      <w:r>
        <w:t xml:space="preserve">ones </w:t>
      </w:r>
      <w:r w:rsidR="005E38BC" w:rsidRPr="005E38BC">
        <w:t xml:space="preserve">y los debates </w:t>
      </w:r>
      <w:r w:rsidR="007F06F4">
        <w:t>durante</w:t>
      </w:r>
      <w:r>
        <w:t xml:space="preserve"> estos seminarios se llevan a cabo en </w:t>
      </w:r>
      <w:r w:rsidR="005E38BC" w:rsidRPr="005E38BC">
        <w:t xml:space="preserve">inglés y </w:t>
      </w:r>
      <w:r>
        <w:t xml:space="preserve">también </w:t>
      </w:r>
      <w:r w:rsidR="005E38BC" w:rsidRPr="005E38BC">
        <w:t xml:space="preserve">en el idioma de las Naciones Unidas </w:t>
      </w:r>
      <w:r>
        <w:t xml:space="preserve">más utilizado en </w:t>
      </w:r>
      <w:r w:rsidR="005E38BC" w:rsidRPr="005E38BC">
        <w:t>cada región</w:t>
      </w:r>
      <w:r w:rsidR="007F06F4">
        <w:t xml:space="preserve">. Estos seminarios se organizan en </w:t>
      </w:r>
      <w:r>
        <w:t>un entorno s</w:t>
      </w:r>
      <w:r w:rsidR="005E38BC" w:rsidRPr="005E38BC">
        <w:t>in papel.</w:t>
      </w:r>
    </w:p>
    <w:p w:rsidR="005E38BC" w:rsidRDefault="005E38BC" w:rsidP="00037103">
      <w:r w:rsidRPr="005E38BC">
        <w:t xml:space="preserve">Reconociendo las dificultades que </w:t>
      </w:r>
      <w:r w:rsidR="00D12EC1">
        <w:t xml:space="preserve">afrontan </w:t>
      </w:r>
      <w:r w:rsidRPr="005E38BC">
        <w:t xml:space="preserve">los países de </w:t>
      </w:r>
      <w:r w:rsidR="00D12EC1">
        <w:t xml:space="preserve">bajos </w:t>
      </w:r>
      <w:r w:rsidRPr="005E38BC">
        <w:t>ingresos</w:t>
      </w:r>
      <w:r w:rsidR="00D12EC1">
        <w:t xml:space="preserve">, la </w:t>
      </w:r>
      <w:r w:rsidRPr="005E38BC">
        <w:t xml:space="preserve">BR </w:t>
      </w:r>
      <w:r w:rsidR="00901F52">
        <w:t>ofrece</w:t>
      </w:r>
      <w:r w:rsidR="00D12EC1">
        <w:t xml:space="preserve"> una </w:t>
      </w:r>
      <w:r w:rsidRPr="005E38BC">
        <w:t xml:space="preserve">beca parcial </w:t>
      </w:r>
      <w:r w:rsidR="00D12EC1">
        <w:t xml:space="preserve">por cada </w:t>
      </w:r>
      <w:r w:rsidR="00901F52">
        <w:t xml:space="preserve">país </w:t>
      </w:r>
      <w:r w:rsidR="00D12EC1">
        <w:t>que reúne</w:t>
      </w:r>
      <w:r w:rsidRPr="005E38BC">
        <w:t xml:space="preserve"> las condiciones exigidas</w:t>
      </w:r>
      <w:r w:rsidR="00D12EC1">
        <w:t xml:space="preserve">, </w:t>
      </w:r>
      <w:r w:rsidR="00901F52">
        <w:t xml:space="preserve">para cada SRR, </w:t>
      </w:r>
      <w:r w:rsidRPr="005E38BC">
        <w:t>d</w:t>
      </w:r>
      <w:r w:rsidR="00642973">
        <w:t xml:space="preserve">ándose </w:t>
      </w:r>
      <w:r w:rsidRPr="005E38BC">
        <w:t xml:space="preserve">prioridad a las solicitudes de los </w:t>
      </w:r>
      <w:r w:rsidR="00037103">
        <w:t>P</w:t>
      </w:r>
      <w:r w:rsidRPr="005E38BC">
        <w:t>aíses menos adelantados (PMA</w:t>
      </w:r>
      <w:r w:rsidR="00D12EC1">
        <w:t>)</w:t>
      </w:r>
      <w:r w:rsidRPr="005E38BC">
        <w:t xml:space="preserve">. </w:t>
      </w:r>
    </w:p>
    <w:p w:rsidR="005E38BC" w:rsidRPr="008402C7" w:rsidRDefault="00642973" w:rsidP="00642973">
      <w:r>
        <w:t xml:space="preserve">Los SRR </w:t>
      </w:r>
      <w:r w:rsidR="005E38BC" w:rsidRPr="005E38BC">
        <w:t>se organizan con la participación de</w:t>
      </w:r>
      <w:r>
        <w:t>:</w:t>
      </w:r>
    </w:p>
    <w:p w:rsidR="008402C7" w:rsidRPr="00C76C02" w:rsidRDefault="007E3591" w:rsidP="007E3591">
      <w:pPr>
        <w:pStyle w:val="enumlev1"/>
      </w:pPr>
      <w:r>
        <w:t>–</w:t>
      </w:r>
      <w:r>
        <w:tab/>
      </w:r>
      <w:r w:rsidR="00C76C02" w:rsidRPr="00C76C02">
        <w:t>la</w:t>
      </w:r>
      <w:r w:rsidR="00C76C02">
        <w:t xml:space="preserve"> autoridad</w:t>
      </w:r>
      <w:r w:rsidR="00901F52" w:rsidRPr="00901F52">
        <w:t xml:space="preserve"> </w:t>
      </w:r>
      <w:r w:rsidR="00901F52">
        <w:t>en la</w:t>
      </w:r>
      <w:r w:rsidR="00901F52" w:rsidRPr="00901F52">
        <w:t xml:space="preserve"> gestión del espectro</w:t>
      </w:r>
      <w:r w:rsidR="00C76C02" w:rsidRPr="00C76C02">
        <w:t xml:space="preserve"> </w:t>
      </w:r>
      <w:r w:rsidR="00C76C02">
        <w:t>del país anfitrión</w:t>
      </w:r>
      <w:r w:rsidR="00901F52">
        <w:t xml:space="preserve">, </w:t>
      </w:r>
      <w:r w:rsidR="00C76C02">
        <w:t>en calidad de coorganizador;</w:t>
      </w:r>
    </w:p>
    <w:p w:rsidR="008402C7" w:rsidRPr="00E36666" w:rsidRDefault="007E3591" w:rsidP="007E3591">
      <w:pPr>
        <w:pStyle w:val="enumlev1"/>
      </w:pPr>
      <w:r>
        <w:lastRenderedPageBreak/>
        <w:t>–</w:t>
      </w:r>
      <w:r>
        <w:tab/>
      </w:r>
      <w:r w:rsidR="00E36666" w:rsidRPr="00E36666">
        <w:t>la organización regional de telecomunicaciones correspondiente de la regi</w:t>
      </w:r>
      <w:r w:rsidR="00E36666">
        <w:t>ón, como coorganizador del evento;</w:t>
      </w:r>
    </w:p>
    <w:p w:rsidR="008402C7" w:rsidRPr="008402C7" w:rsidRDefault="007E3591" w:rsidP="007E3591">
      <w:pPr>
        <w:pStyle w:val="enumlev1"/>
      </w:pPr>
      <w:r>
        <w:t>–</w:t>
      </w:r>
      <w:r>
        <w:tab/>
      </w:r>
      <w:r w:rsidR="00E36666" w:rsidRPr="00E36666">
        <w:t xml:space="preserve">las Oficinas </w:t>
      </w:r>
      <w:r>
        <w:t>R</w:t>
      </w:r>
      <w:r w:rsidR="00E36666" w:rsidRPr="00E36666">
        <w:t>egionales de la UIT, que respaldan la organizaci</w:t>
      </w:r>
      <w:r w:rsidR="00E36666">
        <w:t xml:space="preserve">ón </w:t>
      </w:r>
      <w:r w:rsidR="00901F52">
        <w:t xml:space="preserve">y realización </w:t>
      </w:r>
      <w:r w:rsidR="00E36666">
        <w:t>del evento</w:t>
      </w:r>
      <w:r w:rsidR="00901F52">
        <w:t>.</w:t>
      </w:r>
      <w:r w:rsidR="00E36666">
        <w:t xml:space="preserve"> </w:t>
      </w:r>
    </w:p>
    <w:p w:rsidR="008402C7" w:rsidRPr="008402C7" w:rsidRDefault="00ED6CE0" w:rsidP="007E3591">
      <w:r>
        <w:t xml:space="preserve">En </w:t>
      </w:r>
      <w:r w:rsidR="00443908">
        <w:t>2013</w:t>
      </w:r>
      <w:r w:rsidR="008402C7" w:rsidRPr="008402C7">
        <w:t xml:space="preserve"> </w:t>
      </w:r>
      <w:r w:rsidR="00E36666" w:rsidRPr="00E36666">
        <w:t xml:space="preserve">se realizaron cuatro </w:t>
      </w:r>
      <w:r w:rsidR="00E36666">
        <w:t>SRR</w:t>
      </w:r>
      <w:r w:rsidR="00E36666" w:rsidRPr="00E36666">
        <w:t xml:space="preserve">, a saber: </w:t>
      </w:r>
    </w:p>
    <w:p w:rsidR="008402C7" w:rsidRPr="008402C7" w:rsidRDefault="007E3591" w:rsidP="001D3EC1">
      <w:pPr>
        <w:pStyle w:val="enumlev1"/>
      </w:pPr>
      <w:r w:rsidRPr="007E3591">
        <w:t>1)</w:t>
      </w:r>
      <w:r w:rsidRPr="007E3591">
        <w:tab/>
      </w:r>
      <w:r w:rsidR="00E36666" w:rsidRPr="00443908">
        <w:rPr>
          <w:b/>
          <w:bCs/>
          <w:i/>
          <w:iCs/>
        </w:rPr>
        <w:t>SRR</w:t>
      </w:r>
      <w:r w:rsidR="008402C7" w:rsidRPr="008402C7">
        <w:rPr>
          <w:b/>
          <w:bCs/>
          <w:i/>
          <w:iCs/>
        </w:rPr>
        <w:t>-13-</w:t>
      </w:r>
      <w:r w:rsidR="00A84E4F">
        <w:rPr>
          <w:b/>
          <w:bCs/>
          <w:i/>
          <w:iCs/>
        </w:rPr>
        <w:t xml:space="preserve">Las </w:t>
      </w:r>
      <w:r w:rsidR="008402C7" w:rsidRPr="008402C7">
        <w:rPr>
          <w:b/>
          <w:bCs/>
          <w:i/>
          <w:iCs/>
        </w:rPr>
        <w:t>Am</w:t>
      </w:r>
      <w:r w:rsidR="00FE727A" w:rsidRPr="00443908">
        <w:rPr>
          <w:b/>
          <w:bCs/>
          <w:i/>
          <w:iCs/>
        </w:rPr>
        <w:t>é</w:t>
      </w:r>
      <w:r w:rsidR="008402C7" w:rsidRPr="008402C7">
        <w:rPr>
          <w:b/>
          <w:bCs/>
          <w:i/>
          <w:iCs/>
        </w:rPr>
        <w:t>ricas</w:t>
      </w:r>
      <w:r w:rsidR="008402C7" w:rsidRPr="00037103">
        <w:t>:</w:t>
      </w:r>
      <w:r w:rsidR="008402C7" w:rsidRPr="008402C7">
        <w:t xml:space="preserve"> </w:t>
      </w:r>
      <w:r w:rsidR="00443908" w:rsidRPr="00443908">
        <w:t>celebrado en Asunción (Paraguay) en julio de 2013; fue organizado por CONATEL-Paraguay</w:t>
      </w:r>
      <w:r w:rsidR="00443908">
        <w:t>,</w:t>
      </w:r>
      <w:r w:rsidR="00443908" w:rsidRPr="00443908">
        <w:t xml:space="preserve"> con la coordinaci</w:t>
      </w:r>
      <w:r w:rsidR="00443908">
        <w:t xml:space="preserve">ón de la Oficina Regional de la UIT para las Américas. El tema del Foro fue: Dividendo </w:t>
      </w:r>
      <w:r w:rsidR="001D3EC1">
        <w:t>D</w:t>
      </w:r>
      <w:r w:rsidR="00443908">
        <w:t>igital en América Latina.</w:t>
      </w:r>
    </w:p>
    <w:p w:rsidR="008402C7" w:rsidRPr="008402C7" w:rsidRDefault="007E3591" w:rsidP="007E3591">
      <w:pPr>
        <w:pStyle w:val="enumlev1"/>
      </w:pPr>
      <w:r>
        <w:t>2</w:t>
      </w:r>
      <w:r w:rsidRPr="007E3591">
        <w:t>)</w:t>
      </w:r>
      <w:r w:rsidRPr="007E3591">
        <w:tab/>
      </w:r>
      <w:r w:rsidR="00E36666" w:rsidRPr="000F016D">
        <w:rPr>
          <w:b/>
          <w:bCs/>
          <w:i/>
          <w:iCs/>
        </w:rPr>
        <w:t>SRR</w:t>
      </w:r>
      <w:r w:rsidR="00FE727A" w:rsidRPr="000F016D">
        <w:rPr>
          <w:b/>
          <w:bCs/>
          <w:i/>
          <w:iCs/>
        </w:rPr>
        <w:t>-13-Á</w:t>
      </w:r>
      <w:r w:rsidR="008402C7" w:rsidRPr="000F016D">
        <w:rPr>
          <w:b/>
          <w:bCs/>
          <w:i/>
          <w:iCs/>
        </w:rPr>
        <w:t>frica</w:t>
      </w:r>
      <w:r w:rsidR="008402C7" w:rsidRPr="000F016D">
        <w:t xml:space="preserve">: </w:t>
      </w:r>
      <w:r w:rsidR="00443908" w:rsidRPr="00443908">
        <w:t xml:space="preserve">celebrado en </w:t>
      </w:r>
      <w:r w:rsidR="0038708E">
        <w:t xml:space="preserve">Yaoundé </w:t>
      </w:r>
      <w:r w:rsidR="00443908">
        <w:t>(Camerún</w:t>
      </w:r>
      <w:r w:rsidR="00443908" w:rsidRPr="00443908">
        <w:t xml:space="preserve">) en </w:t>
      </w:r>
      <w:r w:rsidR="00443908">
        <w:t xml:space="preserve">septiembre </w:t>
      </w:r>
      <w:r w:rsidR="00443908" w:rsidRPr="00443908">
        <w:t>de 2013;</w:t>
      </w:r>
      <w:r w:rsidR="00443908">
        <w:t xml:space="preserve"> fue organizado por MINPOS</w:t>
      </w:r>
      <w:r w:rsidR="00443908" w:rsidRPr="00443908">
        <w:t>TEL-</w:t>
      </w:r>
      <w:r w:rsidR="00443908">
        <w:t>Camerún</w:t>
      </w:r>
      <w:r w:rsidR="00443908" w:rsidRPr="00443908">
        <w:t>, con la coo</w:t>
      </w:r>
      <w:r w:rsidR="00443908">
        <w:t xml:space="preserve">peración de </w:t>
      </w:r>
      <w:r w:rsidR="00443908" w:rsidRPr="00443908">
        <w:t xml:space="preserve">la Oficina </w:t>
      </w:r>
      <w:r w:rsidR="000F016D">
        <w:t xml:space="preserve">de </w:t>
      </w:r>
      <w:r w:rsidR="00443908" w:rsidRPr="00443908">
        <w:t xml:space="preserve">la UIT para </w:t>
      </w:r>
      <w:r w:rsidR="000F016D">
        <w:t>África</w:t>
      </w:r>
      <w:r w:rsidR="00443908" w:rsidRPr="00443908">
        <w:t>. El tema del Foro fue:</w:t>
      </w:r>
      <w:r w:rsidR="000F016D">
        <w:t xml:space="preserve"> Futuro de la banda de ondas decimétricas (por debajo de 1 GHz) en la Región </w:t>
      </w:r>
      <w:r w:rsidR="0038708E">
        <w:t>de Á</w:t>
      </w:r>
      <w:r w:rsidR="000F016D">
        <w:t>frica.</w:t>
      </w:r>
    </w:p>
    <w:p w:rsidR="008402C7" w:rsidRPr="000F016D" w:rsidRDefault="007E3591" w:rsidP="007E3591">
      <w:pPr>
        <w:pStyle w:val="enumlev1"/>
      </w:pPr>
      <w:r>
        <w:t>3</w:t>
      </w:r>
      <w:r w:rsidRPr="007E3591">
        <w:t>)</w:t>
      </w:r>
      <w:r w:rsidRPr="007E3591">
        <w:tab/>
      </w:r>
      <w:r w:rsidR="00E36666" w:rsidRPr="000E09B7">
        <w:rPr>
          <w:b/>
          <w:bCs/>
          <w:i/>
          <w:iCs/>
        </w:rPr>
        <w:t>SRR</w:t>
      </w:r>
      <w:r w:rsidR="008402C7" w:rsidRPr="000E09B7">
        <w:rPr>
          <w:b/>
          <w:bCs/>
          <w:i/>
          <w:iCs/>
        </w:rPr>
        <w:t>-13-Asia-Pac</w:t>
      </w:r>
      <w:r w:rsidR="00FE727A" w:rsidRPr="000E09B7">
        <w:rPr>
          <w:b/>
          <w:bCs/>
          <w:i/>
          <w:iCs/>
        </w:rPr>
        <w:t>ífico</w:t>
      </w:r>
      <w:r w:rsidR="008402C7" w:rsidRPr="00037103">
        <w:t>:</w:t>
      </w:r>
      <w:r w:rsidR="008402C7" w:rsidRPr="000E09B7">
        <w:t xml:space="preserve"> </w:t>
      </w:r>
      <w:r w:rsidR="000F016D" w:rsidRPr="000F016D">
        <w:t xml:space="preserve">celebrado en </w:t>
      </w:r>
      <w:r w:rsidR="000F016D">
        <w:t>Nadi (Fiji</w:t>
      </w:r>
      <w:r w:rsidR="000F016D" w:rsidRPr="000F016D">
        <w:t xml:space="preserve">) en </w:t>
      </w:r>
      <w:r w:rsidR="000F016D">
        <w:t xml:space="preserve">octubre </w:t>
      </w:r>
      <w:r w:rsidR="000F016D" w:rsidRPr="000F016D">
        <w:t xml:space="preserve">de 2013; fue organizado por </w:t>
      </w:r>
      <w:r w:rsidR="000F016D">
        <w:t>el Ministerio de Comunicaciones de Fiji</w:t>
      </w:r>
      <w:r w:rsidR="000F016D" w:rsidRPr="000F016D">
        <w:t xml:space="preserve">, </w:t>
      </w:r>
      <w:r w:rsidR="000F016D">
        <w:t>en</w:t>
      </w:r>
      <w:r w:rsidR="000F016D" w:rsidRPr="000F016D">
        <w:t xml:space="preserve"> coo</w:t>
      </w:r>
      <w:r w:rsidR="000F016D">
        <w:t>peración con</w:t>
      </w:r>
      <w:r w:rsidR="000F016D" w:rsidRPr="000F016D">
        <w:t xml:space="preserve"> </w:t>
      </w:r>
      <w:r w:rsidR="000F016D">
        <w:t xml:space="preserve">PITA, y con la coordinación de la Oficina de la UIT para Asia y el Pacífico. </w:t>
      </w:r>
      <w:r w:rsidR="000F016D" w:rsidRPr="000F016D">
        <w:t>El tema del Foro fue:</w:t>
      </w:r>
      <w:r w:rsidR="000F016D">
        <w:t xml:space="preserve"> Futuro de la banda C en la Región Asia-Pacífico.</w:t>
      </w:r>
    </w:p>
    <w:p w:rsidR="008402C7" w:rsidRPr="000E09B7" w:rsidRDefault="007E3591" w:rsidP="007E3591">
      <w:pPr>
        <w:pStyle w:val="enumlev1"/>
      </w:pPr>
      <w:r>
        <w:t>4</w:t>
      </w:r>
      <w:r w:rsidRPr="007E3591">
        <w:t>)</w:t>
      </w:r>
      <w:r w:rsidRPr="007E3591">
        <w:tab/>
      </w:r>
      <w:r w:rsidR="00E36666" w:rsidRPr="0038708E">
        <w:rPr>
          <w:b/>
          <w:bCs/>
          <w:i/>
          <w:iCs/>
        </w:rPr>
        <w:t>SRR</w:t>
      </w:r>
      <w:r w:rsidR="008402C7" w:rsidRPr="0038708E">
        <w:rPr>
          <w:b/>
          <w:bCs/>
          <w:i/>
          <w:iCs/>
        </w:rPr>
        <w:t>-13-</w:t>
      </w:r>
      <w:r w:rsidR="00FE727A" w:rsidRPr="0038708E">
        <w:rPr>
          <w:b/>
          <w:bCs/>
          <w:i/>
          <w:iCs/>
        </w:rPr>
        <w:t>Países Árabes</w:t>
      </w:r>
      <w:r w:rsidR="008402C7" w:rsidRPr="00037103">
        <w:t>:</w:t>
      </w:r>
      <w:r w:rsidR="008402C7" w:rsidRPr="0038708E">
        <w:t xml:space="preserve"> </w:t>
      </w:r>
      <w:r w:rsidR="000E09B7" w:rsidRPr="000E09B7">
        <w:t xml:space="preserve">celebrado en </w:t>
      </w:r>
      <w:r w:rsidR="000E09B7">
        <w:t>Túnez (Túnez) en diciembre</w:t>
      </w:r>
      <w:r w:rsidR="000E09B7" w:rsidRPr="000E09B7">
        <w:t xml:space="preserve"> de 2013; fue organizado por </w:t>
      </w:r>
      <w:r w:rsidR="000E09B7">
        <w:t>ANF-Túnez</w:t>
      </w:r>
      <w:r w:rsidR="000E09B7" w:rsidRPr="000E09B7">
        <w:t xml:space="preserve">, </w:t>
      </w:r>
      <w:r w:rsidR="000E09B7">
        <w:t xml:space="preserve">en cooperación con ASMG, con </w:t>
      </w:r>
      <w:r w:rsidR="000E09B7" w:rsidRPr="000E09B7">
        <w:t>la coordinación de la Oficina Regional de la UIT para l</w:t>
      </w:r>
      <w:r w:rsidR="000E09B7">
        <w:t xml:space="preserve">os Países Árabes. </w:t>
      </w:r>
      <w:r w:rsidR="000E09B7" w:rsidRPr="000E09B7">
        <w:t>El tema del Foro fue:</w:t>
      </w:r>
      <w:r w:rsidR="000E09B7">
        <w:t xml:space="preserve"> </w:t>
      </w:r>
      <w:r w:rsidR="0038708E">
        <w:t xml:space="preserve">Sistemas de radiocomunicaciones cognoscitivos y espacios blancos de televisión en la región. </w:t>
      </w:r>
    </w:p>
    <w:p w:rsidR="0024606E" w:rsidRPr="0024606E" w:rsidRDefault="0024606E" w:rsidP="001D3EC1">
      <w:r w:rsidRPr="0024606E">
        <w:t xml:space="preserve">Los </w:t>
      </w:r>
      <w:r w:rsidR="001D3EC1" w:rsidRPr="0024606E">
        <w:t xml:space="preserve">Seminarios Regionales </w:t>
      </w:r>
      <w:r w:rsidR="001D3EC1">
        <w:t>d</w:t>
      </w:r>
      <w:r w:rsidR="001D3EC1" w:rsidRPr="0024606E">
        <w:t xml:space="preserve">e Radiocomunicaciones </w:t>
      </w:r>
      <w:r w:rsidRPr="0024606E">
        <w:t>celebrados en 2013 reunieron a más de 350</w:t>
      </w:r>
      <w:r w:rsidR="00574B3D">
        <w:t> </w:t>
      </w:r>
      <w:r w:rsidRPr="0024606E">
        <w:t>participantes de m</w:t>
      </w:r>
      <w:r>
        <w:t xml:space="preserve">ás de 70 países. Prácticamente el 40% de los países no había asistido al último SMR. Esto es una prueba de la complementariedad entre los SRR y los SMR. La BR </w:t>
      </w:r>
      <w:r w:rsidR="00574B3D">
        <w:t xml:space="preserve">concedió </w:t>
      </w:r>
      <w:r>
        <w:t>26 becas parciales</w:t>
      </w:r>
      <w:r w:rsidR="00574B3D">
        <w:t xml:space="preserve"> para</w:t>
      </w:r>
      <w:r>
        <w:t xml:space="preserve"> los delegados. </w:t>
      </w:r>
    </w:p>
    <w:p w:rsidR="008402C7" w:rsidRPr="003D7761" w:rsidRDefault="003D7761" w:rsidP="0024606E">
      <w:r w:rsidRPr="003D7761">
        <w:t>Durante 2014 están previstos, o ya se han celebrado, los siguientes SRR y SMR:</w:t>
      </w:r>
    </w:p>
    <w:p w:rsidR="00D31B96" w:rsidRPr="00093A0C" w:rsidRDefault="007E3591" w:rsidP="001D3EC1">
      <w:pPr>
        <w:pStyle w:val="enumlev1"/>
      </w:pPr>
      <w:r>
        <w:rPr>
          <w:b/>
          <w:bCs/>
          <w:i/>
          <w:iCs/>
        </w:rPr>
        <w:t>–</w:t>
      </w:r>
      <w:r>
        <w:rPr>
          <w:b/>
          <w:bCs/>
          <w:i/>
          <w:iCs/>
        </w:rPr>
        <w:tab/>
      </w:r>
      <w:r w:rsidR="00E36666" w:rsidRPr="00093A0C">
        <w:rPr>
          <w:b/>
          <w:bCs/>
          <w:i/>
          <w:iCs/>
        </w:rPr>
        <w:t>SRR</w:t>
      </w:r>
      <w:r w:rsidR="00D31B96" w:rsidRPr="00093A0C">
        <w:rPr>
          <w:b/>
          <w:bCs/>
          <w:i/>
          <w:iCs/>
        </w:rPr>
        <w:t>-14-Asia</w:t>
      </w:r>
      <w:r w:rsidR="00D31B96" w:rsidRPr="001D3EC1">
        <w:t>:</w:t>
      </w:r>
      <w:r w:rsidR="00D31B96" w:rsidRPr="00093A0C">
        <w:t xml:space="preserve"> </w:t>
      </w:r>
      <w:r w:rsidR="00093A0C" w:rsidRPr="00093A0C">
        <w:t xml:space="preserve">celebrado en Ha Noi (Viet Nam) en </w:t>
      </w:r>
      <w:r w:rsidR="00093A0C">
        <w:t>mayo de 2014</w:t>
      </w:r>
      <w:r w:rsidR="00093A0C" w:rsidRPr="00093A0C">
        <w:t xml:space="preserve">; fue organizado por </w:t>
      </w:r>
      <w:r w:rsidR="00093A0C">
        <w:t>MIC</w:t>
      </w:r>
      <w:r w:rsidR="001D3EC1">
        <w:noBreakHyphen/>
      </w:r>
      <w:r w:rsidR="00093A0C">
        <w:t>Viet Nam</w:t>
      </w:r>
      <w:r w:rsidR="00093A0C" w:rsidRPr="00093A0C">
        <w:t xml:space="preserve">, en cooperación con </w:t>
      </w:r>
      <w:r w:rsidR="00093A0C">
        <w:t xml:space="preserve">APT, </w:t>
      </w:r>
      <w:r w:rsidR="00093A0C" w:rsidRPr="00093A0C">
        <w:t xml:space="preserve">y con la coordinación de la Oficina </w:t>
      </w:r>
      <w:r w:rsidR="00093A0C">
        <w:t xml:space="preserve">Regional </w:t>
      </w:r>
      <w:r w:rsidR="00093A0C" w:rsidRPr="00093A0C">
        <w:t>de la UIT para Asia y el Pacífico. El tema del Foro fue:</w:t>
      </w:r>
      <w:r w:rsidR="00093A0C">
        <w:t xml:space="preserve"> Nuevas cuestiones sobre la gestión del espectro en materia de reglamentación.</w:t>
      </w:r>
    </w:p>
    <w:p w:rsidR="00D31B96" w:rsidRPr="00093A0C" w:rsidRDefault="007E3591" w:rsidP="007E3591">
      <w:pPr>
        <w:pStyle w:val="enumlev1"/>
      </w:pPr>
      <w:r>
        <w:rPr>
          <w:b/>
          <w:bCs/>
          <w:i/>
          <w:iCs/>
        </w:rPr>
        <w:t>–</w:t>
      </w:r>
      <w:r>
        <w:rPr>
          <w:b/>
          <w:bCs/>
          <w:i/>
          <w:iCs/>
        </w:rPr>
        <w:tab/>
      </w:r>
      <w:r w:rsidR="00E36666" w:rsidRPr="00A84E4F">
        <w:rPr>
          <w:b/>
          <w:bCs/>
          <w:i/>
          <w:iCs/>
        </w:rPr>
        <w:t>SRR</w:t>
      </w:r>
      <w:r w:rsidR="00D31B96" w:rsidRPr="00A84E4F">
        <w:rPr>
          <w:b/>
          <w:bCs/>
          <w:i/>
          <w:iCs/>
        </w:rPr>
        <w:t>-14-</w:t>
      </w:r>
      <w:r w:rsidR="00A84E4F">
        <w:rPr>
          <w:b/>
          <w:bCs/>
          <w:i/>
          <w:iCs/>
        </w:rPr>
        <w:t>Las Amé</w:t>
      </w:r>
      <w:r w:rsidR="00D31B96" w:rsidRPr="00A84E4F">
        <w:rPr>
          <w:b/>
          <w:bCs/>
          <w:i/>
          <w:iCs/>
        </w:rPr>
        <w:t>ricas</w:t>
      </w:r>
      <w:r w:rsidR="00D31B96" w:rsidRPr="001D3EC1">
        <w:t>:</w:t>
      </w:r>
      <w:r w:rsidR="00D31B96" w:rsidRPr="00A84E4F">
        <w:t xml:space="preserve"> </w:t>
      </w:r>
      <w:r w:rsidR="00093A0C">
        <w:t xml:space="preserve">se </w:t>
      </w:r>
      <w:r w:rsidR="00093A0C" w:rsidRPr="00093A0C">
        <w:t>celebra</w:t>
      </w:r>
      <w:r w:rsidR="00093A0C">
        <w:t>rá</w:t>
      </w:r>
      <w:r w:rsidR="00093A0C" w:rsidRPr="00093A0C">
        <w:t xml:space="preserve"> en </w:t>
      </w:r>
      <w:r w:rsidR="00093A0C">
        <w:t>Trinidad y Tobago</w:t>
      </w:r>
      <w:r w:rsidR="00093A0C" w:rsidRPr="00093A0C">
        <w:t xml:space="preserve"> en </w:t>
      </w:r>
      <w:r w:rsidR="00093A0C">
        <w:t xml:space="preserve">julio </w:t>
      </w:r>
      <w:r w:rsidR="00093A0C" w:rsidRPr="00093A0C">
        <w:t xml:space="preserve">de 2014; </w:t>
      </w:r>
      <w:r w:rsidR="00093A0C">
        <w:t xml:space="preserve">será </w:t>
      </w:r>
      <w:r w:rsidR="00093A0C" w:rsidRPr="00093A0C">
        <w:t xml:space="preserve">organizado por </w:t>
      </w:r>
      <w:r w:rsidR="00093A0C">
        <w:t>TATT</w:t>
      </w:r>
      <w:r w:rsidR="00093A0C">
        <w:noBreakHyphen/>
        <w:t>Trinidad y Tobago</w:t>
      </w:r>
      <w:r w:rsidR="00093A0C" w:rsidRPr="00093A0C">
        <w:t xml:space="preserve">, en cooperación con </w:t>
      </w:r>
      <w:r w:rsidR="00093A0C">
        <w:t>CTU</w:t>
      </w:r>
      <w:r w:rsidR="00093A0C" w:rsidRPr="00093A0C">
        <w:t xml:space="preserve">, y con la coordinación de la Oficina Regional de la UIT para </w:t>
      </w:r>
      <w:r w:rsidR="00093A0C">
        <w:t xml:space="preserve">las Américas. </w:t>
      </w:r>
      <w:r w:rsidR="00093A0C" w:rsidRPr="00093A0C">
        <w:t xml:space="preserve">El tema del Foro </w:t>
      </w:r>
      <w:r w:rsidR="00093A0C">
        <w:t xml:space="preserve">será: Orden del día de la CMR-15: Cuestiones regionales. </w:t>
      </w:r>
    </w:p>
    <w:p w:rsidR="00D31B96" w:rsidRPr="00A84E4F" w:rsidRDefault="007E3591" w:rsidP="007E3591">
      <w:pPr>
        <w:pStyle w:val="enumlev1"/>
      </w:pPr>
      <w:r>
        <w:rPr>
          <w:b/>
          <w:bCs/>
          <w:i/>
          <w:iCs/>
        </w:rPr>
        <w:t>–</w:t>
      </w:r>
      <w:r>
        <w:rPr>
          <w:b/>
          <w:bCs/>
          <w:i/>
          <w:iCs/>
        </w:rPr>
        <w:tab/>
      </w:r>
      <w:r w:rsidR="00E36666" w:rsidRPr="005F1720">
        <w:rPr>
          <w:b/>
          <w:bCs/>
          <w:i/>
          <w:iCs/>
        </w:rPr>
        <w:t>SRR</w:t>
      </w:r>
      <w:r w:rsidR="00D31B96" w:rsidRPr="005F1720">
        <w:rPr>
          <w:b/>
          <w:bCs/>
          <w:i/>
          <w:iCs/>
        </w:rPr>
        <w:t>-14-E</w:t>
      </w:r>
      <w:r w:rsidR="00A84E4F" w:rsidRPr="005F1720">
        <w:rPr>
          <w:b/>
          <w:bCs/>
          <w:i/>
          <w:iCs/>
        </w:rPr>
        <w:t xml:space="preserve">uropa </w:t>
      </w:r>
      <w:r w:rsidR="00650DFD">
        <w:rPr>
          <w:b/>
          <w:bCs/>
          <w:i/>
          <w:iCs/>
        </w:rPr>
        <w:t xml:space="preserve">Oriental </w:t>
      </w:r>
      <w:r w:rsidR="00A84E4F" w:rsidRPr="005F1720">
        <w:rPr>
          <w:b/>
          <w:bCs/>
          <w:i/>
          <w:iCs/>
        </w:rPr>
        <w:t>y CEI</w:t>
      </w:r>
      <w:r w:rsidR="00D31B96" w:rsidRPr="005F1720">
        <w:t xml:space="preserve">: </w:t>
      </w:r>
      <w:r w:rsidR="00A84E4F" w:rsidRPr="00A84E4F">
        <w:t xml:space="preserve">se celebrará en Bishkek </w:t>
      </w:r>
      <w:r w:rsidR="00A84E4F">
        <w:t>(</w:t>
      </w:r>
      <w:r w:rsidR="00A84E4F" w:rsidRPr="00A84E4F">
        <w:t>Rep</w:t>
      </w:r>
      <w:r w:rsidR="00A84E4F">
        <w:t>ública Kirguisa)</w:t>
      </w:r>
      <w:r w:rsidR="00A84E4F" w:rsidRPr="00A84E4F">
        <w:t xml:space="preserve"> </w:t>
      </w:r>
      <w:r w:rsidR="00A84E4F">
        <w:t>en septiembre</w:t>
      </w:r>
      <w:r w:rsidR="00A84E4F" w:rsidRPr="00A84E4F">
        <w:t xml:space="preserve"> de 2014; será organizado por </w:t>
      </w:r>
      <w:r w:rsidR="00A84E4F">
        <w:t xml:space="preserve">el Organismo Estatal de Comunicaciones de la República Kirguisa, </w:t>
      </w:r>
      <w:r w:rsidR="00A84E4F" w:rsidRPr="00A84E4F">
        <w:t>con la coordinación de la</w:t>
      </w:r>
      <w:r w:rsidR="00A84E4F">
        <w:t>s</w:t>
      </w:r>
      <w:r w:rsidR="00A84E4F" w:rsidRPr="00A84E4F">
        <w:t xml:space="preserve"> Oficina</w:t>
      </w:r>
      <w:r w:rsidR="00A84E4F">
        <w:t>s</w:t>
      </w:r>
      <w:r w:rsidR="00A84E4F" w:rsidRPr="00A84E4F">
        <w:t xml:space="preserve"> de la UIT para </w:t>
      </w:r>
      <w:r w:rsidR="00A84E4F">
        <w:t xml:space="preserve">Europa </w:t>
      </w:r>
      <w:r w:rsidR="00E808FE">
        <w:t xml:space="preserve">Oriental </w:t>
      </w:r>
      <w:r w:rsidR="00A84E4F">
        <w:t xml:space="preserve">y la CEI, respectivamente. </w:t>
      </w:r>
      <w:r w:rsidR="00A84E4F" w:rsidRPr="00A84E4F">
        <w:t xml:space="preserve">El tema del Foro </w:t>
      </w:r>
      <w:r w:rsidR="005F1720">
        <w:t>no se ha definido aún.</w:t>
      </w:r>
    </w:p>
    <w:p w:rsidR="005638D8" w:rsidRPr="005F1720" w:rsidRDefault="007E3591" w:rsidP="007E3591">
      <w:pPr>
        <w:pStyle w:val="enumlev1"/>
      </w:pPr>
      <w:r>
        <w:rPr>
          <w:b/>
          <w:bCs/>
          <w:i/>
          <w:iCs/>
        </w:rPr>
        <w:t>–</w:t>
      </w:r>
      <w:r>
        <w:rPr>
          <w:b/>
          <w:bCs/>
          <w:i/>
          <w:iCs/>
        </w:rPr>
        <w:tab/>
      </w:r>
      <w:r w:rsidR="005F1720" w:rsidRPr="005F1720">
        <w:rPr>
          <w:b/>
          <w:bCs/>
          <w:i/>
          <w:iCs/>
        </w:rPr>
        <w:t>SMR</w:t>
      </w:r>
      <w:r w:rsidR="00D31B96" w:rsidRPr="005F1720">
        <w:rPr>
          <w:b/>
          <w:bCs/>
          <w:i/>
          <w:iCs/>
        </w:rPr>
        <w:t>-14</w:t>
      </w:r>
      <w:r w:rsidR="00D31B96" w:rsidRPr="001D3EC1">
        <w:t xml:space="preserve">: </w:t>
      </w:r>
      <w:r w:rsidR="005F1720" w:rsidRPr="005F1720">
        <w:t>se celebrará en Ginebra (Suiza) del 8 al 12 de diciembre de 2014; será organizado por la BR, con la coordinación de las organizaciones regionales de telecomunicaciones, las dem</w:t>
      </w:r>
      <w:r w:rsidR="005F1720">
        <w:t xml:space="preserve">ás Oficinas y la Secretaría General. </w:t>
      </w:r>
    </w:p>
    <w:p w:rsidR="005638D8" w:rsidRDefault="004D3042" w:rsidP="007E3591">
      <w:pPr>
        <w:pStyle w:val="Heading1"/>
      </w:pPr>
      <w:r>
        <w:t>1</w:t>
      </w:r>
      <w:r w:rsidR="007E3591">
        <w:t>0</w:t>
      </w:r>
      <w:r w:rsidR="005638D8">
        <w:tab/>
        <w:t xml:space="preserve">Estadísticas </w:t>
      </w:r>
      <w:r w:rsidR="007951ED">
        <w:t xml:space="preserve">relativas a </w:t>
      </w:r>
      <w:r w:rsidR="005638D8">
        <w:t>los Miembros de Sector, Asociados e Instituciones Académicas</w:t>
      </w:r>
    </w:p>
    <w:p w:rsidR="005638D8" w:rsidRDefault="005638D8" w:rsidP="007951ED">
      <w:r>
        <w:t>Est</w:t>
      </w:r>
      <w:r w:rsidR="007951ED">
        <w:t xml:space="preserve">a cuestión </w:t>
      </w:r>
      <w:r>
        <w:t>se presenta en un addéndum a</w:t>
      </w:r>
      <w:r w:rsidR="004D3042">
        <w:t xml:space="preserve">l presente </w:t>
      </w:r>
      <w:r>
        <w:t>documento.</w:t>
      </w:r>
    </w:p>
    <w:p w:rsidR="007E3591" w:rsidRDefault="007E3591" w:rsidP="007E3591">
      <w:pPr>
        <w:rPr>
          <w:b/>
          <w:bCs/>
        </w:rPr>
      </w:pPr>
    </w:p>
    <w:p w:rsidR="005638D8" w:rsidRPr="00CC0E21" w:rsidRDefault="005638D8" w:rsidP="007E3591">
      <w:pPr>
        <w:rPr>
          <w:b/>
          <w:bCs/>
        </w:rPr>
      </w:pPr>
      <w:r w:rsidRPr="00CC0E21">
        <w:rPr>
          <w:b/>
          <w:bCs/>
        </w:rPr>
        <w:t>Anexo</w:t>
      </w:r>
      <w:r>
        <w:rPr>
          <w:b/>
          <w:bCs/>
        </w:rPr>
        <w:t>s</w:t>
      </w:r>
      <w:r w:rsidRPr="00CC0E21">
        <w:t xml:space="preserve">: </w:t>
      </w:r>
      <w:r>
        <w:t>2</w:t>
      </w:r>
    </w:p>
    <w:p w:rsidR="005638D8" w:rsidRDefault="005638D8">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Pr>
          <w:rFonts w:eastAsiaTheme="minorEastAsia"/>
          <w:lang w:eastAsia="zh-CN"/>
        </w:rPr>
        <w:br w:type="page"/>
      </w:r>
    </w:p>
    <w:p w:rsidR="005638D8" w:rsidRDefault="005638D8" w:rsidP="005638D8">
      <w:pPr>
        <w:pStyle w:val="AnnexNotitle"/>
        <w:rPr>
          <w:lang w:val="en-US"/>
        </w:rPr>
      </w:pPr>
      <w:r>
        <w:rPr>
          <w:lang w:val="en-US"/>
        </w:rPr>
        <w:lastRenderedPageBreak/>
        <w:t>Anexo 1</w:t>
      </w:r>
    </w:p>
    <w:p w:rsidR="005638D8" w:rsidRDefault="005638D8" w:rsidP="005638D8">
      <w:pPr>
        <w:spacing w:before="0"/>
        <w:rPr>
          <w:sz w:val="16"/>
          <w:szCs w:val="16"/>
          <w:lang w:val="en-US"/>
        </w:rPr>
      </w:pPr>
    </w:p>
    <w:tbl>
      <w:tblPr>
        <w:tblW w:w="0" w:type="auto"/>
        <w:tblInd w:w="392" w:type="dxa"/>
        <w:tblLook w:val="04A0" w:firstRow="1" w:lastRow="0" w:firstColumn="1" w:lastColumn="0" w:noHBand="0" w:noVBand="1"/>
      </w:tblPr>
      <w:tblGrid>
        <w:gridCol w:w="9184"/>
      </w:tblGrid>
      <w:tr w:rsidR="005638D8" w:rsidRPr="005638D8"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2B02FF" w:rsidRDefault="00A33489" w:rsidP="007E3591">
            <w:pPr>
              <w:pStyle w:val="Tablehead"/>
            </w:pPr>
            <w:r>
              <w:t xml:space="preserve">Informe </w:t>
            </w:r>
            <w:r w:rsidR="0037323F" w:rsidRPr="0037323F">
              <w:rPr>
                <w:lang w:val="es-ES"/>
              </w:rPr>
              <w:t xml:space="preserve">sobre el avance de los trabajos </w:t>
            </w:r>
            <w:r>
              <w:t xml:space="preserve">de la BR </w:t>
            </w:r>
            <w:r w:rsidR="0037323F">
              <w:t>para</w:t>
            </w:r>
            <w:r>
              <w:t xml:space="preserve"> los sistemas de información espacial </w:t>
            </w:r>
          </w:p>
        </w:tc>
      </w:tr>
      <w:tr w:rsidR="005638D8"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2B02FF" w:rsidRDefault="005638D8" w:rsidP="007E3591">
            <w:pPr>
              <w:pStyle w:val="Tablehead"/>
            </w:pPr>
            <w:r w:rsidRPr="002B02FF">
              <w:rPr>
                <w:bCs/>
              </w:rPr>
              <w:t xml:space="preserve">Fase </w:t>
            </w:r>
            <w:r>
              <w:rPr>
                <w:bCs/>
              </w:rPr>
              <w:t>2</w:t>
            </w:r>
            <w:r w:rsidRPr="002B02FF">
              <w:t xml:space="preserve"> – </w:t>
            </w:r>
            <w:r w:rsidRPr="0037323F">
              <w:rPr>
                <w:bCs/>
              </w:rPr>
              <w:t>1 de abril de 2012</w:t>
            </w:r>
            <w:r w:rsidR="001D3EC1">
              <w:rPr>
                <w:bCs/>
              </w:rPr>
              <w:t xml:space="preserve"> </w:t>
            </w:r>
            <w:r w:rsidRPr="0037323F">
              <w:rPr>
                <w:bCs/>
              </w:rPr>
              <w:t>–</w:t>
            </w:r>
            <w:r w:rsidR="001D3EC1">
              <w:rPr>
                <w:bCs/>
              </w:rPr>
              <w:t xml:space="preserve"> </w:t>
            </w:r>
            <w:r w:rsidRPr="0037323F">
              <w:rPr>
                <w:bCs/>
              </w:rPr>
              <w:t>3</w:t>
            </w:r>
            <w:r w:rsidR="005079F5" w:rsidRPr="0037323F">
              <w:rPr>
                <w:bCs/>
              </w:rPr>
              <w:t>0</w:t>
            </w:r>
            <w:r w:rsidRPr="0037323F">
              <w:rPr>
                <w:bCs/>
              </w:rPr>
              <w:t xml:space="preserve"> de diciembre de 201</w:t>
            </w:r>
            <w:r w:rsidR="005079F5" w:rsidRPr="0037323F">
              <w:rPr>
                <w:bCs/>
              </w:rPr>
              <w:t>5</w:t>
            </w:r>
          </w:p>
        </w:tc>
      </w:tr>
      <w:tr w:rsidR="005638D8" w:rsidRPr="005D7017"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1C2350" w:rsidRDefault="005079F5" w:rsidP="007E3591">
            <w:pPr>
              <w:pStyle w:val="Tabletext"/>
            </w:pPr>
            <w:r w:rsidRPr="001C2350">
              <w:rPr>
                <w:b/>
                <w:bCs/>
                <w:i/>
                <w:iCs/>
                <w:color w:val="4F81BD" w:themeColor="accent1"/>
              </w:rPr>
              <w:t xml:space="preserve">Resolución </w:t>
            </w:r>
            <w:r w:rsidR="005638D8" w:rsidRPr="001C2350">
              <w:rPr>
                <w:b/>
                <w:bCs/>
                <w:i/>
                <w:iCs/>
                <w:color w:val="4F81BD" w:themeColor="accent1"/>
              </w:rPr>
              <w:t xml:space="preserve">908 </w:t>
            </w:r>
            <w:r w:rsidR="005638D8" w:rsidRPr="001C2350">
              <w:rPr>
                <w:b/>
                <w:bCs/>
                <w:i/>
                <w:iCs/>
              </w:rPr>
              <w:t xml:space="preserve">– </w:t>
            </w:r>
            <w:r w:rsidR="0037323F">
              <w:t xml:space="preserve">Elaboración </w:t>
            </w:r>
            <w:r w:rsidR="001C2350" w:rsidRPr="001C2350">
              <w:t>y puesta a prueba de una aplicaci</w:t>
            </w:r>
            <w:r w:rsidR="001C2350">
              <w:t>ón web para la presentación y publicación en línea de publicaciones anticipadas sujetas a la coordinación y formulación de comentarios con arreglo al número 9.5B.</w:t>
            </w:r>
          </w:p>
          <w:p w:rsidR="005638D8" w:rsidRDefault="005638D8" w:rsidP="007E3591">
            <w:pPr>
              <w:pStyle w:val="Tabletext"/>
            </w:pPr>
            <w:r w:rsidRPr="001C2350">
              <w:t>(SpaceWisc (</w:t>
            </w:r>
            <w:r w:rsidR="001C2350" w:rsidRPr="001C2350">
              <w:rPr>
                <w:i/>
                <w:iCs/>
              </w:rPr>
              <w:t>Space Web Interface for Secure Communication</w:t>
            </w:r>
            <w:r w:rsidR="001C2350">
              <w:t>,</w:t>
            </w:r>
            <w:r w:rsidR="001C2350" w:rsidRPr="001C2350">
              <w:t xml:space="preserve"> Interfaz </w:t>
            </w:r>
            <w:r w:rsidR="001C2350">
              <w:t xml:space="preserve">para </w:t>
            </w:r>
            <w:r w:rsidR="001C2350" w:rsidRPr="001C2350">
              <w:t>comunicaci</w:t>
            </w:r>
            <w:r w:rsidR="001C2350">
              <w:t>ones</w:t>
            </w:r>
            <w:r w:rsidR="001C2350" w:rsidRPr="001C2350">
              <w:t xml:space="preserve"> segura</w:t>
            </w:r>
            <w:r w:rsidR="001C2350">
              <w:t>s</w:t>
            </w:r>
            <w:r w:rsidR="001C2350" w:rsidRPr="001C2350">
              <w:t xml:space="preserve"> en línea </w:t>
            </w:r>
            <w:r w:rsidR="001C2350">
              <w:t xml:space="preserve">relativa a los </w:t>
            </w:r>
            <w:r w:rsidR="001C2350" w:rsidRPr="001C2350">
              <w:t>servicios espaciales</w:t>
            </w:r>
            <w:r w:rsidR="001C2350">
              <w:t>)</w:t>
            </w:r>
            <w:r w:rsidRPr="001C2350">
              <w:t>).</w:t>
            </w:r>
          </w:p>
          <w:p w:rsidR="005F56C6" w:rsidRPr="002A0733" w:rsidRDefault="002A0733" w:rsidP="007E3591">
            <w:pPr>
              <w:pStyle w:val="Tabletext"/>
            </w:pPr>
            <w:r w:rsidRPr="002A0733">
              <w:t xml:space="preserve">El diseño y la puesta a prueba de la </w:t>
            </w:r>
            <w:r w:rsidR="0058128F">
              <w:t xml:space="preserve">aplicación </w:t>
            </w:r>
            <w:r w:rsidRPr="002A0733">
              <w:t xml:space="preserve">SpaceWisc es el resultado de un trabajo de equipo llevado a cabo por diseñadores </w:t>
            </w:r>
            <w:r w:rsidR="0058128F">
              <w:t>de</w:t>
            </w:r>
            <w:r w:rsidR="0037323F">
              <w:t>l</w:t>
            </w:r>
            <w:r w:rsidR="0058128F">
              <w:t xml:space="preserve"> BR/IAP/SAS </w:t>
            </w:r>
            <w:r w:rsidR="0037323F">
              <w:t xml:space="preserve">e ingenieros del BR/SSD. </w:t>
            </w:r>
          </w:p>
          <w:p w:rsidR="005F56C6" w:rsidRPr="0058128F" w:rsidRDefault="0058128F" w:rsidP="007C4AFE">
            <w:pPr>
              <w:pStyle w:val="Tabletext"/>
            </w:pPr>
            <w:r w:rsidRPr="0058128F">
              <w:t>A</w:t>
            </w:r>
            <w:r w:rsidR="005D7017">
              <w:t>demás d</w:t>
            </w:r>
            <w:r w:rsidRPr="0058128F">
              <w:t>e los esfuerzos desplegados para que la aplicación SpaceWisc sea</w:t>
            </w:r>
            <w:r>
              <w:t xml:space="preserve"> de fácil utilización para el usuario, </w:t>
            </w:r>
            <w:r w:rsidR="00A970D8">
              <w:t xml:space="preserve">conforme a las recomendaciones del </w:t>
            </w:r>
            <w:r>
              <w:t xml:space="preserve">GAR, se </w:t>
            </w:r>
            <w:r w:rsidR="00A970D8">
              <w:t xml:space="preserve">ofrecieron también un servicio de </w:t>
            </w:r>
            <w:r>
              <w:t>ayuda en línea, v</w:t>
            </w:r>
            <w:r w:rsidR="007C4AFE">
              <w:t>í</w:t>
            </w:r>
            <w:r>
              <w:t xml:space="preserve">deos </w:t>
            </w:r>
            <w:r w:rsidR="007D2E84">
              <w:t xml:space="preserve">explicativos </w:t>
            </w:r>
            <w:r w:rsidR="00A970D8">
              <w:t>para la utilización de esta interfaz</w:t>
            </w:r>
            <w:r w:rsidR="00E72A0F">
              <w:t xml:space="preserve"> </w:t>
            </w:r>
            <w:r>
              <w:t xml:space="preserve">y un Foro SpaceWisc. </w:t>
            </w:r>
          </w:p>
          <w:p w:rsidR="00EB7FB9" w:rsidRPr="00EB7FB9" w:rsidRDefault="00EB7FB9" w:rsidP="007E3591">
            <w:pPr>
              <w:pStyle w:val="Tabletext"/>
            </w:pPr>
            <w:r>
              <w:t xml:space="preserve">En </w:t>
            </w:r>
            <w:r w:rsidRPr="00EB7FB9">
              <w:t xml:space="preserve">abril de 2014 </w:t>
            </w:r>
            <w:r>
              <w:t xml:space="preserve">se publicó </w:t>
            </w:r>
            <w:r w:rsidR="00D26C1E">
              <w:t>un</w:t>
            </w:r>
            <w:r w:rsidRPr="00EB7FB9">
              <w:t>a versión beta de la aplicación SpaceWisc para la puesta a prueba de las administraciones</w:t>
            </w:r>
            <w:r>
              <w:t>. Durante es</w:t>
            </w:r>
            <w:r w:rsidR="00F1684A">
              <w:t>t</w:t>
            </w:r>
            <w:r>
              <w:t xml:space="preserve">e periodo, se tendrán en cuenta los comentarios formulados por las administraciones </w:t>
            </w:r>
            <w:r w:rsidR="00C67582">
              <w:t xml:space="preserve">y se introducirán mejoras en la aplicación. Para una información más completa, véase la </w:t>
            </w:r>
            <w:r w:rsidR="00F1684A">
              <w:t>Circular CR/363 del UIT-R.</w:t>
            </w:r>
          </w:p>
          <w:p w:rsidR="005079F5" w:rsidRPr="005D7017" w:rsidRDefault="005D7017" w:rsidP="007E3591">
            <w:pPr>
              <w:pStyle w:val="Tabletext"/>
            </w:pPr>
            <w:r w:rsidRPr="005D7017">
              <w:t xml:space="preserve">Durante la fase de puesta a prueba, </w:t>
            </w:r>
            <w:r w:rsidR="00774D4C">
              <w:t xml:space="preserve">se tratarán de organizar </w:t>
            </w:r>
            <w:r w:rsidRPr="005D7017">
              <w:t xml:space="preserve">las </w:t>
            </w:r>
            <w:r w:rsidR="00774D4C">
              <w:t xml:space="preserve">tareas </w:t>
            </w:r>
            <w:r w:rsidR="00202DC1">
              <w:t xml:space="preserve">de la BR </w:t>
            </w:r>
            <w:r w:rsidR="00774D4C">
              <w:t>par</w:t>
            </w:r>
            <w:r w:rsidRPr="005D7017">
              <w:t>a</w:t>
            </w:r>
            <w:r w:rsidR="00774D4C">
              <w:t xml:space="preserve"> la tramitación interna</w:t>
            </w:r>
            <w:r>
              <w:t xml:space="preserve"> de </w:t>
            </w:r>
            <w:r w:rsidR="00774D4C">
              <w:t xml:space="preserve">las </w:t>
            </w:r>
            <w:r>
              <w:t>notificaciones para publicación anticipada presentada</w:t>
            </w:r>
            <w:r w:rsidR="00C36EE9">
              <w:t>s</w:t>
            </w:r>
            <w:r>
              <w:t xml:space="preserve"> por las administraciones.</w:t>
            </w:r>
            <w:r w:rsidR="00DC0150" w:rsidRPr="005D7017">
              <w:t xml:space="preserve"> </w:t>
            </w:r>
          </w:p>
        </w:tc>
      </w:tr>
      <w:tr w:rsidR="005638D8" w:rsidRPr="00DC0150"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5079F5" w:rsidRDefault="005079F5" w:rsidP="007E3591">
            <w:pPr>
              <w:pStyle w:val="Tabletext"/>
            </w:pPr>
            <w:r w:rsidRPr="005079F5">
              <w:rPr>
                <w:b/>
                <w:bCs/>
                <w:i/>
                <w:iCs/>
                <w:color w:val="4F81BD" w:themeColor="accent1"/>
              </w:rPr>
              <w:t xml:space="preserve">Resolución </w:t>
            </w:r>
            <w:r w:rsidR="005638D8" w:rsidRPr="005079F5">
              <w:rPr>
                <w:b/>
                <w:bCs/>
                <w:i/>
                <w:iCs/>
                <w:color w:val="4F81BD" w:themeColor="accent1"/>
              </w:rPr>
              <w:t xml:space="preserve">907 </w:t>
            </w:r>
            <w:r w:rsidR="00500E04">
              <w:t xml:space="preserve">– </w:t>
            </w:r>
            <w:r w:rsidR="0000099A">
              <w:rPr>
                <w:lang w:val="es-ES"/>
              </w:rPr>
              <w:t>C</w:t>
            </w:r>
            <w:r w:rsidR="00500E04" w:rsidRPr="00500E04">
              <w:rPr>
                <w:lang w:val="es-ES"/>
              </w:rPr>
              <w:t>reación de una nueva aplicación [web] para que las administraciones puedan mantener (enviar y recibir) correspondencia con la BR, en especial las notificaciones de redes de satélite, en un entorno seguro</w:t>
            </w:r>
            <w:r>
              <w:rPr>
                <w:lang w:val="es-ES"/>
              </w:rPr>
              <w:t>.</w:t>
            </w:r>
          </w:p>
          <w:p w:rsidR="005079F5" w:rsidRDefault="00D42965" w:rsidP="007E3591">
            <w:pPr>
              <w:pStyle w:val="Tabletext"/>
            </w:pPr>
            <w:r w:rsidRPr="00D42965">
              <w:t>L</w:t>
            </w:r>
            <w:r>
              <w:t>os trabajos relativos a esta aplicación we</w:t>
            </w:r>
            <w:r w:rsidRPr="00D42965">
              <w:t xml:space="preserve">b se iniciaron inmediatamente después de la publicación de la versión beta </w:t>
            </w:r>
            <w:r w:rsidR="007E5405">
              <w:t xml:space="preserve">de la aplicación </w:t>
            </w:r>
            <w:r w:rsidRPr="00D42965">
              <w:t>SpaceWisc.</w:t>
            </w:r>
            <w:r w:rsidR="007E5405" w:rsidRPr="00DC0150">
              <w:t xml:space="preserve"> </w:t>
            </w:r>
          </w:p>
          <w:p w:rsidR="00F51BEB" w:rsidRPr="00DC0150" w:rsidRDefault="00670133" w:rsidP="007E3591">
            <w:pPr>
              <w:pStyle w:val="Tabletext"/>
            </w:pPr>
            <w:r>
              <w:t xml:space="preserve">La experiencia adquirida con respecto a la aplicación de la Resolución 908 será de gran utilidad para la elaboración de la Resolución 907. </w:t>
            </w:r>
            <w:r w:rsidR="00CE3C4D">
              <w:t xml:space="preserve">El sitio </w:t>
            </w:r>
            <w:r w:rsidR="008253C4">
              <w:t>SharePoint</w:t>
            </w:r>
            <w:r>
              <w:t xml:space="preserve"> 2013 y la seguridad </w:t>
            </w:r>
            <w:r w:rsidR="00C83E7D">
              <w:t>prevista para el proyecto SpaceWisc (Resolución 908) serán también utilizadas para el proyecto relativo a la Resolución 907.</w:t>
            </w:r>
          </w:p>
        </w:tc>
      </w:tr>
      <w:tr w:rsidR="005638D8" w:rsidRPr="00936037" w:rsidTr="005638D8">
        <w:tc>
          <w:tcPr>
            <w:tcW w:w="9184" w:type="dxa"/>
            <w:tcBorders>
              <w:top w:val="single" w:sz="4" w:space="0" w:color="auto"/>
              <w:left w:val="single" w:sz="4" w:space="0" w:color="auto"/>
              <w:bottom w:val="single" w:sz="4" w:space="0" w:color="auto"/>
              <w:right w:val="single" w:sz="4" w:space="0" w:color="auto"/>
            </w:tcBorders>
            <w:hideMark/>
          </w:tcPr>
          <w:p w:rsidR="00C508E8" w:rsidRPr="00C508E8" w:rsidRDefault="00936037" w:rsidP="007E3591">
            <w:pPr>
              <w:pStyle w:val="Tabletext"/>
            </w:pPr>
            <w:r w:rsidRPr="004B269A">
              <w:rPr>
                <w:rStyle w:val="IntenseEmphasis"/>
              </w:rPr>
              <w:t>Continuidad de las actividades y recuperación en situaciones de catástrofe</w:t>
            </w:r>
            <w:r w:rsidR="00E72A0F">
              <w:rPr>
                <w:rStyle w:val="IntenseEmphasis"/>
              </w:rPr>
              <w:t xml:space="preserve"> </w:t>
            </w:r>
            <w:r w:rsidR="005638D8" w:rsidRPr="004B269A">
              <w:rPr>
                <w:rStyle w:val="IntenseEmphasis"/>
              </w:rPr>
              <w:t>–</w:t>
            </w:r>
            <w:r w:rsidR="00E72A0F">
              <w:rPr>
                <w:rStyle w:val="IntenseEmphasis"/>
              </w:rPr>
              <w:t xml:space="preserve"> </w:t>
            </w:r>
            <w:r w:rsidR="00C508E8" w:rsidRPr="00C508E8">
              <w:t>La prioridad</w:t>
            </w:r>
            <w:r w:rsidR="00E72A0F">
              <w:t xml:space="preserve"> </w:t>
            </w:r>
            <w:r w:rsidR="00C508E8" w:rsidRPr="00C508E8">
              <w:t xml:space="preserve">es velar por el mantenimiento de todas las aplicaciones existentes y </w:t>
            </w:r>
            <w:r w:rsidR="008253C4">
              <w:t>por que varias personas tengan conocimiento d</w:t>
            </w:r>
            <w:r w:rsidR="00C508E8" w:rsidRPr="00C508E8">
              <w:t xml:space="preserve">el software y los procedimientos de tratamiento de </w:t>
            </w:r>
            <w:r w:rsidR="008253C4">
              <w:t xml:space="preserve">las </w:t>
            </w:r>
            <w:r w:rsidR="00C508E8" w:rsidRPr="00C508E8">
              <w:t>notificaciones</w:t>
            </w:r>
            <w:r w:rsidR="008253C4">
              <w:t>.</w:t>
            </w:r>
            <w:r w:rsidR="00E72A0F">
              <w:t xml:space="preserve"> </w:t>
            </w:r>
          </w:p>
          <w:p w:rsidR="005638D8" w:rsidRPr="00936037" w:rsidRDefault="00C508E8" w:rsidP="007E3591">
            <w:pPr>
              <w:pStyle w:val="Tabletext"/>
            </w:pPr>
            <w:r>
              <w:t>El Grupo de T</w:t>
            </w:r>
            <w:r w:rsidR="00936037" w:rsidRPr="00936037">
              <w:t xml:space="preserve">areas </w:t>
            </w:r>
            <w:r>
              <w:t xml:space="preserve">Especiales </w:t>
            </w:r>
            <w:r w:rsidR="00936037" w:rsidRPr="00936037">
              <w:t xml:space="preserve">está elaborando un plan para poner a prueba nuestros procedimientos de </w:t>
            </w:r>
            <w:r>
              <w:t xml:space="preserve">recuperación y creación de </w:t>
            </w:r>
            <w:r w:rsidR="00936037" w:rsidRPr="00936037">
              <w:t xml:space="preserve">copias de seguridad. </w:t>
            </w:r>
            <w:r>
              <w:t xml:space="preserve">Estaremos muy pronto en condiciones de </w:t>
            </w:r>
            <w:r w:rsidR="00936037" w:rsidRPr="00936037">
              <w:t xml:space="preserve">poner a prueba diferentes escenarios para garantizar </w:t>
            </w:r>
            <w:r>
              <w:t xml:space="preserve">la recuperación </w:t>
            </w:r>
            <w:r w:rsidR="000A1332">
              <w:t>de</w:t>
            </w:r>
            <w:r w:rsidR="0092616F">
              <w:t xml:space="preserve">l </w:t>
            </w:r>
            <w:r w:rsidR="000A1332">
              <w:t xml:space="preserve">software de </w:t>
            </w:r>
            <w:r w:rsidR="0092616F">
              <w:t xml:space="preserve">la BR para los servicios </w:t>
            </w:r>
            <w:r w:rsidR="000A1332">
              <w:t>espaciales</w:t>
            </w:r>
            <w:r w:rsidR="0092616F">
              <w:t>, y también de los datos</w:t>
            </w:r>
            <w:r w:rsidR="000A1332">
              <w:t xml:space="preserve">, cuando sea </w:t>
            </w:r>
            <w:r w:rsidR="00936037" w:rsidRPr="00936037">
              <w:t>necesario</w:t>
            </w:r>
            <w:r w:rsidR="000A1332">
              <w:t>.</w:t>
            </w:r>
            <w:r w:rsidR="000A1332" w:rsidRPr="00936037">
              <w:t xml:space="preserve"> </w:t>
            </w:r>
          </w:p>
        </w:tc>
      </w:tr>
      <w:tr w:rsidR="005638D8" w:rsidRPr="004A6F80"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4A6F80" w:rsidRDefault="004A6F80" w:rsidP="007E3591">
            <w:pPr>
              <w:pStyle w:val="Tabletext"/>
            </w:pPr>
            <w:r w:rsidRPr="004A6F80">
              <w:rPr>
                <w:b/>
                <w:bCs/>
                <w:i/>
                <w:iCs/>
                <w:color w:val="4F81BD" w:themeColor="accent1"/>
              </w:rPr>
              <w:t>Reescri</w:t>
            </w:r>
            <w:r w:rsidR="00B44C62">
              <w:rPr>
                <w:b/>
                <w:bCs/>
                <w:i/>
                <w:iCs/>
                <w:color w:val="4F81BD" w:themeColor="accent1"/>
              </w:rPr>
              <w:t>tura de</w:t>
            </w:r>
            <w:r w:rsidR="00F22E80">
              <w:rPr>
                <w:b/>
                <w:bCs/>
                <w:i/>
                <w:iCs/>
                <w:color w:val="4F81BD" w:themeColor="accent1"/>
              </w:rPr>
              <w:t xml:space="preserve"> </w:t>
            </w:r>
            <w:r w:rsidR="002B0F8C">
              <w:rPr>
                <w:b/>
                <w:bCs/>
                <w:i/>
                <w:iCs/>
                <w:color w:val="4F81BD" w:themeColor="accent1"/>
              </w:rPr>
              <w:t>los</w:t>
            </w:r>
            <w:r w:rsidRPr="004A6F80">
              <w:rPr>
                <w:b/>
                <w:bCs/>
                <w:i/>
                <w:iCs/>
                <w:color w:val="4F81BD" w:themeColor="accent1"/>
              </w:rPr>
              <w:t xml:space="preserve"> software t</w:t>
            </w:r>
            <w:r>
              <w:rPr>
                <w:b/>
                <w:bCs/>
                <w:i/>
                <w:iCs/>
                <w:color w:val="4F81BD" w:themeColor="accent1"/>
              </w:rPr>
              <w:t>écnico</w:t>
            </w:r>
            <w:r w:rsidR="002B0F8C">
              <w:rPr>
                <w:b/>
                <w:bCs/>
                <w:i/>
                <w:iCs/>
                <w:color w:val="4F81BD" w:themeColor="accent1"/>
              </w:rPr>
              <w:t>s</w:t>
            </w:r>
            <w:r>
              <w:rPr>
                <w:b/>
                <w:bCs/>
                <w:i/>
                <w:iCs/>
                <w:color w:val="4F81BD" w:themeColor="accent1"/>
              </w:rPr>
              <w:t xml:space="preserve"> existente</w:t>
            </w:r>
            <w:r w:rsidR="002B0F8C">
              <w:rPr>
                <w:b/>
                <w:bCs/>
                <w:i/>
                <w:iCs/>
                <w:color w:val="4F81BD" w:themeColor="accent1"/>
              </w:rPr>
              <w:t>s</w:t>
            </w:r>
            <w:r>
              <w:rPr>
                <w:b/>
                <w:bCs/>
                <w:i/>
                <w:iCs/>
                <w:color w:val="4F81BD" w:themeColor="accent1"/>
              </w:rPr>
              <w:t xml:space="preserve"> para </w:t>
            </w:r>
            <w:r w:rsidR="002B0F8C">
              <w:rPr>
                <w:b/>
                <w:bCs/>
                <w:i/>
                <w:iCs/>
                <w:color w:val="4F81BD" w:themeColor="accent1"/>
              </w:rPr>
              <w:t xml:space="preserve">los </w:t>
            </w:r>
            <w:r>
              <w:rPr>
                <w:b/>
                <w:bCs/>
                <w:i/>
                <w:iCs/>
                <w:color w:val="4F81BD" w:themeColor="accent1"/>
              </w:rPr>
              <w:t>exámenes técnicos</w:t>
            </w:r>
            <w:r w:rsidR="005638D8" w:rsidRPr="004A6F80">
              <w:rPr>
                <w:b/>
                <w:bCs/>
                <w:i/>
                <w:iCs/>
                <w:color w:val="4F81BD" w:themeColor="accent1"/>
              </w:rPr>
              <w:t xml:space="preserve"> </w:t>
            </w:r>
            <w:r w:rsidR="005638D8" w:rsidRPr="004A6F80">
              <w:t xml:space="preserve">– </w:t>
            </w:r>
            <w:r>
              <w:t>Tarea iniciada.</w:t>
            </w:r>
          </w:p>
          <w:p w:rsidR="004A6F80" w:rsidRPr="004A6F80" w:rsidRDefault="007E3591" w:rsidP="007E3591">
            <w:pPr>
              <w:pStyle w:val="Tabletext"/>
            </w:pPr>
            <w:r>
              <w:t>–</w:t>
            </w:r>
            <w:r>
              <w:tab/>
            </w:r>
            <w:r w:rsidR="004A6F80" w:rsidRPr="004A6F80">
              <w:t>Reescri</w:t>
            </w:r>
            <w:r w:rsidR="004A5F45">
              <w:t>bir e</w:t>
            </w:r>
            <w:r w:rsidR="004A6F80" w:rsidRPr="004A6F80">
              <w:t xml:space="preserve">l </w:t>
            </w:r>
            <w:r w:rsidR="002B0F8C">
              <w:t xml:space="preserve">software de </w:t>
            </w:r>
            <w:r w:rsidR="004A6F80" w:rsidRPr="004A6F80">
              <w:t>cálcul</w:t>
            </w:r>
            <w:r w:rsidR="004A6F80">
              <w:t>o</w:t>
            </w:r>
            <w:r w:rsidR="004A6F80" w:rsidRPr="004A6F80">
              <w:t xml:space="preserve"> de</w:t>
            </w:r>
            <w:r w:rsidR="002B0F8C">
              <w:t xml:space="preserve"> la</w:t>
            </w:r>
            <w:r w:rsidR="004A6F80" w:rsidRPr="004A6F80">
              <w:t xml:space="preserve"> DFP</w:t>
            </w:r>
            <w:r w:rsidR="002B0F8C">
              <w:t>: tarea muy avanzada</w:t>
            </w:r>
          </w:p>
          <w:p w:rsidR="004A6F80" w:rsidRPr="004A6F80" w:rsidRDefault="007E3591" w:rsidP="007E3591">
            <w:pPr>
              <w:pStyle w:val="Tabletext"/>
            </w:pPr>
            <w:r>
              <w:t>–</w:t>
            </w:r>
            <w:r>
              <w:tab/>
            </w:r>
            <w:r w:rsidR="00A51DED">
              <w:t>Traslada</w:t>
            </w:r>
            <w:r w:rsidR="004A6F80" w:rsidRPr="004A6F80">
              <w:t>r el software para</w:t>
            </w:r>
            <w:r w:rsidR="002B0F8C">
              <w:t xml:space="preserve"> los</w:t>
            </w:r>
            <w:r w:rsidR="004A6F80" w:rsidRPr="004A6F80">
              <w:t xml:space="preserve"> exámenes técnicos escrito en Fortran del compilador </w:t>
            </w:r>
            <w:r>
              <w:br/>
            </w:r>
            <w:r>
              <w:tab/>
              <w:t>C</w:t>
            </w:r>
            <w:r w:rsidR="004A6F80" w:rsidRPr="004A6F80">
              <w:t xml:space="preserve">ompaqVisualFortran </w:t>
            </w:r>
            <w:r w:rsidR="004A6F80">
              <w:t xml:space="preserve">al </w:t>
            </w:r>
            <w:r w:rsidR="004A6F80" w:rsidRPr="004A6F80">
              <w:t>compil</w:t>
            </w:r>
            <w:r w:rsidR="004A6F80">
              <w:t xml:space="preserve">ador </w:t>
            </w:r>
            <w:r w:rsidR="004A6F80" w:rsidRPr="004A6F80">
              <w:t>IntelFortran</w:t>
            </w:r>
          </w:p>
          <w:p w:rsidR="004A6F80" w:rsidRPr="002B0F8C" w:rsidRDefault="007E3591" w:rsidP="007E3591">
            <w:pPr>
              <w:pStyle w:val="Tabletext"/>
            </w:pPr>
            <w:r>
              <w:tab/>
              <w:t>•</w:t>
            </w:r>
            <w:r>
              <w:tab/>
            </w:r>
            <w:r w:rsidR="004A6F80" w:rsidRPr="002B0F8C">
              <w:t>GIBC/Apéndice 30B</w:t>
            </w:r>
            <w:r w:rsidR="002B0F8C" w:rsidRPr="002B0F8C">
              <w:t>: tarea realizada</w:t>
            </w:r>
            <w:r w:rsidR="004A6F80" w:rsidRPr="002B0F8C">
              <w:t xml:space="preserve"> </w:t>
            </w:r>
          </w:p>
          <w:p w:rsidR="004A6F80" w:rsidRPr="007E3591" w:rsidRDefault="007E3591" w:rsidP="007E3591">
            <w:pPr>
              <w:pStyle w:val="Tabletext"/>
            </w:pPr>
            <w:r>
              <w:tab/>
              <w:t>•</w:t>
            </w:r>
            <w:r>
              <w:tab/>
            </w:r>
            <w:r w:rsidR="002B0F8C" w:rsidRPr="007E3591">
              <w:t>Mspace: tarea realizada</w:t>
            </w:r>
          </w:p>
          <w:p w:rsidR="004A6F80" w:rsidRPr="004A6F80" w:rsidRDefault="007E3591" w:rsidP="007E3591">
            <w:pPr>
              <w:pStyle w:val="Tabletext"/>
            </w:pPr>
            <w:r>
              <w:tab/>
              <w:t>•</w:t>
            </w:r>
            <w:r>
              <w:tab/>
            </w:r>
            <w:r w:rsidR="004A6F80" w:rsidRPr="004A6F80">
              <w:t>GIBC/PowerControl</w:t>
            </w:r>
            <w:r w:rsidR="002B0F8C">
              <w:t xml:space="preserve">: en fase de </w:t>
            </w:r>
            <w:r w:rsidR="004A6F80" w:rsidRPr="004A6F80">
              <w:t>prueba</w:t>
            </w:r>
            <w:r w:rsidR="00E72A0F">
              <w:t xml:space="preserve"> </w:t>
            </w:r>
          </w:p>
          <w:p w:rsidR="004A6F80" w:rsidRPr="00B60952" w:rsidRDefault="007E3591" w:rsidP="007E3591">
            <w:pPr>
              <w:pStyle w:val="Tabletext"/>
            </w:pPr>
            <w:r>
              <w:t>–</w:t>
            </w:r>
            <w:r>
              <w:tab/>
            </w:r>
            <w:r w:rsidR="004A6F80" w:rsidRPr="00B60952">
              <w:t>Mspace –</w:t>
            </w:r>
            <w:r w:rsidR="00A51DED">
              <w:t xml:space="preserve">Traslado </w:t>
            </w:r>
            <w:r w:rsidR="004A5F45">
              <w:t>d</w:t>
            </w:r>
            <w:r w:rsidR="00B60952" w:rsidRPr="00B60952">
              <w:t>el componente acceso de datos de VB6 a IntelFortran</w:t>
            </w:r>
            <w:r w:rsidR="002B0F8C">
              <w:t>: en fase de pr</w:t>
            </w:r>
            <w:r w:rsidR="00B60952" w:rsidRPr="00B60952">
              <w:t>ueba</w:t>
            </w:r>
          </w:p>
          <w:p w:rsidR="005638D8" w:rsidRPr="0024503B" w:rsidRDefault="007E3591" w:rsidP="007E3591">
            <w:pPr>
              <w:pStyle w:val="Tabletext"/>
            </w:pPr>
            <w:r>
              <w:t>–</w:t>
            </w:r>
            <w:r>
              <w:tab/>
            </w:r>
            <w:r w:rsidR="00B60952" w:rsidRPr="00B60952">
              <w:t xml:space="preserve">GIBC/Apéndice </w:t>
            </w:r>
            <w:r w:rsidR="004A6F80" w:rsidRPr="00B60952">
              <w:t>7</w:t>
            </w:r>
            <w:r w:rsidR="002B0F8C">
              <w:t xml:space="preserve">: la tarea se completará </w:t>
            </w:r>
            <w:r w:rsidR="00B60952" w:rsidRPr="00B60952">
              <w:t xml:space="preserve">en </w:t>
            </w:r>
            <w:r w:rsidR="004A6F80" w:rsidRPr="00B60952">
              <w:t>2015</w:t>
            </w:r>
          </w:p>
        </w:tc>
      </w:tr>
      <w:tr w:rsidR="005638D8" w:rsidTr="005638D8">
        <w:tc>
          <w:tcPr>
            <w:tcW w:w="9184" w:type="dxa"/>
            <w:tcBorders>
              <w:top w:val="single" w:sz="4" w:space="0" w:color="auto"/>
              <w:left w:val="single" w:sz="4" w:space="0" w:color="auto"/>
              <w:bottom w:val="single" w:sz="4" w:space="0" w:color="auto"/>
              <w:right w:val="single" w:sz="4" w:space="0" w:color="auto"/>
            </w:tcBorders>
            <w:hideMark/>
          </w:tcPr>
          <w:p w:rsidR="005638D8" w:rsidRDefault="00F02C52" w:rsidP="007C4AFE">
            <w:pPr>
              <w:pStyle w:val="Tabletext"/>
            </w:pPr>
            <w:bookmarkStart w:id="5" w:name="_MailEndCompose"/>
            <w:r>
              <w:rPr>
                <w:b/>
                <w:bCs/>
                <w:i/>
                <w:iCs/>
                <w:color w:val="4F81BD"/>
              </w:rPr>
              <w:t>Utiliza</w:t>
            </w:r>
            <w:r w:rsidR="00B44C62">
              <w:rPr>
                <w:b/>
                <w:bCs/>
                <w:i/>
                <w:iCs/>
                <w:color w:val="4F81BD"/>
              </w:rPr>
              <w:t xml:space="preserve">ción de </w:t>
            </w:r>
            <w:r w:rsidR="005638D8" w:rsidRPr="00363952">
              <w:rPr>
                <w:b/>
                <w:bCs/>
                <w:i/>
                <w:iCs/>
                <w:color w:val="4F81BD"/>
              </w:rPr>
              <w:t>Windows Azure</w:t>
            </w:r>
            <w:r w:rsidR="005638D8" w:rsidRPr="00363952">
              <w:t xml:space="preserve"> –</w:t>
            </w:r>
            <w:bookmarkEnd w:id="5"/>
            <w:r w:rsidR="008410D7">
              <w:t xml:space="preserve"> </w:t>
            </w:r>
            <w:r w:rsidR="00A33D30" w:rsidRPr="00A33D30">
              <w:t>Se lleva</w:t>
            </w:r>
            <w:r w:rsidR="00A33D30">
              <w:t>rá</w:t>
            </w:r>
            <w:r w:rsidR="00A33D30" w:rsidRPr="00A33D30">
              <w:t xml:space="preserve"> a cabo, en calidad de proyecto piloto, </w:t>
            </w:r>
            <w:r w:rsidR="00AD117D">
              <w:t xml:space="preserve">la migración de </w:t>
            </w:r>
            <w:r w:rsidR="00A33D30">
              <w:t>un examen técnico</w:t>
            </w:r>
            <w:r w:rsidR="008218A1">
              <w:t xml:space="preserve"> </w:t>
            </w:r>
            <w:r w:rsidR="007F3E08">
              <w:t>a</w:t>
            </w:r>
            <w:r w:rsidR="00A33D30">
              <w:t xml:space="preserve"> </w:t>
            </w:r>
            <w:r w:rsidR="007F15B4">
              <w:t xml:space="preserve">la plataforma </w:t>
            </w:r>
            <w:r w:rsidR="00A33D30">
              <w:t xml:space="preserve">Windows Azure Cloud para evaluar las ventajas que aportaría utilizar aplicaciones </w:t>
            </w:r>
            <w:r w:rsidR="00AD117D">
              <w:t xml:space="preserve">informáticas </w:t>
            </w:r>
            <w:r w:rsidR="00A33D30">
              <w:t>en la nube.</w:t>
            </w:r>
            <w:r w:rsidR="0069641E">
              <w:t xml:space="preserve"> </w:t>
            </w:r>
            <w:r w:rsidR="00CF6ECC">
              <w:t>(</w:t>
            </w:r>
            <w:r w:rsidR="00CF6ECC" w:rsidRPr="00AD117D">
              <w:t>Se presentará</w:t>
            </w:r>
            <w:r w:rsidR="00E72A0F">
              <w:t xml:space="preserve"> </w:t>
            </w:r>
            <w:r w:rsidR="00CF6ECC" w:rsidRPr="00AD117D">
              <w:t xml:space="preserve">un documento </w:t>
            </w:r>
            <w:r w:rsidR="00CF6ECC" w:rsidRPr="00AD117D">
              <w:rPr>
                <w:lang w:val="es-ES"/>
              </w:rPr>
              <w:t>separado sobre e</w:t>
            </w:r>
            <w:r w:rsidR="00AD117D" w:rsidRPr="00AD117D">
              <w:rPr>
                <w:lang w:val="es-ES"/>
              </w:rPr>
              <w:t>sta cuestión</w:t>
            </w:r>
            <w:r w:rsidR="00CF6ECC">
              <w:rPr>
                <w:lang w:val="es-ES"/>
              </w:rPr>
              <w:t>.</w:t>
            </w:r>
            <w:r w:rsidR="007C4AFE">
              <w:rPr>
                <w:lang w:val="es-ES"/>
              </w:rPr>
              <w:t>)</w:t>
            </w:r>
            <w:r w:rsidR="00CF6ECC">
              <w:rPr>
                <w:lang w:val="es-ES"/>
              </w:rPr>
              <w:t xml:space="preserve"> </w:t>
            </w:r>
          </w:p>
        </w:tc>
      </w:tr>
      <w:tr w:rsidR="005638D8" w:rsidRPr="005079F5" w:rsidTr="005638D8">
        <w:tc>
          <w:tcPr>
            <w:tcW w:w="9184" w:type="dxa"/>
            <w:tcBorders>
              <w:top w:val="single" w:sz="4" w:space="0" w:color="auto"/>
              <w:left w:val="single" w:sz="4" w:space="0" w:color="auto"/>
              <w:bottom w:val="single" w:sz="4" w:space="0" w:color="auto"/>
              <w:right w:val="single" w:sz="4" w:space="0" w:color="auto"/>
            </w:tcBorders>
            <w:hideMark/>
          </w:tcPr>
          <w:p w:rsidR="005079F5" w:rsidRPr="002B02FF" w:rsidRDefault="006A4ABF" w:rsidP="007E3591">
            <w:pPr>
              <w:pStyle w:val="Tabletext"/>
              <w:keepNext/>
              <w:keepLines/>
            </w:pPr>
            <w:r>
              <w:rPr>
                <w:b/>
                <w:bCs/>
                <w:i/>
                <w:iCs/>
                <w:color w:val="4F81BD"/>
              </w:rPr>
              <w:lastRenderedPageBreak/>
              <w:t>Diseño y elaboraci</w:t>
            </w:r>
            <w:r w:rsidR="00CE5380">
              <w:rPr>
                <w:b/>
                <w:bCs/>
                <w:i/>
                <w:iCs/>
                <w:color w:val="4F81BD"/>
              </w:rPr>
              <w:t>ón del sistema de i</w:t>
            </w:r>
            <w:r>
              <w:rPr>
                <w:b/>
                <w:bCs/>
                <w:i/>
                <w:iCs/>
                <w:color w:val="4F81BD"/>
              </w:rPr>
              <w:t>nformaci</w:t>
            </w:r>
            <w:r w:rsidR="00CE5380">
              <w:rPr>
                <w:b/>
                <w:bCs/>
                <w:i/>
                <w:iCs/>
                <w:color w:val="4F81BD"/>
              </w:rPr>
              <w:t>ón e</w:t>
            </w:r>
            <w:r>
              <w:rPr>
                <w:b/>
                <w:bCs/>
                <w:i/>
                <w:iCs/>
                <w:color w:val="4F81BD"/>
              </w:rPr>
              <w:t>spacial de la BR</w:t>
            </w:r>
            <w:r w:rsidR="00E72A0F">
              <w:rPr>
                <w:b/>
                <w:bCs/>
                <w:i/>
                <w:iCs/>
                <w:color w:val="4F81BD"/>
              </w:rPr>
              <w:t xml:space="preserve"> </w:t>
            </w:r>
            <w:r w:rsidR="005079F5" w:rsidRPr="002B02FF">
              <w:t xml:space="preserve">– Actualmente el sistema </w:t>
            </w:r>
            <w:r w:rsidR="006903BA">
              <w:t xml:space="preserve">de información </w:t>
            </w:r>
            <w:r w:rsidR="005079F5" w:rsidRPr="002B02FF">
              <w:t xml:space="preserve">espacial de la BR </w:t>
            </w:r>
            <w:r w:rsidR="006903BA">
              <w:t xml:space="preserve">utiliza numerosas </w:t>
            </w:r>
            <w:r w:rsidR="005079F5" w:rsidRPr="002B02FF">
              <w:t xml:space="preserve">aplicaciones autónomas escritas en VB6 y VO con su propia interfaz específica. El objetivo es </w:t>
            </w:r>
            <w:r w:rsidR="006903BA">
              <w:t xml:space="preserve">elaborar </w:t>
            </w:r>
            <w:r w:rsidR="005079F5" w:rsidRPr="002B02FF">
              <w:t>una sola interfaz de usuario que integre en el futuro todos los servicios espaciales de la BR utili</w:t>
            </w:r>
            <w:r w:rsidR="006903BA">
              <w:t xml:space="preserve">zando las </w:t>
            </w:r>
            <w:r w:rsidR="005079F5" w:rsidRPr="002B02FF">
              <w:t>tecnologías</w:t>
            </w:r>
            <w:r w:rsidR="006903BA">
              <w:t xml:space="preserve"> más modernas</w:t>
            </w:r>
            <w:r w:rsidR="005079F5" w:rsidRPr="002B02FF">
              <w:t xml:space="preserve">. Esta tarea ha </w:t>
            </w:r>
            <w:r w:rsidR="006903BA">
              <w:t xml:space="preserve">comenzado </w:t>
            </w:r>
            <w:r w:rsidR="005079F5" w:rsidRPr="002B02FF">
              <w:t xml:space="preserve">y la arquitectura propuesta </w:t>
            </w:r>
            <w:r w:rsidR="006903BA">
              <w:t xml:space="preserve">ha sido validada </w:t>
            </w:r>
            <w:r w:rsidR="005079F5" w:rsidRPr="002B02FF">
              <w:t>con un prototipo</w:t>
            </w:r>
            <w:r w:rsidR="00214210">
              <w:t xml:space="preserve"> basado </w:t>
            </w:r>
            <w:r w:rsidR="006903BA">
              <w:t>en la a</w:t>
            </w:r>
            <w:r w:rsidR="005079F5" w:rsidRPr="002B02FF">
              <w:t xml:space="preserve">rquitectura </w:t>
            </w:r>
            <w:r w:rsidR="006903BA">
              <w:t>o</w:t>
            </w:r>
            <w:r w:rsidR="005079F5" w:rsidRPr="002B02FF">
              <w:t>rientada a</w:t>
            </w:r>
            <w:r w:rsidR="006903BA">
              <w:t xml:space="preserve"> los s</w:t>
            </w:r>
            <w:r w:rsidR="005079F5" w:rsidRPr="002B02FF">
              <w:t>ervicio</w:t>
            </w:r>
            <w:r w:rsidR="006903BA">
              <w:t>s</w:t>
            </w:r>
            <w:r w:rsidR="005079F5" w:rsidRPr="002B02FF">
              <w:t xml:space="preserve"> (SOA). La SOA separa la interfaz de usuario de la impl</w:t>
            </w:r>
            <w:r w:rsidR="006903BA">
              <w:t xml:space="preserve">antación </w:t>
            </w:r>
            <w:r w:rsidR="005079F5" w:rsidRPr="002B02FF">
              <w:t xml:space="preserve">del servicio. Cada aplicación </w:t>
            </w:r>
            <w:r w:rsidR="006903BA">
              <w:t xml:space="preserve">de los servicios espaciales </w:t>
            </w:r>
            <w:r w:rsidR="005079F5" w:rsidRPr="002B02FF">
              <w:t>de la BR se presentará como servicio</w:t>
            </w:r>
            <w:r w:rsidR="006903BA">
              <w:t xml:space="preserve"> autónomo</w:t>
            </w:r>
            <w:r w:rsidR="005079F5" w:rsidRPr="002B02FF">
              <w:t xml:space="preserve"> WCF (</w:t>
            </w:r>
            <w:r w:rsidR="006903BA" w:rsidRPr="00C04E5E">
              <w:rPr>
                <w:i/>
                <w:iCs/>
              </w:rPr>
              <w:t>Windows Communication Foundation</w:t>
            </w:r>
            <w:r w:rsidR="006903BA">
              <w:t>)</w:t>
            </w:r>
            <w:r w:rsidR="005079F5" w:rsidRPr="002B02FF">
              <w:t xml:space="preserve"> y p</w:t>
            </w:r>
            <w:r w:rsidR="006903BA">
              <w:t xml:space="preserve">odrá </w:t>
            </w:r>
            <w:r w:rsidR="005079F5" w:rsidRPr="002B02FF">
              <w:t>instalarse fácilmente en las plataformas Windows y web.</w:t>
            </w:r>
            <w:r w:rsidR="005079F5">
              <w:t xml:space="preserve"> </w:t>
            </w:r>
            <w:r w:rsidR="00C17A8C">
              <w:t>La</w:t>
            </w:r>
            <w:r w:rsidR="005079F5" w:rsidRPr="002B02FF">
              <w:t xml:space="preserve"> tecnología WPF (</w:t>
            </w:r>
            <w:r w:rsidR="006903BA" w:rsidRPr="00C04E5E">
              <w:rPr>
                <w:i/>
                <w:iCs/>
              </w:rPr>
              <w:t>Windows Presentation Foundation</w:t>
            </w:r>
            <w:r w:rsidR="005079F5" w:rsidRPr="002B02FF">
              <w:t>)</w:t>
            </w:r>
            <w:r w:rsidR="00C17A8C">
              <w:t>, principal herramienta moderna de diseño de interfaces de usuario</w:t>
            </w:r>
            <w:r w:rsidR="001B5E99">
              <w:t xml:space="preserve"> (UI)</w:t>
            </w:r>
            <w:r w:rsidR="00C17A8C">
              <w:t>, se utilizará</w:t>
            </w:r>
            <w:r w:rsidR="005079F5" w:rsidRPr="002B02FF">
              <w:t xml:space="preserve"> para el diseño y </w:t>
            </w:r>
            <w:r w:rsidR="00C17A8C">
              <w:t>la elaboración</w:t>
            </w:r>
            <w:r w:rsidR="005079F5" w:rsidRPr="002B02FF">
              <w:t xml:space="preserve"> de la interfaz de usuario. </w:t>
            </w:r>
            <w:r w:rsidR="001B5E99">
              <w:t xml:space="preserve">Esta tecnología </w:t>
            </w:r>
            <w:r w:rsidR="005079F5" w:rsidRPr="002B02FF">
              <w:t xml:space="preserve">separa la capa de diseño de </w:t>
            </w:r>
            <w:r w:rsidR="00352713">
              <w:t xml:space="preserve">la </w:t>
            </w:r>
            <w:r w:rsidR="005079F5" w:rsidRPr="002B02FF">
              <w:t>presentación de la capa lógica.</w:t>
            </w:r>
          </w:p>
          <w:p w:rsidR="005638D8" w:rsidRDefault="005079F5" w:rsidP="007E3591">
            <w:pPr>
              <w:pStyle w:val="Tabletext"/>
              <w:keepNext/>
              <w:keepLines/>
            </w:pPr>
            <w:r w:rsidRPr="002B02FF">
              <w:t xml:space="preserve">Todo el sistema utiliza un patrón de diseño de aplicación compuesto (Prism es la Guía de Aplicación Compuesta para la </w:t>
            </w:r>
            <w:r w:rsidR="00446D8D">
              <w:t xml:space="preserve">tecnología WPF), lo cual </w:t>
            </w:r>
            <w:r w:rsidRPr="002B02FF">
              <w:t>mejora la modularidad del siste</w:t>
            </w:r>
            <w:r w:rsidR="00446D8D">
              <w:t xml:space="preserve">ma y permite a los diseñadores elaborar </w:t>
            </w:r>
            <w:r w:rsidRPr="002B02FF">
              <w:t>y mantener los módulos del sistema de manera independiente.</w:t>
            </w:r>
          </w:p>
          <w:p w:rsidR="005079F5" w:rsidRPr="005079F5" w:rsidRDefault="005079F5" w:rsidP="007E3591">
            <w:pPr>
              <w:pStyle w:val="Tabletext"/>
              <w:keepNext/>
              <w:keepLines/>
            </w:pPr>
            <w:r w:rsidRPr="002B02FF">
              <w:t xml:space="preserve">SpaceQry será la primera aplicación reescrita en el </w:t>
            </w:r>
            <w:r w:rsidR="00C30BE8">
              <w:rPr>
                <w:i/>
                <w:iCs/>
              </w:rPr>
              <w:t>s</w:t>
            </w:r>
            <w:r w:rsidRPr="002B02FF">
              <w:rPr>
                <w:i/>
                <w:iCs/>
              </w:rPr>
              <w:t xml:space="preserve">istema de </w:t>
            </w:r>
            <w:r w:rsidR="00C30BE8">
              <w:rPr>
                <w:i/>
                <w:iCs/>
              </w:rPr>
              <w:t>i</w:t>
            </w:r>
            <w:r w:rsidRPr="002B02FF">
              <w:rPr>
                <w:i/>
                <w:iCs/>
              </w:rPr>
              <w:t xml:space="preserve">nformación </w:t>
            </w:r>
            <w:r w:rsidR="00C30BE8">
              <w:rPr>
                <w:i/>
                <w:iCs/>
              </w:rPr>
              <w:t>e</w:t>
            </w:r>
            <w:r w:rsidRPr="002B02FF">
              <w:rPr>
                <w:i/>
                <w:iCs/>
              </w:rPr>
              <w:t>spacial de la BR</w:t>
            </w:r>
            <w:r w:rsidRPr="002B02FF">
              <w:t xml:space="preserve"> </w:t>
            </w:r>
            <w:r w:rsidR="00C30BE8">
              <w:t xml:space="preserve">con arreglo a la arquitectura seleccionada y servirá de modelo </w:t>
            </w:r>
            <w:r w:rsidRPr="002B02FF">
              <w:t xml:space="preserve">para </w:t>
            </w:r>
            <w:r w:rsidR="00172028">
              <w:t xml:space="preserve">la elaboración de todas las aplicaciones </w:t>
            </w:r>
            <w:r w:rsidR="003C4447">
              <w:t xml:space="preserve">del </w:t>
            </w:r>
            <w:r w:rsidR="00172028">
              <w:t xml:space="preserve">software </w:t>
            </w:r>
            <w:r w:rsidRPr="002B02FF">
              <w:t>de la BR</w:t>
            </w:r>
            <w:r w:rsidR="00172028">
              <w:t>. El</w:t>
            </w:r>
            <w:r w:rsidRPr="002B02FF">
              <w:t xml:space="preserve"> servicio de consulta </w:t>
            </w:r>
            <w:r w:rsidR="00172028">
              <w:t>elaborado para SpaceQry también podrá ser utilizado por el futuro</w:t>
            </w:r>
            <w:r w:rsidR="00194849">
              <w:t xml:space="preserve"> sistema de redes espaciales (</w:t>
            </w:r>
            <w:r w:rsidRPr="002B02FF">
              <w:t>SNS</w:t>
            </w:r>
            <w:r w:rsidR="00194849">
              <w:t>)</w:t>
            </w:r>
            <w:r w:rsidRPr="002B02FF">
              <w:t xml:space="preserve"> en línea como</w:t>
            </w:r>
            <w:r w:rsidR="00E72A0F">
              <w:t xml:space="preserve"> </w:t>
            </w:r>
            <w:r w:rsidRPr="002B02FF">
              <w:t>servicio web.</w:t>
            </w:r>
          </w:p>
        </w:tc>
      </w:tr>
      <w:tr w:rsidR="005638D8" w:rsidRPr="006D6B59" w:rsidTr="005638D8">
        <w:tc>
          <w:tcPr>
            <w:tcW w:w="9184" w:type="dxa"/>
            <w:tcBorders>
              <w:top w:val="single" w:sz="4" w:space="0" w:color="auto"/>
              <w:left w:val="single" w:sz="4" w:space="0" w:color="auto"/>
              <w:bottom w:val="single" w:sz="4" w:space="0" w:color="auto"/>
              <w:right w:val="single" w:sz="4" w:space="0" w:color="auto"/>
            </w:tcBorders>
            <w:hideMark/>
          </w:tcPr>
          <w:p w:rsidR="005079F5" w:rsidRPr="00E625D2" w:rsidRDefault="00141EDB" w:rsidP="007E3591">
            <w:pPr>
              <w:pStyle w:val="Tabletext"/>
            </w:pPr>
            <w:r>
              <w:rPr>
                <w:b/>
                <w:bCs/>
                <w:i/>
                <w:iCs/>
                <w:color w:val="4F81BD"/>
              </w:rPr>
              <w:t>Reescr</w:t>
            </w:r>
            <w:r w:rsidR="00B44C62">
              <w:rPr>
                <w:b/>
                <w:bCs/>
                <w:i/>
                <w:iCs/>
                <w:color w:val="4F81BD"/>
              </w:rPr>
              <w:t xml:space="preserve">itura de </w:t>
            </w:r>
            <w:r w:rsidR="00113AE6">
              <w:rPr>
                <w:b/>
                <w:bCs/>
                <w:i/>
                <w:iCs/>
                <w:color w:val="4F81BD"/>
              </w:rPr>
              <w:t>la aplicación</w:t>
            </w:r>
            <w:r>
              <w:rPr>
                <w:b/>
                <w:bCs/>
                <w:i/>
                <w:iCs/>
                <w:color w:val="4F81BD"/>
              </w:rPr>
              <w:t xml:space="preserve"> SpaceQry escrit</w:t>
            </w:r>
            <w:r w:rsidR="00113AE6">
              <w:rPr>
                <w:b/>
                <w:bCs/>
                <w:i/>
                <w:iCs/>
                <w:color w:val="4F81BD"/>
              </w:rPr>
              <w:t>a</w:t>
            </w:r>
            <w:r>
              <w:rPr>
                <w:b/>
                <w:bCs/>
                <w:i/>
                <w:iCs/>
                <w:color w:val="4F81BD"/>
              </w:rPr>
              <w:t xml:space="preserve"> en VO</w:t>
            </w:r>
            <w:r w:rsidR="00E72A0F">
              <w:rPr>
                <w:b/>
                <w:bCs/>
                <w:i/>
                <w:iCs/>
                <w:color w:val="4F81BD"/>
              </w:rPr>
              <w:t xml:space="preserve"> </w:t>
            </w:r>
            <w:r w:rsidR="005079F5" w:rsidRPr="00E625D2">
              <w:t xml:space="preserve">– </w:t>
            </w:r>
            <w:r w:rsidR="004B269A">
              <w:t>A</w:t>
            </w:r>
            <w:r w:rsidR="005079F5" w:rsidRPr="00E625D2">
              <w:t>nálisis y diseño</w:t>
            </w:r>
            <w:r w:rsidR="00C07A47">
              <w:t xml:space="preserve"> completos</w:t>
            </w:r>
            <w:r w:rsidR="005079F5" w:rsidRPr="00E625D2">
              <w:t>.</w:t>
            </w:r>
          </w:p>
          <w:p w:rsidR="005638D8" w:rsidRPr="006D6B59" w:rsidRDefault="00113AE6" w:rsidP="007E3591">
            <w:pPr>
              <w:pStyle w:val="Tabletext"/>
            </w:pPr>
            <w:r>
              <w:t xml:space="preserve">Las fases de elaboración </w:t>
            </w:r>
            <w:r w:rsidR="004B269A">
              <w:t xml:space="preserve">y </w:t>
            </w:r>
            <w:r>
              <w:t>puesta a pru</w:t>
            </w:r>
            <w:r w:rsidR="004B269A">
              <w:t>eba</w:t>
            </w:r>
            <w:r>
              <w:t xml:space="preserve"> están </w:t>
            </w:r>
            <w:r w:rsidR="004B269A">
              <w:t xml:space="preserve">en curso. Se prevé </w:t>
            </w:r>
            <w:r>
              <w:t xml:space="preserve">obtener </w:t>
            </w:r>
            <w:r w:rsidR="004B269A">
              <w:t xml:space="preserve">una versión beta </w:t>
            </w:r>
            <w:r>
              <w:t xml:space="preserve">en agosto de 2014 </w:t>
            </w:r>
            <w:r w:rsidR="004B269A">
              <w:t xml:space="preserve">para </w:t>
            </w:r>
            <w:r w:rsidR="003616FB">
              <w:t>una puesta a</w:t>
            </w:r>
            <w:r w:rsidR="00E72A0F">
              <w:t xml:space="preserve"> </w:t>
            </w:r>
            <w:r w:rsidR="003616FB">
              <w:t xml:space="preserve">prueba </w:t>
            </w:r>
            <w:r>
              <w:t>interna</w:t>
            </w:r>
            <w:r w:rsidR="004B269A">
              <w:t>, y</w:t>
            </w:r>
            <w:r w:rsidR="003616FB">
              <w:t xml:space="preserve"> </w:t>
            </w:r>
            <w:r>
              <w:t xml:space="preserve">poco después para </w:t>
            </w:r>
            <w:r w:rsidR="003616FB">
              <w:t>una puesta a prueba externa</w:t>
            </w:r>
            <w:r w:rsidR="006D6B59">
              <w:t>.</w:t>
            </w:r>
          </w:p>
        </w:tc>
      </w:tr>
      <w:tr w:rsidR="005638D8" w:rsidRPr="005638D8" w:rsidTr="005638D8">
        <w:tc>
          <w:tcPr>
            <w:tcW w:w="9184" w:type="dxa"/>
            <w:tcBorders>
              <w:top w:val="single" w:sz="4" w:space="0" w:color="auto"/>
              <w:left w:val="single" w:sz="4" w:space="0" w:color="auto"/>
              <w:bottom w:val="single" w:sz="4" w:space="0" w:color="auto"/>
              <w:right w:val="single" w:sz="4" w:space="0" w:color="auto"/>
            </w:tcBorders>
            <w:hideMark/>
          </w:tcPr>
          <w:p w:rsidR="006D6B59" w:rsidRDefault="00141EDB" w:rsidP="00067BC5">
            <w:pPr>
              <w:pStyle w:val="Tabletext"/>
            </w:pPr>
            <w:r>
              <w:rPr>
                <w:b/>
                <w:bCs/>
                <w:i/>
                <w:iCs/>
                <w:color w:val="4F81BD"/>
              </w:rPr>
              <w:t>Reescr</w:t>
            </w:r>
            <w:r w:rsidR="00B44C62">
              <w:rPr>
                <w:b/>
                <w:bCs/>
                <w:i/>
                <w:iCs/>
                <w:color w:val="4F81BD"/>
              </w:rPr>
              <w:t xml:space="preserve">itura de </w:t>
            </w:r>
            <w:r>
              <w:rPr>
                <w:b/>
                <w:bCs/>
                <w:i/>
                <w:iCs/>
                <w:color w:val="4F81BD"/>
              </w:rPr>
              <w:t xml:space="preserve">las aplicaciones del software de la BR escritas en VB6 </w:t>
            </w:r>
            <w:r w:rsidR="00067BC5">
              <w:rPr>
                <w:b/>
                <w:bCs/>
                <w:i/>
                <w:iCs/>
                <w:color w:val="4F81BD"/>
              </w:rPr>
              <w:t xml:space="preserve">– </w:t>
            </w:r>
            <w:r>
              <w:t>Toda</w:t>
            </w:r>
            <w:r w:rsidR="006D6B59" w:rsidRPr="002B02FF">
              <w:t xml:space="preserve">s las aplicaciones de software de la BR en VB6 se reescribirán en el </w:t>
            </w:r>
            <w:r w:rsidR="00AA0311">
              <w:rPr>
                <w:i/>
                <w:iCs/>
              </w:rPr>
              <w:t>sistema de información e</w:t>
            </w:r>
            <w:r w:rsidR="006D6B59" w:rsidRPr="002B02FF">
              <w:rPr>
                <w:i/>
                <w:iCs/>
              </w:rPr>
              <w:t>spacial de la BR</w:t>
            </w:r>
            <w:r w:rsidR="006D6B59" w:rsidRPr="002B02FF">
              <w:t xml:space="preserve"> </w:t>
            </w:r>
            <w:r w:rsidR="00AA0311">
              <w:t>con arreglo a</w:t>
            </w:r>
            <w:r w:rsidR="006D6B59" w:rsidRPr="002B02FF">
              <w:t xml:space="preserve"> la arquitectura </w:t>
            </w:r>
            <w:r w:rsidR="00AA0311">
              <w:t>seleccionada</w:t>
            </w:r>
            <w:r w:rsidR="006D6B59" w:rsidRPr="002B02FF">
              <w:t>.</w:t>
            </w:r>
          </w:p>
          <w:p w:rsidR="005638D8" w:rsidRPr="003C4447" w:rsidRDefault="003C4447" w:rsidP="007E3591">
            <w:pPr>
              <w:pStyle w:val="Tabletext"/>
            </w:pPr>
            <w:r w:rsidRPr="003C4447">
              <w:t>Esta tarea se realizar</w:t>
            </w:r>
            <w:r>
              <w:t>á</w:t>
            </w:r>
            <w:r w:rsidR="00B809D5">
              <w:t xml:space="preserve"> como parte del proyecto </w:t>
            </w:r>
            <w:r w:rsidR="00E9735E">
              <w:t>relativo a los s</w:t>
            </w:r>
            <w:r w:rsidR="00B809D5">
              <w:t>istema</w:t>
            </w:r>
            <w:r w:rsidR="00E9735E">
              <w:t>s de i</w:t>
            </w:r>
            <w:r w:rsidR="00B809D5">
              <w:t xml:space="preserve">nformación de la BR. </w:t>
            </w:r>
            <w:r w:rsidR="00E9735E">
              <w:t xml:space="preserve">Las aplicaciones </w:t>
            </w:r>
            <w:r w:rsidR="005638D8" w:rsidRPr="003C4447">
              <w:t>SpaceQry, SpaceCap, SpacePub, GIBC</w:t>
            </w:r>
            <w:r w:rsidR="00B809D5">
              <w:t xml:space="preserve"> y otr</w:t>
            </w:r>
            <w:r w:rsidR="00E9735E">
              <w:t>a</w:t>
            </w:r>
            <w:r w:rsidR="00B809D5">
              <w:t>s se</w:t>
            </w:r>
            <w:r w:rsidR="00E9735E">
              <w:t xml:space="preserve">rán reescritas con arreglo a </w:t>
            </w:r>
            <w:r w:rsidR="00B809D5">
              <w:t xml:space="preserve">la arquitectura seleccionada. </w:t>
            </w:r>
          </w:p>
        </w:tc>
      </w:tr>
      <w:tr w:rsidR="005638D8" w:rsidRPr="006D6B59" w:rsidTr="005638D8">
        <w:tc>
          <w:tcPr>
            <w:tcW w:w="9184" w:type="dxa"/>
            <w:tcBorders>
              <w:top w:val="single" w:sz="4" w:space="0" w:color="auto"/>
              <w:left w:val="single" w:sz="4" w:space="0" w:color="auto"/>
              <w:bottom w:val="single" w:sz="4" w:space="0" w:color="auto"/>
              <w:right w:val="single" w:sz="4" w:space="0" w:color="auto"/>
            </w:tcBorders>
            <w:hideMark/>
          </w:tcPr>
          <w:p w:rsidR="006D6B59" w:rsidRPr="006D6B59" w:rsidRDefault="00141EDB" w:rsidP="007E3591">
            <w:pPr>
              <w:pStyle w:val="Tabletext"/>
            </w:pPr>
            <w:r>
              <w:rPr>
                <w:b/>
                <w:bCs/>
                <w:i/>
                <w:iCs/>
                <w:color w:val="4F81BD"/>
              </w:rPr>
              <w:t>Consider</w:t>
            </w:r>
            <w:r w:rsidR="00202CCF">
              <w:rPr>
                <w:b/>
                <w:bCs/>
                <w:i/>
                <w:iCs/>
                <w:color w:val="4F81BD"/>
              </w:rPr>
              <w:t>a</w:t>
            </w:r>
            <w:r w:rsidR="00B44C62">
              <w:rPr>
                <w:b/>
                <w:bCs/>
                <w:i/>
                <w:iCs/>
                <w:color w:val="4F81BD"/>
              </w:rPr>
              <w:t xml:space="preserve">ción de </w:t>
            </w:r>
            <w:r w:rsidR="00202CCF">
              <w:rPr>
                <w:b/>
                <w:bCs/>
                <w:i/>
                <w:iCs/>
                <w:color w:val="4F81BD"/>
              </w:rPr>
              <w:t xml:space="preserve">la </w:t>
            </w:r>
            <w:r>
              <w:rPr>
                <w:b/>
                <w:bCs/>
                <w:i/>
                <w:iCs/>
                <w:color w:val="4F81BD"/>
              </w:rPr>
              <w:t>reescritura de la</w:t>
            </w:r>
            <w:r w:rsidR="00202CCF">
              <w:rPr>
                <w:b/>
                <w:bCs/>
                <w:i/>
                <w:iCs/>
                <w:color w:val="4F81BD"/>
              </w:rPr>
              <w:t xml:space="preserve"> aplicación Merge</w:t>
            </w:r>
            <w:r w:rsidR="00E72A0F">
              <w:rPr>
                <w:b/>
                <w:bCs/>
                <w:i/>
                <w:iCs/>
                <w:color w:val="4F81BD"/>
              </w:rPr>
              <w:t xml:space="preserve"> </w:t>
            </w:r>
            <w:r w:rsidR="006D6B59" w:rsidRPr="002B02FF">
              <w:t xml:space="preserve">– </w:t>
            </w:r>
            <w:r w:rsidR="0027705B">
              <w:t xml:space="preserve">El </w:t>
            </w:r>
            <w:r w:rsidR="00DC445C">
              <w:t>traslado</w:t>
            </w:r>
            <w:r w:rsidR="0027705B">
              <w:t xml:space="preserve"> de la base de datos de Ingres al servidor SQL tal vez </w:t>
            </w:r>
            <w:r w:rsidR="000F2690">
              <w:t xml:space="preserve">necesitará </w:t>
            </w:r>
            <w:r w:rsidR="0027705B">
              <w:t xml:space="preserve">reescribir la </w:t>
            </w:r>
            <w:r w:rsidR="000F2690">
              <w:t>aplicación Merge</w:t>
            </w:r>
            <w:r w:rsidR="0027705B">
              <w:t xml:space="preserve"> en 2014. Actualmente dos ingenieros </w:t>
            </w:r>
            <w:r w:rsidR="000F2690">
              <w:t>trabajan sobre la a</w:t>
            </w:r>
            <w:r w:rsidR="0027705B">
              <w:t xml:space="preserve">plicación Merge </w:t>
            </w:r>
            <w:r w:rsidR="000F2690">
              <w:t xml:space="preserve">actual. </w:t>
            </w:r>
            <w:r w:rsidR="0027705B">
              <w:t xml:space="preserve">Ya se han llevado a cabo reuniones entre diseñadores y usuarios para examinar el flujo de tratamiento de </w:t>
            </w:r>
            <w:r w:rsidR="000F2690">
              <w:t xml:space="preserve">las </w:t>
            </w:r>
            <w:r w:rsidR="0027705B">
              <w:t>notificaciones</w:t>
            </w:r>
            <w:r w:rsidR="00C36FA7">
              <w:t>.</w:t>
            </w:r>
          </w:p>
        </w:tc>
      </w:tr>
      <w:tr w:rsidR="005638D8" w:rsidRPr="006D6B59"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6D6B59" w:rsidRDefault="00141EDB" w:rsidP="007E3591">
            <w:pPr>
              <w:pStyle w:val="Tabletext"/>
            </w:pPr>
            <w:r>
              <w:rPr>
                <w:b/>
                <w:bCs/>
                <w:i/>
                <w:iCs/>
                <w:color w:val="4F81BD"/>
              </w:rPr>
              <w:t>Examen del SNS en línea</w:t>
            </w:r>
            <w:r w:rsidR="00E72A0F">
              <w:rPr>
                <w:b/>
                <w:bCs/>
                <w:i/>
                <w:iCs/>
                <w:color w:val="4F81BD"/>
              </w:rPr>
              <w:t xml:space="preserve"> </w:t>
            </w:r>
            <w:r w:rsidR="006D6B59" w:rsidRPr="002B02FF">
              <w:t>–</w:t>
            </w:r>
            <w:r w:rsidR="00067BC5">
              <w:t xml:space="preserve"> </w:t>
            </w:r>
            <w:r w:rsidR="006D6B59" w:rsidRPr="002B02FF">
              <w:t xml:space="preserve">Debe </w:t>
            </w:r>
            <w:r w:rsidR="00E02A25">
              <w:t xml:space="preserve">examinarse </w:t>
            </w:r>
            <w:r w:rsidR="006D6B59" w:rsidRPr="002B02FF">
              <w:t xml:space="preserve">la posibilidad de utilizar el </w:t>
            </w:r>
            <w:r w:rsidR="00E02A25">
              <w:t xml:space="preserve">nuevo </w:t>
            </w:r>
            <w:r w:rsidR="006D6B59" w:rsidRPr="002B02FF">
              <w:t>servicio de consulta (SpaceQry) que se impl</w:t>
            </w:r>
            <w:r w:rsidR="00E02A25">
              <w:t xml:space="preserve">antará </w:t>
            </w:r>
            <w:r w:rsidR="006D6B59" w:rsidRPr="002B02FF">
              <w:t xml:space="preserve">en el </w:t>
            </w:r>
            <w:r w:rsidR="00E02A25">
              <w:rPr>
                <w:i/>
                <w:iCs/>
              </w:rPr>
              <w:t>s</w:t>
            </w:r>
            <w:r w:rsidR="006D6B59" w:rsidRPr="002B02FF">
              <w:rPr>
                <w:i/>
                <w:iCs/>
              </w:rPr>
              <w:t>iste</w:t>
            </w:r>
            <w:r w:rsidR="00E02A25">
              <w:rPr>
                <w:i/>
                <w:iCs/>
              </w:rPr>
              <w:t>ma de información e</w:t>
            </w:r>
            <w:r w:rsidR="006D6B59" w:rsidRPr="002B02FF">
              <w:rPr>
                <w:i/>
                <w:iCs/>
              </w:rPr>
              <w:t>spacial de la BR</w:t>
            </w:r>
            <w:r w:rsidR="006D6B59" w:rsidRPr="002B02FF">
              <w:t>.</w:t>
            </w:r>
          </w:p>
        </w:tc>
      </w:tr>
      <w:tr w:rsidR="005638D8" w:rsidRPr="006D6B59" w:rsidTr="005638D8">
        <w:tc>
          <w:tcPr>
            <w:tcW w:w="9184" w:type="dxa"/>
            <w:tcBorders>
              <w:top w:val="single" w:sz="4" w:space="0" w:color="auto"/>
              <w:left w:val="single" w:sz="4" w:space="0" w:color="auto"/>
              <w:bottom w:val="single" w:sz="4" w:space="0" w:color="auto"/>
              <w:right w:val="single" w:sz="4" w:space="0" w:color="auto"/>
            </w:tcBorders>
            <w:hideMark/>
          </w:tcPr>
          <w:p w:rsidR="005638D8" w:rsidRPr="006D6B59" w:rsidRDefault="00141EDB" w:rsidP="00067BC5">
            <w:pPr>
              <w:pStyle w:val="Tabletext"/>
            </w:pPr>
            <w:r>
              <w:rPr>
                <w:b/>
                <w:bCs/>
                <w:i/>
                <w:iCs/>
                <w:color w:val="4F81BD"/>
              </w:rPr>
              <w:t>Examen de SNTrack</w:t>
            </w:r>
            <w:r w:rsidR="00E72A0F">
              <w:rPr>
                <w:b/>
                <w:bCs/>
                <w:i/>
                <w:iCs/>
                <w:color w:val="4F81BD"/>
              </w:rPr>
              <w:t xml:space="preserve"> </w:t>
            </w:r>
            <w:r w:rsidR="006D6B59" w:rsidRPr="002B02FF">
              <w:t xml:space="preserve">– Esta tarea debe realizarse </w:t>
            </w:r>
            <w:r w:rsidR="008A0EEB">
              <w:t>en el marco de la elaboración</w:t>
            </w:r>
            <w:r w:rsidR="006D6B59" w:rsidRPr="002B02FF">
              <w:t xml:space="preserve"> de las Resoluciones 907 y 908. La </w:t>
            </w:r>
            <w:r w:rsidR="00B31AC9">
              <w:t>experiencia adquirida en la creación de</w:t>
            </w:r>
            <w:r w:rsidR="008A0EEB">
              <w:t xml:space="preserve">l </w:t>
            </w:r>
            <w:r w:rsidR="00B31AC9">
              <w:t xml:space="preserve">flujo de trabajo </w:t>
            </w:r>
            <w:r w:rsidR="008253C4">
              <w:t>SharePoint</w:t>
            </w:r>
            <w:r w:rsidR="00B31AC9">
              <w:t xml:space="preserve"> será de utilidad en esta tarea. </w:t>
            </w:r>
          </w:p>
        </w:tc>
      </w:tr>
      <w:tr w:rsidR="005638D8" w:rsidRPr="00DA5B4E" w:rsidTr="005638D8">
        <w:tc>
          <w:tcPr>
            <w:tcW w:w="9184" w:type="dxa"/>
            <w:tcBorders>
              <w:top w:val="single" w:sz="4" w:space="0" w:color="auto"/>
              <w:left w:val="single" w:sz="4" w:space="0" w:color="auto"/>
              <w:bottom w:val="single" w:sz="4" w:space="0" w:color="auto"/>
              <w:right w:val="single" w:sz="4" w:space="0" w:color="auto"/>
            </w:tcBorders>
            <w:hideMark/>
          </w:tcPr>
          <w:p w:rsidR="006D6B59" w:rsidRDefault="00DC445C" w:rsidP="007E3591">
            <w:pPr>
              <w:pStyle w:val="Tabletext"/>
            </w:pPr>
            <w:r>
              <w:rPr>
                <w:b/>
                <w:bCs/>
                <w:i/>
                <w:iCs/>
                <w:color w:val="4F81BD" w:themeColor="accent1"/>
              </w:rPr>
              <w:t xml:space="preserve">Traslado </w:t>
            </w:r>
            <w:r w:rsidR="00DA5B4E">
              <w:rPr>
                <w:b/>
                <w:bCs/>
                <w:i/>
                <w:iCs/>
                <w:color w:val="4F81BD" w:themeColor="accent1"/>
              </w:rPr>
              <w:t>de S</w:t>
            </w:r>
            <w:r w:rsidR="00C44067">
              <w:rPr>
                <w:b/>
                <w:bCs/>
                <w:i/>
                <w:iCs/>
                <w:color w:val="4F81BD" w:themeColor="accent1"/>
              </w:rPr>
              <w:t>RS</w:t>
            </w:r>
            <w:r w:rsidR="00DA5B4E">
              <w:rPr>
                <w:b/>
                <w:bCs/>
                <w:i/>
                <w:iCs/>
                <w:color w:val="4F81BD" w:themeColor="accent1"/>
              </w:rPr>
              <w:t xml:space="preserve">.mdb al SQL </w:t>
            </w:r>
            <w:r w:rsidR="00B15239">
              <w:rPr>
                <w:b/>
                <w:bCs/>
                <w:i/>
                <w:iCs/>
                <w:color w:val="4F81BD" w:themeColor="accent1"/>
              </w:rPr>
              <w:t xml:space="preserve">Server </w:t>
            </w:r>
            <w:r w:rsidR="006D6B59" w:rsidRPr="006D6B59">
              <w:rPr>
                <w:b/>
                <w:bCs/>
                <w:i/>
                <w:iCs/>
                <w:color w:val="4F81BD" w:themeColor="accent1"/>
              </w:rPr>
              <w:t>localdb</w:t>
            </w:r>
            <w:r w:rsidR="006D6B59" w:rsidRPr="002B02FF">
              <w:t>– Debido</w:t>
            </w:r>
            <w:r w:rsidR="004D6EC7">
              <w:t xml:space="preserve"> a una limitación de espacio en </w:t>
            </w:r>
            <w:r w:rsidR="00676582">
              <w:t>Microsoft</w:t>
            </w:r>
            <w:r w:rsidR="004D6EC7">
              <w:t xml:space="preserve"> Access</w:t>
            </w:r>
            <w:r w:rsidR="00676582">
              <w:t xml:space="preserve">, </w:t>
            </w:r>
            <w:r w:rsidR="005574F7">
              <w:t xml:space="preserve">estamos </w:t>
            </w:r>
            <w:r>
              <w:t xml:space="preserve">considerando la posibilidad de trasladar </w:t>
            </w:r>
            <w:r w:rsidR="00676582">
              <w:t>S</w:t>
            </w:r>
            <w:r w:rsidR="00C44067">
              <w:t>RS</w:t>
            </w:r>
            <w:r w:rsidR="00676582">
              <w:t xml:space="preserve">.mdb </w:t>
            </w:r>
            <w:r w:rsidR="006D6B59" w:rsidRPr="002B02FF">
              <w:t>a un nuevo contenedor</w:t>
            </w:r>
            <w:r w:rsidR="00B15239">
              <w:t xml:space="preserve">, por ejemplo </w:t>
            </w:r>
            <w:r w:rsidR="00B15239" w:rsidRPr="00B15239">
              <w:t xml:space="preserve">SQL Server localdb </w:t>
            </w:r>
            <w:r w:rsidR="006D6B59" w:rsidRPr="002B02FF">
              <w:t>o SQLite.</w:t>
            </w:r>
            <w:r w:rsidR="006D6B59" w:rsidRPr="006D6B59">
              <w:t xml:space="preserve"> </w:t>
            </w:r>
          </w:p>
          <w:p w:rsidR="00DA5B4E" w:rsidRDefault="00DA5B4E" w:rsidP="007E3591">
            <w:pPr>
              <w:pStyle w:val="Tabletext"/>
            </w:pPr>
            <w:r w:rsidRPr="00DA5B4E">
              <w:t xml:space="preserve">Se han hecho pruebas con </w:t>
            </w:r>
            <w:r w:rsidR="00C720D9">
              <w:t>el software</w:t>
            </w:r>
            <w:r w:rsidRPr="00DA5B4E">
              <w:t xml:space="preserve"> existente y </w:t>
            </w:r>
            <w:r w:rsidR="005574F7">
              <w:t xml:space="preserve">hemos </w:t>
            </w:r>
            <w:r w:rsidRPr="00DA5B4E">
              <w:t xml:space="preserve">decidido </w:t>
            </w:r>
            <w:r w:rsidR="00DC445C">
              <w:t>traslada</w:t>
            </w:r>
            <w:r w:rsidR="00C720D9">
              <w:t>r S</w:t>
            </w:r>
            <w:r w:rsidR="00C44067">
              <w:t>RS</w:t>
            </w:r>
            <w:r w:rsidR="00C720D9">
              <w:t>.mdb a</w:t>
            </w:r>
            <w:r w:rsidRPr="00DA5B4E">
              <w:t xml:space="preserve">l </w:t>
            </w:r>
            <w:r w:rsidR="005574F7" w:rsidRPr="005574F7">
              <w:t xml:space="preserve">SQL Server localdb </w:t>
            </w:r>
            <w:r w:rsidR="00C720D9">
              <w:t xml:space="preserve">y no a SQLite </w:t>
            </w:r>
            <w:r w:rsidRPr="00DA5B4E">
              <w:t xml:space="preserve">a </w:t>
            </w:r>
            <w:r w:rsidR="00C720D9">
              <w:t xml:space="preserve">raíz de los </w:t>
            </w:r>
            <w:r w:rsidRPr="00DA5B4E">
              <w:t xml:space="preserve">problemas </w:t>
            </w:r>
            <w:r w:rsidR="00C720D9">
              <w:t>hallado</w:t>
            </w:r>
            <w:r w:rsidR="00862C2B">
              <w:t>s</w:t>
            </w:r>
            <w:r w:rsidR="00C720D9">
              <w:t xml:space="preserve"> al a</w:t>
            </w:r>
            <w:r w:rsidRPr="00DA5B4E">
              <w:t>ctualiza</w:t>
            </w:r>
            <w:r w:rsidR="00C720D9">
              <w:t xml:space="preserve">r </w:t>
            </w:r>
            <w:r w:rsidRPr="00DA5B4E">
              <w:t xml:space="preserve">la base de datos utilizando el </w:t>
            </w:r>
            <w:r w:rsidR="005574F7">
              <w:t>piloto</w:t>
            </w:r>
            <w:r w:rsidR="00C720D9">
              <w:t xml:space="preserve"> </w:t>
            </w:r>
            <w:r w:rsidRPr="00DA5B4E">
              <w:t xml:space="preserve">ODBC </w:t>
            </w:r>
            <w:r w:rsidR="00C720D9">
              <w:t xml:space="preserve">para </w:t>
            </w:r>
            <w:r w:rsidRPr="00DA5B4E">
              <w:t xml:space="preserve">SQLite </w:t>
            </w:r>
            <w:r w:rsidR="00C720D9">
              <w:t>(las</w:t>
            </w:r>
            <w:r w:rsidRPr="00DA5B4E">
              <w:t xml:space="preserve"> aplicaciones</w:t>
            </w:r>
            <w:r w:rsidR="00C720D9">
              <w:t xml:space="preserve"> de software actuales de la BR utilizan </w:t>
            </w:r>
            <w:r w:rsidR="005574F7">
              <w:t xml:space="preserve">el piloto </w:t>
            </w:r>
            <w:r w:rsidRPr="00DA5B4E">
              <w:t>ODBC para conectar</w:t>
            </w:r>
            <w:r w:rsidR="009A1E13">
              <w:t xml:space="preserve"> </w:t>
            </w:r>
            <w:r w:rsidRPr="00DA5B4E">
              <w:t>diferentes fuentes</w:t>
            </w:r>
            <w:r w:rsidR="009A1E13">
              <w:t xml:space="preserve"> de </w:t>
            </w:r>
            <w:r w:rsidR="00C720D9">
              <w:t>bases de datos)</w:t>
            </w:r>
            <w:r w:rsidRPr="00DA5B4E">
              <w:t>.</w:t>
            </w:r>
            <w:r w:rsidR="00E72A0F">
              <w:t xml:space="preserve"> </w:t>
            </w:r>
          </w:p>
          <w:p w:rsidR="00DA5B4E" w:rsidRPr="00DA5B4E" w:rsidRDefault="00DA5B4E" w:rsidP="007E3591">
            <w:pPr>
              <w:pStyle w:val="Tabletext"/>
            </w:pPr>
            <w:r w:rsidRPr="00DA5B4E">
              <w:t>Estamos trabaj</w:t>
            </w:r>
            <w:r w:rsidR="00AD4FC6">
              <w:t xml:space="preserve">ando en la transferencia de </w:t>
            </w:r>
            <w:r w:rsidRPr="00DA5B4E">
              <w:t>datos de nuestr</w:t>
            </w:r>
            <w:r w:rsidR="00AD4FC6">
              <w:t>a base de datos SNS</w:t>
            </w:r>
            <w:r w:rsidRPr="00DA5B4E">
              <w:t xml:space="preserve"> Ingres </w:t>
            </w:r>
            <w:r w:rsidR="00AD4FC6">
              <w:t>a</w:t>
            </w:r>
            <w:r w:rsidRPr="00DA5B4E">
              <w:t xml:space="preserve"> </w:t>
            </w:r>
            <w:r w:rsidR="00AD4FC6">
              <w:t xml:space="preserve">la versión </w:t>
            </w:r>
            <w:r w:rsidR="005478A4" w:rsidRPr="005478A4">
              <w:t xml:space="preserve">SQL Server localdb </w:t>
            </w:r>
            <w:r w:rsidR="00AD4FC6" w:rsidRPr="00AD4FC6">
              <w:t>de</w:t>
            </w:r>
            <w:r w:rsidR="005478A4">
              <w:t xml:space="preserve"> la base de datos de</w:t>
            </w:r>
            <w:r w:rsidR="00AD4FC6" w:rsidRPr="00AD4FC6">
              <w:t xml:space="preserve">l </w:t>
            </w:r>
            <w:r w:rsidR="005478A4">
              <w:t>SIE (</w:t>
            </w:r>
            <w:r w:rsidR="00C42C07">
              <w:t>servicio de investigación espacial</w:t>
            </w:r>
            <w:r w:rsidR="005478A4">
              <w:t>).</w:t>
            </w:r>
            <w:r w:rsidR="00E72A0F">
              <w:t xml:space="preserve"> </w:t>
            </w:r>
            <w:r w:rsidR="00AD4FC6">
              <w:t>E</w:t>
            </w:r>
            <w:r w:rsidRPr="00DA5B4E">
              <w:t>sta base de datos se está po</w:t>
            </w:r>
            <w:r w:rsidR="00AD4FC6">
              <w:t>niendo a prueba y examinando a nivel interno.</w:t>
            </w:r>
            <w:r w:rsidR="00E72A0F">
              <w:t xml:space="preserve"> </w:t>
            </w:r>
          </w:p>
          <w:p w:rsidR="00DA5B4E" w:rsidRDefault="005478A4" w:rsidP="00067BC5">
            <w:pPr>
              <w:pStyle w:val="Tabletext"/>
            </w:pPr>
            <w:r w:rsidRPr="005478A4">
              <w:t xml:space="preserve">SQL Server localdb </w:t>
            </w:r>
            <w:r w:rsidR="00DA5B4E" w:rsidRPr="00DA5B4E">
              <w:t>s</w:t>
            </w:r>
            <w:r w:rsidR="00067BC5">
              <w:t>ó</w:t>
            </w:r>
            <w:r w:rsidR="00DA5B4E" w:rsidRPr="00DA5B4E">
              <w:t>l</w:t>
            </w:r>
            <w:r w:rsidR="009574C3">
              <w:t xml:space="preserve">o puede utilizarse para Windows 7 </w:t>
            </w:r>
            <w:r>
              <w:t xml:space="preserve">y versiones superiores; </w:t>
            </w:r>
            <w:r w:rsidR="009574C3">
              <w:t>inicialmente</w:t>
            </w:r>
            <w:r>
              <w:t>,</w:t>
            </w:r>
            <w:r w:rsidR="009574C3">
              <w:t xml:space="preserve"> podríamos distribuir </w:t>
            </w:r>
            <w:r w:rsidR="00DA5B4E" w:rsidRPr="00DA5B4E">
              <w:t>s</w:t>
            </w:r>
            <w:r w:rsidR="00C44067">
              <w:t>rs</w:t>
            </w:r>
            <w:r w:rsidR="00DA5B4E" w:rsidRPr="00DA5B4E">
              <w:t xml:space="preserve">.mdb como 2 </w:t>
            </w:r>
            <w:r w:rsidR="009574C3">
              <w:t xml:space="preserve">mdbs </w:t>
            </w:r>
            <w:r w:rsidR="00DA5B4E" w:rsidRPr="00DA5B4E">
              <w:t xml:space="preserve">a usuarios que </w:t>
            </w:r>
            <w:r w:rsidR="009574C3">
              <w:t xml:space="preserve">utilicen </w:t>
            </w:r>
            <w:r w:rsidR="00D23CD1">
              <w:t xml:space="preserve">todavía </w:t>
            </w:r>
            <w:r w:rsidR="00DA5B4E" w:rsidRPr="00DA5B4E">
              <w:t>Windows XP.</w:t>
            </w:r>
            <w:r w:rsidR="00E72A0F">
              <w:t xml:space="preserve"> </w:t>
            </w:r>
          </w:p>
          <w:p w:rsidR="005638D8" w:rsidRPr="00DA5B4E" w:rsidRDefault="009C4246" w:rsidP="007E3591">
            <w:pPr>
              <w:pStyle w:val="Tabletext"/>
            </w:pPr>
            <w:r w:rsidRPr="009C4246">
              <w:t>Aunque la</w:t>
            </w:r>
            <w:r w:rsidR="00DA5B4E" w:rsidRPr="00DA5B4E">
              <w:t xml:space="preserve"> utilización </w:t>
            </w:r>
            <w:r w:rsidR="00D23CD1">
              <w:t xml:space="preserve">de </w:t>
            </w:r>
            <w:r w:rsidR="00D23CD1" w:rsidRPr="00D23CD1">
              <w:t xml:space="preserve">SQL Server localdb </w:t>
            </w:r>
            <w:r>
              <w:t xml:space="preserve">para </w:t>
            </w:r>
            <w:r w:rsidR="00D23CD1">
              <w:t xml:space="preserve">el sistema de información espacial </w:t>
            </w:r>
            <w:r>
              <w:t xml:space="preserve">de la BR </w:t>
            </w:r>
            <w:r w:rsidR="00DA5B4E" w:rsidRPr="00DA5B4E">
              <w:t>no requiere la instalación de</w:t>
            </w:r>
            <w:r>
              <w:t xml:space="preserve">l sistema de gestión </w:t>
            </w:r>
            <w:r w:rsidR="00D23CD1" w:rsidRPr="00D23CD1">
              <w:t>SQL Server</w:t>
            </w:r>
            <w:r>
              <w:t xml:space="preserve">, </w:t>
            </w:r>
            <w:r w:rsidR="00DA5B4E" w:rsidRPr="00DA5B4E">
              <w:t>los usuarios p</w:t>
            </w:r>
            <w:r w:rsidR="00D23CD1">
              <w:t xml:space="preserve">odrán </w:t>
            </w:r>
            <w:r w:rsidR="00DA5B4E" w:rsidRPr="00DA5B4E">
              <w:t>descargar e instalar</w:t>
            </w:r>
            <w:r>
              <w:t xml:space="preserve"> de forma gratuita </w:t>
            </w:r>
            <w:r w:rsidR="00D23CD1" w:rsidRPr="00D23CD1">
              <w:t xml:space="preserve">SQL Server </w:t>
            </w:r>
            <w:r w:rsidR="00D23CD1">
              <w:t>2012 Express</w:t>
            </w:r>
            <w:r w:rsidR="00D23CD1" w:rsidRPr="00D23CD1">
              <w:t xml:space="preserve"> </w:t>
            </w:r>
            <w:r>
              <w:t xml:space="preserve">del sitio web de </w:t>
            </w:r>
            <w:r w:rsidR="00DA5B4E" w:rsidRPr="00DA5B4E">
              <w:t>Microsoft</w:t>
            </w:r>
            <w:r w:rsidR="00D86222">
              <w:t>.</w:t>
            </w:r>
            <w:r w:rsidRPr="00DA5B4E">
              <w:t xml:space="preserve"> </w:t>
            </w:r>
          </w:p>
        </w:tc>
      </w:tr>
      <w:tr w:rsidR="005638D8" w:rsidRPr="00DD032C" w:rsidTr="005638D8">
        <w:tc>
          <w:tcPr>
            <w:tcW w:w="9184" w:type="dxa"/>
            <w:tcBorders>
              <w:top w:val="single" w:sz="4" w:space="0" w:color="auto"/>
              <w:left w:val="single" w:sz="4" w:space="0" w:color="auto"/>
              <w:bottom w:val="single" w:sz="4" w:space="0" w:color="auto"/>
              <w:right w:val="single" w:sz="4" w:space="0" w:color="auto"/>
            </w:tcBorders>
            <w:hideMark/>
          </w:tcPr>
          <w:p w:rsidR="00DD032C" w:rsidRDefault="00876701" w:rsidP="007E3591">
            <w:pPr>
              <w:pStyle w:val="Tabletext"/>
            </w:pPr>
            <w:r w:rsidRPr="00BC3CFD">
              <w:rPr>
                <w:b/>
                <w:bCs/>
                <w:i/>
                <w:iCs/>
                <w:color w:val="4F81BD" w:themeColor="accent1"/>
              </w:rPr>
              <w:lastRenderedPageBreak/>
              <w:t xml:space="preserve">Traslado </w:t>
            </w:r>
            <w:r w:rsidR="007261B6" w:rsidRPr="00BC3CFD">
              <w:rPr>
                <w:b/>
                <w:bCs/>
                <w:i/>
                <w:iCs/>
                <w:color w:val="4F81BD" w:themeColor="accent1"/>
              </w:rPr>
              <w:t>de la base de datos S</w:t>
            </w:r>
            <w:r w:rsidR="00C44067" w:rsidRPr="00BC3CFD">
              <w:rPr>
                <w:b/>
                <w:bCs/>
                <w:i/>
                <w:iCs/>
                <w:color w:val="4F81BD" w:themeColor="accent1"/>
              </w:rPr>
              <w:t xml:space="preserve">NS </w:t>
            </w:r>
            <w:r w:rsidR="00972D24">
              <w:rPr>
                <w:b/>
                <w:bCs/>
                <w:i/>
                <w:iCs/>
                <w:color w:val="4F81BD" w:themeColor="accent1"/>
              </w:rPr>
              <w:t>de</w:t>
            </w:r>
            <w:r w:rsidR="005638D8" w:rsidRPr="00BC3CFD">
              <w:rPr>
                <w:b/>
                <w:bCs/>
                <w:i/>
                <w:iCs/>
                <w:color w:val="4F81BD" w:themeColor="accent1"/>
              </w:rPr>
              <w:t xml:space="preserve"> Ingres </w:t>
            </w:r>
            <w:r w:rsidR="00B31FD4">
              <w:rPr>
                <w:b/>
                <w:bCs/>
                <w:i/>
                <w:iCs/>
                <w:color w:val="4F81BD" w:themeColor="accent1"/>
              </w:rPr>
              <w:t>a SQL Server</w:t>
            </w:r>
            <w:r w:rsidR="00E72A0F">
              <w:rPr>
                <w:b/>
                <w:bCs/>
                <w:i/>
                <w:iCs/>
                <w:color w:val="4F81BD" w:themeColor="accent1"/>
              </w:rPr>
              <w:t xml:space="preserve"> </w:t>
            </w:r>
            <w:r w:rsidR="005638D8" w:rsidRPr="00BC3CFD">
              <w:t xml:space="preserve">– </w:t>
            </w:r>
            <w:r w:rsidR="00B31FD4">
              <w:t>Por motivo</w:t>
            </w:r>
            <w:r w:rsidR="00972D24">
              <w:t>s</w:t>
            </w:r>
            <w:r w:rsidR="00B31FD4">
              <w:t xml:space="preserve"> de </w:t>
            </w:r>
            <w:r w:rsidR="00E22E98">
              <w:t>cost</w:t>
            </w:r>
            <w:r w:rsidR="00DD032C" w:rsidRPr="00DD032C">
              <w:t>o y</w:t>
            </w:r>
            <w:r w:rsidR="00B31FD4">
              <w:t xml:space="preserve"> de</w:t>
            </w:r>
            <w:r w:rsidR="00E72A0F">
              <w:t xml:space="preserve"> </w:t>
            </w:r>
            <w:r w:rsidR="00E22E98">
              <w:t>re</w:t>
            </w:r>
            <w:r w:rsidR="00DD032C" w:rsidRPr="00DD032C">
              <w:t>cursos</w:t>
            </w:r>
            <w:r>
              <w:t xml:space="preserve">, el </w:t>
            </w:r>
            <w:r w:rsidR="00DD032C" w:rsidRPr="00DD032C">
              <w:t>Dep</w:t>
            </w:r>
            <w:r>
              <w:t>artamento de Servicios Informáticos (IS) está trasladando sus bases de datos en Ingres a</w:t>
            </w:r>
            <w:r w:rsidR="00972D24">
              <w:t xml:space="preserve"> </w:t>
            </w:r>
            <w:r>
              <w:t>SQL</w:t>
            </w:r>
            <w:r w:rsidR="00972D24">
              <w:t xml:space="preserve"> Server</w:t>
            </w:r>
            <w:r>
              <w:t>;</w:t>
            </w:r>
            <w:r w:rsidR="00DD032C" w:rsidRPr="00DD032C">
              <w:t xml:space="preserve"> </w:t>
            </w:r>
            <w:r w:rsidR="00E22E98">
              <w:t xml:space="preserve">se hará lo mismo con </w:t>
            </w:r>
            <w:r w:rsidR="00DD032C" w:rsidRPr="00DD032C">
              <w:t>la base de datos</w:t>
            </w:r>
            <w:r>
              <w:t xml:space="preserve"> de los sistemas de redes espaciales (SNS) de la </w:t>
            </w:r>
            <w:r w:rsidR="00E22E98">
              <w:t>BR.</w:t>
            </w:r>
            <w:r w:rsidR="00E72A0F">
              <w:t xml:space="preserve"> </w:t>
            </w:r>
          </w:p>
          <w:p w:rsidR="00DD032C" w:rsidRDefault="00950D08" w:rsidP="007E3591">
            <w:pPr>
              <w:pStyle w:val="Tabletext"/>
            </w:pPr>
            <w:r>
              <w:t>Los trabajos ya realizados</w:t>
            </w:r>
            <w:r w:rsidR="00DD032C" w:rsidRPr="00DD032C">
              <w:t xml:space="preserve"> para tra</w:t>
            </w:r>
            <w:r w:rsidR="00BC3CFD">
              <w:t xml:space="preserve">sladar </w:t>
            </w:r>
            <w:r w:rsidR="00DD032C" w:rsidRPr="00DD032C">
              <w:t>datos de</w:t>
            </w:r>
            <w:r w:rsidR="00BC3CFD">
              <w:t xml:space="preserve"> Ingres al </w:t>
            </w:r>
            <w:r w:rsidR="00DD032C" w:rsidRPr="00DD032C">
              <w:t xml:space="preserve">servidor SQL localdb </w:t>
            </w:r>
            <w:r w:rsidR="00BC3CFD">
              <w:t>puede</w:t>
            </w:r>
            <w:r w:rsidR="00DD032C" w:rsidRPr="00DD032C">
              <w:t xml:space="preserve"> utilizar</w:t>
            </w:r>
            <w:r w:rsidR="00BC3CFD">
              <w:t>se</w:t>
            </w:r>
            <w:r w:rsidR="00DD032C" w:rsidRPr="00DD032C">
              <w:t xml:space="preserve"> para trasladar </w:t>
            </w:r>
            <w:r w:rsidR="00BC3CFD">
              <w:t xml:space="preserve">la base de datos SNS </w:t>
            </w:r>
            <w:r w:rsidR="00972D24">
              <w:t xml:space="preserve">de </w:t>
            </w:r>
            <w:r w:rsidR="00DD032C" w:rsidRPr="00DD032C">
              <w:t>Ingres</w:t>
            </w:r>
            <w:r w:rsidR="00BC3CFD">
              <w:t xml:space="preserve"> a una</w:t>
            </w:r>
            <w:r w:rsidR="00DD032C" w:rsidRPr="00DD032C">
              <w:t xml:space="preserve"> base de datos SQL</w:t>
            </w:r>
            <w:r w:rsidR="00972D24">
              <w:t xml:space="preserve"> Server</w:t>
            </w:r>
            <w:r w:rsidR="00DD032C" w:rsidRPr="00DD032C">
              <w:t xml:space="preserve">. </w:t>
            </w:r>
          </w:p>
          <w:p w:rsidR="00DD032C" w:rsidRDefault="00DD032C" w:rsidP="007E3591">
            <w:pPr>
              <w:pStyle w:val="Tabletext"/>
            </w:pPr>
            <w:r w:rsidRPr="00DD032C">
              <w:t>No se</w:t>
            </w:r>
            <w:r w:rsidR="00972D24">
              <w:t>rá</w:t>
            </w:r>
            <w:r w:rsidR="00F0046E">
              <w:t xml:space="preserve"> necesari</w:t>
            </w:r>
            <w:r w:rsidR="00972D24">
              <w:t>o ningún cambio</w:t>
            </w:r>
            <w:r w:rsidRPr="00DD032C">
              <w:t xml:space="preserve"> importante </w:t>
            </w:r>
            <w:r w:rsidR="00F0046E">
              <w:t xml:space="preserve">en las </w:t>
            </w:r>
            <w:r w:rsidRPr="00DD032C">
              <w:t>aplicaciones</w:t>
            </w:r>
            <w:r w:rsidR="00F0046E">
              <w:t xml:space="preserve"> de la BR </w:t>
            </w:r>
            <w:r w:rsidR="00972D24">
              <w:t xml:space="preserve">para los sistemas espaciales </w:t>
            </w:r>
            <w:r w:rsidR="00F0046E">
              <w:t xml:space="preserve">que utilizan ODBC para </w:t>
            </w:r>
            <w:r w:rsidRPr="00DD032C">
              <w:t xml:space="preserve">acceder a la base de datos. </w:t>
            </w:r>
          </w:p>
          <w:p w:rsidR="00DD032C" w:rsidRDefault="002972FD" w:rsidP="007E3591">
            <w:pPr>
              <w:pStyle w:val="Tabletext"/>
            </w:pPr>
            <w:r w:rsidRPr="002972FD">
              <w:t xml:space="preserve">Habrá que </w:t>
            </w:r>
            <w:r w:rsidR="00972D24">
              <w:t>reescribir</w:t>
            </w:r>
            <w:r w:rsidRPr="002972FD">
              <w:t xml:space="preserve"> </w:t>
            </w:r>
            <w:r w:rsidR="00972D24">
              <w:t xml:space="preserve">SNS Online. </w:t>
            </w:r>
            <w:r>
              <w:t>Mientras tanto, se copiarán los datos SNS de</w:t>
            </w:r>
            <w:r w:rsidR="00972D24">
              <w:t xml:space="preserve"> </w:t>
            </w:r>
            <w:r w:rsidR="00DD032C" w:rsidRPr="00DD032C">
              <w:t xml:space="preserve">SQL </w:t>
            </w:r>
            <w:r w:rsidR="00972D24">
              <w:t xml:space="preserve">Server </w:t>
            </w:r>
            <w:r>
              <w:t xml:space="preserve">a </w:t>
            </w:r>
            <w:r w:rsidR="00DD032C" w:rsidRPr="00DD032C">
              <w:t xml:space="preserve">una base de datos </w:t>
            </w:r>
            <w:r>
              <w:t xml:space="preserve">SNS </w:t>
            </w:r>
            <w:r w:rsidR="00972D24">
              <w:t xml:space="preserve">de </w:t>
            </w:r>
            <w:r>
              <w:t>Ingres</w:t>
            </w:r>
            <w:r w:rsidR="00DD032C" w:rsidRPr="00DD032C">
              <w:t xml:space="preserve">. </w:t>
            </w:r>
          </w:p>
          <w:p w:rsidR="00DD032C" w:rsidRPr="00DD032C" w:rsidRDefault="00DE1004" w:rsidP="007E3591">
            <w:pPr>
              <w:pStyle w:val="Tabletext"/>
            </w:pPr>
            <w:r>
              <w:t>Se</w:t>
            </w:r>
            <w:r w:rsidR="00BA2BE9">
              <w:t xml:space="preserve">rá necesario </w:t>
            </w:r>
            <w:r>
              <w:t>reescribir l</w:t>
            </w:r>
            <w:r w:rsidR="00972D24">
              <w:t>a aplicación Merge.</w:t>
            </w:r>
            <w:r w:rsidR="00E72A0F">
              <w:t xml:space="preserve"> </w:t>
            </w:r>
            <w:r w:rsidR="00DD032C" w:rsidRPr="00DD032C">
              <w:t xml:space="preserve"> </w:t>
            </w:r>
          </w:p>
          <w:p w:rsidR="005638D8" w:rsidRPr="00DD032C" w:rsidRDefault="00BA2BE9" w:rsidP="007E3591">
            <w:pPr>
              <w:pStyle w:val="Tabletext"/>
            </w:pPr>
            <w:r w:rsidRPr="00BA2BE9">
              <w:t>Habr</w:t>
            </w:r>
            <w:r>
              <w:t xml:space="preserve">á que </w:t>
            </w:r>
            <w:r w:rsidR="00972D24">
              <w:t>reescribir</w:t>
            </w:r>
            <w:r>
              <w:t xml:space="preserve"> la </w:t>
            </w:r>
            <w:r w:rsidR="00972D24">
              <w:t xml:space="preserve">creación de la </w:t>
            </w:r>
            <w:r>
              <w:t xml:space="preserve">base de datos IFIC. </w:t>
            </w:r>
          </w:p>
        </w:tc>
      </w:tr>
    </w:tbl>
    <w:p w:rsidR="000D5DB1" w:rsidRPr="00DD032C" w:rsidRDefault="000D5DB1" w:rsidP="005638D8">
      <w:pPr>
        <w:rPr>
          <w:rFonts w:eastAsiaTheme="minorEastAsia"/>
          <w:lang w:eastAsia="zh-CN"/>
        </w:rPr>
      </w:pPr>
    </w:p>
    <w:p w:rsidR="000D5DB1" w:rsidRPr="00DD032C" w:rsidRDefault="000D5DB1">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p>
    <w:p w:rsidR="000D5DB1" w:rsidRPr="00DD032C" w:rsidRDefault="000D5DB1">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sidRPr="00DD032C">
        <w:rPr>
          <w:rFonts w:eastAsiaTheme="minorEastAsia"/>
          <w:lang w:eastAsia="zh-CN"/>
        </w:rPr>
        <w:br w:type="page"/>
      </w:r>
    </w:p>
    <w:p w:rsidR="000D5DB1" w:rsidRDefault="000D5DB1" w:rsidP="002856F4">
      <w:pPr>
        <w:pStyle w:val="AnnexNotitle"/>
      </w:pPr>
      <w:r>
        <w:lastRenderedPageBreak/>
        <w:t>Anexo</w:t>
      </w:r>
      <w:r w:rsidRPr="00F25E2D">
        <w:t xml:space="preserve"> </w:t>
      </w:r>
      <w:r>
        <w:t>2</w:t>
      </w:r>
      <w:r>
        <w:br/>
      </w:r>
      <w:r>
        <w:br/>
      </w:r>
      <w:r w:rsidRPr="0076385D">
        <w:t xml:space="preserve">Lista de eventos en los </w:t>
      </w:r>
      <w:r w:rsidR="002856F4">
        <w:t xml:space="preserve">que </w:t>
      </w:r>
      <w:r w:rsidRPr="0076385D">
        <w:t xml:space="preserve">la BR </w:t>
      </w:r>
      <w:r w:rsidR="002856F4">
        <w:t xml:space="preserve">ha participado </w:t>
      </w:r>
      <w:r>
        <w:t xml:space="preserve">en </w:t>
      </w:r>
      <w:r w:rsidRPr="0076385D">
        <w:t>201</w:t>
      </w:r>
      <w:r w:rsidR="00B77B01">
        <w:t>3</w:t>
      </w:r>
    </w:p>
    <w:p w:rsidR="00C04E5E" w:rsidRPr="00C04E5E" w:rsidRDefault="00C04E5E" w:rsidP="00C04E5E">
      <w:pPr>
        <w:rPr>
          <w:sz w:val="10"/>
          <w:szCs w:val="10"/>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7"/>
        <w:gridCol w:w="1293"/>
        <w:gridCol w:w="1005"/>
        <w:gridCol w:w="1434"/>
      </w:tblGrid>
      <w:tr w:rsidR="000D5DB1" w:rsidTr="003247B9">
        <w:trPr>
          <w:trHeight w:val="214"/>
          <w:tblHeader/>
        </w:trPr>
        <w:tc>
          <w:tcPr>
            <w:tcW w:w="5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C04E5E">
            <w:pPr>
              <w:pStyle w:val="Tablehead"/>
              <w:spacing w:before="40" w:after="40"/>
              <w:rPr>
                <w:szCs w:val="22"/>
                <w:lang w:val="en-US" w:eastAsia="zh-CN"/>
              </w:rPr>
            </w:pPr>
            <w:r w:rsidRPr="00A0226F">
              <w:rPr>
                <w:szCs w:val="22"/>
                <w:lang w:val="en-US" w:eastAsia="zh-CN"/>
              </w:rPr>
              <w:t>Título</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C04E5E">
            <w:pPr>
              <w:pStyle w:val="Tablehead"/>
              <w:spacing w:before="40" w:after="40"/>
              <w:rPr>
                <w:szCs w:val="22"/>
                <w:lang w:val="en-US" w:eastAsia="zh-CN"/>
              </w:rPr>
            </w:pPr>
            <w:r w:rsidRPr="00A0226F">
              <w:rPr>
                <w:szCs w:val="22"/>
                <w:lang w:val="en-US" w:eastAsia="zh-CN"/>
              </w:rPr>
              <w:t>Comienzo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C04E5E">
            <w:pPr>
              <w:pStyle w:val="Tablehead"/>
              <w:spacing w:before="40" w:after="40"/>
              <w:rPr>
                <w:szCs w:val="22"/>
                <w:lang w:val="en-US" w:eastAsia="zh-CN"/>
              </w:rPr>
            </w:pPr>
            <w:r w:rsidRPr="00A0226F">
              <w:rPr>
                <w:szCs w:val="22"/>
                <w:lang w:val="en-US" w:eastAsia="zh-CN"/>
              </w:rPr>
              <w:t>Fin</w:t>
            </w:r>
          </w:p>
        </w:tc>
        <w:tc>
          <w:tcPr>
            <w:tcW w:w="1415"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C04E5E">
            <w:pPr>
              <w:pStyle w:val="Tablehead"/>
              <w:spacing w:before="40" w:after="40"/>
              <w:rPr>
                <w:szCs w:val="22"/>
                <w:lang w:val="en-US" w:eastAsia="zh-CN"/>
              </w:rPr>
            </w:pPr>
            <w:r w:rsidRPr="00A0226F">
              <w:rPr>
                <w:szCs w:val="22"/>
                <w:lang w:val="en-US" w:eastAsia="zh-CN"/>
              </w:rPr>
              <w:t>Lugar</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5DB1" w:rsidRPr="00A0226F" w:rsidRDefault="000D5DB1" w:rsidP="00A0226F">
            <w:pPr>
              <w:pStyle w:val="Tabletext"/>
              <w:rPr>
                <w:sz w:val="20"/>
                <w:lang w:eastAsia="zh-CN"/>
              </w:rPr>
            </w:pPr>
            <w:r w:rsidRPr="00A0226F">
              <w:rPr>
                <w:sz w:val="20"/>
                <w:lang w:eastAsia="zh-CN"/>
              </w:rPr>
              <w:t>ORGANISMOS ESPECIALIZADOS DE LAS NACIONES UNIDAS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5DB1" w:rsidRPr="00A0226F" w:rsidRDefault="000D5DB1" w:rsidP="00A0226F">
            <w:pPr>
              <w:pStyle w:val="Tabletext"/>
              <w:rPr>
                <w:sz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5DB1" w:rsidRPr="00A0226F" w:rsidRDefault="000D5DB1" w:rsidP="00A0226F">
            <w:pPr>
              <w:pStyle w:val="Tabletext"/>
              <w:rPr>
                <w:sz w:val="20"/>
                <w:lang w:eastAsia="zh-CN"/>
              </w:rPr>
            </w:pP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FD49F2" w:rsidP="00A0226F">
            <w:pPr>
              <w:pStyle w:val="Tabletext"/>
              <w:rPr>
                <w:sz w:val="20"/>
                <w:lang w:eastAsia="zh-CN"/>
              </w:rPr>
            </w:pPr>
            <w:r w:rsidRPr="00A0226F">
              <w:rPr>
                <w:sz w:val="20"/>
              </w:rPr>
              <w:t>17ª R</w:t>
            </w:r>
            <w:r w:rsidR="000D5DB1" w:rsidRPr="00A0226F">
              <w:rPr>
                <w:sz w:val="20"/>
              </w:rPr>
              <w:t xml:space="preserve">eunión del </w:t>
            </w:r>
            <w:r w:rsidR="002856F4" w:rsidRPr="00A0226F">
              <w:rPr>
                <w:sz w:val="20"/>
              </w:rPr>
              <w:t xml:space="preserve">Subcomité </w:t>
            </w:r>
            <w:r w:rsidR="000D5DB1" w:rsidRPr="00A0226F">
              <w:rPr>
                <w:sz w:val="20"/>
              </w:rPr>
              <w:t>COMSAR de la OMI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21/01/13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25/01/13</w:t>
            </w:r>
          </w:p>
        </w:tc>
        <w:tc>
          <w:tcPr>
            <w:tcW w:w="1415"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Londres</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D12977" w:rsidP="00A0226F">
            <w:pPr>
              <w:pStyle w:val="Tabletext"/>
              <w:rPr>
                <w:sz w:val="20"/>
                <w:lang w:eastAsia="zh-CN"/>
              </w:rPr>
            </w:pPr>
            <w:r w:rsidRPr="00A0226F">
              <w:rPr>
                <w:sz w:val="20"/>
                <w:lang w:eastAsia="zh-CN"/>
              </w:rPr>
              <w:t>OMM</w:t>
            </w:r>
            <w:r w:rsidR="000D5DB1" w:rsidRPr="00A0226F">
              <w:rPr>
                <w:sz w:val="20"/>
                <w:lang w:eastAsia="zh-CN"/>
              </w:rPr>
              <w:t xml:space="preserve"> </w:t>
            </w:r>
            <w:r w:rsidR="007E3591" w:rsidRPr="00A0226F">
              <w:rPr>
                <w:sz w:val="20"/>
                <w:lang w:eastAsia="zh-CN"/>
              </w:rPr>
              <w:t>–</w:t>
            </w:r>
            <w:r w:rsidR="000D5DB1" w:rsidRPr="00A0226F">
              <w:rPr>
                <w:sz w:val="20"/>
                <w:lang w:eastAsia="zh-CN"/>
              </w:rPr>
              <w:t xml:space="preserve"> </w:t>
            </w:r>
            <w:r w:rsidRPr="00A0226F">
              <w:rPr>
                <w:sz w:val="20"/>
                <w:lang w:eastAsia="zh-CN"/>
              </w:rPr>
              <w:t xml:space="preserve">Grupo de Dirección para la coordinación de frecuencias radioeléctricas </w:t>
            </w:r>
            <w:r w:rsidR="000D5DB1" w:rsidRPr="00A0226F">
              <w:rPr>
                <w:sz w:val="20"/>
                <w:lang w:eastAsia="zh-CN"/>
              </w:rPr>
              <w:t>(SG-RFC)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22/01/13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25/01/13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Ottawa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8E2606" w:rsidP="00A0226F">
            <w:pPr>
              <w:pStyle w:val="Tabletext"/>
              <w:rPr>
                <w:sz w:val="20"/>
                <w:lang w:eastAsia="zh-CN"/>
              </w:rPr>
            </w:pPr>
            <w:r w:rsidRPr="00A0226F">
              <w:rPr>
                <w:sz w:val="20"/>
                <w:lang w:eastAsia="zh-CN"/>
              </w:rPr>
              <w:t xml:space="preserve">2º Foro de Alto Nivel de las Naciones Unidas sobre </w:t>
            </w:r>
            <w:r w:rsidR="00773D68" w:rsidRPr="00A0226F">
              <w:rPr>
                <w:sz w:val="20"/>
                <w:lang w:eastAsia="zh-CN"/>
              </w:rPr>
              <w:t>gestión de la i</w:t>
            </w:r>
            <w:r w:rsidRPr="00A0226F">
              <w:rPr>
                <w:sz w:val="20"/>
                <w:lang w:eastAsia="zh-CN"/>
              </w:rPr>
              <w:t xml:space="preserve">nformación </w:t>
            </w:r>
            <w:r w:rsidR="00773D68" w:rsidRPr="00A0226F">
              <w:rPr>
                <w:sz w:val="20"/>
                <w:lang w:eastAsia="zh-CN"/>
              </w:rPr>
              <w:t>geoespacial m</w:t>
            </w:r>
            <w:r w:rsidRPr="00A0226F">
              <w:rPr>
                <w:sz w:val="20"/>
                <w:lang w:eastAsia="zh-CN"/>
              </w:rPr>
              <w:t>undial (GGIM)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04/02/13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06/02/13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Doha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0D5DB1" w:rsidP="001A35D4">
            <w:pPr>
              <w:pStyle w:val="Tabletext"/>
              <w:rPr>
                <w:sz w:val="20"/>
                <w:lang w:eastAsia="zh-CN"/>
              </w:rPr>
            </w:pPr>
            <w:r w:rsidRPr="00A0226F">
              <w:rPr>
                <w:sz w:val="20"/>
                <w:lang w:eastAsia="zh-CN"/>
              </w:rPr>
              <w:t>50</w:t>
            </w:r>
            <w:r w:rsidR="00316B04" w:rsidRPr="00A0226F">
              <w:rPr>
                <w:sz w:val="20"/>
                <w:lang w:eastAsia="zh-CN"/>
              </w:rPr>
              <w:t>ª</w:t>
            </w:r>
            <w:r w:rsidRPr="00A0226F">
              <w:rPr>
                <w:sz w:val="20"/>
                <w:lang w:eastAsia="zh-CN"/>
              </w:rPr>
              <w:t xml:space="preserve"> </w:t>
            </w:r>
            <w:r w:rsidR="00FD49F2" w:rsidRPr="00A0226F">
              <w:rPr>
                <w:sz w:val="20"/>
                <w:lang w:eastAsia="zh-CN"/>
              </w:rPr>
              <w:t>R</w:t>
            </w:r>
            <w:r w:rsidR="001166B9" w:rsidRPr="00A0226F">
              <w:rPr>
                <w:sz w:val="20"/>
                <w:lang w:eastAsia="zh-CN"/>
              </w:rPr>
              <w:t>eunión del</w:t>
            </w:r>
            <w:r w:rsidR="002856F4" w:rsidRPr="00A0226F">
              <w:rPr>
                <w:sz w:val="20"/>
                <w:lang w:eastAsia="zh-CN"/>
              </w:rPr>
              <w:t xml:space="preserve"> Subcomi</w:t>
            </w:r>
            <w:r w:rsidR="00E94507" w:rsidRPr="00A0226F">
              <w:rPr>
                <w:sz w:val="20"/>
                <w:lang w:eastAsia="zh-CN"/>
              </w:rPr>
              <w:t>té C</w:t>
            </w:r>
            <w:r w:rsidR="001166B9" w:rsidRPr="00A0226F">
              <w:rPr>
                <w:sz w:val="20"/>
                <w:lang w:eastAsia="zh-CN"/>
              </w:rPr>
              <w:t>ientífic</w:t>
            </w:r>
            <w:r w:rsidR="00E94507" w:rsidRPr="00A0226F">
              <w:rPr>
                <w:sz w:val="20"/>
                <w:lang w:eastAsia="zh-CN"/>
              </w:rPr>
              <w:t>o</w:t>
            </w:r>
            <w:r w:rsidR="001166B9" w:rsidRPr="00A0226F">
              <w:rPr>
                <w:sz w:val="20"/>
                <w:lang w:eastAsia="zh-CN"/>
              </w:rPr>
              <w:t xml:space="preserve"> y Técnic</w:t>
            </w:r>
            <w:r w:rsidR="00E94507" w:rsidRPr="00A0226F">
              <w:rPr>
                <w:sz w:val="20"/>
                <w:lang w:eastAsia="zh-CN"/>
              </w:rPr>
              <w:t>o</w:t>
            </w:r>
            <w:r w:rsidR="001166B9" w:rsidRPr="00A0226F">
              <w:rPr>
                <w:sz w:val="20"/>
                <w:lang w:eastAsia="zh-CN"/>
              </w:rPr>
              <w:t xml:space="preserve"> de la </w:t>
            </w:r>
            <w:r w:rsidRPr="00A0226F">
              <w:rPr>
                <w:sz w:val="20"/>
                <w:lang w:eastAsia="zh-CN"/>
              </w:rPr>
              <w:t>COPUOS</w:t>
            </w:r>
            <w:r w:rsidR="00B22102" w:rsidRPr="00A0226F">
              <w:rPr>
                <w:sz w:val="20"/>
                <w:lang w:eastAsia="zh-CN"/>
              </w:rPr>
              <w:t xml:space="preserve"> (</w:t>
            </w:r>
            <w:r w:rsidR="00773D68" w:rsidRPr="00A0226F">
              <w:rPr>
                <w:sz w:val="20"/>
                <w:lang w:eastAsia="zh-CN"/>
              </w:rPr>
              <w:t>Comisión sobre la U</w:t>
            </w:r>
            <w:r w:rsidR="00B22102" w:rsidRPr="00A0226F">
              <w:rPr>
                <w:sz w:val="20"/>
                <w:lang w:eastAsia="zh-CN"/>
              </w:rPr>
              <w:t>tilización del Espacio Ultraterrestre con Fines Pacíficos)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11/02/13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22/02/13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Viena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0D5DB1" w:rsidP="008410D7">
            <w:pPr>
              <w:pStyle w:val="Tabletext"/>
              <w:rPr>
                <w:sz w:val="20"/>
                <w:lang w:eastAsia="zh-CN"/>
              </w:rPr>
            </w:pPr>
            <w:r w:rsidRPr="00A0226F">
              <w:rPr>
                <w:sz w:val="20"/>
                <w:lang w:eastAsia="zh-CN"/>
              </w:rPr>
              <w:t>UNOOSA</w:t>
            </w:r>
            <w:r w:rsidR="00C371ED" w:rsidRPr="00A0226F">
              <w:rPr>
                <w:sz w:val="20"/>
                <w:lang w:eastAsia="zh-CN"/>
              </w:rPr>
              <w:t xml:space="preserve"> (Oficina de Asuntos Espaciales de las Naciones Unidas) </w:t>
            </w:r>
            <w:r w:rsidR="008410D7">
              <w:rPr>
                <w:sz w:val="20"/>
                <w:lang w:eastAsia="zh-CN"/>
              </w:rPr>
              <w:t>–</w:t>
            </w:r>
            <w:r w:rsidR="00316B04" w:rsidRPr="00A0226F">
              <w:rPr>
                <w:sz w:val="20"/>
                <w:lang w:eastAsia="zh-CN"/>
              </w:rPr>
              <w:t xml:space="preserve"> 1ª Reunión preparatoria de la 8ª reunión del </w:t>
            </w:r>
            <w:r w:rsidRPr="00A0226F">
              <w:rPr>
                <w:sz w:val="20"/>
                <w:lang w:eastAsia="zh-CN"/>
              </w:rPr>
              <w:t>ICG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18/02/13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18/02/13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Viena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F10CD7" w:rsidP="00A0226F">
            <w:pPr>
              <w:pStyle w:val="Tabletext"/>
              <w:rPr>
                <w:sz w:val="20"/>
                <w:lang w:eastAsia="zh-CN"/>
              </w:rPr>
            </w:pPr>
            <w:r w:rsidRPr="00A0226F">
              <w:rPr>
                <w:sz w:val="20"/>
                <w:lang w:eastAsia="zh-CN"/>
              </w:rPr>
              <w:t xml:space="preserve">Grupo de Trabajo de las Naciones </w:t>
            </w:r>
            <w:r w:rsidR="00773D68" w:rsidRPr="00A0226F">
              <w:rPr>
                <w:sz w:val="20"/>
                <w:lang w:eastAsia="zh-CN"/>
              </w:rPr>
              <w:t>Unidas sobre i</w:t>
            </w:r>
            <w:r w:rsidRPr="00A0226F">
              <w:rPr>
                <w:sz w:val="20"/>
                <w:lang w:eastAsia="zh-CN"/>
              </w:rPr>
              <w:t>nformaci</w:t>
            </w:r>
            <w:r w:rsidR="00773D68" w:rsidRPr="00A0226F">
              <w:rPr>
                <w:sz w:val="20"/>
                <w:lang w:eastAsia="zh-CN"/>
              </w:rPr>
              <w:t>ón g</w:t>
            </w:r>
            <w:r w:rsidRPr="00A0226F">
              <w:rPr>
                <w:sz w:val="20"/>
                <w:lang w:eastAsia="zh-CN"/>
              </w:rPr>
              <w:t>eográfica (</w:t>
            </w:r>
            <w:r w:rsidR="000D5DB1" w:rsidRPr="00A0226F">
              <w:rPr>
                <w:sz w:val="20"/>
                <w:lang w:eastAsia="zh-CN"/>
              </w:rPr>
              <w:t>UNGIWG-13</w:t>
            </w:r>
            <w:r w:rsidRPr="00A0226F">
              <w:rPr>
                <w:sz w:val="20"/>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27/02/13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01/03/13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Esta</w:t>
            </w:r>
            <w:r w:rsidR="00FE40BA" w:rsidRPr="00A0226F">
              <w:rPr>
                <w:sz w:val="20"/>
                <w:lang w:val="en-US" w:eastAsia="zh-CN"/>
              </w:rPr>
              <w:t>m</w:t>
            </w:r>
            <w:r w:rsidRPr="00A0226F">
              <w:rPr>
                <w:sz w:val="20"/>
                <w:lang w:val="en-US" w:eastAsia="zh-CN"/>
              </w:rPr>
              <w:t>bul</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eastAsia="zh-CN"/>
              </w:rPr>
            </w:pPr>
            <w:r w:rsidRPr="00A0226F">
              <w:rPr>
                <w:sz w:val="20"/>
                <w:lang w:eastAsia="zh-CN"/>
              </w:rPr>
              <w:t>28</w:t>
            </w:r>
            <w:r w:rsidR="00F10CD7" w:rsidRPr="00A0226F">
              <w:rPr>
                <w:sz w:val="20"/>
                <w:lang w:eastAsia="zh-CN"/>
              </w:rPr>
              <w:t xml:space="preserve">ª Reunión del Grupo de Trabajo F del Grupo de Expertos </w:t>
            </w:r>
            <w:r w:rsidR="005A572A" w:rsidRPr="00A0226F">
              <w:rPr>
                <w:sz w:val="20"/>
                <w:lang w:eastAsia="zh-CN"/>
              </w:rPr>
              <w:t>de comunicaciones a</w:t>
            </w:r>
            <w:r w:rsidR="00F10CD7" w:rsidRPr="00A0226F">
              <w:rPr>
                <w:sz w:val="20"/>
                <w:lang w:eastAsia="zh-CN"/>
              </w:rPr>
              <w:t xml:space="preserve">eronáuticas de la OACI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11/03/13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22/03/13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Lima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eastAsia="zh-CN"/>
              </w:rPr>
            </w:pPr>
            <w:r w:rsidRPr="00A0226F">
              <w:rPr>
                <w:sz w:val="20"/>
                <w:lang w:eastAsia="zh-CN"/>
              </w:rPr>
              <w:t>33</w:t>
            </w:r>
            <w:r w:rsidR="00A27B7D" w:rsidRPr="00A0226F">
              <w:rPr>
                <w:sz w:val="20"/>
                <w:lang w:eastAsia="zh-CN"/>
              </w:rPr>
              <w:t xml:space="preserve">ª periodo de sesiones de la </w:t>
            </w:r>
            <w:r w:rsidR="005A572A" w:rsidRPr="00A0226F">
              <w:rPr>
                <w:sz w:val="20"/>
                <w:lang w:eastAsia="zh-CN"/>
              </w:rPr>
              <w:t>Reunión i</w:t>
            </w:r>
            <w:r w:rsidR="00A27B7D" w:rsidRPr="00A0226F">
              <w:rPr>
                <w:sz w:val="20"/>
                <w:lang w:eastAsia="zh-CN"/>
              </w:rPr>
              <w:t>nterinstituciona</w:t>
            </w:r>
            <w:r w:rsidR="005A572A" w:rsidRPr="00A0226F">
              <w:rPr>
                <w:sz w:val="20"/>
                <w:lang w:eastAsia="zh-CN"/>
              </w:rPr>
              <w:t>l de las Naciones Unidas sobre a</w:t>
            </w:r>
            <w:r w:rsidR="00A27B7D" w:rsidRPr="00A0226F">
              <w:rPr>
                <w:sz w:val="20"/>
                <w:lang w:eastAsia="zh-CN"/>
              </w:rPr>
              <w:t xml:space="preserve">ctividades vinculadas al </w:t>
            </w:r>
            <w:r w:rsidR="005A572A" w:rsidRPr="00A0226F">
              <w:rPr>
                <w:sz w:val="20"/>
                <w:lang w:eastAsia="zh-CN"/>
              </w:rPr>
              <w:t>e</w:t>
            </w:r>
            <w:r w:rsidR="00A27B7D" w:rsidRPr="00A0226F">
              <w:rPr>
                <w:sz w:val="20"/>
                <w:lang w:eastAsia="zh-CN"/>
              </w:rPr>
              <w:t xml:space="preserve">spacio </w:t>
            </w:r>
            <w:r w:rsidR="005A572A" w:rsidRPr="00A0226F">
              <w:rPr>
                <w:sz w:val="20"/>
                <w:lang w:eastAsia="zh-CN"/>
              </w:rPr>
              <w:t>u</w:t>
            </w:r>
            <w:r w:rsidR="00A27B7D" w:rsidRPr="00A0226F">
              <w:rPr>
                <w:sz w:val="20"/>
                <w:lang w:eastAsia="zh-CN"/>
              </w:rPr>
              <w:t xml:space="preserve">ltraterrestre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12/03/13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14/03/13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Ginebra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703FE7" w:rsidP="001A35D4">
            <w:pPr>
              <w:pStyle w:val="Tabletext"/>
              <w:rPr>
                <w:sz w:val="20"/>
                <w:lang w:eastAsia="zh-CN"/>
              </w:rPr>
            </w:pPr>
            <w:r w:rsidRPr="00A0226F">
              <w:rPr>
                <w:sz w:val="20"/>
                <w:lang w:eastAsia="zh-CN"/>
              </w:rPr>
              <w:t xml:space="preserve">Conferencia </w:t>
            </w:r>
            <w:r w:rsidR="00F47598" w:rsidRPr="00A0226F">
              <w:rPr>
                <w:sz w:val="20"/>
                <w:lang w:eastAsia="zh-CN"/>
              </w:rPr>
              <w:t xml:space="preserve">de UNIDIR </w:t>
            </w:r>
            <w:r w:rsidR="00E9556F" w:rsidRPr="00A0226F">
              <w:rPr>
                <w:sz w:val="20"/>
                <w:lang w:eastAsia="zh-CN"/>
              </w:rPr>
              <w:t xml:space="preserve">(Instituto de las Naciones Unidas de Investigación sobre el Desarme) sobre </w:t>
            </w:r>
            <w:r w:rsidR="001A35D4">
              <w:rPr>
                <w:sz w:val="20"/>
                <w:lang w:eastAsia="zh-CN"/>
              </w:rPr>
              <w:t>Seguridad E</w:t>
            </w:r>
            <w:r w:rsidRPr="00A0226F">
              <w:rPr>
                <w:sz w:val="20"/>
                <w:lang w:eastAsia="zh-CN"/>
              </w:rPr>
              <w:t xml:space="preserve">spacial </w:t>
            </w:r>
            <w:r w:rsidR="000D5DB1" w:rsidRPr="00A0226F">
              <w:rPr>
                <w:sz w:val="20"/>
                <w:lang w:eastAsia="zh-CN"/>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02/04/13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03/04/13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Ginebra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eastAsia="zh-CN"/>
              </w:rPr>
            </w:pPr>
            <w:r w:rsidRPr="00A0226F">
              <w:rPr>
                <w:sz w:val="20"/>
                <w:lang w:eastAsia="zh-CN"/>
              </w:rPr>
              <w:t>52</w:t>
            </w:r>
            <w:r w:rsidR="001166B9" w:rsidRPr="00A0226F">
              <w:rPr>
                <w:sz w:val="20"/>
                <w:lang w:eastAsia="zh-CN"/>
              </w:rPr>
              <w:t>ª reunión del Subcomité Jurídico de la COPUOS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08/04/13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09/04/13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Viena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BC4DE3" w:rsidP="001A35D4">
            <w:pPr>
              <w:pStyle w:val="Tabletext"/>
              <w:rPr>
                <w:sz w:val="20"/>
                <w:lang w:eastAsia="zh-CN"/>
              </w:rPr>
            </w:pPr>
            <w:r w:rsidRPr="00A0226F">
              <w:rPr>
                <w:sz w:val="20"/>
                <w:lang w:eastAsia="zh-CN"/>
              </w:rPr>
              <w:t xml:space="preserve">OMPI </w:t>
            </w:r>
            <w:r w:rsidR="00A0226F">
              <w:rPr>
                <w:sz w:val="20"/>
                <w:lang w:eastAsia="zh-CN"/>
              </w:rPr>
              <w:t>–</w:t>
            </w:r>
            <w:r w:rsidR="000D5DB1" w:rsidRPr="00A0226F">
              <w:rPr>
                <w:sz w:val="20"/>
                <w:lang w:eastAsia="zh-CN"/>
              </w:rPr>
              <w:t xml:space="preserve"> </w:t>
            </w:r>
            <w:r w:rsidR="00A05369" w:rsidRPr="00A0226F">
              <w:rPr>
                <w:sz w:val="20"/>
                <w:lang w:eastAsia="zh-CN"/>
              </w:rPr>
              <w:t>R</w:t>
            </w:r>
            <w:r w:rsidR="00BA149C" w:rsidRPr="00A0226F">
              <w:rPr>
                <w:sz w:val="20"/>
                <w:lang w:eastAsia="zh-CN"/>
              </w:rPr>
              <w:t xml:space="preserve">eunión entre sesiones sobre la </w:t>
            </w:r>
            <w:r w:rsidR="001A35D4">
              <w:rPr>
                <w:sz w:val="20"/>
                <w:lang w:eastAsia="zh-CN"/>
              </w:rPr>
              <w:t>P</w:t>
            </w:r>
            <w:r w:rsidR="00A05369" w:rsidRPr="00A0226F">
              <w:rPr>
                <w:sz w:val="20"/>
                <w:lang w:eastAsia="zh-CN"/>
              </w:rPr>
              <w:t>rotecci</w:t>
            </w:r>
            <w:r w:rsidR="00BA149C" w:rsidRPr="00A0226F">
              <w:rPr>
                <w:sz w:val="20"/>
                <w:lang w:eastAsia="zh-CN"/>
              </w:rPr>
              <w:t>ón de los o</w:t>
            </w:r>
            <w:r w:rsidR="00A05369" w:rsidRPr="00A0226F">
              <w:rPr>
                <w:sz w:val="20"/>
                <w:lang w:eastAsia="zh-CN"/>
              </w:rPr>
              <w:t>rganism</w:t>
            </w:r>
            <w:r w:rsidR="00BA149C" w:rsidRPr="00A0226F">
              <w:rPr>
                <w:sz w:val="20"/>
                <w:lang w:eastAsia="zh-CN"/>
              </w:rPr>
              <w:t>os de r</w:t>
            </w:r>
            <w:r w:rsidR="00A05369" w:rsidRPr="00A0226F">
              <w:rPr>
                <w:sz w:val="20"/>
                <w:lang w:eastAsia="zh-CN"/>
              </w:rPr>
              <w:t xml:space="preserve">adiodifusión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10/04/13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12/04/13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Ginebra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F47598" w:rsidP="001A35D4">
            <w:pPr>
              <w:pStyle w:val="Tabletext"/>
              <w:rPr>
                <w:sz w:val="20"/>
                <w:lang w:eastAsia="zh-CN"/>
              </w:rPr>
            </w:pPr>
            <w:r w:rsidRPr="00A0226F">
              <w:rPr>
                <w:sz w:val="20"/>
                <w:lang w:eastAsia="zh-CN"/>
              </w:rPr>
              <w:t xml:space="preserve">Taller </w:t>
            </w:r>
            <w:r w:rsidR="000D5DB1" w:rsidRPr="00A0226F">
              <w:rPr>
                <w:sz w:val="20"/>
                <w:lang w:eastAsia="zh-CN"/>
              </w:rPr>
              <w:t>UNOOSA</w:t>
            </w:r>
            <w:r w:rsidR="00A0226F">
              <w:rPr>
                <w:sz w:val="20"/>
                <w:lang w:eastAsia="zh-CN"/>
              </w:rPr>
              <w:t xml:space="preserve"> –</w:t>
            </w:r>
            <w:r w:rsidR="000D5DB1" w:rsidRPr="00A0226F">
              <w:rPr>
                <w:sz w:val="20"/>
                <w:lang w:eastAsia="zh-CN"/>
              </w:rPr>
              <w:t xml:space="preserve"> </w:t>
            </w:r>
            <w:r w:rsidR="00BA149C" w:rsidRPr="00A0226F">
              <w:rPr>
                <w:sz w:val="20"/>
                <w:lang w:eastAsia="zh-CN"/>
              </w:rPr>
              <w:t xml:space="preserve">ICG sobre </w:t>
            </w:r>
            <w:r w:rsidR="001A35D4">
              <w:rPr>
                <w:sz w:val="20"/>
                <w:lang w:eastAsia="zh-CN"/>
              </w:rPr>
              <w:t>D</w:t>
            </w:r>
            <w:r w:rsidR="002F5B3A" w:rsidRPr="00A0226F">
              <w:rPr>
                <w:sz w:val="20"/>
                <w:lang w:eastAsia="zh-CN"/>
              </w:rPr>
              <w:t xml:space="preserve">etección y </w:t>
            </w:r>
            <w:r w:rsidR="00BA149C" w:rsidRPr="00A0226F">
              <w:rPr>
                <w:sz w:val="20"/>
                <w:lang w:eastAsia="zh-CN"/>
              </w:rPr>
              <w:t>a</w:t>
            </w:r>
            <w:r w:rsidR="002F5B3A" w:rsidRPr="00A0226F">
              <w:rPr>
                <w:sz w:val="20"/>
                <w:lang w:eastAsia="zh-CN"/>
              </w:rPr>
              <w:t xml:space="preserve">tenuación de </w:t>
            </w:r>
            <w:r w:rsidR="00BA149C" w:rsidRPr="00A0226F">
              <w:rPr>
                <w:sz w:val="20"/>
                <w:lang w:eastAsia="zh-CN"/>
              </w:rPr>
              <w:t>i</w:t>
            </w:r>
            <w:r w:rsidR="002F5B3A" w:rsidRPr="00A0226F">
              <w:rPr>
                <w:sz w:val="20"/>
                <w:lang w:eastAsia="zh-CN"/>
              </w:rPr>
              <w:t xml:space="preserve">nterferencias (IDM)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19/04/13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20/04/13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Hawa</w:t>
            </w:r>
            <w:r w:rsidR="00C22AA5" w:rsidRPr="00A0226F">
              <w:rPr>
                <w:sz w:val="20"/>
                <w:lang w:val="en-US" w:eastAsia="zh-CN"/>
              </w:rPr>
              <w:t>i</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eastAsia="zh-CN"/>
              </w:rPr>
            </w:pPr>
            <w:r w:rsidRPr="00A0226F">
              <w:rPr>
                <w:sz w:val="20"/>
                <w:lang w:eastAsia="zh-CN"/>
              </w:rPr>
              <w:t>56</w:t>
            </w:r>
            <w:r w:rsidR="001166B9" w:rsidRPr="00A0226F">
              <w:rPr>
                <w:sz w:val="20"/>
                <w:lang w:eastAsia="zh-CN"/>
              </w:rPr>
              <w:t xml:space="preserve">ª </w:t>
            </w:r>
            <w:r w:rsidR="00FD49F2" w:rsidRPr="00A0226F">
              <w:rPr>
                <w:sz w:val="20"/>
                <w:lang w:eastAsia="zh-CN"/>
              </w:rPr>
              <w:t>R</w:t>
            </w:r>
            <w:r w:rsidR="001166B9" w:rsidRPr="00A0226F">
              <w:rPr>
                <w:sz w:val="20"/>
                <w:lang w:eastAsia="zh-CN"/>
              </w:rPr>
              <w:t xml:space="preserve">eunión de la </w:t>
            </w:r>
            <w:r w:rsidRPr="00A0226F">
              <w:rPr>
                <w:sz w:val="20"/>
                <w:lang w:eastAsia="zh-CN"/>
              </w:rPr>
              <w:t>COPUOS</w:t>
            </w:r>
            <w:r w:rsidR="001166B9" w:rsidRPr="00A0226F">
              <w:rPr>
                <w:sz w:val="20"/>
                <w:lang w:eastAsia="zh-CN"/>
              </w:rPr>
              <w:t xml:space="preserve"> de las Naciones Unidas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14/06/13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21/06/13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Viena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167520" w:rsidP="00A0226F">
            <w:pPr>
              <w:pStyle w:val="Tabletext"/>
              <w:rPr>
                <w:sz w:val="20"/>
                <w:lang w:eastAsia="zh-CN"/>
              </w:rPr>
            </w:pPr>
            <w:r w:rsidRPr="00A0226F">
              <w:rPr>
                <w:sz w:val="20"/>
                <w:lang w:eastAsia="zh-CN"/>
              </w:rPr>
              <w:t xml:space="preserve">OMM </w:t>
            </w:r>
            <w:r w:rsidR="00A0226F">
              <w:rPr>
                <w:sz w:val="20"/>
                <w:lang w:eastAsia="zh-CN"/>
              </w:rPr>
              <w:t>–</w:t>
            </w:r>
            <w:r w:rsidR="000D5DB1" w:rsidRPr="00A0226F">
              <w:rPr>
                <w:sz w:val="20"/>
                <w:lang w:eastAsia="zh-CN"/>
              </w:rPr>
              <w:t xml:space="preserve"> 1</w:t>
            </w:r>
            <w:r w:rsidRPr="00A0226F">
              <w:rPr>
                <w:sz w:val="20"/>
                <w:lang w:eastAsia="zh-CN"/>
              </w:rPr>
              <w:t xml:space="preserve">ª Reunión de la Junta Intergubernamental sobre Servicios Climáticos </w:t>
            </w:r>
            <w:r w:rsidR="000D5DB1" w:rsidRPr="00A0226F">
              <w:rPr>
                <w:sz w:val="20"/>
                <w:lang w:eastAsia="zh-CN"/>
              </w:rPr>
              <w:t>(IBCS)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01/07/13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05/07/13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Ginebra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1A35D4">
            <w:pPr>
              <w:pStyle w:val="Tabletext"/>
              <w:rPr>
                <w:sz w:val="20"/>
                <w:lang w:eastAsia="zh-CN"/>
              </w:rPr>
            </w:pPr>
            <w:r w:rsidRPr="00A0226F">
              <w:rPr>
                <w:sz w:val="20"/>
                <w:lang w:eastAsia="zh-CN"/>
              </w:rPr>
              <w:t>17</w:t>
            </w:r>
            <w:r w:rsidR="00CA5ED8" w:rsidRPr="00A0226F">
              <w:rPr>
                <w:sz w:val="20"/>
                <w:lang w:eastAsia="zh-CN"/>
              </w:rPr>
              <w:t xml:space="preserve">ª Reunión del Grupo </w:t>
            </w:r>
            <w:r w:rsidR="00A00C35" w:rsidRPr="00A0226F">
              <w:rPr>
                <w:sz w:val="20"/>
                <w:lang w:eastAsia="zh-CN"/>
              </w:rPr>
              <w:t xml:space="preserve">Europeo </w:t>
            </w:r>
            <w:r w:rsidR="00BA149C" w:rsidRPr="00A0226F">
              <w:rPr>
                <w:sz w:val="20"/>
                <w:lang w:eastAsia="zh-CN"/>
              </w:rPr>
              <w:t xml:space="preserve">de </w:t>
            </w:r>
            <w:r w:rsidR="001A35D4">
              <w:rPr>
                <w:sz w:val="20"/>
                <w:lang w:eastAsia="zh-CN"/>
              </w:rPr>
              <w:t>G</w:t>
            </w:r>
            <w:r w:rsidR="00CA5ED8" w:rsidRPr="00A0226F">
              <w:rPr>
                <w:sz w:val="20"/>
                <w:lang w:eastAsia="zh-CN"/>
              </w:rPr>
              <w:t xml:space="preserve">estión </w:t>
            </w:r>
            <w:r w:rsidR="00A00C35" w:rsidRPr="00A0226F">
              <w:rPr>
                <w:sz w:val="20"/>
                <w:lang w:eastAsia="zh-CN"/>
              </w:rPr>
              <w:t xml:space="preserve">de </w:t>
            </w:r>
            <w:r w:rsidR="00BA149C" w:rsidRPr="00A0226F">
              <w:rPr>
                <w:sz w:val="20"/>
                <w:lang w:eastAsia="zh-CN"/>
              </w:rPr>
              <w:t>f</w:t>
            </w:r>
            <w:r w:rsidR="00CA5ED8" w:rsidRPr="00A0226F">
              <w:rPr>
                <w:sz w:val="20"/>
                <w:lang w:eastAsia="zh-CN"/>
              </w:rPr>
              <w:t>recuencias de la OACI</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03/07/13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05/07/13</w:t>
            </w:r>
          </w:p>
        </w:tc>
        <w:tc>
          <w:tcPr>
            <w:tcW w:w="1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Parí</w:t>
            </w:r>
            <w:r w:rsidR="00FE40BA" w:rsidRPr="00A0226F">
              <w:rPr>
                <w:sz w:val="20"/>
                <w:lang w:val="en-US" w:eastAsia="zh-CN"/>
              </w:rPr>
              <w:t>s</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eastAsia="zh-CN"/>
              </w:rPr>
            </w:pPr>
            <w:r w:rsidRPr="00A0226F">
              <w:rPr>
                <w:sz w:val="20"/>
                <w:lang w:eastAsia="zh-CN"/>
              </w:rPr>
              <w:t>29</w:t>
            </w:r>
            <w:r w:rsidR="00081941" w:rsidRPr="00A0226F">
              <w:rPr>
                <w:sz w:val="20"/>
                <w:lang w:eastAsia="zh-CN"/>
              </w:rPr>
              <w:t xml:space="preserve">ª Reunión del Grupo de Trabajo F de la OACI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03/09/13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12/09/13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Nairobi</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9F4351" w:rsidP="008410D7">
            <w:pPr>
              <w:pStyle w:val="Tabletext"/>
              <w:rPr>
                <w:sz w:val="20"/>
                <w:lang w:eastAsia="zh-CN"/>
              </w:rPr>
            </w:pPr>
            <w:r w:rsidRPr="00A0226F">
              <w:rPr>
                <w:sz w:val="20"/>
                <w:lang w:eastAsia="zh-CN"/>
              </w:rPr>
              <w:t xml:space="preserve">23º </w:t>
            </w:r>
            <w:r w:rsidR="00081941" w:rsidRPr="00A0226F">
              <w:rPr>
                <w:sz w:val="20"/>
                <w:lang w:eastAsia="zh-CN"/>
              </w:rPr>
              <w:t>Taller de las Naciones Unidas/Federación Astron</w:t>
            </w:r>
            <w:r w:rsidR="008410D7">
              <w:rPr>
                <w:sz w:val="20"/>
                <w:lang w:eastAsia="zh-CN"/>
              </w:rPr>
              <w:t>áu</w:t>
            </w:r>
            <w:r w:rsidR="00081941" w:rsidRPr="00A0226F">
              <w:rPr>
                <w:sz w:val="20"/>
                <w:lang w:eastAsia="zh-CN"/>
              </w:rPr>
              <w:t xml:space="preserve">tica Internacional (IAF) </w:t>
            </w:r>
            <w:r w:rsidR="00BA149C" w:rsidRPr="00A0226F">
              <w:rPr>
                <w:sz w:val="20"/>
                <w:lang w:eastAsia="zh-CN"/>
              </w:rPr>
              <w:t>sobre t</w:t>
            </w:r>
            <w:r w:rsidR="00081941" w:rsidRPr="00A0226F">
              <w:rPr>
                <w:sz w:val="20"/>
                <w:lang w:eastAsia="zh-CN"/>
              </w:rPr>
              <w:t>ecnología</w:t>
            </w:r>
            <w:r w:rsidRPr="00A0226F">
              <w:rPr>
                <w:sz w:val="20"/>
                <w:lang w:eastAsia="zh-CN"/>
              </w:rPr>
              <w:t>s</w:t>
            </w:r>
            <w:r w:rsidR="00081941" w:rsidRPr="00A0226F">
              <w:rPr>
                <w:sz w:val="20"/>
                <w:lang w:eastAsia="zh-CN"/>
              </w:rPr>
              <w:t xml:space="preserve"> </w:t>
            </w:r>
            <w:r w:rsidR="00BA149C" w:rsidRPr="00A0226F">
              <w:rPr>
                <w:sz w:val="20"/>
                <w:lang w:eastAsia="zh-CN"/>
              </w:rPr>
              <w:t>e</w:t>
            </w:r>
            <w:r w:rsidR="00081941" w:rsidRPr="00A0226F">
              <w:rPr>
                <w:sz w:val="20"/>
                <w:lang w:eastAsia="zh-CN"/>
              </w:rPr>
              <w:t>spacial</w:t>
            </w:r>
            <w:r w:rsidRPr="00A0226F">
              <w:rPr>
                <w:sz w:val="20"/>
                <w:lang w:eastAsia="zh-CN"/>
              </w:rPr>
              <w:t>es</w:t>
            </w:r>
            <w:r w:rsidR="00081941" w:rsidRPr="00A0226F">
              <w:rPr>
                <w:sz w:val="20"/>
                <w:lang w:eastAsia="zh-CN"/>
              </w:rPr>
              <w:t xml:space="preserve"> para el </w:t>
            </w:r>
            <w:r w:rsidR="00BA149C" w:rsidRPr="00A0226F">
              <w:rPr>
                <w:sz w:val="20"/>
                <w:lang w:eastAsia="zh-CN"/>
              </w:rPr>
              <w:t>desarrollo e</w:t>
            </w:r>
            <w:r w:rsidR="00081941" w:rsidRPr="00A0226F">
              <w:rPr>
                <w:sz w:val="20"/>
                <w:lang w:eastAsia="zh-CN"/>
              </w:rPr>
              <w:t xml:space="preserve">conómico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20/09/13</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22/09/13</w:t>
            </w:r>
          </w:p>
        </w:tc>
        <w:tc>
          <w:tcPr>
            <w:tcW w:w="1415"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Beijing</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5DB1" w:rsidRPr="00A0226F" w:rsidRDefault="00BE49FD" w:rsidP="00A0226F">
            <w:pPr>
              <w:pStyle w:val="Tabletext"/>
              <w:rPr>
                <w:sz w:val="20"/>
                <w:lang w:eastAsia="zh-CN"/>
              </w:rPr>
            </w:pPr>
            <w:r w:rsidRPr="00A0226F">
              <w:rPr>
                <w:sz w:val="20"/>
                <w:lang w:eastAsia="zh-CN"/>
              </w:rPr>
              <w:t xml:space="preserve">Simposio de las Naciones Unidas/Emiratos </w:t>
            </w:r>
            <w:r w:rsidR="009E6DEF" w:rsidRPr="00A0226F">
              <w:rPr>
                <w:sz w:val="20"/>
                <w:lang w:eastAsia="zh-CN"/>
              </w:rPr>
              <w:t>Árabes Unidos sobre t</w:t>
            </w:r>
            <w:r w:rsidRPr="00A0226F">
              <w:rPr>
                <w:sz w:val="20"/>
                <w:lang w:eastAsia="zh-CN"/>
              </w:rPr>
              <w:t>ecnología</w:t>
            </w:r>
            <w:r w:rsidR="009F4351" w:rsidRPr="00A0226F">
              <w:rPr>
                <w:sz w:val="20"/>
                <w:lang w:eastAsia="zh-CN"/>
              </w:rPr>
              <w:t>s</w:t>
            </w:r>
            <w:r w:rsidR="009E6DEF" w:rsidRPr="00A0226F">
              <w:rPr>
                <w:sz w:val="20"/>
                <w:lang w:eastAsia="zh-CN"/>
              </w:rPr>
              <w:t xml:space="preserve"> e</w:t>
            </w:r>
            <w:r w:rsidRPr="00A0226F">
              <w:rPr>
                <w:sz w:val="20"/>
                <w:lang w:eastAsia="zh-CN"/>
              </w:rPr>
              <w:t>spacial</w:t>
            </w:r>
            <w:r w:rsidR="009F4351" w:rsidRPr="00A0226F">
              <w:rPr>
                <w:sz w:val="20"/>
                <w:lang w:eastAsia="zh-CN"/>
              </w:rPr>
              <w:t>es</w:t>
            </w:r>
            <w:r w:rsidRPr="00A0226F">
              <w:rPr>
                <w:sz w:val="20"/>
                <w:lang w:eastAsia="zh-CN"/>
              </w:rPr>
              <w:t xml:space="preserve"> </w:t>
            </w:r>
            <w:r w:rsidR="009E6DEF" w:rsidRPr="00A0226F">
              <w:rPr>
                <w:sz w:val="20"/>
                <w:lang w:eastAsia="zh-CN"/>
              </w:rPr>
              <w:t>b</w:t>
            </w:r>
            <w:r w:rsidRPr="00A0226F">
              <w:rPr>
                <w:sz w:val="20"/>
                <w:lang w:eastAsia="zh-CN"/>
              </w:rPr>
              <w:t>ásica</w:t>
            </w:r>
            <w:r w:rsidR="009F4351" w:rsidRPr="00A0226F">
              <w:rPr>
                <w:sz w:val="20"/>
                <w:lang w:eastAsia="zh-CN"/>
              </w:rPr>
              <w:t>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20/10/13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23/10/13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Dubái</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E962A7" w:rsidP="00A0226F">
            <w:pPr>
              <w:pStyle w:val="Tabletext"/>
              <w:rPr>
                <w:sz w:val="20"/>
                <w:lang w:eastAsia="zh-CN"/>
              </w:rPr>
            </w:pPr>
            <w:r w:rsidRPr="00A0226F">
              <w:rPr>
                <w:sz w:val="20"/>
                <w:lang w:eastAsia="zh-CN"/>
              </w:rPr>
              <w:t>9ª Reunión del Grupo de Expertos Mixto OMI/UIT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14/10/13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18/10/13</w:t>
            </w:r>
          </w:p>
        </w:tc>
        <w:tc>
          <w:tcPr>
            <w:tcW w:w="1415"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Londres</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D5DB1" w:rsidRPr="00A0226F" w:rsidRDefault="00D55C37" w:rsidP="00A0226F">
            <w:pPr>
              <w:pStyle w:val="Tabletext"/>
              <w:rPr>
                <w:sz w:val="20"/>
                <w:lang w:val="en-US" w:eastAsia="zh-CN"/>
              </w:rPr>
            </w:pPr>
            <w:r w:rsidRPr="00A0226F">
              <w:rPr>
                <w:sz w:val="20"/>
                <w:lang w:val="en-US" w:eastAsia="zh-CN"/>
              </w:rPr>
              <w:t>ORGANIZACIONES REGIONALES DE TELECOMUNICACIONES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val="en-US" w:eastAsia="zh-CN"/>
              </w:rPr>
            </w:pP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val="en-US" w:eastAsia="zh-CN"/>
              </w:rPr>
            </w:pP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E962A7" w:rsidP="00A0226F">
            <w:pPr>
              <w:pStyle w:val="Tabletext"/>
              <w:rPr>
                <w:sz w:val="20"/>
                <w:lang w:eastAsia="zh-CN"/>
              </w:rPr>
            </w:pPr>
            <w:r w:rsidRPr="00A0226F">
              <w:rPr>
                <w:sz w:val="20"/>
                <w:lang w:eastAsia="zh-CN"/>
              </w:rPr>
              <w:t>2ª Reunión de</w:t>
            </w:r>
            <w:r w:rsidR="007723A1" w:rsidRPr="00A0226F">
              <w:rPr>
                <w:sz w:val="20"/>
                <w:lang w:eastAsia="zh-CN"/>
              </w:rPr>
              <w:t>l</w:t>
            </w:r>
            <w:r w:rsidRPr="00A0226F">
              <w:rPr>
                <w:sz w:val="20"/>
                <w:lang w:eastAsia="zh-CN"/>
              </w:rPr>
              <w:t xml:space="preserve"> PT-D </w:t>
            </w:r>
            <w:r w:rsidR="007723A1" w:rsidRPr="00A0226F">
              <w:rPr>
                <w:sz w:val="20"/>
                <w:lang w:eastAsia="zh-CN"/>
              </w:rPr>
              <w:t xml:space="preserve">del CPG </w:t>
            </w:r>
            <w:r w:rsidRPr="00A0226F">
              <w:rPr>
                <w:sz w:val="20"/>
                <w:lang w:eastAsia="zh-CN"/>
              </w:rPr>
              <w:t>de la CEPT</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14/01/13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17/01/13</w:t>
            </w:r>
          </w:p>
        </w:tc>
        <w:tc>
          <w:tcPr>
            <w:tcW w:w="1415"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Marsella</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center"/>
            <w:hideMark/>
          </w:tcPr>
          <w:p w:rsidR="000D5DB1" w:rsidRPr="00A0226F" w:rsidRDefault="00E962A7" w:rsidP="00A0226F">
            <w:pPr>
              <w:pStyle w:val="Tabletext"/>
              <w:rPr>
                <w:sz w:val="20"/>
                <w:lang w:eastAsia="zh-CN"/>
              </w:rPr>
            </w:pPr>
            <w:r w:rsidRPr="00A0226F">
              <w:rPr>
                <w:sz w:val="20"/>
                <w:lang w:eastAsia="zh-CN"/>
              </w:rPr>
              <w:t>2ª Reunión de</w:t>
            </w:r>
            <w:r w:rsidR="007723A1" w:rsidRPr="00A0226F">
              <w:rPr>
                <w:sz w:val="20"/>
                <w:lang w:eastAsia="zh-CN"/>
              </w:rPr>
              <w:t>l</w:t>
            </w:r>
            <w:r w:rsidRPr="00A0226F">
              <w:rPr>
                <w:sz w:val="20"/>
                <w:lang w:eastAsia="zh-CN"/>
              </w:rPr>
              <w:t xml:space="preserve"> CPG-15</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22/01/13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25/01/13</w:t>
            </w:r>
          </w:p>
        </w:tc>
        <w:tc>
          <w:tcPr>
            <w:tcW w:w="1415" w:type="dxa"/>
            <w:tcBorders>
              <w:top w:val="nil"/>
              <w:left w:val="nil"/>
              <w:bottom w:val="single" w:sz="4" w:space="0" w:color="auto"/>
              <w:right w:val="single" w:sz="4" w:space="0" w:color="auto"/>
            </w:tcBorders>
            <w:noWrap/>
            <w:vAlign w:val="bottom"/>
            <w:hideMark/>
          </w:tcPr>
          <w:p w:rsidR="000D5DB1" w:rsidRPr="00A0226F" w:rsidRDefault="00204D4B" w:rsidP="00A0226F">
            <w:pPr>
              <w:pStyle w:val="Tabletext"/>
              <w:rPr>
                <w:sz w:val="20"/>
                <w:lang w:val="en-US" w:eastAsia="zh-CN"/>
              </w:rPr>
            </w:pPr>
            <w:r w:rsidRPr="00A0226F">
              <w:rPr>
                <w:sz w:val="20"/>
                <w:lang w:val="en-US" w:eastAsia="zh-CN"/>
              </w:rPr>
              <w:t xml:space="preserve">Ciudad de </w:t>
            </w:r>
            <w:r w:rsidR="000D5DB1" w:rsidRPr="00A0226F">
              <w:rPr>
                <w:sz w:val="20"/>
                <w:lang w:val="en-US" w:eastAsia="zh-CN"/>
              </w:rPr>
              <w:t xml:space="preserve">Luxemburgo </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center"/>
            <w:hideMark/>
          </w:tcPr>
          <w:p w:rsidR="000D5DB1" w:rsidRPr="00A0226F" w:rsidRDefault="00E962A7" w:rsidP="00A0226F">
            <w:pPr>
              <w:pStyle w:val="Tabletext"/>
              <w:rPr>
                <w:sz w:val="20"/>
                <w:lang w:eastAsia="zh-CN"/>
              </w:rPr>
            </w:pPr>
            <w:r w:rsidRPr="00A0226F">
              <w:rPr>
                <w:sz w:val="20"/>
                <w:lang w:eastAsia="zh-CN"/>
              </w:rPr>
              <w:t>7ª Reunión de</w:t>
            </w:r>
            <w:r w:rsidR="00870A8C" w:rsidRPr="00A0226F">
              <w:rPr>
                <w:sz w:val="20"/>
                <w:lang w:eastAsia="zh-CN"/>
              </w:rPr>
              <w:t>l Grupo</w:t>
            </w:r>
            <w:r w:rsidRPr="00A0226F">
              <w:rPr>
                <w:sz w:val="20"/>
                <w:lang w:eastAsia="zh-CN"/>
              </w:rPr>
              <w:t xml:space="preserve"> ECC FM 49</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24/01/13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25/01/13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Bonn</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204D4B" w:rsidP="00A0226F">
            <w:pPr>
              <w:pStyle w:val="Tabletext"/>
              <w:rPr>
                <w:sz w:val="20"/>
                <w:lang w:eastAsia="zh-CN"/>
              </w:rPr>
            </w:pPr>
            <w:r w:rsidRPr="00A0226F">
              <w:rPr>
                <w:sz w:val="20"/>
                <w:lang w:eastAsia="zh-CN"/>
              </w:rPr>
              <w:t>1ª Reunión preparatoria del Grupo Africano para la CRM-15</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18/03/13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20/03/13</w:t>
            </w:r>
          </w:p>
        </w:tc>
        <w:tc>
          <w:tcPr>
            <w:tcW w:w="1415"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Dakar</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582DB3" w:rsidP="003247B9">
            <w:pPr>
              <w:pStyle w:val="Tabletext"/>
              <w:keepNext/>
              <w:keepLines/>
              <w:rPr>
                <w:sz w:val="20"/>
                <w:lang w:eastAsia="zh-CN"/>
              </w:rPr>
            </w:pPr>
            <w:r w:rsidRPr="00A0226F">
              <w:rPr>
                <w:sz w:val="20"/>
                <w:lang w:eastAsia="zh-CN"/>
              </w:rPr>
              <w:lastRenderedPageBreak/>
              <w:t xml:space="preserve">14ª </w:t>
            </w:r>
            <w:r w:rsidR="009E6DEF" w:rsidRPr="00A0226F">
              <w:rPr>
                <w:sz w:val="20"/>
                <w:lang w:eastAsia="zh-CN"/>
              </w:rPr>
              <w:t>Reunión del Grupo sobre c</w:t>
            </w:r>
            <w:r w:rsidRPr="00A0226F">
              <w:rPr>
                <w:sz w:val="20"/>
                <w:lang w:eastAsia="zh-CN"/>
              </w:rPr>
              <w:t xml:space="preserve">omunicaciones </w:t>
            </w:r>
            <w:r w:rsidR="009E6DEF" w:rsidRPr="00A0226F">
              <w:rPr>
                <w:sz w:val="20"/>
                <w:lang w:eastAsia="zh-CN"/>
              </w:rPr>
              <w:t>i</w:t>
            </w:r>
            <w:r w:rsidRPr="00A0226F">
              <w:rPr>
                <w:sz w:val="20"/>
                <w:lang w:eastAsia="zh-CN"/>
              </w:rPr>
              <w:t>nalámbricas de la APT (AWG-14)</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18/03/13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21/03/13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B74B1" w:rsidP="00A0226F">
            <w:pPr>
              <w:pStyle w:val="Tabletext"/>
              <w:rPr>
                <w:sz w:val="20"/>
                <w:lang w:eastAsia="zh-CN"/>
              </w:rPr>
            </w:pPr>
            <w:r w:rsidRPr="00A0226F">
              <w:rPr>
                <w:sz w:val="20"/>
                <w:lang w:eastAsia="zh-CN"/>
              </w:rPr>
              <w:t>61ª Asamblea General del ETSI y celebración del 25º aniversario del ETSI</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19/03/13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20/03/13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Mandelieu</w:t>
            </w:r>
          </w:p>
        </w:tc>
      </w:tr>
      <w:tr w:rsidR="000D5DB1" w:rsidTr="003247B9">
        <w:trPr>
          <w:trHeight w:val="214"/>
        </w:trPr>
        <w:tc>
          <w:tcPr>
            <w:tcW w:w="5827" w:type="dxa"/>
            <w:tcBorders>
              <w:top w:val="nil"/>
              <w:left w:val="single" w:sz="4" w:space="0" w:color="auto"/>
              <w:bottom w:val="nil"/>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Reunión del PT</w:t>
            </w:r>
            <w:r w:rsidR="007723A1" w:rsidRPr="00A0226F">
              <w:rPr>
                <w:sz w:val="20"/>
                <w:lang w:eastAsia="zh-CN"/>
              </w:rPr>
              <w:t>-</w:t>
            </w:r>
            <w:r w:rsidRPr="00A0226F">
              <w:rPr>
                <w:sz w:val="20"/>
                <w:lang w:eastAsia="zh-CN"/>
              </w:rPr>
              <w:t>B de la CEPT</w:t>
            </w:r>
          </w:p>
        </w:tc>
        <w:tc>
          <w:tcPr>
            <w:tcW w:w="1276"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19/03/13</w:t>
            </w:r>
          </w:p>
        </w:tc>
        <w:tc>
          <w:tcPr>
            <w:tcW w:w="992"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21/03/13</w:t>
            </w:r>
          </w:p>
        </w:tc>
        <w:tc>
          <w:tcPr>
            <w:tcW w:w="1415"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Copenhague</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Reunión del PT</w:t>
            </w:r>
            <w:r w:rsidR="007723A1" w:rsidRPr="00A0226F">
              <w:rPr>
                <w:sz w:val="20"/>
                <w:lang w:eastAsia="zh-CN"/>
              </w:rPr>
              <w:t>-</w:t>
            </w:r>
            <w:r w:rsidRPr="00A0226F">
              <w:rPr>
                <w:sz w:val="20"/>
                <w:lang w:eastAsia="zh-CN"/>
              </w:rPr>
              <w:t>A de la CEPT</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25/03/13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28/03/13</w:t>
            </w:r>
          </w:p>
        </w:tc>
        <w:tc>
          <w:tcPr>
            <w:tcW w:w="1415"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Copenhague</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Seminario</w:t>
            </w:r>
            <w:r w:rsidR="00962C6A" w:rsidRPr="00A0226F">
              <w:rPr>
                <w:sz w:val="20"/>
                <w:lang w:eastAsia="zh-CN"/>
              </w:rPr>
              <w:t xml:space="preserve"> de la CITEL</w:t>
            </w:r>
            <w:r w:rsidR="009E6DEF" w:rsidRPr="00A0226F">
              <w:rPr>
                <w:sz w:val="20"/>
                <w:lang w:eastAsia="zh-CN"/>
              </w:rPr>
              <w:t xml:space="preserve"> sobre s</w:t>
            </w:r>
            <w:r w:rsidRPr="00A0226F">
              <w:rPr>
                <w:sz w:val="20"/>
                <w:lang w:eastAsia="zh-CN"/>
              </w:rPr>
              <w:t>atélites</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07/04/13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07/04/13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 xml:space="preserve">Cali </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 xml:space="preserve">XXI Reunión de PCC.II de </w:t>
            </w:r>
            <w:r w:rsidR="00962C6A" w:rsidRPr="00A0226F">
              <w:rPr>
                <w:sz w:val="20"/>
                <w:lang w:eastAsia="zh-CN"/>
              </w:rPr>
              <w:t xml:space="preserve">la </w:t>
            </w:r>
            <w:r w:rsidRPr="00A0226F">
              <w:rPr>
                <w:sz w:val="20"/>
                <w:lang w:eastAsia="zh-CN"/>
              </w:rPr>
              <w:t>CITEL</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08/04/13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12/04/13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 xml:space="preserve">Cali </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2ª Reunión de</w:t>
            </w:r>
            <w:r w:rsidR="007723A1" w:rsidRPr="00A0226F">
              <w:rPr>
                <w:sz w:val="20"/>
                <w:lang w:eastAsia="zh-CN"/>
              </w:rPr>
              <w:t xml:space="preserve">l </w:t>
            </w:r>
            <w:r w:rsidRPr="00A0226F">
              <w:rPr>
                <w:sz w:val="20"/>
                <w:lang w:eastAsia="zh-CN"/>
              </w:rPr>
              <w:t>PT</w:t>
            </w:r>
            <w:r w:rsidR="007723A1" w:rsidRPr="00A0226F">
              <w:rPr>
                <w:sz w:val="20"/>
                <w:lang w:eastAsia="zh-CN"/>
              </w:rPr>
              <w:t>-</w:t>
            </w:r>
            <w:r w:rsidRPr="00A0226F">
              <w:rPr>
                <w:sz w:val="20"/>
                <w:lang w:eastAsia="zh-CN"/>
              </w:rPr>
              <w:t>C</w:t>
            </w:r>
            <w:r w:rsidR="007723A1" w:rsidRPr="00A0226F">
              <w:rPr>
                <w:sz w:val="20"/>
                <w:lang w:eastAsia="zh-CN"/>
              </w:rPr>
              <w:t xml:space="preserve"> del CPG</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16/04/13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19/04/13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Londres</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 xml:space="preserve">2ª Reunión de la Comisión de la </w:t>
            </w:r>
            <w:r w:rsidR="0024525C" w:rsidRPr="00A0226F">
              <w:rPr>
                <w:sz w:val="20"/>
                <w:lang w:eastAsia="zh-CN"/>
              </w:rPr>
              <w:t>CRC</w:t>
            </w:r>
            <w:r w:rsidR="009E6DEF" w:rsidRPr="00A0226F">
              <w:rPr>
                <w:sz w:val="20"/>
                <w:lang w:eastAsia="zh-CN"/>
              </w:rPr>
              <w:t xml:space="preserve"> sobre g</w:t>
            </w:r>
            <w:r w:rsidRPr="00A0226F">
              <w:rPr>
                <w:sz w:val="20"/>
                <w:lang w:eastAsia="zh-CN"/>
              </w:rPr>
              <w:t>esti</w:t>
            </w:r>
            <w:r w:rsidR="009E6DEF" w:rsidRPr="00A0226F">
              <w:rPr>
                <w:sz w:val="20"/>
                <w:lang w:eastAsia="zh-CN"/>
              </w:rPr>
              <w:t>ón de la u</w:t>
            </w:r>
            <w:r w:rsidRPr="00A0226F">
              <w:rPr>
                <w:sz w:val="20"/>
                <w:lang w:eastAsia="zh-CN"/>
              </w:rPr>
              <w:t xml:space="preserve">tilización del </w:t>
            </w:r>
            <w:r w:rsidR="009E6DEF" w:rsidRPr="00A0226F">
              <w:rPr>
                <w:sz w:val="20"/>
                <w:lang w:eastAsia="zh-CN"/>
              </w:rPr>
              <w:t>e</w:t>
            </w:r>
            <w:r w:rsidRPr="00A0226F">
              <w:rPr>
                <w:sz w:val="20"/>
                <w:lang w:eastAsia="zh-CN"/>
              </w:rPr>
              <w:t xml:space="preserve">spectro de </w:t>
            </w:r>
            <w:r w:rsidR="009E6DEF" w:rsidRPr="00A0226F">
              <w:rPr>
                <w:sz w:val="20"/>
                <w:lang w:eastAsia="zh-CN"/>
              </w:rPr>
              <w:t>f</w:t>
            </w:r>
            <w:r w:rsidRPr="00A0226F">
              <w:rPr>
                <w:sz w:val="20"/>
                <w:lang w:eastAsia="zh-CN"/>
              </w:rPr>
              <w:t xml:space="preserve">recuencias y las </w:t>
            </w:r>
            <w:r w:rsidR="009E6DEF" w:rsidRPr="00A0226F">
              <w:rPr>
                <w:sz w:val="20"/>
                <w:lang w:eastAsia="zh-CN"/>
              </w:rPr>
              <w:t>órbitas de s</w:t>
            </w:r>
            <w:r w:rsidRPr="00A0226F">
              <w:rPr>
                <w:sz w:val="20"/>
                <w:lang w:eastAsia="zh-CN"/>
              </w:rPr>
              <w:t>atélite</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23/04/13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25/04/13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Tashkent</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eastAsia="zh-CN"/>
              </w:rPr>
            </w:pPr>
            <w:r w:rsidRPr="00A0226F">
              <w:rPr>
                <w:sz w:val="20"/>
                <w:lang w:eastAsia="zh-CN"/>
              </w:rPr>
              <w:t>8</w:t>
            </w:r>
            <w:r w:rsidR="00582DB3" w:rsidRPr="00A0226F">
              <w:rPr>
                <w:sz w:val="20"/>
                <w:lang w:eastAsia="zh-CN"/>
              </w:rPr>
              <w:t xml:space="preserve">ª </w:t>
            </w:r>
            <w:r w:rsidR="00870A8C" w:rsidRPr="00A0226F">
              <w:rPr>
                <w:sz w:val="20"/>
                <w:lang w:eastAsia="zh-CN"/>
              </w:rPr>
              <w:t xml:space="preserve">Reunión del Grupo ECC </w:t>
            </w:r>
            <w:r w:rsidRPr="00A0226F">
              <w:rPr>
                <w:sz w:val="20"/>
                <w:lang w:eastAsia="zh-CN"/>
              </w:rPr>
              <w:t>FM 49</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25/04/13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26/04/13</w:t>
            </w:r>
          </w:p>
        </w:tc>
        <w:tc>
          <w:tcPr>
            <w:tcW w:w="1415"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Maisons-Alfort</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5D388E" w:rsidP="00A0226F">
            <w:pPr>
              <w:pStyle w:val="Tabletext"/>
              <w:rPr>
                <w:sz w:val="20"/>
                <w:lang w:eastAsia="zh-CN"/>
              </w:rPr>
            </w:pPr>
            <w:r w:rsidRPr="00A0226F">
              <w:rPr>
                <w:sz w:val="20"/>
                <w:lang w:eastAsia="zh-CN"/>
              </w:rPr>
              <w:t>3ª Reunión de</w:t>
            </w:r>
            <w:r w:rsidR="007723A1" w:rsidRPr="00A0226F">
              <w:rPr>
                <w:sz w:val="20"/>
                <w:lang w:eastAsia="zh-CN"/>
              </w:rPr>
              <w:t xml:space="preserve">l </w:t>
            </w:r>
            <w:r w:rsidRPr="00A0226F">
              <w:rPr>
                <w:sz w:val="20"/>
                <w:lang w:eastAsia="zh-CN"/>
              </w:rPr>
              <w:t xml:space="preserve">PT-D </w:t>
            </w:r>
            <w:r w:rsidR="007723A1" w:rsidRPr="00A0226F">
              <w:rPr>
                <w:sz w:val="20"/>
                <w:lang w:eastAsia="zh-CN"/>
              </w:rPr>
              <w:t xml:space="preserve">del CPG </w:t>
            </w:r>
            <w:r w:rsidRPr="00A0226F">
              <w:rPr>
                <w:sz w:val="20"/>
                <w:lang w:eastAsia="zh-CN"/>
              </w:rPr>
              <w:t>de la CEPT</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08/05/13</w:t>
            </w:r>
          </w:p>
        </w:tc>
        <w:tc>
          <w:tcPr>
            <w:tcW w:w="1415"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Berlín</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7B63F5" w:rsidP="00A0226F">
            <w:pPr>
              <w:pStyle w:val="Tabletext"/>
              <w:rPr>
                <w:sz w:val="20"/>
                <w:lang w:eastAsia="zh-CN"/>
              </w:rPr>
            </w:pPr>
            <w:r w:rsidRPr="00A0226F">
              <w:rPr>
                <w:sz w:val="20"/>
                <w:lang w:eastAsia="zh-CN"/>
              </w:rPr>
              <w:t xml:space="preserve">77ª </w:t>
            </w:r>
            <w:r w:rsidR="009E6DEF" w:rsidRPr="00A0226F">
              <w:rPr>
                <w:sz w:val="20"/>
                <w:lang w:eastAsia="zh-CN"/>
              </w:rPr>
              <w:t>Reunión del GT sobre ge</w:t>
            </w:r>
            <w:r w:rsidRPr="00A0226F">
              <w:rPr>
                <w:sz w:val="20"/>
                <w:lang w:eastAsia="zh-CN"/>
              </w:rPr>
              <w:t>sti</w:t>
            </w:r>
            <w:r w:rsidR="009E6DEF" w:rsidRPr="00A0226F">
              <w:rPr>
                <w:sz w:val="20"/>
                <w:lang w:eastAsia="zh-CN"/>
              </w:rPr>
              <w:t>ón de f</w:t>
            </w:r>
            <w:r w:rsidRPr="00A0226F">
              <w:rPr>
                <w:sz w:val="20"/>
                <w:lang w:eastAsia="zh-CN"/>
              </w:rPr>
              <w:t>recuencias</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20/05/13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24/05/13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Amsterdam</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eastAsia="zh-CN"/>
              </w:rPr>
            </w:pPr>
            <w:r w:rsidRPr="00A0226F">
              <w:rPr>
                <w:sz w:val="20"/>
                <w:lang w:eastAsia="zh-CN"/>
              </w:rPr>
              <w:t>10</w:t>
            </w:r>
            <w:r w:rsidR="007B63F5" w:rsidRPr="00A0226F">
              <w:rPr>
                <w:sz w:val="20"/>
                <w:lang w:eastAsia="zh-CN"/>
              </w:rPr>
              <w:t>ª</w:t>
            </w:r>
            <w:r w:rsidRPr="00A0226F">
              <w:rPr>
                <w:sz w:val="20"/>
                <w:lang w:eastAsia="zh-CN"/>
              </w:rPr>
              <w:t xml:space="preserve"> </w:t>
            </w:r>
            <w:r w:rsidR="00870A8C" w:rsidRPr="00A0226F">
              <w:rPr>
                <w:sz w:val="20"/>
                <w:lang w:eastAsia="zh-CN"/>
              </w:rPr>
              <w:t xml:space="preserve">Reunión del Grupo ECC </w:t>
            </w:r>
            <w:r w:rsidR="007B63F5" w:rsidRPr="00A0226F">
              <w:rPr>
                <w:sz w:val="20"/>
                <w:lang w:eastAsia="zh-CN"/>
              </w:rPr>
              <w:t>FM 49</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13/06/13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14/06/13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Oslo</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7B63F5" w:rsidP="00A0226F">
            <w:pPr>
              <w:pStyle w:val="Tabletext"/>
              <w:rPr>
                <w:sz w:val="20"/>
                <w:lang w:eastAsia="zh-CN"/>
              </w:rPr>
            </w:pPr>
            <w:r w:rsidRPr="00A0226F">
              <w:rPr>
                <w:sz w:val="20"/>
                <w:lang w:eastAsia="zh-CN"/>
              </w:rPr>
              <w:t>1ª Reunión preparatoria de la SADC para la CMR</w:t>
            </w:r>
            <w:r w:rsidR="00F25155" w:rsidRPr="00A0226F">
              <w:rPr>
                <w:sz w:val="20"/>
                <w:lang w:eastAsia="zh-CN"/>
              </w:rPr>
              <w:t>-</w:t>
            </w:r>
            <w:r w:rsidRPr="00A0226F">
              <w:rPr>
                <w:sz w:val="20"/>
                <w:lang w:eastAsia="zh-CN"/>
              </w:rPr>
              <w:t>15</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21/06/13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24/06/13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Victoria Falls</w:t>
            </w:r>
          </w:p>
        </w:tc>
      </w:tr>
      <w:tr w:rsidR="000D5DB1" w:rsidTr="003247B9">
        <w:trPr>
          <w:trHeight w:val="214"/>
        </w:trPr>
        <w:tc>
          <w:tcPr>
            <w:tcW w:w="5827" w:type="dxa"/>
            <w:tcBorders>
              <w:top w:val="nil"/>
              <w:left w:val="single" w:sz="4" w:space="0" w:color="auto"/>
              <w:bottom w:val="nil"/>
              <w:right w:val="single" w:sz="4" w:space="0" w:color="auto"/>
            </w:tcBorders>
            <w:noWrap/>
            <w:vAlign w:val="bottom"/>
            <w:hideMark/>
          </w:tcPr>
          <w:p w:rsidR="000D5DB1" w:rsidRPr="00A0226F" w:rsidRDefault="007B63F5" w:rsidP="00A0226F">
            <w:pPr>
              <w:pStyle w:val="Tabletext"/>
              <w:rPr>
                <w:sz w:val="20"/>
                <w:lang w:eastAsia="zh-CN"/>
              </w:rPr>
            </w:pPr>
            <w:r w:rsidRPr="00A0226F">
              <w:rPr>
                <w:sz w:val="20"/>
                <w:lang w:eastAsia="zh-CN"/>
              </w:rPr>
              <w:t xml:space="preserve">2ª Reunión del Grupo de Preparación </w:t>
            </w:r>
            <w:r w:rsidR="00237C1F" w:rsidRPr="00A0226F">
              <w:rPr>
                <w:sz w:val="20"/>
                <w:lang w:eastAsia="zh-CN"/>
              </w:rPr>
              <w:t xml:space="preserve">de la APT </w:t>
            </w:r>
            <w:r w:rsidRPr="00A0226F">
              <w:rPr>
                <w:sz w:val="20"/>
                <w:lang w:eastAsia="zh-CN"/>
              </w:rPr>
              <w:t>para la CRM-15 (APG15</w:t>
            </w:r>
            <w:r w:rsidRPr="00A0226F">
              <w:rPr>
                <w:sz w:val="20"/>
                <w:lang w:eastAsia="zh-CN"/>
              </w:rPr>
              <w:noBreakHyphen/>
              <w:t>2)</w:t>
            </w:r>
          </w:p>
        </w:tc>
        <w:tc>
          <w:tcPr>
            <w:tcW w:w="1276"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01/07/13</w:t>
            </w:r>
          </w:p>
        </w:tc>
        <w:tc>
          <w:tcPr>
            <w:tcW w:w="992"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05/07/13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single" w:sz="4" w:space="0" w:color="auto"/>
              <w:left w:val="single" w:sz="4" w:space="0" w:color="auto"/>
              <w:bottom w:val="nil"/>
              <w:right w:val="single" w:sz="4" w:space="0" w:color="auto"/>
            </w:tcBorders>
            <w:noWrap/>
            <w:vAlign w:val="bottom"/>
            <w:hideMark/>
          </w:tcPr>
          <w:p w:rsidR="000D5DB1" w:rsidRPr="00A0226F" w:rsidRDefault="004A0F60" w:rsidP="001A35D4">
            <w:pPr>
              <w:pStyle w:val="Tabletext"/>
              <w:rPr>
                <w:sz w:val="20"/>
                <w:lang w:eastAsia="zh-CN"/>
              </w:rPr>
            </w:pPr>
            <w:r w:rsidRPr="00A0226F">
              <w:rPr>
                <w:sz w:val="20"/>
                <w:lang w:eastAsia="zh-CN"/>
              </w:rPr>
              <w:t xml:space="preserve">Foro </w:t>
            </w:r>
            <w:r w:rsidR="00A844B0" w:rsidRPr="00A0226F">
              <w:rPr>
                <w:sz w:val="20"/>
                <w:lang w:eastAsia="zh-CN"/>
              </w:rPr>
              <w:t xml:space="preserve">de la CEDEAO </w:t>
            </w:r>
            <w:r w:rsidRPr="00A0226F">
              <w:rPr>
                <w:sz w:val="20"/>
                <w:lang w:eastAsia="zh-CN"/>
              </w:rPr>
              <w:t xml:space="preserve">sobre el paso a la radiodifusión digital </w:t>
            </w:r>
            <w:r w:rsidR="00237C1F" w:rsidRPr="00A0226F">
              <w:rPr>
                <w:sz w:val="20"/>
                <w:lang w:eastAsia="zh-CN"/>
              </w:rPr>
              <w:t>+ 1ª</w:t>
            </w:r>
            <w:r w:rsidR="001A35D4">
              <w:rPr>
                <w:sz w:val="20"/>
                <w:lang w:eastAsia="zh-CN"/>
              </w:rPr>
              <w:t> </w:t>
            </w:r>
            <w:r w:rsidR="00237C1F" w:rsidRPr="00A0226F">
              <w:rPr>
                <w:sz w:val="20"/>
                <w:lang w:eastAsia="zh-CN"/>
              </w:rPr>
              <w:t>Reunión de Preparación de la CEDEAO para la CMR-15</w:t>
            </w:r>
            <w:r w:rsidR="00A844B0" w:rsidRPr="00A0226F">
              <w:rPr>
                <w:sz w:val="20"/>
                <w:lang w:eastAsia="zh-CN"/>
              </w:rPr>
              <w:t xml:space="preserve"> </w:t>
            </w:r>
          </w:p>
        </w:tc>
        <w:tc>
          <w:tcPr>
            <w:tcW w:w="1276" w:type="dxa"/>
            <w:tcBorders>
              <w:top w:val="single" w:sz="4" w:space="0" w:color="auto"/>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01/07/13</w:t>
            </w:r>
          </w:p>
        </w:tc>
        <w:tc>
          <w:tcPr>
            <w:tcW w:w="992" w:type="dxa"/>
            <w:tcBorders>
              <w:top w:val="single" w:sz="4" w:space="0" w:color="auto"/>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05/07/13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Abuja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237C1F" w:rsidP="00A0226F">
            <w:pPr>
              <w:pStyle w:val="Tabletext"/>
              <w:rPr>
                <w:sz w:val="20"/>
                <w:lang w:eastAsia="zh-CN"/>
              </w:rPr>
            </w:pPr>
            <w:r w:rsidRPr="00A0226F">
              <w:rPr>
                <w:sz w:val="20"/>
                <w:lang w:eastAsia="zh-CN"/>
              </w:rPr>
              <w:t>3ª Reunión de</w:t>
            </w:r>
            <w:r w:rsidR="00F7784E" w:rsidRPr="00A0226F">
              <w:rPr>
                <w:sz w:val="20"/>
                <w:lang w:eastAsia="zh-CN"/>
              </w:rPr>
              <w:t>l PT-B</w:t>
            </w:r>
            <w:r w:rsidRPr="00A0226F">
              <w:rPr>
                <w:sz w:val="20"/>
                <w:lang w:eastAsia="zh-CN"/>
              </w:rPr>
              <w:t xml:space="preserve"> </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21/08/13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23/08/13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Copenhag</w:t>
            </w:r>
            <w:r w:rsidR="004F3B96" w:rsidRPr="00A0226F">
              <w:rPr>
                <w:sz w:val="20"/>
                <w:lang w:val="en-US" w:eastAsia="zh-CN"/>
              </w:rPr>
              <w:t>ue</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F7784E" w:rsidP="001A35D4">
            <w:pPr>
              <w:pStyle w:val="Tabletext"/>
              <w:rPr>
                <w:sz w:val="20"/>
                <w:lang w:eastAsia="zh-CN"/>
              </w:rPr>
            </w:pPr>
            <w:r w:rsidRPr="00A0226F">
              <w:rPr>
                <w:sz w:val="20"/>
                <w:lang w:eastAsia="zh-CN"/>
              </w:rPr>
              <w:t xml:space="preserve">Grupo sobre </w:t>
            </w:r>
            <w:r w:rsidR="001A35D4">
              <w:rPr>
                <w:sz w:val="20"/>
                <w:lang w:eastAsia="zh-CN"/>
              </w:rPr>
              <w:t>C</w:t>
            </w:r>
            <w:r w:rsidR="009E6DEF" w:rsidRPr="00A0226F">
              <w:rPr>
                <w:sz w:val="20"/>
                <w:lang w:eastAsia="zh-CN"/>
              </w:rPr>
              <w:t>omunicaciones i</w:t>
            </w:r>
            <w:r w:rsidRPr="00A0226F">
              <w:rPr>
                <w:sz w:val="20"/>
                <w:lang w:eastAsia="zh-CN"/>
              </w:rPr>
              <w:t>nalámbricas de la APT (AWG-1</w:t>
            </w:r>
            <w:r w:rsidR="00A844B0" w:rsidRPr="00A0226F">
              <w:rPr>
                <w:sz w:val="20"/>
                <w:lang w:eastAsia="zh-CN"/>
              </w:rPr>
              <w:t>5</w:t>
            </w:r>
            <w:r w:rsidRPr="00A0226F">
              <w:rPr>
                <w:sz w:val="20"/>
                <w:lang w:eastAsia="zh-CN"/>
              </w:rPr>
              <w:t>)</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27/08/13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30/08/13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F7784E" w:rsidP="00A0226F">
            <w:pPr>
              <w:pStyle w:val="Tabletext"/>
              <w:rPr>
                <w:sz w:val="20"/>
                <w:lang w:eastAsia="zh-CN"/>
              </w:rPr>
            </w:pPr>
            <w:r w:rsidRPr="00A0226F">
              <w:rPr>
                <w:sz w:val="20"/>
                <w:lang w:eastAsia="zh-CN"/>
              </w:rPr>
              <w:t>Reunión del PT-A del CPG de la CEPT</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03/09/13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05/09/13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Budapest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F7784E" w:rsidP="00A0226F">
            <w:pPr>
              <w:pStyle w:val="Tabletext"/>
              <w:rPr>
                <w:sz w:val="20"/>
                <w:lang w:eastAsia="zh-CN"/>
              </w:rPr>
            </w:pPr>
            <w:r w:rsidRPr="00A0226F">
              <w:rPr>
                <w:sz w:val="20"/>
                <w:lang w:eastAsia="zh-CN"/>
              </w:rPr>
              <w:t>4ª Reunión del PT-D del CPG de la CEPT</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09/09/13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13/09/13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Ljubljana</w:t>
            </w:r>
          </w:p>
        </w:tc>
      </w:tr>
      <w:tr w:rsidR="000D5DB1" w:rsidTr="003247B9">
        <w:trPr>
          <w:trHeight w:val="210"/>
        </w:trPr>
        <w:tc>
          <w:tcPr>
            <w:tcW w:w="5827" w:type="dxa"/>
            <w:tcBorders>
              <w:top w:val="nil"/>
              <w:left w:val="single" w:sz="4" w:space="0" w:color="auto"/>
              <w:bottom w:val="single" w:sz="4" w:space="0" w:color="auto"/>
              <w:right w:val="single" w:sz="4" w:space="0" w:color="auto"/>
            </w:tcBorders>
            <w:noWrap/>
            <w:vAlign w:val="center"/>
            <w:hideMark/>
          </w:tcPr>
          <w:p w:rsidR="000D5DB1" w:rsidRPr="00A0226F" w:rsidRDefault="004A02E3" w:rsidP="00A0226F">
            <w:pPr>
              <w:pStyle w:val="Tabletext"/>
              <w:rPr>
                <w:sz w:val="20"/>
                <w:lang w:eastAsia="zh-CN"/>
              </w:rPr>
            </w:pPr>
            <w:r w:rsidRPr="00A0226F">
              <w:rPr>
                <w:sz w:val="20"/>
                <w:lang w:eastAsia="zh-CN"/>
              </w:rPr>
              <w:t xml:space="preserve">3ª Reunión del Grupo de Trabajo </w:t>
            </w:r>
            <w:r w:rsidR="001C5EBA" w:rsidRPr="00A0226F">
              <w:rPr>
                <w:sz w:val="20"/>
                <w:lang w:eastAsia="zh-CN"/>
              </w:rPr>
              <w:t xml:space="preserve">de la CRC </w:t>
            </w:r>
            <w:r w:rsidR="009E6DEF" w:rsidRPr="00A0226F">
              <w:rPr>
                <w:sz w:val="20"/>
                <w:lang w:eastAsia="zh-CN"/>
              </w:rPr>
              <w:t>sobre g</w:t>
            </w:r>
            <w:r w:rsidRPr="00A0226F">
              <w:rPr>
                <w:sz w:val="20"/>
                <w:lang w:eastAsia="zh-CN"/>
              </w:rPr>
              <w:t xml:space="preserve">estión del </w:t>
            </w:r>
            <w:r w:rsidR="009E6DEF" w:rsidRPr="00A0226F">
              <w:rPr>
                <w:sz w:val="20"/>
                <w:lang w:eastAsia="zh-CN"/>
              </w:rPr>
              <w:t>e</w:t>
            </w:r>
            <w:r w:rsidRPr="00A0226F">
              <w:rPr>
                <w:sz w:val="20"/>
                <w:lang w:eastAsia="zh-CN"/>
              </w:rPr>
              <w:t>spectro</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11/09/13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13/09/13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Mosc</w:t>
            </w:r>
            <w:r w:rsidR="004F3B96" w:rsidRPr="00A0226F">
              <w:rPr>
                <w:sz w:val="20"/>
                <w:lang w:val="en-US" w:eastAsia="zh-CN"/>
              </w:rPr>
              <w:t>ú</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eastAsia="zh-CN"/>
              </w:rPr>
            </w:pPr>
            <w:r w:rsidRPr="00A0226F">
              <w:rPr>
                <w:sz w:val="20"/>
                <w:lang w:eastAsia="zh-CN"/>
              </w:rPr>
              <w:t>11</w:t>
            </w:r>
            <w:r w:rsidR="00B412D1" w:rsidRPr="00A0226F">
              <w:rPr>
                <w:sz w:val="20"/>
                <w:lang w:eastAsia="zh-CN"/>
              </w:rPr>
              <w:t>ª</w:t>
            </w:r>
            <w:r w:rsidRPr="00A0226F">
              <w:rPr>
                <w:sz w:val="20"/>
                <w:lang w:eastAsia="zh-CN"/>
              </w:rPr>
              <w:t xml:space="preserve"> </w:t>
            </w:r>
            <w:r w:rsidR="00870A8C" w:rsidRPr="00A0226F">
              <w:rPr>
                <w:sz w:val="20"/>
                <w:lang w:eastAsia="zh-CN"/>
              </w:rPr>
              <w:t xml:space="preserve">Reunión del Grupo ECC </w:t>
            </w:r>
            <w:r w:rsidR="00B412D1" w:rsidRPr="00A0226F">
              <w:rPr>
                <w:sz w:val="20"/>
                <w:lang w:eastAsia="zh-CN"/>
              </w:rPr>
              <w:t>FM 49</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17/09/13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18/09/13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Copenhag</w:t>
            </w:r>
            <w:r w:rsidR="004F3B96" w:rsidRPr="00A0226F">
              <w:rPr>
                <w:sz w:val="20"/>
                <w:lang w:val="en-US" w:eastAsia="zh-CN"/>
              </w:rPr>
              <w:t>ue</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E03F0" w:rsidP="00A0226F">
            <w:pPr>
              <w:pStyle w:val="Tabletext"/>
              <w:rPr>
                <w:sz w:val="20"/>
                <w:lang w:eastAsia="zh-CN"/>
              </w:rPr>
            </w:pPr>
            <w:r w:rsidRPr="00A0226F">
              <w:rPr>
                <w:sz w:val="20"/>
                <w:lang w:eastAsia="zh-CN"/>
              </w:rPr>
              <w:t xml:space="preserve">9ª Reunión del Grupo del Foro Marítimo </w:t>
            </w:r>
            <w:r w:rsidR="004A02E3" w:rsidRPr="00A0226F">
              <w:rPr>
                <w:sz w:val="20"/>
                <w:lang w:eastAsia="zh-CN"/>
              </w:rPr>
              <w:t xml:space="preserve">FM </w:t>
            </w:r>
            <w:r w:rsidRPr="00A0226F">
              <w:rPr>
                <w:sz w:val="20"/>
                <w:lang w:eastAsia="zh-CN"/>
              </w:rPr>
              <w:t>(ante</w:t>
            </w:r>
            <w:r w:rsidR="004A02E3" w:rsidRPr="00A0226F">
              <w:rPr>
                <w:sz w:val="20"/>
                <w:lang w:eastAsia="zh-CN"/>
              </w:rPr>
              <w:t>riormente PT46) de CEPT/ECC</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17/09/13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Constan</w:t>
            </w:r>
            <w:r w:rsidR="004F3B96" w:rsidRPr="00A0226F">
              <w:rPr>
                <w:sz w:val="20"/>
                <w:lang w:val="en-US" w:eastAsia="zh-CN"/>
              </w:rPr>
              <w:t>za</w:t>
            </w:r>
            <w:r w:rsidRPr="00A0226F">
              <w:rPr>
                <w:sz w:val="20"/>
                <w:lang w:val="en-US" w:eastAsia="zh-CN"/>
              </w:rPr>
              <w:t xml:space="preserve"> </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center"/>
            <w:hideMark/>
          </w:tcPr>
          <w:p w:rsidR="000D5DB1" w:rsidRPr="00A0226F" w:rsidRDefault="007D63ED" w:rsidP="00A0226F">
            <w:pPr>
              <w:pStyle w:val="Tabletext"/>
              <w:rPr>
                <w:sz w:val="20"/>
                <w:lang w:eastAsia="zh-CN"/>
              </w:rPr>
            </w:pPr>
            <w:r w:rsidRPr="00A0226F">
              <w:rPr>
                <w:sz w:val="20"/>
                <w:lang w:eastAsia="zh-CN"/>
              </w:rPr>
              <w:t>3ª Reunión del CPG de la CEPT para la CMR-15</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23/09/13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26/09/13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Zagreb</w:t>
            </w:r>
          </w:p>
        </w:tc>
      </w:tr>
      <w:tr w:rsidR="000D5DB1" w:rsidTr="003247B9">
        <w:trPr>
          <w:trHeight w:val="210"/>
        </w:trPr>
        <w:tc>
          <w:tcPr>
            <w:tcW w:w="5827" w:type="dxa"/>
            <w:tcBorders>
              <w:top w:val="nil"/>
              <w:left w:val="single" w:sz="4" w:space="0" w:color="auto"/>
              <w:bottom w:val="single" w:sz="4" w:space="0" w:color="auto"/>
              <w:right w:val="single" w:sz="4" w:space="0" w:color="auto"/>
            </w:tcBorders>
            <w:noWrap/>
            <w:vAlign w:val="center"/>
            <w:hideMark/>
          </w:tcPr>
          <w:p w:rsidR="000D5DB1" w:rsidRPr="00A0226F" w:rsidRDefault="007D63ED" w:rsidP="00A0226F">
            <w:pPr>
              <w:pStyle w:val="Tabletext"/>
              <w:rPr>
                <w:sz w:val="20"/>
                <w:lang w:eastAsia="zh-CN"/>
              </w:rPr>
            </w:pPr>
            <w:r w:rsidRPr="00A0226F">
              <w:rPr>
                <w:sz w:val="20"/>
                <w:lang w:eastAsia="zh-CN"/>
              </w:rPr>
              <w:t>3ª Reunión del PT-C del CPG de la CEPT</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08/10/13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11/10/13</w:t>
            </w:r>
          </w:p>
        </w:tc>
        <w:tc>
          <w:tcPr>
            <w:tcW w:w="1415" w:type="dxa"/>
            <w:tcBorders>
              <w:top w:val="nil"/>
              <w:left w:val="nil"/>
              <w:bottom w:val="single" w:sz="4" w:space="0" w:color="auto"/>
              <w:right w:val="single" w:sz="4" w:space="0" w:color="auto"/>
            </w:tcBorders>
            <w:noWrap/>
            <w:vAlign w:val="bottom"/>
            <w:hideMark/>
          </w:tcPr>
          <w:p w:rsidR="000D5DB1" w:rsidRPr="00A0226F" w:rsidRDefault="004F3B96" w:rsidP="00A0226F">
            <w:pPr>
              <w:pStyle w:val="Tabletext"/>
              <w:rPr>
                <w:sz w:val="20"/>
                <w:lang w:val="en-US" w:eastAsia="zh-CN"/>
              </w:rPr>
            </w:pPr>
            <w:r w:rsidRPr="00A0226F">
              <w:rPr>
                <w:sz w:val="20"/>
                <w:lang w:val="en-US" w:eastAsia="zh-CN"/>
              </w:rPr>
              <w:t>Bucarest</w:t>
            </w:r>
          </w:p>
        </w:tc>
      </w:tr>
      <w:tr w:rsidR="000D5DB1" w:rsidTr="003247B9">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7D63ED" w:rsidP="00A0226F">
            <w:pPr>
              <w:pStyle w:val="Tabletext"/>
              <w:rPr>
                <w:sz w:val="20"/>
                <w:lang w:eastAsia="zh-CN"/>
              </w:rPr>
            </w:pPr>
            <w:r w:rsidRPr="00A0226F">
              <w:rPr>
                <w:sz w:val="20"/>
                <w:lang w:eastAsia="zh-CN"/>
              </w:rPr>
              <w:t xml:space="preserve">78ª Reunión </w:t>
            </w:r>
            <w:r w:rsidR="005548D2" w:rsidRPr="00A0226F">
              <w:rPr>
                <w:sz w:val="20"/>
                <w:lang w:eastAsia="zh-CN"/>
              </w:rPr>
              <w:t xml:space="preserve">del </w:t>
            </w:r>
            <w:r w:rsidR="009E6DEF" w:rsidRPr="00A0226F">
              <w:rPr>
                <w:sz w:val="20"/>
                <w:lang w:eastAsia="zh-CN"/>
              </w:rPr>
              <w:t>GT sobre gestión de f</w:t>
            </w:r>
            <w:r w:rsidR="005548D2" w:rsidRPr="00A0226F">
              <w:rPr>
                <w:sz w:val="20"/>
                <w:lang w:eastAsia="zh-CN"/>
              </w:rPr>
              <w:t>recuencias de la CEPT</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30/09/13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04/10/13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Montegrotto</w:t>
            </w:r>
          </w:p>
        </w:tc>
      </w:tr>
      <w:tr w:rsidR="000D5DB1" w:rsidTr="003247B9">
        <w:trPr>
          <w:trHeight w:val="210"/>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A47A5A" w:rsidP="001A35D4">
            <w:pPr>
              <w:pStyle w:val="Tabletext"/>
              <w:rPr>
                <w:sz w:val="20"/>
                <w:lang w:eastAsia="zh-CN"/>
              </w:rPr>
            </w:pPr>
            <w:r w:rsidRPr="00A0226F">
              <w:rPr>
                <w:sz w:val="20"/>
                <w:lang w:eastAsia="zh-CN"/>
              </w:rPr>
              <w:t xml:space="preserve">3ª Reunión de la Comisión de la </w:t>
            </w:r>
            <w:r w:rsidR="009514B1" w:rsidRPr="00A0226F">
              <w:rPr>
                <w:sz w:val="20"/>
                <w:lang w:eastAsia="zh-CN"/>
              </w:rPr>
              <w:t>CRC</w:t>
            </w:r>
            <w:r w:rsidRPr="00A0226F">
              <w:rPr>
                <w:sz w:val="20"/>
                <w:lang w:eastAsia="zh-CN"/>
              </w:rPr>
              <w:t xml:space="preserve"> sobre </w:t>
            </w:r>
            <w:r w:rsidR="001A35D4">
              <w:rPr>
                <w:sz w:val="20"/>
                <w:lang w:eastAsia="zh-CN"/>
              </w:rPr>
              <w:t>R</w:t>
            </w:r>
            <w:r w:rsidRPr="00A0226F">
              <w:rPr>
                <w:sz w:val="20"/>
                <w:lang w:eastAsia="zh-CN"/>
              </w:rPr>
              <w:t xml:space="preserve">eglamentación de la </w:t>
            </w:r>
            <w:r w:rsidR="009E6DEF" w:rsidRPr="00A0226F">
              <w:rPr>
                <w:sz w:val="20"/>
                <w:lang w:eastAsia="zh-CN"/>
              </w:rPr>
              <w:t>u</w:t>
            </w:r>
            <w:r w:rsidRPr="00A0226F">
              <w:rPr>
                <w:sz w:val="20"/>
                <w:lang w:eastAsia="zh-CN"/>
              </w:rPr>
              <w:t xml:space="preserve">tilización del </w:t>
            </w:r>
            <w:r w:rsidR="009E6DEF" w:rsidRPr="00A0226F">
              <w:rPr>
                <w:sz w:val="20"/>
                <w:lang w:eastAsia="zh-CN"/>
              </w:rPr>
              <w:t>e</w:t>
            </w:r>
            <w:r w:rsidRPr="00A0226F">
              <w:rPr>
                <w:sz w:val="20"/>
                <w:lang w:eastAsia="zh-CN"/>
              </w:rPr>
              <w:t xml:space="preserve">spectro de </w:t>
            </w:r>
            <w:r w:rsidR="009E6DEF" w:rsidRPr="00A0226F">
              <w:rPr>
                <w:sz w:val="20"/>
                <w:lang w:eastAsia="zh-CN"/>
              </w:rPr>
              <w:t>f</w:t>
            </w:r>
            <w:r w:rsidRPr="00A0226F">
              <w:rPr>
                <w:sz w:val="20"/>
                <w:lang w:eastAsia="zh-CN"/>
              </w:rPr>
              <w:t xml:space="preserve">recuencias </w:t>
            </w:r>
            <w:r w:rsidR="009E6DEF" w:rsidRPr="00A0226F">
              <w:rPr>
                <w:sz w:val="20"/>
                <w:lang w:eastAsia="zh-CN"/>
              </w:rPr>
              <w:t>r</w:t>
            </w:r>
            <w:r w:rsidRPr="00A0226F">
              <w:rPr>
                <w:sz w:val="20"/>
                <w:lang w:eastAsia="zh-CN"/>
              </w:rPr>
              <w:t xml:space="preserve">adioeléctricas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08/10/13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10/10/13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Astan</w:t>
            </w:r>
            <w:r w:rsidR="004F3B96" w:rsidRPr="00A0226F">
              <w:rPr>
                <w:sz w:val="20"/>
                <w:lang w:val="en-US" w:eastAsia="zh-CN"/>
              </w:rPr>
              <w:t>á</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center"/>
            <w:hideMark/>
          </w:tcPr>
          <w:p w:rsidR="000D5DB1" w:rsidRPr="00A0226F" w:rsidRDefault="00A47A5A" w:rsidP="001A35D4">
            <w:pPr>
              <w:pStyle w:val="Tabletext"/>
              <w:rPr>
                <w:sz w:val="20"/>
                <w:lang w:eastAsia="zh-CN"/>
              </w:rPr>
            </w:pPr>
            <w:r w:rsidRPr="00A0226F">
              <w:rPr>
                <w:sz w:val="20"/>
                <w:lang w:eastAsia="zh-CN"/>
              </w:rPr>
              <w:t xml:space="preserve">3ª Reunión del GT de la </w:t>
            </w:r>
            <w:r w:rsidR="009514B1" w:rsidRPr="00A0226F">
              <w:rPr>
                <w:sz w:val="20"/>
                <w:lang w:eastAsia="zh-CN"/>
              </w:rPr>
              <w:t>CRC</w:t>
            </w:r>
            <w:r w:rsidRPr="00A0226F">
              <w:rPr>
                <w:sz w:val="20"/>
                <w:lang w:eastAsia="zh-CN"/>
              </w:rPr>
              <w:t xml:space="preserve"> para la </w:t>
            </w:r>
            <w:r w:rsidR="001A35D4">
              <w:rPr>
                <w:sz w:val="20"/>
                <w:lang w:eastAsia="zh-CN"/>
              </w:rPr>
              <w:t>P</w:t>
            </w:r>
            <w:r w:rsidRPr="00A0226F">
              <w:rPr>
                <w:sz w:val="20"/>
                <w:lang w:eastAsia="zh-CN"/>
              </w:rPr>
              <w:t>reparación de la AR</w:t>
            </w:r>
            <w:r w:rsidRPr="00A0226F">
              <w:rPr>
                <w:sz w:val="20"/>
                <w:lang w:eastAsia="zh-CN"/>
              </w:rPr>
              <w:noBreakHyphen/>
              <w:t>15/CMR</w:t>
            </w:r>
            <w:r w:rsidRPr="00A0226F">
              <w:rPr>
                <w:sz w:val="20"/>
                <w:lang w:eastAsia="zh-CN"/>
              </w:rPr>
              <w:noBreakHyphen/>
              <w:t>15</w:t>
            </w:r>
          </w:p>
        </w:tc>
        <w:tc>
          <w:tcPr>
            <w:tcW w:w="1276" w:type="dxa"/>
            <w:tcBorders>
              <w:top w:val="nil"/>
              <w:left w:val="nil"/>
              <w:bottom w:val="single" w:sz="4" w:space="0" w:color="auto"/>
              <w:right w:val="single" w:sz="4" w:space="0" w:color="auto"/>
            </w:tcBorders>
            <w:noWrap/>
            <w:vAlign w:val="center"/>
            <w:hideMark/>
          </w:tcPr>
          <w:p w:rsidR="000D5DB1" w:rsidRPr="00A0226F" w:rsidRDefault="000D5DB1" w:rsidP="00A0226F">
            <w:pPr>
              <w:pStyle w:val="Tabletext"/>
              <w:rPr>
                <w:sz w:val="20"/>
                <w:lang w:val="en-US" w:eastAsia="zh-CN"/>
              </w:rPr>
            </w:pPr>
            <w:r w:rsidRPr="00A0226F">
              <w:rPr>
                <w:sz w:val="20"/>
                <w:lang w:val="en-US" w:eastAsia="zh-CN"/>
              </w:rPr>
              <w:t>28/10/13</w:t>
            </w:r>
          </w:p>
        </w:tc>
        <w:tc>
          <w:tcPr>
            <w:tcW w:w="992" w:type="dxa"/>
            <w:tcBorders>
              <w:top w:val="nil"/>
              <w:left w:val="nil"/>
              <w:bottom w:val="single" w:sz="4" w:space="0" w:color="auto"/>
              <w:right w:val="single" w:sz="4" w:space="0" w:color="auto"/>
            </w:tcBorders>
            <w:noWrap/>
            <w:vAlign w:val="center"/>
            <w:hideMark/>
          </w:tcPr>
          <w:p w:rsidR="000D5DB1" w:rsidRPr="00A0226F" w:rsidRDefault="000D5DB1" w:rsidP="00A0226F">
            <w:pPr>
              <w:pStyle w:val="Tabletext"/>
              <w:rPr>
                <w:sz w:val="20"/>
                <w:lang w:val="en-US" w:eastAsia="zh-CN"/>
              </w:rPr>
            </w:pPr>
            <w:r w:rsidRPr="00A0226F">
              <w:rPr>
                <w:sz w:val="20"/>
                <w:lang w:val="en-US" w:eastAsia="zh-CN"/>
              </w:rPr>
              <w:t>01/11/13</w:t>
            </w:r>
          </w:p>
        </w:tc>
        <w:tc>
          <w:tcPr>
            <w:tcW w:w="1415" w:type="dxa"/>
            <w:tcBorders>
              <w:top w:val="nil"/>
              <w:left w:val="nil"/>
              <w:bottom w:val="single" w:sz="4" w:space="0" w:color="auto"/>
              <w:right w:val="single" w:sz="4" w:space="0" w:color="auto"/>
            </w:tcBorders>
            <w:noWrap/>
            <w:vAlign w:val="center"/>
            <w:hideMark/>
          </w:tcPr>
          <w:p w:rsidR="000D5DB1" w:rsidRPr="00A0226F" w:rsidRDefault="000D5DB1" w:rsidP="00A0226F">
            <w:pPr>
              <w:pStyle w:val="Tabletext"/>
              <w:rPr>
                <w:sz w:val="20"/>
                <w:lang w:val="en-US" w:eastAsia="zh-CN"/>
              </w:rPr>
            </w:pPr>
            <w:r w:rsidRPr="00A0226F">
              <w:rPr>
                <w:sz w:val="20"/>
                <w:lang w:val="en-US" w:eastAsia="zh-CN"/>
              </w:rPr>
              <w:t>Yerev</w:t>
            </w:r>
            <w:r w:rsidR="004F3B96" w:rsidRPr="00A0226F">
              <w:rPr>
                <w:sz w:val="20"/>
                <w:lang w:val="en-US" w:eastAsia="zh-CN"/>
              </w:rPr>
              <w:t>á</w:t>
            </w:r>
            <w:r w:rsidRPr="00A0226F">
              <w:rPr>
                <w:sz w:val="20"/>
                <w:lang w:val="en-US" w:eastAsia="zh-CN"/>
              </w:rPr>
              <w:t>n</w:t>
            </w:r>
          </w:p>
        </w:tc>
      </w:tr>
      <w:tr w:rsidR="000D5DB1" w:rsidTr="003247B9">
        <w:trPr>
          <w:trHeight w:val="214"/>
        </w:trPr>
        <w:tc>
          <w:tcPr>
            <w:tcW w:w="5827" w:type="dxa"/>
            <w:tcBorders>
              <w:top w:val="nil"/>
              <w:left w:val="single" w:sz="4" w:space="0" w:color="auto"/>
              <w:bottom w:val="nil"/>
              <w:right w:val="single" w:sz="4" w:space="0" w:color="auto"/>
            </w:tcBorders>
            <w:noWrap/>
            <w:vAlign w:val="bottom"/>
            <w:hideMark/>
          </w:tcPr>
          <w:p w:rsidR="000D5DB1" w:rsidRPr="00A0226F" w:rsidRDefault="00A47A5A" w:rsidP="00A0226F">
            <w:pPr>
              <w:pStyle w:val="Tabletext"/>
              <w:rPr>
                <w:sz w:val="20"/>
                <w:lang w:eastAsia="zh-CN"/>
              </w:rPr>
            </w:pPr>
            <w:r w:rsidRPr="00A0226F">
              <w:rPr>
                <w:sz w:val="20"/>
                <w:lang w:eastAsia="zh-CN"/>
              </w:rPr>
              <w:t xml:space="preserve">XXII Reunión de PCC.II de </w:t>
            </w:r>
            <w:r w:rsidR="005075FA" w:rsidRPr="00A0226F">
              <w:rPr>
                <w:sz w:val="20"/>
                <w:lang w:eastAsia="zh-CN"/>
              </w:rPr>
              <w:t xml:space="preserve">la </w:t>
            </w:r>
            <w:r w:rsidRPr="00A0226F">
              <w:rPr>
                <w:sz w:val="20"/>
                <w:lang w:eastAsia="zh-CN"/>
              </w:rPr>
              <w:t>CITEL</w:t>
            </w:r>
          </w:p>
        </w:tc>
        <w:tc>
          <w:tcPr>
            <w:tcW w:w="1276"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04/11/13</w:t>
            </w:r>
          </w:p>
        </w:tc>
        <w:tc>
          <w:tcPr>
            <w:tcW w:w="992" w:type="dxa"/>
            <w:tcBorders>
              <w:top w:val="nil"/>
              <w:left w:val="nil"/>
              <w:bottom w:val="nil"/>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08/11/13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 xml:space="preserve">Managua </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A47A5A" w:rsidP="00A0226F">
            <w:pPr>
              <w:pStyle w:val="Tabletext"/>
              <w:rPr>
                <w:sz w:val="20"/>
                <w:lang w:eastAsia="zh-CN"/>
              </w:rPr>
            </w:pPr>
            <w:r w:rsidRPr="00A0226F">
              <w:rPr>
                <w:sz w:val="20"/>
                <w:lang w:eastAsia="zh-CN"/>
              </w:rPr>
              <w:t xml:space="preserve">12ª </w:t>
            </w:r>
            <w:r w:rsidR="00870A8C" w:rsidRPr="00A0226F">
              <w:rPr>
                <w:sz w:val="20"/>
                <w:lang w:eastAsia="zh-CN"/>
              </w:rPr>
              <w:t xml:space="preserve">Reunión del Grupo ECC </w:t>
            </w:r>
            <w:r w:rsidRPr="00A0226F">
              <w:rPr>
                <w:sz w:val="20"/>
                <w:lang w:eastAsia="zh-CN"/>
              </w:rPr>
              <w:t>FM 49</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12/11/13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Driebergen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A47A5A" w:rsidP="001A35D4">
            <w:pPr>
              <w:pStyle w:val="Tabletext"/>
              <w:rPr>
                <w:sz w:val="20"/>
                <w:lang w:eastAsia="zh-CN"/>
              </w:rPr>
            </w:pPr>
            <w:r w:rsidRPr="00A0226F">
              <w:rPr>
                <w:sz w:val="20"/>
                <w:lang w:eastAsia="zh-CN"/>
              </w:rPr>
              <w:t xml:space="preserve">Asamblea General de la ETSI y Cumbre de la ETSI </w:t>
            </w:r>
            <w:r w:rsidR="009E6DEF" w:rsidRPr="00A0226F">
              <w:rPr>
                <w:sz w:val="20"/>
                <w:lang w:eastAsia="zh-CN"/>
              </w:rPr>
              <w:t xml:space="preserve">sobre </w:t>
            </w:r>
            <w:r w:rsidR="001A35D4">
              <w:rPr>
                <w:sz w:val="20"/>
                <w:lang w:eastAsia="zh-CN"/>
              </w:rPr>
              <w:t>F</w:t>
            </w:r>
            <w:r w:rsidRPr="00A0226F">
              <w:rPr>
                <w:sz w:val="20"/>
                <w:lang w:eastAsia="zh-CN"/>
              </w:rPr>
              <w:t xml:space="preserve">uturas </w:t>
            </w:r>
            <w:r w:rsidR="009E6DEF" w:rsidRPr="00A0226F">
              <w:rPr>
                <w:sz w:val="20"/>
                <w:lang w:eastAsia="zh-CN"/>
              </w:rPr>
              <w:t>c</w:t>
            </w:r>
            <w:r w:rsidRPr="00A0226F">
              <w:rPr>
                <w:sz w:val="20"/>
                <w:lang w:eastAsia="zh-CN"/>
              </w:rPr>
              <w:t xml:space="preserve">omunicaciones </w:t>
            </w:r>
            <w:r w:rsidR="009E6DEF" w:rsidRPr="00A0226F">
              <w:rPr>
                <w:sz w:val="20"/>
                <w:lang w:eastAsia="zh-CN"/>
              </w:rPr>
              <w:t>m</w:t>
            </w:r>
            <w:r w:rsidRPr="00A0226F">
              <w:rPr>
                <w:sz w:val="20"/>
                <w:lang w:eastAsia="zh-CN"/>
              </w:rPr>
              <w:t xml:space="preserve">óviles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19/11/13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21/11/13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Mandelieu</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center"/>
            <w:hideMark/>
          </w:tcPr>
          <w:p w:rsidR="000D5DB1" w:rsidRPr="00A0226F" w:rsidRDefault="0024525C" w:rsidP="00A0226F">
            <w:pPr>
              <w:pStyle w:val="Tabletext"/>
              <w:rPr>
                <w:sz w:val="20"/>
                <w:lang w:eastAsia="zh-CN"/>
              </w:rPr>
            </w:pPr>
            <w:r w:rsidRPr="00A0226F">
              <w:rPr>
                <w:sz w:val="20"/>
                <w:lang w:val="en-US" w:eastAsia="zh-CN"/>
              </w:rPr>
              <w:t>CEPT/ECC Civil-Militar</w:t>
            </w:r>
          </w:p>
        </w:tc>
        <w:tc>
          <w:tcPr>
            <w:tcW w:w="1276"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26/11/13</w:t>
            </w:r>
          </w:p>
        </w:tc>
        <w:tc>
          <w:tcPr>
            <w:tcW w:w="992"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27/11/13</w:t>
            </w:r>
          </w:p>
        </w:tc>
        <w:tc>
          <w:tcPr>
            <w:tcW w:w="1415"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Dubl</w:t>
            </w:r>
            <w:r w:rsidR="004F3B96" w:rsidRPr="00A0226F">
              <w:rPr>
                <w:sz w:val="20"/>
                <w:lang w:val="en-US" w:eastAsia="zh-CN"/>
              </w:rPr>
              <w:t>í</w:t>
            </w:r>
            <w:r w:rsidRPr="00A0226F">
              <w:rPr>
                <w:sz w:val="20"/>
                <w:lang w:val="en-US" w:eastAsia="zh-CN"/>
              </w:rPr>
              <w:t>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53A4B" w:rsidP="00A0226F">
            <w:pPr>
              <w:pStyle w:val="Tabletext"/>
              <w:rPr>
                <w:sz w:val="20"/>
                <w:lang w:eastAsia="zh-CN"/>
              </w:rPr>
            </w:pPr>
            <w:r w:rsidRPr="00A0226F">
              <w:rPr>
                <w:sz w:val="20"/>
                <w:lang w:eastAsia="zh-CN"/>
              </w:rPr>
              <w:t xml:space="preserve">13ª </w:t>
            </w:r>
            <w:r w:rsidR="00870A8C" w:rsidRPr="00A0226F">
              <w:rPr>
                <w:sz w:val="20"/>
                <w:lang w:eastAsia="zh-CN"/>
              </w:rPr>
              <w:t xml:space="preserve">Reunión del Grupo ECC </w:t>
            </w:r>
            <w:r w:rsidRPr="00A0226F">
              <w:rPr>
                <w:sz w:val="20"/>
                <w:lang w:eastAsia="zh-CN"/>
              </w:rPr>
              <w:t>FM 49</w:t>
            </w:r>
          </w:p>
        </w:tc>
        <w:tc>
          <w:tcPr>
            <w:tcW w:w="1276"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03/12/13</w:t>
            </w:r>
          </w:p>
        </w:tc>
        <w:tc>
          <w:tcPr>
            <w:tcW w:w="992"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05/12/13</w:t>
            </w:r>
          </w:p>
        </w:tc>
        <w:tc>
          <w:tcPr>
            <w:tcW w:w="1415"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Copenhag</w:t>
            </w:r>
            <w:r w:rsidR="004F3B96" w:rsidRPr="00A0226F">
              <w:rPr>
                <w:sz w:val="20"/>
                <w:lang w:val="en-US" w:eastAsia="zh-CN"/>
              </w:rPr>
              <w:t>ue</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D5DB1" w:rsidRPr="00A0226F" w:rsidRDefault="000D5DB1" w:rsidP="00A0226F">
            <w:pPr>
              <w:pStyle w:val="Tabletext"/>
              <w:keepNext/>
              <w:keepLines/>
              <w:rPr>
                <w:sz w:val="20"/>
                <w:lang w:eastAsia="zh-CN"/>
              </w:rPr>
            </w:pPr>
            <w:r w:rsidRPr="00A0226F">
              <w:rPr>
                <w:sz w:val="20"/>
                <w:lang w:eastAsia="zh-CN"/>
              </w:rPr>
              <w:t>CONFERENC</w:t>
            </w:r>
            <w:r w:rsidR="006A4D7C" w:rsidRPr="00A0226F">
              <w:rPr>
                <w:sz w:val="20"/>
                <w:lang w:eastAsia="zh-CN"/>
              </w:rPr>
              <w:t>IAS Y SIMPOSIOS NO ORGANIZADOS POR LA UIT</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D5DB1" w:rsidRPr="00A0226F" w:rsidRDefault="000D5DB1" w:rsidP="00A0226F">
            <w:pPr>
              <w:pStyle w:val="Tabletext"/>
              <w:rPr>
                <w:sz w:val="20"/>
                <w:lang w:eastAsia="zh-CN"/>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D5DB1" w:rsidRPr="00A0226F" w:rsidRDefault="000D5DB1" w:rsidP="00A0226F">
            <w:pPr>
              <w:pStyle w:val="Tabletext"/>
              <w:rPr>
                <w:sz w:val="20"/>
                <w:lang w:eastAsia="zh-CN"/>
              </w:rPr>
            </w:pP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D5DB1" w:rsidRPr="00A0226F" w:rsidRDefault="000D5DB1" w:rsidP="00A0226F">
            <w:pPr>
              <w:pStyle w:val="Tabletext"/>
              <w:rPr>
                <w:sz w:val="20"/>
                <w:lang w:eastAsia="zh-CN"/>
              </w:rPr>
            </w:pP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5DB1" w:rsidRPr="00A0226F" w:rsidRDefault="00912641" w:rsidP="001A35D4">
            <w:pPr>
              <w:pStyle w:val="Tabletext"/>
              <w:rPr>
                <w:sz w:val="20"/>
                <w:lang w:eastAsia="zh-CN"/>
              </w:rPr>
            </w:pPr>
            <w:r w:rsidRPr="00A0226F">
              <w:rPr>
                <w:sz w:val="20"/>
                <w:lang w:eastAsia="zh-CN"/>
              </w:rPr>
              <w:t xml:space="preserve">Taller </w:t>
            </w:r>
            <w:r w:rsidR="00A36A86" w:rsidRPr="00A0226F">
              <w:rPr>
                <w:sz w:val="20"/>
                <w:lang w:eastAsia="zh-CN"/>
              </w:rPr>
              <w:t xml:space="preserve">de Eutelsat </w:t>
            </w:r>
            <w:r w:rsidR="00BE554D" w:rsidRPr="00A0226F">
              <w:rPr>
                <w:sz w:val="20"/>
                <w:lang w:eastAsia="zh-CN"/>
              </w:rPr>
              <w:t xml:space="preserve">sobre </w:t>
            </w:r>
            <w:r w:rsidR="001A35D4">
              <w:rPr>
                <w:sz w:val="20"/>
                <w:lang w:eastAsia="zh-CN"/>
              </w:rPr>
              <w:t>I</w:t>
            </w:r>
            <w:r w:rsidR="00BE554D" w:rsidRPr="00A0226F">
              <w:rPr>
                <w:sz w:val="20"/>
                <w:lang w:eastAsia="zh-CN"/>
              </w:rPr>
              <w:t>nterferencias d</w:t>
            </w:r>
            <w:r w:rsidRPr="00A0226F">
              <w:rPr>
                <w:sz w:val="20"/>
                <w:lang w:eastAsia="zh-CN"/>
              </w:rPr>
              <w:t xml:space="preserve">eliberadas </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18/01/13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18/01/13</w:t>
            </w:r>
          </w:p>
        </w:tc>
        <w:tc>
          <w:tcPr>
            <w:tcW w:w="1415" w:type="dxa"/>
            <w:tcBorders>
              <w:top w:val="single" w:sz="4" w:space="0" w:color="auto"/>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Par</w:t>
            </w:r>
            <w:r w:rsidR="004F3B96" w:rsidRPr="00A0226F">
              <w:rPr>
                <w:sz w:val="20"/>
                <w:lang w:val="en-US" w:eastAsia="zh-CN"/>
              </w:rPr>
              <w:t>í</w:t>
            </w:r>
            <w:r w:rsidRPr="00A0226F">
              <w:rPr>
                <w:sz w:val="20"/>
                <w:lang w:val="en-US" w:eastAsia="zh-CN"/>
              </w:rPr>
              <w:t>s</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912641" w:rsidP="00A0226F">
            <w:pPr>
              <w:pStyle w:val="Tabletext"/>
              <w:rPr>
                <w:sz w:val="20"/>
                <w:lang w:eastAsia="zh-CN"/>
              </w:rPr>
            </w:pPr>
            <w:r w:rsidRPr="00A0226F">
              <w:rPr>
                <w:sz w:val="20"/>
                <w:lang w:eastAsia="zh-CN"/>
              </w:rPr>
              <w:lastRenderedPageBreak/>
              <w:t>10ª Conferencia Mundial sobre Coordinación de la Radiodifusión en Ondas Cortas</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30/01/13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31/01/13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Túnez</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912641" w:rsidP="001A35D4">
            <w:pPr>
              <w:pStyle w:val="Tabletext"/>
              <w:rPr>
                <w:sz w:val="20"/>
                <w:u w:val="single"/>
                <w:lang w:eastAsia="zh-CN"/>
              </w:rPr>
            </w:pPr>
            <w:r w:rsidRPr="00A0226F">
              <w:rPr>
                <w:sz w:val="20"/>
                <w:lang w:eastAsia="zh-CN"/>
              </w:rPr>
              <w:t xml:space="preserve">UEFA/UIT: </w:t>
            </w:r>
            <w:r w:rsidR="001A35D4">
              <w:rPr>
                <w:sz w:val="20"/>
                <w:lang w:eastAsia="zh-CN"/>
              </w:rPr>
              <w:t>P</w:t>
            </w:r>
            <w:r w:rsidRPr="00A0226F">
              <w:rPr>
                <w:sz w:val="20"/>
                <w:lang w:eastAsia="zh-CN"/>
              </w:rPr>
              <w:t xml:space="preserve">romover la integración de características de accesibilidad en la radiodifusión de televisión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31/01/13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31/01/13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Nyon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912641" w:rsidP="00A0226F">
            <w:pPr>
              <w:pStyle w:val="Tabletext"/>
              <w:rPr>
                <w:sz w:val="20"/>
                <w:lang w:eastAsia="zh-CN"/>
              </w:rPr>
            </w:pPr>
            <w:r w:rsidRPr="00A0226F">
              <w:rPr>
                <w:sz w:val="20"/>
                <w:lang w:eastAsia="zh-CN"/>
              </w:rPr>
              <w:t>2ª Conferencia de la IAA</w:t>
            </w:r>
            <w:r w:rsidR="00BE554D" w:rsidRPr="00A0226F">
              <w:rPr>
                <w:sz w:val="20"/>
                <w:lang w:eastAsia="zh-CN"/>
              </w:rPr>
              <w:t xml:space="preserve"> sobre M</w:t>
            </w:r>
            <w:r w:rsidRPr="00A0226F">
              <w:rPr>
                <w:sz w:val="20"/>
                <w:lang w:eastAsia="zh-CN"/>
              </w:rPr>
              <w:t xml:space="preserve">isiones de Satélites </w:t>
            </w:r>
            <w:r w:rsidR="00A36A86" w:rsidRPr="00A0226F">
              <w:rPr>
                <w:sz w:val="20"/>
                <w:lang w:eastAsia="zh-CN"/>
              </w:rPr>
              <w:t xml:space="preserve">Universitarios </w:t>
            </w:r>
            <w:r w:rsidRPr="00A0226F">
              <w:rPr>
                <w:sz w:val="20"/>
                <w:lang w:eastAsia="zh-CN"/>
              </w:rPr>
              <w:t>y Taller Cubesat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06/02/13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07/02/13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Roma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center"/>
            <w:hideMark/>
          </w:tcPr>
          <w:p w:rsidR="000D5DB1" w:rsidRPr="00A0226F" w:rsidRDefault="0024503B" w:rsidP="001A35D4">
            <w:pPr>
              <w:pStyle w:val="Tabletext"/>
              <w:rPr>
                <w:sz w:val="20"/>
                <w:lang w:eastAsia="zh-CN"/>
              </w:rPr>
            </w:pPr>
            <w:r w:rsidRPr="00A0226F">
              <w:rPr>
                <w:sz w:val="20"/>
                <w:lang w:eastAsia="zh-CN"/>
              </w:rPr>
              <w:t xml:space="preserve">8º Foro </w:t>
            </w:r>
            <w:r w:rsidR="001A35D4">
              <w:rPr>
                <w:sz w:val="20"/>
                <w:lang w:eastAsia="zh-CN"/>
              </w:rPr>
              <w:t>A</w:t>
            </w:r>
            <w:r w:rsidRPr="00A0226F">
              <w:rPr>
                <w:sz w:val="20"/>
                <w:lang w:eastAsia="zh-CN"/>
              </w:rPr>
              <w:t xml:space="preserve">nual sobre el </w:t>
            </w:r>
            <w:r w:rsidR="001A35D4">
              <w:rPr>
                <w:sz w:val="20"/>
                <w:lang w:eastAsia="zh-CN"/>
              </w:rPr>
              <w:t>P</w:t>
            </w:r>
            <w:r w:rsidRPr="00A0226F">
              <w:rPr>
                <w:sz w:val="20"/>
                <w:lang w:eastAsia="zh-CN"/>
              </w:rPr>
              <w:t xml:space="preserve">aso a la </w:t>
            </w:r>
            <w:r w:rsidR="001A35D4">
              <w:rPr>
                <w:sz w:val="20"/>
                <w:lang w:eastAsia="zh-CN"/>
              </w:rPr>
              <w:t>R</w:t>
            </w:r>
            <w:r w:rsidR="008410D7" w:rsidRPr="00A0226F">
              <w:rPr>
                <w:sz w:val="20"/>
                <w:lang w:eastAsia="zh-CN"/>
              </w:rPr>
              <w:t>adiodifusión</w:t>
            </w:r>
            <w:r w:rsidRPr="00A0226F">
              <w:rPr>
                <w:sz w:val="20"/>
                <w:lang w:eastAsia="zh-CN"/>
              </w:rPr>
              <w:t xml:space="preserve"> </w:t>
            </w:r>
            <w:r w:rsidR="001A35D4">
              <w:rPr>
                <w:sz w:val="20"/>
                <w:lang w:eastAsia="zh-CN"/>
              </w:rPr>
              <w:t>D</w:t>
            </w:r>
            <w:r w:rsidRPr="00A0226F">
              <w:rPr>
                <w:sz w:val="20"/>
                <w:lang w:eastAsia="zh-CN"/>
              </w:rPr>
              <w:t>igital (DBSF) de la CTO</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11/02/13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13/02/13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Johannesburg</w:t>
            </w:r>
            <w:r w:rsidR="004F3B96" w:rsidRPr="00A0226F">
              <w:rPr>
                <w:sz w:val="20"/>
                <w:lang w:val="en-US" w:eastAsia="zh-CN"/>
              </w:rPr>
              <w:t>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F24E25" w:rsidP="00A0226F">
            <w:pPr>
              <w:pStyle w:val="Tabletext"/>
              <w:rPr>
                <w:sz w:val="20"/>
                <w:lang w:eastAsia="zh-CN"/>
              </w:rPr>
            </w:pPr>
            <w:r w:rsidRPr="00A0226F">
              <w:rPr>
                <w:sz w:val="20"/>
                <w:lang w:eastAsia="zh-CN"/>
              </w:rPr>
              <w:t>Ceremonia del Día Mundial de la</w:t>
            </w:r>
            <w:r w:rsidR="00A36A86" w:rsidRPr="00A0226F">
              <w:rPr>
                <w:sz w:val="20"/>
                <w:lang w:eastAsia="zh-CN"/>
              </w:rPr>
              <w:t>s</w:t>
            </w:r>
            <w:r w:rsidRPr="00A0226F">
              <w:rPr>
                <w:sz w:val="20"/>
                <w:lang w:eastAsia="zh-CN"/>
              </w:rPr>
              <w:t xml:space="preserve"> Radio</w:t>
            </w:r>
            <w:r w:rsidR="00A36A86" w:rsidRPr="00A0226F">
              <w:rPr>
                <w:sz w:val="20"/>
                <w:lang w:eastAsia="zh-CN"/>
              </w:rPr>
              <w:t>comunicaciones</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13/02/13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13/02/13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Madrid</w:t>
            </w:r>
          </w:p>
        </w:tc>
      </w:tr>
      <w:tr w:rsidR="000D5DB1" w:rsidTr="003247B9">
        <w:trPr>
          <w:trHeight w:val="214"/>
        </w:trPr>
        <w:tc>
          <w:tcPr>
            <w:tcW w:w="5827" w:type="dxa"/>
            <w:tcBorders>
              <w:top w:val="nil"/>
              <w:left w:val="single" w:sz="4" w:space="0" w:color="auto"/>
              <w:bottom w:val="nil"/>
              <w:right w:val="single" w:sz="4" w:space="0" w:color="auto"/>
            </w:tcBorders>
            <w:shd w:val="clear" w:color="auto" w:fill="FFFFFF"/>
            <w:noWrap/>
            <w:vAlign w:val="bottom"/>
            <w:hideMark/>
          </w:tcPr>
          <w:p w:rsidR="000D5DB1" w:rsidRPr="00A0226F" w:rsidRDefault="0024503B" w:rsidP="00A0226F">
            <w:pPr>
              <w:pStyle w:val="Tabletext"/>
              <w:rPr>
                <w:sz w:val="20"/>
                <w:lang w:eastAsia="zh-CN"/>
              </w:rPr>
            </w:pPr>
            <w:r w:rsidRPr="00A0226F">
              <w:rPr>
                <w:sz w:val="20"/>
                <w:lang w:eastAsia="zh-CN"/>
              </w:rPr>
              <w:t xml:space="preserve">Día de las Radiocomunicaciones </w:t>
            </w:r>
            <w:r w:rsidR="00A36A86" w:rsidRPr="00A0226F">
              <w:rPr>
                <w:sz w:val="20"/>
                <w:lang w:eastAsia="zh-CN"/>
              </w:rPr>
              <w:t xml:space="preserve">en los países </w:t>
            </w:r>
            <w:r w:rsidRPr="00A0226F">
              <w:rPr>
                <w:sz w:val="20"/>
                <w:lang w:eastAsia="zh-CN"/>
              </w:rPr>
              <w:t>de Europa Central (CERD)</w:t>
            </w:r>
          </w:p>
        </w:tc>
        <w:tc>
          <w:tcPr>
            <w:tcW w:w="1276" w:type="dxa"/>
            <w:tcBorders>
              <w:top w:val="nil"/>
              <w:left w:val="nil"/>
              <w:bottom w:val="nil"/>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21/02/13</w:t>
            </w:r>
          </w:p>
        </w:tc>
        <w:tc>
          <w:tcPr>
            <w:tcW w:w="992" w:type="dxa"/>
            <w:tcBorders>
              <w:top w:val="nil"/>
              <w:left w:val="nil"/>
              <w:bottom w:val="nil"/>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22/02/13</w:t>
            </w:r>
          </w:p>
        </w:tc>
        <w:tc>
          <w:tcPr>
            <w:tcW w:w="1415" w:type="dxa"/>
            <w:tcBorders>
              <w:top w:val="nil"/>
              <w:left w:val="nil"/>
              <w:bottom w:val="nil"/>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Bratislava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A36A86" w:rsidP="00A0226F">
            <w:pPr>
              <w:pStyle w:val="Tabletext"/>
              <w:rPr>
                <w:sz w:val="20"/>
                <w:lang w:val="en-US" w:eastAsia="zh-CN"/>
              </w:rPr>
            </w:pPr>
            <w:r w:rsidRPr="00A0226F">
              <w:rPr>
                <w:sz w:val="20"/>
                <w:lang w:val="en-US" w:eastAsia="zh-CN"/>
              </w:rPr>
              <w:t xml:space="preserve">GSMA </w:t>
            </w:r>
            <w:r w:rsidR="00A0226F" w:rsidRPr="00A0226F">
              <w:rPr>
                <w:sz w:val="20"/>
                <w:lang w:val="en-US" w:eastAsia="zh-CN"/>
              </w:rPr>
              <w:t>–</w:t>
            </w:r>
            <w:r w:rsidRPr="00A0226F">
              <w:rPr>
                <w:sz w:val="20"/>
                <w:lang w:val="en-US" w:eastAsia="zh-CN"/>
              </w:rPr>
              <w:t xml:space="preserve"> Mobile World Congress (MWC-2013</w:t>
            </w:r>
            <w:r w:rsidR="0024503B" w:rsidRPr="00A0226F">
              <w:rPr>
                <w:sz w:val="20"/>
                <w:lang w:val="en-US" w:eastAsia="zh-CN"/>
              </w:rPr>
              <w:t xml:space="preserve"> </w:t>
            </w:r>
            <w:r w:rsidR="007A5260" w:rsidRPr="007A5260">
              <w:rPr>
                <w:sz w:val="20"/>
                <w:lang w:val="en-US" w:eastAsia="zh-CN"/>
              </w:rPr>
              <w:t>–</w:t>
            </w:r>
            <w:r w:rsidR="0024503B" w:rsidRPr="00A0226F">
              <w:rPr>
                <w:sz w:val="20"/>
                <w:lang w:val="en-US" w:eastAsia="zh-CN"/>
              </w:rPr>
              <w:t xml:space="preserve"> Programa Ministerial</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26/02/13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26/02/13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Barcelona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A36A86" w:rsidP="00A0226F">
            <w:pPr>
              <w:pStyle w:val="Tabletext"/>
              <w:rPr>
                <w:sz w:val="20"/>
                <w:lang w:val="en-US" w:eastAsia="zh-CN"/>
              </w:rPr>
            </w:pPr>
            <w:r w:rsidRPr="00A0226F">
              <w:rPr>
                <w:sz w:val="20"/>
                <w:lang w:val="en-US" w:eastAsia="zh-CN"/>
              </w:rPr>
              <w:t xml:space="preserve">GSMA </w:t>
            </w:r>
            <w:r w:rsidR="00A0226F" w:rsidRPr="00A0226F">
              <w:rPr>
                <w:sz w:val="20"/>
                <w:lang w:val="en-US" w:eastAsia="zh-CN"/>
              </w:rPr>
              <w:t>–</w:t>
            </w:r>
            <w:r w:rsidRPr="00A0226F">
              <w:rPr>
                <w:sz w:val="20"/>
                <w:lang w:val="en-US" w:eastAsia="zh-CN"/>
              </w:rPr>
              <w:t xml:space="preserve"> Mobile World Congress (MWC-2013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25/02/13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28/02/13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Barcelona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A2690" w:rsidP="00A0226F">
            <w:pPr>
              <w:pStyle w:val="Tabletext"/>
              <w:rPr>
                <w:sz w:val="20"/>
                <w:lang w:eastAsia="zh-CN"/>
              </w:rPr>
            </w:pPr>
            <w:r w:rsidRPr="00A0226F">
              <w:rPr>
                <w:sz w:val="20"/>
                <w:lang w:eastAsia="zh-CN"/>
              </w:rPr>
              <w:t>Conferencia Mundial 2013</w:t>
            </w:r>
            <w:r w:rsidR="00A36A86" w:rsidRPr="00A0226F">
              <w:rPr>
                <w:sz w:val="20"/>
                <w:lang w:eastAsia="zh-CN"/>
              </w:rPr>
              <w:t xml:space="preserve"> sobre Radiodifusión Videodigital</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11/03/13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13/03/13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Madrid</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GVF CABSAT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12/03/13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14/03/13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Dub</w:t>
            </w:r>
            <w:r w:rsidR="004F3B96" w:rsidRPr="00A0226F">
              <w:rPr>
                <w:sz w:val="20"/>
                <w:lang w:val="en-US" w:eastAsia="zh-CN"/>
              </w:rPr>
              <w:t>á</w:t>
            </w:r>
            <w:r w:rsidRPr="00A0226F">
              <w:rPr>
                <w:sz w:val="20"/>
                <w:lang w:val="en-US" w:eastAsia="zh-CN"/>
              </w:rPr>
              <w:t>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687FFC" w:rsidP="00A0226F">
            <w:pPr>
              <w:pStyle w:val="Tabletext"/>
              <w:rPr>
                <w:sz w:val="20"/>
                <w:lang w:eastAsia="zh-CN"/>
              </w:rPr>
            </w:pPr>
            <w:r w:rsidRPr="00A0226F">
              <w:rPr>
                <w:sz w:val="20"/>
                <w:lang w:eastAsia="zh-CN"/>
              </w:rPr>
              <w:t>1er Taller para la preparación de la CMR-2015 (APT/UIT-Fundación de la India)</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14/03/13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15/03/13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 xml:space="preserve">Nueva </w:t>
            </w:r>
            <w:r w:rsidR="000D5DB1" w:rsidRPr="00A0226F">
              <w:rPr>
                <w:sz w:val="20"/>
                <w:lang w:val="en-US" w:eastAsia="zh-CN"/>
              </w:rPr>
              <w:t>Delhi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687FFC" w:rsidP="00A0226F">
            <w:pPr>
              <w:pStyle w:val="Tabletext"/>
              <w:rPr>
                <w:sz w:val="20"/>
                <w:lang w:eastAsia="zh-CN"/>
              </w:rPr>
            </w:pPr>
            <w:r w:rsidRPr="00A0226F">
              <w:rPr>
                <w:sz w:val="20"/>
                <w:lang w:eastAsia="zh-CN"/>
              </w:rPr>
              <w:t xml:space="preserve">Centro Europeo de Derecho Espacial (ECSL) </w:t>
            </w:r>
            <w:r w:rsidR="007A5260">
              <w:rPr>
                <w:sz w:val="20"/>
                <w:lang w:eastAsia="zh-CN"/>
              </w:rPr>
              <w:t>–</w:t>
            </w:r>
            <w:r w:rsidR="00417235" w:rsidRPr="00A0226F">
              <w:rPr>
                <w:sz w:val="20"/>
                <w:lang w:eastAsia="zh-CN"/>
              </w:rPr>
              <w:t xml:space="preserve"> </w:t>
            </w:r>
            <w:r w:rsidR="00C5643D" w:rsidRPr="00A0226F">
              <w:rPr>
                <w:sz w:val="20"/>
                <w:lang w:eastAsia="zh-CN"/>
              </w:rPr>
              <w:t xml:space="preserve">Foro de Especialistas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15/03/13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15/03/13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Par</w:t>
            </w:r>
            <w:r w:rsidR="004F3B96" w:rsidRPr="00A0226F">
              <w:rPr>
                <w:sz w:val="20"/>
                <w:lang w:val="en-US" w:eastAsia="zh-CN"/>
              </w:rPr>
              <w:t>í</w:t>
            </w:r>
            <w:r w:rsidRPr="00A0226F">
              <w:rPr>
                <w:sz w:val="20"/>
                <w:lang w:val="en-US" w:eastAsia="zh-CN"/>
              </w:rPr>
              <w:t>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F8751A" w:rsidP="00A0226F">
            <w:pPr>
              <w:pStyle w:val="Tabletext"/>
              <w:rPr>
                <w:sz w:val="20"/>
                <w:lang w:eastAsia="zh-CN"/>
              </w:rPr>
            </w:pPr>
            <w:r w:rsidRPr="00A0226F">
              <w:rPr>
                <w:sz w:val="20"/>
                <w:lang w:eastAsia="zh-CN"/>
              </w:rPr>
              <w:t>6ª Reunión de la Asamble</w:t>
            </w:r>
            <w:r w:rsidR="00BA3B34" w:rsidRPr="00A0226F">
              <w:rPr>
                <w:sz w:val="20"/>
                <w:lang w:eastAsia="zh-CN"/>
              </w:rPr>
              <w:t>a</w:t>
            </w:r>
            <w:r w:rsidRPr="00A0226F">
              <w:rPr>
                <w:sz w:val="20"/>
                <w:lang w:eastAsia="zh-CN"/>
              </w:rPr>
              <w:t xml:space="preserve"> General de la Unión Africana de Radiodifusión</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18/03/13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19/03/13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Dakar</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C5643D" w:rsidP="001A35D4">
            <w:pPr>
              <w:pStyle w:val="Tabletext"/>
              <w:rPr>
                <w:sz w:val="20"/>
                <w:lang w:eastAsia="zh-CN"/>
              </w:rPr>
            </w:pPr>
            <w:r w:rsidRPr="00A0226F">
              <w:rPr>
                <w:sz w:val="20"/>
                <w:lang w:eastAsia="zh-CN"/>
              </w:rPr>
              <w:t xml:space="preserve">Taller </w:t>
            </w:r>
            <w:r w:rsidR="000D5DB1" w:rsidRPr="00A0226F">
              <w:rPr>
                <w:sz w:val="20"/>
                <w:lang w:eastAsia="zh-CN"/>
              </w:rPr>
              <w:t xml:space="preserve">ATU/Ericsson </w:t>
            </w:r>
            <w:r w:rsidR="00BA3B34" w:rsidRPr="00A0226F">
              <w:rPr>
                <w:sz w:val="20"/>
                <w:lang w:eastAsia="zh-CN"/>
              </w:rPr>
              <w:t>sobre</w:t>
            </w:r>
            <w:r w:rsidRPr="00A0226F">
              <w:rPr>
                <w:sz w:val="20"/>
                <w:lang w:eastAsia="zh-CN"/>
              </w:rPr>
              <w:t xml:space="preserve"> </w:t>
            </w:r>
            <w:r w:rsidR="001A35D4">
              <w:rPr>
                <w:sz w:val="20"/>
                <w:lang w:eastAsia="zh-CN"/>
              </w:rPr>
              <w:t>C</w:t>
            </w:r>
            <w:r w:rsidRPr="00A0226F">
              <w:rPr>
                <w:sz w:val="20"/>
                <w:lang w:eastAsia="zh-CN"/>
              </w:rPr>
              <w:t xml:space="preserve">uestiones relativas a los servicios </w:t>
            </w:r>
            <w:r w:rsidR="000F49AC" w:rsidRPr="00A0226F">
              <w:rPr>
                <w:sz w:val="20"/>
                <w:lang w:eastAsia="zh-CN"/>
              </w:rPr>
              <w:t>móvil</w:t>
            </w:r>
            <w:r w:rsidRPr="00A0226F">
              <w:rPr>
                <w:sz w:val="20"/>
                <w:lang w:eastAsia="zh-CN"/>
              </w:rPr>
              <w:t>es</w:t>
            </w:r>
            <w:r w:rsidR="000F49AC" w:rsidRPr="00A0226F">
              <w:rPr>
                <w:sz w:val="20"/>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21/03/13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21/03/13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Dakar</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C5643D" w:rsidP="001A35D4">
            <w:pPr>
              <w:pStyle w:val="Tabletext"/>
              <w:rPr>
                <w:sz w:val="20"/>
                <w:lang w:eastAsia="zh-CN"/>
              </w:rPr>
            </w:pPr>
            <w:r w:rsidRPr="00A0226F">
              <w:rPr>
                <w:sz w:val="20"/>
                <w:lang w:eastAsia="zh-CN"/>
              </w:rPr>
              <w:t xml:space="preserve">Taller </w:t>
            </w:r>
            <w:r w:rsidR="000D5DB1" w:rsidRPr="00A0226F">
              <w:rPr>
                <w:sz w:val="20"/>
                <w:lang w:eastAsia="zh-CN"/>
              </w:rPr>
              <w:t xml:space="preserve">ATU/ITSO </w:t>
            </w:r>
            <w:r w:rsidR="000F49AC" w:rsidRPr="00A0226F">
              <w:rPr>
                <w:sz w:val="20"/>
                <w:lang w:eastAsia="zh-CN"/>
              </w:rPr>
              <w:t xml:space="preserve">sobre </w:t>
            </w:r>
            <w:r w:rsidR="001A35D4">
              <w:rPr>
                <w:sz w:val="20"/>
                <w:lang w:eastAsia="zh-CN"/>
              </w:rPr>
              <w:t>C</w:t>
            </w:r>
            <w:r w:rsidR="000F49AC" w:rsidRPr="00A0226F">
              <w:rPr>
                <w:sz w:val="20"/>
                <w:lang w:eastAsia="zh-CN"/>
              </w:rPr>
              <w:t xml:space="preserve">uestiones relativas a los satélites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22/03/13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22/03/13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Dakar</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F49AC" w:rsidP="001A35D4">
            <w:pPr>
              <w:pStyle w:val="Tabletext"/>
              <w:rPr>
                <w:sz w:val="20"/>
                <w:lang w:eastAsia="zh-CN"/>
              </w:rPr>
            </w:pPr>
            <w:r w:rsidRPr="00A0226F">
              <w:rPr>
                <w:sz w:val="20"/>
                <w:lang w:eastAsia="zh-CN"/>
              </w:rPr>
              <w:t xml:space="preserve">9º Simposio de </w:t>
            </w:r>
            <w:r w:rsidR="0033453E" w:rsidRPr="00A0226F">
              <w:rPr>
                <w:sz w:val="20"/>
                <w:lang w:eastAsia="zh-CN"/>
              </w:rPr>
              <w:t xml:space="preserve">la </w:t>
            </w:r>
            <w:r w:rsidRPr="00A0226F">
              <w:rPr>
                <w:sz w:val="20"/>
                <w:lang w:eastAsia="zh-CN"/>
              </w:rPr>
              <w:t xml:space="preserve">IAA sobre </w:t>
            </w:r>
            <w:r w:rsidR="001A35D4">
              <w:rPr>
                <w:sz w:val="20"/>
                <w:lang w:eastAsia="zh-CN"/>
              </w:rPr>
              <w:t>P</w:t>
            </w:r>
            <w:r w:rsidR="00C5643D" w:rsidRPr="00A0226F">
              <w:rPr>
                <w:sz w:val="20"/>
                <w:lang w:eastAsia="zh-CN"/>
              </w:rPr>
              <w:t xml:space="preserve">equeños </w:t>
            </w:r>
            <w:r w:rsidR="00BE554D" w:rsidRPr="00A0226F">
              <w:rPr>
                <w:sz w:val="20"/>
                <w:lang w:eastAsia="zh-CN"/>
              </w:rPr>
              <w:t>s</w:t>
            </w:r>
            <w:r w:rsidRPr="00A0226F">
              <w:rPr>
                <w:sz w:val="20"/>
                <w:lang w:eastAsia="zh-CN"/>
              </w:rPr>
              <w:t xml:space="preserve">atélites para la </w:t>
            </w:r>
            <w:r w:rsidR="00BE554D" w:rsidRPr="00A0226F">
              <w:rPr>
                <w:sz w:val="20"/>
                <w:lang w:eastAsia="zh-CN"/>
              </w:rPr>
              <w:t>o</w:t>
            </w:r>
            <w:r w:rsidRPr="00A0226F">
              <w:rPr>
                <w:sz w:val="20"/>
                <w:lang w:eastAsia="zh-CN"/>
              </w:rPr>
              <w:t>bservación de la Tierra</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09/04/13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10/04/13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Berl</w:t>
            </w:r>
            <w:r w:rsidR="004F3B96" w:rsidRPr="00A0226F">
              <w:rPr>
                <w:sz w:val="20"/>
                <w:lang w:val="en-US" w:eastAsia="zh-CN"/>
              </w:rPr>
              <w:t>í</w:t>
            </w:r>
            <w:r w:rsidRPr="00A0226F">
              <w:rPr>
                <w:sz w:val="20"/>
                <w:lang w:val="en-US" w:eastAsia="zh-CN"/>
              </w:rPr>
              <w:t>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eastAsia="zh-CN"/>
              </w:rPr>
            </w:pPr>
            <w:r w:rsidRPr="00A0226F">
              <w:rPr>
                <w:sz w:val="20"/>
                <w:lang w:eastAsia="zh-CN"/>
              </w:rPr>
              <w:t>Institut</w:t>
            </w:r>
            <w:r w:rsidR="00C5643D" w:rsidRPr="00A0226F">
              <w:rPr>
                <w:sz w:val="20"/>
                <w:lang w:eastAsia="zh-CN"/>
              </w:rPr>
              <w:t xml:space="preserve">o de </w:t>
            </w:r>
            <w:r w:rsidRPr="00A0226F">
              <w:rPr>
                <w:sz w:val="20"/>
                <w:lang w:eastAsia="zh-CN"/>
              </w:rPr>
              <w:t>Nav</w:t>
            </w:r>
            <w:r w:rsidR="009342D1" w:rsidRPr="00A0226F">
              <w:rPr>
                <w:sz w:val="20"/>
                <w:lang w:eastAsia="zh-CN"/>
              </w:rPr>
              <w:t>e</w:t>
            </w:r>
            <w:r w:rsidRPr="00A0226F">
              <w:rPr>
                <w:sz w:val="20"/>
                <w:lang w:eastAsia="zh-CN"/>
              </w:rPr>
              <w:t>ga</w:t>
            </w:r>
            <w:r w:rsidR="009342D1" w:rsidRPr="00A0226F">
              <w:rPr>
                <w:sz w:val="20"/>
                <w:lang w:eastAsia="zh-CN"/>
              </w:rPr>
              <w:t>ció</w:t>
            </w:r>
            <w:r w:rsidRPr="00A0226F">
              <w:rPr>
                <w:sz w:val="20"/>
                <w:lang w:eastAsia="zh-CN"/>
              </w:rPr>
              <w:t xml:space="preserve">n (ION) </w:t>
            </w:r>
            <w:r w:rsidR="00A0226F">
              <w:rPr>
                <w:sz w:val="20"/>
                <w:lang w:eastAsia="zh-CN"/>
              </w:rPr>
              <w:t>–</w:t>
            </w:r>
            <w:r w:rsidR="009342D1" w:rsidRPr="00A0226F">
              <w:rPr>
                <w:sz w:val="20"/>
                <w:lang w:eastAsia="zh-CN"/>
              </w:rPr>
              <w:t xml:space="preserve"> Reunión </w:t>
            </w:r>
            <w:r w:rsidRPr="00A0226F">
              <w:rPr>
                <w:sz w:val="20"/>
                <w:lang w:eastAsia="zh-CN"/>
              </w:rPr>
              <w:t xml:space="preserve">PNT-13 </w:t>
            </w:r>
            <w:r w:rsidR="00C5643D" w:rsidRPr="00A0226F">
              <w:rPr>
                <w:sz w:val="20"/>
                <w:lang w:eastAsia="zh-CN"/>
              </w:rPr>
              <w:t>para el Pacífico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22/04/13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25/04/13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Hawa</w:t>
            </w:r>
            <w:r w:rsidR="009342D1" w:rsidRPr="00A0226F">
              <w:rPr>
                <w:sz w:val="20"/>
                <w:lang w:val="en-US" w:eastAsia="zh-CN"/>
              </w:rPr>
              <w:t>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BE554D" w:rsidP="001A35D4">
            <w:pPr>
              <w:pStyle w:val="Tabletext"/>
              <w:rPr>
                <w:sz w:val="20"/>
                <w:lang w:eastAsia="zh-CN"/>
              </w:rPr>
            </w:pPr>
            <w:r w:rsidRPr="00A0226F">
              <w:rPr>
                <w:sz w:val="20"/>
                <w:lang w:eastAsia="zh-CN"/>
              </w:rPr>
              <w:t xml:space="preserve">10º Taller </w:t>
            </w:r>
            <w:r w:rsidR="001A35D4">
              <w:rPr>
                <w:sz w:val="20"/>
                <w:lang w:eastAsia="zh-CN"/>
              </w:rPr>
              <w:t>A</w:t>
            </w:r>
            <w:r w:rsidRPr="00A0226F">
              <w:rPr>
                <w:sz w:val="20"/>
                <w:lang w:eastAsia="zh-CN"/>
              </w:rPr>
              <w:t xml:space="preserve">nual sobre </w:t>
            </w:r>
            <w:r w:rsidR="001A35D4">
              <w:rPr>
                <w:sz w:val="20"/>
                <w:lang w:eastAsia="zh-CN"/>
              </w:rPr>
              <w:t>D</w:t>
            </w:r>
            <w:r w:rsidR="00203F1E" w:rsidRPr="00A0226F">
              <w:rPr>
                <w:sz w:val="20"/>
                <w:lang w:eastAsia="zh-CN"/>
              </w:rPr>
              <w:t>iseñadores de CubeSat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26/04/13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26/04/13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San Luis Obispo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eastAsia="zh-CN"/>
              </w:rPr>
            </w:pPr>
            <w:r w:rsidRPr="00A0226F">
              <w:rPr>
                <w:sz w:val="20"/>
                <w:lang w:eastAsia="zh-CN"/>
              </w:rPr>
              <w:t>Institut</w:t>
            </w:r>
            <w:r w:rsidR="00203F1E" w:rsidRPr="00A0226F">
              <w:rPr>
                <w:sz w:val="20"/>
                <w:lang w:eastAsia="zh-CN"/>
              </w:rPr>
              <w:t>o Francés de Relaciones I</w:t>
            </w:r>
            <w:r w:rsidRPr="00A0226F">
              <w:rPr>
                <w:sz w:val="20"/>
                <w:lang w:eastAsia="zh-CN"/>
              </w:rPr>
              <w:t>nterna</w:t>
            </w:r>
            <w:r w:rsidR="00203F1E" w:rsidRPr="00A0226F">
              <w:rPr>
                <w:sz w:val="20"/>
                <w:lang w:eastAsia="zh-CN"/>
              </w:rPr>
              <w:t>c</w:t>
            </w:r>
            <w:r w:rsidRPr="00A0226F">
              <w:rPr>
                <w:sz w:val="20"/>
                <w:lang w:eastAsia="zh-CN"/>
              </w:rPr>
              <w:t>ionales (IFRI)</w:t>
            </w:r>
            <w:r w:rsidR="00203F1E" w:rsidRPr="00A0226F">
              <w:rPr>
                <w:sz w:val="20"/>
                <w:lang w:eastAsia="zh-CN"/>
              </w:rPr>
              <w:t xml:space="preserve"> </w:t>
            </w:r>
            <w:r w:rsidR="00A0226F">
              <w:rPr>
                <w:sz w:val="20"/>
                <w:lang w:eastAsia="zh-CN"/>
              </w:rPr>
              <w:t>–</w:t>
            </w:r>
            <w:r w:rsidR="00203F1E" w:rsidRPr="00A0226F">
              <w:rPr>
                <w:sz w:val="20"/>
                <w:lang w:eastAsia="zh-CN"/>
              </w:rPr>
              <w:t xml:space="preserve"> Seminario</w:t>
            </w:r>
            <w:r w:rsidR="00C5643D" w:rsidRPr="00A0226F">
              <w:rPr>
                <w:sz w:val="20"/>
                <w:lang w:eastAsia="zh-CN"/>
              </w:rPr>
              <w:t xml:space="preserve"> restringido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23/04/13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23/04/13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Par</w:t>
            </w:r>
            <w:r w:rsidR="004F3B96" w:rsidRPr="00A0226F">
              <w:rPr>
                <w:sz w:val="20"/>
                <w:lang w:val="en-US" w:eastAsia="zh-CN"/>
              </w:rPr>
              <w:t>í</w:t>
            </w:r>
            <w:r w:rsidRPr="00A0226F">
              <w:rPr>
                <w:sz w:val="20"/>
                <w:lang w:val="en-US" w:eastAsia="zh-CN"/>
              </w:rPr>
              <w:t>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C5643D" w:rsidP="001A35D4">
            <w:pPr>
              <w:pStyle w:val="Tabletext"/>
              <w:rPr>
                <w:sz w:val="20"/>
                <w:lang w:eastAsia="zh-CN"/>
              </w:rPr>
            </w:pPr>
            <w:r w:rsidRPr="00A0226F">
              <w:rPr>
                <w:sz w:val="20"/>
                <w:lang w:eastAsia="zh-CN"/>
              </w:rPr>
              <w:t xml:space="preserve">ICTA </w:t>
            </w:r>
            <w:r w:rsidR="00A0226F">
              <w:rPr>
                <w:sz w:val="20"/>
                <w:lang w:eastAsia="zh-CN"/>
              </w:rPr>
              <w:t>–</w:t>
            </w:r>
            <w:r w:rsidRPr="00A0226F">
              <w:rPr>
                <w:sz w:val="20"/>
                <w:lang w:eastAsia="zh-CN"/>
              </w:rPr>
              <w:t xml:space="preserve"> </w:t>
            </w:r>
            <w:r w:rsidR="00BE554D" w:rsidRPr="00A0226F">
              <w:rPr>
                <w:sz w:val="20"/>
                <w:lang w:eastAsia="zh-CN"/>
              </w:rPr>
              <w:t xml:space="preserve">5º Seminario </w:t>
            </w:r>
            <w:r w:rsidR="001A35D4">
              <w:rPr>
                <w:sz w:val="20"/>
                <w:lang w:eastAsia="zh-CN"/>
              </w:rPr>
              <w:t>I</w:t>
            </w:r>
            <w:r w:rsidR="00DD31E7" w:rsidRPr="00A0226F">
              <w:rPr>
                <w:sz w:val="20"/>
                <w:lang w:eastAsia="zh-CN"/>
              </w:rPr>
              <w:t xml:space="preserve">nternacional de </w:t>
            </w:r>
            <w:r w:rsidR="001A35D4">
              <w:rPr>
                <w:sz w:val="20"/>
                <w:lang w:eastAsia="zh-CN"/>
              </w:rPr>
              <w:t>C</w:t>
            </w:r>
            <w:r w:rsidR="00DD31E7" w:rsidRPr="00A0226F">
              <w:rPr>
                <w:sz w:val="20"/>
                <w:lang w:eastAsia="zh-CN"/>
              </w:rPr>
              <w:t xml:space="preserve">apacitación en la </w:t>
            </w:r>
            <w:r w:rsidR="00BE554D" w:rsidRPr="00A0226F">
              <w:rPr>
                <w:sz w:val="20"/>
                <w:lang w:eastAsia="zh-CN"/>
              </w:rPr>
              <w:t>r</w:t>
            </w:r>
            <w:r w:rsidR="00DD31E7" w:rsidRPr="00A0226F">
              <w:rPr>
                <w:sz w:val="20"/>
                <w:lang w:eastAsia="zh-CN"/>
              </w:rPr>
              <w:t xml:space="preserve">eglamentación del </w:t>
            </w:r>
            <w:r w:rsidR="00BE554D" w:rsidRPr="00A0226F">
              <w:rPr>
                <w:sz w:val="20"/>
                <w:lang w:eastAsia="zh-CN"/>
              </w:rPr>
              <w:t>e</w:t>
            </w:r>
            <w:r w:rsidR="00DD31E7" w:rsidRPr="00A0226F">
              <w:rPr>
                <w:sz w:val="20"/>
                <w:lang w:eastAsia="zh-CN"/>
              </w:rPr>
              <w:t xml:space="preserve">spectro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FE40BA" w:rsidP="00A0226F">
            <w:pPr>
              <w:pStyle w:val="Tabletext"/>
              <w:rPr>
                <w:sz w:val="20"/>
                <w:lang w:val="en-US" w:eastAsia="zh-CN"/>
              </w:rPr>
            </w:pPr>
            <w:r w:rsidRPr="00A0226F">
              <w:rPr>
                <w:rFonts w:asciiTheme="majorBidi" w:hAnsiTheme="majorBidi" w:cstheme="majorBidi"/>
                <w:sz w:val="20"/>
                <w:lang w:val="en-US" w:eastAsia="zh-CN"/>
              </w:rPr>
              <w:t>Estambul</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center"/>
            <w:hideMark/>
          </w:tcPr>
          <w:p w:rsidR="000D5DB1" w:rsidRPr="00A0226F" w:rsidRDefault="00DD31E7" w:rsidP="00A0226F">
            <w:pPr>
              <w:pStyle w:val="Tabletext"/>
              <w:rPr>
                <w:sz w:val="20"/>
                <w:lang w:eastAsia="zh-CN"/>
              </w:rPr>
            </w:pPr>
            <w:r w:rsidRPr="00A0226F">
              <w:rPr>
                <w:sz w:val="20"/>
                <w:lang w:eastAsia="zh-CN"/>
              </w:rPr>
              <w:t>1ª Reunión de la Comisión Preparatoria del Protocolo del Espacio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07/05/13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Roma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eastAsia="zh-CN"/>
              </w:rPr>
            </w:pPr>
            <w:r w:rsidRPr="00A0226F">
              <w:rPr>
                <w:sz w:val="20"/>
                <w:lang w:eastAsia="zh-CN"/>
              </w:rPr>
              <w:t>GSC-17 (G</w:t>
            </w:r>
            <w:r w:rsidR="00DD31E7" w:rsidRPr="00A0226F">
              <w:rPr>
                <w:sz w:val="20"/>
                <w:lang w:eastAsia="zh-CN"/>
              </w:rPr>
              <w:t>rupo de Colaboración para la Normalización Mundial</w:t>
            </w:r>
            <w:r w:rsidRPr="00A0226F">
              <w:rPr>
                <w:sz w:val="20"/>
                <w:lang w:eastAsia="zh-CN"/>
              </w:rPr>
              <w:t>)</w:t>
            </w:r>
            <w:r w:rsidR="00DD31E7" w:rsidRPr="00A0226F">
              <w:rPr>
                <w:sz w:val="20"/>
                <w:lang w:eastAsia="zh-CN"/>
              </w:rPr>
              <w:t xml:space="preserve"> </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13/05/13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16/05/13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4F3B96" w:rsidP="00A0226F">
            <w:pPr>
              <w:pStyle w:val="Tabletext"/>
              <w:rPr>
                <w:sz w:val="20"/>
                <w:lang w:val="en-US" w:eastAsia="zh-CN"/>
              </w:rPr>
            </w:pPr>
            <w:r w:rsidRPr="00A0226F">
              <w:rPr>
                <w:sz w:val="20"/>
                <w:lang w:val="en-US" w:eastAsia="zh-CN"/>
              </w:rPr>
              <w:t>C</w:t>
            </w:r>
            <w:r w:rsidR="000D5DB1" w:rsidRPr="00A0226F">
              <w:rPr>
                <w:sz w:val="20"/>
                <w:lang w:val="en-US" w:eastAsia="zh-CN"/>
              </w:rPr>
              <w:t>orea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B71124" w:rsidRPr="00A0226F" w:rsidRDefault="00C5643D" w:rsidP="00A0226F">
            <w:pPr>
              <w:pStyle w:val="Tabletext"/>
              <w:rPr>
                <w:sz w:val="20"/>
                <w:lang w:eastAsia="zh-CN"/>
              </w:rPr>
            </w:pPr>
            <w:r w:rsidRPr="00A0226F">
              <w:rPr>
                <w:sz w:val="20"/>
                <w:lang w:eastAsia="zh-CN"/>
              </w:rPr>
              <w:t xml:space="preserve">Unión Mundial de Radiodifusión </w:t>
            </w:r>
            <w:r w:rsidR="00A0226F">
              <w:rPr>
                <w:sz w:val="20"/>
                <w:lang w:eastAsia="zh-CN"/>
              </w:rPr>
              <w:t>–</w:t>
            </w:r>
            <w:r w:rsidRPr="00A0226F">
              <w:rPr>
                <w:sz w:val="20"/>
                <w:lang w:eastAsia="zh-CN"/>
              </w:rPr>
              <w:t xml:space="preserve"> </w:t>
            </w:r>
            <w:r w:rsidR="00B71124" w:rsidRPr="00A0226F">
              <w:rPr>
                <w:sz w:val="20"/>
                <w:lang w:eastAsia="zh-CN"/>
              </w:rPr>
              <w:t>Foro ISOG</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eastAsia="zh-CN"/>
              </w:rPr>
            </w:pPr>
            <w:r w:rsidRPr="00A0226F">
              <w:rPr>
                <w:sz w:val="20"/>
                <w:lang w:eastAsia="zh-CN"/>
              </w:rPr>
              <w:t>15/05/13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eastAsia="zh-CN"/>
              </w:rPr>
            </w:pPr>
            <w:r w:rsidRPr="00A0226F">
              <w:rPr>
                <w:sz w:val="20"/>
                <w:lang w:eastAsia="zh-CN"/>
              </w:rPr>
              <w:t>16/05/13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eastAsia="zh-CN"/>
              </w:rPr>
            </w:pPr>
            <w:r w:rsidRPr="00A0226F">
              <w:rPr>
                <w:sz w:val="20"/>
                <w:lang w:eastAsia="zh-CN"/>
              </w:rPr>
              <w:t>Los Angeles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8B1419" w:rsidP="001A35D4">
            <w:pPr>
              <w:pStyle w:val="Tabletext"/>
              <w:rPr>
                <w:sz w:val="20"/>
                <w:lang w:eastAsia="zh-CN"/>
              </w:rPr>
            </w:pPr>
            <w:r w:rsidRPr="00A0226F">
              <w:rPr>
                <w:sz w:val="20"/>
                <w:lang w:eastAsia="zh-CN"/>
              </w:rPr>
              <w:t xml:space="preserve">2º Taller </w:t>
            </w:r>
            <w:r w:rsidR="001A35D4">
              <w:rPr>
                <w:sz w:val="20"/>
                <w:lang w:eastAsia="zh-CN"/>
              </w:rPr>
              <w:t>I</w:t>
            </w:r>
            <w:r w:rsidRPr="00A0226F">
              <w:rPr>
                <w:sz w:val="20"/>
                <w:lang w:eastAsia="zh-CN"/>
              </w:rPr>
              <w:t xml:space="preserve">nternacional </w:t>
            </w:r>
            <w:r w:rsidR="00BE554D" w:rsidRPr="00A0226F">
              <w:rPr>
                <w:sz w:val="20"/>
                <w:lang w:eastAsia="zh-CN"/>
              </w:rPr>
              <w:t xml:space="preserve">de Luxemburgo sobre </w:t>
            </w:r>
            <w:r w:rsidR="001A35D4">
              <w:rPr>
                <w:sz w:val="20"/>
                <w:lang w:eastAsia="zh-CN"/>
              </w:rPr>
              <w:t>C</w:t>
            </w:r>
            <w:r w:rsidR="00BE554D" w:rsidRPr="00A0226F">
              <w:rPr>
                <w:sz w:val="20"/>
                <w:lang w:eastAsia="zh-CN"/>
              </w:rPr>
              <w:t>omunicaciones e</w:t>
            </w:r>
            <w:r w:rsidR="006026B9" w:rsidRPr="00A0226F">
              <w:rPr>
                <w:sz w:val="20"/>
                <w:lang w:eastAsia="zh-CN"/>
              </w:rPr>
              <w:t>spaciales</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eastAsia="zh-CN"/>
              </w:rPr>
            </w:pPr>
            <w:r w:rsidRPr="00A0226F">
              <w:rPr>
                <w:sz w:val="20"/>
                <w:lang w:eastAsia="zh-CN"/>
              </w:rPr>
              <w:t>23/05/13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eastAsia="zh-CN"/>
              </w:rPr>
            </w:pPr>
            <w:r w:rsidRPr="00A0226F">
              <w:rPr>
                <w:sz w:val="20"/>
                <w:lang w:eastAsia="zh-CN"/>
              </w:rPr>
              <w:t>24/05/13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9342D1" w:rsidP="00A0226F">
            <w:pPr>
              <w:pStyle w:val="Tabletext"/>
              <w:rPr>
                <w:sz w:val="20"/>
                <w:lang w:val="en-US" w:eastAsia="zh-CN"/>
              </w:rPr>
            </w:pPr>
            <w:r w:rsidRPr="00A0226F">
              <w:rPr>
                <w:sz w:val="20"/>
                <w:lang w:eastAsia="zh-CN"/>
              </w:rPr>
              <w:t xml:space="preserve">Ciudad de </w:t>
            </w:r>
            <w:r w:rsidR="004F3B96" w:rsidRPr="00A0226F">
              <w:rPr>
                <w:sz w:val="20"/>
                <w:lang w:eastAsia="zh-CN"/>
              </w:rPr>
              <w:t>Lu</w:t>
            </w:r>
            <w:r w:rsidR="004F3B96" w:rsidRPr="00A0226F">
              <w:rPr>
                <w:sz w:val="20"/>
                <w:lang w:val="en-US" w:eastAsia="zh-CN"/>
              </w:rPr>
              <w:t>xemb</w:t>
            </w:r>
            <w:r w:rsidR="000D5DB1" w:rsidRPr="00A0226F">
              <w:rPr>
                <w:sz w:val="20"/>
                <w:lang w:val="en-US" w:eastAsia="zh-CN"/>
              </w:rPr>
              <w:t>urg</w:t>
            </w:r>
            <w:r w:rsidR="004F3B96" w:rsidRPr="00A0226F">
              <w:rPr>
                <w:sz w:val="20"/>
                <w:lang w:val="en-US" w:eastAsia="zh-CN"/>
              </w:rPr>
              <w:t>o</w:t>
            </w:r>
            <w:r w:rsidR="000D5DB1" w:rsidRPr="00A0226F">
              <w:rPr>
                <w:sz w:val="20"/>
                <w:lang w:val="en-US" w:eastAsia="zh-CN"/>
              </w:rPr>
              <w:t xml:space="preserve"> </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MBT 2013</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23/05/13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25/05/13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Belgrad</w:t>
            </w:r>
            <w:r w:rsidR="004F3B96" w:rsidRPr="00A0226F">
              <w:rPr>
                <w:sz w:val="20"/>
                <w:lang w:val="en-US" w:eastAsia="zh-CN"/>
              </w:rPr>
              <w:t>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0D5DB1" w:rsidP="001A35D4">
            <w:pPr>
              <w:pStyle w:val="Tabletext"/>
              <w:rPr>
                <w:sz w:val="20"/>
                <w:lang w:val="en-US" w:eastAsia="zh-CN"/>
              </w:rPr>
            </w:pPr>
            <w:r w:rsidRPr="00A0226F">
              <w:rPr>
                <w:sz w:val="20"/>
                <w:lang w:val="en-US" w:eastAsia="zh-CN"/>
              </w:rPr>
              <w:t xml:space="preserve">SatCom </w:t>
            </w:r>
            <w:r w:rsidR="001A35D4">
              <w:rPr>
                <w:sz w:val="20"/>
                <w:lang w:val="en-US" w:eastAsia="zh-CN"/>
              </w:rPr>
              <w:t>Á</w:t>
            </w:r>
            <w:r w:rsidRPr="00A0226F">
              <w:rPr>
                <w:sz w:val="20"/>
                <w:lang w:val="en-US" w:eastAsia="zh-CN"/>
              </w:rPr>
              <w:t>frica 2013</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27/05/13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30/05/13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C04E5E">
            <w:pPr>
              <w:pStyle w:val="Tabletext"/>
              <w:ind w:right="-57"/>
              <w:rPr>
                <w:sz w:val="20"/>
                <w:lang w:val="en-US" w:eastAsia="zh-CN"/>
              </w:rPr>
            </w:pPr>
            <w:r w:rsidRPr="00A0226F">
              <w:rPr>
                <w:sz w:val="20"/>
                <w:lang w:val="en-US" w:eastAsia="zh-CN"/>
              </w:rPr>
              <w:t>Johannesburg</w:t>
            </w:r>
            <w:r w:rsidR="004F3B96" w:rsidRPr="00A0226F">
              <w:rPr>
                <w:sz w:val="20"/>
                <w:lang w:val="en-US" w:eastAsia="zh-CN"/>
              </w:rPr>
              <w:t>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BE554D" w:rsidP="001A35D4">
            <w:pPr>
              <w:pStyle w:val="Tabletext"/>
              <w:rPr>
                <w:sz w:val="20"/>
                <w:lang w:eastAsia="zh-CN"/>
              </w:rPr>
            </w:pPr>
            <w:r w:rsidRPr="00A0226F">
              <w:rPr>
                <w:sz w:val="20"/>
                <w:lang w:eastAsia="zh-CN"/>
              </w:rPr>
              <w:t xml:space="preserve">Simposio Internacional sobre </w:t>
            </w:r>
            <w:r w:rsidR="001A35D4">
              <w:rPr>
                <w:sz w:val="20"/>
                <w:lang w:eastAsia="zh-CN"/>
              </w:rPr>
              <w:t>T</w:t>
            </w:r>
            <w:r w:rsidR="006026B9" w:rsidRPr="00A0226F">
              <w:rPr>
                <w:sz w:val="20"/>
                <w:lang w:eastAsia="zh-CN"/>
              </w:rPr>
              <w:t xml:space="preserve">ecnologías de </w:t>
            </w:r>
            <w:r w:rsidR="001A35D4">
              <w:rPr>
                <w:sz w:val="20"/>
                <w:lang w:eastAsia="zh-CN"/>
              </w:rPr>
              <w:t>C</w:t>
            </w:r>
            <w:r w:rsidR="006026B9" w:rsidRPr="00A0226F">
              <w:rPr>
                <w:sz w:val="20"/>
                <w:lang w:eastAsia="zh-CN"/>
              </w:rPr>
              <w:t xml:space="preserve">omprobación </w:t>
            </w:r>
            <w:r w:rsidRPr="00A0226F">
              <w:rPr>
                <w:sz w:val="20"/>
                <w:lang w:eastAsia="zh-CN"/>
              </w:rPr>
              <w:t>t</w:t>
            </w:r>
            <w:r w:rsidR="006026B9" w:rsidRPr="00A0226F">
              <w:rPr>
                <w:sz w:val="20"/>
                <w:lang w:eastAsia="zh-CN"/>
              </w:rPr>
              <w:t>écnica</w:t>
            </w:r>
            <w:r w:rsidR="00780D21" w:rsidRPr="00A0226F">
              <w:rPr>
                <w:sz w:val="20"/>
                <w:lang w:eastAsia="zh-CN"/>
              </w:rPr>
              <w:t xml:space="preserve"> de las </w:t>
            </w:r>
            <w:r w:rsidRPr="00A0226F">
              <w:rPr>
                <w:sz w:val="20"/>
                <w:lang w:eastAsia="zh-CN"/>
              </w:rPr>
              <w:t>emisiones r</w:t>
            </w:r>
            <w:r w:rsidR="00D66CBD" w:rsidRPr="00A0226F">
              <w:rPr>
                <w:sz w:val="20"/>
                <w:lang w:eastAsia="zh-CN"/>
              </w:rPr>
              <w:t xml:space="preserve">adioeléctricas </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04/06/13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05/06/13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Chengd</w:t>
            </w:r>
            <w:r w:rsidR="004F3B96" w:rsidRPr="00A0226F">
              <w:rPr>
                <w:sz w:val="20"/>
                <w:lang w:val="en-US" w:eastAsia="zh-CN"/>
              </w:rPr>
              <w:t>ú</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7D6A11" w:rsidP="00A0226F">
            <w:pPr>
              <w:pStyle w:val="Tabletext"/>
              <w:rPr>
                <w:sz w:val="20"/>
                <w:lang w:eastAsia="zh-CN"/>
              </w:rPr>
            </w:pPr>
            <w:r w:rsidRPr="00A0226F">
              <w:rPr>
                <w:sz w:val="20"/>
                <w:lang w:eastAsia="zh-CN"/>
              </w:rPr>
              <w:t>XIII Conferencia Anual de la</w:t>
            </w:r>
            <w:r w:rsidR="00623E44" w:rsidRPr="00A0226F">
              <w:rPr>
                <w:sz w:val="20"/>
                <w:lang w:eastAsia="zh-CN"/>
              </w:rPr>
              <w:t>s</w:t>
            </w:r>
            <w:r w:rsidRPr="00A0226F">
              <w:rPr>
                <w:sz w:val="20"/>
                <w:lang w:eastAsia="zh-CN"/>
              </w:rPr>
              <w:t xml:space="preserve"> Asociaci</w:t>
            </w:r>
            <w:r w:rsidR="00623E44" w:rsidRPr="00A0226F">
              <w:rPr>
                <w:sz w:val="20"/>
                <w:lang w:eastAsia="zh-CN"/>
              </w:rPr>
              <w:t xml:space="preserve">ones </w:t>
            </w:r>
            <w:r w:rsidRPr="00A0226F">
              <w:rPr>
                <w:sz w:val="20"/>
                <w:lang w:eastAsia="zh-CN"/>
              </w:rPr>
              <w:t>Nacional</w:t>
            </w:r>
            <w:r w:rsidR="00623E44" w:rsidRPr="00A0226F">
              <w:rPr>
                <w:sz w:val="20"/>
                <w:lang w:eastAsia="zh-CN"/>
              </w:rPr>
              <w:t xml:space="preserve">es de </w:t>
            </w:r>
            <w:r w:rsidRPr="00A0226F">
              <w:rPr>
                <w:sz w:val="20"/>
                <w:lang w:eastAsia="zh-CN"/>
              </w:rPr>
              <w:t>Radio</w:t>
            </w:r>
            <w:r w:rsidR="00623E44" w:rsidRPr="00A0226F">
              <w:rPr>
                <w:sz w:val="20"/>
                <w:lang w:eastAsia="zh-CN"/>
              </w:rPr>
              <w:t xml:space="preserve">comunicaciones </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05/06/13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08/06/13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Kaz</w:t>
            </w:r>
            <w:r w:rsidR="004F3B96" w:rsidRPr="00A0226F">
              <w:rPr>
                <w:sz w:val="20"/>
                <w:lang w:val="en-US" w:eastAsia="zh-CN"/>
              </w:rPr>
              <w:t>á</w:t>
            </w:r>
            <w:r w:rsidRPr="00A0226F">
              <w:rPr>
                <w:sz w:val="20"/>
                <w:lang w:val="en-US" w:eastAsia="zh-CN"/>
              </w:rPr>
              <w:t>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7D6A11" w:rsidP="00A0226F">
            <w:pPr>
              <w:pStyle w:val="Tabletext"/>
              <w:rPr>
                <w:sz w:val="20"/>
                <w:lang w:eastAsia="zh-CN"/>
              </w:rPr>
            </w:pPr>
            <w:r w:rsidRPr="00A0226F">
              <w:rPr>
                <w:sz w:val="20"/>
                <w:lang w:eastAsia="zh-CN"/>
              </w:rPr>
              <w:t>27ª Reunión del Comité Mixto de COSPAS SARSAT (JC-27)</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19/06/13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Limas</w:t>
            </w:r>
            <w:r w:rsidR="000D5DB1" w:rsidRPr="00A0226F">
              <w:rPr>
                <w:sz w:val="20"/>
                <w:lang w:val="en-US" w:eastAsia="zh-CN"/>
              </w:rPr>
              <w:t>ol</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vAlign w:val="center"/>
            <w:hideMark/>
          </w:tcPr>
          <w:p w:rsidR="000D5DB1" w:rsidRPr="00A0226F" w:rsidRDefault="00D61A7C" w:rsidP="00A0226F">
            <w:pPr>
              <w:pStyle w:val="Tabletext"/>
              <w:rPr>
                <w:sz w:val="20"/>
                <w:lang w:eastAsia="zh-CN"/>
              </w:rPr>
            </w:pPr>
            <w:r w:rsidRPr="00A0226F">
              <w:rPr>
                <w:sz w:val="20"/>
                <w:lang w:eastAsia="zh-CN"/>
              </w:rPr>
              <w:t xml:space="preserve">CASBAA </w:t>
            </w:r>
            <w:r w:rsidR="00A0226F">
              <w:rPr>
                <w:sz w:val="20"/>
                <w:lang w:eastAsia="zh-CN"/>
              </w:rPr>
              <w:t>–</w:t>
            </w:r>
            <w:r w:rsidRPr="00A0226F">
              <w:rPr>
                <w:sz w:val="20"/>
                <w:lang w:eastAsia="zh-CN"/>
              </w:rPr>
              <w:t xml:space="preserve"> </w:t>
            </w:r>
            <w:r w:rsidR="00CE4623" w:rsidRPr="00A0226F">
              <w:rPr>
                <w:sz w:val="20"/>
                <w:lang w:eastAsia="zh-CN"/>
              </w:rPr>
              <w:t xml:space="preserve">Foro del Sector Industrial de </w:t>
            </w:r>
            <w:r w:rsidR="00736D2D" w:rsidRPr="00A0226F">
              <w:rPr>
                <w:sz w:val="20"/>
                <w:lang w:eastAsia="zh-CN"/>
              </w:rPr>
              <w:t>Satélite</w:t>
            </w:r>
            <w:r w:rsidRPr="00A0226F">
              <w:rPr>
                <w:sz w:val="20"/>
                <w:lang w:eastAsia="zh-CN"/>
              </w:rPr>
              <w:t>s</w:t>
            </w:r>
            <w:r w:rsidR="00CE4623" w:rsidRPr="00A0226F">
              <w:rPr>
                <w:sz w:val="20"/>
                <w:lang w:eastAsia="zh-CN"/>
              </w:rPr>
              <w:t xml:space="preserve"> </w:t>
            </w:r>
          </w:p>
        </w:tc>
        <w:tc>
          <w:tcPr>
            <w:tcW w:w="1276"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17/06/13</w:t>
            </w:r>
          </w:p>
        </w:tc>
        <w:tc>
          <w:tcPr>
            <w:tcW w:w="992"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17/06/13</w:t>
            </w:r>
          </w:p>
        </w:tc>
        <w:tc>
          <w:tcPr>
            <w:tcW w:w="1415" w:type="dxa"/>
            <w:tcBorders>
              <w:top w:val="nil"/>
              <w:left w:val="nil"/>
              <w:bottom w:val="single" w:sz="4" w:space="0" w:color="auto"/>
              <w:right w:val="single" w:sz="4" w:space="0" w:color="auto"/>
            </w:tcBorders>
            <w:shd w:val="clear" w:color="auto" w:fill="FFFFFF"/>
            <w:vAlign w:val="center"/>
            <w:hideMark/>
          </w:tcPr>
          <w:p w:rsidR="000D5DB1" w:rsidRPr="00A0226F" w:rsidRDefault="000D5DB1" w:rsidP="00A0226F">
            <w:pPr>
              <w:pStyle w:val="Tabletext"/>
              <w:rPr>
                <w:sz w:val="20"/>
                <w:lang w:val="en-US" w:eastAsia="zh-CN"/>
              </w:rPr>
            </w:pPr>
            <w:r w:rsidRPr="00A0226F">
              <w:rPr>
                <w:sz w:val="20"/>
                <w:lang w:val="en-US" w:eastAsia="zh-CN"/>
              </w:rPr>
              <w:t>Singap</w:t>
            </w:r>
            <w:r w:rsidR="004F3B96" w:rsidRPr="00A0226F">
              <w:rPr>
                <w:sz w:val="20"/>
                <w:lang w:val="en-US" w:eastAsia="zh-CN"/>
              </w:rPr>
              <w:t>u</w:t>
            </w:r>
            <w:r w:rsidRPr="00A0226F">
              <w:rPr>
                <w:sz w:val="20"/>
                <w:lang w:val="en-US" w:eastAsia="zh-CN"/>
              </w:rPr>
              <w:t>r</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D61A7C" w:rsidP="00A0226F">
            <w:pPr>
              <w:pStyle w:val="Tabletext"/>
              <w:rPr>
                <w:sz w:val="20"/>
                <w:lang w:eastAsia="zh-CN"/>
              </w:rPr>
            </w:pPr>
            <w:r w:rsidRPr="00A0226F">
              <w:rPr>
                <w:sz w:val="20"/>
                <w:lang w:eastAsia="zh-CN"/>
              </w:rPr>
              <w:t>Banda ancha</w:t>
            </w:r>
            <w:r w:rsidR="00066701" w:rsidRPr="00A0226F">
              <w:rPr>
                <w:sz w:val="20"/>
                <w:lang w:eastAsia="zh-CN"/>
              </w:rPr>
              <w:t xml:space="preserve"> para todos </w:t>
            </w:r>
            <w:r w:rsidR="00A0226F">
              <w:rPr>
                <w:sz w:val="20"/>
                <w:lang w:eastAsia="zh-CN"/>
              </w:rPr>
              <w:t>–</w:t>
            </w:r>
            <w:r w:rsidR="00066701" w:rsidRPr="00A0226F">
              <w:rPr>
                <w:sz w:val="20"/>
                <w:lang w:eastAsia="zh-CN"/>
              </w:rPr>
              <w:t xml:space="preserve"> Seminario a</w:t>
            </w:r>
            <w:r w:rsidR="00736D2D" w:rsidRPr="00A0226F">
              <w:rPr>
                <w:sz w:val="20"/>
                <w:lang w:eastAsia="zh-CN"/>
              </w:rPr>
              <w:t>nual de Ericsson</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24/06/13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24/06/13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Estocolmo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66701" w:rsidP="001A35D4">
            <w:pPr>
              <w:pStyle w:val="Tabletext"/>
              <w:rPr>
                <w:sz w:val="20"/>
                <w:lang w:eastAsia="zh-CN"/>
              </w:rPr>
            </w:pPr>
            <w:r w:rsidRPr="00A0226F">
              <w:rPr>
                <w:sz w:val="20"/>
                <w:lang w:eastAsia="zh-CN"/>
              </w:rPr>
              <w:lastRenderedPageBreak/>
              <w:t xml:space="preserve">8ª Conferencia Europea sobre </w:t>
            </w:r>
            <w:r w:rsidR="001A35D4">
              <w:rPr>
                <w:sz w:val="20"/>
                <w:lang w:eastAsia="zh-CN"/>
              </w:rPr>
              <w:t>G</w:t>
            </w:r>
            <w:r w:rsidR="00736D2D" w:rsidRPr="00A0226F">
              <w:rPr>
                <w:sz w:val="20"/>
                <w:lang w:eastAsia="zh-CN"/>
              </w:rPr>
              <w:t xml:space="preserve">estión del </w:t>
            </w:r>
            <w:r w:rsidRPr="00A0226F">
              <w:rPr>
                <w:sz w:val="20"/>
                <w:lang w:eastAsia="zh-CN"/>
              </w:rPr>
              <w:t>e</w:t>
            </w:r>
            <w:r w:rsidR="00736D2D" w:rsidRPr="00A0226F">
              <w:rPr>
                <w:sz w:val="20"/>
                <w:lang w:eastAsia="zh-CN"/>
              </w:rPr>
              <w:t>spectro</w:t>
            </w:r>
            <w:r w:rsidR="00D61A7C" w:rsidRPr="00A0226F">
              <w:rPr>
                <w:sz w:val="20"/>
                <w:lang w:eastAsia="zh-CN"/>
              </w:rPr>
              <w:t>,</w:t>
            </w:r>
            <w:r w:rsidR="00736D2D" w:rsidRPr="00A0226F">
              <w:rPr>
                <w:sz w:val="20"/>
                <w:lang w:eastAsia="zh-CN"/>
              </w:rPr>
              <w:t xml:space="preserve">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25/06/13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66CBD" w:rsidP="00A0226F">
            <w:pPr>
              <w:pStyle w:val="Tabletext"/>
              <w:rPr>
                <w:sz w:val="20"/>
                <w:lang w:val="en-US" w:eastAsia="zh-CN"/>
              </w:rPr>
            </w:pPr>
            <w:r w:rsidRPr="00A0226F">
              <w:rPr>
                <w:sz w:val="20"/>
                <w:lang w:val="en-US" w:eastAsia="zh-CN"/>
              </w:rPr>
              <w:t>Brus</w:t>
            </w:r>
            <w:r w:rsidR="004F3B96" w:rsidRPr="00A0226F">
              <w:rPr>
                <w:sz w:val="20"/>
                <w:lang w:val="en-US" w:eastAsia="zh-CN"/>
              </w:rPr>
              <w:t>elas</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A100EC" w:rsidP="00A0226F">
            <w:pPr>
              <w:pStyle w:val="Tabletext"/>
              <w:rPr>
                <w:sz w:val="20"/>
                <w:lang w:eastAsia="zh-CN"/>
              </w:rPr>
            </w:pPr>
            <w:r w:rsidRPr="00A0226F">
              <w:rPr>
                <w:sz w:val="20"/>
                <w:lang w:eastAsia="zh-CN"/>
              </w:rPr>
              <w:t xml:space="preserve">33ª Reunión Anual del Grupo de Coordinación de Frecuencias </w:t>
            </w:r>
            <w:r w:rsidR="00D61A7C" w:rsidRPr="00A0226F">
              <w:rPr>
                <w:sz w:val="20"/>
                <w:lang w:eastAsia="zh-CN"/>
              </w:rPr>
              <w:t xml:space="preserve">de Sistemas </w:t>
            </w:r>
            <w:r w:rsidRPr="00A0226F">
              <w:rPr>
                <w:sz w:val="20"/>
                <w:lang w:eastAsia="zh-CN"/>
              </w:rPr>
              <w:t>Espaciales (SFCG)</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25/06/13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03/07/13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Toulouse</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A100EC" w:rsidP="001A35D4">
            <w:pPr>
              <w:pStyle w:val="Tabletext"/>
              <w:rPr>
                <w:sz w:val="20"/>
                <w:lang w:eastAsia="zh-CN"/>
              </w:rPr>
            </w:pPr>
            <w:r w:rsidRPr="00A0226F">
              <w:rPr>
                <w:sz w:val="20"/>
                <w:lang w:eastAsia="zh-CN"/>
              </w:rPr>
              <w:t xml:space="preserve">Conferencia </w:t>
            </w:r>
            <w:r w:rsidR="00D61A7C" w:rsidRPr="00A0226F">
              <w:rPr>
                <w:sz w:val="20"/>
                <w:lang w:eastAsia="zh-CN"/>
              </w:rPr>
              <w:t xml:space="preserve">de la ANFR </w:t>
            </w:r>
            <w:r w:rsidRPr="00A0226F">
              <w:rPr>
                <w:sz w:val="20"/>
                <w:lang w:eastAsia="zh-CN"/>
              </w:rPr>
              <w:t xml:space="preserve">sobre </w:t>
            </w:r>
            <w:r w:rsidR="001A35D4">
              <w:rPr>
                <w:sz w:val="20"/>
                <w:lang w:eastAsia="zh-CN"/>
              </w:rPr>
              <w:t>«</w:t>
            </w:r>
            <w:r w:rsidRPr="00A0226F">
              <w:rPr>
                <w:sz w:val="20"/>
                <w:lang w:eastAsia="zh-CN"/>
              </w:rPr>
              <w:t>Espectro e Innovación</w:t>
            </w:r>
            <w:r w:rsidR="001A35D4">
              <w:rPr>
                <w:sz w:val="20"/>
                <w:lang w:eastAsia="zh-CN"/>
              </w:rPr>
              <w:t>»</w:t>
            </w:r>
            <w:r w:rsidRPr="00A0226F">
              <w:rPr>
                <w:sz w:val="20"/>
                <w:lang w:eastAsia="zh-CN"/>
              </w:rPr>
              <w:t xml:space="preserve">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27/06/13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27/06/13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Par</w:t>
            </w:r>
            <w:r w:rsidR="004F3B96" w:rsidRPr="00A0226F">
              <w:rPr>
                <w:sz w:val="20"/>
                <w:lang w:val="en-US" w:eastAsia="zh-CN"/>
              </w:rPr>
              <w:t>í</w:t>
            </w:r>
            <w:r w:rsidRPr="00A0226F">
              <w:rPr>
                <w:sz w:val="20"/>
                <w:lang w:val="en-US" w:eastAsia="zh-CN"/>
              </w:rPr>
              <w:t>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1A35D4">
            <w:pPr>
              <w:pStyle w:val="Tabletext"/>
              <w:rPr>
                <w:sz w:val="20"/>
                <w:lang w:eastAsia="zh-CN"/>
              </w:rPr>
            </w:pPr>
            <w:r w:rsidRPr="00A0226F">
              <w:rPr>
                <w:sz w:val="20"/>
                <w:lang w:eastAsia="zh-CN"/>
              </w:rPr>
              <w:t xml:space="preserve">IEEE 802 </w:t>
            </w:r>
            <w:r w:rsidR="00A0226F">
              <w:rPr>
                <w:sz w:val="20"/>
                <w:lang w:eastAsia="zh-CN"/>
              </w:rPr>
              <w:t>–</w:t>
            </w:r>
            <w:r w:rsidRPr="00A0226F">
              <w:rPr>
                <w:sz w:val="20"/>
                <w:lang w:eastAsia="zh-CN"/>
              </w:rPr>
              <w:t xml:space="preserve"> </w:t>
            </w:r>
            <w:r w:rsidR="00066701" w:rsidRPr="00A0226F">
              <w:rPr>
                <w:sz w:val="20"/>
                <w:lang w:eastAsia="zh-CN"/>
              </w:rPr>
              <w:t xml:space="preserve">Taller sobre </w:t>
            </w:r>
            <w:r w:rsidR="001A35D4">
              <w:rPr>
                <w:sz w:val="20"/>
                <w:lang w:eastAsia="zh-CN"/>
              </w:rPr>
              <w:t>U</w:t>
            </w:r>
            <w:r w:rsidR="00066701" w:rsidRPr="00A0226F">
              <w:rPr>
                <w:sz w:val="20"/>
                <w:lang w:eastAsia="zh-CN"/>
              </w:rPr>
              <w:t xml:space="preserve">tilización </w:t>
            </w:r>
            <w:r w:rsidR="001A35D4">
              <w:rPr>
                <w:iCs/>
                <w:sz w:val="20"/>
              </w:rPr>
              <w:t>c</w:t>
            </w:r>
            <w:r w:rsidR="000D78AB" w:rsidRPr="00A0226F">
              <w:rPr>
                <w:sz w:val="20"/>
                <w:lang w:eastAsia="zh-CN"/>
              </w:rPr>
              <w:t xml:space="preserve">ompartida del </w:t>
            </w:r>
            <w:r w:rsidR="001A35D4">
              <w:rPr>
                <w:sz w:val="20"/>
                <w:lang w:eastAsia="zh-CN"/>
              </w:rPr>
              <w:t>E</w:t>
            </w:r>
            <w:r w:rsidR="000D78AB" w:rsidRPr="00A0226F">
              <w:rPr>
                <w:sz w:val="20"/>
                <w:lang w:eastAsia="zh-CN"/>
              </w:rPr>
              <w:t xml:space="preserve">spectro y </w:t>
            </w:r>
            <w:r w:rsidR="00D61A7C" w:rsidRPr="00A0226F">
              <w:rPr>
                <w:sz w:val="20"/>
                <w:lang w:eastAsia="zh-CN"/>
              </w:rPr>
              <w:t xml:space="preserve">los </w:t>
            </w:r>
            <w:r w:rsidR="00066701" w:rsidRPr="00A0226F">
              <w:rPr>
                <w:sz w:val="20"/>
                <w:lang w:eastAsia="zh-CN"/>
              </w:rPr>
              <w:t>espacios b</w:t>
            </w:r>
            <w:r w:rsidR="000D78AB" w:rsidRPr="00A0226F">
              <w:rPr>
                <w:sz w:val="20"/>
                <w:lang w:eastAsia="zh-CN"/>
              </w:rPr>
              <w:t xml:space="preserve">lancos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16/07/13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16/07/13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Ginebra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1A35D4">
            <w:pPr>
              <w:pStyle w:val="Tabletext"/>
              <w:rPr>
                <w:sz w:val="20"/>
                <w:lang w:eastAsia="zh-CN"/>
              </w:rPr>
            </w:pPr>
            <w:r w:rsidRPr="00A0226F">
              <w:rPr>
                <w:sz w:val="20"/>
                <w:lang w:eastAsia="zh-CN"/>
              </w:rPr>
              <w:t xml:space="preserve">Conferencia Anual </w:t>
            </w:r>
            <w:r w:rsidR="00D61A7C" w:rsidRPr="00A0226F">
              <w:rPr>
                <w:sz w:val="20"/>
                <w:lang w:eastAsia="zh-CN"/>
              </w:rPr>
              <w:t xml:space="preserve">para la Región </w:t>
            </w:r>
            <w:r w:rsidR="00066701" w:rsidRPr="00A0226F">
              <w:rPr>
                <w:sz w:val="20"/>
                <w:lang w:eastAsia="zh-CN"/>
              </w:rPr>
              <w:t xml:space="preserve">Asia-Pacífico sobre </w:t>
            </w:r>
            <w:r w:rsidR="001A35D4">
              <w:rPr>
                <w:sz w:val="20"/>
                <w:lang w:eastAsia="zh-CN"/>
              </w:rPr>
              <w:t>G</w:t>
            </w:r>
            <w:r w:rsidR="00066701" w:rsidRPr="00A0226F">
              <w:rPr>
                <w:sz w:val="20"/>
                <w:lang w:eastAsia="zh-CN"/>
              </w:rPr>
              <w:t>estión del e</w:t>
            </w:r>
            <w:r w:rsidRPr="00A0226F">
              <w:rPr>
                <w:sz w:val="20"/>
                <w:lang w:eastAsia="zh-CN"/>
              </w:rPr>
              <w:t>spectro</w:t>
            </w:r>
            <w:r w:rsidR="00D61A7C" w:rsidRPr="00A0226F">
              <w:rPr>
                <w:sz w:val="20"/>
                <w:lang w:eastAsia="zh-CN"/>
              </w:rPr>
              <w:t>,</w:t>
            </w:r>
            <w:r w:rsidRPr="00A0226F">
              <w:rPr>
                <w:sz w:val="20"/>
                <w:lang w:eastAsia="zh-CN"/>
              </w:rPr>
              <w:t xml:space="preserve">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26/08/13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26/08/13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1A35D4">
            <w:pPr>
              <w:pStyle w:val="Tabletext"/>
              <w:rPr>
                <w:sz w:val="20"/>
                <w:lang w:eastAsia="zh-CN"/>
              </w:rPr>
            </w:pPr>
            <w:r w:rsidRPr="00A0226F">
              <w:rPr>
                <w:sz w:val="20"/>
                <w:lang w:eastAsia="zh-CN"/>
              </w:rPr>
              <w:t xml:space="preserve">Conferencia </w:t>
            </w:r>
            <w:r w:rsidR="00066701" w:rsidRPr="00A0226F">
              <w:rPr>
                <w:sz w:val="20"/>
                <w:lang w:eastAsia="zh-CN"/>
              </w:rPr>
              <w:t xml:space="preserve">sobre el </w:t>
            </w:r>
            <w:r w:rsidR="001A35D4">
              <w:rPr>
                <w:sz w:val="20"/>
                <w:lang w:eastAsia="zh-CN"/>
              </w:rPr>
              <w:t>E</w:t>
            </w:r>
            <w:r w:rsidRPr="00A0226F">
              <w:rPr>
                <w:sz w:val="20"/>
                <w:lang w:eastAsia="zh-CN"/>
              </w:rPr>
              <w:t>spectro</w:t>
            </w:r>
            <w:r w:rsidR="00D61A7C" w:rsidRPr="00A0226F">
              <w:rPr>
                <w:sz w:val="20"/>
                <w:lang w:eastAsia="zh-CN"/>
              </w:rPr>
              <w:t>, América Latina</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04/09/13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Sao Paulo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A0226F">
            <w:pPr>
              <w:pStyle w:val="Tabletext"/>
              <w:rPr>
                <w:sz w:val="20"/>
                <w:lang w:eastAsia="zh-CN"/>
              </w:rPr>
            </w:pPr>
            <w:r w:rsidRPr="00A0226F">
              <w:rPr>
                <w:sz w:val="20"/>
                <w:lang w:eastAsia="zh-CN"/>
              </w:rPr>
              <w:t>Día Europeo del Satélite</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05/09/13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05/09/13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bCs/>
                <w:sz w:val="20"/>
                <w:lang w:val="en-US" w:eastAsia="zh-CN"/>
              </w:rPr>
            </w:pPr>
            <w:r w:rsidRPr="00A0226F">
              <w:rPr>
                <w:bCs/>
                <w:sz w:val="20"/>
                <w:lang w:val="en-US" w:eastAsia="zh-CN"/>
              </w:rPr>
              <w:t xml:space="preserve">Bruselas </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78AB" w:rsidP="00A0226F">
            <w:pPr>
              <w:pStyle w:val="Tabletext"/>
              <w:rPr>
                <w:sz w:val="20"/>
                <w:lang w:eastAsia="zh-CN"/>
              </w:rPr>
            </w:pPr>
            <w:r w:rsidRPr="00A0226F">
              <w:rPr>
                <w:sz w:val="20"/>
                <w:lang w:eastAsia="zh-CN"/>
              </w:rPr>
              <w:t xml:space="preserve">10ª </w:t>
            </w:r>
            <w:r w:rsidR="00066701" w:rsidRPr="00A0226F">
              <w:rPr>
                <w:sz w:val="20"/>
                <w:lang w:eastAsia="zh-CN"/>
              </w:rPr>
              <w:t>Reunión de c</w:t>
            </w:r>
            <w:r w:rsidRPr="00A0226F">
              <w:rPr>
                <w:sz w:val="20"/>
                <w:lang w:eastAsia="zh-CN"/>
              </w:rPr>
              <w:t>onsultas sobre la Resolución 609</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10/09/13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12/09/13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Los Angeles</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eastAsia="zh-CN"/>
              </w:rPr>
            </w:pPr>
            <w:r w:rsidRPr="00A0226F">
              <w:rPr>
                <w:sz w:val="20"/>
                <w:lang w:eastAsia="zh-CN"/>
              </w:rPr>
              <w:t>Jet Propulsion Laboratory (JPL) NASA-Presenta</w:t>
            </w:r>
            <w:r w:rsidR="000D78AB" w:rsidRPr="00A0226F">
              <w:rPr>
                <w:sz w:val="20"/>
                <w:lang w:eastAsia="zh-CN"/>
              </w:rPr>
              <w:t xml:space="preserve">ción del </w:t>
            </w:r>
            <w:r w:rsidRPr="00A0226F">
              <w:rPr>
                <w:sz w:val="20"/>
                <w:lang w:eastAsia="zh-CN"/>
              </w:rPr>
              <w:t xml:space="preserve">RR + </w:t>
            </w:r>
            <w:r w:rsidR="000D78AB" w:rsidRPr="00A0226F">
              <w:rPr>
                <w:sz w:val="20"/>
                <w:lang w:eastAsia="zh-CN"/>
              </w:rPr>
              <w:t xml:space="preserve">pequeños satélites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13/09/13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13/09/13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Pasadena</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78AB" w:rsidP="00A0226F">
            <w:pPr>
              <w:pStyle w:val="Tabletext"/>
              <w:rPr>
                <w:sz w:val="20"/>
                <w:lang w:eastAsia="zh-CN"/>
              </w:rPr>
            </w:pPr>
            <w:r w:rsidRPr="00A0226F">
              <w:rPr>
                <w:sz w:val="20"/>
                <w:lang w:eastAsia="zh-CN"/>
              </w:rPr>
              <w:t xml:space="preserve">IBC 2013 </w:t>
            </w:r>
            <w:r w:rsidR="00A0226F">
              <w:rPr>
                <w:sz w:val="20"/>
                <w:lang w:eastAsia="zh-CN"/>
              </w:rPr>
              <w:t>–</w:t>
            </w:r>
            <w:r w:rsidRPr="00A0226F">
              <w:rPr>
                <w:sz w:val="20"/>
                <w:lang w:eastAsia="zh-CN"/>
              </w:rPr>
              <w:t xml:space="preserve"> Conferencia y Exposición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13/09/13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17/09/13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Amsterdam</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1A35D4">
            <w:pPr>
              <w:pStyle w:val="Tabletext"/>
              <w:rPr>
                <w:sz w:val="20"/>
                <w:lang w:eastAsia="zh-CN"/>
              </w:rPr>
            </w:pPr>
            <w:r w:rsidRPr="00A0226F">
              <w:rPr>
                <w:sz w:val="20"/>
                <w:lang w:eastAsia="zh-CN"/>
              </w:rPr>
              <w:t>Conferenc</w:t>
            </w:r>
            <w:r w:rsidR="00066701" w:rsidRPr="00A0226F">
              <w:rPr>
                <w:sz w:val="20"/>
                <w:lang w:eastAsia="zh-CN"/>
              </w:rPr>
              <w:t xml:space="preserve">ia sobre </w:t>
            </w:r>
            <w:r w:rsidR="001A35D4">
              <w:rPr>
                <w:sz w:val="20"/>
                <w:lang w:eastAsia="zh-CN"/>
              </w:rPr>
              <w:t>G</w:t>
            </w:r>
            <w:r w:rsidR="000D78AB" w:rsidRPr="00A0226F">
              <w:rPr>
                <w:sz w:val="20"/>
                <w:lang w:eastAsia="zh-CN"/>
              </w:rPr>
              <w:t xml:space="preserve">estión del </w:t>
            </w:r>
            <w:r w:rsidR="00066701" w:rsidRPr="00A0226F">
              <w:rPr>
                <w:sz w:val="20"/>
                <w:lang w:eastAsia="zh-CN"/>
              </w:rPr>
              <w:t>e</w:t>
            </w:r>
            <w:r w:rsidR="000D78AB" w:rsidRPr="00A0226F">
              <w:rPr>
                <w:sz w:val="20"/>
                <w:lang w:eastAsia="zh-CN"/>
              </w:rPr>
              <w:t>spectro</w:t>
            </w:r>
            <w:r w:rsidR="00E72A0F">
              <w:rPr>
                <w:sz w:val="20"/>
                <w:lang w:eastAsia="zh-CN"/>
              </w:rPr>
              <w:t xml:space="preserve">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20/09/13</w:t>
            </w:r>
          </w:p>
        </w:tc>
        <w:tc>
          <w:tcPr>
            <w:tcW w:w="1415" w:type="dxa"/>
            <w:tcBorders>
              <w:top w:val="nil"/>
              <w:left w:val="nil"/>
              <w:bottom w:val="single" w:sz="4" w:space="0" w:color="auto"/>
              <w:right w:val="single" w:sz="4" w:space="0" w:color="auto"/>
            </w:tcBorders>
            <w:noWrap/>
            <w:vAlign w:val="bottom"/>
            <w:hideMark/>
          </w:tcPr>
          <w:p w:rsidR="000D5DB1" w:rsidRPr="00A0226F" w:rsidRDefault="004F3B96" w:rsidP="00A0226F">
            <w:pPr>
              <w:pStyle w:val="Tabletext"/>
              <w:rPr>
                <w:sz w:val="20"/>
                <w:lang w:val="en-US" w:eastAsia="zh-CN"/>
              </w:rPr>
            </w:pPr>
            <w:r w:rsidRPr="00A0226F">
              <w:rPr>
                <w:sz w:val="20"/>
                <w:lang w:val="en-US" w:eastAsia="zh-CN"/>
              </w:rPr>
              <w:t>Lisboa</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78AB" w:rsidP="00A0226F">
            <w:pPr>
              <w:pStyle w:val="Tabletext"/>
              <w:rPr>
                <w:sz w:val="20"/>
                <w:lang w:eastAsia="zh-CN"/>
              </w:rPr>
            </w:pPr>
            <w:r w:rsidRPr="00A0226F">
              <w:rPr>
                <w:sz w:val="20"/>
                <w:lang w:eastAsia="zh-CN"/>
              </w:rPr>
              <w:t>64º Congreso Internacional de la Astronáutica (IAC-2013)</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23/09/13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27/09/13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Beijing</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eastAsia="zh-CN"/>
              </w:rPr>
            </w:pPr>
            <w:r w:rsidRPr="00A0226F">
              <w:rPr>
                <w:sz w:val="20"/>
                <w:lang w:eastAsia="zh-CN"/>
              </w:rPr>
              <w:t>APSCC 2013</w:t>
            </w:r>
            <w:r w:rsidR="000D78AB" w:rsidRPr="00A0226F">
              <w:rPr>
                <w:sz w:val="20"/>
                <w:lang w:eastAsia="zh-CN"/>
              </w:rPr>
              <w:t xml:space="preserve"> </w:t>
            </w:r>
            <w:r w:rsidR="00A0226F">
              <w:rPr>
                <w:sz w:val="20"/>
                <w:lang w:eastAsia="zh-CN"/>
              </w:rPr>
              <w:t>–</w:t>
            </w:r>
            <w:r w:rsidR="000D78AB" w:rsidRPr="00A0226F">
              <w:rPr>
                <w:sz w:val="20"/>
                <w:lang w:eastAsia="zh-CN"/>
              </w:rPr>
              <w:t xml:space="preserve"> Conferencia</w:t>
            </w:r>
            <w:r w:rsidR="00D61A7C" w:rsidRPr="00A0226F">
              <w:rPr>
                <w:sz w:val="20"/>
                <w:lang w:eastAsia="zh-CN"/>
              </w:rPr>
              <w:t xml:space="preserve"> y Exposición</w:t>
            </w:r>
            <w:r w:rsidR="000D78AB" w:rsidRPr="00A0226F">
              <w:rPr>
                <w:sz w:val="20"/>
                <w:lang w:eastAsia="zh-CN"/>
              </w:rPr>
              <w:t xml:space="preserve"> sobre Satélites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24/09/13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Hong Kong</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A0226F">
            <w:pPr>
              <w:pStyle w:val="Tabletext"/>
              <w:rPr>
                <w:sz w:val="20"/>
                <w:lang w:eastAsia="zh-CN"/>
              </w:rPr>
            </w:pPr>
            <w:r w:rsidRPr="00A0226F">
              <w:rPr>
                <w:sz w:val="20"/>
                <w:lang w:eastAsia="zh-CN"/>
              </w:rPr>
              <w:t>64º Congreso Internacional de la Astronáutica (IAC-2013</w:t>
            </w:r>
            <w:r w:rsidR="000D5DB1" w:rsidRPr="00A0226F">
              <w:rPr>
                <w:sz w:val="20"/>
                <w:lang w:eastAsia="zh-CN"/>
              </w:rPr>
              <w: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27/09/13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27/09/13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Beijing</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A0226F">
            <w:pPr>
              <w:pStyle w:val="Tabletext"/>
              <w:rPr>
                <w:sz w:val="20"/>
                <w:lang w:eastAsia="zh-CN"/>
              </w:rPr>
            </w:pPr>
            <w:r w:rsidRPr="00A0226F">
              <w:rPr>
                <w:sz w:val="20"/>
                <w:lang w:eastAsia="zh-CN"/>
              </w:rPr>
              <w:t>1ª R</w:t>
            </w:r>
            <w:r w:rsidR="00066701" w:rsidRPr="00A0226F">
              <w:rPr>
                <w:sz w:val="20"/>
                <w:lang w:eastAsia="zh-CN"/>
              </w:rPr>
              <w:t>eunión de la Junta Asesora del p</w:t>
            </w:r>
            <w:r w:rsidRPr="00A0226F">
              <w:rPr>
                <w:sz w:val="20"/>
                <w:lang w:eastAsia="zh-CN"/>
              </w:rPr>
              <w:t>royecto PHYLAWS</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01/10/13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02/10/13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Par</w:t>
            </w:r>
            <w:r w:rsidR="004F3B96" w:rsidRPr="00A0226F">
              <w:rPr>
                <w:sz w:val="20"/>
                <w:lang w:val="en-US" w:eastAsia="zh-CN"/>
              </w:rPr>
              <w:t>í</w:t>
            </w:r>
            <w:r w:rsidRPr="00A0226F">
              <w:rPr>
                <w:sz w:val="20"/>
                <w:lang w:val="en-US" w:eastAsia="zh-CN"/>
              </w:rPr>
              <w:t>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D61A7C" w:rsidP="001A35D4">
            <w:pPr>
              <w:pStyle w:val="Tabletext"/>
              <w:rPr>
                <w:sz w:val="20"/>
                <w:lang w:eastAsia="zh-CN"/>
              </w:rPr>
            </w:pPr>
            <w:r w:rsidRPr="00A0226F">
              <w:rPr>
                <w:sz w:val="20"/>
                <w:lang w:eastAsia="zh-CN"/>
              </w:rPr>
              <w:t xml:space="preserve">Foro </w:t>
            </w:r>
            <w:r w:rsidR="000D5DB1" w:rsidRPr="00A0226F">
              <w:rPr>
                <w:sz w:val="20"/>
                <w:lang w:eastAsia="zh-CN"/>
              </w:rPr>
              <w:t xml:space="preserve">ASBU </w:t>
            </w:r>
            <w:r w:rsidR="00066701" w:rsidRPr="00A0226F">
              <w:rPr>
                <w:sz w:val="20"/>
                <w:lang w:eastAsia="zh-CN"/>
              </w:rPr>
              <w:t xml:space="preserve">sobre </w:t>
            </w:r>
            <w:r w:rsidR="001A35D4">
              <w:rPr>
                <w:sz w:val="20"/>
                <w:lang w:eastAsia="zh-CN"/>
              </w:rPr>
              <w:t>I</w:t>
            </w:r>
            <w:r w:rsidR="000D78AB" w:rsidRPr="00A0226F">
              <w:rPr>
                <w:sz w:val="20"/>
                <w:lang w:eastAsia="zh-CN"/>
              </w:rPr>
              <w:t>nterferencias</w:t>
            </w:r>
            <w:r w:rsidR="00066701" w:rsidRPr="00A0226F">
              <w:rPr>
                <w:sz w:val="20"/>
                <w:lang w:eastAsia="zh-CN"/>
              </w:rPr>
              <w:t xml:space="preserve"> entre s</w:t>
            </w:r>
            <w:r w:rsidR="000D78AB" w:rsidRPr="00A0226F">
              <w:rPr>
                <w:sz w:val="20"/>
                <w:lang w:eastAsia="zh-CN"/>
              </w:rPr>
              <w:t xml:space="preserve">atélites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Túnez</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2314E6">
            <w:pPr>
              <w:pStyle w:val="Tabletext"/>
              <w:rPr>
                <w:sz w:val="20"/>
                <w:lang w:eastAsia="zh-CN"/>
              </w:rPr>
            </w:pPr>
            <w:r w:rsidRPr="00A0226F">
              <w:rPr>
                <w:sz w:val="20"/>
                <w:lang w:eastAsia="zh-CN"/>
              </w:rPr>
              <w:t xml:space="preserve">Foro </w:t>
            </w:r>
            <w:r w:rsidR="00D61A7C" w:rsidRPr="00A0226F">
              <w:rPr>
                <w:sz w:val="20"/>
                <w:lang w:eastAsia="zh-CN"/>
              </w:rPr>
              <w:t xml:space="preserve">para profesionales </w:t>
            </w:r>
            <w:r w:rsidRPr="00A0226F">
              <w:rPr>
                <w:sz w:val="20"/>
                <w:lang w:eastAsia="zh-CN"/>
              </w:rPr>
              <w:t xml:space="preserve">sobre LTE y </w:t>
            </w:r>
            <w:r w:rsidR="00D61A7C" w:rsidRPr="00A0226F">
              <w:rPr>
                <w:sz w:val="20"/>
                <w:lang w:eastAsia="zh-CN"/>
              </w:rPr>
              <w:t xml:space="preserve">la </w:t>
            </w:r>
            <w:r w:rsidR="002314E6">
              <w:rPr>
                <w:sz w:val="20"/>
                <w:lang w:eastAsia="zh-CN"/>
              </w:rPr>
              <w:t>G</w:t>
            </w:r>
            <w:r w:rsidR="00066701" w:rsidRPr="00A0226F">
              <w:rPr>
                <w:sz w:val="20"/>
                <w:lang w:eastAsia="zh-CN"/>
              </w:rPr>
              <w:t>estión del e</w:t>
            </w:r>
            <w:r w:rsidRPr="00A0226F">
              <w:rPr>
                <w:sz w:val="20"/>
                <w:lang w:eastAsia="zh-CN"/>
              </w:rPr>
              <w:t xml:space="preserve">spectro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09/10/13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11/10/13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Lond</w:t>
            </w:r>
            <w:r w:rsidR="004F3B96" w:rsidRPr="00A0226F">
              <w:rPr>
                <w:sz w:val="20"/>
                <w:lang w:val="en-US" w:eastAsia="zh-CN"/>
              </w:rPr>
              <w:t>res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78AB" w:rsidP="002314E6">
            <w:pPr>
              <w:pStyle w:val="Tabletext"/>
              <w:rPr>
                <w:sz w:val="20"/>
                <w:lang w:eastAsia="zh-CN"/>
              </w:rPr>
            </w:pPr>
            <w:r w:rsidRPr="00A0226F">
              <w:rPr>
                <w:sz w:val="20"/>
                <w:lang w:eastAsia="zh-CN"/>
              </w:rPr>
              <w:t xml:space="preserve">15ª Reunión sobre </w:t>
            </w:r>
            <w:r w:rsidR="002314E6">
              <w:rPr>
                <w:sz w:val="20"/>
                <w:lang w:eastAsia="zh-CN"/>
              </w:rPr>
              <w:t>C</w:t>
            </w:r>
            <w:r w:rsidR="00066701" w:rsidRPr="00A0226F">
              <w:rPr>
                <w:sz w:val="20"/>
                <w:lang w:eastAsia="zh-CN"/>
              </w:rPr>
              <w:t>omprobación t</w:t>
            </w:r>
            <w:r w:rsidR="00414ABA" w:rsidRPr="00A0226F">
              <w:rPr>
                <w:sz w:val="20"/>
                <w:lang w:eastAsia="zh-CN"/>
              </w:rPr>
              <w:t xml:space="preserve">écnica </w:t>
            </w:r>
            <w:r w:rsidR="00066701" w:rsidRPr="00A0226F">
              <w:rPr>
                <w:sz w:val="20"/>
                <w:lang w:eastAsia="zh-CN"/>
              </w:rPr>
              <w:t>i</w:t>
            </w:r>
            <w:r w:rsidR="00D61A7C" w:rsidRPr="00A0226F">
              <w:rPr>
                <w:sz w:val="20"/>
                <w:lang w:eastAsia="zh-CN"/>
              </w:rPr>
              <w:t xml:space="preserve">nternacional </w:t>
            </w:r>
            <w:r w:rsidR="00066701" w:rsidRPr="00A0226F">
              <w:rPr>
                <w:sz w:val="20"/>
                <w:lang w:eastAsia="zh-CN"/>
              </w:rPr>
              <w:t>de las r</w:t>
            </w:r>
            <w:r w:rsidR="00414ABA" w:rsidRPr="00A0226F">
              <w:rPr>
                <w:sz w:val="20"/>
                <w:lang w:eastAsia="zh-CN"/>
              </w:rPr>
              <w:t>adiocomunicaciones</w:t>
            </w:r>
            <w:r w:rsidR="00066701" w:rsidRPr="00A0226F">
              <w:rPr>
                <w:sz w:val="20"/>
                <w:lang w:eastAsia="zh-CN"/>
              </w:rPr>
              <w:t xml:space="preserve"> e</w:t>
            </w:r>
            <w:r w:rsidR="00414ABA" w:rsidRPr="00A0226F">
              <w:rPr>
                <w:sz w:val="20"/>
                <w:lang w:eastAsia="zh-CN"/>
              </w:rPr>
              <w:t>spaciales (ISRM)</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17/10/13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Kiev</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D61A7C" w:rsidP="00A0226F">
            <w:pPr>
              <w:pStyle w:val="Tabletext"/>
              <w:rPr>
                <w:sz w:val="20"/>
                <w:lang w:eastAsia="zh-CN"/>
              </w:rPr>
            </w:pPr>
            <w:r w:rsidRPr="00A0226F">
              <w:rPr>
                <w:sz w:val="20"/>
                <w:lang w:eastAsia="zh-CN"/>
              </w:rPr>
              <w:t>77ª Reunión General de IEC</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21/10/13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24/10/13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Nueva</w:t>
            </w:r>
            <w:r w:rsidR="000D5DB1" w:rsidRPr="00A0226F">
              <w:rPr>
                <w:sz w:val="20"/>
                <w:lang w:val="en-US" w:eastAsia="zh-CN"/>
              </w:rPr>
              <w:t xml:space="preserve"> Delhi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FutureCom</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24/10/13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R</w:t>
            </w:r>
            <w:r w:rsidR="004F3B96" w:rsidRPr="00A0226F">
              <w:rPr>
                <w:sz w:val="20"/>
                <w:lang w:val="en-US" w:eastAsia="zh-CN"/>
              </w:rPr>
              <w:t>í</w:t>
            </w:r>
            <w:r w:rsidRPr="00A0226F">
              <w:rPr>
                <w:sz w:val="20"/>
                <w:lang w:val="en-US" w:eastAsia="zh-CN"/>
              </w:rPr>
              <w:t>o de Janeiro</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14ABA" w:rsidP="00A0226F">
            <w:pPr>
              <w:pStyle w:val="Tabletext"/>
              <w:rPr>
                <w:sz w:val="20"/>
                <w:lang w:eastAsia="zh-CN"/>
              </w:rPr>
            </w:pPr>
            <w:r w:rsidRPr="00A0226F">
              <w:rPr>
                <w:sz w:val="20"/>
                <w:lang w:eastAsia="zh-CN"/>
              </w:rPr>
              <w:t>Reunión de la Junta de la Asociación Europea de Operadores de Satélite</w:t>
            </w:r>
            <w:r w:rsidR="00D61A7C" w:rsidRPr="00A0226F">
              <w:rPr>
                <w:sz w:val="20"/>
                <w:lang w:eastAsia="zh-CN"/>
              </w:rPr>
              <w:t>s</w:t>
            </w:r>
            <w:r w:rsidRPr="00A0226F">
              <w:rPr>
                <w:sz w:val="20"/>
                <w:lang w:eastAsia="zh-CN"/>
              </w:rPr>
              <w:t xml:space="preserve"> (ESOA)</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23/10/13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23/10/13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4F3B96" w:rsidP="00A0226F">
            <w:pPr>
              <w:pStyle w:val="Tabletext"/>
              <w:rPr>
                <w:sz w:val="20"/>
                <w:lang w:val="en-US" w:eastAsia="zh-CN"/>
              </w:rPr>
            </w:pPr>
            <w:r w:rsidRPr="00A0226F">
              <w:rPr>
                <w:sz w:val="20"/>
                <w:lang w:val="en-US" w:eastAsia="zh-CN"/>
              </w:rPr>
              <w:t>Bruselas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14ABA" w:rsidP="00A0226F">
            <w:pPr>
              <w:pStyle w:val="Tabletext"/>
              <w:rPr>
                <w:sz w:val="20"/>
                <w:lang w:val="en-US" w:eastAsia="zh-CN"/>
              </w:rPr>
            </w:pPr>
            <w:r w:rsidRPr="00A0226F">
              <w:rPr>
                <w:sz w:val="20"/>
                <w:lang w:val="en-US" w:eastAsia="zh-CN"/>
              </w:rPr>
              <w:t xml:space="preserve">Reunión de </w:t>
            </w:r>
            <w:r w:rsidR="000D5DB1" w:rsidRPr="00A0226F">
              <w:rPr>
                <w:sz w:val="20"/>
                <w:lang w:val="en-US" w:eastAsia="zh-CN"/>
              </w:rPr>
              <w:t xml:space="preserve">COMTELCA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San Jos</w:t>
            </w:r>
            <w:r w:rsidR="004F3B96" w:rsidRPr="00A0226F">
              <w:rPr>
                <w:sz w:val="20"/>
                <w:lang w:val="en-US" w:eastAsia="zh-CN"/>
              </w:rPr>
              <w:t>é</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14ABA" w:rsidP="00A0226F">
            <w:pPr>
              <w:pStyle w:val="Tabletext"/>
              <w:rPr>
                <w:sz w:val="20"/>
                <w:lang w:eastAsia="zh-CN"/>
              </w:rPr>
            </w:pPr>
            <w:r w:rsidRPr="00A0226F">
              <w:rPr>
                <w:sz w:val="20"/>
                <w:lang w:eastAsia="zh-CN"/>
              </w:rPr>
              <w:t xml:space="preserve">Conferencia Internacional de Ministros Africanos </w:t>
            </w:r>
            <w:r w:rsidR="007A5260">
              <w:rPr>
                <w:sz w:val="20"/>
                <w:lang w:eastAsia="zh-CN"/>
              </w:rPr>
              <w:t>–</w:t>
            </w:r>
            <w:r w:rsidRPr="00A0226F">
              <w:rPr>
                <w:sz w:val="20"/>
                <w:lang w:eastAsia="zh-CN"/>
              </w:rPr>
              <w:t xml:space="preserve"> </w:t>
            </w:r>
            <w:r w:rsidR="00D61A7C" w:rsidRPr="00A0226F">
              <w:rPr>
                <w:sz w:val="20"/>
                <w:lang w:eastAsia="zh-CN"/>
              </w:rPr>
              <w:t xml:space="preserve">Adopción de </w:t>
            </w:r>
            <w:r w:rsidRPr="00A0226F">
              <w:rPr>
                <w:sz w:val="20"/>
                <w:lang w:eastAsia="zh-CN"/>
              </w:rPr>
              <w:t>la TV digital terrenal</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08/11/13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Par</w:t>
            </w:r>
            <w:r w:rsidR="004F3B96" w:rsidRPr="00A0226F">
              <w:rPr>
                <w:sz w:val="20"/>
                <w:lang w:val="en-US" w:eastAsia="zh-CN"/>
              </w:rPr>
              <w:t>í</w:t>
            </w:r>
            <w:r w:rsidRPr="00A0226F">
              <w:rPr>
                <w:sz w:val="20"/>
                <w:lang w:val="en-US" w:eastAsia="zh-CN"/>
              </w:rPr>
              <w:t>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14ABA" w:rsidP="002314E6">
            <w:pPr>
              <w:pStyle w:val="Tabletext"/>
              <w:rPr>
                <w:sz w:val="20"/>
                <w:lang w:eastAsia="zh-CN"/>
              </w:rPr>
            </w:pPr>
            <w:r w:rsidRPr="00A0226F">
              <w:rPr>
                <w:sz w:val="20"/>
                <w:lang w:eastAsia="zh-CN"/>
              </w:rPr>
              <w:t xml:space="preserve">8ª Reunión </w:t>
            </w:r>
            <w:r w:rsidR="0009538B" w:rsidRPr="00A0226F">
              <w:rPr>
                <w:sz w:val="20"/>
                <w:lang w:eastAsia="zh-CN"/>
              </w:rPr>
              <w:t>i</w:t>
            </w:r>
            <w:r w:rsidR="00D61A7C" w:rsidRPr="00A0226F">
              <w:rPr>
                <w:sz w:val="20"/>
                <w:lang w:eastAsia="zh-CN"/>
              </w:rPr>
              <w:t xml:space="preserve">nternacional sobre </w:t>
            </w:r>
            <w:r w:rsidR="002314E6">
              <w:rPr>
                <w:sz w:val="20"/>
                <w:lang w:eastAsia="zh-CN"/>
              </w:rPr>
              <w:t>S</w:t>
            </w:r>
            <w:r w:rsidR="0009538B" w:rsidRPr="00A0226F">
              <w:rPr>
                <w:sz w:val="20"/>
                <w:lang w:eastAsia="zh-CN"/>
              </w:rPr>
              <w:t>istemas mundiales de navegación por s</w:t>
            </w:r>
            <w:r w:rsidRPr="00A0226F">
              <w:rPr>
                <w:sz w:val="20"/>
                <w:lang w:eastAsia="zh-CN"/>
              </w:rPr>
              <w:t xml:space="preserve">atélite (ICG-8)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Dub</w:t>
            </w:r>
            <w:r w:rsidR="004F3B96" w:rsidRPr="00A0226F">
              <w:rPr>
                <w:sz w:val="20"/>
                <w:lang w:val="en-US" w:eastAsia="zh-CN"/>
              </w:rPr>
              <w:t>á</w:t>
            </w:r>
            <w:r w:rsidRPr="00A0226F">
              <w:rPr>
                <w:sz w:val="20"/>
                <w:lang w:val="en-US" w:eastAsia="zh-CN"/>
              </w:rPr>
              <w:t>i</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414ABA" w:rsidP="002314E6">
            <w:pPr>
              <w:pStyle w:val="Tabletext"/>
              <w:rPr>
                <w:sz w:val="20"/>
                <w:lang w:eastAsia="zh-CN"/>
              </w:rPr>
            </w:pPr>
            <w:r w:rsidRPr="00A0226F">
              <w:rPr>
                <w:sz w:val="20"/>
                <w:lang w:eastAsia="zh-CN"/>
              </w:rPr>
              <w:t xml:space="preserve">Congreso Internacional de ANE sobre </w:t>
            </w:r>
            <w:r w:rsidR="00D61A7C" w:rsidRPr="00A0226F">
              <w:rPr>
                <w:sz w:val="20"/>
                <w:lang w:eastAsia="zh-CN"/>
              </w:rPr>
              <w:t xml:space="preserve">el </w:t>
            </w:r>
            <w:r w:rsidR="0009538B" w:rsidRPr="00A0226F">
              <w:rPr>
                <w:sz w:val="20"/>
                <w:lang w:eastAsia="zh-CN"/>
              </w:rPr>
              <w:t>e</w:t>
            </w:r>
            <w:r w:rsidRPr="00A0226F">
              <w:rPr>
                <w:sz w:val="20"/>
                <w:lang w:eastAsia="zh-CN"/>
              </w:rPr>
              <w:t xml:space="preserve">spectro </w:t>
            </w:r>
            <w:r w:rsidR="007A5260">
              <w:rPr>
                <w:sz w:val="20"/>
                <w:lang w:eastAsia="zh-CN"/>
              </w:rPr>
              <w:t>–</w:t>
            </w:r>
            <w:r w:rsidRPr="00A0226F">
              <w:rPr>
                <w:sz w:val="20"/>
                <w:lang w:eastAsia="zh-CN"/>
              </w:rPr>
              <w:t xml:space="preserve"> </w:t>
            </w:r>
            <w:r w:rsidR="002314E6">
              <w:rPr>
                <w:sz w:val="20"/>
                <w:lang w:eastAsia="zh-CN"/>
              </w:rPr>
              <w:t>«</w:t>
            </w:r>
            <w:r w:rsidRPr="00A0226F">
              <w:rPr>
                <w:sz w:val="20"/>
                <w:lang w:eastAsia="zh-CN"/>
              </w:rPr>
              <w:t>Innovación en la utilización del espectro</w:t>
            </w:r>
            <w:r w:rsidR="002314E6">
              <w:rPr>
                <w:sz w:val="20"/>
                <w:lang w:eastAsia="zh-CN"/>
              </w:rPr>
              <w:t>»</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12/11/13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13/11/13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Bogot</w:t>
            </w:r>
            <w:r w:rsidR="004F3B96" w:rsidRPr="00A0226F">
              <w:rPr>
                <w:sz w:val="20"/>
                <w:lang w:val="en-US" w:eastAsia="zh-CN"/>
              </w:rPr>
              <w:t>á</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83140A" w:rsidP="002314E6">
            <w:pPr>
              <w:pStyle w:val="Tabletext"/>
              <w:rPr>
                <w:sz w:val="20"/>
                <w:lang w:eastAsia="zh-CN"/>
              </w:rPr>
            </w:pPr>
            <w:r w:rsidRPr="00A0226F">
              <w:rPr>
                <w:sz w:val="20"/>
                <w:lang w:eastAsia="zh-CN"/>
              </w:rPr>
              <w:t>1ª Reunión del Grup</w:t>
            </w:r>
            <w:r w:rsidR="0009538B" w:rsidRPr="00A0226F">
              <w:rPr>
                <w:sz w:val="20"/>
                <w:lang w:eastAsia="zh-CN"/>
              </w:rPr>
              <w:t xml:space="preserve">o de Trabajo Africano sobre el </w:t>
            </w:r>
            <w:r w:rsidR="002314E6">
              <w:rPr>
                <w:sz w:val="20"/>
                <w:lang w:eastAsia="zh-CN"/>
              </w:rPr>
              <w:t>E</w:t>
            </w:r>
            <w:r w:rsidRPr="00A0226F">
              <w:rPr>
                <w:sz w:val="20"/>
                <w:lang w:eastAsia="zh-CN"/>
              </w:rPr>
              <w:t xml:space="preserve">spectro </w:t>
            </w:r>
            <w:r w:rsidR="005D636F" w:rsidRPr="00A0226F">
              <w:rPr>
                <w:sz w:val="20"/>
                <w:lang w:eastAsia="zh-CN"/>
              </w:rPr>
              <w:t>(AfriSWoG)</w:t>
            </w:r>
            <w:r w:rsidR="00737B1D" w:rsidRPr="00A0226F">
              <w:rPr>
                <w:sz w:val="20"/>
                <w:lang w:eastAsia="zh-CN"/>
              </w:rPr>
              <w:t xml:space="preserve"> de la ATU</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12/11/13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14/11/13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Nairobi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156502" w:rsidP="001A35D4">
            <w:pPr>
              <w:pStyle w:val="Tabletext"/>
              <w:rPr>
                <w:sz w:val="20"/>
                <w:lang w:eastAsia="zh-CN"/>
              </w:rPr>
            </w:pPr>
            <w:r w:rsidRPr="00A0226F">
              <w:rPr>
                <w:sz w:val="20"/>
                <w:lang w:eastAsia="zh-CN"/>
              </w:rPr>
              <w:t xml:space="preserve">Cumbre Mundial </w:t>
            </w:r>
            <w:r w:rsidR="0009538B" w:rsidRPr="00A0226F">
              <w:rPr>
                <w:sz w:val="20"/>
                <w:lang w:eastAsia="zh-CN"/>
              </w:rPr>
              <w:t>sobre el acceso d</w:t>
            </w:r>
            <w:r w:rsidR="00737B1D" w:rsidRPr="00A0226F">
              <w:rPr>
                <w:sz w:val="20"/>
                <w:lang w:eastAsia="zh-CN"/>
              </w:rPr>
              <w:t>in</w:t>
            </w:r>
            <w:r w:rsidR="0009538B" w:rsidRPr="00A0226F">
              <w:rPr>
                <w:sz w:val="20"/>
                <w:lang w:eastAsia="zh-CN"/>
              </w:rPr>
              <w:t>ámico al e</w:t>
            </w:r>
            <w:r w:rsidR="00737B1D" w:rsidRPr="00A0226F">
              <w:rPr>
                <w:sz w:val="20"/>
                <w:lang w:eastAsia="zh-CN"/>
              </w:rPr>
              <w:t xml:space="preserve">spectro, </w:t>
            </w:r>
            <w:r w:rsidR="000D5DB1" w:rsidRPr="00A0226F">
              <w:rPr>
                <w:sz w:val="20"/>
                <w:lang w:eastAsia="zh-CN"/>
              </w:rPr>
              <w:t>2013</w:t>
            </w:r>
            <w:r w:rsidR="005D636F" w:rsidRPr="00A0226F">
              <w:rPr>
                <w:sz w:val="20"/>
                <w:lang w:eastAsia="zh-CN"/>
              </w:rPr>
              <w:t xml:space="preserve"> </w:t>
            </w:r>
            <w:r w:rsidR="007A5260">
              <w:rPr>
                <w:sz w:val="20"/>
                <w:lang w:eastAsia="zh-CN"/>
              </w:rPr>
              <w:t>–</w:t>
            </w:r>
            <w:r w:rsidR="005D636F" w:rsidRPr="00A0226F">
              <w:rPr>
                <w:sz w:val="20"/>
                <w:lang w:eastAsia="zh-CN"/>
              </w:rPr>
              <w:t xml:space="preserve"> </w:t>
            </w:r>
            <w:r w:rsidR="001A35D4">
              <w:rPr>
                <w:sz w:val="20"/>
                <w:lang w:eastAsia="zh-CN"/>
              </w:rPr>
              <w:t>«</w:t>
            </w:r>
            <w:r w:rsidRPr="00A0226F">
              <w:rPr>
                <w:sz w:val="20"/>
                <w:lang w:eastAsia="zh-CN"/>
              </w:rPr>
              <w:t>Los albores de la abundancia del espectro</w:t>
            </w:r>
            <w:r w:rsidR="001A35D4">
              <w:rPr>
                <w:sz w:val="20"/>
                <w:lang w:eastAsia="zh-CN"/>
              </w:rPr>
              <w: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eastAsia="zh-CN"/>
              </w:rPr>
            </w:pPr>
            <w:r w:rsidRPr="00A0226F">
              <w:rPr>
                <w:sz w:val="20"/>
                <w:lang w:eastAsia="zh-CN"/>
              </w:rPr>
              <w:t xml:space="preserve">XVII </w:t>
            </w:r>
            <w:r w:rsidR="00156502" w:rsidRPr="00A0226F">
              <w:rPr>
                <w:sz w:val="20"/>
                <w:lang w:eastAsia="zh-CN"/>
              </w:rPr>
              <w:t xml:space="preserve">Congreso Internacional </w:t>
            </w:r>
            <w:r w:rsidRPr="00A0226F">
              <w:rPr>
                <w:sz w:val="20"/>
                <w:lang w:eastAsia="zh-CN"/>
              </w:rPr>
              <w:t xml:space="preserve">NAT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19/11/13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20/11/13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Mosc</w:t>
            </w:r>
            <w:r w:rsidR="004F3B96" w:rsidRPr="00A0226F">
              <w:rPr>
                <w:sz w:val="20"/>
                <w:lang w:val="en-US" w:eastAsia="zh-CN"/>
              </w:rPr>
              <w:t>ú</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156502" w:rsidP="00A0226F">
            <w:pPr>
              <w:pStyle w:val="Tabletext"/>
              <w:rPr>
                <w:sz w:val="20"/>
                <w:lang w:val="en-US" w:eastAsia="zh-CN"/>
              </w:rPr>
            </w:pPr>
            <w:r w:rsidRPr="00A0226F">
              <w:rPr>
                <w:sz w:val="20"/>
                <w:lang w:val="en-US" w:eastAsia="zh-CN"/>
              </w:rPr>
              <w:t xml:space="preserve">Cumbre </w:t>
            </w:r>
            <w:r w:rsidR="000D5DB1" w:rsidRPr="00A0226F">
              <w:rPr>
                <w:sz w:val="20"/>
                <w:lang w:val="en-US" w:eastAsia="zh-CN"/>
              </w:rPr>
              <w:t>DigiWorld</w:t>
            </w:r>
            <w:r w:rsidR="00737B1D" w:rsidRPr="00A0226F">
              <w:rPr>
                <w:sz w:val="20"/>
                <w:lang w:val="en-US" w:eastAsia="zh-CN"/>
              </w:rPr>
              <w:t>,</w:t>
            </w:r>
            <w:r w:rsidR="000D5DB1" w:rsidRPr="00A0226F">
              <w:rPr>
                <w:sz w:val="20"/>
                <w:lang w:val="en-US" w:eastAsia="zh-CN"/>
              </w:rPr>
              <w:t xml:space="preserve">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20/11/13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20/11/13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Montpellier</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737B1D" w:rsidP="001A35D4">
            <w:pPr>
              <w:pStyle w:val="Tabletext"/>
              <w:rPr>
                <w:sz w:val="20"/>
                <w:lang w:eastAsia="zh-CN"/>
              </w:rPr>
            </w:pPr>
            <w:r w:rsidRPr="00A0226F">
              <w:rPr>
                <w:sz w:val="20"/>
                <w:lang w:eastAsia="zh-CN"/>
              </w:rPr>
              <w:t>3º</w:t>
            </w:r>
            <w:r w:rsidR="0009538B" w:rsidRPr="00A0226F">
              <w:rPr>
                <w:sz w:val="20"/>
                <w:lang w:eastAsia="zh-CN"/>
              </w:rPr>
              <w:t xml:space="preserve"> Foro </w:t>
            </w:r>
            <w:r w:rsidR="001A35D4">
              <w:rPr>
                <w:sz w:val="20"/>
                <w:lang w:eastAsia="zh-CN"/>
              </w:rPr>
              <w:t>I</w:t>
            </w:r>
            <w:r w:rsidRPr="00A0226F">
              <w:rPr>
                <w:sz w:val="20"/>
                <w:lang w:eastAsia="zh-CN"/>
              </w:rPr>
              <w:t xml:space="preserve">nternacional sobre </w:t>
            </w:r>
            <w:r w:rsidR="001A35D4">
              <w:rPr>
                <w:sz w:val="20"/>
                <w:lang w:eastAsia="zh-CN"/>
              </w:rPr>
              <w:t>B</w:t>
            </w:r>
            <w:r w:rsidR="0009538B" w:rsidRPr="00A0226F">
              <w:rPr>
                <w:sz w:val="20"/>
                <w:lang w:eastAsia="zh-CN"/>
              </w:rPr>
              <w:t>anda a</w:t>
            </w:r>
            <w:r w:rsidR="00156502" w:rsidRPr="00A0226F">
              <w:rPr>
                <w:sz w:val="20"/>
                <w:lang w:eastAsia="zh-CN"/>
              </w:rPr>
              <w:t>ncha</w:t>
            </w:r>
            <w:r w:rsidRPr="00A0226F">
              <w:rPr>
                <w:sz w:val="20"/>
                <w:lang w:eastAsia="zh-CN"/>
              </w:rPr>
              <w:t xml:space="preserve"> en Rusia,</w:t>
            </w:r>
            <w:r w:rsidR="00156502" w:rsidRPr="00A0226F">
              <w:rPr>
                <w:sz w:val="20"/>
                <w:lang w:eastAsia="zh-CN"/>
              </w:rPr>
              <w:t xml:space="preserve">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27/11/13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28/11/13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Mosc</w:t>
            </w:r>
            <w:r w:rsidR="004F3B96" w:rsidRPr="00A0226F">
              <w:rPr>
                <w:sz w:val="20"/>
                <w:lang w:val="en-US" w:eastAsia="zh-CN"/>
              </w:rPr>
              <w:t>ú</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156502" w:rsidP="002314E6">
            <w:pPr>
              <w:pStyle w:val="Tabletext"/>
              <w:rPr>
                <w:sz w:val="20"/>
                <w:lang w:val="en-US" w:eastAsia="zh-CN"/>
              </w:rPr>
            </w:pPr>
            <w:r w:rsidRPr="00A0226F">
              <w:rPr>
                <w:sz w:val="20"/>
                <w:lang w:val="en-US" w:eastAsia="zh-CN"/>
              </w:rPr>
              <w:t xml:space="preserve">Tabla </w:t>
            </w:r>
            <w:r w:rsidR="002314E6">
              <w:rPr>
                <w:sz w:val="20"/>
                <w:lang w:val="en-US" w:eastAsia="zh-CN"/>
              </w:rPr>
              <w:t>r</w:t>
            </w:r>
            <w:r w:rsidRPr="00A0226F">
              <w:rPr>
                <w:sz w:val="20"/>
                <w:lang w:val="en-US" w:eastAsia="zh-CN"/>
              </w:rPr>
              <w:t>edonda durante BAKUTEL</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Bak</w:t>
            </w:r>
            <w:r w:rsidR="004F3B96" w:rsidRPr="00A0226F">
              <w:rPr>
                <w:sz w:val="20"/>
                <w:lang w:val="en-US" w:eastAsia="zh-CN"/>
              </w:rPr>
              <w:t>ú</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1A35D4">
            <w:pPr>
              <w:pStyle w:val="Tabletext"/>
              <w:rPr>
                <w:sz w:val="20"/>
                <w:lang w:eastAsia="zh-CN"/>
              </w:rPr>
            </w:pPr>
            <w:r w:rsidRPr="00A0226F">
              <w:rPr>
                <w:sz w:val="20"/>
                <w:lang w:eastAsia="zh-CN"/>
              </w:rPr>
              <w:t>R</w:t>
            </w:r>
            <w:r w:rsidR="00156502" w:rsidRPr="00A0226F">
              <w:rPr>
                <w:sz w:val="20"/>
                <w:lang w:eastAsia="zh-CN"/>
              </w:rPr>
              <w:t>eunió</w:t>
            </w:r>
            <w:r w:rsidRPr="00A0226F">
              <w:rPr>
                <w:sz w:val="20"/>
                <w:lang w:eastAsia="zh-CN"/>
              </w:rPr>
              <w:t xml:space="preserve">n </w:t>
            </w:r>
            <w:r w:rsidR="001A35D4">
              <w:rPr>
                <w:sz w:val="20"/>
                <w:lang w:eastAsia="zh-CN"/>
              </w:rPr>
              <w:t>«</w:t>
            </w:r>
            <w:r w:rsidR="00156502" w:rsidRPr="00A0226F">
              <w:rPr>
                <w:sz w:val="20"/>
                <w:lang w:eastAsia="zh-CN"/>
              </w:rPr>
              <w:t>Acondicionamiento digital de los territorios en África</w:t>
            </w:r>
            <w:r w:rsidR="001A35D4">
              <w:rPr>
                <w:sz w:val="20"/>
                <w:lang w:eastAsia="zh-CN"/>
              </w:rPr>
              <w: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04/12/13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Dakar</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156502" w:rsidP="00A0226F">
            <w:pPr>
              <w:pStyle w:val="Tabletext"/>
              <w:rPr>
                <w:sz w:val="20"/>
                <w:lang w:eastAsia="zh-CN"/>
              </w:rPr>
            </w:pPr>
            <w:r w:rsidRPr="00A0226F">
              <w:rPr>
                <w:sz w:val="20"/>
                <w:lang w:eastAsia="zh-CN"/>
              </w:rPr>
              <w:t>7ª Conferencia de Organismos Reguladores Africanos de las Comunicaciones</w:t>
            </w:r>
            <w:r w:rsidR="00737B1D" w:rsidRPr="00A0226F">
              <w:rPr>
                <w:sz w:val="20"/>
                <w:lang w:eastAsia="zh-CN"/>
              </w:rPr>
              <w:t xml:space="preserve"> (ACRAN)</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Niamey</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737B1D" w:rsidP="00E22363">
            <w:pPr>
              <w:pStyle w:val="Tabletext"/>
              <w:keepNext/>
              <w:keepLines/>
              <w:rPr>
                <w:sz w:val="20"/>
                <w:lang w:eastAsia="zh-CN"/>
              </w:rPr>
            </w:pPr>
            <w:r w:rsidRPr="00A0226F">
              <w:rPr>
                <w:sz w:val="20"/>
                <w:lang w:eastAsia="zh-CN"/>
              </w:rPr>
              <w:lastRenderedPageBreak/>
              <w:t xml:space="preserve">Grupo de la </w:t>
            </w:r>
            <w:r w:rsidR="00156502" w:rsidRPr="00A0226F">
              <w:rPr>
                <w:sz w:val="20"/>
                <w:lang w:eastAsia="zh-CN"/>
              </w:rPr>
              <w:t>Unión Europea de Radiodifusión (</w:t>
            </w:r>
            <w:r w:rsidRPr="00A0226F">
              <w:rPr>
                <w:sz w:val="20"/>
                <w:lang w:eastAsia="zh-CN"/>
              </w:rPr>
              <w:t>UER</w:t>
            </w:r>
            <w:r w:rsidR="00156502" w:rsidRPr="00A0226F">
              <w:rPr>
                <w:sz w:val="20"/>
                <w:lang w:eastAsia="zh-CN"/>
              </w:rPr>
              <w:t>)</w:t>
            </w:r>
            <w:r w:rsidRPr="00A0226F">
              <w:rPr>
                <w:sz w:val="20"/>
                <w:lang w:eastAsia="zh-CN"/>
              </w:rPr>
              <w:t xml:space="preserve"> </w:t>
            </w:r>
            <w:r w:rsidR="00156502" w:rsidRPr="00A0226F">
              <w:rPr>
                <w:sz w:val="20"/>
                <w:lang w:eastAsia="zh-CN"/>
              </w:rPr>
              <w:t>sobr</w:t>
            </w:r>
            <w:r w:rsidR="0009538B" w:rsidRPr="00A0226F">
              <w:rPr>
                <w:sz w:val="20"/>
                <w:lang w:eastAsia="zh-CN"/>
              </w:rPr>
              <w:t>e g</w:t>
            </w:r>
            <w:r w:rsidR="00156502" w:rsidRPr="00A0226F">
              <w:rPr>
                <w:sz w:val="20"/>
                <w:lang w:eastAsia="zh-CN"/>
              </w:rPr>
              <w:t>esti</w:t>
            </w:r>
            <w:r w:rsidR="0009538B" w:rsidRPr="00A0226F">
              <w:rPr>
                <w:sz w:val="20"/>
                <w:lang w:eastAsia="zh-CN"/>
              </w:rPr>
              <w:t>ón s</w:t>
            </w:r>
            <w:r w:rsidR="00156502" w:rsidRPr="00A0226F">
              <w:rPr>
                <w:sz w:val="20"/>
                <w:lang w:eastAsia="zh-CN"/>
              </w:rPr>
              <w:t xml:space="preserve">ostenible del </w:t>
            </w:r>
            <w:r w:rsidR="0009538B" w:rsidRPr="00A0226F">
              <w:rPr>
                <w:sz w:val="20"/>
                <w:lang w:eastAsia="zh-CN"/>
              </w:rPr>
              <w:t>e</w:t>
            </w:r>
            <w:r w:rsidR="00156502" w:rsidRPr="00A0226F">
              <w:rPr>
                <w:sz w:val="20"/>
                <w:lang w:eastAsia="zh-CN"/>
              </w:rPr>
              <w:t>spectro</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E22363">
            <w:pPr>
              <w:pStyle w:val="Tabletext"/>
              <w:keepNext/>
              <w:keepLines/>
              <w:rPr>
                <w:sz w:val="20"/>
                <w:lang w:val="en-US" w:eastAsia="zh-CN"/>
              </w:rPr>
            </w:pPr>
            <w:r w:rsidRPr="00A0226F">
              <w:rPr>
                <w:sz w:val="20"/>
                <w:lang w:val="en-US" w:eastAsia="zh-CN"/>
              </w:rPr>
              <w:t>11/12/13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E22363">
            <w:pPr>
              <w:pStyle w:val="Tabletext"/>
              <w:keepNext/>
              <w:keepLines/>
              <w:rPr>
                <w:sz w:val="20"/>
                <w:lang w:val="en-US" w:eastAsia="zh-CN"/>
              </w:rPr>
            </w:pPr>
            <w:r w:rsidRPr="00A0226F">
              <w:rPr>
                <w:sz w:val="20"/>
                <w:lang w:val="en-US" w:eastAsia="zh-CN"/>
              </w:rPr>
              <w:t>12/12/13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4F3B96" w:rsidP="00E22363">
            <w:pPr>
              <w:pStyle w:val="Tabletext"/>
              <w:keepNext/>
              <w:keepLines/>
              <w:rPr>
                <w:sz w:val="20"/>
                <w:lang w:val="en-US" w:eastAsia="zh-CN"/>
              </w:rPr>
            </w:pPr>
            <w:r w:rsidRPr="00A0226F">
              <w:rPr>
                <w:sz w:val="20"/>
                <w:lang w:val="en-US" w:eastAsia="zh-CN"/>
              </w:rPr>
              <w:t>Ginebra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D5DB1" w:rsidRPr="00A0226F" w:rsidRDefault="00156502" w:rsidP="002314E6">
            <w:pPr>
              <w:pStyle w:val="Tabletext"/>
              <w:keepNext/>
              <w:keepLines/>
              <w:rPr>
                <w:sz w:val="20"/>
                <w:lang w:eastAsia="zh-CN"/>
              </w:rPr>
            </w:pPr>
            <w:r w:rsidRPr="00A0226F">
              <w:rPr>
                <w:sz w:val="20"/>
                <w:lang w:eastAsia="zh-CN"/>
              </w:rPr>
              <w:t xml:space="preserve">REUNIONES DE COMISIONES DE ESTUDIO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2314E6">
            <w:pPr>
              <w:pStyle w:val="Tabletext"/>
              <w:keepNext/>
              <w:keepLines/>
              <w:rPr>
                <w:sz w:val="20"/>
                <w:lang w:eastAsia="zh-CN"/>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2314E6">
            <w:pPr>
              <w:pStyle w:val="Tabletext"/>
              <w:keepNext/>
              <w:keepLines/>
              <w:rPr>
                <w:sz w:val="20"/>
                <w:lang w:eastAsia="zh-CN"/>
              </w:rPr>
            </w:pP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2314E6">
            <w:pPr>
              <w:pStyle w:val="Tabletext"/>
              <w:keepNext/>
              <w:keepLines/>
              <w:rPr>
                <w:sz w:val="20"/>
                <w:lang w:eastAsia="zh-CN"/>
              </w:rPr>
            </w:pP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center"/>
            <w:hideMark/>
          </w:tcPr>
          <w:p w:rsidR="000D5DB1" w:rsidRPr="00A0226F" w:rsidRDefault="00E36354" w:rsidP="00A0226F">
            <w:pPr>
              <w:pStyle w:val="Tabletext"/>
              <w:rPr>
                <w:sz w:val="20"/>
                <w:lang w:eastAsia="zh-CN"/>
              </w:rPr>
            </w:pPr>
            <w:r w:rsidRPr="00A0226F">
              <w:rPr>
                <w:sz w:val="20"/>
                <w:lang w:eastAsia="zh-CN"/>
              </w:rPr>
              <w:t>Reunión del GT 5D</w:t>
            </w:r>
          </w:p>
        </w:tc>
        <w:tc>
          <w:tcPr>
            <w:tcW w:w="1276"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10/07/13</w:t>
            </w:r>
          </w:p>
        </w:tc>
        <w:tc>
          <w:tcPr>
            <w:tcW w:w="992"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17/07/13</w:t>
            </w:r>
          </w:p>
        </w:tc>
        <w:tc>
          <w:tcPr>
            <w:tcW w:w="1415" w:type="dxa"/>
            <w:tcBorders>
              <w:top w:val="nil"/>
              <w:left w:val="nil"/>
              <w:bottom w:val="single" w:sz="4" w:space="0" w:color="auto"/>
              <w:right w:val="single" w:sz="4" w:space="0" w:color="auto"/>
            </w:tcBorders>
            <w:shd w:val="clear" w:color="auto" w:fill="FFFFFF"/>
            <w:noWrap/>
            <w:vAlign w:val="center"/>
            <w:hideMark/>
          </w:tcPr>
          <w:p w:rsidR="000D5DB1" w:rsidRPr="00A0226F" w:rsidRDefault="000D5DB1" w:rsidP="00A0226F">
            <w:pPr>
              <w:pStyle w:val="Tabletext"/>
              <w:rPr>
                <w:sz w:val="20"/>
                <w:lang w:val="en-US" w:eastAsia="zh-CN"/>
              </w:rPr>
            </w:pPr>
            <w:r w:rsidRPr="00A0226F">
              <w:rPr>
                <w:sz w:val="20"/>
                <w:lang w:val="en-US" w:eastAsia="zh-CN"/>
              </w:rPr>
              <w:t>Sapporo</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E36354" w:rsidP="00A0226F">
            <w:pPr>
              <w:pStyle w:val="Tabletext"/>
              <w:rPr>
                <w:sz w:val="20"/>
                <w:lang w:val="en-US" w:eastAsia="zh-CN"/>
              </w:rPr>
            </w:pPr>
            <w:r w:rsidRPr="00A0226F">
              <w:rPr>
                <w:sz w:val="20"/>
                <w:lang w:val="en-US" w:eastAsia="zh-CN"/>
              </w:rPr>
              <w:t xml:space="preserve">GMTE </w:t>
            </w:r>
            <w:r w:rsidR="000D5DB1" w:rsidRPr="00A0226F">
              <w:rPr>
                <w:sz w:val="20"/>
                <w:lang w:val="en-US" w:eastAsia="zh-CN"/>
              </w:rPr>
              <w:t>4-5-6-7</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22/07/13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31/07/13</w:t>
            </w:r>
          </w:p>
        </w:tc>
        <w:tc>
          <w:tcPr>
            <w:tcW w:w="1415" w:type="dxa"/>
            <w:tcBorders>
              <w:top w:val="nil"/>
              <w:left w:val="nil"/>
              <w:bottom w:val="single" w:sz="4" w:space="0" w:color="auto"/>
              <w:right w:val="single" w:sz="4" w:space="0" w:color="auto"/>
            </w:tcBorders>
            <w:noWrap/>
            <w:vAlign w:val="bottom"/>
            <w:hideMark/>
          </w:tcPr>
          <w:p w:rsidR="000D5DB1" w:rsidRPr="00A0226F" w:rsidRDefault="004F3B96" w:rsidP="00A0226F">
            <w:pPr>
              <w:pStyle w:val="Tabletext"/>
              <w:rPr>
                <w:sz w:val="20"/>
                <w:lang w:val="en-US" w:eastAsia="zh-CN"/>
              </w:rPr>
            </w:pPr>
            <w:r w:rsidRPr="00A0226F">
              <w:rPr>
                <w:sz w:val="20"/>
                <w:lang w:val="en-US" w:eastAsia="zh-CN"/>
              </w:rPr>
              <w:t>Sudáfrica</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D5DB1" w:rsidRPr="00A0226F" w:rsidRDefault="000D5DB1" w:rsidP="00A0226F">
            <w:pPr>
              <w:pStyle w:val="Tabletext"/>
              <w:rPr>
                <w:sz w:val="20"/>
                <w:lang w:eastAsia="zh-CN"/>
              </w:rPr>
            </w:pPr>
            <w:r w:rsidRPr="00A0226F">
              <w:rPr>
                <w:sz w:val="20"/>
                <w:lang w:eastAsia="zh-CN"/>
              </w:rPr>
              <w:t>SEMINAR</w:t>
            </w:r>
            <w:r w:rsidR="00D14514" w:rsidRPr="00A0226F">
              <w:rPr>
                <w:sz w:val="20"/>
                <w:lang w:eastAsia="zh-CN"/>
              </w:rPr>
              <w:t>IO</w:t>
            </w:r>
            <w:r w:rsidRPr="00A0226F">
              <w:rPr>
                <w:sz w:val="20"/>
                <w:lang w:eastAsia="zh-CN"/>
              </w:rPr>
              <w:t xml:space="preserve">S, </w:t>
            </w:r>
            <w:r w:rsidR="00D14514" w:rsidRPr="00A0226F">
              <w:rPr>
                <w:sz w:val="20"/>
                <w:lang w:eastAsia="zh-CN"/>
              </w:rPr>
              <w:t xml:space="preserve">TALLERES Y REUNIONES DE LA UIT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noWrap/>
            <w:vAlign w:val="bottom"/>
            <w:hideMark/>
          </w:tcPr>
          <w:p w:rsidR="000D5DB1" w:rsidRPr="00A0226F" w:rsidRDefault="00D14514" w:rsidP="00A0226F">
            <w:pPr>
              <w:pStyle w:val="Tabletext"/>
              <w:rPr>
                <w:sz w:val="20"/>
                <w:lang w:eastAsia="zh-CN"/>
              </w:rPr>
            </w:pPr>
            <w:r w:rsidRPr="00A0226F">
              <w:rPr>
                <w:sz w:val="20"/>
                <w:lang w:eastAsia="zh-CN"/>
              </w:rPr>
              <w:t>C</w:t>
            </w:r>
            <w:r w:rsidR="000D5DB1" w:rsidRPr="00A0226F">
              <w:rPr>
                <w:sz w:val="20"/>
                <w:lang w:eastAsia="zh-CN"/>
              </w:rPr>
              <w:t>aleidoscop</w:t>
            </w:r>
            <w:r w:rsidRPr="00A0226F">
              <w:rPr>
                <w:sz w:val="20"/>
                <w:lang w:eastAsia="zh-CN"/>
              </w:rPr>
              <w:t>io</w:t>
            </w:r>
            <w:r w:rsidR="000D5DB1" w:rsidRPr="00A0226F">
              <w:rPr>
                <w:sz w:val="20"/>
                <w:lang w:eastAsia="zh-CN"/>
              </w:rPr>
              <w:t xml:space="preserve"> 2013 </w:t>
            </w:r>
            <w:r w:rsidR="00A0226F">
              <w:rPr>
                <w:sz w:val="20"/>
                <w:lang w:eastAsia="zh-CN"/>
              </w:rPr>
              <w:t>–</w:t>
            </w:r>
            <w:r w:rsidR="000D5DB1" w:rsidRPr="00A0226F">
              <w:rPr>
                <w:sz w:val="20"/>
                <w:lang w:eastAsia="zh-CN"/>
              </w:rPr>
              <w:t xml:space="preserve"> </w:t>
            </w:r>
            <w:r w:rsidRPr="00A0226F">
              <w:rPr>
                <w:sz w:val="20"/>
                <w:lang w:eastAsia="zh-CN"/>
              </w:rPr>
              <w:t>Conferencia Académica</w:t>
            </w:r>
            <w:r w:rsidR="000E69D1" w:rsidRPr="00A0226F">
              <w:rPr>
                <w:sz w:val="20"/>
                <w:lang w:eastAsia="zh-CN"/>
              </w:rPr>
              <w:t xml:space="preserve"> organizada por </w:t>
            </w:r>
            <w:r w:rsidRPr="00A0226F">
              <w:rPr>
                <w:sz w:val="20"/>
                <w:lang w:eastAsia="zh-CN"/>
              </w:rPr>
              <w:t>la UIT</w:t>
            </w:r>
          </w:p>
        </w:tc>
        <w:tc>
          <w:tcPr>
            <w:tcW w:w="1276"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22/04/13</w:t>
            </w:r>
          </w:p>
        </w:tc>
        <w:tc>
          <w:tcPr>
            <w:tcW w:w="992"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24/04/13</w:t>
            </w:r>
          </w:p>
        </w:tc>
        <w:tc>
          <w:tcPr>
            <w:tcW w:w="1415" w:type="dxa"/>
            <w:tcBorders>
              <w:top w:val="single" w:sz="4" w:space="0" w:color="auto"/>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Kyoto</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E69D1" w:rsidP="00A0226F">
            <w:pPr>
              <w:pStyle w:val="Tabletext"/>
              <w:rPr>
                <w:sz w:val="20"/>
                <w:lang w:eastAsia="zh-CN"/>
              </w:rPr>
            </w:pPr>
            <w:r w:rsidRPr="00A0226F">
              <w:rPr>
                <w:sz w:val="20"/>
                <w:lang w:eastAsia="zh-CN"/>
              </w:rPr>
              <w:t xml:space="preserve">Taller </w:t>
            </w:r>
            <w:r w:rsidR="00D14514" w:rsidRPr="00A0226F">
              <w:rPr>
                <w:sz w:val="20"/>
                <w:lang w:eastAsia="zh-CN"/>
              </w:rPr>
              <w:t>UIT</w:t>
            </w:r>
            <w:r w:rsidR="000D5DB1" w:rsidRPr="00A0226F">
              <w:rPr>
                <w:sz w:val="20"/>
                <w:lang w:eastAsia="zh-CN"/>
              </w:rPr>
              <w:t xml:space="preserve">/PITA </w:t>
            </w:r>
            <w:r w:rsidR="00D14514" w:rsidRPr="00A0226F">
              <w:rPr>
                <w:sz w:val="20"/>
                <w:lang w:eastAsia="zh-CN"/>
              </w:rPr>
              <w:t>para las Islas del Pacífico</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22/04/13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26/04/13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Samoa</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E69D1" w:rsidP="00A0226F">
            <w:pPr>
              <w:pStyle w:val="Tabletext"/>
              <w:rPr>
                <w:sz w:val="20"/>
                <w:lang w:eastAsia="zh-CN"/>
              </w:rPr>
            </w:pPr>
            <w:r w:rsidRPr="00A0226F">
              <w:rPr>
                <w:sz w:val="20"/>
                <w:lang w:eastAsia="zh-CN"/>
              </w:rPr>
              <w:t xml:space="preserve">Seminario </w:t>
            </w:r>
            <w:r w:rsidR="00D14514" w:rsidRPr="00A0226F">
              <w:rPr>
                <w:sz w:val="20"/>
                <w:lang w:eastAsia="zh-CN"/>
              </w:rPr>
              <w:t>UIT</w:t>
            </w:r>
            <w:r w:rsidR="000D5DB1" w:rsidRPr="00A0226F">
              <w:rPr>
                <w:sz w:val="20"/>
                <w:lang w:eastAsia="zh-CN"/>
              </w:rPr>
              <w:t>/CTU/CBU</w:t>
            </w:r>
            <w:r w:rsidRPr="00A0226F">
              <w:rPr>
                <w:sz w:val="20"/>
                <w:lang w:eastAsia="zh-CN"/>
              </w:rPr>
              <w:t xml:space="preserve"> </w:t>
            </w:r>
            <w:r w:rsidR="0009538B" w:rsidRPr="00A0226F">
              <w:rPr>
                <w:sz w:val="20"/>
                <w:lang w:eastAsia="zh-CN"/>
              </w:rPr>
              <w:t>sobre g</w:t>
            </w:r>
            <w:r w:rsidR="00D14514" w:rsidRPr="00A0226F">
              <w:rPr>
                <w:sz w:val="20"/>
                <w:lang w:eastAsia="zh-CN"/>
              </w:rPr>
              <w:t xml:space="preserve">estión del </w:t>
            </w:r>
            <w:r w:rsidR="0009538B" w:rsidRPr="00A0226F">
              <w:rPr>
                <w:sz w:val="20"/>
                <w:lang w:eastAsia="zh-CN"/>
              </w:rPr>
              <w:t>e</w:t>
            </w:r>
            <w:r w:rsidR="00D14514" w:rsidRPr="00A0226F">
              <w:rPr>
                <w:sz w:val="20"/>
                <w:lang w:eastAsia="zh-CN"/>
              </w:rPr>
              <w:t xml:space="preserve">spectro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29/04/13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03/05/13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Kingstown</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D14514" w:rsidP="00A0226F">
            <w:pPr>
              <w:pStyle w:val="Tabletext"/>
              <w:rPr>
                <w:sz w:val="20"/>
                <w:lang w:eastAsia="zh-CN"/>
              </w:rPr>
            </w:pPr>
            <w:r w:rsidRPr="00A0226F">
              <w:rPr>
                <w:sz w:val="20"/>
                <w:lang w:eastAsia="zh-CN"/>
              </w:rPr>
              <w:t xml:space="preserve">8º Simposio de la UIT sobre TIC, </w:t>
            </w:r>
            <w:r w:rsidR="0009538B" w:rsidRPr="00A0226F">
              <w:rPr>
                <w:sz w:val="20"/>
                <w:lang w:eastAsia="zh-CN"/>
              </w:rPr>
              <w:t>m</w:t>
            </w:r>
            <w:r w:rsidRPr="00A0226F">
              <w:rPr>
                <w:sz w:val="20"/>
                <w:lang w:eastAsia="zh-CN"/>
              </w:rPr>
              <w:t xml:space="preserve">edio </w:t>
            </w:r>
            <w:r w:rsidR="0009538B" w:rsidRPr="00A0226F">
              <w:rPr>
                <w:sz w:val="20"/>
                <w:lang w:eastAsia="zh-CN"/>
              </w:rPr>
              <w:t>ambiente y cambio c</w:t>
            </w:r>
            <w:r w:rsidRPr="00A0226F">
              <w:rPr>
                <w:sz w:val="20"/>
                <w:lang w:eastAsia="zh-CN"/>
              </w:rPr>
              <w:t>limático</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07/05/13</w:t>
            </w:r>
          </w:p>
        </w:tc>
        <w:tc>
          <w:tcPr>
            <w:tcW w:w="1415" w:type="dxa"/>
            <w:tcBorders>
              <w:top w:val="nil"/>
              <w:left w:val="nil"/>
              <w:bottom w:val="single" w:sz="4" w:space="0" w:color="auto"/>
              <w:right w:val="single" w:sz="4" w:space="0" w:color="auto"/>
            </w:tcBorders>
            <w:noWrap/>
            <w:vAlign w:val="bottom"/>
            <w:hideMark/>
          </w:tcPr>
          <w:p w:rsidR="000D5DB1" w:rsidRPr="00A0226F" w:rsidRDefault="004F3B96" w:rsidP="00A0226F">
            <w:pPr>
              <w:pStyle w:val="Tabletext"/>
              <w:rPr>
                <w:sz w:val="20"/>
                <w:lang w:val="en-US" w:eastAsia="zh-CN"/>
              </w:rPr>
            </w:pPr>
            <w:r w:rsidRPr="00A0226F">
              <w:rPr>
                <w:sz w:val="20"/>
                <w:lang w:val="en-US" w:eastAsia="zh-CN"/>
              </w:rPr>
              <w:t>Turín</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E69D1" w:rsidP="00A0226F">
            <w:pPr>
              <w:pStyle w:val="Tabletext"/>
              <w:rPr>
                <w:sz w:val="20"/>
                <w:lang w:eastAsia="zh-CN"/>
              </w:rPr>
            </w:pPr>
            <w:r w:rsidRPr="00A0226F">
              <w:rPr>
                <w:sz w:val="20"/>
                <w:lang w:eastAsia="zh-CN"/>
              </w:rPr>
              <w:t xml:space="preserve">Taller </w:t>
            </w:r>
            <w:r w:rsidR="00D14514" w:rsidRPr="00A0226F">
              <w:rPr>
                <w:sz w:val="20"/>
                <w:lang w:eastAsia="zh-CN"/>
              </w:rPr>
              <w:t>UIT</w:t>
            </w:r>
            <w:r w:rsidR="000D5DB1" w:rsidRPr="00A0226F">
              <w:rPr>
                <w:sz w:val="20"/>
                <w:lang w:eastAsia="zh-CN"/>
              </w:rPr>
              <w:t xml:space="preserve">/ITSO </w:t>
            </w:r>
            <w:r w:rsidR="0009538B" w:rsidRPr="00A0226F">
              <w:rPr>
                <w:sz w:val="20"/>
                <w:lang w:eastAsia="zh-CN"/>
              </w:rPr>
              <w:t>sobre VSAT y sistemas de s</w:t>
            </w:r>
            <w:r w:rsidR="00D14514" w:rsidRPr="00A0226F">
              <w:rPr>
                <w:sz w:val="20"/>
                <w:lang w:eastAsia="zh-CN"/>
              </w:rPr>
              <w:t>atélite</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20/05/13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24/05/13</w:t>
            </w:r>
          </w:p>
        </w:tc>
        <w:tc>
          <w:tcPr>
            <w:tcW w:w="1415" w:type="dxa"/>
            <w:tcBorders>
              <w:top w:val="nil"/>
              <w:left w:val="nil"/>
              <w:bottom w:val="single" w:sz="4" w:space="0" w:color="auto"/>
              <w:right w:val="single" w:sz="4" w:space="0" w:color="auto"/>
            </w:tcBorders>
            <w:noWrap/>
            <w:vAlign w:val="bottom"/>
            <w:hideMark/>
          </w:tcPr>
          <w:p w:rsidR="000D5DB1" w:rsidRPr="00A0226F" w:rsidRDefault="004F3B96" w:rsidP="00A0226F">
            <w:pPr>
              <w:pStyle w:val="Tabletext"/>
              <w:rPr>
                <w:sz w:val="20"/>
                <w:lang w:val="en-US" w:eastAsia="zh-CN"/>
              </w:rPr>
            </w:pPr>
            <w:r w:rsidRPr="00A0226F">
              <w:rPr>
                <w:sz w:val="20"/>
                <w:lang w:val="en-US" w:eastAsia="zh-CN"/>
              </w:rPr>
              <w:t>Nas</w:t>
            </w:r>
            <w:r w:rsidR="00D55C37" w:rsidRPr="00A0226F">
              <w:rPr>
                <w:sz w:val="20"/>
                <w:lang w:val="en-US" w:eastAsia="zh-CN"/>
              </w:rPr>
              <w:t>á</w:t>
            </w:r>
            <w:r w:rsidR="000D5DB1" w:rsidRPr="00A0226F">
              <w:rPr>
                <w:sz w:val="20"/>
                <w:lang w:val="en-US" w:eastAsia="zh-CN"/>
              </w:rPr>
              <w:t>u</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D14514" w:rsidP="00A0226F">
            <w:pPr>
              <w:pStyle w:val="Tabletext"/>
              <w:rPr>
                <w:sz w:val="20"/>
                <w:lang w:val="en-US" w:eastAsia="zh-CN"/>
              </w:rPr>
            </w:pPr>
            <w:r w:rsidRPr="00A0226F">
              <w:rPr>
                <w:sz w:val="20"/>
                <w:lang w:val="en-US" w:eastAsia="zh-CN"/>
              </w:rPr>
              <w:t>Seminario UIT</w:t>
            </w:r>
            <w:r w:rsidR="000D5DB1" w:rsidRPr="00A0226F">
              <w:rPr>
                <w:sz w:val="20"/>
                <w:lang w:val="en-US" w:eastAsia="zh-CN"/>
              </w:rPr>
              <w:t xml:space="preserve">/AICTO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21/05/13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23/05/13</w:t>
            </w:r>
          </w:p>
        </w:tc>
        <w:tc>
          <w:tcPr>
            <w:tcW w:w="1415" w:type="dxa"/>
            <w:tcBorders>
              <w:top w:val="nil"/>
              <w:left w:val="nil"/>
              <w:bottom w:val="single" w:sz="4" w:space="0" w:color="auto"/>
              <w:right w:val="single" w:sz="4" w:space="0" w:color="auto"/>
            </w:tcBorders>
            <w:noWrap/>
            <w:vAlign w:val="bottom"/>
            <w:hideMark/>
          </w:tcPr>
          <w:p w:rsidR="000D5DB1" w:rsidRPr="00A0226F" w:rsidRDefault="00D55C37" w:rsidP="00A0226F">
            <w:pPr>
              <w:pStyle w:val="Tabletext"/>
              <w:rPr>
                <w:sz w:val="20"/>
                <w:lang w:val="en-US" w:eastAsia="zh-CN"/>
              </w:rPr>
            </w:pPr>
            <w:r w:rsidRPr="00A0226F">
              <w:rPr>
                <w:sz w:val="20"/>
                <w:lang w:val="en-US" w:eastAsia="zh-CN"/>
              </w:rPr>
              <w:t>Túnez</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B56E0B" w:rsidP="00A0226F">
            <w:pPr>
              <w:pStyle w:val="Tabletext"/>
              <w:rPr>
                <w:sz w:val="20"/>
                <w:lang w:eastAsia="zh-CN"/>
              </w:rPr>
            </w:pPr>
            <w:r w:rsidRPr="00A0226F">
              <w:rPr>
                <w:sz w:val="20"/>
                <w:lang w:eastAsia="zh-CN"/>
              </w:rPr>
              <w:t>Taller Regional</w:t>
            </w:r>
            <w:r w:rsidR="000E69D1" w:rsidRPr="00A0226F">
              <w:rPr>
                <w:sz w:val="20"/>
                <w:lang w:eastAsia="zh-CN"/>
              </w:rPr>
              <w:t xml:space="preserve"> UIT para </w:t>
            </w:r>
            <w:r w:rsidRPr="00A0226F">
              <w:rPr>
                <w:sz w:val="20"/>
                <w:lang w:eastAsia="zh-CN"/>
              </w:rPr>
              <w:t>Asia-Pacífico sobre</w:t>
            </w:r>
            <w:r w:rsidR="0009538B" w:rsidRPr="00A0226F">
              <w:rPr>
                <w:sz w:val="20"/>
                <w:lang w:eastAsia="zh-CN"/>
              </w:rPr>
              <w:t xml:space="preserve"> lanzamiento y c</w:t>
            </w:r>
            <w:r w:rsidRPr="00A0226F">
              <w:rPr>
                <w:sz w:val="20"/>
                <w:lang w:eastAsia="zh-CN"/>
              </w:rPr>
              <w:t>oordinaci</w:t>
            </w:r>
            <w:r w:rsidR="0009538B" w:rsidRPr="00A0226F">
              <w:rPr>
                <w:sz w:val="20"/>
                <w:lang w:eastAsia="zh-CN"/>
              </w:rPr>
              <w:t>ón de s</w:t>
            </w:r>
            <w:r w:rsidRPr="00A0226F">
              <w:rPr>
                <w:sz w:val="20"/>
                <w:lang w:eastAsia="zh-CN"/>
              </w:rPr>
              <w:t>atélites</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05/06/13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Yog</w:t>
            </w:r>
            <w:r w:rsidR="00D55C37" w:rsidRPr="00A0226F">
              <w:rPr>
                <w:sz w:val="20"/>
                <w:lang w:val="en-US" w:eastAsia="zh-CN"/>
              </w:rPr>
              <w:t>y</w:t>
            </w:r>
            <w:r w:rsidRPr="00A0226F">
              <w:rPr>
                <w:sz w:val="20"/>
                <w:lang w:val="en-US" w:eastAsia="zh-CN"/>
              </w:rPr>
              <w:t>akarta</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GSR-13</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02/07/13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05/07/13</w:t>
            </w:r>
          </w:p>
        </w:tc>
        <w:tc>
          <w:tcPr>
            <w:tcW w:w="1415" w:type="dxa"/>
            <w:tcBorders>
              <w:top w:val="nil"/>
              <w:left w:val="nil"/>
              <w:bottom w:val="single" w:sz="4" w:space="0" w:color="auto"/>
              <w:right w:val="single" w:sz="4" w:space="0" w:color="auto"/>
            </w:tcBorders>
            <w:noWrap/>
            <w:vAlign w:val="bottom"/>
            <w:hideMark/>
          </w:tcPr>
          <w:p w:rsidR="000D5DB1" w:rsidRPr="00A0226F" w:rsidRDefault="00C22AA5" w:rsidP="00A0226F">
            <w:pPr>
              <w:pStyle w:val="Tabletext"/>
              <w:rPr>
                <w:sz w:val="20"/>
                <w:lang w:val="en-US" w:eastAsia="zh-CN"/>
              </w:rPr>
            </w:pPr>
            <w:r w:rsidRPr="00A0226F">
              <w:rPr>
                <w:sz w:val="20"/>
                <w:lang w:val="en-US" w:eastAsia="zh-CN"/>
              </w:rPr>
              <w:t xml:space="preserve">Varsovia </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B56E0B" w:rsidP="00A0226F">
            <w:pPr>
              <w:pStyle w:val="Tabletext"/>
              <w:rPr>
                <w:sz w:val="20"/>
                <w:lang w:eastAsia="zh-CN"/>
              </w:rPr>
            </w:pPr>
            <w:r w:rsidRPr="00A0226F">
              <w:rPr>
                <w:sz w:val="20"/>
                <w:lang w:eastAsia="zh-CN"/>
              </w:rPr>
              <w:t>Seminario Regional UIT/</w:t>
            </w:r>
            <w:r w:rsidR="0024525C" w:rsidRPr="00A0226F">
              <w:rPr>
                <w:sz w:val="20"/>
                <w:lang w:eastAsia="zh-CN"/>
              </w:rPr>
              <w:t>CRC</w:t>
            </w:r>
            <w:r w:rsidRPr="00A0226F">
              <w:rPr>
                <w:sz w:val="20"/>
                <w:lang w:eastAsia="zh-CN"/>
              </w:rPr>
              <w:t xml:space="preserve"> para la CEI y Europa sobre </w:t>
            </w:r>
            <w:r w:rsidR="0009538B" w:rsidRPr="00A0226F">
              <w:rPr>
                <w:sz w:val="20"/>
                <w:lang w:eastAsia="zh-CN"/>
              </w:rPr>
              <w:t>c</w:t>
            </w:r>
            <w:r w:rsidRPr="00A0226F">
              <w:rPr>
                <w:sz w:val="20"/>
                <w:lang w:eastAsia="zh-CN"/>
              </w:rPr>
              <w:t>omprobaci</w:t>
            </w:r>
            <w:r w:rsidR="0009538B" w:rsidRPr="00A0226F">
              <w:rPr>
                <w:sz w:val="20"/>
                <w:lang w:eastAsia="zh-CN"/>
              </w:rPr>
              <w:t>ón t</w:t>
            </w:r>
            <w:r w:rsidRPr="00A0226F">
              <w:rPr>
                <w:sz w:val="20"/>
                <w:lang w:eastAsia="zh-CN"/>
              </w:rPr>
              <w:t xml:space="preserve">écnica de las </w:t>
            </w:r>
            <w:r w:rsidR="0009538B" w:rsidRPr="00A0226F">
              <w:rPr>
                <w:sz w:val="20"/>
                <w:lang w:eastAsia="zh-CN"/>
              </w:rPr>
              <w:t>e</w:t>
            </w:r>
            <w:r w:rsidRPr="00A0226F">
              <w:rPr>
                <w:sz w:val="20"/>
                <w:lang w:eastAsia="zh-CN"/>
              </w:rPr>
              <w:t xml:space="preserve">misiones </w:t>
            </w:r>
            <w:r w:rsidR="0009538B" w:rsidRPr="00A0226F">
              <w:rPr>
                <w:sz w:val="20"/>
                <w:lang w:eastAsia="zh-CN"/>
              </w:rPr>
              <w:t>r</w:t>
            </w:r>
            <w:r w:rsidRPr="00A0226F">
              <w:rPr>
                <w:sz w:val="20"/>
                <w:lang w:eastAsia="zh-CN"/>
              </w:rPr>
              <w:t>adioeléctricas</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10/07/13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12/07/13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Kiev</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921EC1" w:rsidP="00A0226F">
            <w:pPr>
              <w:pStyle w:val="Tabletext"/>
              <w:rPr>
                <w:sz w:val="20"/>
                <w:lang w:eastAsia="zh-CN"/>
              </w:rPr>
            </w:pPr>
            <w:r w:rsidRPr="00A0226F">
              <w:rPr>
                <w:sz w:val="20"/>
                <w:lang w:eastAsia="zh-CN"/>
              </w:rPr>
              <w:t>Taller UIT/ATU para finalizar el Plan de Frecuencias GE06</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17/07/13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19/07/13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Nairobi</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921EC1" w:rsidP="00A0226F">
            <w:pPr>
              <w:pStyle w:val="Tabletext"/>
              <w:rPr>
                <w:sz w:val="20"/>
                <w:lang w:eastAsia="zh-CN"/>
              </w:rPr>
            </w:pPr>
            <w:r w:rsidRPr="00A0226F">
              <w:rPr>
                <w:sz w:val="20"/>
                <w:lang w:eastAsia="zh-CN"/>
              </w:rPr>
              <w:t>Taller Regional de la UIT para la CEI sobre el papel de las TIC para salvar vidas humanas</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19/08/13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21/08/13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Issyk-Kul</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921EC1" w:rsidP="00A0226F">
            <w:pPr>
              <w:pStyle w:val="Tabletext"/>
              <w:rPr>
                <w:sz w:val="20"/>
                <w:lang w:eastAsia="zh-CN"/>
              </w:rPr>
            </w:pPr>
            <w:r w:rsidRPr="00A0226F">
              <w:rPr>
                <w:sz w:val="20"/>
                <w:lang w:eastAsia="zh-CN"/>
              </w:rPr>
              <w:t xml:space="preserve">Taller UIT/BIPM sobre el </w:t>
            </w:r>
            <w:r w:rsidR="00A1207A" w:rsidRPr="00A0226F">
              <w:rPr>
                <w:sz w:val="20"/>
                <w:lang w:eastAsia="zh-CN"/>
              </w:rPr>
              <w:t>futuro de la escala de tiempo u</w:t>
            </w:r>
            <w:r w:rsidRPr="00A0226F">
              <w:rPr>
                <w:sz w:val="20"/>
                <w:lang w:eastAsia="zh-CN"/>
              </w:rPr>
              <w:t>niversal</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19/09/13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20/09/13</w:t>
            </w:r>
          </w:p>
        </w:tc>
        <w:tc>
          <w:tcPr>
            <w:tcW w:w="1415" w:type="dxa"/>
            <w:tcBorders>
              <w:top w:val="nil"/>
              <w:left w:val="nil"/>
              <w:bottom w:val="single" w:sz="4" w:space="0" w:color="auto"/>
              <w:right w:val="single" w:sz="4" w:space="0" w:color="auto"/>
            </w:tcBorders>
            <w:noWrap/>
            <w:vAlign w:val="bottom"/>
            <w:hideMark/>
          </w:tcPr>
          <w:p w:rsidR="000D5DB1" w:rsidRPr="00A0226F" w:rsidRDefault="00D55C37" w:rsidP="00A0226F">
            <w:pPr>
              <w:pStyle w:val="Tabletext"/>
              <w:rPr>
                <w:sz w:val="20"/>
                <w:lang w:val="en-US" w:eastAsia="zh-CN"/>
              </w:rPr>
            </w:pPr>
            <w:r w:rsidRPr="00A0226F">
              <w:rPr>
                <w:sz w:val="20"/>
                <w:lang w:val="en-US" w:eastAsia="zh-CN"/>
              </w:rPr>
              <w:t>Gine</w:t>
            </w:r>
            <w:r w:rsidR="00C22AA5" w:rsidRPr="00A0226F">
              <w:rPr>
                <w:sz w:val="20"/>
                <w:lang w:val="en-US" w:eastAsia="zh-CN"/>
              </w:rPr>
              <w:t xml:space="preserve">bra, </w:t>
            </w:r>
            <w:r w:rsidRPr="00A0226F">
              <w:rPr>
                <w:sz w:val="20"/>
                <w:lang w:val="en-US" w:eastAsia="zh-CN"/>
              </w:rPr>
              <w:t>UIT</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FC2B63" w:rsidP="00A0226F">
            <w:pPr>
              <w:pStyle w:val="Tabletext"/>
              <w:rPr>
                <w:sz w:val="20"/>
                <w:lang w:val="en-US" w:eastAsia="zh-CN"/>
              </w:rPr>
            </w:pPr>
            <w:r w:rsidRPr="00A0226F">
              <w:rPr>
                <w:sz w:val="20"/>
                <w:lang w:val="en-US" w:eastAsia="zh-CN"/>
              </w:rPr>
              <w:t>Taller UIT</w:t>
            </w:r>
            <w:r w:rsidR="000D5DB1" w:rsidRPr="00A0226F">
              <w:rPr>
                <w:sz w:val="20"/>
                <w:lang w:val="en-US" w:eastAsia="zh-CN"/>
              </w:rPr>
              <w:t xml:space="preserve">/ITSO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22/09/13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25/09/13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sz w:val="20"/>
                <w:lang w:val="en-US" w:eastAsia="zh-CN"/>
              </w:rPr>
            </w:pPr>
            <w:r w:rsidRPr="00A0226F">
              <w:rPr>
                <w:sz w:val="20"/>
                <w:lang w:val="en-US" w:eastAsia="zh-CN"/>
              </w:rPr>
              <w:t>Amm</w:t>
            </w:r>
            <w:r w:rsidR="00D55C37" w:rsidRPr="00A0226F">
              <w:rPr>
                <w:sz w:val="20"/>
                <w:lang w:val="en-US" w:eastAsia="zh-CN"/>
              </w:rPr>
              <w:t>á</w:t>
            </w:r>
            <w:r w:rsidRPr="00A0226F">
              <w:rPr>
                <w:sz w:val="20"/>
                <w:lang w:val="en-US" w:eastAsia="zh-CN"/>
              </w:rPr>
              <w:t>n</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921EC1" w:rsidP="00A0226F">
            <w:pPr>
              <w:pStyle w:val="Tabletext"/>
              <w:rPr>
                <w:sz w:val="20"/>
                <w:lang w:eastAsia="zh-CN"/>
              </w:rPr>
            </w:pPr>
            <w:r w:rsidRPr="00A0226F">
              <w:rPr>
                <w:sz w:val="20"/>
                <w:lang w:eastAsia="zh-CN"/>
              </w:rPr>
              <w:t xml:space="preserve">Seminario de la UIT en Grecia sobre </w:t>
            </w:r>
            <w:r w:rsidR="00A1207A" w:rsidRPr="00A0226F">
              <w:rPr>
                <w:sz w:val="20"/>
                <w:lang w:eastAsia="zh-CN"/>
              </w:rPr>
              <w:t>el p</w:t>
            </w:r>
            <w:r w:rsidR="005C3EC2" w:rsidRPr="00A0226F">
              <w:rPr>
                <w:sz w:val="20"/>
                <w:lang w:eastAsia="zh-CN"/>
              </w:rPr>
              <w:t xml:space="preserve">aso </w:t>
            </w:r>
            <w:r w:rsidR="00A1207A" w:rsidRPr="00A0226F">
              <w:rPr>
                <w:sz w:val="20"/>
                <w:lang w:eastAsia="zh-CN"/>
              </w:rPr>
              <w:t>a la r</w:t>
            </w:r>
            <w:r w:rsidRPr="00A0226F">
              <w:rPr>
                <w:sz w:val="20"/>
                <w:lang w:eastAsia="zh-CN"/>
              </w:rPr>
              <w:t>adiodifusi</w:t>
            </w:r>
            <w:r w:rsidR="00A1207A" w:rsidRPr="00A0226F">
              <w:rPr>
                <w:sz w:val="20"/>
                <w:lang w:eastAsia="zh-CN"/>
              </w:rPr>
              <w:t>ón d</w:t>
            </w:r>
            <w:r w:rsidRPr="00A0226F">
              <w:rPr>
                <w:sz w:val="20"/>
                <w:lang w:eastAsia="zh-CN"/>
              </w:rPr>
              <w:t>igital</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24/09/13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Atenas</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A1207A" w:rsidP="00A0226F">
            <w:pPr>
              <w:pStyle w:val="Tabletext"/>
              <w:rPr>
                <w:sz w:val="20"/>
                <w:lang w:val="fr-FR" w:eastAsia="zh-CN"/>
              </w:rPr>
            </w:pPr>
            <w:r w:rsidRPr="00A0226F">
              <w:rPr>
                <w:sz w:val="20"/>
                <w:lang w:val="fr-FR" w:eastAsia="zh-CN"/>
              </w:rPr>
              <w:t>Taller r</w:t>
            </w:r>
            <w:r w:rsidR="00921EC1" w:rsidRPr="00A0226F">
              <w:rPr>
                <w:sz w:val="20"/>
                <w:lang w:val="fr-FR" w:eastAsia="zh-CN"/>
              </w:rPr>
              <w:t>egion</w:t>
            </w:r>
            <w:r w:rsidRPr="00A0226F">
              <w:rPr>
                <w:sz w:val="20"/>
                <w:lang w:val="fr-FR" w:eastAsia="zh-CN"/>
              </w:rPr>
              <w:t>al de la UIT para la CEI sobre i</w:t>
            </w:r>
            <w:r w:rsidR="00921EC1" w:rsidRPr="00A0226F">
              <w:rPr>
                <w:sz w:val="20"/>
                <w:lang w:val="fr-FR" w:eastAsia="zh-CN"/>
              </w:rPr>
              <w:t>mplantación de DVB</w:t>
            </w:r>
            <w:r w:rsidR="00921EC1" w:rsidRPr="00A0226F">
              <w:rPr>
                <w:sz w:val="20"/>
                <w:lang w:val="fr-FR" w:eastAsia="zh-CN"/>
              </w:rPr>
              <w:noBreakHyphen/>
              <w:t>T/DVB-T2</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25/09/13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27/09/13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Minsk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FC2B63" w:rsidP="00A0226F">
            <w:pPr>
              <w:pStyle w:val="Tabletext"/>
              <w:rPr>
                <w:sz w:val="20"/>
                <w:lang w:val="en-US" w:eastAsia="zh-CN"/>
              </w:rPr>
            </w:pPr>
            <w:r w:rsidRPr="00A0226F">
              <w:rPr>
                <w:sz w:val="20"/>
                <w:lang w:val="en-US" w:eastAsia="zh-CN"/>
              </w:rPr>
              <w:t>Taller UIT/ITSO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Khartoum</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5C3EC2" w:rsidP="00A0226F">
            <w:pPr>
              <w:pStyle w:val="Tabletext"/>
              <w:rPr>
                <w:sz w:val="20"/>
                <w:lang w:eastAsia="zh-CN"/>
              </w:rPr>
            </w:pPr>
            <w:r w:rsidRPr="00A0226F">
              <w:rPr>
                <w:sz w:val="20"/>
                <w:lang w:eastAsia="zh-CN"/>
              </w:rPr>
              <w:t xml:space="preserve">Cumbre Conectar Asia-Pacífico </w:t>
            </w:r>
            <w:r w:rsidR="000D5DB1" w:rsidRPr="00A0226F">
              <w:rPr>
                <w:sz w:val="20"/>
                <w:lang w:eastAsia="zh-CN"/>
              </w:rPr>
              <w:t>2013 + ITU Telecom World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ITU Telecom World 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19/11/13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A1207A" w:rsidP="00A0226F">
            <w:pPr>
              <w:pStyle w:val="Tabletext"/>
              <w:rPr>
                <w:sz w:val="20"/>
                <w:lang w:eastAsia="zh-CN"/>
              </w:rPr>
            </w:pPr>
            <w:r w:rsidRPr="00A0226F">
              <w:rPr>
                <w:sz w:val="20"/>
                <w:lang w:eastAsia="zh-CN"/>
              </w:rPr>
              <w:t>Taller i</w:t>
            </w:r>
            <w:r w:rsidR="00921EC1" w:rsidRPr="00A0226F">
              <w:rPr>
                <w:sz w:val="20"/>
                <w:lang w:eastAsia="zh-CN"/>
              </w:rPr>
              <w:t>nterregional sobre la preparación de la CMR-15</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04/12/13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05/12/13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921EC1" w:rsidP="00A0226F">
            <w:pPr>
              <w:pStyle w:val="Tabletext"/>
              <w:rPr>
                <w:sz w:val="20"/>
                <w:lang w:eastAsia="zh-CN"/>
              </w:rPr>
            </w:pPr>
            <w:r w:rsidRPr="00A0226F">
              <w:rPr>
                <w:sz w:val="20"/>
                <w:lang w:eastAsia="zh-CN"/>
              </w:rPr>
              <w:t xml:space="preserve">11º Simposio de la UIT </w:t>
            </w:r>
            <w:r w:rsidR="00A1207A" w:rsidRPr="00A0226F">
              <w:rPr>
                <w:sz w:val="20"/>
                <w:lang w:eastAsia="zh-CN"/>
              </w:rPr>
              <w:t>sobre i</w:t>
            </w:r>
            <w:r w:rsidRPr="00A0226F">
              <w:rPr>
                <w:sz w:val="20"/>
                <w:lang w:eastAsia="zh-CN"/>
              </w:rPr>
              <w:t xml:space="preserve">ndicadores de </w:t>
            </w:r>
            <w:r w:rsidR="006D22C0" w:rsidRPr="00A0226F">
              <w:rPr>
                <w:sz w:val="20"/>
                <w:lang w:eastAsia="zh-CN"/>
              </w:rPr>
              <w:t xml:space="preserve">las </w:t>
            </w:r>
            <w:r w:rsidR="00A1207A" w:rsidRPr="00A0226F">
              <w:rPr>
                <w:sz w:val="20"/>
                <w:lang w:eastAsia="zh-CN"/>
              </w:rPr>
              <w:t>t</w:t>
            </w:r>
            <w:r w:rsidRPr="00A0226F">
              <w:rPr>
                <w:sz w:val="20"/>
                <w:lang w:eastAsia="zh-CN"/>
              </w:rPr>
              <w:t xml:space="preserve">elecomunicaciones/TIC </w:t>
            </w:r>
            <w:r w:rsidR="006D22C0" w:rsidRPr="00A0226F">
              <w:rPr>
                <w:sz w:val="20"/>
                <w:lang w:eastAsia="zh-CN"/>
              </w:rPr>
              <w:t xml:space="preserve">en el mundo </w:t>
            </w:r>
            <w:r w:rsidRPr="00A0226F">
              <w:rPr>
                <w:sz w:val="20"/>
                <w:lang w:eastAsia="zh-CN"/>
              </w:rPr>
              <w:t>(</w:t>
            </w:r>
            <w:r w:rsidR="006D22C0" w:rsidRPr="00A0226F">
              <w:rPr>
                <w:sz w:val="20"/>
                <w:lang w:eastAsia="zh-CN"/>
              </w:rPr>
              <w:t>WTIS</w:t>
            </w:r>
            <w:r w:rsidRPr="00A0226F">
              <w:rPr>
                <w:sz w:val="20"/>
                <w:lang w:eastAsia="zh-CN"/>
              </w:rPr>
              <w: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04/12/13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w:t>
            </w:r>
            <w:r w:rsidR="00D55C37" w:rsidRPr="00A0226F">
              <w:rPr>
                <w:sz w:val="20"/>
                <w:lang w:val="en-US" w:eastAsia="zh-CN"/>
              </w:rPr>
              <w:t>é</w:t>
            </w:r>
            <w:r w:rsidRPr="00A0226F">
              <w:rPr>
                <w:sz w:val="20"/>
                <w:lang w:val="en-US" w:eastAsia="zh-CN"/>
              </w:rPr>
              <w:t xml:space="preserve">xico </w:t>
            </w:r>
            <w:r w:rsidR="00D55C37" w:rsidRPr="00A0226F">
              <w:rPr>
                <w:sz w:val="20"/>
                <w:lang w:val="en-US" w:eastAsia="zh-CN"/>
              </w:rPr>
              <w:t>D.F.</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6D22C0" w:rsidP="00A0226F">
            <w:pPr>
              <w:pStyle w:val="Tabletext"/>
              <w:rPr>
                <w:sz w:val="20"/>
                <w:lang w:eastAsia="zh-CN"/>
              </w:rPr>
            </w:pPr>
            <w:r w:rsidRPr="00A0226F">
              <w:rPr>
                <w:sz w:val="20"/>
                <w:lang w:eastAsia="zh-CN"/>
              </w:rPr>
              <w:t xml:space="preserve">Taller Internacional UIT/NTC sobre </w:t>
            </w:r>
            <w:r w:rsidR="00A1207A" w:rsidRPr="00A0226F">
              <w:rPr>
                <w:sz w:val="20"/>
                <w:lang w:eastAsia="zh-CN"/>
              </w:rPr>
              <w:t>el p</w:t>
            </w:r>
            <w:r w:rsidR="005C3EC2" w:rsidRPr="00A0226F">
              <w:rPr>
                <w:sz w:val="20"/>
                <w:lang w:eastAsia="zh-CN"/>
              </w:rPr>
              <w:t xml:space="preserve">aso </w:t>
            </w:r>
            <w:r w:rsidR="00A1207A" w:rsidRPr="00A0226F">
              <w:rPr>
                <w:sz w:val="20"/>
                <w:lang w:eastAsia="zh-CN"/>
              </w:rPr>
              <w:t>a la radiodifusión d</w:t>
            </w:r>
            <w:r w:rsidRPr="00A0226F">
              <w:rPr>
                <w:sz w:val="20"/>
                <w:lang w:eastAsia="zh-CN"/>
              </w:rPr>
              <w:t>igital</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17/12/13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Khartoum</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D5DB1" w:rsidRPr="00A0226F" w:rsidRDefault="00FC2B63" w:rsidP="00A0226F">
            <w:pPr>
              <w:pStyle w:val="Tabletext"/>
              <w:rPr>
                <w:sz w:val="20"/>
                <w:lang w:eastAsia="zh-CN"/>
              </w:rPr>
            </w:pPr>
            <w:r w:rsidRPr="00A0226F">
              <w:rPr>
                <w:sz w:val="20"/>
                <w:lang w:eastAsia="zh-CN"/>
              </w:rPr>
              <w:t xml:space="preserve">SOLICITUDES DE </w:t>
            </w:r>
            <w:r w:rsidR="000D5DB1" w:rsidRPr="00A0226F">
              <w:rPr>
                <w:sz w:val="20"/>
                <w:lang w:eastAsia="zh-CN"/>
              </w:rPr>
              <w:t>ASIST</w:t>
            </w:r>
            <w:r w:rsidRPr="00A0226F">
              <w:rPr>
                <w:sz w:val="20"/>
                <w:lang w:eastAsia="zh-CN"/>
              </w:rPr>
              <w:t>ENCIA/INFORMACIÓ</w:t>
            </w:r>
            <w:r w:rsidR="000D5DB1" w:rsidRPr="00A0226F">
              <w:rPr>
                <w:sz w:val="20"/>
                <w:lang w:eastAsia="zh-CN"/>
              </w:rPr>
              <w:t xml:space="preserve">N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eastAsia="zh-CN"/>
              </w:rPr>
            </w:pP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2314E6">
            <w:pPr>
              <w:pStyle w:val="Tabletext"/>
              <w:rPr>
                <w:sz w:val="20"/>
                <w:lang w:val="en-US" w:eastAsia="zh-CN"/>
              </w:rPr>
            </w:pPr>
            <w:r w:rsidRPr="00A0226F">
              <w:rPr>
                <w:sz w:val="20"/>
                <w:lang w:val="en-US" w:eastAsia="zh-CN"/>
              </w:rPr>
              <w:t>Asistencia</w:t>
            </w:r>
            <w:r w:rsidR="000D5DB1" w:rsidRPr="00A0226F">
              <w:rPr>
                <w:sz w:val="20"/>
                <w:lang w:val="en-US" w:eastAsia="zh-CN"/>
              </w:rPr>
              <w:t xml:space="preserve"> </w:t>
            </w:r>
            <w:r w:rsidR="002314E6">
              <w:rPr>
                <w:sz w:val="20"/>
                <w:lang w:val="en-US" w:eastAsia="zh-CN"/>
              </w:rPr>
              <w:t>a</w:t>
            </w:r>
            <w:r w:rsidR="000D5DB1" w:rsidRPr="00A0226F">
              <w:rPr>
                <w:sz w:val="20"/>
                <w:lang w:val="en-US" w:eastAsia="zh-CN"/>
              </w:rPr>
              <w:t xml:space="preserve"> Somalia</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16/01/13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16/01/13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2314E6">
            <w:pPr>
              <w:pStyle w:val="Tabletext"/>
              <w:rPr>
                <w:sz w:val="20"/>
                <w:lang w:eastAsia="zh-CN"/>
              </w:rPr>
            </w:pPr>
            <w:r w:rsidRPr="00A0226F">
              <w:rPr>
                <w:sz w:val="20"/>
                <w:lang w:eastAsia="zh-CN"/>
              </w:rPr>
              <w:t>Asistencia</w:t>
            </w:r>
            <w:r w:rsidR="000D5DB1" w:rsidRPr="00A0226F">
              <w:rPr>
                <w:sz w:val="20"/>
                <w:lang w:eastAsia="zh-CN"/>
              </w:rPr>
              <w:t xml:space="preserve"> </w:t>
            </w:r>
            <w:r w:rsidR="002314E6">
              <w:rPr>
                <w:sz w:val="20"/>
                <w:lang w:eastAsia="zh-CN"/>
              </w:rPr>
              <w:t>a</w:t>
            </w:r>
            <w:r w:rsidR="000D5DB1" w:rsidRPr="00A0226F">
              <w:rPr>
                <w:sz w:val="20"/>
                <w:lang w:eastAsia="zh-CN"/>
              </w:rPr>
              <w:t xml:space="preserve"> Rwanda </w:t>
            </w:r>
            <w:r w:rsidR="00A0226F">
              <w:rPr>
                <w:sz w:val="20"/>
                <w:lang w:eastAsia="zh-CN"/>
              </w:rPr>
              <w:t>–</w:t>
            </w:r>
            <w:r w:rsidR="000D5DB1" w:rsidRPr="00A0226F">
              <w:rPr>
                <w:sz w:val="20"/>
                <w:lang w:eastAsia="zh-CN"/>
              </w:rPr>
              <w:t xml:space="preserve"> </w:t>
            </w:r>
            <w:r w:rsidR="00BF59D5" w:rsidRPr="00A0226F">
              <w:rPr>
                <w:sz w:val="20"/>
                <w:lang w:eastAsia="zh-CN"/>
              </w:rPr>
              <w:t xml:space="preserve">Reunión de coordinación </w:t>
            </w:r>
            <w:r w:rsidR="00B37DD2" w:rsidRPr="00A0226F">
              <w:rPr>
                <w:sz w:val="20"/>
                <w:lang w:eastAsia="zh-CN"/>
              </w:rPr>
              <w:t>de</w:t>
            </w:r>
            <w:r w:rsidR="00BF59D5" w:rsidRPr="00A0226F">
              <w:rPr>
                <w:sz w:val="20"/>
                <w:lang w:eastAsia="zh-CN"/>
              </w:rPr>
              <w:t xml:space="preserve"> Kigali sobre </w:t>
            </w:r>
            <w:r w:rsidR="00F7400C" w:rsidRPr="00A0226F">
              <w:rPr>
                <w:sz w:val="20"/>
                <w:lang w:eastAsia="zh-CN"/>
              </w:rPr>
              <w:t xml:space="preserve">el Acuerdo </w:t>
            </w:r>
            <w:r w:rsidR="00BF59D5" w:rsidRPr="00A0226F">
              <w:rPr>
                <w:sz w:val="20"/>
                <w:lang w:eastAsia="zh-CN"/>
              </w:rPr>
              <w:t>GE06 (EACO)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18/02/13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22/02/13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Kigali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BF59D5" w:rsidRPr="00A0226F">
              <w:rPr>
                <w:sz w:val="20"/>
                <w:lang w:eastAsia="zh-CN"/>
              </w:rPr>
              <w:t xml:space="preserve"> a</w:t>
            </w:r>
            <w:r w:rsidR="00B37DD2" w:rsidRPr="00A0226F">
              <w:rPr>
                <w:sz w:val="20"/>
                <w:lang w:eastAsia="zh-CN"/>
              </w:rPr>
              <w:t xml:space="preserve"> El Salvador </w:t>
            </w:r>
            <w:r w:rsidR="00A0226F">
              <w:rPr>
                <w:sz w:val="20"/>
                <w:lang w:eastAsia="zh-CN"/>
              </w:rPr>
              <w:t>–</w:t>
            </w:r>
            <w:r w:rsidR="00B37DD2" w:rsidRPr="00A0226F">
              <w:rPr>
                <w:sz w:val="20"/>
                <w:lang w:eastAsia="zh-CN"/>
              </w:rPr>
              <w:t xml:space="preserve"> Paso a </w:t>
            </w:r>
            <w:r w:rsidR="00BF59D5" w:rsidRPr="00A0226F">
              <w:rPr>
                <w:sz w:val="20"/>
                <w:lang w:eastAsia="zh-CN"/>
              </w:rPr>
              <w:t xml:space="preserve">la TV digital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18/02/13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22/02/13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San Salvador</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F59D5" w:rsidRPr="00A0226F">
              <w:rPr>
                <w:sz w:val="20"/>
                <w:lang w:eastAsia="zh-CN"/>
              </w:rPr>
              <w:t>a</w:t>
            </w:r>
            <w:r w:rsidR="000D5DB1" w:rsidRPr="00A0226F">
              <w:rPr>
                <w:sz w:val="20"/>
                <w:lang w:eastAsia="zh-CN"/>
              </w:rPr>
              <w:t xml:space="preserve"> Comor</w:t>
            </w:r>
            <w:r w:rsidR="00B37DD2" w:rsidRPr="00A0226F">
              <w:rPr>
                <w:sz w:val="20"/>
                <w:lang w:eastAsia="zh-CN"/>
              </w:rPr>
              <w:t>a</w:t>
            </w:r>
            <w:r w:rsidR="000D5DB1" w:rsidRPr="00A0226F">
              <w:rPr>
                <w:sz w:val="20"/>
                <w:lang w:eastAsia="zh-CN"/>
              </w:rPr>
              <w:t xml:space="preserve">s </w:t>
            </w:r>
            <w:r w:rsidR="007A5260">
              <w:rPr>
                <w:sz w:val="20"/>
                <w:lang w:eastAsia="zh-CN"/>
              </w:rPr>
              <w:t>–</w:t>
            </w:r>
            <w:r w:rsidR="000D5DB1" w:rsidRPr="00A0226F">
              <w:rPr>
                <w:sz w:val="20"/>
                <w:lang w:eastAsia="zh-CN"/>
              </w:rPr>
              <w:t xml:space="preserve"> 1 </w:t>
            </w:r>
            <w:r w:rsidR="00BF59D5" w:rsidRPr="00A0226F">
              <w:rPr>
                <w:sz w:val="20"/>
                <w:lang w:eastAsia="zh-CN"/>
              </w:rPr>
              <w:t>jornada de discusión</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01/03/13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01/03/13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F59D5" w:rsidRPr="00A0226F">
              <w:rPr>
                <w:sz w:val="20"/>
                <w:lang w:eastAsia="zh-CN"/>
              </w:rPr>
              <w:t>a GCC + Irá</w:t>
            </w:r>
            <w:r w:rsidR="000D5DB1" w:rsidRPr="00A0226F">
              <w:rPr>
                <w:sz w:val="20"/>
                <w:lang w:eastAsia="zh-CN"/>
              </w:rPr>
              <w:t xml:space="preserve">n </w:t>
            </w:r>
            <w:r w:rsidR="00A0226F">
              <w:rPr>
                <w:sz w:val="20"/>
                <w:lang w:eastAsia="zh-CN"/>
              </w:rPr>
              <w:t>–</w:t>
            </w:r>
            <w:r w:rsidR="000D5DB1" w:rsidRPr="00A0226F">
              <w:rPr>
                <w:sz w:val="20"/>
                <w:lang w:eastAsia="zh-CN"/>
              </w:rPr>
              <w:t xml:space="preserve"> </w:t>
            </w:r>
            <w:r w:rsidR="00A1207A" w:rsidRPr="00A0226F">
              <w:rPr>
                <w:sz w:val="20"/>
                <w:lang w:eastAsia="zh-CN"/>
              </w:rPr>
              <w:t>1ª Reunión de c</w:t>
            </w:r>
            <w:r w:rsidR="00BF59D5" w:rsidRPr="00A0226F">
              <w:rPr>
                <w:sz w:val="20"/>
                <w:lang w:eastAsia="zh-CN"/>
              </w:rPr>
              <w:t>oordinaci</w:t>
            </w:r>
            <w:r w:rsidR="00A1207A" w:rsidRPr="00A0226F">
              <w:rPr>
                <w:sz w:val="20"/>
                <w:lang w:eastAsia="zh-CN"/>
              </w:rPr>
              <w:t>ón r</w:t>
            </w:r>
            <w:r w:rsidR="00BF59D5" w:rsidRPr="00A0226F">
              <w:rPr>
                <w:sz w:val="20"/>
                <w:lang w:eastAsia="zh-CN"/>
              </w:rPr>
              <w:t xml:space="preserve">egional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11/03/13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15/03/13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F59D5" w:rsidRPr="00A0226F">
              <w:rPr>
                <w:sz w:val="20"/>
                <w:lang w:eastAsia="zh-CN"/>
              </w:rPr>
              <w:t>a</w:t>
            </w:r>
            <w:r w:rsidR="000D5DB1" w:rsidRPr="00A0226F">
              <w:rPr>
                <w:sz w:val="20"/>
                <w:lang w:eastAsia="zh-CN"/>
              </w:rPr>
              <w:t xml:space="preserve"> Namibia </w:t>
            </w:r>
            <w:r w:rsidR="00A0226F">
              <w:rPr>
                <w:sz w:val="20"/>
                <w:lang w:eastAsia="zh-CN"/>
              </w:rPr>
              <w:t>–</w:t>
            </w:r>
            <w:r w:rsidR="000D5DB1" w:rsidRPr="00A0226F">
              <w:rPr>
                <w:sz w:val="20"/>
                <w:lang w:eastAsia="zh-CN"/>
              </w:rPr>
              <w:t xml:space="preserve"> </w:t>
            </w:r>
            <w:r w:rsidR="00BF59D5" w:rsidRPr="00A0226F">
              <w:rPr>
                <w:sz w:val="20"/>
                <w:lang w:eastAsia="zh-CN"/>
              </w:rPr>
              <w:t xml:space="preserve">5º Foro de </w:t>
            </w:r>
            <w:r w:rsidR="000D5DB1" w:rsidRPr="00A0226F">
              <w:rPr>
                <w:sz w:val="20"/>
                <w:lang w:eastAsia="zh-CN"/>
              </w:rPr>
              <w:t xml:space="preserve">SADC </w:t>
            </w:r>
            <w:r w:rsidR="00BF59D5" w:rsidRPr="00A0226F">
              <w:rPr>
                <w:sz w:val="20"/>
                <w:lang w:eastAsia="zh-CN"/>
              </w:rPr>
              <w:t xml:space="preserve">sobre </w:t>
            </w:r>
            <w:r w:rsidR="00A1207A" w:rsidRPr="00A0226F">
              <w:rPr>
                <w:sz w:val="20"/>
                <w:lang w:eastAsia="zh-CN"/>
              </w:rPr>
              <w:t>el p</w:t>
            </w:r>
            <w:r w:rsidR="00B37DD2" w:rsidRPr="00A0226F">
              <w:rPr>
                <w:sz w:val="20"/>
                <w:lang w:eastAsia="zh-CN"/>
              </w:rPr>
              <w:t xml:space="preserve">aso </w:t>
            </w:r>
            <w:r w:rsidR="00A1207A" w:rsidRPr="00A0226F">
              <w:rPr>
                <w:sz w:val="20"/>
                <w:lang w:eastAsia="zh-CN"/>
              </w:rPr>
              <w:t>a la r</w:t>
            </w:r>
            <w:r w:rsidR="00BF59D5" w:rsidRPr="00A0226F">
              <w:rPr>
                <w:sz w:val="20"/>
                <w:lang w:eastAsia="zh-CN"/>
              </w:rPr>
              <w:t xml:space="preserve">adiodifusión de TV digital terrenal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15/04/13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17/04/13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Swakopmund</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F59D5" w:rsidRPr="00A0226F">
              <w:rPr>
                <w:sz w:val="20"/>
                <w:lang w:eastAsia="zh-CN"/>
              </w:rPr>
              <w:t>a</w:t>
            </w:r>
            <w:r w:rsidR="000D5DB1" w:rsidRPr="00A0226F">
              <w:rPr>
                <w:sz w:val="20"/>
                <w:lang w:eastAsia="zh-CN"/>
              </w:rPr>
              <w:t xml:space="preserve"> Georgia </w:t>
            </w:r>
            <w:r w:rsidR="00A0226F">
              <w:rPr>
                <w:sz w:val="20"/>
                <w:lang w:eastAsia="zh-CN"/>
              </w:rPr>
              <w:t>–</w:t>
            </w:r>
            <w:r w:rsidR="000D5DB1" w:rsidRPr="00A0226F">
              <w:rPr>
                <w:sz w:val="20"/>
                <w:lang w:eastAsia="zh-CN"/>
              </w:rPr>
              <w:t xml:space="preserve"> </w:t>
            </w:r>
            <w:r w:rsidR="00A1207A" w:rsidRPr="00A0226F">
              <w:rPr>
                <w:sz w:val="20"/>
                <w:lang w:eastAsia="zh-CN"/>
              </w:rPr>
              <w:t>Reunión para la coordinación de f</w:t>
            </w:r>
            <w:r w:rsidR="00BF59D5" w:rsidRPr="00A0226F">
              <w:rPr>
                <w:sz w:val="20"/>
                <w:lang w:eastAsia="zh-CN"/>
              </w:rPr>
              <w:t xml:space="preserve">recuencias </w:t>
            </w:r>
            <w:r w:rsidR="007A5260">
              <w:rPr>
                <w:sz w:val="20"/>
                <w:lang w:eastAsia="zh-CN"/>
              </w:rPr>
              <w:t>–</w:t>
            </w:r>
            <w:r w:rsidR="00BF59D5" w:rsidRPr="00A0226F">
              <w:rPr>
                <w:sz w:val="20"/>
                <w:lang w:eastAsia="zh-CN"/>
              </w:rPr>
              <w:t xml:space="preserve"> Mar Negro y Mar Caspio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18/04/13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19/04/13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BF59D5" w:rsidRPr="00A0226F">
              <w:rPr>
                <w:sz w:val="20"/>
                <w:lang w:eastAsia="zh-CN"/>
              </w:rPr>
              <w:t xml:space="preserve"> a</w:t>
            </w:r>
            <w:r w:rsidR="000D5DB1" w:rsidRPr="00A0226F">
              <w:rPr>
                <w:sz w:val="20"/>
                <w:lang w:eastAsia="zh-CN"/>
              </w:rPr>
              <w:t xml:space="preserve"> Mal</w:t>
            </w:r>
            <w:r w:rsidR="00A0226F">
              <w:rPr>
                <w:sz w:val="20"/>
                <w:lang w:eastAsia="zh-CN"/>
              </w:rPr>
              <w:t>í</w:t>
            </w:r>
            <w:r w:rsidR="000D5DB1" w:rsidRPr="00A0226F">
              <w:rPr>
                <w:sz w:val="20"/>
                <w:lang w:eastAsia="zh-CN"/>
              </w:rPr>
              <w:t xml:space="preserve"> </w:t>
            </w:r>
            <w:r w:rsidR="00A0226F">
              <w:rPr>
                <w:sz w:val="20"/>
                <w:lang w:eastAsia="zh-CN"/>
              </w:rPr>
              <w:t>–</w:t>
            </w:r>
            <w:r w:rsidR="000D5DB1" w:rsidRPr="00A0226F">
              <w:rPr>
                <w:sz w:val="20"/>
                <w:lang w:eastAsia="zh-CN"/>
              </w:rPr>
              <w:t xml:space="preserve"> 2 </w:t>
            </w:r>
            <w:r w:rsidR="00BF59D5" w:rsidRPr="00A0226F">
              <w:rPr>
                <w:sz w:val="20"/>
                <w:lang w:eastAsia="zh-CN"/>
              </w:rPr>
              <w:t xml:space="preserve">ingenieros </w:t>
            </w:r>
            <w:r w:rsidR="00B37DD2" w:rsidRPr="00A0226F">
              <w:rPr>
                <w:sz w:val="20"/>
                <w:lang w:eastAsia="zh-CN"/>
              </w:rPr>
              <w:t xml:space="preserve">asistirán para una formación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29/04/13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03/05/13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E22363">
            <w:pPr>
              <w:pStyle w:val="Tabletext"/>
              <w:rPr>
                <w:sz w:val="20"/>
                <w:lang w:eastAsia="zh-CN"/>
              </w:rPr>
            </w:pPr>
            <w:r w:rsidRPr="00A0226F">
              <w:rPr>
                <w:sz w:val="20"/>
                <w:lang w:eastAsia="zh-CN"/>
              </w:rPr>
              <w:t>Asistencia</w:t>
            </w:r>
            <w:r w:rsidR="000D5DB1" w:rsidRPr="00A0226F">
              <w:rPr>
                <w:sz w:val="20"/>
                <w:lang w:eastAsia="zh-CN"/>
              </w:rPr>
              <w:t xml:space="preserve"> </w:t>
            </w:r>
            <w:r w:rsidR="00E22363">
              <w:rPr>
                <w:sz w:val="20"/>
                <w:lang w:eastAsia="zh-CN"/>
              </w:rPr>
              <w:t>a</w:t>
            </w:r>
            <w:r w:rsidR="000D5DB1" w:rsidRPr="00A0226F">
              <w:rPr>
                <w:sz w:val="20"/>
                <w:lang w:eastAsia="zh-CN"/>
              </w:rPr>
              <w:t xml:space="preserve"> Comoros </w:t>
            </w:r>
            <w:r w:rsidR="00A0226F">
              <w:rPr>
                <w:sz w:val="20"/>
                <w:lang w:eastAsia="zh-CN"/>
              </w:rPr>
              <w:t>–</w:t>
            </w:r>
            <w:r w:rsidR="000D5DB1" w:rsidRPr="00A0226F">
              <w:rPr>
                <w:sz w:val="20"/>
                <w:lang w:eastAsia="zh-CN"/>
              </w:rPr>
              <w:t xml:space="preserve"> </w:t>
            </w:r>
            <w:r w:rsidR="00BF59D5" w:rsidRPr="00A0226F">
              <w:rPr>
                <w:sz w:val="20"/>
                <w:lang w:eastAsia="zh-CN"/>
              </w:rPr>
              <w:t xml:space="preserve">3 ingenieros </w:t>
            </w:r>
            <w:r w:rsidR="00B37DD2" w:rsidRPr="00A0226F">
              <w:rPr>
                <w:sz w:val="20"/>
                <w:lang w:eastAsia="zh-CN"/>
              </w:rPr>
              <w:t>asistirán para una formación</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10/05/13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0"/>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val="en-US" w:eastAsia="zh-CN"/>
              </w:rPr>
            </w:pPr>
            <w:r w:rsidRPr="00A0226F">
              <w:rPr>
                <w:sz w:val="20"/>
                <w:lang w:val="en-US" w:eastAsia="zh-CN"/>
              </w:rPr>
              <w:lastRenderedPageBreak/>
              <w:t>Asistencia</w:t>
            </w:r>
            <w:r w:rsidR="00BF59D5" w:rsidRPr="00A0226F">
              <w:rPr>
                <w:sz w:val="20"/>
                <w:lang w:val="en-US" w:eastAsia="zh-CN"/>
              </w:rPr>
              <w:t xml:space="preserve"> a</w:t>
            </w:r>
            <w:r w:rsidR="000D5DB1" w:rsidRPr="00A0226F">
              <w:rPr>
                <w:sz w:val="20"/>
                <w:lang w:val="en-US" w:eastAsia="zh-CN"/>
              </w:rPr>
              <w:t xml:space="preserve"> Botswana</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06/05/13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10/05/13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F59D5" w:rsidRPr="00A0226F">
              <w:rPr>
                <w:sz w:val="20"/>
                <w:lang w:eastAsia="zh-CN"/>
              </w:rPr>
              <w:t>a Ru</w:t>
            </w:r>
            <w:r w:rsidR="000D5DB1" w:rsidRPr="00A0226F">
              <w:rPr>
                <w:sz w:val="20"/>
                <w:lang w:eastAsia="zh-CN"/>
              </w:rPr>
              <w:t xml:space="preserve">mania </w:t>
            </w:r>
            <w:r w:rsidR="00A0226F">
              <w:rPr>
                <w:sz w:val="20"/>
                <w:lang w:eastAsia="zh-CN"/>
              </w:rPr>
              <w:t>–</w:t>
            </w:r>
            <w:r w:rsidR="000D5DB1" w:rsidRPr="00A0226F">
              <w:rPr>
                <w:sz w:val="20"/>
                <w:lang w:eastAsia="zh-CN"/>
              </w:rPr>
              <w:t xml:space="preserve"> </w:t>
            </w:r>
            <w:r w:rsidR="00BF59D5" w:rsidRPr="00A0226F">
              <w:rPr>
                <w:sz w:val="20"/>
                <w:lang w:eastAsia="zh-CN"/>
              </w:rPr>
              <w:t xml:space="preserve">Reunión del Grupo de Trabajo Regional para </w:t>
            </w:r>
            <w:r w:rsidR="00F7400C" w:rsidRPr="00A0226F">
              <w:rPr>
                <w:sz w:val="20"/>
                <w:lang w:eastAsia="zh-CN"/>
              </w:rPr>
              <w:t xml:space="preserve">países de </w:t>
            </w:r>
            <w:r w:rsidR="00BF59D5" w:rsidRPr="00A0226F">
              <w:rPr>
                <w:sz w:val="20"/>
                <w:lang w:eastAsia="zh-CN"/>
              </w:rPr>
              <w:t>Europa Central y Oriental</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09/05/13</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09/05/13</w:t>
            </w:r>
          </w:p>
        </w:tc>
        <w:tc>
          <w:tcPr>
            <w:tcW w:w="1415" w:type="dxa"/>
            <w:tcBorders>
              <w:top w:val="single" w:sz="4" w:space="0" w:color="auto"/>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Bucarest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A1207A"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F7400C" w:rsidRPr="00A0226F">
              <w:rPr>
                <w:sz w:val="20"/>
                <w:lang w:eastAsia="zh-CN"/>
              </w:rPr>
              <w:t>a</w:t>
            </w:r>
            <w:r w:rsidR="000D5DB1" w:rsidRPr="00A0226F">
              <w:rPr>
                <w:sz w:val="20"/>
                <w:lang w:eastAsia="zh-CN"/>
              </w:rPr>
              <w:t xml:space="preserve"> Mongolia </w:t>
            </w:r>
            <w:r w:rsidR="00A1207A" w:rsidRPr="00A0226F">
              <w:rPr>
                <w:sz w:val="20"/>
                <w:lang w:eastAsia="zh-CN"/>
              </w:rPr>
              <w:t>para examinar el programa n</w:t>
            </w:r>
            <w:r w:rsidR="00F7400C" w:rsidRPr="00A0226F">
              <w:rPr>
                <w:sz w:val="20"/>
                <w:lang w:eastAsia="zh-CN"/>
              </w:rPr>
              <w:t xml:space="preserve">acional </w:t>
            </w:r>
            <w:r w:rsidR="00B37DD2" w:rsidRPr="00A0226F">
              <w:rPr>
                <w:sz w:val="20"/>
                <w:lang w:eastAsia="zh-CN"/>
              </w:rPr>
              <w:t>sobre</w:t>
            </w:r>
            <w:r w:rsidR="00E72A0F">
              <w:rPr>
                <w:sz w:val="20"/>
                <w:lang w:eastAsia="zh-CN"/>
              </w:rPr>
              <w:t xml:space="preserve"> </w:t>
            </w:r>
          </w:p>
          <w:p w:rsidR="000D5DB1" w:rsidRPr="00A0226F" w:rsidRDefault="00A1207A" w:rsidP="00A0226F">
            <w:pPr>
              <w:pStyle w:val="Tabletext"/>
              <w:rPr>
                <w:sz w:val="20"/>
                <w:lang w:eastAsia="zh-CN"/>
              </w:rPr>
            </w:pPr>
            <w:r w:rsidRPr="00A0226F">
              <w:rPr>
                <w:sz w:val="20"/>
                <w:lang w:eastAsia="zh-CN"/>
              </w:rPr>
              <w:t>s</w:t>
            </w:r>
            <w:r w:rsidR="00F7400C" w:rsidRPr="00A0226F">
              <w:rPr>
                <w:sz w:val="20"/>
                <w:lang w:eastAsia="zh-CN"/>
              </w:rPr>
              <w:t xml:space="preserve">atélites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08/06/13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Mongolia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F7400C" w:rsidRPr="00A0226F">
              <w:rPr>
                <w:sz w:val="20"/>
                <w:lang w:eastAsia="zh-CN"/>
              </w:rPr>
              <w:t>a</w:t>
            </w:r>
            <w:r w:rsidR="000D5DB1" w:rsidRPr="00A0226F">
              <w:rPr>
                <w:sz w:val="20"/>
                <w:lang w:eastAsia="zh-CN"/>
              </w:rPr>
              <w:t xml:space="preserve"> Zimbabwe </w:t>
            </w:r>
            <w:r w:rsidR="00A0226F">
              <w:rPr>
                <w:sz w:val="20"/>
                <w:lang w:eastAsia="zh-CN"/>
              </w:rPr>
              <w:t>–</w:t>
            </w:r>
            <w:r w:rsidR="000D5DB1" w:rsidRPr="00A0226F">
              <w:rPr>
                <w:sz w:val="20"/>
                <w:lang w:eastAsia="zh-CN"/>
              </w:rPr>
              <w:t xml:space="preserve"> </w:t>
            </w:r>
            <w:r w:rsidR="00F7400C" w:rsidRPr="00A0226F">
              <w:rPr>
                <w:sz w:val="20"/>
                <w:lang w:eastAsia="zh-CN"/>
              </w:rPr>
              <w:t>2ª Reunión de coordinación de SADC para el Acuerdo GE06</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17/06/13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21/06/13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Victoria Falls</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F7400C" w:rsidRPr="00A0226F">
              <w:rPr>
                <w:sz w:val="20"/>
                <w:lang w:eastAsia="zh-CN"/>
              </w:rPr>
              <w:t>a</w:t>
            </w:r>
            <w:r w:rsidR="000D5DB1" w:rsidRPr="00A0226F">
              <w:rPr>
                <w:sz w:val="20"/>
                <w:lang w:eastAsia="zh-CN"/>
              </w:rPr>
              <w:t xml:space="preserve"> Somalia </w:t>
            </w:r>
            <w:r w:rsidR="007A5260">
              <w:rPr>
                <w:sz w:val="20"/>
                <w:lang w:eastAsia="zh-CN"/>
              </w:rPr>
              <w:t>–</w:t>
            </w:r>
            <w:r w:rsidR="000D5DB1" w:rsidRPr="00A0226F">
              <w:rPr>
                <w:sz w:val="20"/>
                <w:lang w:eastAsia="zh-CN"/>
              </w:rPr>
              <w:t xml:space="preserve"> Seminar</w:t>
            </w:r>
            <w:r w:rsidR="00F7400C" w:rsidRPr="00A0226F">
              <w:rPr>
                <w:sz w:val="20"/>
                <w:lang w:eastAsia="zh-CN"/>
              </w:rPr>
              <w:t>io sobre</w:t>
            </w:r>
            <w:r w:rsidR="00E72A0F">
              <w:rPr>
                <w:sz w:val="20"/>
                <w:lang w:eastAsia="zh-CN"/>
              </w:rPr>
              <w:t xml:space="preserve"> </w:t>
            </w:r>
            <w:r w:rsidR="00A1207A" w:rsidRPr="00A0226F">
              <w:rPr>
                <w:sz w:val="20"/>
                <w:lang w:eastAsia="zh-CN"/>
              </w:rPr>
              <w:t>n</w:t>
            </w:r>
            <w:r w:rsidR="00F7400C" w:rsidRPr="00A0226F">
              <w:rPr>
                <w:sz w:val="20"/>
                <w:lang w:eastAsia="zh-CN"/>
              </w:rPr>
              <w:t xml:space="preserve">otificación de </w:t>
            </w:r>
            <w:r w:rsidR="00A1207A" w:rsidRPr="00A0226F">
              <w:rPr>
                <w:sz w:val="20"/>
                <w:lang w:eastAsia="zh-CN"/>
              </w:rPr>
              <w:t>asignaciones de f</w:t>
            </w:r>
            <w:r w:rsidR="00F7400C" w:rsidRPr="00A0226F">
              <w:rPr>
                <w:sz w:val="20"/>
                <w:lang w:eastAsia="zh-CN"/>
              </w:rPr>
              <w:t xml:space="preserve">recuencias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29/06/13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30/06/13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Dub</w:t>
            </w:r>
            <w:r w:rsidR="00D55C37" w:rsidRPr="00A0226F">
              <w:rPr>
                <w:sz w:val="20"/>
                <w:lang w:val="en-US" w:eastAsia="zh-CN"/>
              </w:rPr>
              <w:t>á</w:t>
            </w:r>
            <w:r w:rsidRPr="00A0226F">
              <w:rPr>
                <w:sz w:val="20"/>
                <w:lang w:val="en-US" w:eastAsia="zh-CN"/>
              </w:rPr>
              <w:t>i</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F7400C" w:rsidRPr="00A0226F">
              <w:rPr>
                <w:sz w:val="20"/>
                <w:lang w:eastAsia="zh-CN"/>
              </w:rPr>
              <w:t>a</w:t>
            </w:r>
            <w:r w:rsidR="000D5DB1" w:rsidRPr="00A0226F">
              <w:rPr>
                <w:sz w:val="20"/>
                <w:lang w:eastAsia="zh-CN"/>
              </w:rPr>
              <w:t xml:space="preserve"> Palestin</w:t>
            </w:r>
            <w:r w:rsidR="00F7400C" w:rsidRPr="00A0226F">
              <w:rPr>
                <w:sz w:val="20"/>
                <w:lang w:eastAsia="zh-CN"/>
              </w:rPr>
              <w:t>a</w:t>
            </w:r>
            <w:r w:rsidR="004F6F8B" w:rsidRPr="00A0226F">
              <w:rPr>
                <w:sz w:val="20"/>
                <w:lang w:eastAsia="zh-CN"/>
              </w:rPr>
              <w:t xml:space="preserve"> en el proceso de transición a la TV digital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26/08/13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30/08/13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Ramallah</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F6F8B" w:rsidP="00A0226F">
            <w:pPr>
              <w:pStyle w:val="Tabletext"/>
              <w:rPr>
                <w:sz w:val="20"/>
                <w:lang w:eastAsia="zh-CN"/>
              </w:rPr>
            </w:pPr>
            <w:r w:rsidRPr="00A0226F">
              <w:rPr>
                <w:sz w:val="20"/>
                <w:lang w:eastAsia="zh-CN"/>
              </w:rPr>
              <w:t xml:space="preserve">1ª Reunión </w:t>
            </w:r>
            <w:r w:rsidR="00B37DD2" w:rsidRPr="00A0226F">
              <w:rPr>
                <w:sz w:val="20"/>
                <w:lang w:eastAsia="zh-CN"/>
              </w:rPr>
              <w:t xml:space="preserve">de lanzamiento: </w:t>
            </w:r>
            <w:r w:rsidR="002B0179" w:rsidRPr="00A0226F">
              <w:rPr>
                <w:sz w:val="20"/>
                <w:lang w:eastAsia="zh-CN"/>
              </w:rPr>
              <w:t xml:space="preserve">Asistencia a NBTC </w:t>
            </w:r>
            <w:r w:rsidR="00B37DD2" w:rsidRPr="00A0226F">
              <w:rPr>
                <w:sz w:val="20"/>
                <w:lang w:eastAsia="zh-CN"/>
              </w:rPr>
              <w:t>para el proyecto de e</w:t>
            </w:r>
            <w:r w:rsidRPr="00A0226F">
              <w:rPr>
                <w:sz w:val="20"/>
                <w:lang w:eastAsia="zh-CN"/>
              </w:rPr>
              <w:t xml:space="preserve">studio </w:t>
            </w:r>
            <w:r w:rsidR="002B0179" w:rsidRPr="00A0226F">
              <w:rPr>
                <w:sz w:val="20"/>
                <w:lang w:eastAsia="zh-CN"/>
              </w:rPr>
              <w:t xml:space="preserve">sobre </w:t>
            </w:r>
            <w:r w:rsidR="00B37DD2" w:rsidRPr="00A0226F">
              <w:rPr>
                <w:sz w:val="20"/>
                <w:lang w:eastAsia="zh-CN"/>
              </w:rPr>
              <w:t>s</w:t>
            </w:r>
            <w:r w:rsidRPr="00A0226F">
              <w:rPr>
                <w:sz w:val="20"/>
                <w:lang w:eastAsia="zh-CN"/>
              </w:rPr>
              <w:t xml:space="preserve">ubastas del </w:t>
            </w:r>
            <w:r w:rsidR="00B37DD2" w:rsidRPr="00A0226F">
              <w:rPr>
                <w:sz w:val="20"/>
                <w:lang w:eastAsia="zh-CN"/>
              </w:rPr>
              <w:t>e</w:t>
            </w:r>
            <w:r w:rsidRPr="00A0226F">
              <w:rPr>
                <w:sz w:val="20"/>
                <w:lang w:eastAsia="zh-CN"/>
              </w:rPr>
              <w:t>spectro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17/09/13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20/09/13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730EB" w:rsidRPr="00A0226F">
              <w:rPr>
                <w:sz w:val="20"/>
                <w:lang w:eastAsia="zh-CN"/>
              </w:rPr>
              <w:t>a</w:t>
            </w:r>
            <w:r w:rsidR="000D5DB1" w:rsidRPr="00A0226F">
              <w:rPr>
                <w:sz w:val="20"/>
                <w:lang w:eastAsia="zh-CN"/>
              </w:rPr>
              <w:t xml:space="preserve"> China </w:t>
            </w:r>
            <w:r w:rsidR="00A0226F">
              <w:rPr>
                <w:sz w:val="20"/>
                <w:lang w:eastAsia="zh-CN"/>
              </w:rPr>
              <w:t>–</w:t>
            </w:r>
            <w:r w:rsidR="000D5DB1" w:rsidRPr="00A0226F">
              <w:rPr>
                <w:sz w:val="20"/>
                <w:lang w:eastAsia="zh-CN"/>
              </w:rPr>
              <w:t xml:space="preserve"> </w:t>
            </w:r>
            <w:r w:rsidR="00413A9B" w:rsidRPr="00A0226F">
              <w:rPr>
                <w:sz w:val="20"/>
                <w:lang w:eastAsia="zh-CN"/>
              </w:rPr>
              <w:t>Taller sobre s</w:t>
            </w:r>
            <w:r w:rsidR="00B730EB" w:rsidRPr="00A0226F">
              <w:rPr>
                <w:sz w:val="20"/>
                <w:lang w:eastAsia="zh-CN"/>
              </w:rPr>
              <w:t xml:space="preserve">atélites </w:t>
            </w:r>
            <w:r w:rsidR="00413A9B" w:rsidRPr="00A0226F">
              <w:rPr>
                <w:sz w:val="20"/>
                <w:lang w:eastAsia="zh-CN"/>
              </w:rPr>
              <w:t xml:space="preserve">después de </w:t>
            </w:r>
            <w:r w:rsidR="000D5DB1" w:rsidRPr="00A0226F">
              <w:rPr>
                <w:sz w:val="20"/>
                <w:lang w:eastAsia="zh-CN"/>
              </w:rPr>
              <w:t>IAC-2013</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28/09/13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30/09/13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Beijing</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730EB" w:rsidRPr="00A0226F">
              <w:rPr>
                <w:sz w:val="20"/>
                <w:lang w:eastAsia="zh-CN"/>
              </w:rPr>
              <w:t>a</w:t>
            </w:r>
            <w:r w:rsidR="000D5DB1" w:rsidRPr="00A0226F">
              <w:rPr>
                <w:sz w:val="20"/>
                <w:lang w:eastAsia="zh-CN"/>
              </w:rPr>
              <w:t xml:space="preserve"> Per</w:t>
            </w:r>
            <w:r w:rsidR="00B730EB" w:rsidRPr="00A0226F">
              <w:rPr>
                <w:sz w:val="20"/>
                <w:lang w:eastAsia="zh-CN"/>
              </w:rPr>
              <w:t>ú</w:t>
            </w:r>
            <w:r w:rsidR="000D5DB1" w:rsidRPr="00A0226F">
              <w:rPr>
                <w:sz w:val="20"/>
                <w:lang w:eastAsia="zh-CN"/>
              </w:rPr>
              <w:t xml:space="preserve"> </w:t>
            </w:r>
            <w:r w:rsidR="00A0226F">
              <w:rPr>
                <w:sz w:val="20"/>
                <w:lang w:eastAsia="zh-CN"/>
              </w:rPr>
              <w:t>–</w:t>
            </w:r>
            <w:r w:rsidR="000D5DB1" w:rsidRPr="00A0226F">
              <w:rPr>
                <w:sz w:val="20"/>
                <w:lang w:eastAsia="zh-CN"/>
              </w:rPr>
              <w:t xml:space="preserve"> Seminar</w:t>
            </w:r>
            <w:r w:rsidR="00B730EB" w:rsidRPr="00A0226F">
              <w:rPr>
                <w:sz w:val="20"/>
                <w:lang w:eastAsia="zh-CN"/>
              </w:rPr>
              <w:t xml:space="preserve">io sobre </w:t>
            </w:r>
            <w:r w:rsidR="002B0179" w:rsidRPr="00A0226F">
              <w:rPr>
                <w:sz w:val="20"/>
                <w:lang w:eastAsia="zh-CN"/>
              </w:rPr>
              <w:t>cuestiones relativas</w:t>
            </w:r>
            <w:r w:rsidR="00B730EB" w:rsidRPr="00A0226F">
              <w:rPr>
                <w:sz w:val="20"/>
                <w:lang w:eastAsia="zh-CN"/>
              </w:rPr>
              <w:t xml:space="preserve"> al </w:t>
            </w:r>
            <w:r w:rsidR="00A1207A" w:rsidRPr="00A0226F">
              <w:rPr>
                <w:sz w:val="20"/>
                <w:lang w:eastAsia="zh-CN"/>
              </w:rPr>
              <w:t>e</w:t>
            </w:r>
            <w:r w:rsidR="00B730EB" w:rsidRPr="00A0226F">
              <w:rPr>
                <w:sz w:val="20"/>
                <w:lang w:eastAsia="zh-CN"/>
              </w:rPr>
              <w:t>spacio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28/10/13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30/10/13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Lima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730EB" w:rsidRPr="00A0226F">
              <w:rPr>
                <w:sz w:val="20"/>
                <w:lang w:eastAsia="zh-CN"/>
              </w:rPr>
              <w:t>a</w:t>
            </w:r>
            <w:r w:rsidR="000D5DB1" w:rsidRPr="00A0226F">
              <w:rPr>
                <w:sz w:val="20"/>
                <w:lang w:eastAsia="zh-CN"/>
              </w:rPr>
              <w:t xml:space="preserve"> Armenia </w:t>
            </w:r>
            <w:r w:rsidR="00413A9B" w:rsidRPr="00A0226F">
              <w:rPr>
                <w:sz w:val="20"/>
                <w:lang w:eastAsia="zh-CN"/>
              </w:rPr>
              <w:t>sobre c</w:t>
            </w:r>
            <w:r w:rsidR="00B730EB" w:rsidRPr="00A0226F">
              <w:rPr>
                <w:sz w:val="20"/>
                <w:lang w:eastAsia="zh-CN"/>
              </w:rPr>
              <w:t xml:space="preserve">uestiones </w:t>
            </w:r>
            <w:r w:rsidR="00413A9B" w:rsidRPr="00A0226F">
              <w:rPr>
                <w:sz w:val="20"/>
                <w:lang w:eastAsia="zh-CN"/>
              </w:rPr>
              <w:t>relativas a la r</w:t>
            </w:r>
            <w:r w:rsidR="00B730EB" w:rsidRPr="00A0226F">
              <w:rPr>
                <w:sz w:val="20"/>
                <w:lang w:eastAsia="zh-CN"/>
              </w:rPr>
              <w:t>eglamenta</w:t>
            </w:r>
            <w:r w:rsidR="00413A9B" w:rsidRPr="00A0226F">
              <w:rPr>
                <w:sz w:val="20"/>
                <w:lang w:eastAsia="zh-CN"/>
              </w:rPr>
              <w:t xml:space="preserve">ción de sistemas espaciales en </w:t>
            </w:r>
            <w:r w:rsidR="00B730EB" w:rsidRPr="00A0226F">
              <w:rPr>
                <w:sz w:val="20"/>
                <w:lang w:eastAsia="zh-CN"/>
              </w:rPr>
              <w:t>la UIT</w:t>
            </w:r>
            <w:r w:rsidR="00E72A0F">
              <w:rPr>
                <w:sz w:val="20"/>
                <w:lang w:eastAsia="zh-CN"/>
              </w:rPr>
              <w:t xml:space="preserve">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28/10/13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31/10/13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Yerevan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730EB" w:rsidRPr="00A0226F">
              <w:rPr>
                <w:sz w:val="20"/>
                <w:lang w:eastAsia="zh-CN"/>
              </w:rPr>
              <w:t>a</w:t>
            </w:r>
            <w:r w:rsidR="000D5DB1" w:rsidRPr="00A0226F">
              <w:rPr>
                <w:sz w:val="20"/>
                <w:lang w:eastAsia="zh-CN"/>
              </w:rPr>
              <w:t xml:space="preserve"> ANE </w:t>
            </w:r>
            <w:r w:rsidR="00A0226F">
              <w:rPr>
                <w:sz w:val="20"/>
                <w:lang w:eastAsia="zh-CN"/>
              </w:rPr>
              <w:t>–</w:t>
            </w:r>
            <w:r w:rsidR="000D5DB1" w:rsidRPr="00A0226F">
              <w:rPr>
                <w:sz w:val="20"/>
                <w:lang w:eastAsia="zh-CN"/>
              </w:rPr>
              <w:t xml:space="preserve"> Colombia </w:t>
            </w:r>
            <w:r w:rsidR="00A0226F">
              <w:rPr>
                <w:sz w:val="20"/>
                <w:lang w:eastAsia="zh-CN"/>
              </w:rPr>
              <w:t>–</w:t>
            </w:r>
            <w:r w:rsidR="000D5DB1" w:rsidRPr="00A0226F">
              <w:rPr>
                <w:sz w:val="20"/>
                <w:lang w:eastAsia="zh-CN"/>
              </w:rPr>
              <w:t xml:space="preserve"> Seminar</w:t>
            </w:r>
            <w:r w:rsidR="00B730EB" w:rsidRPr="00A0226F">
              <w:rPr>
                <w:sz w:val="20"/>
                <w:lang w:eastAsia="zh-CN"/>
              </w:rPr>
              <w:t xml:space="preserve">io sobre </w:t>
            </w:r>
            <w:r w:rsidR="002B0179" w:rsidRPr="00A0226F">
              <w:rPr>
                <w:sz w:val="20"/>
                <w:lang w:eastAsia="zh-CN"/>
              </w:rPr>
              <w:t>cuestiones relativas</w:t>
            </w:r>
            <w:r w:rsidR="00413A9B" w:rsidRPr="00A0226F">
              <w:rPr>
                <w:sz w:val="20"/>
                <w:lang w:eastAsia="zh-CN"/>
              </w:rPr>
              <w:t xml:space="preserve"> al e</w:t>
            </w:r>
            <w:r w:rsidR="00B730EB" w:rsidRPr="00A0226F">
              <w:rPr>
                <w:sz w:val="20"/>
                <w:lang w:eastAsia="zh-CN"/>
              </w:rPr>
              <w:t xml:space="preserve">spacio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31/10/13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01/11/13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Bog</w:t>
            </w:r>
            <w:r w:rsidR="00D55C37" w:rsidRPr="00A0226F">
              <w:rPr>
                <w:sz w:val="20"/>
                <w:lang w:val="en-US" w:eastAsia="zh-CN"/>
              </w:rPr>
              <w:t>o</w:t>
            </w:r>
            <w:r w:rsidRPr="00A0226F">
              <w:rPr>
                <w:sz w:val="20"/>
                <w:lang w:val="en-US" w:eastAsia="zh-CN"/>
              </w:rPr>
              <w:t>t</w:t>
            </w:r>
            <w:r w:rsidR="00D55C37" w:rsidRPr="00A0226F">
              <w:rPr>
                <w:sz w:val="20"/>
                <w:lang w:val="en-US" w:eastAsia="zh-CN"/>
              </w:rPr>
              <w:t>á</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eastAsia="zh-CN"/>
              </w:rPr>
            </w:pPr>
            <w:r w:rsidRPr="00A0226F">
              <w:rPr>
                <w:sz w:val="20"/>
                <w:lang w:eastAsia="zh-CN"/>
              </w:rPr>
              <w:t>Asistencia</w:t>
            </w:r>
            <w:r w:rsidR="000D5DB1" w:rsidRPr="00A0226F">
              <w:rPr>
                <w:sz w:val="20"/>
                <w:lang w:eastAsia="zh-CN"/>
              </w:rPr>
              <w:t xml:space="preserve"> </w:t>
            </w:r>
            <w:r w:rsidR="00B730EB" w:rsidRPr="00A0226F">
              <w:rPr>
                <w:sz w:val="20"/>
                <w:lang w:eastAsia="zh-CN"/>
              </w:rPr>
              <w:t>a Sudá</w:t>
            </w:r>
            <w:r w:rsidR="000D5DB1" w:rsidRPr="00A0226F">
              <w:rPr>
                <w:sz w:val="20"/>
                <w:lang w:eastAsia="zh-CN"/>
              </w:rPr>
              <w:t xml:space="preserve">n </w:t>
            </w:r>
            <w:r w:rsidR="00B730EB" w:rsidRPr="00A0226F">
              <w:rPr>
                <w:sz w:val="20"/>
                <w:lang w:eastAsia="zh-CN"/>
              </w:rPr>
              <w:t xml:space="preserve">y Sudán del Sur </w:t>
            </w:r>
            <w:r w:rsidR="00A0226F">
              <w:rPr>
                <w:sz w:val="20"/>
                <w:lang w:eastAsia="zh-CN"/>
              </w:rPr>
              <w:t>–</w:t>
            </w:r>
            <w:r w:rsidR="000D5DB1" w:rsidRPr="00A0226F">
              <w:rPr>
                <w:sz w:val="20"/>
                <w:lang w:eastAsia="zh-CN"/>
              </w:rPr>
              <w:t xml:space="preserve"> </w:t>
            </w:r>
            <w:r w:rsidR="00B730EB" w:rsidRPr="00A0226F">
              <w:rPr>
                <w:sz w:val="20"/>
                <w:lang w:eastAsia="zh-CN"/>
              </w:rPr>
              <w:t xml:space="preserve">Taller en </w:t>
            </w:r>
            <w:r w:rsidR="000D5DB1" w:rsidRPr="00A0226F">
              <w:rPr>
                <w:sz w:val="20"/>
                <w:lang w:eastAsia="zh-CN"/>
              </w:rPr>
              <w:t>Addis o</w:t>
            </w:r>
            <w:r w:rsidR="00B730EB" w:rsidRPr="00A0226F">
              <w:rPr>
                <w:sz w:val="20"/>
                <w:lang w:eastAsia="zh-CN"/>
              </w:rPr>
              <w:t xml:space="preserve"> El</w:t>
            </w:r>
            <w:r w:rsidR="000D5DB1" w:rsidRPr="00A0226F">
              <w:rPr>
                <w:sz w:val="20"/>
                <w:lang w:eastAsia="zh-CN"/>
              </w:rPr>
              <w:t xml:space="preserve"> Cairo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04/11/13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07/11/13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Addis Ababa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B730EB" w:rsidP="00A0226F">
            <w:pPr>
              <w:pStyle w:val="Tabletext"/>
              <w:rPr>
                <w:sz w:val="20"/>
                <w:lang w:eastAsia="zh-CN"/>
              </w:rPr>
            </w:pPr>
            <w:r w:rsidRPr="00A0226F">
              <w:rPr>
                <w:sz w:val="20"/>
                <w:lang w:eastAsia="zh-CN"/>
              </w:rPr>
              <w:t xml:space="preserve">2ª Reunión de Asistencia </w:t>
            </w:r>
            <w:r w:rsidR="002B0179" w:rsidRPr="00A0226F">
              <w:rPr>
                <w:sz w:val="20"/>
                <w:lang w:eastAsia="zh-CN"/>
              </w:rPr>
              <w:t xml:space="preserve">a NBTC </w:t>
            </w:r>
            <w:r w:rsidR="00413A9B" w:rsidRPr="00A0226F">
              <w:rPr>
                <w:sz w:val="20"/>
                <w:lang w:eastAsia="zh-CN"/>
              </w:rPr>
              <w:t>para el p</w:t>
            </w:r>
            <w:r w:rsidR="002B0179" w:rsidRPr="00A0226F">
              <w:rPr>
                <w:sz w:val="20"/>
                <w:lang w:eastAsia="zh-CN"/>
              </w:rPr>
              <w:t xml:space="preserve">royecto de </w:t>
            </w:r>
            <w:r w:rsidR="00413A9B" w:rsidRPr="00A0226F">
              <w:rPr>
                <w:sz w:val="20"/>
                <w:lang w:eastAsia="zh-CN"/>
              </w:rPr>
              <w:t>estudio sobre s</w:t>
            </w:r>
            <w:r w:rsidR="002B0179" w:rsidRPr="00A0226F">
              <w:rPr>
                <w:sz w:val="20"/>
                <w:lang w:eastAsia="zh-CN"/>
              </w:rPr>
              <w:t xml:space="preserve">ubastas del </w:t>
            </w:r>
            <w:r w:rsidR="00413A9B" w:rsidRPr="00A0226F">
              <w:rPr>
                <w:sz w:val="20"/>
                <w:lang w:eastAsia="zh-CN"/>
              </w:rPr>
              <w:t>e</w:t>
            </w:r>
            <w:r w:rsidR="002B0179" w:rsidRPr="00A0226F">
              <w:rPr>
                <w:sz w:val="20"/>
                <w:lang w:eastAsia="zh-CN"/>
              </w:rPr>
              <w:t xml:space="preserve">spectro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05/11/13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2B0179" w:rsidP="00A0226F">
            <w:pPr>
              <w:pStyle w:val="Tabletext"/>
              <w:rPr>
                <w:sz w:val="20"/>
                <w:lang w:eastAsia="zh-CN"/>
              </w:rPr>
            </w:pPr>
            <w:r w:rsidRPr="00A0226F">
              <w:rPr>
                <w:sz w:val="20"/>
                <w:lang w:eastAsia="zh-CN"/>
              </w:rPr>
              <w:t xml:space="preserve">Asistencia a ANE </w:t>
            </w:r>
            <w:r w:rsidR="00A0226F">
              <w:rPr>
                <w:sz w:val="20"/>
                <w:lang w:eastAsia="zh-CN"/>
              </w:rPr>
              <w:t>–</w:t>
            </w:r>
            <w:r w:rsidRPr="00A0226F">
              <w:rPr>
                <w:sz w:val="20"/>
                <w:lang w:eastAsia="zh-CN"/>
              </w:rPr>
              <w:t xml:space="preserve"> Colombia </w:t>
            </w:r>
            <w:r w:rsidR="007A5260">
              <w:rPr>
                <w:sz w:val="20"/>
                <w:lang w:eastAsia="zh-CN"/>
              </w:rPr>
              <w:t>–</w:t>
            </w:r>
            <w:r w:rsidRPr="00A0226F">
              <w:rPr>
                <w:sz w:val="20"/>
                <w:lang w:eastAsia="zh-CN"/>
              </w:rPr>
              <w:t xml:space="preserve"> Seminario sobre </w:t>
            </w:r>
            <w:r w:rsidR="00413A9B" w:rsidRPr="00A0226F">
              <w:rPr>
                <w:sz w:val="20"/>
                <w:lang w:eastAsia="zh-CN"/>
              </w:rPr>
              <w:t>cuestiones relativas a s</w:t>
            </w:r>
            <w:r w:rsidRPr="00A0226F">
              <w:rPr>
                <w:sz w:val="20"/>
                <w:lang w:eastAsia="zh-CN"/>
              </w:rPr>
              <w:t xml:space="preserve">ervicios </w:t>
            </w:r>
            <w:r w:rsidR="00413A9B" w:rsidRPr="00A0226F">
              <w:rPr>
                <w:sz w:val="20"/>
                <w:lang w:eastAsia="zh-CN"/>
              </w:rPr>
              <w:t>t</w:t>
            </w:r>
            <w:r w:rsidRPr="00A0226F">
              <w:rPr>
                <w:sz w:val="20"/>
                <w:lang w:eastAsia="zh-CN"/>
              </w:rPr>
              <w:t xml:space="preserve">errenales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FE40BA" w:rsidP="00A0226F">
            <w:pPr>
              <w:pStyle w:val="Tabletext"/>
              <w:rPr>
                <w:sz w:val="20"/>
                <w:lang w:val="en-US" w:eastAsia="zh-CN"/>
              </w:rPr>
            </w:pPr>
            <w:r w:rsidRPr="00A0226F">
              <w:rPr>
                <w:sz w:val="20"/>
                <w:lang w:val="en-US" w:eastAsia="zh-CN"/>
              </w:rPr>
              <w:t>Bogotá</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2B0179" w:rsidP="00A0226F">
            <w:pPr>
              <w:pStyle w:val="Tabletext"/>
              <w:rPr>
                <w:sz w:val="20"/>
                <w:lang w:eastAsia="zh-CN"/>
              </w:rPr>
            </w:pPr>
            <w:r w:rsidRPr="00A0226F">
              <w:rPr>
                <w:sz w:val="20"/>
                <w:lang w:eastAsia="zh-CN"/>
              </w:rPr>
              <w:t xml:space="preserve">Asistencia a ANE </w:t>
            </w:r>
            <w:r w:rsidR="007A5260">
              <w:rPr>
                <w:sz w:val="20"/>
                <w:lang w:eastAsia="zh-CN"/>
              </w:rPr>
              <w:t>–</w:t>
            </w:r>
            <w:r w:rsidRPr="00A0226F">
              <w:rPr>
                <w:sz w:val="20"/>
                <w:lang w:eastAsia="zh-CN"/>
              </w:rPr>
              <w:t xml:space="preserve"> Colombia </w:t>
            </w:r>
            <w:r w:rsidR="007A5260">
              <w:rPr>
                <w:sz w:val="20"/>
                <w:lang w:eastAsia="zh-CN"/>
              </w:rPr>
              <w:t>–</w:t>
            </w:r>
            <w:r w:rsidRPr="00A0226F">
              <w:rPr>
                <w:sz w:val="20"/>
                <w:lang w:eastAsia="zh-CN"/>
              </w:rPr>
              <w:t xml:space="preserve"> Seminario sobre </w:t>
            </w:r>
            <w:r w:rsidR="00413A9B" w:rsidRPr="00A0226F">
              <w:rPr>
                <w:sz w:val="20"/>
                <w:lang w:eastAsia="zh-CN"/>
              </w:rPr>
              <w:t>g</w:t>
            </w:r>
            <w:r w:rsidRPr="00A0226F">
              <w:rPr>
                <w:sz w:val="20"/>
                <w:lang w:eastAsia="zh-CN"/>
              </w:rPr>
              <w:t xml:space="preserve">estión del </w:t>
            </w:r>
            <w:r w:rsidR="00413A9B" w:rsidRPr="00A0226F">
              <w:rPr>
                <w:sz w:val="20"/>
                <w:lang w:eastAsia="zh-CN"/>
              </w:rPr>
              <w:t>e</w:t>
            </w:r>
            <w:r w:rsidRPr="00A0226F">
              <w:rPr>
                <w:sz w:val="20"/>
                <w:lang w:eastAsia="zh-CN"/>
              </w:rPr>
              <w:t xml:space="preserve">spectro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12/11/13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FE40BA" w:rsidP="00A0226F">
            <w:pPr>
              <w:pStyle w:val="Tabletext"/>
              <w:rPr>
                <w:sz w:val="20"/>
                <w:lang w:val="en-US" w:eastAsia="zh-CN"/>
              </w:rPr>
            </w:pPr>
            <w:r w:rsidRPr="00A0226F">
              <w:rPr>
                <w:sz w:val="20"/>
                <w:lang w:val="en-US" w:eastAsia="zh-CN"/>
              </w:rPr>
              <w:t>Bogotá</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2B0179" w:rsidP="00A0226F">
            <w:pPr>
              <w:pStyle w:val="Tabletext"/>
              <w:rPr>
                <w:sz w:val="20"/>
                <w:lang w:eastAsia="zh-CN"/>
              </w:rPr>
            </w:pPr>
            <w:r w:rsidRPr="00A0226F">
              <w:rPr>
                <w:sz w:val="20"/>
                <w:lang w:eastAsia="zh-CN"/>
              </w:rPr>
              <w:t xml:space="preserve">Asistencia técnica a </w:t>
            </w:r>
            <w:r w:rsidR="000D5DB1" w:rsidRPr="00A0226F">
              <w:rPr>
                <w:sz w:val="20"/>
                <w:lang w:eastAsia="zh-CN"/>
              </w:rPr>
              <w:t xml:space="preserve">MINTIC </w:t>
            </w:r>
            <w:r w:rsidR="007A5260">
              <w:rPr>
                <w:sz w:val="20"/>
                <w:lang w:eastAsia="zh-CN"/>
              </w:rPr>
              <w:t>–</w:t>
            </w:r>
            <w:r w:rsidR="000D5DB1" w:rsidRPr="00A0226F">
              <w:rPr>
                <w:sz w:val="20"/>
                <w:lang w:eastAsia="zh-CN"/>
              </w:rPr>
              <w:t xml:space="preserve"> Colombia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14/11/13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15/11/13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FE40BA" w:rsidP="00A0226F">
            <w:pPr>
              <w:pStyle w:val="Tabletext"/>
              <w:rPr>
                <w:sz w:val="20"/>
                <w:lang w:val="en-US" w:eastAsia="zh-CN"/>
              </w:rPr>
            </w:pPr>
            <w:r w:rsidRPr="00A0226F">
              <w:rPr>
                <w:sz w:val="20"/>
                <w:lang w:val="en-US" w:eastAsia="zh-CN"/>
              </w:rPr>
              <w:t>Bogotá</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8C6342" w:rsidP="00A0226F">
            <w:pPr>
              <w:pStyle w:val="Tabletext"/>
              <w:rPr>
                <w:sz w:val="20"/>
                <w:lang w:val="en-US" w:eastAsia="zh-CN"/>
              </w:rPr>
            </w:pPr>
            <w:r w:rsidRPr="00A0226F">
              <w:rPr>
                <w:sz w:val="20"/>
                <w:lang w:val="en-US" w:eastAsia="zh-CN"/>
              </w:rPr>
              <w:t>Asistencia</w:t>
            </w:r>
            <w:r w:rsidR="000D5DB1" w:rsidRPr="00A0226F">
              <w:rPr>
                <w:sz w:val="20"/>
                <w:lang w:val="en-US" w:eastAsia="zh-CN"/>
              </w:rPr>
              <w:t xml:space="preserve"> </w:t>
            </w:r>
            <w:r w:rsidR="002B0179" w:rsidRPr="00A0226F">
              <w:rPr>
                <w:sz w:val="20"/>
                <w:lang w:val="en-US" w:eastAsia="zh-CN"/>
              </w:rPr>
              <w:t>a</w:t>
            </w:r>
            <w:r w:rsidR="000D5DB1" w:rsidRPr="00A0226F">
              <w:rPr>
                <w:sz w:val="20"/>
                <w:lang w:val="en-US" w:eastAsia="zh-CN"/>
              </w:rPr>
              <w:t xml:space="preserve"> Mozambique</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06/12/13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13/12/13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sz w:val="20"/>
                <w:lang w:val="en-US" w:eastAsia="zh-CN"/>
              </w:rPr>
            </w:pPr>
            <w:r w:rsidRPr="00A0226F">
              <w:rPr>
                <w:sz w:val="20"/>
                <w:lang w:val="en-US" w:eastAsia="zh-CN"/>
              </w:rPr>
              <w:t>Ginebra</w:t>
            </w:r>
            <w:r w:rsidR="00C22AA5" w:rsidRPr="00A0226F">
              <w:rPr>
                <w:sz w:val="20"/>
                <w:lang w:val="en-US" w:eastAsia="zh-CN"/>
              </w:rPr>
              <w:t>,</w:t>
            </w:r>
            <w:r w:rsidRPr="00A0226F">
              <w:rPr>
                <w:sz w:val="20"/>
                <w:lang w:val="en-US" w:eastAsia="zh-CN"/>
              </w:rPr>
              <w:t xml:space="preserve"> UIT</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2B0179" w:rsidP="00A0226F">
            <w:pPr>
              <w:pStyle w:val="Tabletext"/>
              <w:rPr>
                <w:sz w:val="20"/>
                <w:lang w:eastAsia="zh-CN"/>
              </w:rPr>
            </w:pPr>
            <w:r w:rsidRPr="00A0226F">
              <w:rPr>
                <w:sz w:val="20"/>
                <w:lang w:eastAsia="zh-CN"/>
              </w:rPr>
              <w:t xml:space="preserve">3ª Reunión de Asistencia a NBTC </w:t>
            </w:r>
            <w:r w:rsidR="00413A9B" w:rsidRPr="00A0226F">
              <w:rPr>
                <w:sz w:val="20"/>
                <w:lang w:eastAsia="zh-CN"/>
              </w:rPr>
              <w:t>para el p</w:t>
            </w:r>
            <w:r w:rsidRPr="00A0226F">
              <w:rPr>
                <w:sz w:val="20"/>
                <w:lang w:eastAsia="zh-CN"/>
              </w:rPr>
              <w:t xml:space="preserve">royecto de </w:t>
            </w:r>
            <w:r w:rsidR="00413A9B" w:rsidRPr="00A0226F">
              <w:rPr>
                <w:sz w:val="20"/>
                <w:lang w:eastAsia="zh-CN"/>
              </w:rPr>
              <w:t>estudio sobre s</w:t>
            </w:r>
            <w:r w:rsidRPr="00A0226F">
              <w:rPr>
                <w:sz w:val="20"/>
                <w:lang w:eastAsia="zh-CN"/>
              </w:rPr>
              <w:t xml:space="preserve">ubastas del </w:t>
            </w:r>
            <w:r w:rsidR="00413A9B" w:rsidRPr="00A0226F">
              <w:rPr>
                <w:sz w:val="20"/>
                <w:lang w:eastAsia="zh-CN"/>
              </w:rPr>
              <w:t>e</w:t>
            </w:r>
            <w:r w:rsidRPr="00A0226F">
              <w:rPr>
                <w:sz w:val="20"/>
                <w:lang w:eastAsia="zh-CN"/>
              </w:rPr>
              <w:t>spectro</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16/12/13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20/12/13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sz w:val="20"/>
                <w:lang w:val="en-US" w:eastAsia="zh-CN"/>
              </w:rPr>
            </w:pPr>
            <w:r w:rsidRPr="00A0226F">
              <w:rPr>
                <w:sz w:val="20"/>
                <w:lang w:val="en-US" w:eastAsia="zh-CN"/>
              </w:rPr>
              <w:t>Bangkok</w:t>
            </w:r>
          </w:p>
        </w:tc>
      </w:tr>
      <w:tr w:rsidR="000D5DB1" w:rsidTr="003247B9">
        <w:trPr>
          <w:trHeight w:val="214"/>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D5DB1" w:rsidRPr="00A0226F" w:rsidRDefault="00294627" w:rsidP="00A0226F">
            <w:pPr>
              <w:pStyle w:val="Tabletext"/>
              <w:rPr>
                <w:sz w:val="20"/>
                <w:lang w:val="en-US" w:eastAsia="zh-CN"/>
              </w:rPr>
            </w:pPr>
            <w:r w:rsidRPr="00A0226F">
              <w:rPr>
                <w:sz w:val="20"/>
                <w:lang w:val="en-US" w:eastAsia="zh-CN"/>
              </w:rPr>
              <w:t xml:space="preserve">ASUNTOS DIVERSOS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val="en-US" w:eastAsia="zh-CN"/>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val="en-US" w:eastAsia="zh-CN"/>
              </w:rPr>
            </w:pP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D5DB1" w:rsidRPr="00A0226F" w:rsidRDefault="000D5DB1" w:rsidP="00A0226F">
            <w:pPr>
              <w:pStyle w:val="Tabletext"/>
              <w:rPr>
                <w:sz w:val="20"/>
                <w:lang w:val="en-US" w:eastAsia="zh-CN"/>
              </w:rPr>
            </w:pP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294627"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 xml:space="preserve">Conferencia sobre cuestiones </w:t>
            </w:r>
            <w:r w:rsidR="00413A9B" w:rsidRPr="00A0226F">
              <w:rPr>
                <w:rFonts w:asciiTheme="majorBidi" w:hAnsiTheme="majorBidi" w:cstheme="majorBidi"/>
                <w:sz w:val="20"/>
                <w:lang w:eastAsia="zh-CN"/>
              </w:rPr>
              <w:t>relativas a los s</w:t>
            </w:r>
            <w:r w:rsidRPr="00A0226F">
              <w:rPr>
                <w:rFonts w:asciiTheme="majorBidi" w:hAnsiTheme="majorBidi" w:cstheme="majorBidi"/>
                <w:sz w:val="20"/>
                <w:lang w:eastAsia="zh-CN"/>
              </w:rPr>
              <w:t xml:space="preserve">atélites en el Instituto Internacional del Aire y Derecho Espacial </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26/02/13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26/02/13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Leiden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414D82"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 xml:space="preserve">Reunión con NBTC </w:t>
            </w:r>
            <w:r w:rsidR="007A5260">
              <w:rPr>
                <w:sz w:val="20"/>
                <w:lang w:eastAsia="zh-CN"/>
              </w:rPr>
              <w:t>–</w:t>
            </w:r>
            <w:r w:rsidRPr="00A0226F">
              <w:rPr>
                <w:rFonts w:asciiTheme="majorBidi" w:hAnsiTheme="majorBidi" w:cstheme="majorBidi"/>
                <w:sz w:val="20"/>
                <w:lang w:val="en-US" w:eastAsia="zh-CN"/>
              </w:rPr>
              <w:t xml:space="preserve"> Tailandia</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31/05/13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31/05/13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Bangkok</w:t>
            </w:r>
          </w:p>
        </w:tc>
      </w:tr>
      <w:tr w:rsidR="000D5DB1" w:rsidRPr="00414D82"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 xml:space="preserve">Funeral </w:t>
            </w:r>
            <w:r w:rsidR="00414D82" w:rsidRPr="00A0226F">
              <w:rPr>
                <w:rFonts w:asciiTheme="majorBidi" w:hAnsiTheme="majorBidi" w:cstheme="majorBidi"/>
                <w:sz w:val="20"/>
                <w:lang w:eastAsia="zh-CN"/>
              </w:rPr>
              <w:t xml:space="preserve">del Sr. </w:t>
            </w:r>
            <w:r w:rsidRPr="00A0226F">
              <w:rPr>
                <w:rFonts w:asciiTheme="majorBidi" w:hAnsiTheme="majorBidi" w:cstheme="majorBidi"/>
                <w:sz w:val="20"/>
                <w:lang w:eastAsia="zh-CN"/>
              </w:rPr>
              <w:t xml:space="preserve">Peter Pauli </w:t>
            </w:r>
            <w:r w:rsidR="00414D82" w:rsidRPr="00A0226F">
              <w:rPr>
                <w:rFonts w:asciiTheme="majorBidi" w:hAnsiTheme="majorBidi" w:cstheme="majorBidi"/>
                <w:sz w:val="20"/>
                <w:lang w:eastAsia="zh-CN"/>
              </w:rPr>
              <w:t>de</w:t>
            </w:r>
            <w:r w:rsidRPr="00A0226F">
              <w:rPr>
                <w:rFonts w:asciiTheme="majorBidi" w:hAnsiTheme="majorBidi" w:cstheme="majorBidi"/>
                <w:sz w:val="20"/>
                <w:lang w:eastAsia="zh-CN"/>
              </w:rPr>
              <w:t xml:space="preserve"> OFCOM</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21/06/13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21/06/13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Solothurn</w:t>
            </w:r>
          </w:p>
        </w:tc>
      </w:tr>
      <w:tr w:rsidR="000D5DB1" w:rsidRPr="00414D82"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fr-FR" w:eastAsia="zh-CN"/>
              </w:rPr>
            </w:pPr>
            <w:r w:rsidRPr="00A0226F">
              <w:rPr>
                <w:rFonts w:asciiTheme="majorBidi" w:hAnsiTheme="majorBidi" w:cstheme="majorBidi"/>
                <w:sz w:val="20"/>
                <w:lang w:val="fr-FR" w:eastAsia="zh-CN"/>
              </w:rPr>
              <w:t xml:space="preserve">Funeral </w:t>
            </w:r>
            <w:r w:rsidR="00414D82" w:rsidRPr="00A0226F">
              <w:rPr>
                <w:rFonts w:asciiTheme="majorBidi" w:hAnsiTheme="majorBidi" w:cstheme="majorBidi"/>
                <w:sz w:val="20"/>
                <w:lang w:val="fr-FR" w:eastAsia="zh-CN"/>
              </w:rPr>
              <w:t xml:space="preserve">de la Sra. </w:t>
            </w:r>
            <w:r w:rsidRPr="00A0226F">
              <w:rPr>
                <w:rFonts w:asciiTheme="majorBidi" w:hAnsiTheme="majorBidi" w:cstheme="majorBidi"/>
                <w:sz w:val="20"/>
                <w:lang w:val="fr-FR" w:eastAsia="zh-CN"/>
              </w:rPr>
              <w:t xml:space="preserve">Marie-Thérèse Alajouanine </w:t>
            </w:r>
            <w:r w:rsidR="00414D82" w:rsidRPr="00A0226F">
              <w:rPr>
                <w:rFonts w:asciiTheme="majorBidi" w:hAnsiTheme="majorBidi" w:cstheme="majorBidi"/>
                <w:sz w:val="20"/>
                <w:lang w:val="fr-FR" w:eastAsia="zh-CN"/>
              </w:rPr>
              <w:t xml:space="preserve">de </w:t>
            </w:r>
            <w:r w:rsidRPr="00A0226F">
              <w:rPr>
                <w:rFonts w:asciiTheme="majorBidi" w:hAnsiTheme="majorBidi" w:cstheme="majorBidi"/>
                <w:sz w:val="20"/>
                <w:lang w:val="fr-FR" w:eastAsia="zh-CN"/>
              </w:rPr>
              <w:t>ARCEP</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08/07/13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08/07/13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Montluçon</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F51765"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 xml:space="preserve">Demostración de </w:t>
            </w:r>
            <w:r w:rsidR="00413A9B" w:rsidRPr="00A0226F">
              <w:rPr>
                <w:rFonts w:asciiTheme="majorBidi" w:hAnsiTheme="majorBidi" w:cstheme="majorBidi"/>
                <w:sz w:val="20"/>
                <w:lang w:eastAsia="zh-CN"/>
              </w:rPr>
              <w:t xml:space="preserve">transmisión de </w:t>
            </w:r>
            <w:r w:rsidRPr="00A0226F">
              <w:rPr>
                <w:rFonts w:asciiTheme="majorBidi" w:hAnsiTheme="majorBidi" w:cstheme="majorBidi"/>
                <w:sz w:val="20"/>
                <w:lang w:eastAsia="zh-CN"/>
              </w:rPr>
              <w:t>señales radioeléctrica</w:t>
            </w:r>
            <w:r w:rsidR="00413A9B" w:rsidRPr="00A0226F">
              <w:rPr>
                <w:rFonts w:asciiTheme="majorBidi" w:hAnsiTheme="majorBidi" w:cstheme="majorBidi"/>
                <w:sz w:val="20"/>
                <w:lang w:eastAsia="zh-CN"/>
              </w:rPr>
              <w:t>s</w:t>
            </w:r>
            <w:r w:rsidRPr="00A0226F">
              <w:rPr>
                <w:rFonts w:asciiTheme="majorBidi" w:hAnsiTheme="majorBidi" w:cstheme="majorBidi"/>
                <w:sz w:val="20"/>
                <w:lang w:eastAsia="zh-CN"/>
              </w:rPr>
              <w:t xml:space="preserve"> </w:t>
            </w:r>
            <w:r w:rsidR="00413A9B" w:rsidRPr="00A0226F">
              <w:rPr>
                <w:rFonts w:asciiTheme="majorBidi" w:hAnsiTheme="majorBidi" w:cstheme="majorBidi"/>
                <w:sz w:val="20"/>
                <w:lang w:eastAsia="zh-CN"/>
              </w:rPr>
              <w:t xml:space="preserve">en </w:t>
            </w:r>
            <w:r w:rsidR="00514F44" w:rsidRPr="00A0226F">
              <w:rPr>
                <w:rFonts w:asciiTheme="majorBidi" w:hAnsiTheme="majorBidi" w:cstheme="majorBidi"/>
                <w:sz w:val="20"/>
                <w:lang w:eastAsia="zh-CN"/>
              </w:rPr>
              <w:t>modo OAM</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24/09/13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24/09/13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Padua</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Visit</w:t>
            </w:r>
            <w:r w:rsidR="00514F44" w:rsidRPr="00A0226F">
              <w:rPr>
                <w:rFonts w:asciiTheme="majorBidi" w:hAnsiTheme="majorBidi" w:cstheme="majorBidi"/>
                <w:sz w:val="20"/>
                <w:lang w:eastAsia="zh-CN"/>
              </w:rPr>
              <w:t xml:space="preserve">a a </w:t>
            </w:r>
            <w:r w:rsidRPr="00A0226F">
              <w:rPr>
                <w:rFonts w:asciiTheme="majorBidi" w:hAnsiTheme="majorBidi" w:cstheme="majorBidi"/>
                <w:sz w:val="20"/>
                <w:lang w:eastAsia="zh-CN"/>
              </w:rPr>
              <w:t xml:space="preserve">ASTRIUM </w:t>
            </w:r>
            <w:r w:rsidR="00514F44" w:rsidRPr="00A0226F">
              <w:rPr>
                <w:rFonts w:asciiTheme="majorBidi" w:hAnsiTheme="majorBidi" w:cstheme="majorBidi"/>
                <w:sz w:val="20"/>
                <w:lang w:eastAsia="zh-CN"/>
              </w:rPr>
              <w:t xml:space="preserve">y </w:t>
            </w:r>
            <w:r w:rsidRPr="00A0226F">
              <w:rPr>
                <w:rFonts w:asciiTheme="majorBidi" w:hAnsiTheme="majorBidi" w:cstheme="majorBidi"/>
                <w:sz w:val="20"/>
                <w:lang w:eastAsia="zh-CN"/>
              </w:rPr>
              <w:t>AIRBUS</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09/10/13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10/10/13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Toulouse</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Invita</w:t>
            </w:r>
            <w:r w:rsidR="00514F44" w:rsidRPr="00A0226F">
              <w:rPr>
                <w:rFonts w:asciiTheme="majorBidi" w:hAnsiTheme="majorBidi" w:cstheme="majorBidi"/>
                <w:sz w:val="20"/>
                <w:lang w:eastAsia="zh-CN"/>
              </w:rPr>
              <w:t xml:space="preserve">ción al lanzamiento de </w:t>
            </w:r>
            <w:r w:rsidRPr="00A0226F">
              <w:rPr>
                <w:rFonts w:asciiTheme="majorBidi" w:hAnsiTheme="majorBidi" w:cstheme="majorBidi"/>
                <w:sz w:val="20"/>
                <w:lang w:eastAsia="zh-CN"/>
              </w:rPr>
              <w:t xml:space="preserve">TSDSI </w:t>
            </w:r>
            <w:r w:rsidR="00514F44" w:rsidRPr="00A0226F">
              <w:rPr>
                <w:rFonts w:asciiTheme="majorBidi" w:hAnsiTheme="majorBidi" w:cstheme="majorBidi"/>
                <w:sz w:val="20"/>
                <w:lang w:eastAsia="zh-CN"/>
              </w:rPr>
              <w:t>e</w:t>
            </w:r>
            <w:r w:rsidRPr="00A0226F">
              <w:rPr>
                <w:rFonts w:asciiTheme="majorBidi" w:hAnsiTheme="majorBidi" w:cstheme="majorBidi"/>
                <w:sz w:val="20"/>
                <w:lang w:eastAsia="zh-CN"/>
              </w:rPr>
              <w:t>n India</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08/11/13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08/11/13</w:t>
            </w:r>
          </w:p>
        </w:tc>
        <w:tc>
          <w:tcPr>
            <w:tcW w:w="1415" w:type="dxa"/>
            <w:tcBorders>
              <w:top w:val="nil"/>
              <w:left w:val="nil"/>
              <w:bottom w:val="single" w:sz="4" w:space="0" w:color="auto"/>
              <w:right w:val="single" w:sz="4" w:space="0" w:color="auto"/>
            </w:tcBorders>
            <w:noWrap/>
            <w:vAlign w:val="bottom"/>
            <w:hideMark/>
          </w:tcPr>
          <w:p w:rsidR="000D5DB1" w:rsidRPr="00A0226F" w:rsidRDefault="00D55C37"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 xml:space="preserve">Nueva </w:t>
            </w:r>
            <w:r w:rsidR="000D5DB1" w:rsidRPr="00A0226F">
              <w:rPr>
                <w:rFonts w:asciiTheme="majorBidi" w:hAnsiTheme="majorBidi" w:cstheme="majorBidi"/>
                <w:sz w:val="20"/>
                <w:lang w:val="en-US" w:eastAsia="zh-CN"/>
              </w:rPr>
              <w:t>Delhi</w:t>
            </w:r>
          </w:p>
        </w:tc>
      </w:tr>
      <w:tr w:rsidR="000D5DB1" w:rsidTr="003247B9">
        <w:trPr>
          <w:trHeight w:val="214"/>
        </w:trPr>
        <w:tc>
          <w:tcPr>
            <w:tcW w:w="5827" w:type="dxa"/>
            <w:tcBorders>
              <w:top w:val="nil"/>
              <w:left w:val="single" w:sz="4" w:space="0" w:color="auto"/>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Invita</w:t>
            </w:r>
            <w:r w:rsidR="00514F44" w:rsidRPr="00A0226F">
              <w:rPr>
                <w:rFonts w:asciiTheme="majorBidi" w:hAnsiTheme="majorBidi" w:cstheme="majorBidi"/>
                <w:sz w:val="20"/>
                <w:lang w:eastAsia="zh-CN"/>
              </w:rPr>
              <w:t>ción a r</w:t>
            </w:r>
            <w:r w:rsidR="00413A9B" w:rsidRPr="00A0226F">
              <w:rPr>
                <w:rFonts w:asciiTheme="majorBidi" w:hAnsiTheme="majorBidi" w:cstheme="majorBidi"/>
                <w:sz w:val="20"/>
                <w:lang w:eastAsia="zh-CN"/>
              </w:rPr>
              <w:t>ealizar una presentación sobre e</w:t>
            </w:r>
            <w:r w:rsidR="00514F44" w:rsidRPr="00A0226F">
              <w:rPr>
                <w:rFonts w:asciiTheme="majorBidi" w:hAnsiTheme="majorBidi" w:cstheme="majorBidi"/>
                <w:sz w:val="20"/>
                <w:lang w:eastAsia="zh-CN"/>
              </w:rPr>
              <w:t>spac</w:t>
            </w:r>
            <w:r w:rsidR="00413A9B" w:rsidRPr="00A0226F">
              <w:rPr>
                <w:rFonts w:asciiTheme="majorBidi" w:hAnsiTheme="majorBidi" w:cstheme="majorBidi"/>
                <w:sz w:val="20"/>
                <w:lang w:eastAsia="zh-CN"/>
              </w:rPr>
              <w:t>ios blancos de TV durante el</w:t>
            </w:r>
            <w:r w:rsidR="00514F44" w:rsidRPr="00A0226F">
              <w:rPr>
                <w:rFonts w:asciiTheme="majorBidi" w:hAnsiTheme="majorBidi" w:cstheme="majorBidi"/>
                <w:sz w:val="20"/>
                <w:lang w:eastAsia="zh-CN"/>
              </w:rPr>
              <w:t xml:space="preserve"> Seminario del GT 5ª </w:t>
            </w:r>
          </w:p>
        </w:tc>
        <w:tc>
          <w:tcPr>
            <w:tcW w:w="1276"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18/11/13</w:t>
            </w:r>
          </w:p>
        </w:tc>
        <w:tc>
          <w:tcPr>
            <w:tcW w:w="992"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18/11/13</w:t>
            </w:r>
          </w:p>
        </w:tc>
        <w:tc>
          <w:tcPr>
            <w:tcW w:w="1415" w:type="dxa"/>
            <w:tcBorders>
              <w:top w:val="nil"/>
              <w:left w:val="nil"/>
              <w:bottom w:val="single" w:sz="4" w:space="0" w:color="auto"/>
              <w:right w:val="single" w:sz="4" w:space="0" w:color="auto"/>
            </w:tcBorders>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G</w:t>
            </w:r>
            <w:r w:rsidR="00D55C37" w:rsidRPr="00A0226F">
              <w:rPr>
                <w:rFonts w:asciiTheme="majorBidi" w:hAnsiTheme="majorBidi" w:cstheme="majorBidi"/>
                <w:sz w:val="20"/>
                <w:lang w:val="en-US" w:eastAsia="zh-CN"/>
              </w:rPr>
              <w:t>inebra</w:t>
            </w:r>
          </w:p>
        </w:tc>
      </w:tr>
      <w:tr w:rsidR="000D5DB1"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514F44"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 xml:space="preserve">Reunión con el Director General de </w:t>
            </w:r>
            <w:r w:rsidR="000D5DB1" w:rsidRPr="00A0226F">
              <w:rPr>
                <w:rFonts w:asciiTheme="majorBidi" w:hAnsiTheme="majorBidi" w:cstheme="majorBidi"/>
                <w:sz w:val="20"/>
                <w:lang w:eastAsia="zh-CN"/>
              </w:rPr>
              <w:t>KTSAT</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19/11/13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19/11/13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Se</w:t>
            </w:r>
            <w:r w:rsidR="00D55C37" w:rsidRPr="00A0226F">
              <w:rPr>
                <w:rFonts w:asciiTheme="majorBidi" w:hAnsiTheme="majorBidi" w:cstheme="majorBidi"/>
                <w:sz w:val="20"/>
                <w:lang w:val="en-US" w:eastAsia="zh-CN"/>
              </w:rPr>
              <w:t>ú</w:t>
            </w:r>
            <w:r w:rsidRPr="00A0226F">
              <w:rPr>
                <w:rFonts w:asciiTheme="majorBidi" w:hAnsiTheme="majorBidi" w:cstheme="majorBidi"/>
                <w:sz w:val="20"/>
                <w:lang w:val="en-US" w:eastAsia="zh-CN"/>
              </w:rPr>
              <w:t>l</w:t>
            </w:r>
          </w:p>
        </w:tc>
      </w:tr>
      <w:tr w:rsidR="000D5DB1" w:rsidRPr="00514F44" w:rsidTr="003247B9">
        <w:trPr>
          <w:trHeight w:val="214"/>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eastAsia="zh-CN"/>
              </w:rPr>
            </w:pPr>
            <w:r w:rsidRPr="00A0226F">
              <w:rPr>
                <w:rFonts w:asciiTheme="majorBidi" w:hAnsiTheme="majorBidi" w:cstheme="majorBidi"/>
                <w:sz w:val="20"/>
                <w:lang w:eastAsia="zh-CN"/>
              </w:rPr>
              <w:t xml:space="preserve">Funeral </w:t>
            </w:r>
            <w:r w:rsidR="00514F44" w:rsidRPr="00A0226F">
              <w:rPr>
                <w:rFonts w:asciiTheme="majorBidi" w:hAnsiTheme="majorBidi" w:cstheme="majorBidi"/>
                <w:sz w:val="20"/>
                <w:lang w:eastAsia="zh-CN"/>
              </w:rPr>
              <w:t xml:space="preserve">del Sr. </w:t>
            </w:r>
            <w:r w:rsidRPr="00A0226F">
              <w:rPr>
                <w:rFonts w:asciiTheme="majorBidi" w:hAnsiTheme="majorBidi" w:cstheme="majorBidi"/>
                <w:sz w:val="20"/>
                <w:lang w:eastAsia="zh-CN"/>
              </w:rPr>
              <w:t xml:space="preserve">Hassane Makki </w:t>
            </w:r>
            <w:r w:rsidR="00514F44" w:rsidRPr="00A0226F">
              <w:rPr>
                <w:rFonts w:asciiTheme="majorBidi" w:hAnsiTheme="majorBidi" w:cstheme="majorBidi"/>
                <w:sz w:val="20"/>
                <w:lang w:eastAsia="zh-CN"/>
              </w:rPr>
              <w:t xml:space="preserve">de </w:t>
            </w:r>
            <w:r w:rsidRPr="00A0226F">
              <w:rPr>
                <w:rFonts w:asciiTheme="majorBidi" w:hAnsiTheme="majorBidi" w:cstheme="majorBidi"/>
                <w:sz w:val="20"/>
                <w:lang w:eastAsia="zh-CN"/>
              </w:rPr>
              <w:t>OFCOM</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28/11/13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28/11/13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Lausan</w:t>
            </w:r>
            <w:r w:rsidR="00D55C37" w:rsidRPr="00A0226F">
              <w:rPr>
                <w:rFonts w:asciiTheme="majorBidi" w:hAnsiTheme="majorBidi" w:cstheme="majorBidi"/>
                <w:sz w:val="20"/>
                <w:lang w:val="en-US" w:eastAsia="zh-CN"/>
              </w:rPr>
              <w:t>a</w:t>
            </w:r>
          </w:p>
        </w:tc>
      </w:tr>
      <w:tr w:rsidR="000D5DB1" w:rsidRPr="00514F44" w:rsidTr="003247B9">
        <w:trPr>
          <w:trHeight w:val="170"/>
        </w:trPr>
        <w:tc>
          <w:tcPr>
            <w:tcW w:w="5827" w:type="dxa"/>
            <w:tcBorders>
              <w:top w:val="nil"/>
              <w:left w:val="single" w:sz="4" w:space="0" w:color="auto"/>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Conferenc</w:t>
            </w:r>
            <w:r w:rsidR="00514F44" w:rsidRPr="00A0226F">
              <w:rPr>
                <w:rFonts w:asciiTheme="majorBidi" w:hAnsiTheme="majorBidi" w:cstheme="majorBidi"/>
                <w:sz w:val="20"/>
                <w:lang w:val="en-US" w:eastAsia="zh-CN"/>
              </w:rPr>
              <w:t>ia</w:t>
            </w:r>
            <w:r w:rsidR="00413A9B" w:rsidRPr="00A0226F">
              <w:rPr>
                <w:rFonts w:asciiTheme="majorBidi" w:hAnsiTheme="majorBidi" w:cstheme="majorBidi"/>
                <w:sz w:val="20"/>
                <w:lang w:val="en-US" w:eastAsia="zh-CN"/>
              </w:rPr>
              <w:t xml:space="preserve"> de</w:t>
            </w:r>
            <w:r w:rsidR="00514F44" w:rsidRPr="00A0226F">
              <w:rPr>
                <w:rFonts w:asciiTheme="majorBidi" w:hAnsiTheme="majorBidi" w:cstheme="majorBidi"/>
                <w:sz w:val="20"/>
                <w:lang w:val="en-US" w:eastAsia="zh-CN"/>
              </w:rPr>
              <w:t xml:space="preserve"> </w:t>
            </w:r>
            <w:r w:rsidRPr="00A0226F">
              <w:rPr>
                <w:rFonts w:asciiTheme="majorBidi" w:hAnsiTheme="majorBidi" w:cstheme="majorBidi"/>
                <w:sz w:val="20"/>
                <w:lang w:val="en-US" w:eastAsia="zh-CN"/>
              </w:rPr>
              <w:t>Business &amp; Professional Women (BPW)</w:t>
            </w:r>
            <w:r w:rsidR="00514F44" w:rsidRPr="00A0226F">
              <w:rPr>
                <w:rFonts w:asciiTheme="majorBidi" w:hAnsiTheme="majorBidi" w:cstheme="majorBidi"/>
                <w:sz w:val="20"/>
                <w:lang w:val="en-US" w:eastAsia="zh-CN"/>
              </w:rPr>
              <w:t xml:space="preserve"> </w:t>
            </w:r>
            <w:r w:rsidR="00A0226F">
              <w:rPr>
                <w:rFonts w:asciiTheme="majorBidi" w:hAnsiTheme="majorBidi" w:cstheme="majorBidi"/>
                <w:sz w:val="20"/>
                <w:lang w:val="en-US" w:eastAsia="zh-CN"/>
              </w:rPr>
              <w:t>–</w:t>
            </w:r>
            <w:r w:rsidR="00514F44" w:rsidRPr="00A0226F">
              <w:rPr>
                <w:rFonts w:asciiTheme="majorBidi" w:hAnsiTheme="majorBidi" w:cstheme="majorBidi"/>
                <w:sz w:val="20"/>
                <w:lang w:val="en-US" w:eastAsia="zh-CN"/>
              </w:rPr>
              <w:t xml:space="preserve"> Retos del </w:t>
            </w:r>
            <w:r w:rsidRPr="00A0226F">
              <w:rPr>
                <w:rFonts w:asciiTheme="majorBidi" w:hAnsiTheme="majorBidi" w:cstheme="majorBidi"/>
                <w:sz w:val="20"/>
                <w:lang w:val="en-US" w:eastAsia="zh-CN"/>
              </w:rPr>
              <w:t>UIT-R</w:t>
            </w:r>
          </w:p>
        </w:tc>
        <w:tc>
          <w:tcPr>
            <w:tcW w:w="1276"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04/12/13</w:t>
            </w:r>
          </w:p>
        </w:tc>
        <w:tc>
          <w:tcPr>
            <w:tcW w:w="992" w:type="dxa"/>
            <w:tcBorders>
              <w:top w:val="nil"/>
              <w:left w:val="nil"/>
              <w:bottom w:val="single" w:sz="4" w:space="0" w:color="auto"/>
              <w:right w:val="single" w:sz="4" w:space="0" w:color="auto"/>
            </w:tcBorders>
            <w:shd w:val="clear" w:color="auto" w:fill="FFFFFF"/>
            <w:noWrap/>
            <w:vAlign w:val="bottom"/>
            <w:hideMark/>
          </w:tcPr>
          <w:p w:rsidR="000D5DB1" w:rsidRPr="00A0226F" w:rsidRDefault="000D5DB1"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04/12/13</w:t>
            </w:r>
          </w:p>
        </w:tc>
        <w:tc>
          <w:tcPr>
            <w:tcW w:w="1415" w:type="dxa"/>
            <w:tcBorders>
              <w:top w:val="nil"/>
              <w:left w:val="nil"/>
              <w:bottom w:val="single" w:sz="4" w:space="0" w:color="auto"/>
              <w:right w:val="single" w:sz="4" w:space="0" w:color="auto"/>
            </w:tcBorders>
            <w:shd w:val="clear" w:color="auto" w:fill="FFFFFF"/>
            <w:noWrap/>
            <w:vAlign w:val="bottom"/>
            <w:hideMark/>
          </w:tcPr>
          <w:p w:rsidR="000D5DB1" w:rsidRPr="00A0226F" w:rsidRDefault="00D55C37" w:rsidP="00A0226F">
            <w:pPr>
              <w:pStyle w:val="Tabletext"/>
              <w:rPr>
                <w:rFonts w:asciiTheme="majorBidi" w:hAnsiTheme="majorBidi" w:cstheme="majorBidi"/>
                <w:sz w:val="20"/>
                <w:lang w:val="en-US" w:eastAsia="zh-CN"/>
              </w:rPr>
            </w:pPr>
            <w:r w:rsidRPr="00A0226F">
              <w:rPr>
                <w:rFonts w:asciiTheme="majorBidi" w:hAnsiTheme="majorBidi" w:cstheme="majorBidi"/>
                <w:sz w:val="20"/>
                <w:lang w:val="en-US" w:eastAsia="zh-CN"/>
              </w:rPr>
              <w:t>Ginebra</w:t>
            </w:r>
          </w:p>
        </w:tc>
      </w:tr>
    </w:tbl>
    <w:p w:rsidR="000D5DB1" w:rsidRDefault="000D5DB1" w:rsidP="0077715E">
      <w:pPr>
        <w:pStyle w:val="Reasons"/>
        <w:spacing w:line="480" w:lineRule="auto"/>
      </w:pPr>
    </w:p>
    <w:p w:rsidR="000D5DB1" w:rsidRDefault="000D5DB1" w:rsidP="0077715E">
      <w:pPr>
        <w:spacing w:line="480" w:lineRule="auto"/>
        <w:jc w:val="center"/>
      </w:pPr>
      <w:r>
        <w:t>______________</w:t>
      </w:r>
      <w:bookmarkStart w:id="6" w:name="_GoBack"/>
      <w:bookmarkEnd w:id="6"/>
    </w:p>
    <w:sectPr w:rsidR="000D5DB1" w:rsidSect="006B534E">
      <w:headerReference w:type="default" r:id="rId35"/>
      <w:footerReference w:type="default" r:id="rId36"/>
      <w:footerReference w:type="first" r:id="rId3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C1" w:rsidRDefault="001D3EC1">
      <w:r>
        <w:separator/>
      </w:r>
    </w:p>
  </w:endnote>
  <w:endnote w:type="continuationSeparator" w:id="0">
    <w:p w:rsidR="001D3EC1" w:rsidRDefault="001D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C1" w:rsidRDefault="001D3EC1">
    <w:pPr>
      <w:pStyle w:val="Footer"/>
    </w:pPr>
    <w:fldSimple w:instr=" FILENAME \p  \* MERGEFORMAT ">
      <w:r w:rsidR="000F1D50">
        <w:t>P:\ESP\ITU-R\AG\RAG\RAG14\000\001S.docx</w:t>
      </w:r>
    </w:fldSimple>
    <w:r>
      <w:t xml:space="preserve"> (362327)</w:t>
    </w:r>
    <w:r>
      <w:tab/>
    </w:r>
    <w:r>
      <w:fldChar w:fldCharType="begin"/>
    </w:r>
    <w:r>
      <w:instrText xml:space="preserve"> SAVEDATE \@ DD.MM.YY </w:instrText>
    </w:r>
    <w:r>
      <w:fldChar w:fldCharType="separate"/>
    </w:r>
    <w:r w:rsidR="000F1D50">
      <w:t>17.06.14</w:t>
    </w:r>
    <w:r>
      <w:fldChar w:fldCharType="end"/>
    </w:r>
    <w:r>
      <w:tab/>
    </w:r>
    <w:r>
      <w:fldChar w:fldCharType="begin"/>
    </w:r>
    <w:r>
      <w:instrText xml:space="preserve"> PRINTDATE \@ DD.MM.YY </w:instrText>
    </w:r>
    <w:r>
      <w:fldChar w:fldCharType="separate"/>
    </w:r>
    <w:r w:rsidR="000F1D50">
      <w:t>17.06.14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C1" w:rsidRDefault="001D3EC1">
    <w:pPr>
      <w:pStyle w:val="Footer"/>
    </w:pPr>
    <w:fldSimple w:instr=" FILENAME \p  \* MERGEFORMAT ">
      <w:r w:rsidR="000F1D50">
        <w:t>P:\ESP\ITU-R\AG\RAG\RAG14\000\001S.docx</w:t>
      </w:r>
    </w:fldSimple>
    <w:r>
      <w:t xml:space="preserve"> (362327)</w:t>
    </w:r>
    <w:r>
      <w:tab/>
    </w:r>
    <w:r>
      <w:fldChar w:fldCharType="begin"/>
    </w:r>
    <w:r>
      <w:instrText xml:space="preserve"> SAVEDATE \@ DD.MM.YY </w:instrText>
    </w:r>
    <w:r>
      <w:fldChar w:fldCharType="separate"/>
    </w:r>
    <w:r w:rsidR="000F1D50">
      <w:t>17.06.14</w:t>
    </w:r>
    <w:r>
      <w:fldChar w:fldCharType="end"/>
    </w:r>
    <w:r>
      <w:tab/>
    </w:r>
    <w:r>
      <w:fldChar w:fldCharType="begin"/>
    </w:r>
    <w:r>
      <w:instrText xml:space="preserve"> PRINTDATE \@ DD.MM.YY </w:instrText>
    </w:r>
    <w:r>
      <w:fldChar w:fldCharType="separate"/>
    </w:r>
    <w:r w:rsidR="000F1D50">
      <w:t>17.06.14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C1" w:rsidRDefault="001D3EC1">
      <w:r>
        <w:t>____________________</w:t>
      </w:r>
    </w:p>
  </w:footnote>
  <w:footnote w:type="continuationSeparator" w:id="0">
    <w:p w:rsidR="001D3EC1" w:rsidRDefault="001D3EC1">
      <w:r>
        <w:continuationSeparator/>
      </w:r>
    </w:p>
  </w:footnote>
  <w:footnote w:id="1">
    <w:p w:rsidR="001D3EC1" w:rsidRPr="00DD3B78" w:rsidRDefault="001D3EC1" w:rsidP="00F041F7">
      <w:pPr>
        <w:pStyle w:val="FootnoteText"/>
        <w:rPr>
          <w:rFonts w:cstheme="minorBidi"/>
        </w:rPr>
      </w:pPr>
      <w:r w:rsidRPr="004E01FB">
        <w:rPr>
          <w:rStyle w:val="FootnoteReference"/>
        </w:rPr>
        <w:footnoteRef/>
      </w:r>
      <w:r w:rsidRPr="00DD3B78">
        <w:t xml:space="preserve"> </w:t>
      </w:r>
      <w:r w:rsidRPr="00DD3B78">
        <w:tab/>
      </w:r>
      <w:r w:rsidRPr="00DD3B78">
        <w:rPr>
          <w:szCs w:val="24"/>
        </w:rPr>
        <w:t xml:space="preserve">Se incluyen los Manuales </w:t>
      </w:r>
      <w:r>
        <w:rPr>
          <w:szCs w:val="24"/>
        </w:rPr>
        <w:t xml:space="preserve">del </w:t>
      </w:r>
      <w:r w:rsidRPr="00DD3B78">
        <w:rPr>
          <w:szCs w:val="24"/>
        </w:rPr>
        <w:t>UIT-R sobre Gest</w:t>
      </w:r>
      <w:r>
        <w:rPr>
          <w:szCs w:val="24"/>
        </w:rPr>
        <w:t xml:space="preserve">ión nacional del espectro, </w:t>
      </w:r>
      <w:r w:rsidRPr="00DD3B78">
        <w:rPr>
          <w:szCs w:val="24"/>
        </w:rPr>
        <w:t>Técnicas informatizadas para la gestión del espectro y Comprobación técnica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C1" w:rsidRDefault="001D3EC1">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0F1D50">
      <w:rPr>
        <w:rStyle w:val="PageNumber"/>
        <w:noProof/>
      </w:rPr>
      <w:t>19</w:t>
    </w:r>
    <w:r>
      <w:rPr>
        <w:rStyle w:val="PageNumber"/>
      </w:rPr>
      <w:fldChar w:fldCharType="end"/>
    </w:r>
  </w:p>
  <w:p w:rsidR="001D3EC1" w:rsidRDefault="001D3EC1" w:rsidP="00591D09">
    <w:pPr>
      <w:pStyle w:val="Header"/>
      <w:rPr>
        <w:lang w:val="es-ES"/>
      </w:rPr>
    </w:pPr>
    <w:r>
      <w:rPr>
        <w:lang w:val="es-ES"/>
      </w:rPr>
      <w:t>RAG14-1/1-S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68001BA"/>
    <w:multiLevelType w:val="hybridMultilevel"/>
    <w:tmpl w:val="700E26C4"/>
    <w:lvl w:ilvl="0" w:tplc="82880110">
      <w:start w:val="3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AF"/>
    <w:rsid w:val="000002DB"/>
    <w:rsid w:val="0000099A"/>
    <w:rsid w:val="000064FE"/>
    <w:rsid w:val="00037103"/>
    <w:rsid w:val="0004499A"/>
    <w:rsid w:val="00053A4B"/>
    <w:rsid w:val="00056612"/>
    <w:rsid w:val="00066701"/>
    <w:rsid w:val="00067BC5"/>
    <w:rsid w:val="00081941"/>
    <w:rsid w:val="00092903"/>
    <w:rsid w:val="00093A0C"/>
    <w:rsid w:val="0009538B"/>
    <w:rsid w:val="000A1332"/>
    <w:rsid w:val="000A569E"/>
    <w:rsid w:val="000B74B1"/>
    <w:rsid w:val="000C62BA"/>
    <w:rsid w:val="000D5DB1"/>
    <w:rsid w:val="000D5F7A"/>
    <w:rsid w:val="000D78AB"/>
    <w:rsid w:val="000E03F0"/>
    <w:rsid w:val="000E09B7"/>
    <w:rsid w:val="000E1ED9"/>
    <w:rsid w:val="000E5D71"/>
    <w:rsid w:val="000E69D1"/>
    <w:rsid w:val="000F016D"/>
    <w:rsid w:val="000F1D50"/>
    <w:rsid w:val="000F2690"/>
    <w:rsid w:val="000F49AC"/>
    <w:rsid w:val="00113AE6"/>
    <w:rsid w:val="001166B9"/>
    <w:rsid w:val="0012383D"/>
    <w:rsid w:val="0012592F"/>
    <w:rsid w:val="00130FBD"/>
    <w:rsid w:val="00141EDB"/>
    <w:rsid w:val="00156502"/>
    <w:rsid w:val="00167520"/>
    <w:rsid w:val="00172028"/>
    <w:rsid w:val="0017464F"/>
    <w:rsid w:val="00174E80"/>
    <w:rsid w:val="00186EAF"/>
    <w:rsid w:val="00190C1C"/>
    <w:rsid w:val="00194849"/>
    <w:rsid w:val="0019515D"/>
    <w:rsid w:val="0019598A"/>
    <w:rsid w:val="001A35D4"/>
    <w:rsid w:val="001A6792"/>
    <w:rsid w:val="001B5E99"/>
    <w:rsid w:val="001C2350"/>
    <w:rsid w:val="001C5EBA"/>
    <w:rsid w:val="001C75E4"/>
    <w:rsid w:val="001D3EC1"/>
    <w:rsid w:val="001F39DC"/>
    <w:rsid w:val="001F6BB9"/>
    <w:rsid w:val="001F7A43"/>
    <w:rsid w:val="00202CCF"/>
    <w:rsid w:val="00202DC1"/>
    <w:rsid w:val="00203F1E"/>
    <w:rsid w:val="00204D4B"/>
    <w:rsid w:val="00214210"/>
    <w:rsid w:val="00217DFB"/>
    <w:rsid w:val="002314E6"/>
    <w:rsid w:val="00233CAC"/>
    <w:rsid w:val="0023452D"/>
    <w:rsid w:val="00237C1F"/>
    <w:rsid w:val="0024503B"/>
    <w:rsid w:val="0024525C"/>
    <w:rsid w:val="0024606E"/>
    <w:rsid w:val="00246FFD"/>
    <w:rsid w:val="002539F2"/>
    <w:rsid w:val="0027532E"/>
    <w:rsid w:val="0027705B"/>
    <w:rsid w:val="002856F4"/>
    <w:rsid w:val="00290BA6"/>
    <w:rsid w:val="00294627"/>
    <w:rsid w:val="002950CF"/>
    <w:rsid w:val="002972FD"/>
    <w:rsid w:val="002A0733"/>
    <w:rsid w:val="002A15F9"/>
    <w:rsid w:val="002B0179"/>
    <w:rsid w:val="002B0F8C"/>
    <w:rsid w:val="002C664D"/>
    <w:rsid w:val="002D7BB0"/>
    <w:rsid w:val="002E00B8"/>
    <w:rsid w:val="002E7CDC"/>
    <w:rsid w:val="002F4D0B"/>
    <w:rsid w:val="002F5B3A"/>
    <w:rsid w:val="002F7148"/>
    <w:rsid w:val="00300309"/>
    <w:rsid w:val="003032E6"/>
    <w:rsid w:val="003106D4"/>
    <w:rsid w:val="00312024"/>
    <w:rsid w:val="0031432E"/>
    <w:rsid w:val="00316B04"/>
    <w:rsid w:val="00316E56"/>
    <w:rsid w:val="00322A98"/>
    <w:rsid w:val="003247B9"/>
    <w:rsid w:val="0033453E"/>
    <w:rsid w:val="0034043B"/>
    <w:rsid w:val="003407B5"/>
    <w:rsid w:val="00352713"/>
    <w:rsid w:val="00357A61"/>
    <w:rsid w:val="003616FB"/>
    <w:rsid w:val="00363952"/>
    <w:rsid w:val="00363F40"/>
    <w:rsid w:val="0037323F"/>
    <w:rsid w:val="003773C8"/>
    <w:rsid w:val="003860E7"/>
    <w:rsid w:val="00386408"/>
    <w:rsid w:val="003866F9"/>
    <w:rsid w:val="003866FB"/>
    <w:rsid w:val="0038708E"/>
    <w:rsid w:val="003A7B37"/>
    <w:rsid w:val="003C1DD5"/>
    <w:rsid w:val="003C4447"/>
    <w:rsid w:val="003C51CA"/>
    <w:rsid w:val="003D7761"/>
    <w:rsid w:val="003E136B"/>
    <w:rsid w:val="003E4804"/>
    <w:rsid w:val="00413A9B"/>
    <w:rsid w:val="00414ABA"/>
    <w:rsid w:val="00414D82"/>
    <w:rsid w:val="00414D8B"/>
    <w:rsid w:val="00417235"/>
    <w:rsid w:val="00417D2C"/>
    <w:rsid w:val="00443908"/>
    <w:rsid w:val="0044662F"/>
    <w:rsid w:val="00446D8D"/>
    <w:rsid w:val="00450A9D"/>
    <w:rsid w:val="00452B27"/>
    <w:rsid w:val="00453C09"/>
    <w:rsid w:val="004818E9"/>
    <w:rsid w:val="00482905"/>
    <w:rsid w:val="004A02E3"/>
    <w:rsid w:val="004A0F60"/>
    <w:rsid w:val="004A2690"/>
    <w:rsid w:val="004A5F45"/>
    <w:rsid w:val="004A6F80"/>
    <w:rsid w:val="004B269A"/>
    <w:rsid w:val="004D3042"/>
    <w:rsid w:val="004D6C09"/>
    <w:rsid w:val="004D6EC7"/>
    <w:rsid w:val="004D7AA4"/>
    <w:rsid w:val="004E2AFD"/>
    <w:rsid w:val="004F2076"/>
    <w:rsid w:val="004F3B96"/>
    <w:rsid w:val="004F6F8B"/>
    <w:rsid w:val="00500E04"/>
    <w:rsid w:val="005075FA"/>
    <w:rsid w:val="005079F5"/>
    <w:rsid w:val="00514F44"/>
    <w:rsid w:val="00524A76"/>
    <w:rsid w:val="00536DDE"/>
    <w:rsid w:val="00543328"/>
    <w:rsid w:val="005478A4"/>
    <w:rsid w:val="005548D2"/>
    <w:rsid w:val="00555FF0"/>
    <w:rsid w:val="005574F7"/>
    <w:rsid w:val="005638D8"/>
    <w:rsid w:val="005660B7"/>
    <w:rsid w:val="00572611"/>
    <w:rsid w:val="00574B3D"/>
    <w:rsid w:val="0058128F"/>
    <w:rsid w:val="005826A6"/>
    <w:rsid w:val="00582DB3"/>
    <w:rsid w:val="005865FF"/>
    <w:rsid w:val="00591D09"/>
    <w:rsid w:val="00595C74"/>
    <w:rsid w:val="005A572A"/>
    <w:rsid w:val="005B1785"/>
    <w:rsid w:val="005C03D1"/>
    <w:rsid w:val="005C1CB1"/>
    <w:rsid w:val="005C3EC2"/>
    <w:rsid w:val="005D2F43"/>
    <w:rsid w:val="005D388E"/>
    <w:rsid w:val="005D3C94"/>
    <w:rsid w:val="005D3E02"/>
    <w:rsid w:val="005D4676"/>
    <w:rsid w:val="005D636F"/>
    <w:rsid w:val="005D7017"/>
    <w:rsid w:val="005E1850"/>
    <w:rsid w:val="005E38BC"/>
    <w:rsid w:val="005E69D0"/>
    <w:rsid w:val="005F1720"/>
    <w:rsid w:val="005F56C6"/>
    <w:rsid w:val="006026B9"/>
    <w:rsid w:val="006034C1"/>
    <w:rsid w:val="0061035D"/>
    <w:rsid w:val="00610642"/>
    <w:rsid w:val="00616601"/>
    <w:rsid w:val="006179D0"/>
    <w:rsid w:val="00623E44"/>
    <w:rsid w:val="0063606F"/>
    <w:rsid w:val="00642973"/>
    <w:rsid w:val="00650DFD"/>
    <w:rsid w:val="0065311B"/>
    <w:rsid w:val="0065667D"/>
    <w:rsid w:val="00670133"/>
    <w:rsid w:val="00676582"/>
    <w:rsid w:val="00677A59"/>
    <w:rsid w:val="00686ACE"/>
    <w:rsid w:val="00687FFC"/>
    <w:rsid w:val="006903BA"/>
    <w:rsid w:val="0069641E"/>
    <w:rsid w:val="006A42AB"/>
    <w:rsid w:val="006A4ABF"/>
    <w:rsid w:val="006A4D7C"/>
    <w:rsid w:val="006A5534"/>
    <w:rsid w:val="006B534E"/>
    <w:rsid w:val="006C75D5"/>
    <w:rsid w:val="006D22C0"/>
    <w:rsid w:val="006D4F75"/>
    <w:rsid w:val="006D6B59"/>
    <w:rsid w:val="006D7CA3"/>
    <w:rsid w:val="006E11B0"/>
    <w:rsid w:val="006E291F"/>
    <w:rsid w:val="006E6A02"/>
    <w:rsid w:val="006F67D6"/>
    <w:rsid w:val="00703FE7"/>
    <w:rsid w:val="007134AA"/>
    <w:rsid w:val="00713F1E"/>
    <w:rsid w:val="00715F05"/>
    <w:rsid w:val="007261B6"/>
    <w:rsid w:val="00736D2D"/>
    <w:rsid w:val="00737B1D"/>
    <w:rsid w:val="007440B1"/>
    <w:rsid w:val="00745FCD"/>
    <w:rsid w:val="00753A31"/>
    <w:rsid w:val="0075765A"/>
    <w:rsid w:val="007723A1"/>
    <w:rsid w:val="00773D68"/>
    <w:rsid w:val="00774D4C"/>
    <w:rsid w:val="0077715E"/>
    <w:rsid w:val="00780D21"/>
    <w:rsid w:val="007951ED"/>
    <w:rsid w:val="007A5260"/>
    <w:rsid w:val="007A5842"/>
    <w:rsid w:val="007A6EBB"/>
    <w:rsid w:val="007B0411"/>
    <w:rsid w:val="007B63F5"/>
    <w:rsid w:val="007C41F4"/>
    <w:rsid w:val="007C4AFE"/>
    <w:rsid w:val="007C5022"/>
    <w:rsid w:val="007C6D88"/>
    <w:rsid w:val="007C7759"/>
    <w:rsid w:val="007D2E84"/>
    <w:rsid w:val="007D53C8"/>
    <w:rsid w:val="007D63ED"/>
    <w:rsid w:val="007D6A11"/>
    <w:rsid w:val="007E3591"/>
    <w:rsid w:val="007E5148"/>
    <w:rsid w:val="007E5405"/>
    <w:rsid w:val="007E7130"/>
    <w:rsid w:val="007F06F4"/>
    <w:rsid w:val="007F15B4"/>
    <w:rsid w:val="007F3D99"/>
    <w:rsid w:val="007F3E08"/>
    <w:rsid w:val="007F57DE"/>
    <w:rsid w:val="007F59EB"/>
    <w:rsid w:val="00803D75"/>
    <w:rsid w:val="008045D0"/>
    <w:rsid w:val="00816230"/>
    <w:rsid w:val="008218A1"/>
    <w:rsid w:val="0082271F"/>
    <w:rsid w:val="008253C4"/>
    <w:rsid w:val="0083140A"/>
    <w:rsid w:val="008402C7"/>
    <w:rsid w:val="008410D7"/>
    <w:rsid w:val="0085098F"/>
    <w:rsid w:val="00850DAC"/>
    <w:rsid w:val="008564B5"/>
    <w:rsid w:val="00860EF6"/>
    <w:rsid w:val="00862C2B"/>
    <w:rsid w:val="00870A8C"/>
    <w:rsid w:val="00876701"/>
    <w:rsid w:val="00882177"/>
    <w:rsid w:val="008850BE"/>
    <w:rsid w:val="00886232"/>
    <w:rsid w:val="008A0EEB"/>
    <w:rsid w:val="008A1588"/>
    <w:rsid w:val="008B1419"/>
    <w:rsid w:val="008C0239"/>
    <w:rsid w:val="008C26B7"/>
    <w:rsid w:val="008C6342"/>
    <w:rsid w:val="008E2606"/>
    <w:rsid w:val="00901F52"/>
    <w:rsid w:val="00912641"/>
    <w:rsid w:val="00921EC1"/>
    <w:rsid w:val="0092616F"/>
    <w:rsid w:val="00931E39"/>
    <w:rsid w:val="009342D1"/>
    <w:rsid w:val="00936037"/>
    <w:rsid w:val="00936611"/>
    <w:rsid w:val="00936FEB"/>
    <w:rsid w:val="00937407"/>
    <w:rsid w:val="0094129F"/>
    <w:rsid w:val="009458D0"/>
    <w:rsid w:val="00950D08"/>
    <w:rsid w:val="009514B1"/>
    <w:rsid w:val="009574C3"/>
    <w:rsid w:val="009624A4"/>
    <w:rsid w:val="00962C6A"/>
    <w:rsid w:val="00972D24"/>
    <w:rsid w:val="00981124"/>
    <w:rsid w:val="00981DA9"/>
    <w:rsid w:val="00984315"/>
    <w:rsid w:val="00993971"/>
    <w:rsid w:val="009A1E13"/>
    <w:rsid w:val="009A2BED"/>
    <w:rsid w:val="009B6B09"/>
    <w:rsid w:val="009C4246"/>
    <w:rsid w:val="009D58E2"/>
    <w:rsid w:val="009E6DEF"/>
    <w:rsid w:val="009E6F56"/>
    <w:rsid w:val="009F385A"/>
    <w:rsid w:val="009F4351"/>
    <w:rsid w:val="009F663F"/>
    <w:rsid w:val="00A00C35"/>
    <w:rsid w:val="00A0226F"/>
    <w:rsid w:val="00A0434C"/>
    <w:rsid w:val="00A05369"/>
    <w:rsid w:val="00A100EC"/>
    <w:rsid w:val="00A1207A"/>
    <w:rsid w:val="00A21583"/>
    <w:rsid w:val="00A2159A"/>
    <w:rsid w:val="00A22D6B"/>
    <w:rsid w:val="00A27B7D"/>
    <w:rsid w:val="00A33489"/>
    <w:rsid w:val="00A33D30"/>
    <w:rsid w:val="00A34C21"/>
    <w:rsid w:val="00A36A86"/>
    <w:rsid w:val="00A47A5A"/>
    <w:rsid w:val="00A51DED"/>
    <w:rsid w:val="00A72257"/>
    <w:rsid w:val="00A73483"/>
    <w:rsid w:val="00A743AC"/>
    <w:rsid w:val="00A751BD"/>
    <w:rsid w:val="00A844B0"/>
    <w:rsid w:val="00A84E4F"/>
    <w:rsid w:val="00A92D9C"/>
    <w:rsid w:val="00A964C8"/>
    <w:rsid w:val="00A96946"/>
    <w:rsid w:val="00A96EDA"/>
    <w:rsid w:val="00A970D8"/>
    <w:rsid w:val="00A97226"/>
    <w:rsid w:val="00AA0311"/>
    <w:rsid w:val="00AA0B93"/>
    <w:rsid w:val="00AC0DE2"/>
    <w:rsid w:val="00AD117D"/>
    <w:rsid w:val="00AD4FC6"/>
    <w:rsid w:val="00AF0DFD"/>
    <w:rsid w:val="00AF5CEF"/>
    <w:rsid w:val="00B00B49"/>
    <w:rsid w:val="00B05C5E"/>
    <w:rsid w:val="00B1130F"/>
    <w:rsid w:val="00B148B9"/>
    <w:rsid w:val="00B15239"/>
    <w:rsid w:val="00B22102"/>
    <w:rsid w:val="00B300F2"/>
    <w:rsid w:val="00B31AC9"/>
    <w:rsid w:val="00B31FD4"/>
    <w:rsid w:val="00B32E51"/>
    <w:rsid w:val="00B37DD2"/>
    <w:rsid w:val="00B412D1"/>
    <w:rsid w:val="00B44C62"/>
    <w:rsid w:val="00B54B3E"/>
    <w:rsid w:val="00B56E0B"/>
    <w:rsid w:val="00B60952"/>
    <w:rsid w:val="00B63616"/>
    <w:rsid w:val="00B71124"/>
    <w:rsid w:val="00B730EB"/>
    <w:rsid w:val="00B77B01"/>
    <w:rsid w:val="00B809D5"/>
    <w:rsid w:val="00B81FDB"/>
    <w:rsid w:val="00B869CA"/>
    <w:rsid w:val="00B9785F"/>
    <w:rsid w:val="00BA0A3B"/>
    <w:rsid w:val="00BA149C"/>
    <w:rsid w:val="00BA2BE9"/>
    <w:rsid w:val="00BA3B34"/>
    <w:rsid w:val="00BB7353"/>
    <w:rsid w:val="00BC3CFD"/>
    <w:rsid w:val="00BC4DE3"/>
    <w:rsid w:val="00BE3679"/>
    <w:rsid w:val="00BE49FD"/>
    <w:rsid w:val="00BE5499"/>
    <w:rsid w:val="00BE554D"/>
    <w:rsid w:val="00BF3F02"/>
    <w:rsid w:val="00BF59D5"/>
    <w:rsid w:val="00BF5CDD"/>
    <w:rsid w:val="00C04E5E"/>
    <w:rsid w:val="00C05855"/>
    <w:rsid w:val="00C07A47"/>
    <w:rsid w:val="00C07C99"/>
    <w:rsid w:val="00C11215"/>
    <w:rsid w:val="00C155CE"/>
    <w:rsid w:val="00C17A8C"/>
    <w:rsid w:val="00C22AA5"/>
    <w:rsid w:val="00C30BE8"/>
    <w:rsid w:val="00C36EE9"/>
    <w:rsid w:val="00C36FA7"/>
    <w:rsid w:val="00C371ED"/>
    <w:rsid w:val="00C42C07"/>
    <w:rsid w:val="00C44067"/>
    <w:rsid w:val="00C508E8"/>
    <w:rsid w:val="00C54056"/>
    <w:rsid w:val="00C54EFC"/>
    <w:rsid w:val="00C5643D"/>
    <w:rsid w:val="00C6285E"/>
    <w:rsid w:val="00C67582"/>
    <w:rsid w:val="00C720D9"/>
    <w:rsid w:val="00C767B4"/>
    <w:rsid w:val="00C76C02"/>
    <w:rsid w:val="00C83E7D"/>
    <w:rsid w:val="00CA4164"/>
    <w:rsid w:val="00CA5ED8"/>
    <w:rsid w:val="00CB289D"/>
    <w:rsid w:val="00CB6F98"/>
    <w:rsid w:val="00CB7A43"/>
    <w:rsid w:val="00CC0A64"/>
    <w:rsid w:val="00CC6FCB"/>
    <w:rsid w:val="00CC7190"/>
    <w:rsid w:val="00CE3C4D"/>
    <w:rsid w:val="00CE4623"/>
    <w:rsid w:val="00CE5380"/>
    <w:rsid w:val="00CF6ECC"/>
    <w:rsid w:val="00D0317D"/>
    <w:rsid w:val="00D07D63"/>
    <w:rsid w:val="00D106C3"/>
    <w:rsid w:val="00D12977"/>
    <w:rsid w:val="00D12EC1"/>
    <w:rsid w:val="00D14514"/>
    <w:rsid w:val="00D23CD1"/>
    <w:rsid w:val="00D26C1E"/>
    <w:rsid w:val="00D30E4F"/>
    <w:rsid w:val="00D31B96"/>
    <w:rsid w:val="00D37886"/>
    <w:rsid w:val="00D42965"/>
    <w:rsid w:val="00D51494"/>
    <w:rsid w:val="00D551F3"/>
    <w:rsid w:val="00D55C37"/>
    <w:rsid w:val="00D60449"/>
    <w:rsid w:val="00D61A7C"/>
    <w:rsid w:val="00D63C15"/>
    <w:rsid w:val="00D66621"/>
    <w:rsid w:val="00D66CBD"/>
    <w:rsid w:val="00D72074"/>
    <w:rsid w:val="00D73B83"/>
    <w:rsid w:val="00D74AFC"/>
    <w:rsid w:val="00D86222"/>
    <w:rsid w:val="00DA05CB"/>
    <w:rsid w:val="00DA5B4E"/>
    <w:rsid w:val="00DA6E40"/>
    <w:rsid w:val="00DB2519"/>
    <w:rsid w:val="00DC0150"/>
    <w:rsid w:val="00DC1E1B"/>
    <w:rsid w:val="00DC445C"/>
    <w:rsid w:val="00DD032C"/>
    <w:rsid w:val="00DD31E7"/>
    <w:rsid w:val="00DD3B78"/>
    <w:rsid w:val="00DD3F79"/>
    <w:rsid w:val="00DE1004"/>
    <w:rsid w:val="00E02A25"/>
    <w:rsid w:val="00E13BB6"/>
    <w:rsid w:val="00E160E4"/>
    <w:rsid w:val="00E22363"/>
    <w:rsid w:val="00E22E98"/>
    <w:rsid w:val="00E247F0"/>
    <w:rsid w:val="00E301B0"/>
    <w:rsid w:val="00E36354"/>
    <w:rsid w:val="00E36666"/>
    <w:rsid w:val="00E45ED8"/>
    <w:rsid w:val="00E54F44"/>
    <w:rsid w:val="00E625D2"/>
    <w:rsid w:val="00E67CD4"/>
    <w:rsid w:val="00E72A0F"/>
    <w:rsid w:val="00E72EA7"/>
    <w:rsid w:val="00E808FE"/>
    <w:rsid w:val="00E81DE2"/>
    <w:rsid w:val="00E90113"/>
    <w:rsid w:val="00E903F3"/>
    <w:rsid w:val="00E94507"/>
    <w:rsid w:val="00E95294"/>
    <w:rsid w:val="00E9556F"/>
    <w:rsid w:val="00E962A7"/>
    <w:rsid w:val="00E9735E"/>
    <w:rsid w:val="00EB7FB9"/>
    <w:rsid w:val="00ED6CE0"/>
    <w:rsid w:val="00EF7AB7"/>
    <w:rsid w:val="00F0046E"/>
    <w:rsid w:val="00F01399"/>
    <w:rsid w:val="00F02C52"/>
    <w:rsid w:val="00F0316E"/>
    <w:rsid w:val="00F0337A"/>
    <w:rsid w:val="00F041F7"/>
    <w:rsid w:val="00F06DFB"/>
    <w:rsid w:val="00F10CD7"/>
    <w:rsid w:val="00F1684A"/>
    <w:rsid w:val="00F22E80"/>
    <w:rsid w:val="00F23EB7"/>
    <w:rsid w:val="00F24E25"/>
    <w:rsid w:val="00F25155"/>
    <w:rsid w:val="00F40F6F"/>
    <w:rsid w:val="00F473CA"/>
    <w:rsid w:val="00F47598"/>
    <w:rsid w:val="00F51765"/>
    <w:rsid w:val="00F51BEB"/>
    <w:rsid w:val="00F606AC"/>
    <w:rsid w:val="00F735FE"/>
    <w:rsid w:val="00F7400C"/>
    <w:rsid w:val="00F7610A"/>
    <w:rsid w:val="00F7784E"/>
    <w:rsid w:val="00F803F2"/>
    <w:rsid w:val="00F8751A"/>
    <w:rsid w:val="00F92604"/>
    <w:rsid w:val="00FA4CAB"/>
    <w:rsid w:val="00FC10AD"/>
    <w:rsid w:val="00FC2B63"/>
    <w:rsid w:val="00FD49F2"/>
    <w:rsid w:val="00FE12EE"/>
    <w:rsid w:val="00FE139D"/>
    <w:rsid w:val="00FE40BA"/>
    <w:rsid w:val="00FE72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EAF"/>
    <w:rPr>
      <w:rFonts w:ascii="Times New Roman" w:hAnsi="Times New Roman"/>
      <w:b/>
      <w:sz w:val="24"/>
      <w:lang w:val="es-ES_tradnl" w:eastAsia="en-US"/>
    </w:rPr>
  </w:style>
  <w:style w:type="character" w:customStyle="1" w:styleId="Heading2Char">
    <w:name w:val="Heading 2 Char"/>
    <w:basedOn w:val="DefaultParagraphFont"/>
    <w:link w:val="Heading2"/>
    <w:rsid w:val="008564B5"/>
    <w:rPr>
      <w:rFonts w:ascii="Times New Roman" w:hAnsi="Times New Roman"/>
      <w:b/>
      <w:sz w:val="24"/>
      <w:lang w:val="es-ES_tradnl" w:eastAsia="en-US"/>
    </w:rPr>
  </w:style>
  <w:style w:type="character" w:customStyle="1" w:styleId="Heading3Char">
    <w:name w:val="Heading 3 Char"/>
    <w:aliases w:val="h3 Char,H3 Char,H31 Char"/>
    <w:basedOn w:val="DefaultParagraphFont"/>
    <w:link w:val="Heading3"/>
    <w:uiPriority w:val="9"/>
    <w:rsid w:val="007B0411"/>
    <w:rPr>
      <w:rFonts w:ascii="Times New Roman" w:hAnsi="Times New Roman"/>
      <w:b/>
      <w:sz w:val="24"/>
      <w:lang w:val="es-ES_tradnl" w:eastAsia="en-US"/>
    </w:rPr>
  </w:style>
  <w:style w:type="character" w:customStyle="1" w:styleId="Heading4Char">
    <w:name w:val="Heading 4 Char"/>
    <w:basedOn w:val="DefaultParagraphFont"/>
    <w:link w:val="Heading4"/>
    <w:rsid w:val="000D5DB1"/>
    <w:rPr>
      <w:rFonts w:ascii="Times New Roman" w:hAnsi="Times New Roman"/>
      <w:b/>
      <w:sz w:val="24"/>
      <w:lang w:val="es-ES_tradnl" w:eastAsia="en-US"/>
    </w:rPr>
  </w:style>
  <w:style w:type="character" w:customStyle="1" w:styleId="Heading5Char">
    <w:name w:val="Heading 5 Char"/>
    <w:basedOn w:val="DefaultParagraphFont"/>
    <w:link w:val="Heading5"/>
    <w:rsid w:val="000D5DB1"/>
    <w:rPr>
      <w:rFonts w:ascii="Times New Roman" w:hAnsi="Times New Roman"/>
      <w:b/>
      <w:sz w:val="24"/>
      <w:lang w:val="es-ES_tradnl" w:eastAsia="en-US"/>
    </w:rPr>
  </w:style>
  <w:style w:type="character" w:customStyle="1" w:styleId="Heading6Char">
    <w:name w:val="Heading 6 Char"/>
    <w:basedOn w:val="DefaultParagraphFont"/>
    <w:link w:val="Heading6"/>
    <w:rsid w:val="000D5DB1"/>
    <w:rPr>
      <w:rFonts w:ascii="Times New Roman" w:hAnsi="Times New Roman"/>
      <w:b/>
      <w:sz w:val="24"/>
      <w:lang w:val="es-ES_tradnl" w:eastAsia="en-US"/>
    </w:rPr>
  </w:style>
  <w:style w:type="character" w:customStyle="1" w:styleId="Heading7Char">
    <w:name w:val="Heading 7 Char"/>
    <w:basedOn w:val="DefaultParagraphFont"/>
    <w:link w:val="Heading7"/>
    <w:rsid w:val="000D5DB1"/>
    <w:rPr>
      <w:rFonts w:ascii="Times New Roman" w:hAnsi="Times New Roman"/>
      <w:b/>
      <w:sz w:val="24"/>
      <w:lang w:val="es-ES_tradnl" w:eastAsia="en-US"/>
    </w:rPr>
  </w:style>
  <w:style w:type="character" w:customStyle="1" w:styleId="Heading8Char">
    <w:name w:val="Heading 8 Char"/>
    <w:basedOn w:val="DefaultParagraphFont"/>
    <w:link w:val="Heading8"/>
    <w:rsid w:val="000D5DB1"/>
    <w:rPr>
      <w:rFonts w:ascii="Times New Roman" w:hAnsi="Times New Roman"/>
      <w:b/>
      <w:sz w:val="24"/>
      <w:lang w:val="es-ES_tradnl" w:eastAsia="en-US"/>
    </w:rPr>
  </w:style>
  <w:style w:type="character" w:customStyle="1" w:styleId="Heading9Char">
    <w:name w:val="Heading 9 Char"/>
    <w:basedOn w:val="DefaultParagraphFont"/>
    <w:link w:val="Heading9"/>
    <w:rsid w:val="000D5DB1"/>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312024"/>
    <w:rPr>
      <w:rFonts w:ascii="Times New Roman" w:hAnsi="Times New Roman"/>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4D6C09"/>
    <w:pPr>
      <w:keepNext/>
      <w:keepLines/>
      <w:spacing w:before="160"/>
      <w:ind w:left="794"/>
    </w:pPr>
    <w:rPr>
      <w:i/>
    </w:rPr>
  </w:style>
  <w:style w:type="character" w:customStyle="1" w:styleId="CallChar">
    <w:name w:val="Call Char"/>
    <w:basedOn w:val="DefaultParagraphFont"/>
    <w:link w:val="Call"/>
    <w:uiPriority w:val="99"/>
    <w:locked/>
    <w:rsid w:val="000D5DB1"/>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character" w:customStyle="1" w:styleId="enumlev1Char">
    <w:name w:val="enumlev1 Char"/>
    <w:basedOn w:val="DefaultParagraphFont"/>
    <w:link w:val="enumlev1"/>
    <w:uiPriority w:val="99"/>
    <w:rsid w:val="00312024"/>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uiPriority w:val="99"/>
    <w:locked/>
    <w:rsid w:val="000D5DB1"/>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0D5DB1"/>
    <w:rPr>
      <w:rFonts w:ascii="Times New Roman" w:hAnsi="Times New Roman"/>
      <w:caps/>
      <w:noProof/>
      <w:sz w:val="16"/>
      <w:lang w:val="es-ES_tradnl" w:eastAsia="en-US"/>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basedOn w:val="DefaultParagraphFont"/>
    <w:link w:val="FootnoteText"/>
    <w:rsid w:val="000D5DB1"/>
    <w:rPr>
      <w:rFonts w:ascii="Times New Roman" w:hAnsi="Times New Roman"/>
      <w:sz w:val="24"/>
      <w:lang w:val="es-ES_tradnl" w:eastAsia="en-US"/>
    </w:r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0D5DB1"/>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0D5DB1"/>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rsid w:val="00186EAF"/>
    <w:rPr>
      <w:color w:val="0000FF"/>
      <w:u w:val="single"/>
    </w:rPr>
  </w:style>
  <w:style w:type="character" w:styleId="FollowedHyperlink">
    <w:name w:val="FollowedHyperlink"/>
    <w:basedOn w:val="DefaultParagraphFont"/>
    <w:rsid w:val="00186EAF"/>
    <w:rPr>
      <w:color w:val="800080" w:themeColor="followedHyperlink"/>
      <w:u w:val="single"/>
    </w:rPr>
  </w:style>
  <w:style w:type="character" w:customStyle="1" w:styleId="hps">
    <w:name w:val="hps"/>
    <w:basedOn w:val="DefaultParagraphFont"/>
    <w:rsid w:val="008564B5"/>
  </w:style>
  <w:style w:type="table" w:styleId="TableGrid">
    <w:name w:val="Table Grid"/>
    <w:basedOn w:val="TableNormal"/>
    <w:rsid w:val="007B041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638D8"/>
    <w:rPr>
      <w:b/>
      <w:bCs/>
      <w:i/>
      <w:iCs/>
      <w:color w:val="4F81BD" w:themeColor="accent1"/>
    </w:rPr>
  </w:style>
  <w:style w:type="character" w:customStyle="1" w:styleId="Heading3Char1">
    <w:name w:val="Heading 3 Char1"/>
    <w:basedOn w:val="DefaultParagraphFont"/>
    <w:locked/>
    <w:rsid w:val="000D5DB1"/>
    <w:rPr>
      <w:rFonts w:ascii="Times New Roman" w:hAnsi="Times New Roman"/>
      <w:b/>
      <w:sz w:val="24"/>
      <w:lang w:val="en-GB" w:eastAsia="en-US"/>
    </w:rPr>
  </w:style>
  <w:style w:type="paragraph" w:styleId="NormalWeb">
    <w:name w:val="Normal (Web)"/>
    <w:basedOn w:val="Normal"/>
    <w:unhideWhenUsed/>
    <w:rsid w:val="000D5DB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0D5DB1"/>
    <w:pPr>
      <w:spacing w:before="0"/>
      <w:textAlignment w:val="auto"/>
    </w:pPr>
    <w:rPr>
      <w:sz w:val="20"/>
      <w:lang w:val="en-GB"/>
    </w:rPr>
  </w:style>
  <w:style w:type="character" w:customStyle="1" w:styleId="EndnoteTextChar">
    <w:name w:val="Endnote Text Char"/>
    <w:basedOn w:val="DefaultParagraphFont"/>
    <w:link w:val="EndnoteText"/>
    <w:uiPriority w:val="99"/>
    <w:rsid w:val="000D5DB1"/>
    <w:rPr>
      <w:rFonts w:ascii="Times New Roman" w:hAnsi="Times New Roman"/>
      <w:lang w:val="en-GB" w:eastAsia="en-US"/>
    </w:rPr>
  </w:style>
  <w:style w:type="paragraph" w:styleId="Title">
    <w:name w:val="Title"/>
    <w:basedOn w:val="Normal"/>
    <w:next w:val="Normal"/>
    <w:link w:val="TitleChar"/>
    <w:qFormat/>
    <w:rsid w:val="000D5DB1"/>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D5DB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D5DB1"/>
    <w:pPr>
      <w:textAlignment w:val="auto"/>
    </w:pPr>
    <w:rPr>
      <w:b/>
      <w:bCs/>
      <w:i/>
      <w:iCs/>
      <w:szCs w:val="24"/>
      <w:lang w:val="en-GB"/>
    </w:rPr>
  </w:style>
  <w:style w:type="character" w:customStyle="1" w:styleId="BodyTextChar">
    <w:name w:val="Body Text Char"/>
    <w:basedOn w:val="DefaultParagraphFont"/>
    <w:link w:val="BodyText"/>
    <w:rsid w:val="000D5DB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0D5DB1"/>
    <w:pPr>
      <w:spacing w:after="120"/>
      <w:ind w:left="360"/>
      <w:textAlignment w:val="auto"/>
    </w:pPr>
    <w:rPr>
      <w:lang w:val="en-GB"/>
    </w:rPr>
  </w:style>
  <w:style w:type="character" w:customStyle="1" w:styleId="BodyTextIndentChar">
    <w:name w:val="Body Text Indent Char"/>
    <w:basedOn w:val="DefaultParagraphFont"/>
    <w:link w:val="BodyTextIndent"/>
    <w:rsid w:val="000D5DB1"/>
    <w:rPr>
      <w:rFonts w:ascii="Times New Roman" w:hAnsi="Times New Roman"/>
      <w:sz w:val="24"/>
      <w:lang w:val="en-GB" w:eastAsia="en-US"/>
    </w:rPr>
  </w:style>
  <w:style w:type="paragraph" w:styleId="Subtitle">
    <w:name w:val="Subtitle"/>
    <w:basedOn w:val="Normal"/>
    <w:next w:val="Normal"/>
    <w:link w:val="SubtitleChar"/>
    <w:uiPriority w:val="11"/>
    <w:qFormat/>
    <w:rsid w:val="000D5DB1"/>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0D5DB1"/>
    <w:rPr>
      <w:rFonts w:ascii="Cambria" w:eastAsia="SimSun" w:hAnsi="Cambria"/>
      <w:i/>
      <w:iCs/>
      <w:color w:val="4F81BD"/>
      <w:spacing w:val="15"/>
      <w:sz w:val="24"/>
      <w:szCs w:val="24"/>
    </w:rPr>
  </w:style>
  <w:style w:type="paragraph" w:styleId="BodyText2">
    <w:name w:val="Body Text 2"/>
    <w:basedOn w:val="Normal"/>
    <w:link w:val="BodyText2Char"/>
    <w:unhideWhenUsed/>
    <w:rsid w:val="000D5DB1"/>
    <w:pPr>
      <w:spacing w:after="120" w:line="480" w:lineRule="auto"/>
      <w:textAlignment w:val="auto"/>
    </w:pPr>
    <w:rPr>
      <w:lang w:val="en-GB"/>
    </w:rPr>
  </w:style>
  <w:style w:type="character" w:customStyle="1" w:styleId="BodyText2Char">
    <w:name w:val="Body Text 2 Char"/>
    <w:basedOn w:val="DefaultParagraphFont"/>
    <w:link w:val="BodyText2"/>
    <w:rsid w:val="000D5DB1"/>
    <w:rPr>
      <w:rFonts w:ascii="Times New Roman" w:hAnsi="Times New Roman"/>
      <w:sz w:val="24"/>
      <w:lang w:val="en-GB" w:eastAsia="en-US"/>
    </w:rPr>
  </w:style>
  <w:style w:type="paragraph" w:styleId="PlainText">
    <w:name w:val="Plain Text"/>
    <w:basedOn w:val="Normal"/>
    <w:link w:val="PlainTextChar"/>
    <w:uiPriority w:val="99"/>
    <w:unhideWhenUsed/>
    <w:rsid w:val="000D5DB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D5DB1"/>
    <w:rPr>
      <w:rFonts w:ascii="Calibri" w:eastAsiaTheme="minorEastAsia" w:hAnsi="Calibri" w:cstheme="minorBidi"/>
      <w:sz w:val="22"/>
      <w:szCs w:val="21"/>
    </w:rPr>
  </w:style>
  <w:style w:type="paragraph" w:styleId="ListParagraph">
    <w:name w:val="List Paragraph"/>
    <w:basedOn w:val="Normal"/>
    <w:uiPriority w:val="34"/>
    <w:qFormat/>
    <w:rsid w:val="000D5DB1"/>
    <w:pPr>
      <w:ind w:left="720"/>
      <w:contextualSpacing/>
      <w:jc w:val="both"/>
      <w:textAlignment w:val="auto"/>
    </w:pPr>
    <w:rPr>
      <w:lang w:val="en-GB"/>
    </w:rPr>
  </w:style>
  <w:style w:type="paragraph" w:customStyle="1" w:styleId="TableNo">
    <w:name w:val="Table_No"/>
    <w:basedOn w:val="Normal"/>
    <w:next w:val="Normal"/>
    <w:rsid w:val="000D5DB1"/>
    <w:pPr>
      <w:keepNext/>
      <w:tabs>
        <w:tab w:val="clear" w:pos="794"/>
        <w:tab w:val="clear" w:pos="1191"/>
        <w:tab w:val="clear" w:pos="1588"/>
        <w:tab w:val="clear" w:pos="1985"/>
        <w:tab w:val="left" w:pos="1134"/>
        <w:tab w:val="left" w:pos="1871"/>
        <w:tab w:val="left" w:pos="2268"/>
      </w:tabs>
      <w:spacing w:before="560" w:after="120"/>
      <w:jc w:val="center"/>
      <w:textAlignment w:val="auto"/>
    </w:pPr>
    <w:rPr>
      <w:caps/>
      <w:sz w:val="20"/>
      <w:lang w:val="en-GB"/>
    </w:rPr>
  </w:style>
  <w:style w:type="paragraph" w:customStyle="1" w:styleId="Car">
    <w:name w:val="Car"/>
    <w:basedOn w:val="Normal"/>
    <w:rsid w:val="000D5DB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
    <w:name w:val="Char"/>
    <w:basedOn w:val="Normal"/>
    <w:rsid w:val="000D5DB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CharCharCharCharChar">
    <w:name w:val="Char Char Char Char Char Char"/>
    <w:basedOn w:val="Normal"/>
    <w:rsid w:val="000D5DB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0D5DB1"/>
    <w:rPr>
      <w:rFonts w:ascii="Helvetica" w:eastAsia="ヒラギノ角ゴ Pro W3" w:hAnsi="Helvetica"/>
      <w:color w:val="000000"/>
      <w:sz w:val="24"/>
      <w:lang w:eastAsia="en-US"/>
    </w:rPr>
  </w:style>
  <w:style w:type="paragraph" w:customStyle="1" w:styleId="DecimalAligned">
    <w:name w:val="Decimal Aligned"/>
    <w:basedOn w:val="Normal"/>
    <w:uiPriority w:val="40"/>
    <w:rsid w:val="000D5DB1"/>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customStyle="1" w:styleId="Tabletitle">
    <w:name w:val="Table_title"/>
    <w:basedOn w:val="Normal"/>
    <w:next w:val="Tabletext"/>
    <w:rsid w:val="000D5DB1"/>
    <w:pPr>
      <w:keepNext/>
      <w:keepLines/>
      <w:tabs>
        <w:tab w:val="clear" w:pos="794"/>
        <w:tab w:val="clear" w:pos="1191"/>
        <w:tab w:val="clear" w:pos="1588"/>
        <w:tab w:val="clear" w:pos="1985"/>
        <w:tab w:val="left" w:pos="1134"/>
        <w:tab w:val="left" w:pos="1871"/>
        <w:tab w:val="left" w:pos="2268"/>
      </w:tabs>
      <w:spacing w:before="0" w:after="120"/>
      <w:jc w:val="center"/>
      <w:textAlignment w:val="auto"/>
    </w:pPr>
    <w:rPr>
      <w:rFonts w:ascii="Times New Roman Bold" w:hAnsi="Times New Roman Bold"/>
      <w:b/>
      <w:sz w:val="20"/>
      <w:lang w:val="en-GB"/>
    </w:rPr>
  </w:style>
  <w:style w:type="character" w:customStyle="1" w:styleId="itur-title1">
    <w:name w:val="itur-title1"/>
    <w:basedOn w:val="DefaultParagraphFont"/>
    <w:rsid w:val="000D5DB1"/>
    <w:rPr>
      <w:b/>
      <w:bCs/>
      <w:color w:val="5B84D7"/>
      <w:sz w:val="26"/>
      <w:szCs w:val="26"/>
    </w:rPr>
  </w:style>
  <w:style w:type="character" w:customStyle="1" w:styleId="h21">
    <w:name w:val="h21"/>
    <w:basedOn w:val="DefaultParagraphFont"/>
    <w:rsid w:val="000D5DB1"/>
    <w:rPr>
      <w:b/>
      <w:bCs/>
      <w:color w:val="3366CC"/>
      <w:sz w:val="36"/>
      <w:szCs w:val="36"/>
    </w:rPr>
  </w:style>
  <w:style w:type="character" w:customStyle="1" w:styleId="msoins0">
    <w:name w:val="msoins"/>
    <w:basedOn w:val="DefaultParagraphFont"/>
    <w:rsid w:val="000D5DB1"/>
  </w:style>
  <w:style w:type="character" w:customStyle="1" w:styleId="msoins00">
    <w:name w:val="msoins0"/>
    <w:basedOn w:val="DefaultParagraphFont"/>
    <w:rsid w:val="000D5DB1"/>
  </w:style>
  <w:style w:type="paragraph" w:customStyle="1" w:styleId="Reasons">
    <w:name w:val="Reasons"/>
    <w:basedOn w:val="Normal"/>
    <w:qFormat/>
    <w:rsid w:val="000D5DB1"/>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EAF"/>
    <w:rPr>
      <w:rFonts w:ascii="Times New Roman" w:hAnsi="Times New Roman"/>
      <w:b/>
      <w:sz w:val="24"/>
      <w:lang w:val="es-ES_tradnl" w:eastAsia="en-US"/>
    </w:rPr>
  </w:style>
  <w:style w:type="character" w:customStyle="1" w:styleId="Heading2Char">
    <w:name w:val="Heading 2 Char"/>
    <w:basedOn w:val="DefaultParagraphFont"/>
    <w:link w:val="Heading2"/>
    <w:rsid w:val="008564B5"/>
    <w:rPr>
      <w:rFonts w:ascii="Times New Roman" w:hAnsi="Times New Roman"/>
      <w:b/>
      <w:sz w:val="24"/>
      <w:lang w:val="es-ES_tradnl" w:eastAsia="en-US"/>
    </w:rPr>
  </w:style>
  <w:style w:type="character" w:customStyle="1" w:styleId="Heading3Char">
    <w:name w:val="Heading 3 Char"/>
    <w:aliases w:val="h3 Char,H3 Char,H31 Char"/>
    <w:basedOn w:val="DefaultParagraphFont"/>
    <w:link w:val="Heading3"/>
    <w:uiPriority w:val="9"/>
    <w:rsid w:val="007B0411"/>
    <w:rPr>
      <w:rFonts w:ascii="Times New Roman" w:hAnsi="Times New Roman"/>
      <w:b/>
      <w:sz w:val="24"/>
      <w:lang w:val="es-ES_tradnl" w:eastAsia="en-US"/>
    </w:rPr>
  </w:style>
  <w:style w:type="character" w:customStyle="1" w:styleId="Heading4Char">
    <w:name w:val="Heading 4 Char"/>
    <w:basedOn w:val="DefaultParagraphFont"/>
    <w:link w:val="Heading4"/>
    <w:rsid w:val="000D5DB1"/>
    <w:rPr>
      <w:rFonts w:ascii="Times New Roman" w:hAnsi="Times New Roman"/>
      <w:b/>
      <w:sz w:val="24"/>
      <w:lang w:val="es-ES_tradnl" w:eastAsia="en-US"/>
    </w:rPr>
  </w:style>
  <w:style w:type="character" w:customStyle="1" w:styleId="Heading5Char">
    <w:name w:val="Heading 5 Char"/>
    <w:basedOn w:val="DefaultParagraphFont"/>
    <w:link w:val="Heading5"/>
    <w:rsid w:val="000D5DB1"/>
    <w:rPr>
      <w:rFonts w:ascii="Times New Roman" w:hAnsi="Times New Roman"/>
      <w:b/>
      <w:sz w:val="24"/>
      <w:lang w:val="es-ES_tradnl" w:eastAsia="en-US"/>
    </w:rPr>
  </w:style>
  <w:style w:type="character" w:customStyle="1" w:styleId="Heading6Char">
    <w:name w:val="Heading 6 Char"/>
    <w:basedOn w:val="DefaultParagraphFont"/>
    <w:link w:val="Heading6"/>
    <w:rsid w:val="000D5DB1"/>
    <w:rPr>
      <w:rFonts w:ascii="Times New Roman" w:hAnsi="Times New Roman"/>
      <w:b/>
      <w:sz w:val="24"/>
      <w:lang w:val="es-ES_tradnl" w:eastAsia="en-US"/>
    </w:rPr>
  </w:style>
  <w:style w:type="character" w:customStyle="1" w:styleId="Heading7Char">
    <w:name w:val="Heading 7 Char"/>
    <w:basedOn w:val="DefaultParagraphFont"/>
    <w:link w:val="Heading7"/>
    <w:rsid w:val="000D5DB1"/>
    <w:rPr>
      <w:rFonts w:ascii="Times New Roman" w:hAnsi="Times New Roman"/>
      <w:b/>
      <w:sz w:val="24"/>
      <w:lang w:val="es-ES_tradnl" w:eastAsia="en-US"/>
    </w:rPr>
  </w:style>
  <w:style w:type="character" w:customStyle="1" w:styleId="Heading8Char">
    <w:name w:val="Heading 8 Char"/>
    <w:basedOn w:val="DefaultParagraphFont"/>
    <w:link w:val="Heading8"/>
    <w:rsid w:val="000D5DB1"/>
    <w:rPr>
      <w:rFonts w:ascii="Times New Roman" w:hAnsi="Times New Roman"/>
      <w:b/>
      <w:sz w:val="24"/>
      <w:lang w:val="es-ES_tradnl" w:eastAsia="en-US"/>
    </w:rPr>
  </w:style>
  <w:style w:type="character" w:customStyle="1" w:styleId="Heading9Char">
    <w:name w:val="Heading 9 Char"/>
    <w:basedOn w:val="DefaultParagraphFont"/>
    <w:link w:val="Heading9"/>
    <w:rsid w:val="000D5DB1"/>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312024"/>
    <w:rPr>
      <w:rFonts w:ascii="Times New Roman" w:hAnsi="Times New Roman"/>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4D6C09"/>
    <w:pPr>
      <w:keepNext/>
      <w:keepLines/>
      <w:spacing w:before="160"/>
      <w:ind w:left="794"/>
    </w:pPr>
    <w:rPr>
      <w:i/>
    </w:rPr>
  </w:style>
  <w:style w:type="character" w:customStyle="1" w:styleId="CallChar">
    <w:name w:val="Call Char"/>
    <w:basedOn w:val="DefaultParagraphFont"/>
    <w:link w:val="Call"/>
    <w:uiPriority w:val="99"/>
    <w:locked/>
    <w:rsid w:val="000D5DB1"/>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character" w:customStyle="1" w:styleId="enumlev1Char">
    <w:name w:val="enumlev1 Char"/>
    <w:basedOn w:val="DefaultParagraphFont"/>
    <w:link w:val="enumlev1"/>
    <w:uiPriority w:val="99"/>
    <w:rsid w:val="00312024"/>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uiPriority w:val="99"/>
    <w:locked/>
    <w:rsid w:val="000D5DB1"/>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0D5DB1"/>
    <w:rPr>
      <w:rFonts w:ascii="Times New Roman" w:hAnsi="Times New Roman"/>
      <w:caps/>
      <w:noProof/>
      <w:sz w:val="16"/>
      <w:lang w:val="es-ES_tradnl" w:eastAsia="en-US"/>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basedOn w:val="DefaultParagraphFont"/>
    <w:link w:val="FootnoteText"/>
    <w:rsid w:val="000D5DB1"/>
    <w:rPr>
      <w:rFonts w:ascii="Times New Roman" w:hAnsi="Times New Roman"/>
      <w:sz w:val="24"/>
      <w:lang w:val="es-ES_tradnl" w:eastAsia="en-US"/>
    </w:r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0D5DB1"/>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0D5DB1"/>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rsid w:val="00186EAF"/>
    <w:rPr>
      <w:color w:val="0000FF"/>
      <w:u w:val="single"/>
    </w:rPr>
  </w:style>
  <w:style w:type="character" w:styleId="FollowedHyperlink">
    <w:name w:val="FollowedHyperlink"/>
    <w:basedOn w:val="DefaultParagraphFont"/>
    <w:rsid w:val="00186EAF"/>
    <w:rPr>
      <w:color w:val="800080" w:themeColor="followedHyperlink"/>
      <w:u w:val="single"/>
    </w:rPr>
  </w:style>
  <w:style w:type="character" w:customStyle="1" w:styleId="hps">
    <w:name w:val="hps"/>
    <w:basedOn w:val="DefaultParagraphFont"/>
    <w:rsid w:val="008564B5"/>
  </w:style>
  <w:style w:type="table" w:styleId="TableGrid">
    <w:name w:val="Table Grid"/>
    <w:basedOn w:val="TableNormal"/>
    <w:rsid w:val="007B041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638D8"/>
    <w:rPr>
      <w:b/>
      <w:bCs/>
      <w:i/>
      <w:iCs/>
      <w:color w:val="4F81BD" w:themeColor="accent1"/>
    </w:rPr>
  </w:style>
  <w:style w:type="character" w:customStyle="1" w:styleId="Heading3Char1">
    <w:name w:val="Heading 3 Char1"/>
    <w:basedOn w:val="DefaultParagraphFont"/>
    <w:locked/>
    <w:rsid w:val="000D5DB1"/>
    <w:rPr>
      <w:rFonts w:ascii="Times New Roman" w:hAnsi="Times New Roman"/>
      <w:b/>
      <w:sz w:val="24"/>
      <w:lang w:val="en-GB" w:eastAsia="en-US"/>
    </w:rPr>
  </w:style>
  <w:style w:type="paragraph" w:styleId="NormalWeb">
    <w:name w:val="Normal (Web)"/>
    <w:basedOn w:val="Normal"/>
    <w:unhideWhenUsed/>
    <w:rsid w:val="000D5DB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0D5DB1"/>
    <w:pPr>
      <w:spacing w:before="0"/>
      <w:textAlignment w:val="auto"/>
    </w:pPr>
    <w:rPr>
      <w:sz w:val="20"/>
      <w:lang w:val="en-GB"/>
    </w:rPr>
  </w:style>
  <w:style w:type="character" w:customStyle="1" w:styleId="EndnoteTextChar">
    <w:name w:val="Endnote Text Char"/>
    <w:basedOn w:val="DefaultParagraphFont"/>
    <w:link w:val="EndnoteText"/>
    <w:uiPriority w:val="99"/>
    <w:rsid w:val="000D5DB1"/>
    <w:rPr>
      <w:rFonts w:ascii="Times New Roman" w:hAnsi="Times New Roman"/>
      <w:lang w:val="en-GB" w:eastAsia="en-US"/>
    </w:rPr>
  </w:style>
  <w:style w:type="paragraph" w:styleId="Title">
    <w:name w:val="Title"/>
    <w:basedOn w:val="Normal"/>
    <w:next w:val="Normal"/>
    <w:link w:val="TitleChar"/>
    <w:qFormat/>
    <w:rsid w:val="000D5DB1"/>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D5DB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D5DB1"/>
    <w:pPr>
      <w:textAlignment w:val="auto"/>
    </w:pPr>
    <w:rPr>
      <w:b/>
      <w:bCs/>
      <w:i/>
      <w:iCs/>
      <w:szCs w:val="24"/>
      <w:lang w:val="en-GB"/>
    </w:rPr>
  </w:style>
  <w:style w:type="character" w:customStyle="1" w:styleId="BodyTextChar">
    <w:name w:val="Body Text Char"/>
    <w:basedOn w:val="DefaultParagraphFont"/>
    <w:link w:val="BodyText"/>
    <w:rsid w:val="000D5DB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0D5DB1"/>
    <w:pPr>
      <w:spacing w:after="120"/>
      <w:ind w:left="360"/>
      <w:textAlignment w:val="auto"/>
    </w:pPr>
    <w:rPr>
      <w:lang w:val="en-GB"/>
    </w:rPr>
  </w:style>
  <w:style w:type="character" w:customStyle="1" w:styleId="BodyTextIndentChar">
    <w:name w:val="Body Text Indent Char"/>
    <w:basedOn w:val="DefaultParagraphFont"/>
    <w:link w:val="BodyTextIndent"/>
    <w:rsid w:val="000D5DB1"/>
    <w:rPr>
      <w:rFonts w:ascii="Times New Roman" w:hAnsi="Times New Roman"/>
      <w:sz w:val="24"/>
      <w:lang w:val="en-GB" w:eastAsia="en-US"/>
    </w:rPr>
  </w:style>
  <w:style w:type="paragraph" w:styleId="Subtitle">
    <w:name w:val="Subtitle"/>
    <w:basedOn w:val="Normal"/>
    <w:next w:val="Normal"/>
    <w:link w:val="SubtitleChar"/>
    <w:uiPriority w:val="11"/>
    <w:qFormat/>
    <w:rsid w:val="000D5DB1"/>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0D5DB1"/>
    <w:rPr>
      <w:rFonts w:ascii="Cambria" w:eastAsia="SimSun" w:hAnsi="Cambria"/>
      <w:i/>
      <w:iCs/>
      <w:color w:val="4F81BD"/>
      <w:spacing w:val="15"/>
      <w:sz w:val="24"/>
      <w:szCs w:val="24"/>
    </w:rPr>
  </w:style>
  <w:style w:type="paragraph" w:styleId="BodyText2">
    <w:name w:val="Body Text 2"/>
    <w:basedOn w:val="Normal"/>
    <w:link w:val="BodyText2Char"/>
    <w:unhideWhenUsed/>
    <w:rsid w:val="000D5DB1"/>
    <w:pPr>
      <w:spacing w:after="120" w:line="480" w:lineRule="auto"/>
      <w:textAlignment w:val="auto"/>
    </w:pPr>
    <w:rPr>
      <w:lang w:val="en-GB"/>
    </w:rPr>
  </w:style>
  <w:style w:type="character" w:customStyle="1" w:styleId="BodyText2Char">
    <w:name w:val="Body Text 2 Char"/>
    <w:basedOn w:val="DefaultParagraphFont"/>
    <w:link w:val="BodyText2"/>
    <w:rsid w:val="000D5DB1"/>
    <w:rPr>
      <w:rFonts w:ascii="Times New Roman" w:hAnsi="Times New Roman"/>
      <w:sz w:val="24"/>
      <w:lang w:val="en-GB" w:eastAsia="en-US"/>
    </w:rPr>
  </w:style>
  <w:style w:type="paragraph" w:styleId="PlainText">
    <w:name w:val="Plain Text"/>
    <w:basedOn w:val="Normal"/>
    <w:link w:val="PlainTextChar"/>
    <w:uiPriority w:val="99"/>
    <w:unhideWhenUsed/>
    <w:rsid w:val="000D5DB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D5DB1"/>
    <w:rPr>
      <w:rFonts w:ascii="Calibri" w:eastAsiaTheme="minorEastAsia" w:hAnsi="Calibri" w:cstheme="minorBidi"/>
      <w:sz w:val="22"/>
      <w:szCs w:val="21"/>
    </w:rPr>
  </w:style>
  <w:style w:type="paragraph" w:styleId="ListParagraph">
    <w:name w:val="List Paragraph"/>
    <w:basedOn w:val="Normal"/>
    <w:uiPriority w:val="34"/>
    <w:qFormat/>
    <w:rsid w:val="000D5DB1"/>
    <w:pPr>
      <w:ind w:left="720"/>
      <w:contextualSpacing/>
      <w:jc w:val="both"/>
      <w:textAlignment w:val="auto"/>
    </w:pPr>
    <w:rPr>
      <w:lang w:val="en-GB"/>
    </w:rPr>
  </w:style>
  <w:style w:type="paragraph" w:customStyle="1" w:styleId="TableNo">
    <w:name w:val="Table_No"/>
    <w:basedOn w:val="Normal"/>
    <w:next w:val="Normal"/>
    <w:rsid w:val="000D5DB1"/>
    <w:pPr>
      <w:keepNext/>
      <w:tabs>
        <w:tab w:val="clear" w:pos="794"/>
        <w:tab w:val="clear" w:pos="1191"/>
        <w:tab w:val="clear" w:pos="1588"/>
        <w:tab w:val="clear" w:pos="1985"/>
        <w:tab w:val="left" w:pos="1134"/>
        <w:tab w:val="left" w:pos="1871"/>
        <w:tab w:val="left" w:pos="2268"/>
      </w:tabs>
      <w:spacing w:before="560" w:after="120"/>
      <w:jc w:val="center"/>
      <w:textAlignment w:val="auto"/>
    </w:pPr>
    <w:rPr>
      <w:caps/>
      <w:sz w:val="20"/>
      <w:lang w:val="en-GB"/>
    </w:rPr>
  </w:style>
  <w:style w:type="paragraph" w:customStyle="1" w:styleId="Car">
    <w:name w:val="Car"/>
    <w:basedOn w:val="Normal"/>
    <w:rsid w:val="000D5DB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
    <w:name w:val="Char"/>
    <w:basedOn w:val="Normal"/>
    <w:rsid w:val="000D5DB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CharCharCharCharChar">
    <w:name w:val="Char Char Char Char Char Char"/>
    <w:basedOn w:val="Normal"/>
    <w:rsid w:val="000D5DB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0D5DB1"/>
    <w:rPr>
      <w:rFonts w:ascii="Helvetica" w:eastAsia="ヒラギノ角ゴ Pro W3" w:hAnsi="Helvetica"/>
      <w:color w:val="000000"/>
      <w:sz w:val="24"/>
      <w:lang w:eastAsia="en-US"/>
    </w:rPr>
  </w:style>
  <w:style w:type="paragraph" w:customStyle="1" w:styleId="DecimalAligned">
    <w:name w:val="Decimal Aligned"/>
    <w:basedOn w:val="Normal"/>
    <w:uiPriority w:val="40"/>
    <w:rsid w:val="000D5DB1"/>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customStyle="1" w:styleId="Tabletitle">
    <w:name w:val="Table_title"/>
    <w:basedOn w:val="Normal"/>
    <w:next w:val="Tabletext"/>
    <w:rsid w:val="000D5DB1"/>
    <w:pPr>
      <w:keepNext/>
      <w:keepLines/>
      <w:tabs>
        <w:tab w:val="clear" w:pos="794"/>
        <w:tab w:val="clear" w:pos="1191"/>
        <w:tab w:val="clear" w:pos="1588"/>
        <w:tab w:val="clear" w:pos="1985"/>
        <w:tab w:val="left" w:pos="1134"/>
        <w:tab w:val="left" w:pos="1871"/>
        <w:tab w:val="left" w:pos="2268"/>
      </w:tabs>
      <w:spacing w:before="0" w:after="120"/>
      <w:jc w:val="center"/>
      <w:textAlignment w:val="auto"/>
    </w:pPr>
    <w:rPr>
      <w:rFonts w:ascii="Times New Roman Bold" w:hAnsi="Times New Roman Bold"/>
      <w:b/>
      <w:sz w:val="20"/>
      <w:lang w:val="en-GB"/>
    </w:rPr>
  </w:style>
  <w:style w:type="character" w:customStyle="1" w:styleId="itur-title1">
    <w:name w:val="itur-title1"/>
    <w:basedOn w:val="DefaultParagraphFont"/>
    <w:rsid w:val="000D5DB1"/>
    <w:rPr>
      <w:b/>
      <w:bCs/>
      <w:color w:val="5B84D7"/>
      <w:sz w:val="26"/>
      <w:szCs w:val="26"/>
    </w:rPr>
  </w:style>
  <w:style w:type="character" w:customStyle="1" w:styleId="h21">
    <w:name w:val="h21"/>
    <w:basedOn w:val="DefaultParagraphFont"/>
    <w:rsid w:val="000D5DB1"/>
    <w:rPr>
      <w:b/>
      <w:bCs/>
      <w:color w:val="3366CC"/>
      <w:sz w:val="36"/>
      <w:szCs w:val="36"/>
    </w:rPr>
  </w:style>
  <w:style w:type="character" w:customStyle="1" w:styleId="msoins0">
    <w:name w:val="msoins"/>
    <w:basedOn w:val="DefaultParagraphFont"/>
    <w:rsid w:val="000D5DB1"/>
  </w:style>
  <w:style w:type="character" w:customStyle="1" w:styleId="msoins00">
    <w:name w:val="msoins0"/>
    <w:basedOn w:val="DefaultParagraphFont"/>
    <w:rsid w:val="000D5DB1"/>
  </w:style>
  <w:style w:type="paragraph" w:customStyle="1" w:styleId="Reasons">
    <w:name w:val="Reasons"/>
    <w:basedOn w:val="Normal"/>
    <w:qFormat/>
    <w:rsid w:val="000D5DB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C-0107/en" TargetMode="External"/><Relationship Id="rId18" Type="http://schemas.openxmlformats.org/officeDocument/2006/relationships/hyperlink" Target="http://www.itu.int/ITU-R/go/rcpm-wrc-15-studies" TargetMode="External"/><Relationship Id="rId26" Type="http://schemas.openxmlformats.org/officeDocument/2006/relationships/hyperlink" Target="https://extranet.itu.int/itu-r/conferences/rag/cg_resolution_itu_r_1_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R/conferences/wrc/2015/irwsp/2013/Pages/default.aspx" TargetMode="External"/><Relationship Id="rId34" Type="http://schemas.openxmlformats.org/officeDocument/2006/relationships/hyperlink" Target="http://www.itu.int/ITU-R/go/seminars" TargetMode="External"/><Relationship Id="rId7" Type="http://schemas.openxmlformats.org/officeDocument/2006/relationships/footnotes" Target="footnotes.xml"/><Relationship Id="rId12" Type="http://schemas.openxmlformats.org/officeDocument/2006/relationships/hyperlink" Target="http://www.itu.int/md/S13-CL-C-0111/en" TargetMode="External"/><Relationship Id="rId17" Type="http://schemas.openxmlformats.org/officeDocument/2006/relationships/hyperlink" Target="http://www.itu.int/md/R00-CA-CIR-0201/en" TargetMode="External"/><Relationship Id="rId25" Type="http://schemas.openxmlformats.org/officeDocument/2006/relationships/hyperlink" Target="http://www.itu.int/md/R00-CR-CIR-0355/en" TargetMode="External"/><Relationship Id="rId33" Type="http://schemas.openxmlformats.org/officeDocument/2006/relationships/hyperlink" Target="http://www.itu.int/ITU-R/go/performance-report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tranet.itu.int/ITU-R/space-assets" TargetMode="External"/><Relationship Id="rId20" Type="http://schemas.openxmlformats.org/officeDocument/2006/relationships/hyperlink" Target="http://www.itu.int/en/ITU-R/conferences/wrc/2015/irwsp/2013/Pages/default.aspx" TargetMode="External"/><Relationship Id="rId29" Type="http://schemas.openxmlformats.org/officeDocument/2006/relationships/hyperlink" Target="https://extranet.itu.int/itu-r/conferences/rag/cg_format_itu_r_r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md/R00-CR-CIR-0345/en" TargetMode="External"/><Relationship Id="rId32" Type="http://schemas.openxmlformats.org/officeDocument/2006/relationships/hyperlink" Target="http://www.itu.int/ITU-R/go/operational-plans/"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S14-CL-INF-0012/en" TargetMode="External"/><Relationship Id="rId23" Type="http://schemas.openxmlformats.org/officeDocument/2006/relationships/hyperlink" Target="http://www.itu.int/md/R00-CR-CIR/en" TargetMode="External"/><Relationship Id="rId28" Type="http://schemas.openxmlformats.org/officeDocument/2006/relationships/hyperlink" Target="https://extranet.itu.int/itu-r/conferences/rag/cg_format_itu_r_rec" TargetMode="External"/><Relationship Id="rId36" Type="http://schemas.openxmlformats.org/officeDocument/2006/relationships/footer" Target="footer1.xml"/><Relationship Id="rId10" Type="http://schemas.openxmlformats.org/officeDocument/2006/relationships/hyperlink" Target="http://www.itu.int/md/R00-CA-CIR-0212/en" TargetMode="External"/><Relationship Id="rId19" Type="http://schemas.openxmlformats.org/officeDocument/2006/relationships/hyperlink" Target="http://www.itu.int/md/S13-CL-C-0037/en" TargetMode="External"/><Relationship Id="rId31" Type="http://schemas.openxmlformats.org/officeDocument/2006/relationships/hyperlink" Target="https://extranet.itu.int/itu-r/conferences/rag/cg_resolution_itu_r_6_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tu.int/md/choice_md.asp?id=S14-CL-C-0013!!MSW-E&amp;lang=en&amp;type=sitems" TargetMode="External"/><Relationship Id="rId22" Type="http://schemas.openxmlformats.org/officeDocument/2006/relationships/hyperlink" Target="http://www.itu.int/go/wrc-15" TargetMode="External"/><Relationship Id="rId27" Type="http://schemas.openxmlformats.org/officeDocument/2006/relationships/hyperlink" Target="https://extranet.itu.int/itu-r/conferences/rag/cg_resolution_itu_r_1_6/" TargetMode="External"/><Relationship Id="rId30" Type="http://schemas.openxmlformats.org/officeDocument/2006/relationships/hyperlink" Target="https://extranet.itu.int/itu-r/conferences/rag/cg_resolution_itu_r_6_1"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9362-AFA1-4D8C-A893-9E1530DF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PS_RAG14.dotm</Template>
  <TotalTime>128</TotalTime>
  <Pages>19</Pages>
  <Words>8440</Words>
  <Characters>46658</Characters>
  <Application>Microsoft Office Word</Application>
  <DocSecurity>0</DocSecurity>
  <Lines>1609</Lines>
  <Paragraphs>1091</Paragraphs>
  <ScaleCrop>false</ScaleCrop>
  <HeadingPairs>
    <vt:vector size="2" baseType="variant">
      <vt:variant>
        <vt:lpstr>Title</vt:lpstr>
      </vt:variant>
      <vt:variant>
        <vt:i4>1</vt:i4>
      </vt:variant>
    </vt:vector>
  </HeadingPairs>
  <TitlesOfParts>
    <vt:vector size="1" baseType="lpstr">
      <vt:lpstr>INFORME A LA VIGÉSIMA PRIMERA REUNIÓN DEL GRUPO ASESOR DE RADIOCOMUNICACIONES</vt:lpstr>
    </vt:vector>
  </TitlesOfParts>
  <Manager>General Secretariat - Pool</Manager>
  <Company>International Telecommunication Union (ITU)</Company>
  <LinksUpToDate>false</LinksUpToDate>
  <CharactersWithSpaces>54286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PRIMERA REUNIÓN DEL GRUPO ASESOR DE RADIOCOMUNICACIONES</dc:title>
  <dc:subject>GRUPO ASESOR DE RADIOCOMUNICACIONES</dc:subject>
  <dc:creator>Director de la Oficina de Radiocomunicaciones</dc:creator>
  <cp:keywords>RAG03-1</cp:keywords>
  <dc:description>Documento RAG14-1/1-S  For: _x000d_Document date: 30 de mayo de 2014_x000d_Saved by ITU51007797 at 12:02:27 on 17/06/2014</dc:description>
  <cp:lastModifiedBy>Christe-Baldan, Susana</cp:lastModifiedBy>
  <cp:revision>18</cp:revision>
  <cp:lastPrinted>2014-06-17T09:22:00Z</cp:lastPrinted>
  <dcterms:created xsi:type="dcterms:W3CDTF">2014-06-16T13:33:00Z</dcterms:created>
  <dcterms:modified xsi:type="dcterms:W3CDTF">2014-06-17T10:02:00Z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RAG14-1/1-S</vt:lpwstr>
  </property>
  <property fmtid="{D5CDD505-2E9C-101B-9397-08002B2CF9AE}" pid="3" name="Docdate">
    <vt:lpwstr>30 de mayo de 2014</vt:lpwstr>
  </property>
  <property fmtid="{D5CDD505-2E9C-101B-9397-08002B2CF9AE}" pid="4" name="Docorlang">
    <vt:lpwstr>Original: inglés</vt:lpwstr>
  </property>
  <property fmtid="{D5CDD505-2E9C-101B-9397-08002B2CF9AE}" pid="5" name="Docauthor">
    <vt:lpwstr>Director de la Oficina de Radiocomunicaciones</vt:lpwstr>
  </property>
</Properties>
</file>