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1F2DEF" w:rsidP="001F2DEF">
            <w:pPr>
              <w:shd w:val="solid" w:color="FFFFFF" w:fill="FFFFFF"/>
              <w:spacing w:before="0"/>
              <w:rPr>
                <w:rFonts w:ascii="Verdana" w:hAnsi="Verdana" w:cs="Times New Roman Bold"/>
                <w:b/>
                <w:bCs/>
                <w:sz w:val="26"/>
                <w:szCs w:val="26"/>
              </w:rPr>
            </w:pPr>
            <w:bookmarkStart w:id="0" w:name="ditulogo"/>
            <w:bookmarkEnd w:id="0"/>
            <w:r w:rsidRPr="001F2DEF">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1F2DEF" w:rsidRPr="00982084" w:rsidRDefault="00C1192F" w:rsidP="008231EB">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E82E8C">
              <w:rPr>
                <w:rFonts w:ascii="Verdana" w:hAnsi="Verdana" w:cs="Times New Roman Bold" w:hint="eastAsia"/>
                <w:bCs/>
                <w:sz w:val="22"/>
                <w:szCs w:val="22"/>
                <w:lang w:eastAsia="zh-CN"/>
              </w:rPr>
              <w:t>Source:</w:t>
            </w:r>
            <w:r w:rsidRPr="00E82E8C">
              <w:rPr>
                <w:rFonts w:ascii="Verdana" w:hAnsi="Verdana" w:cs="Times New Roman Bold"/>
                <w:bCs/>
                <w:sz w:val="22"/>
                <w:szCs w:val="22"/>
                <w:lang w:eastAsia="zh-CN"/>
              </w:rPr>
              <w:tab/>
            </w:r>
            <w:r w:rsidR="00E82E8C" w:rsidRPr="00E82E8C">
              <w:rPr>
                <w:rFonts w:ascii="Verdana" w:hAnsi="Verdana"/>
                <w:bCs/>
                <w:sz w:val="20"/>
                <w:lang w:eastAsia="zh-CN"/>
              </w:rPr>
              <w:t>Document 5D/TEMP/138</w:t>
            </w:r>
          </w:p>
        </w:tc>
        <w:tc>
          <w:tcPr>
            <w:tcW w:w="3451" w:type="dxa"/>
            <w:gridSpan w:val="2"/>
          </w:tcPr>
          <w:p w:rsidR="000069D4" w:rsidRPr="001C5E8A" w:rsidRDefault="001C5E8A" w:rsidP="00A5173C">
            <w:pPr>
              <w:shd w:val="solid" w:color="FFFFFF" w:fill="FFFFFF"/>
              <w:spacing w:before="0" w:line="240" w:lineRule="atLeast"/>
              <w:rPr>
                <w:rFonts w:ascii="Verdana" w:hAnsi="Verdana"/>
                <w:b/>
                <w:bCs/>
                <w:sz w:val="20"/>
                <w:lang w:eastAsia="zh-CN"/>
              </w:rPr>
            </w:pPr>
            <w:r w:rsidRPr="001C5E8A">
              <w:rPr>
                <w:rFonts w:ascii="Verdana" w:hAnsi="Verdana"/>
                <w:b/>
                <w:bCs/>
                <w:sz w:val="20"/>
                <w:lang w:eastAsia="zh-CN"/>
              </w:rPr>
              <w:t>Document IMT-2020/1</w:t>
            </w:r>
            <w:r w:rsidR="0023121A">
              <w:rPr>
                <w:rFonts w:ascii="Verdana" w:hAnsi="Verdana"/>
                <w:b/>
                <w:bCs/>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1F2DEF" w:rsidRDefault="008231EB" w:rsidP="00E82E8C">
            <w:pPr>
              <w:shd w:val="solid" w:color="FFFFFF" w:fill="FFFFFF"/>
              <w:spacing w:before="0" w:line="240" w:lineRule="atLeast"/>
              <w:rPr>
                <w:rFonts w:ascii="Verdana" w:hAnsi="Verdana"/>
                <w:sz w:val="20"/>
                <w:lang w:eastAsia="zh-CN"/>
              </w:rPr>
            </w:pPr>
            <w:r>
              <w:rPr>
                <w:rFonts w:ascii="Verdana" w:hAnsi="Verdana"/>
                <w:b/>
                <w:sz w:val="20"/>
                <w:lang w:eastAsia="zh-CN"/>
              </w:rPr>
              <w:t>29</w:t>
            </w:r>
            <w:r w:rsidR="001F2DEF">
              <w:rPr>
                <w:rFonts w:ascii="Verdana" w:hAnsi="Verdana"/>
                <w:b/>
                <w:sz w:val="20"/>
                <w:lang w:eastAsia="zh-CN"/>
              </w:rPr>
              <w:t xml:space="preserve"> June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1F2DEF" w:rsidRDefault="001F2DE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E82E8C" w:rsidRPr="00E82E8C" w:rsidRDefault="00C1192F" w:rsidP="008231EB">
            <w:pPr>
              <w:pStyle w:val="Source"/>
              <w:rPr>
                <w:lang w:eastAsia="zh-CN"/>
              </w:rPr>
            </w:pPr>
            <w:bookmarkStart w:id="5" w:name="dsource" w:colFirst="0" w:colLast="0"/>
            <w:bookmarkEnd w:id="4"/>
            <w:r>
              <w:rPr>
                <w:lang w:eastAsia="zh-CN"/>
              </w:rPr>
              <w:t>Working Party 5D</w:t>
            </w:r>
          </w:p>
        </w:tc>
      </w:tr>
      <w:tr w:rsidR="000069D4" w:rsidTr="00D046A7">
        <w:trPr>
          <w:cantSplit/>
        </w:trPr>
        <w:tc>
          <w:tcPr>
            <w:tcW w:w="9889" w:type="dxa"/>
            <w:gridSpan w:val="4"/>
          </w:tcPr>
          <w:p w:rsidR="000069D4" w:rsidRDefault="00C1192F" w:rsidP="00A5173C">
            <w:pPr>
              <w:pStyle w:val="Title1"/>
              <w:rPr>
                <w:lang w:eastAsia="zh-CN"/>
              </w:rPr>
            </w:pPr>
            <w:bookmarkStart w:id="6" w:name="drec" w:colFirst="0" w:colLast="0"/>
            <w:bookmarkEnd w:id="5"/>
            <w:r w:rsidRPr="0092616F">
              <w:rPr>
                <w:lang w:val="en-CA" w:eastAsia="zh-CN"/>
              </w:rPr>
              <w:t>IMT-2020 background</w:t>
            </w:r>
          </w:p>
        </w:tc>
      </w:tr>
      <w:tr w:rsidR="000069D4" w:rsidTr="00D046A7">
        <w:trPr>
          <w:cantSplit/>
        </w:trPr>
        <w:tc>
          <w:tcPr>
            <w:tcW w:w="9889" w:type="dxa"/>
            <w:gridSpan w:val="4"/>
          </w:tcPr>
          <w:p w:rsidR="000069D4" w:rsidRDefault="000069D4" w:rsidP="00A5173C">
            <w:pPr>
              <w:pStyle w:val="Title1"/>
              <w:rPr>
                <w:lang w:eastAsia="zh-CN"/>
              </w:rPr>
            </w:pPr>
            <w:bookmarkStart w:id="7" w:name="dtitle1" w:colFirst="0" w:colLast="0"/>
            <w:bookmarkEnd w:id="6"/>
          </w:p>
        </w:tc>
      </w:tr>
    </w:tbl>
    <w:p w:rsidR="00C1192F" w:rsidRPr="009C776E" w:rsidRDefault="00C1192F" w:rsidP="00C1192F">
      <w:pPr>
        <w:pStyle w:val="Heading1"/>
        <w:tabs>
          <w:tab w:val="left" w:pos="5311"/>
        </w:tabs>
        <w:rPr>
          <w:lang w:eastAsia="zh-CN"/>
        </w:rPr>
      </w:pPr>
      <w:bookmarkStart w:id="8" w:name="dbreak"/>
      <w:bookmarkEnd w:id="7"/>
      <w:bookmarkEnd w:id="8"/>
      <w:r>
        <w:rPr>
          <w:rFonts w:hint="eastAsia"/>
          <w:lang w:eastAsia="zh-CN"/>
        </w:rPr>
        <w:t>1</w:t>
      </w:r>
      <w:r w:rsidRPr="009C776E">
        <w:tab/>
      </w:r>
      <w:r>
        <w:rPr>
          <w:rFonts w:hint="eastAsia"/>
          <w:lang w:eastAsia="zh-CN"/>
        </w:rPr>
        <w:t>IMT evolution</w:t>
      </w:r>
    </w:p>
    <w:p w:rsidR="00C1192F" w:rsidRDefault="00C1192F" w:rsidP="00C1192F">
      <w:r w:rsidRPr="00167B21">
        <w:t>International Mobile Telecommunications-2000 (IMT-2000) systems provided access to a wide range of telecommunication services, supported by the fixed telecommunication networks (e.g. PSTN/ISDN/IP), and to other services which are specific to mobile users.</w:t>
      </w:r>
    </w:p>
    <w:p w:rsidR="00C1192F" w:rsidRPr="00167B21" w:rsidRDefault="00C1192F" w:rsidP="00C1192F">
      <w:pPr>
        <w:tabs>
          <w:tab w:val="clear" w:pos="1134"/>
          <w:tab w:val="clear" w:pos="1871"/>
          <w:tab w:val="clear" w:pos="2268"/>
          <w:tab w:val="left" w:pos="794"/>
          <w:tab w:val="left" w:pos="1191"/>
          <w:tab w:val="left" w:pos="1588"/>
          <w:tab w:val="left" w:pos="1985"/>
        </w:tabs>
        <w:rPr>
          <w:lang w:eastAsia="ja-JP"/>
        </w:rPr>
      </w:pPr>
      <w:r w:rsidRPr="00564ECE">
        <w:rPr>
          <w:lang w:eastAsia="ja-JP"/>
        </w:rPr>
        <w:t xml:space="preserve">Resolution ITU-R 56-2 </w:t>
      </w:r>
      <w:r w:rsidRPr="00564ECE">
        <w:rPr>
          <w:lang w:eastAsia="zh-CN"/>
        </w:rPr>
        <w:t>cla</w:t>
      </w:r>
      <w:r w:rsidRPr="00167B21">
        <w:rPr>
          <w:lang w:eastAsia="zh-CN"/>
        </w:rPr>
        <w:t>rifies the relationship between the te</w:t>
      </w:r>
      <w:r>
        <w:rPr>
          <w:lang w:eastAsia="zh-CN"/>
        </w:rPr>
        <w:t>rms “IMT-2000” and “IMT</w:t>
      </w:r>
      <w:r>
        <w:rPr>
          <w:lang w:eastAsia="zh-CN"/>
        </w:rPr>
        <w:noBreakHyphen/>
      </w:r>
      <w:r w:rsidRPr="00167B21">
        <w:rPr>
          <w:lang w:eastAsia="zh-CN"/>
        </w:rPr>
        <w:t>Advanced” and assigns a name to those systems, system components, and related aspects that include new radio interface(s) that support the new capabilities “IMT for 2020 and beyond”</w:t>
      </w:r>
      <w:r>
        <w:rPr>
          <w:lang w:eastAsia="ja-JP"/>
        </w:rPr>
        <w:t>: IMT</w:t>
      </w:r>
      <w:r>
        <w:rPr>
          <w:lang w:eastAsia="ja-JP"/>
        </w:rPr>
        <w:noBreakHyphen/>
      </w:r>
      <w:r w:rsidRPr="00167B21">
        <w:rPr>
          <w:lang w:eastAsia="ja-JP"/>
        </w:rPr>
        <w:t>2020.  Resolution ITU-R 56 resolves that the term IMT</w:t>
      </w:r>
      <w:r>
        <w:rPr>
          <w:lang w:eastAsia="ja-JP"/>
        </w:rPr>
        <w:t>-</w:t>
      </w:r>
      <w:r w:rsidRPr="00167B21">
        <w:rPr>
          <w:lang w:eastAsia="ja-JP"/>
        </w:rPr>
        <w:t>2000 encompasses also its enhancements and future developments and the term “IMT</w:t>
      </w:r>
      <w:r>
        <w:rPr>
          <w:lang w:eastAsia="ja-JP"/>
        </w:rPr>
        <w:t>-</w:t>
      </w:r>
      <w:r w:rsidRPr="00167B21">
        <w:rPr>
          <w:lang w:eastAsia="ja-JP"/>
        </w:rPr>
        <w:t>Advanced” encompasses also its enhancements and future developments. The term “IMT” is the</w:t>
      </w:r>
      <w:r>
        <w:rPr>
          <w:lang w:eastAsia="ja-JP"/>
        </w:rPr>
        <w:t xml:space="preserve"> root name that encompasses IMT</w:t>
      </w:r>
      <w:r>
        <w:rPr>
          <w:lang w:eastAsia="ja-JP"/>
        </w:rPr>
        <w:noBreakHyphen/>
      </w:r>
      <w:r w:rsidRPr="00167B21">
        <w:rPr>
          <w:lang w:eastAsia="ja-JP"/>
        </w:rPr>
        <w:t>2000, IMT-Advanced, and IMT-2020 collectively.</w:t>
      </w:r>
    </w:p>
    <w:p w:rsidR="00C1192F" w:rsidRPr="00D25D4D" w:rsidRDefault="00C1192F" w:rsidP="00C1192F">
      <w:pPr>
        <w:tabs>
          <w:tab w:val="clear" w:pos="1134"/>
          <w:tab w:val="clear" w:pos="1871"/>
          <w:tab w:val="clear" w:pos="2268"/>
          <w:tab w:val="left" w:pos="794"/>
          <w:tab w:val="left" w:pos="1191"/>
          <w:tab w:val="left" w:pos="1588"/>
          <w:tab w:val="left" w:pos="1985"/>
        </w:tabs>
        <w:rPr>
          <w:lang w:eastAsia="zh-CN"/>
        </w:rPr>
      </w:pPr>
      <w:r w:rsidRPr="00167B21">
        <w:t>To meet the ever increasing demand for wireless communication</w:t>
      </w:r>
      <w:r w:rsidRPr="00167B21">
        <w:rPr>
          <w:lang w:eastAsia="ja-JP"/>
        </w:rPr>
        <w:t xml:space="preserve"> </w:t>
      </w:r>
      <w:r w:rsidRPr="00167B21">
        <w:t xml:space="preserve">(e.g. increased no. of users, higher data rates, video or gaming services which require increased </w:t>
      </w:r>
      <w:r w:rsidRPr="00167B21">
        <w:rPr>
          <w:lang w:eastAsia="ja-JP"/>
        </w:rPr>
        <w:t>q</w:t>
      </w:r>
      <w:r w:rsidRPr="00167B21">
        <w:t xml:space="preserve">uality of </w:t>
      </w:r>
      <w:r w:rsidRPr="00167B21">
        <w:rPr>
          <w:lang w:eastAsia="ja-JP"/>
        </w:rPr>
        <w:t>s</w:t>
      </w:r>
      <w:r w:rsidRPr="00167B21">
        <w:t>ervice, etc.), IMT has been, and continues to be, enhanced.</w:t>
      </w:r>
    </w:p>
    <w:p w:rsidR="00C1192F" w:rsidRPr="009C776E" w:rsidRDefault="00C1192F" w:rsidP="00C1192F">
      <w:pPr>
        <w:pStyle w:val="Heading1"/>
        <w:tabs>
          <w:tab w:val="left" w:pos="5311"/>
        </w:tabs>
      </w:pPr>
      <w:r>
        <w:rPr>
          <w:rFonts w:hint="eastAsia"/>
          <w:lang w:eastAsia="zh-CN"/>
        </w:rPr>
        <w:t>2</w:t>
      </w:r>
      <w:r w:rsidRPr="009C776E">
        <w:tab/>
        <w:t>Consumer demands</w:t>
      </w:r>
    </w:p>
    <w:p w:rsidR="00C1192F" w:rsidRDefault="00C1192F" w:rsidP="00C1192F">
      <w:pPr>
        <w:rPr>
          <w:rFonts w:eastAsia="MS Mincho"/>
          <w:lang w:eastAsia="ja-JP"/>
        </w:rPr>
      </w:pPr>
      <w:r w:rsidRPr="00167B21">
        <w:t xml:space="preserve">Consumer demands will shape the future development of IMT. </w:t>
      </w:r>
      <w:r w:rsidRPr="005E4CC6">
        <w:rPr>
          <w:rFonts w:eastAsia="MS Mincho"/>
          <w:lang w:eastAsia="ja-JP"/>
        </w:rPr>
        <w:t>In the future, it is foreseen that new demands, such as more traffic volume, many more devices with diverse service requirements, better quality of user experience (QoE) and better affordability by further reducing costs</w:t>
      </w:r>
      <w:r>
        <w:rPr>
          <w:rFonts w:hint="eastAsia"/>
          <w:lang w:eastAsia="ko-KR"/>
        </w:rPr>
        <w:t>, etc.</w:t>
      </w:r>
      <w:r w:rsidRPr="005E4CC6">
        <w:rPr>
          <w:rFonts w:eastAsia="MS Mincho"/>
          <w:lang w:eastAsia="ja-JP"/>
        </w:rPr>
        <w:t xml:space="preserve">, will require an increasing number of innovative solutions. </w:t>
      </w:r>
      <w:r w:rsidRPr="005E4CC6">
        <w:rPr>
          <w:rFonts w:eastAsia="MS Mincho" w:hint="eastAsia"/>
          <w:lang w:eastAsia="ja-JP"/>
        </w:rPr>
        <w:t>In addition, technological advancement and the corresponding user needs will promote innovation and accelerate the delivery of advanced communication applications to consumers. Recommendation ITU-R M.</w:t>
      </w:r>
      <w:r>
        <w:rPr>
          <w:rFonts w:hint="eastAsia"/>
          <w:lang w:eastAsia="ko-KR"/>
        </w:rPr>
        <w:t>2083</w:t>
      </w:r>
      <w:r w:rsidRPr="005E4CC6">
        <w:rPr>
          <w:rFonts w:eastAsia="MS Mincho" w:hint="eastAsia"/>
          <w:lang w:eastAsia="ja-JP"/>
        </w:rPr>
        <w:t xml:space="preserve"> </w:t>
      </w:r>
      <w:r>
        <w:rPr>
          <w:rFonts w:eastAsia="MS Mincho"/>
          <w:lang w:eastAsia="ja-JP"/>
        </w:rPr>
        <w:t>“</w:t>
      </w:r>
      <w:r w:rsidRPr="008F14E1">
        <w:rPr>
          <w:rFonts w:eastAsia="MS Mincho"/>
          <w:lang w:eastAsia="ja-JP"/>
        </w:rPr>
        <w:t>IMT Vision – Framework and overall objectives of the future development of</w:t>
      </w:r>
      <w:r>
        <w:rPr>
          <w:rFonts w:hint="eastAsia"/>
          <w:lang w:eastAsia="zh-CN"/>
        </w:rPr>
        <w:t xml:space="preserve"> </w:t>
      </w:r>
      <w:r w:rsidRPr="008F14E1">
        <w:rPr>
          <w:rFonts w:eastAsia="MS Mincho"/>
          <w:lang w:eastAsia="ja-JP"/>
        </w:rPr>
        <w:t>IMT for 2020 and beyond</w:t>
      </w:r>
      <w:r>
        <w:rPr>
          <w:rFonts w:eastAsia="MS Mincho"/>
          <w:lang w:eastAsia="ja-JP"/>
        </w:rPr>
        <w:t>”</w:t>
      </w:r>
      <w:r>
        <w:rPr>
          <w:rFonts w:eastAsia="MS Mincho" w:hint="eastAsia"/>
          <w:lang w:eastAsia="ja-JP"/>
        </w:rPr>
        <w:t xml:space="preserve"> </w:t>
      </w:r>
      <w:r w:rsidRPr="005E4CC6">
        <w:rPr>
          <w:rFonts w:eastAsia="MS Mincho" w:hint="eastAsia"/>
          <w:lang w:eastAsia="ja-JP"/>
        </w:rPr>
        <w:t>describes these potential user and application trends, growth in traffic, technological trends and spectrum implications. Also Report</w:t>
      </w:r>
      <w:r>
        <w:rPr>
          <w:rFonts w:eastAsia="MS Mincho" w:hint="eastAsia"/>
          <w:lang w:eastAsia="ja-JP"/>
        </w:rPr>
        <w:t>s</w:t>
      </w:r>
      <w:r w:rsidRPr="005E4CC6">
        <w:rPr>
          <w:rFonts w:eastAsia="MS Mincho" w:hint="eastAsia"/>
          <w:lang w:eastAsia="ja-JP"/>
        </w:rPr>
        <w:t xml:space="preserve"> ITU-R M.</w:t>
      </w:r>
      <w:r>
        <w:rPr>
          <w:rFonts w:hint="eastAsia"/>
          <w:lang w:eastAsia="ko-KR"/>
        </w:rPr>
        <w:t>2370</w:t>
      </w:r>
      <w:r w:rsidRPr="005E4CC6">
        <w:rPr>
          <w:rFonts w:eastAsia="MS Mincho" w:hint="eastAsia"/>
          <w:lang w:eastAsia="ja-JP"/>
        </w:rPr>
        <w:t xml:space="preserve"> </w:t>
      </w:r>
      <w:r>
        <w:rPr>
          <w:rFonts w:eastAsia="MS Mincho"/>
          <w:lang w:eastAsia="ja-JP"/>
        </w:rPr>
        <w:t>“</w:t>
      </w:r>
      <w:r w:rsidRPr="008F14E1">
        <w:rPr>
          <w:rFonts w:eastAsia="MS Mincho"/>
          <w:lang w:eastAsia="ja-JP"/>
        </w:rPr>
        <w:t>IMT Traffic estimates for the years 2020 to 2030</w:t>
      </w:r>
      <w:r>
        <w:rPr>
          <w:rFonts w:eastAsia="MS Mincho"/>
          <w:lang w:eastAsia="ja-JP"/>
        </w:rPr>
        <w:t>”</w:t>
      </w:r>
      <w:r>
        <w:rPr>
          <w:rFonts w:eastAsia="MS Mincho" w:hint="eastAsia"/>
          <w:lang w:eastAsia="ja-JP"/>
        </w:rPr>
        <w:t xml:space="preserve"> </w:t>
      </w:r>
      <w:r w:rsidRPr="005E4CC6">
        <w:rPr>
          <w:rFonts w:eastAsia="MS Mincho" w:hint="eastAsia"/>
          <w:lang w:eastAsia="ja-JP"/>
        </w:rPr>
        <w:t>and</w:t>
      </w:r>
      <w:r>
        <w:rPr>
          <w:rFonts w:eastAsia="MS Mincho"/>
          <w:lang w:eastAsia="ja-JP"/>
        </w:rPr>
        <w:t xml:space="preserve"> ITU-R </w:t>
      </w:r>
      <w:r w:rsidRPr="005E4CC6">
        <w:rPr>
          <w:rFonts w:eastAsia="MS Mincho" w:hint="eastAsia"/>
          <w:lang w:eastAsia="ja-JP"/>
        </w:rPr>
        <w:t>M.</w:t>
      </w:r>
      <w:r>
        <w:rPr>
          <w:rFonts w:hint="eastAsia"/>
          <w:lang w:eastAsia="ko-KR"/>
        </w:rPr>
        <w:t>2376</w:t>
      </w:r>
      <w:r w:rsidRPr="005E4CC6">
        <w:rPr>
          <w:rFonts w:eastAsia="MS Mincho" w:hint="eastAsia"/>
          <w:lang w:eastAsia="ja-JP"/>
        </w:rPr>
        <w:t xml:space="preserve"> </w:t>
      </w:r>
      <w:r>
        <w:rPr>
          <w:rFonts w:eastAsia="MS Mincho"/>
          <w:lang w:eastAsia="ja-JP"/>
        </w:rPr>
        <w:t>“</w:t>
      </w:r>
      <w:r w:rsidRPr="008F14E1">
        <w:rPr>
          <w:rFonts w:eastAsia="MS Mincho"/>
          <w:lang w:eastAsia="ja-JP"/>
        </w:rPr>
        <w:t>Technical feas</w:t>
      </w:r>
      <w:r>
        <w:rPr>
          <w:rFonts w:eastAsia="MS Mincho"/>
          <w:lang w:eastAsia="ja-JP"/>
        </w:rPr>
        <w:t>ibility of IMT in bands above 6 </w:t>
      </w:r>
      <w:r w:rsidRPr="008F14E1">
        <w:rPr>
          <w:rFonts w:eastAsia="MS Mincho"/>
          <w:lang w:eastAsia="ja-JP"/>
        </w:rPr>
        <w:t>GHz</w:t>
      </w:r>
      <w:r>
        <w:rPr>
          <w:rFonts w:eastAsia="MS Mincho"/>
          <w:lang w:eastAsia="ja-JP"/>
        </w:rPr>
        <w:t>”</w:t>
      </w:r>
      <w:r>
        <w:rPr>
          <w:rFonts w:eastAsia="MS Mincho" w:hint="eastAsia"/>
          <w:lang w:eastAsia="ja-JP"/>
        </w:rPr>
        <w:t xml:space="preserve"> </w:t>
      </w:r>
      <w:r w:rsidRPr="005E4CC6">
        <w:rPr>
          <w:rFonts w:eastAsia="MS Mincho" w:hint="eastAsia"/>
          <w:lang w:eastAsia="ja-JP"/>
        </w:rPr>
        <w:t>detail</w:t>
      </w:r>
      <w:r>
        <w:rPr>
          <w:rFonts w:eastAsia="MS Mincho"/>
          <w:lang w:eastAsia="ja-JP"/>
        </w:rPr>
        <w:t xml:space="preserve"> these expected trends and </w:t>
      </w:r>
      <w:r w:rsidRPr="005E4CC6">
        <w:rPr>
          <w:rFonts w:eastAsia="MS Mincho"/>
          <w:lang w:eastAsia="ja-JP"/>
        </w:rPr>
        <w:t>phenomen</w:t>
      </w:r>
      <w:r w:rsidRPr="005E4CC6">
        <w:rPr>
          <w:rFonts w:eastAsia="MS Mincho" w:hint="eastAsia"/>
          <w:lang w:eastAsia="ja-JP"/>
        </w:rPr>
        <w:t>a for</w:t>
      </w:r>
      <w:r>
        <w:rPr>
          <w:rFonts w:eastAsia="MS Mincho"/>
          <w:lang w:eastAsia="ja-JP"/>
        </w:rPr>
        <w:t xml:space="preserve"> IMT-2020</w:t>
      </w:r>
      <w:r w:rsidRPr="005E4CC6">
        <w:rPr>
          <w:rFonts w:eastAsia="MS Mincho" w:hint="eastAsia"/>
          <w:lang w:eastAsia="ja-JP"/>
        </w:rPr>
        <w:t>.</w:t>
      </w:r>
    </w:p>
    <w:p w:rsidR="00C1192F" w:rsidRPr="00AF4AC9" w:rsidRDefault="00C1192F" w:rsidP="00C1192F">
      <w:pPr>
        <w:rPr>
          <w:lang w:eastAsia="zh-CN"/>
        </w:rPr>
      </w:pPr>
      <w:r>
        <w:rPr>
          <w:rFonts w:hint="eastAsia"/>
          <w:lang w:eastAsia="ko-KR"/>
        </w:rPr>
        <w:t>IMT-2020</w:t>
      </w:r>
      <w:r w:rsidRPr="00AF4AC9">
        <w:rPr>
          <w:lang w:eastAsia="zh-CN"/>
        </w:rPr>
        <w:t xml:space="preserve"> systems will encompass a large number of different features. Depending on the circumstances and the different needs in different countries, future IMT systems should be designed in a highly modular manner so that not all features have to be implemented in all networks. </w:t>
      </w:r>
    </w:p>
    <w:p w:rsidR="00C1192F" w:rsidRPr="00AF4AC9" w:rsidRDefault="00C1192F" w:rsidP="00C1192F">
      <w:pPr>
        <w:rPr>
          <w:lang w:eastAsia="ja-JP"/>
        </w:rPr>
      </w:pPr>
      <w:r>
        <w:rPr>
          <w:rFonts w:hint="eastAsia"/>
          <w:color w:val="000000"/>
          <w:szCs w:val="24"/>
          <w:lang w:eastAsia="ko-KR"/>
        </w:rPr>
        <w:lastRenderedPageBreak/>
        <w:t xml:space="preserve">In order to </w:t>
      </w:r>
      <w:r>
        <w:rPr>
          <w:color w:val="000000"/>
          <w:szCs w:val="24"/>
          <w:lang w:eastAsia="ko-KR"/>
        </w:rPr>
        <w:t>fulfil</w:t>
      </w:r>
      <w:r>
        <w:rPr>
          <w:rFonts w:hint="eastAsia"/>
          <w:color w:val="000000"/>
          <w:szCs w:val="24"/>
          <w:lang w:eastAsia="ko-KR"/>
        </w:rPr>
        <w:t xml:space="preserve"> these varied demands, </w:t>
      </w:r>
      <w:r w:rsidRPr="00AF4AC9">
        <w:rPr>
          <w:color w:val="000000"/>
          <w:szCs w:val="24"/>
          <w:lang w:eastAsia="ja-JP"/>
        </w:rPr>
        <w:t>IMT</w:t>
      </w:r>
      <w:r>
        <w:rPr>
          <w:rFonts w:hint="eastAsia"/>
          <w:color w:val="000000"/>
          <w:szCs w:val="24"/>
          <w:lang w:eastAsia="ko-KR"/>
        </w:rPr>
        <w:t>-2020</w:t>
      </w:r>
      <w:r w:rsidRPr="00AF4AC9">
        <w:rPr>
          <w:color w:val="000000"/>
          <w:szCs w:val="24"/>
          <w:lang w:eastAsia="ja-JP"/>
        </w:rPr>
        <w:t xml:space="preserve"> is envisaged to expand and support diverse usage scenarios and applications</w:t>
      </w:r>
      <w:r w:rsidRPr="00AF4AC9">
        <w:rPr>
          <w:szCs w:val="24"/>
        </w:rPr>
        <w:t xml:space="preserve"> that will continue beyond the current IMT</w:t>
      </w:r>
      <w:r w:rsidRPr="00AF4AC9">
        <w:rPr>
          <w:color w:val="000000"/>
          <w:szCs w:val="24"/>
          <w:lang w:eastAsia="ja-JP"/>
        </w:rPr>
        <w:t xml:space="preserve">. </w:t>
      </w:r>
      <w:r w:rsidRPr="00AF4AC9">
        <w:rPr>
          <w:szCs w:val="24"/>
        </w:rPr>
        <w:t>Furthermore, a broad variety of capabilities would be tightly coupled with these intended different usage scenarios and applications for</w:t>
      </w:r>
      <w:r>
        <w:rPr>
          <w:szCs w:val="24"/>
        </w:rPr>
        <w:t xml:space="preserve"> </w:t>
      </w:r>
      <w:r>
        <w:rPr>
          <w:rFonts w:eastAsia="MS Mincho" w:hint="eastAsia"/>
          <w:szCs w:val="24"/>
          <w:lang w:eastAsia="ja-JP"/>
        </w:rPr>
        <w:t>IMT-2020</w:t>
      </w:r>
      <w:r w:rsidRPr="00AF4AC9">
        <w:rPr>
          <w:szCs w:val="24"/>
        </w:rPr>
        <w:t>.</w:t>
      </w:r>
      <w:r w:rsidRPr="008F14E1">
        <w:t xml:space="preserve"> </w:t>
      </w:r>
      <w:r w:rsidRPr="008F14E1">
        <w:rPr>
          <w:color w:val="000000"/>
          <w:szCs w:val="24"/>
          <w:lang w:eastAsia="ko-KR"/>
        </w:rPr>
        <w:t xml:space="preserve">Figure </w:t>
      </w:r>
      <w:r>
        <w:rPr>
          <w:rFonts w:eastAsia="MS Mincho" w:hint="eastAsia"/>
          <w:color w:val="000000"/>
          <w:szCs w:val="24"/>
          <w:lang w:eastAsia="ja-JP"/>
        </w:rPr>
        <w:t>1</w:t>
      </w:r>
      <w:r w:rsidRPr="008F14E1">
        <w:rPr>
          <w:color w:val="000000"/>
          <w:szCs w:val="24"/>
          <w:lang w:eastAsia="ko-KR"/>
        </w:rPr>
        <w:t xml:space="preserve"> illustrates some examples of envisioned usage scenarios for IMT</w:t>
      </w:r>
      <w:r>
        <w:rPr>
          <w:rFonts w:eastAsia="MS Mincho" w:hint="eastAsia"/>
          <w:color w:val="000000"/>
          <w:szCs w:val="24"/>
          <w:lang w:eastAsia="ja-JP"/>
        </w:rPr>
        <w:t>-2020</w:t>
      </w:r>
      <w:r w:rsidRPr="001078A9">
        <w:rPr>
          <w:rFonts w:eastAsia="MS Mincho"/>
          <w:color w:val="000000"/>
          <w:szCs w:val="24"/>
          <w:lang w:eastAsia="ja-JP"/>
        </w:rPr>
        <w:t xml:space="preserve"> </w:t>
      </w:r>
      <w:r>
        <w:rPr>
          <w:rFonts w:eastAsia="MS Mincho"/>
          <w:color w:val="000000"/>
          <w:szCs w:val="24"/>
          <w:lang w:eastAsia="ja-JP"/>
        </w:rPr>
        <w:t>identified in Recommendation ITU-R M.2083</w:t>
      </w:r>
      <w:r w:rsidRPr="008F14E1">
        <w:rPr>
          <w:color w:val="000000"/>
          <w:szCs w:val="24"/>
          <w:lang w:eastAsia="ko-KR"/>
        </w:rPr>
        <w:t>.</w:t>
      </w:r>
    </w:p>
    <w:p w:rsidR="00C1192F" w:rsidRPr="00AF4AC9" w:rsidRDefault="00C1192F" w:rsidP="00C1192F">
      <w:pPr>
        <w:pStyle w:val="FigureNo"/>
        <w:rPr>
          <w:rFonts w:eastAsia="HYSinMyeongJo-Medium"/>
          <w:lang w:eastAsia="ko-KR"/>
        </w:rPr>
      </w:pPr>
      <w:r w:rsidRPr="00AF4AC9">
        <w:rPr>
          <w:rFonts w:eastAsia="HYSinMyeongJo-Medium"/>
          <w:lang w:eastAsia="ko-KR"/>
        </w:rPr>
        <w:t xml:space="preserve">Figure </w:t>
      </w:r>
      <w:r>
        <w:rPr>
          <w:rFonts w:hint="eastAsia"/>
          <w:lang w:eastAsia="ko-KR"/>
        </w:rPr>
        <w:t>1</w:t>
      </w:r>
    </w:p>
    <w:p w:rsidR="00C1192F" w:rsidRPr="008F14E1" w:rsidRDefault="00C1192F" w:rsidP="00C1192F">
      <w:pPr>
        <w:pStyle w:val="Figuretitle"/>
        <w:rPr>
          <w:rFonts w:eastAsia="MS Mincho"/>
          <w:lang w:eastAsia="ja-JP"/>
        </w:rPr>
      </w:pPr>
      <w:r w:rsidRPr="00AF4AC9">
        <w:rPr>
          <w:lang w:eastAsia="ko-KR"/>
        </w:rPr>
        <w:t xml:space="preserve">Usage </w:t>
      </w:r>
      <w:r>
        <w:rPr>
          <w:lang w:eastAsia="ko-KR"/>
        </w:rPr>
        <w:t>s</w:t>
      </w:r>
      <w:r w:rsidRPr="00AF4AC9">
        <w:rPr>
          <w:lang w:eastAsia="ko-KR"/>
        </w:rPr>
        <w:t xml:space="preserve">cenarios </w:t>
      </w:r>
      <w:r w:rsidRPr="00AF4AC9">
        <w:t xml:space="preserve">of </w:t>
      </w:r>
      <w:r w:rsidRPr="00AF4AC9">
        <w:rPr>
          <w:lang w:eastAsia="ko-KR"/>
        </w:rPr>
        <w:t>IMT</w:t>
      </w:r>
      <w:r>
        <w:rPr>
          <w:rFonts w:eastAsia="MS Mincho" w:hint="eastAsia"/>
          <w:lang w:eastAsia="ja-JP"/>
        </w:rPr>
        <w:t>-2020</w:t>
      </w:r>
    </w:p>
    <w:p w:rsidR="00C1192F" w:rsidRPr="001F26F0" w:rsidRDefault="00C1192F" w:rsidP="00C1192F">
      <w:pPr>
        <w:pStyle w:val="Figure"/>
        <w:rPr>
          <w:lang w:eastAsia="zh-CN"/>
        </w:rPr>
      </w:pPr>
      <w:r>
        <w:object w:dxaOrig="5063" w:dyaOrig="3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pt;height:249.5pt" o:ole="">
            <v:imagedata r:id="rId8" o:title=""/>
          </v:shape>
          <o:OLEObject Type="Embed" ProgID="CorelDRAW.Graphic.14" ShapeID="_x0000_i1025" DrawAspect="Content" ObjectID="_1528714800" r:id="rId9"/>
        </w:object>
      </w:r>
    </w:p>
    <w:p w:rsidR="00C1192F" w:rsidRPr="00467515" w:rsidRDefault="00C1192F" w:rsidP="00C1192F">
      <w:pPr>
        <w:pStyle w:val="Heading1"/>
      </w:pPr>
      <w:r>
        <w:rPr>
          <w:rFonts w:hint="eastAsia"/>
          <w:lang w:eastAsia="zh-CN"/>
        </w:rPr>
        <w:t>3</w:t>
      </w:r>
      <w:r w:rsidRPr="00467515">
        <w:tab/>
      </w:r>
      <w:r>
        <w:rPr>
          <w:rFonts w:hint="eastAsia"/>
          <w:lang w:eastAsia="zh-CN"/>
        </w:rPr>
        <w:t>C</w:t>
      </w:r>
      <w:r w:rsidRPr="00467515">
        <w:rPr>
          <w:rFonts w:hint="eastAsia"/>
        </w:rPr>
        <w:t>apabilities</w:t>
      </w:r>
      <w:r w:rsidRPr="00467515">
        <w:t xml:space="preserve"> of IMT-</w:t>
      </w:r>
      <w:r w:rsidRPr="00467515">
        <w:rPr>
          <w:rFonts w:hint="eastAsia"/>
        </w:rPr>
        <w:t>2020</w:t>
      </w:r>
    </w:p>
    <w:p w:rsidR="00C1192F" w:rsidRPr="00742068" w:rsidRDefault="00C1192F" w:rsidP="00C1192F">
      <w:pPr>
        <w:tabs>
          <w:tab w:val="clear" w:pos="1134"/>
          <w:tab w:val="clear" w:pos="1871"/>
          <w:tab w:val="clear" w:pos="2268"/>
          <w:tab w:val="left" w:pos="794"/>
          <w:tab w:val="left" w:pos="1191"/>
          <w:tab w:val="left" w:pos="1588"/>
          <w:tab w:val="left" w:pos="1985"/>
        </w:tabs>
        <w:rPr>
          <w:lang w:eastAsia="zh-CN"/>
        </w:rPr>
      </w:pPr>
      <w:r w:rsidRPr="00167B21">
        <w:t xml:space="preserve">IMT-2020 systems are mobile systems that include the new capabilities of IMT that go beyond those of IMT-Advanced. IMT-2020 systems support low to high mobility applications and </w:t>
      </w:r>
      <w:r w:rsidRPr="00167B21">
        <w:rPr>
          <w:color w:val="000000"/>
        </w:rPr>
        <w:t xml:space="preserve">a wide range of data rates in accordance with user and service demands </w:t>
      </w:r>
      <w:r w:rsidRPr="00167B21">
        <w:t>in multiple user environments</w:t>
      </w:r>
      <w:r w:rsidRPr="00167B21">
        <w:rPr>
          <w:lang w:eastAsia="ja-JP"/>
        </w:rPr>
        <w:t>.</w:t>
      </w:r>
      <w:r w:rsidRPr="00167B21">
        <w:t xml:space="preserve"> IMT</w:t>
      </w:r>
      <w:r w:rsidRPr="00167B21">
        <w:noBreakHyphen/>
        <w:t xml:space="preserve">2020 also </w:t>
      </w:r>
      <w:r w:rsidRPr="00167B21">
        <w:rPr>
          <w:lang w:eastAsia="ja-JP"/>
        </w:rPr>
        <w:t>has capabilities for high quality multimedia applications within a wide range of services and platforms,</w:t>
      </w:r>
      <w:r w:rsidRPr="00167B21">
        <w:t xml:space="preserve"> providing a significant improvement in performance and quality of service</w:t>
      </w:r>
      <w:r w:rsidRPr="00167B21">
        <w:rPr>
          <w:lang w:eastAsia="ja-JP"/>
        </w:rPr>
        <w:t>.</w:t>
      </w:r>
    </w:p>
    <w:p w:rsidR="00C1192F" w:rsidRDefault="00C1192F" w:rsidP="00C1192F">
      <w:pPr>
        <w:rPr>
          <w:lang w:eastAsia="zh-CN"/>
        </w:rPr>
      </w:pPr>
      <w:r w:rsidRPr="00AF4AC9">
        <w:rPr>
          <w:rFonts w:eastAsia="HYSinMyeongJo-Medium"/>
          <w:szCs w:val="24"/>
          <w:lang w:eastAsia="ko-KR"/>
        </w:rPr>
        <w:t xml:space="preserve">A broad variety of capabilities, tightly coupled with intended usage scenarios and applications for IMT-2020 is envisioned. </w:t>
      </w:r>
      <w:r w:rsidRPr="00AF4AC9">
        <w:rPr>
          <w:rFonts w:eastAsia="HYSinMyeongJo-Medium"/>
          <w:lang w:eastAsia="ko-KR"/>
        </w:rPr>
        <w:t xml:space="preserve">Different usage scenarios </w:t>
      </w:r>
      <w:r w:rsidRPr="00AF4AC9">
        <w:rPr>
          <w:rFonts w:eastAsia="SimSun"/>
          <w:lang w:eastAsia="zh-CN"/>
        </w:rPr>
        <w:t xml:space="preserve">along with the </w:t>
      </w:r>
      <w:r w:rsidRPr="00AF4AC9">
        <w:rPr>
          <w:rFonts w:eastAsia="SimSun"/>
          <w:lang w:eastAsia="ko-KR"/>
        </w:rPr>
        <w:t xml:space="preserve">current and future </w:t>
      </w:r>
      <w:r w:rsidRPr="00AF4AC9">
        <w:rPr>
          <w:rFonts w:eastAsia="SimSun"/>
          <w:lang w:eastAsia="zh-CN"/>
        </w:rPr>
        <w:t>trend</w:t>
      </w:r>
      <w:r w:rsidRPr="00AF4AC9">
        <w:rPr>
          <w:rFonts w:eastAsia="SimSun"/>
          <w:lang w:eastAsia="ko-KR"/>
        </w:rPr>
        <w:t>s</w:t>
      </w:r>
      <w:r w:rsidRPr="00AF4AC9">
        <w:rPr>
          <w:rFonts w:eastAsia="SimSun"/>
          <w:lang w:eastAsia="zh-CN"/>
        </w:rPr>
        <w:t xml:space="preserve"> </w:t>
      </w:r>
      <w:r w:rsidRPr="00AF4AC9">
        <w:rPr>
          <w:rFonts w:eastAsia="HYSinMyeongJo-Medium"/>
          <w:lang w:eastAsia="ko-KR"/>
        </w:rPr>
        <w:t>will result in a great diversity/variety of requirements. The key design principles are flexibility and diversity to serve many different use cases and scenarios, for which the capabilities of IMT-2020, described in the following paragraphs, will have different relevance and applicability.</w:t>
      </w:r>
      <w:r w:rsidRPr="00AF4AC9">
        <w:rPr>
          <w:rFonts w:eastAsia="SimSun"/>
          <w:lang w:eastAsia="zh-CN"/>
        </w:rPr>
        <w:t xml:space="preserve"> In addition, </w:t>
      </w:r>
      <w:r w:rsidRPr="00AF4AC9">
        <w:rPr>
          <w:rFonts w:eastAsia="SimSun"/>
          <w:lang w:eastAsia="ko-KR"/>
        </w:rPr>
        <w:t>t</w:t>
      </w:r>
      <w:r w:rsidRPr="00AF4AC9">
        <w:rPr>
          <w:rFonts w:eastAsia="SimSun"/>
          <w:lang w:eastAsia="zh-CN"/>
        </w:rPr>
        <w:t>he constraint</w:t>
      </w:r>
      <w:r w:rsidRPr="00AF4AC9">
        <w:rPr>
          <w:rFonts w:eastAsia="SimSun"/>
          <w:lang w:eastAsia="ko-KR"/>
        </w:rPr>
        <w:t>s</w:t>
      </w:r>
      <w:r w:rsidRPr="00AF4AC9">
        <w:rPr>
          <w:rFonts w:eastAsia="SimSun"/>
          <w:lang w:eastAsia="zh-CN"/>
        </w:rPr>
        <w:t xml:space="preserve"> on network energy consumption and the spectrum resource </w:t>
      </w:r>
      <w:r w:rsidRPr="00AF4AC9">
        <w:rPr>
          <w:rFonts w:eastAsia="SimSun"/>
          <w:lang w:eastAsia="ko-KR"/>
        </w:rPr>
        <w:t xml:space="preserve">will </w:t>
      </w:r>
      <w:r w:rsidRPr="00AF4AC9">
        <w:rPr>
          <w:rFonts w:eastAsia="SimSun"/>
          <w:lang w:eastAsia="zh-CN"/>
        </w:rPr>
        <w:t>need to be considered</w:t>
      </w:r>
      <w:r w:rsidRPr="00AF4AC9">
        <w:rPr>
          <w:rFonts w:eastAsia="SimSun"/>
          <w:lang w:eastAsia="ko-KR"/>
        </w:rPr>
        <w:t>.</w:t>
      </w:r>
    </w:p>
    <w:p w:rsidR="00C1192F" w:rsidRPr="00AF4AC9" w:rsidRDefault="00C1192F" w:rsidP="00C1192F">
      <w:pPr>
        <w:rPr>
          <w:lang w:eastAsia="zh-CN"/>
        </w:rPr>
      </w:pPr>
      <w:r>
        <w:t xml:space="preserve">As indicated in Recommendation ITU-R M.2083, </w:t>
      </w:r>
      <w:r>
        <w:rPr>
          <w:rFonts w:hint="eastAsia"/>
          <w:lang w:eastAsia="zh-CN"/>
        </w:rPr>
        <w:t>t</w:t>
      </w:r>
      <w:r w:rsidRPr="00AF4AC9">
        <w:t>he following eight parameters are considered to be key capabilities of IMT-2020:</w:t>
      </w:r>
    </w:p>
    <w:p w:rsidR="00C1192F" w:rsidRPr="00EA4CB3" w:rsidRDefault="00C1192F" w:rsidP="00C1192F">
      <w:pPr>
        <w:pStyle w:val="Headingb"/>
        <w:rPr>
          <w:lang w:val="en-US"/>
        </w:rPr>
      </w:pPr>
      <w:r w:rsidRPr="00EA4CB3">
        <w:rPr>
          <w:rFonts w:hint="eastAsia"/>
          <w:lang w:val="en-US"/>
        </w:rPr>
        <w:t>P</w:t>
      </w:r>
      <w:r w:rsidRPr="00EA4CB3">
        <w:rPr>
          <w:lang w:val="en-US"/>
        </w:rPr>
        <w:t>eak data rate</w:t>
      </w:r>
    </w:p>
    <w:p w:rsidR="00C1192F" w:rsidRPr="00AF4AC9" w:rsidRDefault="00C1192F" w:rsidP="00C1192F">
      <w:pPr>
        <w:rPr>
          <w:b/>
        </w:rPr>
      </w:pPr>
      <w:r w:rsidRPr="00AF4AC9">
        <w:t>Maximum achievable data rate under ideal conditions per user/device (in Gbit/s</w:t>
      </w:r>
      <w:r w:rsidRPr="00AF4AC9">
        <w:rPr>
          <w:bCs/>
        </w:rPr>
        <w:t>).</w:t>
      </w:r>
    </w:p>
    <w:p w:rsidR="00947D8D" w:rsidRDefault="00947D8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C1192F" w:rsidRPr="005746C4" w:rsidRDefault="00C1192F" w:rsidP="00C1192F">
      <w:pPr>
        <w:pStyle w:val="Headingb"/>
        <w:rPr>
          <w:lang w:val="en-GB" w:eastAsia="zh-CN"/>
        </w:rPr>
      </w:pPr>
      <w:r w:rsidRPr="00AF4AC9">
        <w:rPr>
          <w:lang w:val="en-GB"/>
        </w:rPr>
        <w:lastRenderedPageBreak/>
        <w:t>User experienced data rate</w:t>
      </w:r>
    </w:p>
    <w:p w:rsidR="00C1192F" w:rsidRPr="00AF4AC9" w:rsidRDefault="00C1192F" w:rsidP="00C1192F">
      <w:pPr>
        <w:rPr>
          <w:rFonts w:eastAsia="Malgun Gothic"/>
          <w:lang w:eastAsia="ko-KR"/>
        </w:rPr>
      </w:pPr>
      <w:r w:rsidRPr="00AF4AC9">
        <w:rPr>
          <w:rFonts w:eastAsia="Malgun Gothic"/>
        </w:rPr>
        <w:t>Achievable data rate that is available ubiquitously</w:t>
      </w:r>
      <w:r w:rsidRPr="00AF4AC9">
        <w:rPr>
          <w:rStyle w:val="FootnoteReference"/>
          <w:rFonts w:eastAsia="Malgun Gothic"/>
        </w:rPr>
        <w:footnoteReference w:id="1"/>
      </w:r>
      <w:r w:rsidRPr="00AF4AC9">
        <w:rPr>
          <w:rFonts w:eastAsia="Malgun Gothic"/>
        </w:rPr>
        <w:t xml:space="preserve"> across the coverage area to a mobile user/device </w:t>
      </w:r>
      <w:r w:rsidRPr="00AF4AC9">
        <w:rPr>
          <w:rFonts w:eastAsia="Malgun Gothic"/>
          <w:lang w:eastAsia="ko-KR"/>
        </w:rPr>
        <w:t>(in Mbit/s or Gbit/s)</w:t>
      </w:r>
      <w:r w:rsidRPr="00AF4AC9">
        <w:rPr>
          <w:rFonts w:eastAsia="Malgun Gothic"/>
        </w:rPr>
        <w:t xml:space="preserve">. </w:t>
      </w:r>
    </w:p>
    <w:p w:rsidR="00C1192F" w:rsidRPr="00AF4AC9" w:rsidRDefault="00C1192F" w:rsidP="00C1192F">
      <w:pPr>
        <w:pStyle w:val="Headingb"/>
        <w:rPr>
          <w:lang w:val="en-GB" w:eastAsia="zh-CN"/>
        </w:rPr>
      </w:pPr>
      <w:r w:rsidRPr="00AF4AC9">
        <w:rPr>
          <w:lang w:val="en-GB"/>
        </w:rPr>
        <w:t>Latency</w:t>
      </w:r>
    </w:p>
    <w:p w:rsidR="00C1192F" w:rsidRPr="00AF4AC9" w:rsidRDefault="00C1192F" w:rsidP="00C1192F">
      <w:r w:rsidRPr="00AF4AC9">
        <w:t>The contribution by the radio network to the time from when the source sends a packet to when the destination receives it (in ms).</w:t>
      </w:r>
    </w:p>
    <w:p w:rsidR="00C1192F" w:rsidRPr="00AF4AC9" w:rsidRDefault="00C1192F" w:rsidP="00C1192F">
      <w:pPr>
        <w:pStyle w:val="Headingb"/>
        <w:rPr>
          <w:lang w:val="en-GB" w:eastAsia="zh-CN"/>
        </w:rPr>
      </w:pPr>
      <w:r w:rsidRPr="00AF4AC9">
        <w:rPr>
          <w:lang w:val="en-GB"/>
        </w:rPr>
        <w:t>Mobility</w:t>
      </w:r>
    </w:p>
    <w:p w:rsidR="00C1192F" w:rsidRPr="00AF4AC9" w:rsidRDefault="00C1192F" w:rsidP="00C1192F">
      <w:pPr>
        <w:rPr>
          <w:sz w:val="20"/>
        </w:rPr>
      </w:pPr>
      <w:r w:rsidRPr="00AF4AC9">
        <w:t>Maximum speed at which a defined QoS</w:t>
      </w:r>
      <w:bookmarkStart w:id="9" w:name="_GoBack"/>
      <w:bookmarkEnd w:id="9"/>
      <w:r w:rsidRPr="00AF4AC9">
        <w:t xml:space="preserve"> and seamless transfer between radio nodes which may belong to different layers and/or radio access technologies (multi-layer/-RAT) can be achieved (in km/h).</w:t>
      </w:r>
    </w:p>
    <w:p w:rsidR="00C1192F" w:rsidRPr="00381D0A" w:rsidRDefault="00C1192F" w:rsidP="00C1192F">
      <w:pPr>
        <w:pStyle w:val="Headingb"/>
        <w:rPr>
          <w:lang w:val="en-GB" w:eastAsia="zh-CN"/>
        </w:rPr>
      </w:pPr>
      <w:r w:rsidRPr="00AF4AC9">
        <w:rPr>
          <w:rFonts w:eastAsia="Malgun Gothic"/>
          <w:lang w:val="en-GB"/>
        </w:rPr>
        <w:t>Connection density</w:t>
      </w:r>
    </w:p>
    <w:p w:rsidR="00C1192F" w:rsidRPr="00AF4AC9" w:rsidRDefault="00C1192F" w:rsidP="00C1192F">
      <w:pPr>
        <w:rPr>
          <w:rFonts w:eastAsia="Malgun Gothic"/>
          <w:b/>
          <w:bCs/>
          <w:color w:val="000000"/>
        </w:rPr>
      </w:pPr>
      <w:r w:rsidRPr="00AF4AC9">
        <w:t xml:space="preserve">Total number of connected and/or accessible devices per unit area </w:t>
      </w:r>
      <w:r w:rsidRPr="00AF4AC9">
        <w:rPr>
          <w:sz w:val="20"/>
        </w:rPr>
        <w:t>(</w:t>
      </w:r>
      <w:r w:rsidRPr="00AF4AC9">
        <w:t>per km</w:t>
      </w:r>
      <w:r w:rsidRPr="00AF4AC9">
        <w:rPr>
          <w:vertAlign w:val="superscript"/>
        </w:rPr>
        <w:t>2</w:t>
      </w:r>
      <w:r>
        <w:t>).</w:t>
      </w:r>
    </w:p>
    <w:p w:rsidR="00C1192F" w:rsidRPr="00AF4AC9" w:rsidRDefault="00C1192F" w:rsidP="00C1192F">
      <w:pPr>
        <w:pStyle w:val="Headingb"/>
        <w:rPr>
          <w:lang w:val="en-GB" w:eastAsia="zh-CN"/>
        </w:rPr>
      </w:pPr>
      <w:r w:rsidRPr="00AF4AC9">
        <w:rPr>
          <w:lang w:val="en-GB"/>
        </w:rPr>
        <w:t>Energy efficiency</w:t>
      </w:r>
    </w:p>
    <w:p w:rsidR="00C1192F" w:rsidRPr="00AF4AC9" w:rsidRDefault="00C1192F" w:rsidP="00C1192F">
      <w:r w:rsidRPr="00AF4AC9">
        <w:t>Energy efficiency has two aspects:</w:t>
      </w:r>
    </w:p>
    <w:p w:rsidR="00C1192F" w:rsidRPr="00AF4AC9" w:rsidRDefault="00C1192F" w:rsidP="00C1192F">
      <w:pPr>
        <w:pStyle w:val="enumlev1"/>
      </w:pPr>
      <w:r w:rsidRPr="00AF4AC9">
        <w:rPr>
          <w:lang w:eastAsia="zh-CN"/>
        </w:rPr>
        <w:t>–</w:t>
      </w:r>
      <w:r w:rsidRPr="00AF4AC9">
        <w:rPr>
          <w:lang w:eastAsia="zh-CN"/>
        </w:rPr>
        <w:tab/>
        <w:t xml:space="preserve">on the network side, energy efficiency refers to </w:t>
      </w:r>
      <w:r w:rsidRPr="00AF4AC9">
        <w:t>the quantity of information bits transmitted to/ received from users</w:t>
      </w:r>
      <w:r w:rsidRPr="00AF4AC9">
        <w:rPr>
          <w:lang w:eastAsia="zh-CN"/>
        </w:rPr>
        <w:t>,</w:t>
      </w:r>
      <w:r w:rsidRPr="00AF4AC9">
        <w:t xml:space="preserve"> per unit of energy consumption of the radio access network (RAN) (in bit/Joule);</w:t>
      </w:r>
    </w:p>
    <w:p w:rsidR="00C1192F" w:rsidRPr="00AF4AC9" w:rsidRDefault="00C1192F" w:rsidP="00C1192F">
      <w:pPr>
        <w:pStyle w:val="enumlev1"/>
        <w:rPr>
          <w:rFonts w:eastAsia="Malgun Gothic"/>
          <w:b/>
          <w:bCs/>
          <w:color w:val="000000"/>
        </w:rPr>
      </w:pPr>
      <w:r w:rsidRPr="00AF4AC9">
        <w:rPr>
          <w:lang w:eastAsia="zh-CN"/>
        </w:rPr>
        <w:t>–</w:t>
      </w:r>
      <w:r w:rsidRPr="00AF4AC9">
        <w:rPr>
          <w:lang w:eastAsia="zh-CN"/>
        </w:rPr>
        <w:tab/>
        <w:t>on the device side, energy efficiency refers to quantity of information bits per unit of energy consumption of the communication module (in bit/Joule).</w:t>
      </w:r>
    </w:p>
    <w:p w:rsidR="00C1192F" w:rsidRPr="00AF4AC9" w:rsidRDefault="00C1192F" w:rsidP="00C1192F">
      <w:pPr>
        <w:pStyle w:val="Headingb"/>
        <w:rPr>
          <w:lang w:val="en-GB" w:eastAsia="zh-CN"/>
        </w:rPr>
      </w:pPr>
      <w:bookmarkStart w:id="10" w:name="_Toc427831633"/>
      <w:bookmarkStart w:id="11" w:name="_Toc427831987"/>
      <w:r w:rsidRPr="00AF4AC9">
        <w:rPr>
          <w:lang w:val="en-GB"/>
        </w:rPr>
        <w:t>Spectrum efficiency</w:t>
      </w:r>
      <w:bookmarkEnd w:id="10"/>
      <w:bookmarkEnd w:id="11"/>
    </w:p>
    <w:p w:rsidR="00C1192F" w:rsidRPr="00AF4AC9" w:rsidRDefault="00C1192F" w:rsidP="00C1192F">
      <w:pPr>
        <w:overflowPunct/>
        <w:autoSpaceDE/>
        <w:autoSpaceDN/>
        <w:adjustRightInd/>
        <w:spacing w:line="276" w:lineRule="auto"/>
        <w:contextualSpacing/>
        <w:textAlignment w:val="auto"/>
        <w:rPr>
          <w:lang w:eastAsia="zh-CN"/>
        </w:rPr>
      </w:pPr>
      <w:r w:rsidRPr="00AF4AC9">
        <w:rPr>
          <w:lang w:eastAsia="zh-CN"/>
        </w:rPr>
        <w:t>Average data throughput per unit of spectrum resource and per cell</w:t>
      </w:r>
      <w:r w:rsidRPr="00AF4AC9">
        <w:rPr>
          <w:position w:val="6"/>
          <w:sz w:val="18"/>
          <w:lang w:eastAsia="zh-CN"/>
        </w:rPr>
        <w:footnoteReference w:id="2"/>
      </w:r>
      <w:r w:rsidRPr="00AF4AC9">
        <w:rPr>
          <w:lang w:eastAsia="zh-CN"/>
        </w:rPr>
        <w:t xml:space="preserve"> (bit/s/Hz). </w:t>
      </w:r>
    </w:p>
    <w:p w:rsidR="00C1192F" w:rsidRPr="00AF4AC9" w:rsidRDefault="00C1192F" w:rsidP="00C1192F">
      <w:pPr>
        <w:pStyle w:val="Headingb"/>
        <w:rPr>
          <w:lang w:val="en-GB" w:eastAsia="zh-CN"/>
        </w:rPr>
      </w:pPr>
      <w:r w:rsidRPr="00AF4AC9">
        <w:rPr>
          <w:lang w:val="en-GB"/>
        </w:rPr>
        <w:t>Area traffic capacity</w:t>
      </w:r>
    </w:p>
    <w:p w:rsidR="00C1192F" w:rsidRDefault="00C1192F" w:rsidP="00C1192F">
      <w:pPr>
        <w:rPr>
          <w:lang w:eastAsia="zh-CN"/>
        </w:rPr>
      </w:pPr>
      <w:r w:rsidRPr="00AF4AC9">
        <w:rPr>
          <w:lang w:eastAsia="zh-CN"/>
        </w:rPr>
        <w:t>Total traffic throughput served per geographic area (in Mbit/s/m</w:t>
      </w:r>
      <w:r w:rsidRPr="00AF4AC9">
        <w:rPr>
          <w:vertAlign w:val="superscript"/>
          <w:lang w:eastAsia="zh-CN"/>
        </w:rPr>
        <w:t>2</w:t>
      </w:r>
      <w:r w:rsidRPr="00AF4AC9">
        <w:rPr>
          <w:lang w:eastAsia="zh-CN"/>
        </w:rPr>
        <w:t>).</w:t>
      </w:r>
    </w:p>
    <w:p w:rsidR="00C1192F" w:rsidRDefault="00C1192F" w:rsidP="00C1192F">
      <w:pPr>
        <w:rPr>
          <w:lang w:eastAsia="zh-CN"/>
        </w:rPr>
      </w:pPr>
      <w:r w:rsidRPr="00AF4AC9">
        <w:rPr>
          <w:rFonts w:eastAsia="MS Mincho"/>
          <w:lang w:eastAsia="ja-JP"/>
        </w:rPr>
        <w:t xml:space="preserve">IMT-2020 is expected to provide a user experience matching, as far as possible, fixed networks. The enhancement will be realized by increased peak and </w:t>
      </w:r>
      <w:r w:rsidRPr="00AF4AC9">
        <w:rPr>
          <w:rFonts w:eastAsia="SimSun"/>
          <w:lang w:eastAsia="ko-KR"/>
        </w:rPr>
        <w:t xml:space="preserve">user experienced </w:t>
      </w:r>
      <w:r w:rsidRPr="00AF4AC9">
        <w:rPr>
          <w:rFonts w:eastAsia="MS Mincho"/>
          <w:lang w:eastAsia="ja-JP"/>
        </w:rPr>
        <w:t>data rate, enhanced spectrum efficiency, reduced latency and enhanced mobility support.</w:t>
      </w:r>
    </w:p>
    <w:p w:rsidR="00C1192F" w:rsidRDefault="00C1192F" w:rsidP="00C1192F">
      <w:pPr>
        <w:rPr>
          <w:lang w:eastAsia="zh-CN"/>
        </w:rPr>
      </w:pPr>
      <w:r w:rsidRPr="00AF4AC9">
        <w:rPr>
          <w:rFonts w:eastAsia="MS Mincho"/>
          <w:lang w:eastAsia="ja-JP"/>
        </w:rPr>
        <w:t>In addition to the conventional human-to-human or human-to-machine communication, IMT</w:t>
      </w:r>
      <w:r w:rsidRPr="00AF4AC9">
        <w:rPr>
          <w:rFonts w:eastAsia="MS Mincho"/>
          <w:lang w:eastAsia="ja-JP"/>
        </w:rPr>
        <w:noBreakHyphen/>
        <w:t xml:space="preserve">2020 will </w:t>
      </w:r>
      <w:r w:rsidRPr="00AF4AC9">
        <w:rPr>
          <w:lang w:eastAsia="ko-KR"/>
        </w:rPr>
        <w:t xml:space="preserve">realize the Internet of Things by </w:t>
      </w:r>
      <w:r w:rsidRPr="00AF4AC9">
        <w:rPr>
          <w:rFonts w:eastAsia="MS Mincho"/>
          <w:lang w:eastAsia="ja-JP"/>
        </w:rPr>
        <w:t>connect</w:t>
      </w:r>
      <w:r w:rsidRPr="00AF4AC9">
        <w:rPr>
          <w:lang w:eastAsia="ko-KR"/>
        </w:rPr>
        <w:t>ing</w:t>
      </w:r>
      <w:r w:rsidRPr="00AF4AC9">
        <w:rPr>
          <w:rFonts w:eastAsia="MS Mincho"/>
          <w:lang w:eastAsia="ja-JP"/>
        </w:rPr>
        <w:t xml:space="preserve"> a vast range of smart appliances, machines and other objects </w:t>
      </w:r>
      <w:r w:rsidRPr="00AF4AC9">
        <w:rPr>
          <w:lang w:eastAsia="ko-KR"/>
        </w:rPr>
        <w:t xml:space="preserve">without human intervention. </w:t>
      </w:r>
    </w:p>
    <w:p w:rsidR="00C1192F" w:rsidRPr="00AF4AC9" w:rsidRDefault="00C1192F" w:rsidP="00C1192F">
      <w:pPr>
        <w:rPr>
          <w:lang w:eastAsia="zh-CN"/>
        </w:rPr>
      </w:pPr>
      <w:r w:rsidRPr="00AF4AC9">
        <w:rPr>
          <w:lang w:eastAsia="ko-KR"/>
        </w:rPr>
        <w:t xml:space="preserve">IMT-2020 should be able to provide these capabilities without undue burden on energy consumption, network equipment cost and deployment cost </w:t>
      </w:r>
      <w:r w:rsidRPr="00AF4AC9">
        <w:rPr>
          <w:lang w:eastAsia="zh-CN"/>
        </w:rPr>
        <w:t>to make future IMT sustainable and affordable.</w:t>
      </w:r>
    </w:p>
    <w:p w:rsidR="00C1192F" w:rsidRPr="00A119D1" w:rsidRDefault="00C1192F" w:rsidP="00C1192F">
      <w:pPr>
        <w:rPr>
          <w:lang w:eastAsia="zh-CN"/>
        </w:rPr>
      </w:pPr>
      <w:r w:rsidRPr="00AF4AC9">
        <w:rPr>
          <w:lang w:eastAsia="ko-KR"/>
        </w:rPr>
        <w:t xml:space="preserve">The key capabilities of IMT-2020 are shown in Fig. </w:t>
      </w:r>
      <w:r>
        <w:rPr>
          <w:rFonts w:hint="eastAsia"/>
          <w:lang w:eastAsia="ko-KR"/>
        </w:rPr>
        <w:t>2</w:t>
      </w:r>
      <w:r>
        <w:rPr>
          <w:lang w:eastAsia="ko-KR"/>
        </w:rPr>
        <w:t xml:space="preserve"> (from Recommendation ITU-R M.2083)</w:t>
      </w:r>
      <w:r w:rsidRPr="00AF4AC9">
        <w:rPr>
          <w:lang w:eastAsia="ko-KR"/>
        </w:rPr>
        <w:t>, compared with those of IMT</w:t>
      </w:r>
      <w:r w:rsidRPr="00AF4AC9">
        <w:rPr>
          <w:lang w:eastAsia="ko-KR"/>
        </w:rPr>
        <w:noBreakHyphen/>
        <w:t>Advanced.</w:t>
      </w:r>
    </w:p>
    <w:p w:rsidR="00C1192F" w:rsidRPr="00AF4AC9" w:rsidRDefault="00C1192F" w:rsidP="00C1192F">
      <w:pPr>
        <w:pStyle w:val="FigureNo"/>
      </w:pPr>
      <w:r w:rsidRPr="00AF4AC9">
        <w:lastRenderedPageBreak/>
        <w:t xml:space="preserve">Figure </w:t>
      </w:r>
      <w:r>
        <w:rPr>
          <w:rFonts w:hint="eastAsia"/>
          <w:lang w:eastAsia="ko-KR"/>
        </w:rPr>
        <w:t>2</w:t>
      </w:r>
    </w:p>
    <w:p w:rsidR="00C1192F" w:rsidRPr="00AF4AC9" w:rsidRDefault="00C1192F" w:rsidP="00C1192F">
      <w:pPr>
        <w:pStyle w:val="Figuretitle"/>
      </w:pPr>
      <w:r w:rsidRPr="00AF4AC9">
        <w:rPr>
          <w:lang w:eastAsia="ko-KR"/>
        </w:rPr>
        <w:t>Enhancement</w:t>
      </w:r>
      <w:r w:rsidRPr="00AF4AC9">
        <w:t xml:space="preserve"> of key capabilities from IMT-Advanced to IMT-2020</w:t>
      </w:r>
    </w:p>
    <w:p w:rsidR="00C1192F" w:rsidRPr="00AF4AC9" w:rsidRDefault="00C1192F" w:rsidP="00C1192F">
      <w:pPr>
        <w:pStyle w:val="Figure"/>
      </w:pPr>
      <w:r>
        <w:object w:dxaOrig="4166" w:dyaOrig="3823">
          <v:shape id="_x0000_i1026" type="#_x0000_t75" style="width:341.45pt;height:312.95pt;mso-position-horizontal:absolute;mso-position-vertical:absolute" o:ole="">
            <v:imagedata r:id="rId10" o:title=""/>
          </v:shape>
          <o:OLEObject Type="Embed" ProgID="CorelDRAW.Graphic.14" ShapeID="_x0000_i1026" DrawAspect="Content" ObjectID="_1528714801" r:id="rId11"/>
        </w:object>
      </w:r>
    </w:p>
    <w:p w:rsidR="00C1192F" w:rsidRDefault="00C1192F" w:rsidP="00C1192F">
      <w:r w:rsidRPr="00AF4AC9">
        <w:rPr>
          <w:lang w:eastAsia="ko-KR"/>
        </w:rPr>
        <w:t xml:space="preserve">The values in the Figure above </w:t>
      </w:r>
      <w:r w:rsidRPr="00AF4AC9">
        <w:t xml:space="preserve">are targets for research and investigation </w:t>
      </w:r>
      <w:r w:rsidRPr="00AF4AC9">
        <w:rPr>
          <w:lang w:eastAsia="ko-KR"/>
        </w:rPr>
        <w:t xml:space="preserve">for IMT-2020 </w:t>
      </w:r>
      <w:r w:rsidRPr="00AF4AC9">
        <w:t xml:space="preserve">and may be further developed in other ITU-R Recommendations, and may be revised in the light of future studies. </w:t>
      </w:r>
    </w:p>
    <w:p w:rsidR="00C1192F" w:rsidRDefault="00C1192F" w:rsidP="00C1192F">
      <w:pPr>
        <w:rPr>
          <w:lang w:eastAsia="zh-CN"/>
        </w:rPr>
      </w:pPr>
      <w:r w:rsidRPr="00AF4AC9">
        <w:t xml:space="preserve">As anticipated above, whilst all key capabilities may to some extent be important for most use cases, the relevance of certain key capabilities may be significantly different, depending on the use cases/scenario. The importance of each key capability for the usage scenarios </w:t>
      </w:r>
      <w:r w:rsidRPr="00AF4AC9">
        <w:rPr>
          <w:i/>
        </w:rPr>
        <w:t>enhanced</w:t>
      </w:r>
      <w:r w:rsidRPr="00AF4AC9">
        <w:t xml:space="preserve"> </w:t>
      </w:r>
      <w:r w:rsidRPr="00AF4AC9">
        <w:rPr>
          <w:i/>
        </w:rPr>
        <w:t>Mobile Broadband</w:t>
      </w:r>
      <w:r w:rsidRPr="00AF4AC9">
        <w:t xml:space="preserve">, </w:t>
      </w:r>
      <w:r w:rsidRPr="00AF4AC9">
        <w:rPr>
          <w:i/>
          <w:lang w:eastAsia="ko-KR"/>
        </w:rPr>
        <w:t>u</w:t>
      </w:r>
      <w:r w:rsidRPr="00AF4AC9">
        <w:rPr>
          <w:i/>
        </w:rPr>
        <w:t>ltra-</w:t>
      </w:r>
      <w:r w:rsidRPr="00AF4AC9">
        <w:rPr>
          <w:i/>
          <w:lang w:eastAsia="ko-KR"/>
        </w:rPr>
        <w:t>r</w:t>
      </w:r>
      <w:r w:rsidRPr="00AF4AC9">
        <w:rPr>
          <w:i/>
        </w:rPr>
        <w:t xml:space="preserve">eliable and </w:t>
      </w:r>
      <w:r w:rsidRPr="00AF4AC9">
        <w:rPr>
          <w:i/>
          <w:lang w:eastAsia="ko-KR"/>
        </w:rPr>
        <w:t>l</w:t>
      </w:r>
      <w:r w:rsidRPr="00AF4AC9">
        <w:rPr>
          <w:i/>
        </w:rPr>
        <w:t xml:space="preserve">ow </w:t>
      </w:r>
      <w:r w:rsidRPr="00AF4AC9">
        <w:rPr>
          <w:i/>
          <w:lang w:eastAsia="ko-KR"/>
        </w:rPr>
        <w:t>l</w:t>
      </w:r>
      <w:r w:rsidRPr="00AF4AC9">
        <w:rPr>
          <w:i/>
        </w:rPr>
        <w:t>atency communication</w:t>
      </w:r>
      <w:r w:rsidRPr="00AF4AC9">
        <w:t xml:space="preserve"> and </w:t>
      </w:r>
      <w:r w:rsidRPr="00AF4AC9">
        <w:rPr>
          <w:i/>
          <w:lang w:eastAsia="ko-KR"/>
        </w:rPr>
        <w:t>m</w:t>
      </w:r>
      <w:r w:rsidRPr="00AF4AC9">
        <w:rPr>
          <w:i/>
        </w:rPr>
        <w:t>assive machine-type communication</w:t>
      </w:r>
      <w:r w:rsidRPr="00AF4AC9">
        <w:t xml:space="preserve"> is illustrated in Fig. </w:t>
      </w:r>
      <w:r>
        <w:rPr>
          <w:rFonts w:eastAsia="MS Mincho" w:hint="eastAsia"/>
          <w:lang w:eastAsia="ja-JP"/>
        </w:rPr>
        <w:t>3</w:t>
      </w:r>
      <w:r w:rsidRPr="00AF4AC9">
        <w:t>. This is done using an indicative scaling in three steps</w:t>
      </w:r>
      <w:r>
        <w:t xml:space="preserve"> as “high”, “medium” and “low”.</w:t>
      </w:r>
    </w:p>
    <w:p w:rsidR="00C1192F" w:rsidRDefault="00C1192F" w:rsidP="00C1192F">
      <w:pPr>
        <w:rPr>
          <w:color w:val="000000"/>
          <w:lang w:eastAsia="zh-CN"/>
        </w:rPr>
      </w:pPr>
      <w:r w:rsidRPr="00AF4AC9">
        <w:rPr>
          <w:color w:val="000000"/>
          <w:lang w:eastAsia="zh-CN"/>
        </w:rPr>
        <w:t xml:space="preserve">In the enhanced </w:t>
      </w:r>
      <w:r w:rsidRPr="00AF4AC9">
        <w:rPr>
          <w:color w:val="000000"/>
          <w:lang w:eastAsia="ja-JP"/>
        </w:rPr>
        <w:t xml:space="preserve">Mobile Broadband </w:t>
      </w:r>
      <w:r w:rsidRPr="00AF4AC9">
        <w:rPr>
          <w:color w:val="000000"/>
          <w:lang w:eastAsia="zh-CN"/>
        </w:rPr>
        <w:t>scenario, user experienced da</w:t>
      </w:r>
      <w:r>
        <w:rPr>
          <w:color w:val="000000"/>
          <w:lang w:eastAsia="zh-CN"/>
        </w:rPr>
        <w:t>ta rate, area traffic capacity,</w:t>
      </w:r>
      <w:r>
        <w:rPr>
          <w:rFonts w:hint="eastAsia"/>
          <w:color w:val="000000"/>
          <w:lang w:eastAsia="zh-CN"/>
        </w:rPr>
        <w:t xml:space="preserve"> </w:t>
      </w:r>
      <w:r w:rsidRPr="00AF4AC9">
        <w:rPr>
          <w:color w:val="000000"/>
          <w:lang w:eastAsia="zh-CN"/>
        </w:rPr>
        <w:t>peak data rate, mobility, energy efficiency and spectrum efficiency all have high importance, but mobility and the user experienced data rate would not have equal importance simultaneously in all use cases. For example, in hotspots, a higher user experienced data rate, but a lower mobility, would be required t</w:t>
      </w:r>
      <w:r>
        <w:rPr>
          <w:color w:val="000000"/>
          <w:lang w:eastAsia="zh-CN"/>
        </w:rPr>
        <w:t>han in wide area coverage case.</w:t>
      </w:r>
    </w:p>
    <w:p w:rsidR="00C1192F" w:rsidRDefault="00C1192F" w:rsidP="00C1192F">
      <w:pPr>
        <w:tabs>
          <w:tab w:val="clear" w:pos="1134"/>
          <w:tab w:val="clear" w:pos="1871"/>
          <w:tab w:val="clear" w:pos="2268"/>
          <w:tab w:val="left" w:pos="794"/>
          <w:tab w:val="left" w:pos="1191"/>
          <w:tab w:val="left" w:pos="1588"/>
          <w:tab w:val="left" w:pos="1985"/>
        </w:tabs>
        <w:rPr>
          <w:lang w:eastAsia="zh-CN"/>
        </w:rPr>
      </w:pPr>
      <w:r w:rsidRPr="00A33E0D">
        <w:rPr>
          <w:rFonts w:hint="eastAsia"/>
          <w:lang w:val="en-US" w:eastAsia="zh-CN"/>
        </w:rPr>
        <w:t xml:space="preserve">In </w:t>
      </w:r>
      <w:r w:rsidRPr="00A33E0D">
        <w:rPr>
          <w:lang w:val="en-US" w:eastAsia="zh-CN"/>
        </w:rPr>
        <w:t>some ultra-reliable and low latency communications</w:t>
      </w:r>
      <w:r w:rsidRPr="00A33E0D">
        <w:rPr>
          <w:rFonts w:hint="eastAsia"/>
          <w:lang w:val="en-US" w:eastAsia="zh-CN"/>
        </w:rPr>
        <w:t xml:space="preserve"> scenario</w:t>
      </w:r>
      <w:r w:rsidRPr="00A33E0D">
        <w:rPr>
          <w:lang w:val="en-US" w:eastAsia="zh-CN"/>
        </w:rPr>
        <w:t>s</w:t>
      </w:r>
      <w:r w:rsidRPr="00A33E0D">
        <w:rPr>
          <w:rFonts w:hint="eastAsia"/>
          <w:lang w:val="en-US" w:eastAsia="zh-CN"/>
        </w:rPr>
        <w:t xml:space="preserve">, </w:t>
      </w:r>
      <w:r w:rsidRPr="00A33E0D">
        <w:rPr>
          <w:rFonts w:eastAsia="SimSun" w:hint="eastAsia"/>
          <w:lang w:val="en-US" w:eastAsia="zh-CN"/>
        </w:rPr>
        <w:t>low</w:t>
      </w:r>
      <w:r w:rsidRPr="00A33E0D">
        <w:rPr>
          <w:rFonts w:hint="eastAsia"/>
          <w:lang w:val="en-US" w:eastAsia="zh-CN"/>
        </w:rPr>
        <w:t xml:space="preserve"> latency is </w:t>
      </w:r>
      <w:r w:rsidRPr="00A33E0D">
        <w:rPr>
          <w:lang w:val="en-US" w:eastAsia="zh-CN"/>
        </w:rPr>
        <w:t>of highest importance</w:t>
      </w:r>
      <w:r>
        <w:rPr>
          <w:lang w:val="en-US" w:eastAsia="zh-CN"/>
        </w:rPr>
        <w:t xml:space="preserve">, e.g. </w:t>
      </w:r>
      <w:r w:rsidRPr="00E42C29">
        <w:rPr>
          <w:lang w:val="en-US" w:eastAsia="zh-CN"/>
        </w:rPr>
        <w:t xml:space="preserve">in order to enable the safety critical </w:t>
      </w:r>
      <w:r>
        <w:rPr>
          <w:lang w:val="en-US" w:eastAsia="zh-CN"/>
        </w:rPr>
        <w:t>applications</w:t>
      </w:r>
      <w:r w:rsidRPr="00D76F96">
        <w:rPr>
          <w:rFonts w:hint="eastAsia"/>
          <w:lang w:val="en-US" w:eastAsia="zh-CN"/>
        </w:rPr>
        <w:t>.</w:t>
      </w:r>
      <w:r w:rsidRPr="00D76F96">
        <w:rPr>
          <w:szCs w:val="24"/>
          <w:lang w:eastAsia="zh-CN"/>
        </w:rPr>
        <w:t xml:space="preserve"> Examples include traffic safety, traffic efficiency, smart grid, e-health, wireless industry automation, augmented reality, remote tactile control and tele-protection.</w:t>
      </w:r>
      <w:r>
        <w:rPr>
          <w:rFonts w:hint="eastAsia"/>
          <w:szCs w:val="24"/>
          <w:lang w:eastAsia="zh-CN"/>
        </w:rPr>
        <w:t xml:space="preserve"> </w:t>
      </w:r>
      <w:r w:rsidRPr="00A33E0D">
        <w:rPr>
          <w:lang w:val="en-US" w:eastAsia="zh-CN"/>
        </w:rPr>
        <w:t>S</w:t>
      </w:r>
      <w:r w:rsidRPr="00A33E0D">
        <w:rPr>
          <w:rFonts w:hint="eastAsia"/>
          <w:lang w:val="en-US" w:eastAsia="zh-CN"/>
        </w:rPr>
        <w:t xml:space="preserve">uch capability would be required </w:t>
      </w:r>
      <w:r w:rsidRPr="00A33E0D">
        <w:rPr>
          <w:lang w:val="en-US" w:eastAsia="zh-CN"/>
        </w:rPr>
        <w:t xml:space="preserve">in </w:t>
      </w:r>
      <w:r>
        <w:rPr>
          <w:lang w:val="en-US" w:eastAsia="zh-CN"/>
        </w:rPr>
        <w:t xml:space="preserve">some </w:t>
      </w:r>
      <w:r w:rsidRPr="00A33E0D">
        <w:rPr>
          <w:rFonts w:hint="eastAsia"/>
          <w:lang w:val="en-US" w:eastAsia="zh-CN"/>
        </w:rPr>
        <w:t xml:space="preserve">high mobility cases as well, e.g., in transportation </w:t>
      </w:r>
      <w:r w:rsidRPr="00A33E0D">
        <w:rPr>
          <w:lang w:val="en-US" w:eastAsia="zh-CN"/>
        </w:rPr>
        <w:t>safety</w:t>
      </w:r>
      <w:r>
        <w:rPr>
          <w:lang w:val="en-US" w:eastAsia="zh-CN"/>
        </w:rPr>
        <w:t>, while, e.g. high data rates could be less important.</w:t>
      </w:r>
      <w:r w:rsidRPr="00A33E0D">
        <w:rPr>
          <w:rFonts w:hint="eastAsia"/>
          <w:lang w:val="en-US" w:eastAsia="zh-CN"/>
        </w:rPr>
        <w:t xml:space="preserve"> </w:t>
      </w:r>
      <w:r>
        <w:rPr>
          <w:lang w:val="en-US" w:eastAsia="zh-CN"/>
        </w:rPr>
        <w:t xml:space="preserve"> </w:t>
      </w:r>
    </w:p>
    <w:p w:rsidR="00947D8D" w:rsidRDefault="00947D8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1192F" w:rsidRDefault="00C1192F" w:rsidP="00C1192F">
      <w:pPr>
        <w:tabs>
          <w:tab w:val="left" w:pos="0"/>
        </w:tabs>
        <w:rPr>
          <w:lang w:eastAsia="zh-CN"/>
        </w:rPr>
      </w:pPr>
      <w:r w:rsidRPr="00AF4AC9">
        <w:rPr>
          <w:lang w:eastAsia="zh-CN"/>
        </w:rPr>
        <w:lastRenderedPageBreak/>
        <w:t>In the massive machine type communication scenario, high connection density is needed to support tremendous number of devices in the network that e.g. may transmit only occasionally, at low bit rate and with zero/very low mobility. A low cost device with long operational lifetime is</w:t>
      </w:r>
      <w:r>
        <w:rPr>
          <w:lang w:eastAsia="zh-CN"/>
        </w:rPr>
        <w:t xml:space="preserve"> vital for this usage scenario.</w:t>
      </w:r>
    </w:p>
    <w:p w:rsidR="00C1192F" w:rsidRPr="008F14E1" w:rsidRDefault="00C1192F" w:rsidP="00C1192F">
      <w:pPr>
        <w:pStyle w:val="FigureNo"/>
        <w:rPr>
          <w:rFonts w:eastAsia="MS Mincho"/>
          <w:lang w:eastAsia="ja-JP"/>
        </w:rPr>
      </w:pPr>
      <w:r w:rsidRPr="00AF4AC9">
        <w:t xml:space="preserve">Figure </w:t>
      </w:r>
      <w:r>
        <w:rPr>
          <w:rFonts w:eastAsia="MS Mincho" w:hint="eastAsia"/>
          <w:lang w:eastAsia="ja-JP"/>
        </w:rPr>
        <w:t>3</w:t>
      </w:r>
    </w:p>
    <w:p w:rsidR="00C1192F" w:rsidRPr="00AF4AC9" w:rsidRDefault="00C1192F" w:rsidP="00C1192F">
      <w:pPr>
        <w:pStyle w:val="Figuretitle"/>
      </w:pPr>
      <w:r w:rsidRPr="00AF4AC9">
        <w:rPr>
          <w:lang w:eastAsia="ko-KR"/>
        </w:rPr>
        <w:t>T</w:t>
      </w:r>
      <w:r w:rsidRPr="00AF4AC9">
        <w:t xml:space="preserve">he </w:t>
      </w:r>
      <w:r w:rsidRPr="00AF4AC9">
        <w:rPr>
          <w:lang w:eastAsia="ko-KR"/>
        </w:rPr>
        <w:t xml:space="preserve">importance of </w:t>
      </w:r>
      <w:r w:rsidRPr="00AF4AC9">
        <w:t xml:space="preserve">key capabilities </w:t>
      </w:r>
      <w:r w:rsidRPr="00AF4AC9">
        <w:rPr>
          <w:lang w:eastAsia="ko-KR"/>
        </w:rPr>
        <w:t xml:space="preserve">in different </w:t>
      </w:r>
      <w:r w:rsidRPr="00AF4AC9">
        <w:t>usage scenarios</w:t>
      </w:r>
    </w:p>
    <w:p w:rsidR="00C1192F" w:rsidRPr="00AF4AC9" w:rsidRDefault="00C1192F" w:rsidP="00C1192F">
      <w:pPr>
        <w:pStyle w:val="Figure"/>
      </w:pPr>
      <w:r>
        <w:object w:dxaOrig="4933" w:dyaOrig="3012">
          <v:shape id="_x0000_i1027" type="#_x0000_t75" style="width:409.2pt;height:248.8pt" o:ole="">
            <v:imagedata r:id="rId12" o:title=""/>
          </v:shape>
          <o:OLEObject Type="Embed" ProgID="CorelDRAW.Graphic.14" ShapeID="_x0000_i1027" DrawAspect="Content" ObjectID="_1528714802" r:id="rId13"/>
        </w:object>
      </w:r>
    </w:p>
    <w:p w:rsidR="00C1192F" w:rsidRPr="00AF4AC9" w:rsidRDefault="00C1192F" w:rsidP="00C1192F">
      <w:pPr>
        <w:rPr>
          <w:highlight w:val="green"/>
        </w:rPr>
      </w:pPr>
      <w:r w:rsidRPr="00AF4AC9">
        <w:rPr>
          <w:lang w:eastAsia="ko-KR"/>
        </w:rPr>
        <w:t>Other</w:t>
      </w:r>
      <w:r w:rsidRPr="00AF4AC9">
        <w:rPr>
          <w:rFonts w:eastAsia="SimSun"/>
          <w:lang w:eastAsia="zh-CN"/>
        </w:rPr>
        <w:t xml:space="preserve"> capabilities </w:t>
      </w:r>
      <w:r w:rsidRPr="00AF4AC9">
        <w:rPr>
          <w:rFonts w:eastAsia="SimSun"/>
          <w:lang w:eastAsia="ko-KR"/>
        </w:rPr>
        <w:t xml:space="preserve">may be </w:t>
      </w:r>
      <w:r w:rsidRPr="00AF4AC9">
        <w:rPr>
          <w:rFonts w:eastAsia="SimSun"/>
          <w:lang w:eastAsia="zh-CN"/>
        </w:rPr>
        <w:t>also required for IMT</w:t>
      </w:r>
      <w:r w:rsidRPr="00AF4AC9">
        <w:rPr>
          <w:rFonts w:eastAsia="SimSun"/>
          <w:lang w:eastAsia="ko-KR"/>
        </w:rPr>
        <w:t>-2020, which</w:t>
      </w:r>
      <w:r w:rsidRPr="00AF4AC9">
        <w:rPr>
          <w:rFonts w:eastAsia="SimSun"/>
          <w:lang w:eastAsia="zh-CN"/>
        </w:rPr>
        <w:t xml:space="preserve"> </w:t>
      </w:r>
      <w:r w:rsidRPr="00AF4AC9">
        <w:rPr>
          <w:rFonts w:eastAsia="SimSun"/>
          <w:lang w:eastAsia="ko-KR"/>
        </w:rPr>
        <w:t xml:space="preserve">would </w:t>
      </w:r>
      <w:r w:rsidRPr="00AF4AC9">
        <w:rPr>
          <w:rFonts w:eastAsia="SimSun"/>
          <w:lang w:eastAsia="zh-CN"/>
        </w:rPr>
        <w:t>make future IMT more flexible, reliable, and secure when providing diverse services in the intended usage scenarios</w:t>
      </w:r>
      <w:r w:rsidRPr="00AF4AC9">
        <w:rPr>
          <w:rFonts w:eastAsia="SimSun"/>
          <w:lang w:eastAsia="ko-KR"/>
        </w:rPr>
        <w:t xml:space="preserve">: </w:t>
      </w:r>
    </w:p>
    <w:p w:rsidR="00C1192F" w:rsidRPr="00AF4AC9" w:rsidRDefault="00C1192F" w:rsidP="00C1192F">
      <w:pPr>
        <w:pStyle w:val="Headingb"/>
        <w:rPr>
          <w:lang w:val="en-GB"/>
        </w:rPr>
      </w:pPr>
      <w:r w:rsidRPr="00AF4AC9">
        <w:rPr>
          <w:lang w:val="en-GB"/>
        </w:rPr>
        <w:t>Spectrum and bandwidth flexibility</w:t>
      </w:r>
    </w:p>
    <w:p w:rsidR="00C1192F" w:rsidRPr="00AF4AC9" w:rsidRDefault="00C1192F" w:rsidP="00C1192F">
      <w:pPr>
        <w:tabs>
          <w:tab w:val="left" w:pos="0"/>
        </w:tabs>
        <w:rPr>
          <w:lang w:eastAsia="zh-CN"/>
        </w:rPr>
      </w:pPr>
      <w:r w:rsidRPr="00AF4AC9">
        <w:rPr>
          <w:lang w:eastAsia="zh-CN"/>
        </w:rPr>
        <w:t xml:space="preserve">Spectrum and bandwidth flexibility refers to the flexibility of the system design to handle different scenarios, and in particular to the capability to operate at different frequency ranges, including higher frequencies and wider channel bandwidths than today. </w:t>
      </w:r>
    </w:p>
    <w:p w:rsidR="00C1192F" w:rsidRPr="00AF4AC9" w:rsidRDefault="00C1192F" w:rsidP="00C1192F">
      <w:pPr>
        <w:pStyle w:val="Headingb"/>
        <w:rPr>
          <w:lang w:val="en-GB"/>
        </w:rPr>
      </w:pPr>
      <w:r w:rsidRPr="00AF4AC9">
        <w:rPr>
          <w:lang w:val="en-GB"/>
        </w:rPr>
        <w:t>Reliability</w:t>
      </w:r>
    </w:p>
    <w:p w:rsidR="00C1192F" w:rsidRPr="00AF4AC9" w:rsidRDefault="00C1192F" w:rsidP="00C1192F">
      <w:pPr>
        <w:ind w:left="1128" w:hanging="1128"/>
      </w:pPr>
      <w:r w:rsidRPr="00AF4AC9">
        <w:t>Reliability relates to the capability to provide a given service with a very high level of availability.</w:t>
      </w:r>
    </w:p>
    <w:p w:rsidR="00C1192F" w:rsidRPr="00AF4AC9" w:rsidRDefault="00C1192F" w:rsidP="00C1192F">
      <w:pPr>
        <w:pStyle w:val="Headingb"/>
        <w:rPr>
          <w:lang w:val="en-GB"/>
        </w:rPr>
      </w:pPr>
      <w:r w:rsidRPr="00AF4AC9">
        <w:rPr>
          <w:lang w:val="en-GB"/>
        </w:rPr>
        <w:t>Resilience</w:t>
      </w:r>
    </w:p>
    <w:p w:rsidR="00C1192F" w:rsidRPr="00AF4AC9" w:rsidRDefault="00C1192F" w:rsidP="00882D6A">
      <w:pPr>
        <w:rPr>
          <w:lang w:eastAsia="zh-CN"/>
        </w:rPr>
      </w:pPr>
      <w:r w:rsidRPr="00AF4AC9">
        <w:rPr>
          <w:lang w:eastAsia="zh-CN"/>
        </w:rPr>
        <w:t>Resilience is the ability of the network to continue operating correctly during and after a natural or man-made disturbance, such as the loss of mains power.</w:t>
      </w:r>
    </w:p>
    <w:p w:rsidR="00C1192F" w:rsidRPr="00AF4AC9" w:rsidRDefault="00C1192F" w:rsidP="00C1192F">
      <w:pPr>
        <w:pStyle w:val="Headingb"/>
        <w:rPr>
          <w:lang w:val="en-GB"/>
        </w:rPr>
      </w:pPr>
      <w:r w:rsidRPr="00AF4AC9">
        <w:rPr>
          <w:lang w:val="en-GB"/>
        </w:rPr>
        <w:t>Security and privacy</w:t>
      </w:r>
    </w:p>
    <w:p w:rsidR="00C1192F" w:rsidRPr="00AF4AC9" w:rsidRDefault="00C1192F" w:rsidP="00C1192F">
      <w:pPr>
        <w:tabs>
          <w:tab w:val="left" w:pos="0"/>
        </w:tabs>
        <w:rPr>
          <w:lang w:eastAsia="zh-CN"/>
        </w:rPr>
      </w:pPr>
      <w:r w:rsidRPr="00AF4AC9">
        <w:rPr>
          <w:lang w:eastAsia="zh-CN"/>
        </w:rPr>
        <w:t>Security and privacy refers to several areas such as encryption and integrity protection of user data and signalling, as well as end user privacy preventing unauthorized user tracking, and protection of network against hacking, fraud, denial of service, man in the middle attacks</w:t>
      </w:r>
      <w:r>
        <w:rPr>
          <w:lang w:eastAsia="zh-CN"/>
        </w:rPr>
        <w:t>,</w:t>
      </w:r>
      <w:r w:rsidRPr="00AF4AC9">
        <w:rPr>
          <w:lang w:eastAsia="zh-CN"/>
        </w:rPr>
        <w:t xml:space="preserve"> etc.</w:t>
      </w:r>
    </w:p>
    <w:p w:rsidR="00947D8D" w:rsidRDefault="00947D8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C1192F" w:rsidRPr="00AF4AC9" w:rsidRDefault="00C1192F" w:rsidP="00C1192F">
      <w:pPr>
        <w:pStyle w:val="Headingb"/>
        <w:rPr>
          <w:lang w:val="en-GB"/>
        </w:rPr>
      </w:pPr>
      <w:r w:rsidRPr="00AF4AC9">
        <w:rPr>
          <w:lang w:val="en-GB"/>
        </w:rPr>
        <w:lastRenderedPageBreak/>
        <w:t>Operational lifetime</w:t>
      </w:r>
    </w:p>
    <w:p w:rsidR="00C1192F" w:rsidRDefault="00C1192F" w:rsidP="00C1192F">
      <w:pPr>
        <w:tabs>
          <w:tab w:val="left" w:pos="0"/>
        </w:tabs>
        <w:rPr>
          <w:lang w:eastAsia="zh-CN"/>
        </w:rPr>
      </w:pPr>
      <w:r w:rsidRPr="00AF4AC9">
        <w:rPr>
          <w:lang w:eastAsia="zh-CN"/>
        </w:rPr>
        <w:t>Operational life time refers to operation time per stored energy capacity. This is particularly important for machine-type devices requiring a very long battery life (e.g. more than 10 years) whose regular maintenance is difficult due to physical or economic reasons.</w:t>
      </w:r>
    </w:p>
    <w:p w:rsidR="00C1192F" w:rsidRDefault="00C1192F" w:rsidP="00C1192F">
      <w:pPr>
        <w:tabs>
          <w:tab w:val="clear" w:pos="1134"/>
          <w:tab w:val="clear" w:pos="1871"/>
          <w:tab w:val="clear" w:pos="2268"/>
          <w:tab w:val="left" w:pos="794"/>
          <w:tab w:val="left" w:pos="1191"/>
          <w:tab w:val="left" w:pos="1588"/>
          <w:tab w:val="left" w:pos="1985"/>
        </w:tabs>
        <w:rPr>
          <w:lang w:eastAsia="zh-CN"/>
        </w:rPr>
      </w:pPr>
      <w:r w:rsidRPr="00167B21">
        <w:rPr>
          <w:szCs w:val="24"/>
        </w:rPr>
        <w:t xml:space="preserve">These </w:t>
      </w:r>
      <w:r>
        <w:rPr>
          <w:szCs w:val="24"/>
        </w:rPr>
        <w:t>capabilities</w:t>
      </w:r>
      <w:r w:rsidRPr="00167B21">
        <w:rPr>
          <w:szCs w:val="24"/>
        </w:rPr>
        <w:t xml:space="preserve"> enable IMT-2020 to address evolving user needs.</w:t>
      </w:r>
      <w:r>
        <w:rPr>
          <w:lang w:eastAsia="ko-KR"/>
        </w:rPr>
        <w:t xml:space="preserve"> </w:t>
      </w:r>
      <w:r w:rsidRPr="00167B21">
        <w:rPr>
          <w:lang w:eastAsia="ko-KR"/>
        </w:rPr>
        <w:t xml:space="preserve">The capabilities of </w:t>
      </w:r>
      <w:r w:rsidRPr="00167B21">
        <w:t>IMT-2020</w:t>
      </w:r>
      <w:r w:rsidRPr="00167B21">
        <w:rPr>
          <w:lang w:eastAsia="ko-KR"/>
        </w:rPr>
        <w:t xml:space="preserve"> systems are being continuously enhanced in line with user trends and technology developments.</w:t>
      </w:r>
    </w:p>
    <w:p w:rsidR="00C1192F" w:rsidRPr="00467515" w:rsidRDefault="00C1192F" w:rsidP="00C1192F">
      <w:pPr>
        <w:pStyle w:val="Heading1"/>
        <w:rPr>
          <w:lang w:eastAsia="zh-CN"/>
        </w:rPr>
      </w:pPr>
      <w:r>
        <w:rPr>
          <w:rFonts w:hint="eastAsia"/>
          <w:lang w:eastAsia="zh-CN"/>
        </w:rPr>
        <w:t>4</w:t>
      </w:r>
      <w:r w:rsidRPr="00467515">
        <w:tab/>
        <w:t xml:space="preserve">Relationship </w:t>
      </w:r>
      <w:r w:rsidRPr="00467515">
        <w:rPr>
          <w:rFonts w:eastAsia="MS Mincho" w:hint="eastAsia"/>
        </w:rPr>
        <w:t xml:space="preserve">between </w:t>
      </w:r>
      <w:r w:rsidRPr="00467515">
        <w:rPr>
          <w:rFonts w:hint="eastAsia"/>
        </w:rPr>
        <w:t xml:space="preserve">existing IMT and </w:t>
      </w:r>
      <w:r w:rsidRPr="00467515">
        <w:t>IMT-20</w:t>
      </w:r>
      <w:r w:rsidRPr="00467515">
        <w:rPr>
          <w:rFonts w:hint="eastAsia"/>
        </w:rPr>
        <w:t>20</w:t>
      </w:r>
    </w:p>
    <w:p w:rsidR="00C1192F" w:rsidRPr="00AF4AC9" w:rsidRDefault="00C1192F" w:rsidP="00C1192F">
      <w:pPr>
        <w:rPr>
          <w:lang w:eastAsia="ja-JP"/>
        </w:rPr>
      </w:pPr>
      <w:r>
        <w:rPr>
          <w:rFonts w:eastAsia="MS Mincho" w:hint="eastAsia"/>
          <w:lang w:eastAsia="ja-JP"/>
        </w:rPr>
        <w:t xml:space="preserve">As indicated in Section </w:t>
      </w:r>
      <w:r>
        <w:rPr>
          <w:rFonts w:hint="eastAsia"/>
          <w:lang w:eastAsia="zh-CN"/>
        </w:rPr>
        <w:t>3</w:t>
      </w:r>
      <w:r>
        <w:rPr>
          <w:rFonts w:eastAsia="MS Mincho" w:hint="eastAsia"/>
          <w:lang w:eastAsia="ja-JP"/>
        </w:rPr>
        <w:t xml:space="preserve"> above, i</w:t>
      </w:r>
      <w:r w:rsidRPr="00AF4AC9">
        <w:rPr>
          <w:lang w:eastAsia="ja-JP"/>
        </w:rPr>
        <w:t>n order to support emerging new scenarios and applications for 2020 and beyond, it is foreseen that development of IMT-2020 will be required to offer enhanced capabilities. The minimum technical requirements (and corresponding evaluation criteria) to be defined by ITU</w:t>
      </w:r>
      <w:r w:rsidRPr="00AF4AC9">
        <w:rPr>
          <w:lang w:eastAsia="ja-JP"/>
        </w:rPr>
        <w:noBreakHyphen/>
        <w:t>R based on these capabilities for IMT-2020 could potentially be met by adding enhancements to existing IMT, incorporating new technology components and functionalities, and/or the development of new radio interface technologies.</w:t>
      </w:r>
    </w:p>
    <w:p w:rsidR="00C1192F" w:rsidRDefault="00C1192F" w:rsidP="00C1192F">
      <w:pPr>
        <w:rPr>
          <w:lang w:eastAsia="zh-CN"/>
        </w:rPr>
      </w:pPr>
      <w:r w:rsidRPr="00AF4AC9">
        <w:rPr>
          <w:lang w:eastAsia="ja-JP"/>
        </w:rPr>
        <w:t xml:space="preserve">Furthermore, IMT-2020 </w:t>
      </w:r>
      <w:r w:rsidRPr="00AF4AC9">
        <w:rPr>
          <w:lang w:eastAsia="ko-KR"/>
        </w:rPr>
        <w:t>will interwork with and complement existing IMT and its enhancements.</w:t>
      </w:r>
    </w:p>
    <w:p w:rsidR="00C1192F" w:rsidRPr="009C776E" w:rsidRDefault="00C1192F" w:rsidP="00C1192F">
      <w:pPr>
        <w:pStyle w:val="Heading1"/>
      </w:pPr>
      <w:r>
        <w:rPr>
          <w:rFonts w:hint="eastAsia"/>
          <w:lang w:eastAsia="zh-CN"/>
        </w:rPr>
        <w:t>5</w:t>
      </w:r>
      <w:r w:rsidRPr="009C776E">
        <w:tab/>
        <w:t>Framework of IMT-</w:t>
      </w:r>
      <w:r>
        <w:rPr>
          <w:rFonts w:hint="eastAsia"/>
          <w:lang w:eastAsia="ko-KR"/>
        </w:rPr>
        <w:t>2020</w:t>
      </w:r>
    </w:p>
    <w:p w:rsidR="00C1192F" w:rsidRPr="00294BA7" w:rsidRDefault="00C1192F" w:rsidP="00C1192F">
      <w:pPr>
        <w:rPr>
          <w:lang w:val="en-US" w:eastAsia="zh-CN"/>
        </w:rPr>
      </w:pPr>
      <w:r w:rsidRPr="00D0456B">
        <w:t>The framework and objectives including overall timeframes for the future development of IMT</w:t>
      </w:r>
      <w:r>
        <w:rPr>
          <w:rFonts w:hint="eastAsia"/>
          <w:lang w:eastAsia="ko-KR"/>
        </w:rPr>
        <w:t xml:space="preserve"> for</w:t>
      </w:r>
      <w:r>
        <w:rPr>
          <w:lang w:eastAsia="ko-KR"/>
        </w:rPr>
        <w:t> </w:t>
      </w:r>
      <w:r>
        <w:rPr>
          <w:rFonts w:hint="eastAsia"/>
          <w:lang w:eastAsia="ko-KR"/>
        </w:rPr>
        <w:t>2020 and beyond</w:t>
      </w:r>
      <w:r w:rsidRPr="00D0456B">
        <w:t xml:space="preserve"> are described in some detail in Recommendation ITU-R M</w:t>
      </w:r>
      <w:r>
        <w:rPr>
          <w:rFonts w:hint="eastAsia"/>
          <w:lang w:eastAsia="ko-KR"/>
        </w:rPr>
        <w:t>.2083</w:t>
      </w:r>
      <w:r w:rsidRPr="00D0456B">
        <w:t>.</w:t>
      </w:r>
    </w:p>
    <w:p w:rsidR="00C1192F" w:rsidRDefault="00C1192F" w:rsidP="00C1192F">
      <w:pPr>
        <w:pStyle w:val="Reasons"/>
      </w:pPr>
    </w:p>
    <w:p w:rsidR="00C1192F" w:rsidRDefault="00C1192F" w:rsidP="00C1192F">
      <w:pPr>
        <w:pStyle w:val="Reasons"/>
      </w:pPr>
    </w:p>
    <w:p w:rsidR="000069D4" w:rsidRPr="00882D6A" w:rsidRDefault="00C1192F" w:rsidP="00882D6A">
      <w:pPr>
        <w:jc w:val="center"/>
      </w:pPr>
      <w:r>
        <w:t>______________</w:t>
      </w:r>
    </w:p>
    <w:sectPr w:rsidR="000069D4" w:rsidRPr="00882D6A" w:rsidSect="00690E6F">
      <w:headerReference w:type="default" r:id="rId14"/>
      <w:footerReference w:type="default" r:id="rId15"/>
      <w:footerReference w:type="first" r:id="rId16"/>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31" w:rsidRDefault="00663131">
      <w:r>
        <w:separator/>
      </w:r>
    </w:p>
  </w:endnote>
  <w:endnote w:type="continuationSeparator" w:id="0">
    <w:p w:rsidR="00663131" w:rsidRDefault="0066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YSinMyeongJo-Medium">
    <w:altName w:val="Arial Unicode MS"/>
    <w:charset w:val="81"/>
    <w:family w:val="roman"/>
    <w:pitch w:val="variable"/>
    <w:sig w:usb0="00000000" w:usb1="29D77CF9"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21A" w:rsidRDefault="0023121A">
    <w:pPr>
      <w:pStyle w:val="Footer"/>
    </w:pPr>
    <w:fldSimple w:instr=" FILENAME \p  \* MERGEFORMAT ">
      <w:r>
        <w:t>M:\BRSGD\TEXT2016\SG05\IMT.2020\001e.docx</w:t>
      </w:r>
    </w:fldSimple>
    <w:r>
      <w:tab/>
    </w:r>
    <w:r>
      <w:fldChar w:fldCharType="begin"/>
    </w:r>
    <w:r>
      <w:instrText xml:space="preserve"> SAVEDATE \@ DD.MM.YY </w:instrText>
    </w:r>
    <w:r>
      <w:fldChar w:fldCharType="separate"/>
    </w:r>
    <w:r>
      <w:t>29.06.16</w:t>
    </w:r>
    <w:r>
      <w:fldChar w:fldCharType="end"/>
    </w:r>
    <w:r>
      <w:tab/>
    </w:r>
    <w:r>
      <w:fldChar w:fldCharType="begin"/>
    </w:r>
    <w:r>
      <w:instrText xml:space="preserve"> PRINTDATE \@ DD.MM.YY </w:instrText>
    </w:r>
    <w:r>
      <w:fldChar w:fldCharType="separate"/>
    </w:r>
    <w:r>
      <w:t>29.06.16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EB" w:rsidRDefault="00947D8D">
    <w:pPr>
      <w:pStyle w:val="Footer"/>
    </w:pPr>
    <w:r>
      <w:fldChar w:fldCharType="begin"/>
    </w:r>
    <w:r>
      <w:instrText xml:space="preserve"> FILENAME \p  \* MERGEFORMAT </w:instrText>
    </w:r>
    <w:r>
      <w:fldChar w:fldCharType="separate"/>
    </w:r>
    <w:r w:rsidR="0023121A">
      <w:t>M:\BRSGD\TEXT2016\SG05\IMT.2020\001e.docx</w:t>
    </w:r>
    <w:r>
      <w:fldChar w:fldCharType="end"/>
    </w:r>
    <w:r w:rsidR="008231EB">
      <w:tab/>
    </w:r>
    <w:r w:rsidR="008231EB">
      <w:fldChar w:fldCharType="begin"/>
    </w:r>
    <w:r w:rsidR="008231EB">
      <w:instrText xml:space="preserve"> SAVEDATE \@ DD.MM.YY </w:instrText>
    </w:r>
    <w:r w:rsidR="008231EB">
      <w:fldChar w:fldCharType="separate"/>
    </w:r>
    <w:r w:rsidR="003540BA">
      <w:t>29.06.16</w:t>
    </w:r>
    <w:r w:rsidR="008231EB">
      <w:fldChar w:fldCharType="end"/>
    </w:r>
    <w:r w:rsidR="008231EB">
      <w:tab/>
    </w:r>
    <w:r w:rsidR="008231EB">
      <w:fldChar w:fldCharType="begin"/>
    </w:r>
    <w:r w:rsidR="008231EB">
      <w:instrText xml:space="preserve"> PRINTDATE \@ DD.MM.YY </w:instrText>
    </w:r>
    <w:r w:rsidR="008231EB">
      <w:fldChar w:fldCharType="separate"/>
    </w:r>
    <w:r w:rsidR="008231EB">
      <w:t>29.06.16</w:t>
    </w:r>
    <w:r w:rsidR="008231E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31" w:rsidRDefault="00663131">
      <w:r>
        <w:t>____________________</w:t>
      </w:r>
    </w:p>
  </w:footnote>
  <w:footnote w:type="continuationSeparator" w:id="0">
    <w:p w:rsidR="00663131" w:rsidRDefault="00663131">
      <w:r>
        <w:continuationSeparator/>
      </w:r>
    </w:p>
  </w:footnote>
  <w:footnote w:id="1">
    <w:p w:rsidR="00C1192F" w:rsidRPr="0059660F" w:rsidRDefault="00C1192F" w:rsidP="00C1192F">
      <w:pPr>
        <w:pStyle w:val="FootnoteText"/>
      </w:pPr>
      <w:r>
        <w:rPr>
          <w:rStyle w:val="FootnoteReference"/>
        </w:rPr>
        <w:footnoteRef/>
      </w:r>
      <w:r w:rsidRPr="0059660F">
        <w:tab/>
        <w:t>The term “ubiquitous” is related to the considered target coverage area and is not intended to relate to an entire region or country.</w:t>
      </w:r>
    </w:p>
  </w:footnote>
  <w:footnote w:id="2">
    <w:p w:rsidR="00C1192F" w:rsidRPr="0059660F" w:rsidRDefault="00C1192F" w:rsidP="00C1192F">
      <w:pPr>
        <w:pStyle w:val="FootnoteText"/>
      </w:pPr>
      <w:r>
        <w:rPr>
          <w:rStyle w:val="FootnoteReference"/>
        </w:rPr>
        <w:footnoteRef/>
      </w:r>
      <w:r w:rsidRPr="0059660F">
        <w:t xml:space="preserve"> </w:t>
      </w:r>
      <w:r w:rsidRPr="0059660F">
        <w:tab/>
      </w:r>
      <w:r w:rsidRPr="0059660F">
        <w:rPr>
          <w:lang w:eastAsia="zh-CN"/>
        </w:rPr>
        <w:t xml:space="preserve">The radio coverage area over which a mobile terminal can maintain a connection with one or more units of </w:t>
      </w:r>
      <w:r w:rsidRPr="0059660F">
        <w:t>radio</w:t>
      </w:r>
      <w:r w:rsidRPr="0059660F">
        <w:rPr>
          <w:lang w:eastAsia="zh-CN"/>
        </w:rPr>
        <w:t xml:space="preserve"> equipment located with</w:t>
      </w:r>
      <w:r w:rsidRPr="0059660F">
        <w:rPr>
          <w:rFonts w:hint="eastAsia"/>
          <w:lang w:eastAsia="ko-KR"/>
        </w:rPr>
        <w:t>in</w:t>
      </w:r>
      <w:r w:rsidRPr="0059660F">
        <w:rPr>
          <w:lang w:eastAsia="zh-CN"/>
        </w:rPr>
        <w:t xml:space="preserve"> that area. For an individual base station, this is the radio coverage area of the base station or of a subsystem (e.g. sector antenna).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E82E8C" w:rsidRDefault="00FA124A" w:rsidP="00E82E8C">
    <w:pPr>
      <w:pStyle w:val="Heade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47D8D">
      <w:rPr>
        <w:rStyle w:val="PageNumber"/>
        <w:noProof/>
      </w:rPr>
      <w:t>6</w:t>
    </w:r>
    <w:r w:rsidR="00D02712">
      <w:rPr>
        <w:rStyle w:val="PageNumber"/>
      </w:rPr>
      <w:fldChar w:fldCharType="end"/>
    </w:r>
    <w:r>
      <w:rPr>
        <w:rStyle w:val="PageNumber"/>
      </w:rPr>
      <w:t xml:space="preserve"> -</w:t>
    </w:r>
    <w:r w:rsidR="0023121A">
      <w:rPr>
        <w:rStyle w:val="PageNumber"/>
      </w:rPr>
      <w:br/>
      <w:t>IMT-2020/1-E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EF"/>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1C5E8A"/>
    <w:rsid w:val="001F2DEF"/>
    <w:rsid w:val="00202DC1"/>
    <w:rsid w:val="002116EE"/>
    <w:rsid w:val="002309D8"/>
    <w:rsid w:val="0023121A"/>
    <w:rsid w:val="002A7FE2"/>
    <w:rsid w:val="002E1B4F"/>
    <w:rsid w:val="002F2E67"/>
    <w:rsid w:val="002F7CB3"/>
    <w:rsid w:val="00315546"/>
    <w:rsid w:val="00330567"/>
    <w:rsid w:val="003540BA"/>
    <w:rsid w:val="00386A9D"/>
    <w:rsid w:val="00391081"/>
    <w:rsid w:val="003B2789"/>
    <w:rsid w:val="003C13CE"/>
    <w:rsid w:val="003E2518"/>
    <w:rsid w:val="003E7CEF"/>
    <w:rsid w:val="004B1EF7"/>
    <w:rsid w:val="004B3FAD"/>
    <w:rsid w:val="00501DCA"/>
    <w:rsid w:val="00513A47"/>
    <w:rsid w:val="005408DF"/>
    <w:rsid w:val="00573344"/>
    <w:rsid w:val="00583F9B"/>
    <w:rsid w:val="005E5C10"/>
    <w:rsid w:val="005F2C78"/>
    <w:rsid w:val="006144E4"/>
    <w:rsid w:val="00650299"/>
    <w:rsid w:val="00655FC5"/>
    <w:rsid w:val="00663131"/>
    <w:rsid w:val="00690E6F"/>
    <w:rsid w:val="00814E0A"/>
    <w:rsid w:val="00822581"/>
    <w:rsid w:val="008231EB"/>
    <w:rsid w:val="008309DD"/>
    <w:rsid w:val="0083227A"/>
    <w:rsid w:val="00866900"/>
    <w:rsid w:val="00881BA1"/>
    <w:rsid w:val="00882D6A"/>
    <w:rsid w:val="008C26B8"/>
    <w:rsid w:val="008F208F"/>
    <w:rsid w:val="00947D8D"/>
    <w:rsid w:val="00982084"/>
    <w:rsid w:val="00995963"/>
    <w:rsid w:val="009B61EB"/>
    <w:rsid w:val="009C2064"/>
    <w:rsid w:val="009D1697"/>
    <w:rsid w:val="009F3A46"/>
    <w:rsid w:val="00A014F8"/>
    <w:rsid w:val="00A5173C"/>
    <w:rsid w:val="00A61AEF"/>
    <w:rsid w:val="00AD2345"/>
    <w:rsid w:val="00AF173A"/>
    <w:rsid w:val="00B066A4"/>
    <w:rsid w:val="00B07A13"/>
    <w:rsid w:val="00B41EF4"/>
    <w:rsid w:val="00B4279B"/>
    <w:rsid w:val="00B45FC9"/>
    <w:rsid w:val="00B81138"/>
    <w:rsid w:val="00BC7CCF"/>
    <w:rsid w:val="00BE470B"/>
    <w:rsid w:val="00C1192F"/>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82E8C"/>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21DA40E-1CDA-4ECB-88CB-7A87C0FD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nhideWhenUsed/>
    <w:rsid w:val="00C1192F"/>
    <w:rPr>
      <w:color w:val="0000FF" w:themeColor="hyperlink"/>
      <w:u w:val="single"/>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C1192F"/>
    <w:rPr>
      <w:rFonts w:ascii="Times New Roman" w:hAnsi="Times New Roman"/>
      <w:b/>
      <w:sz w:val="28"/>
      <w:lang w:val="en-GB" w:eastAsia="en-US"/>
    </w:rPr>
  </w:style>
  <w:style w:type="character" w:customStyle="1" w:styleId="enumlev1Char">
    <w:name w:val="enumlev1 Char"/>
    <w:basedOn w:val="DefaultParagraphFont"/>
    <w:link w:val="enumlev1"/>
    <w:rsid w:val="00C1192F"/>
    <w:rPr>
      <w:rFonts w:ascii="Times New Roman" w:hAnsi="Times New Roman"/>
      <w:sz w:val="24"/>
      <w:lang w:val="en-GB" w:eastAsia="en-US"/>
    </w:rPr>
  </w:style>
  <w:style w:type="character" w:customStyle="1" w:styleId="FigureNoChar">
    <w:name w:val="Figure_No Char"/>
    <w:basedOn w:val="DefaultParagraphFont"/>
    <w:link w:val="FigureNo"/>
    <w:rsid w:val="00C1192F"/>
    <w:rPr>
      <w:rFonts w:ascii="Times New Roman" w:hAnsi="Times New Roman"/>
      <w:caps/>
      <w:lang w:val="en-GB" w:eastAsia="en-US"/>
    </w:rPr>
  </w:style>
  <w:style w:type="character" w:customStyle="1" w:styleId="HeadingbChar">
    <w:name w:val="Heading_b Char"/>
    <w:basedOn w:val="DefaultParagraphFont"/>
    <w:link w:val="Headingb"/>
    <w:locked/>
    <w:rsid w:val="00C1192F"/>
    <w:rPr>
      <w:rFonts w:ascii="Times New Roman Bold" w:hAnsi="Times New Roman Bold" w:cs="Times New Roman Bold"/>
      <w:b/>
      <w:sz w:val="24"/>
      <w:lang w:val="fr-CH" w:eastAsia="en-US"/>
    </w:rPr>
  </w:style>
  <w:style w:type="character" w:customStyle="1" w:styleId="FigureChar">
    <w:name w:val="Figure Char"/>
    <w:basedOn w:val="DefaultParagraphFont"/>
    <w:link w:val="Figure"/>
    <w:locked/>
    <w:rsid w:val="00C1192F"/>
    <w:rPr>
      <w:rFonts w:ascii="Times New Roman" w:hAnsi="Times New Roman"/>
      <w:sz w:val="24"/>
      <w:lang w:val="en-GB" w:eastAsia="en-US"/>
    </w:rPr>
  </w:style>
  <w:style w:type="character" w:customStyle="1" w:styleId="FiguretitleChar">
    <w:name w:val="Figure_title Char"/>
    <w:basedOn w:val="DefaultParagraphFont"/>
    <w:link w:val="Figuretitle"/>
    <w:locked/>
    <w:rsid w:val="00C1192F"/>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6</Pages>
  <Words>1579</Words>
  <Characters>9395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Detraz, Laurence</cp:lastModifiedBy>
  <cp:revision>4</cp:revision>
  <cp:lastPrinted>2016-06-29T09:28:00Z</cp:lastPrinted>
  <dcterms:created xsi:type="dcterms:W3CDTF">2016-06-29T12:10:00Z</dcterms:created>
  <dcterms:modified xsi:type="dcterms:W3CDTF">2016-06-29T12:12:00Z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