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B64DBE" w:rsidP="00B64DBE">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B64DBE" w:rsidRPr="00982084" w:rsidRDefault="00B64DBE" w:rsidP="0075731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12 February 2020</w:t>
            </w:r>
          </w:p>
        </w:tc>
        <w:tc>
          <w:tcPr>
            <w:tcW w:w="3402" w:type="dxa"/>
          </w:tcPr>
          <w:p w:rsidR="000069D4" w:rsidRPr="00B64DBE" w:rsidRDefault="00B64DBE"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5D/124-E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B64DBE" w:rsidRDefault="00B64DBE" w:rsidP="00A5173C">
            <w:pPr>
              <w:shd w:val="solid" w:color="FFFFFF" w:fill="FFFFFF"/>
              <w:spacing w:before="0" w:line="240" w:lineRule="atLeast"/>
              <w:rPr>
                <w:rFonts w:ascii="Verdana" w:hAnsi="Verdana"/>
                <w:sz w:val="20"/>
                <w:lang w:eastAsia="zh-CN"/>
              </w:rPr>
            </w:pPr>
            <w:r>
              <w:rPr>
                <w:rFonts w:ascii="Verdana" w:hAnsi="Verdana"/>
                <w:b/>
                <w:sz w:val="20"/>
                <w:lang w:eastAsia="zh-CN"/>
              </w:rPr>
              <w:t>13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B64DBE"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75731F" w:rsidRDefault="0075731F" w:rsidP="00A5173C">
            <w:pPr>
              <w:shd w:val="solid" w:color="FFFFFF" w:fill="FFFFFF"/>
              <w:spacing w:before="0" w:line="240" w:lineRule="atLeast"/>
              <w:rPr>
                <w:rFonts w:ascii="Verdana" w:eastAsia="SimSun" w:hAnsi="Verdana"/>
                <w:b/>
                <w:sz w:val="20"/>
                <w:lang w:eastAsia="zh-CN"/>
              </w:rPr>
            </w:pPr>
          </w:p>
          <w:p w:rsidR="0075731F" w:rsidRPr="0075731F" w:rsidRDefault="0075731F" w:rsidP="00A5173C">
            <w:pPr>
              <w:shd w:val="solid" w:color="FFFFFF" w:fill="FFFFFF"/>
              <w:spacing w:before="0" w:line="240" w:lineRule="atLeast"/>
              <w:rPr>
                <w:rFonts w:ascii="Verdana" w:eastAsia="SimSun" w:hAnsi="Verdana"/>
                <w:sz w:val="20"/>
                <w:lang w:eastAsia="zh-CN"/>
              </w:rPr>
            </w:pPr>
            <w:r w:rsidRPr="0075731F">
              <w:rPr>
                <w:rFonts w:ascii="Verdana" w:eastAsia="SimSun" w:hAnsi="Verdana"/>
                <w:b/>
                <w:sz w:val="20"/>
                <w:szCs w:val="16"/>
                <w:lang w:eastAsia="zh-CN"/>
              </w:rPr>
              <w:t>TECHNOLOGY ASPECTS</w:t>
            </w:r>
          </w:p>
        </w:tc>
      </w:tr>
      <w:tr w:rsidR="0075731F" w:rsidTr="00D046A7">
        <w:trPr>
          <w:cantSplit/>
        </w:trPr>
        <w:tc>
          <w:tcPr>
            <w:tcW w:w="9889" w:type="dxa"/>
            <w:gridSpan w:val="2"/>
          </w:tcPr>
          <w:p w:rsidR="0075731F" w:rsidRPr="00041AFD" w:rsidRDefault="0075731F" w:rsidP="0075731F">
            <w:pPr>
              <w:pStyle w:val="Source"/>
              <w:rPr>
                <w:lang w:val="en-US"/>
              </w:rPr>
            </w:pPr>
            <w:bookmarkStart w:id="5" w:name="dsource" w:colFirst="0" w:colLast="0"/>
            <w:bookmarkEnd w:id="4"/>
            <w:r w:rsidRPr="00594F7D">
              <w:rPr>
                <w:rFonts w:asciiTheme="majorBidi" w:hAnsiTheme="majorBidi" w:cstheme="majorBidi"/>
                <w:lang w:val="en-US"/>
              </w:rPr>
              <w:t xml:space="preserve">Director, </w:t>
            </w:r>
            <w:proofErr w:type="spellStart"/>
            <w:r w:rsidRPr="00594F7D">
              <w:rPr>
                <w:rFonts w:asciiTheme="majorBidi" w:hAnsiTheme="majorBidi" w:cstheme="majorBidi"/>
                <w:lang w:val="en-US"/>
              </w:rPr>
              <w:t>Radiocommunication</w:t>
            </w:r>
            <w:proofErr w:type="spellEnd"/>
            <w:r w:rsidRPr="00594F7D">
              <w:rPr>
                <w:rFonts w:asciiTheme="majorBidi" w:hAnsiTheme="majorBidi" w:cstheme="majorBidi"/>
                <w:lang w:val="en-US"/>
              </w:rPr>
              <w:t xml:space="preserve"> Bureau</w:t>
            </w:r>
            <w:r w:rsidRPr="00594F7D">
              <w:rPr>
                <w:rStyle w:val="FootnoteReference"/>
                <w:rFonts w:asciiTheme="majorBidi" w:eastAsia="Calibri" w:hAnsiTheme="majorBidi" w:cstheme="majorBidi"/>
                <w:lang w:val="en-US"/>
              </w:rPr>
              <w:footnoteReference w:id="1"/>
            </w:r>
          </w:p>
        </w:tc>
      </w:tr>
      <w:tr w:rsidR="0075731F" w:rsidTr="00D046A7">
        <w:trPr>
          <w:cantSplit/>
        </w:trPr>
        <w:tc>
          <w:tcPr>
            <w:tcW w:w="9889" w:type="dxa"/>
            <w:gridSpan w:val="2"/>
          </w:tcPr>
          <w:p w:rsidR="0075731F" w:rsidRPr="00041AFD" w:rsidRDefault="0075731F" w:rsidP="00C80739">
            <w:pPr>
              <w:pStyle w:val="Title1"/>
            </w:pPr>
            <w:bookmarkStart w:id="6" w:name="drec" w:colFirst="0" w:colLast="0"/>
            <w:bookmarkEnd w:id="5"/>
            <w:r>
              <w:rPr>
                <w:rFonts w:eastAsia="Calibri"/>
              </w:rPr>
              <w:t xml:space="preserve">Final </w:t>
            </w:r>
            <w:r w:rsidRPr="00041AFD">
              <w:rPr>
                <w:rFonts w:eastAsia="Calibri"/>
              </w:rPr>
              <w:t>EVALUATION REPORT FROM A</w:t>
            </w:r>
            <w:r>
              <w:rPr>
                <w:rFonts w:eastAsia="Calibri"/>
              </w:rPr>
              <w:t>E</w:t>
            </w:r>
            <w:r w:rsidRPr="00041AFD">
              <w:rPr>
                <w:rFonts w:eastAsia="Calibri"/>
              </w:rPr>
              <w:t xml:space="preserve">G FOR </w:t>
            </w:r>
            <w:r>
              <w:rPr>
                <w:rFonts w:eastAsia="Calibri"/>
              </w:rPr>
              <w:t>TSDSI</w:t>
            </w:r>
            <w:r w:rsidRPr="00041AFD">
              <w:rPr>
                <w:rFonts w:eastAsia="Calibri"/>
              </w:rPr>
              <w:t xml:space="preserve"> PROPONENT SUBMISSIONS OF RIT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75731F" w:rsidRPr="00041AFD" w:rsidRDefault="0075731F" w:rsidP="0075731F">
      <w:pPr>
        <w:pStyle w:val="Heading1"/>
      </w:pPr>
      <w:bookmarkStart w:id="8" w:name="dbreak"/>
      <w:bookmarkEnd w:id="7"/>
      <w:bookmarkEnd w:id="8"/>
      <w:r>
        <w:t>1</w:t>
      </w:r>
      <w:r>
        <w:tab/>
      </w:r>
      <w:r w:rsidRPr="0075731F">
        <w:t>Introduction</w:t>
      </w:r>
    </w:p>
    <w:p w:rsidR="0075731F" w:rsidRDefault="0075731F" w:rsidP="00391BCF">
      <w:pPr>
        <w:rPr>
          <w:i/>
        </w:rPr>
      </w:pPr>
      <w:r w:rsidRPr="00041AFD">
        <w:t>In accordance to the ITU-R Submission, Evaluation Process and Consensus Building for IMT-2020 (</w:t>
      </w:r>
      <w:r w:rsidR="00391BCF">
        <w:t>Doc. </w:t>
      </w:r>
      <w:hyperlink r:id="rId9" w:history="1">
        <w:r w:rsidRPr="00391BCF">
          <w:rPr>
            <w:rStyle w:val="Hyperlink"/>
          </w:rPr>
          <w:t>IMT-2020/2</w:t>
        </w:r>
      </w:hyperlink>
      <w:r w:rsidRPr="00041AFD">
        <w:t>), the Africa Evaluation Group (AEG) has been established as an independent evaluation group open to all African administrations, industry and academia.</w:t>
      </w:r>
    </w:p>
    <w:p w:rsidR="0075731F" w:rsidRDefault="0075731F" w:rsidP="0075731F">
      <w:pPr>
        <w:rPr>
          <w:i/>
        </w:rPr>
      </w:pPr>
      <w:r>
        <w:t>At the 33</w:t>
      </w:r>
      <w:r w:rsidRPr="00DE750F">
        <w:t>rd</w:t>
      </w:r>
      <w:r>
        <w:t xml:space="preserve"> WP</w:t>
      </w:r>
      <w:r w:rsidR="00391BCF">
        <w:t xml:space="preserve"> </w:t>
      </w:r>
      <w:r>
        <w:t>5D, AEG did not provide evaluation for TSDSI, due to time constraints and to ensure that the evaluation work does not get delayed, the AEG had to focus on the “simulation approach” for submission of TSDSI RIT [1]. This report focuses on evaluation of the (1)</w:t>
      </w:r>
      <w:r w:rsidRPr="00041AFD">
        <w:t xml:space="preserve"> </w:t>
      </w:r>
      <w:r w:rsidRPr="00965CD1">
        <w:rPr>
          <w:i/>
        </w:rPr>
        <w:t>5th percentile user spectral efficiency</w:t>
      </w:r>
      <w:r w:rsidRPr="00041AFD">
        <w:t>,</w:t>
      </w:r>
      <w:r>
        <w:t xml:space="preserve"> and</w:t>
      </w:r>
      <w:r w:rsidRPr="00041AFD">
        <w:t xml:space="preserve"> </w:t>
      </w:r>
      <w:r>
        <w:t xml:space="preserve">(2) </w:t>
      </w:r>
      <w:r>
        <w:rPr>
          <w:i/>
        </w:rPr>
        <w:t>average spectral efficiency.</w:t>
      </w:r>
    </w:p>
    <w:p w:rsidR="0075731F" w:rsidRDefault="0075731F" w:rsidP="00391BCF">
      <w:pPr>
        <w:rPr>
          <w:lang w:eastAsia="ko-KR"/>
        </w:rPr>
      </w:pPr>
      <w:r w:rsidRPr="00041AFD">
        <w:t xml:space="preserve">This </w:t>
      </w:r>
      <w:r>
        <w:t xml:space="preserve">submission covers </w:t>
      </w:r>
      <w:r w:rsidRPr="00041AFD">
        <w:t xml:space="preserve">items labelled </w:t>
      </w:r>
      <w:r>
        <w:t xml:space="preserve">“Simulation” </w:t>
      </w:r>
      <w:r w:rsidRPr="00041AFD">
        <w:t xml:space="preserve">in Table 1 </w:t>
      </w:r>
      <w:r w:rsidRPr="00FF39DD">
        <w:rPr>
          <w:i/>
        </w:rPr>
        <w:t>“Summary of evaluation methodologies</w:t>
      </w:r>
      <w:r>
        <w:t xml:space="preserve">” </w:t>
      </w:r>
      <w:r w:rsidRPr="00041AFD">
        <w:t>of ITU-R M.2412-0. The assessment criteria from</w:t>
      </w:r>
      <w:r w:rsidR="00391BCF">
        <w:t xml:space="preserve"> Reports ITU-R </w:t>
      </w:r>
      <w:r w:rsidRPr="00041AFD">
        <w:t>M.2410-0 (11/2017),</w:t>
      </w:r>
      <w:r w:rsidR="00391BCF">
        <w:t xml:space="preserve"> ITU-R</w:t>
      </w:r>
      <w:r w:rsidRPr="00041AFD">
        <w:t xml:space="preserve"> M.2411-0 (11/2017) and </w:t>
      </w:r>
      <w:r w:rsidR="00391BCF">
        <w:t xml:space="preserve">ITU-R </w:t>
      </w:r>
      <w:r w:rsidRPr="00041AFD">
        <w:t>M.2412-0 (10/2017) have been followed</w:t>
      </w:r>
      <w:r w:rsidRPr="00041AFD">
        <w:rPr>
          <w:lang w:eastAsia="ko-KR"/>
        </w:rPr>
        <w:t>.</w:t>
      </w:r>
    </w:p>
    <w:p w:rsidR="0075731F" w:rsidRPr="00FE35BD" w:rsidRDefault="0075731F" w:rsidP="0075731F">
      <w:r>
        <w:rPr>
          <w:lang w:eastAsia="ko-KR"/>
        </w:rPr>
        <w:t xml:space="preserve">NB: </w:t>
      </w:r>
      <w:r>
        <w:t>The simulation analysis of the TSDSI RIT is compared with 3GPP RIT throughout this report.</w:t>
      </w:r>
    </w:p>
    <w:p w:rsidR="0075731F" w:rsidRPr="00041AFD" w:rsidRDefault="0075731F" w:rsidP="0075731F">
      <w:pPr>
        <w:pStyle w:val="Heading1"/>
      </w:pPr>
      <w:r>
        <w:t>2</w:t>
      </w:r>
      <w:r>
        <w:tab/>
      </w:r>
      <w:r w:rsidRPr="00041AFD">
        <w:t>Evaluation of Technical Performance Requirements (TPR)</w:t>
      </w:r>
    </w:p>
    <w:p w:rsidR="0075731F" w:rsidRPr="00041AFD" w:rsidRDefault="0075731F" w:rsidP="0075731F">
      <w:r w:rsidRPr="00041AFD">
        <w:t xml:space="preserve">This section evaluates TPR of the </w:t>
      </w:r>
      <w:r>
        <w:t xml:space="preserve">TSDSI </w:t>
      </w:r>
      <w:r w:rsidRPr="00041AFD">
        <w:t xml:space="preserve">submission </w:t>
      </w:r>
      <w:r>
        <w:t>for</w:t>
      </w:r>
      <w:r w:rsidRPr="00041AFD">
        <w:t xml:space="preserve"> IMT-2020.</w:t>
      </w:r>
    </w:p>
    <w:p w:rsidR="0075731F" w:rsidRDefault="0075731F" w:rsidP="0075731F">
      <w:pPr>
        <w:pStyle w:val="Heading2"/>
        <w:rPr>
          <w:rFonts w:eastAsia="MS Mincho"/>
          <w:lang w:val="en-US"/>
        </w:rPr>
      </w:pPr>
      <w:r>
        <w:rPr>
          <w:rFonts w:eastAsia="MS Mincho"/>
          <w:lang w:val="en-US"/>
        </w:rPr>
        <w:t>2.1</w:t>
      </w:r>
      <w:r>
        <w:rPr>
          <w:rFonts w:eastAsia="MS Mincho"/>
          <w:lang w:val="en-US"/>
        </w:rPr>
        <w:tab/>
        <w:t>5</w:t>
      </w:r>
      <w:r w:rsidRPr="00CC79A4">
        <w:rPr>
          <w:rFonts w:eastAsia="MS Mincho"/>
          <w:vertAlign w:val="superscript"/>
          <w:lang w:val="en-US"/>
        </w:rPr>
        <w:t>th</w:t>
      </w:r>
      <w:r>
        <w:rPr>
          <w:rFonts w:eastAsia="MS Mincho"/>
          <w:lang w:val="en-US"/>
        </w:rPr>
        <w:t xml:space="preserve"> </w:t>
      </w:r>
      <w:r w:rsidRPr="00A024D6">
        <w:rPr>
          <w:rFonts w:eastAsia="MS Mincho"/>
          <w:lang w:val="en-US"/>
        </w:rPr>
        <w:t>percentile user spectral efficiency</w:t>
      </w:r>
    </w:p>
    <w:p w:rsidR="0075731F" w:rsidRDefault="0075731F" w:rsidP="0075731F">
      <w:r w:rsidRPr="00EF27F0">
        <w:rPr>
          <w:rFonts w:hint="eastAsia"/>
        </w:rPr>
        <w:t>As defined in Report ITU-R M.2410</w:t>
      </w:r>
      <w:r>
        <w:t>-0</w:t>
      </w:r>
      <w:r w:rsidRPr="00EF27F0">
        <w:t xml:space="preserve">, </w:t>
      </w:r>
      <w:r>
        <w:t>t</w:t>
      </w:r>
      <w:r w:rsidRPr="00BC704D">
        <w:t>he 5</w:t>
      </w:r>
      <w:r w:rsidRPr="00CC79A4">
        <w:rPr>
          <w:vertAlign w:val="superscript"/>
        </w:rPr>
        <w:t>th</w:t>
      </w:r>
      <w:r w:rsidRPr="00BC704D">
        <w:t xml:space="preserve"> percentile user spectral efficiency is the 5% point of the </w:t>
      </w:r>
      <w:r w:rsidRPr="00C86782">
        <w:t>cumulative distribution function (CDF)</w:t>
      </w:r>
      <w:r w:rsidRPr="005A47AE">
        <w:rPr>
          <w:lang w:val="en-US" w:eastAsia="ko-KR"/>
        </w:rPr>
        <w:t xml:space="preserve"> </w:t>
      </w:r>
      <w:r w:rsidRPr="00BC704D">
        <w:t xml:space="preserve">of the normalized user throughput. The normalized user throughput is defined as the number of correctly received bits, i.e. the number of bits contained in the </w:t>
      </w:r>
      <w:r w:rsidRPr="00C86782">
        <w:t>service data units (SDUs)</w:t>
      </w:r>
      <w:r w:rsidRPr="002D750C">
        <w:rPr>
          <w:lang w:val="en-US"/>
        </w:rPr>
        <w:t xml:space="preserve"> </w:t>
      </w:r>
      <w:r w:rsidRPr="00BC704D">
        <w:t>delivered to Layer 3, over a certain period of time, divided by the channel bandwidth and is measured in bit/s/Hz.</w:t>
      </w:r>
    </w:p>
    <w:p w:rsidR="0075731F" w:rsidRPr="00C86782" w:rsidRDefault="0075731F" w:rsidP="0075731F">
      <w:r w:rsidRPr="00C86782">
        <w:t>The channel bandwidth for this purpose is defined as the effective bandwidth times the frequency reuse factor, where the effective bandwidth is the operating bandwidth normalized appropriately considering the uplink/downlink ratio.</w:t>
      </w:r>
    </w:p>
    <w:p w:rsidR="0075731F" w:rsidRDefault="0075731F" w:rsidP="00C80739">
      <w:r w:rsidRPr="00EF27F0">
        <w:t>As required by Report ITU-R M.2412</w:t>
      </w:r>
      <w:r>
        <w:t>-0</w:t>
      </w:r>
      <w:r w:rsidRPr="00EF27F0">
        <w:t>, 5</w:t>
      </w:r>
      <w:r w:rsidRPr="00CC79A4">
        <w:rPr>
          <w:vertAlign w:val="superscript"/>
        </w:rPr>
        <w:t>th</w:t>
      </w:r>
      <w:r w:rsidRPr="00EF27F0">
        <w:t xml:space="preserve"> percentile user spectral efficiency shall be assessed jointly with average spectral efficiency using the same simulation. Therefore, the evaluation results of the 5</w:t>
      </w:r>
      <w:r w:rsidRPr="00CC79A4">
        <w:rPr>
          <w:vertAlign w:val="superscript"/>
        </w:rPr>
        <w:t>th</w:t>
      </w:r>
      <w:r w:rsidRPr="00EF27F0">
        <w:t xml:space="preserve"> percentile user spectral efficiency are provided together with average spectral efficiency in</w:t>
      </w:r>
      <w:r w:rsidR="00C80739">
        <w:t> 2.2</w:t>
      </w:r>
      <w:r>
        <w:t xml:space="preserve"> below.</w:t>
      </w:r>
    </w:p>
    <w:p w:rsidR="0075731F" w:rsidRDefault="0075731F" w:rsidP="0075731F">
      <w:pPr>
        <w:pStyle w:val="Heading2"/>
        <w:rPr>
          <w:rFonts w:eastAsia="MS Mincho"/>
          <w:lang w:val="en-US"/>
        </w:rPr>
      </w:pPr>
      <w:bookmarkStart w:id="9" w:name="_Ref32333641"/>
      <w:r>
        <w:rPr>
          <w:rFonts w:eastAsia="MS Mincho"/>
          <w:lang w:val="en-US"/>
        </w:rPr>
        <w:t>2.2</w:t>
      </w:r>
      <w:r>
        <w:rPr>
          <w:rFonts w:eastAsia="MS Mincho"/>
          <w:lang w:val="en-US"/>
        </w:rPr>
        <w:tab/>
        <w:t>Average</w:t>
      </w:r>
      <w:r w:rsidRPr="00A024D6">
        <w:rPr>
          <w:rFonts w:eastAsia="MS Mincho"/>
          <w:lang w:val="en-US"/>
        </w:rPr>
        <w:t xml:space="preserve"> spectral efficiency</w:t>
      </w:r>
      <w:bookmarkEnd w:id="9"/>
    </w:p>
    <w:p w:rsidR="0075731F" w:rsidRDefault="0075731F" w:rsidP="0075731F">
      <w:r w:rsidRPr="00593DA7">
        <w:t>As defined in Report ITU-R M.2410</w:t>
      </w:r>
      <w:r>
        <w:t>-0</w:t>
      </w:r>
      <w:r w:rsidRPr="00593DA7">
        <w:t xml:space="preserve">, average spectral efficiency is the aggregate throughput of all users (the number of correctly received bits, i.e. the number of bits contained in the SDUs delivered to Layer 3, over a certain period of time) divided by the channel bandwidth of a specific band divided by the number of </w:t>
      </w:r>
      <w:proofErr w:type="spellStart"/>
      <w:r w:rsidRPr="00593DA7">
        <w:t>TRxPs</w:t>
      </w:r>
      <w:proofErr w:type="spellEnd"/>
      <w:r w:rsidRPr="00593DA7">
        <w:t xml:space="preserve"> and is measured in bit/s/Hz/</w:t>
      </w:r>
      <w:proofErr w:type="spellStart"/>
      <w:r w:rsidRPr="00593DA7">
        <w:t>TRxP</w:t>
      </w:r>
      <w:proofErr w:type="spellEnd"/>
      <w:r w:rsidRPr="00593DA7">
        <w:t>.</w:t>
      </w:r>
    </w:p>
    <w:p w:rsidR="0075731F" w:rsidRDefault="0075731F" w:rsidP="0075731F">
      <w:r w:rsidRPr="00593DA7">
        <w:t xml:space="preserve">The evaluation of the </w:t>
      </w:r>
      <w:r>
        <w:t xml:space="preserve">average </w:t>
      </w:r>
      <w:r w:rsidRPr="00593DA7">
        <w:t xml:space="preserve">spectral efficiency is conducted for the </w:t>
      </w:r>
      <w:r>
        <w:t>two</w:t>
      </w:r>
      <w:r w:rsidRPr="00593DA7">
        <w:t xml:space="preserve"> diffe</w:t>
      </w:r>
      <w:r>
        <w:t>rent test environments of Dense U</w:t>
      </w:r>
      <w:r w:rsidRPr="00593DA7">
        <w:t xml:space="preserve">rban </w:t>
      </w:r>
      <w:r>
        <w:t xml:space="preserve">– </w:t>
      </w:r>
      <w:proofErr w:type="spellStart"/>
      <w:r>
        <w:t>eMBB</w:t>
      </w:r>
      <w:proofErr w:type="spellEnd"/>
      <w:r>
        <w:t xml:space="preserve"> and R</w:t>
      </w:r>
      <w:r w:rsidRPr="00593DA7">
        <w:t>ural</w:t>
      </w:r>
      <w:r>
        <w:t xml:space="preserve"> – </w:t>
      </w:r>
      <w:proofErr w:type="spellStart"/>
      <w:r>
        <w:t>eMBB</w:t>
      </w:r>
      <w:proofErr w:type="spellEnd"/>
      <w:r w:rsidRPr="00593DA7">
        <w:t>. The test environments and evaluation configuration parameters are described in</w:t>
      </w:r>
      <w:r w:rsidRPr="005A2A0A">
        <w:t xml:space="preserve"> </w:t>
      </w:r>
      <w:r w:rsidRPr="00593DA7">
        <w:t>Re</w:t>
      </w:r>
      <w:r>
        <w:t>port ITU-R M.2412-0</w:t>
      </w:r>
      <w:r w:rsidRPr="00593DA7">
        <w:t xml:space="preserve">. Further evaluation assumptions can be found in </w:t>
      </w:r>
      <w:r>
        <w:t>Annex</w:t>
      </w:r>
      <w:r w:rsidRPr="00593DA7">
        <w:t xml:space="preserve"> </w:t>
      </w:r>
      <w:r>
        <w:t>A</w:t>
      </w:r>
      <w:r w:rsidRPr="00593DA7">
        <w:t>.</w:t>
      </w:r>
      <w:r>
        <w:t xml:space="preserve"> </w:t>
      </w:r>
    </w:p>
    <w:p w:rsidR="0075731F" w:rsidRPr="002A6BCC" w:rsidRDefault="0075731F" w:rsidP="0075731F">
      <w:pPr>
        <w:pStyle w:val="Heading3"/>
        <w:rPr>
          <w:rFonts w:eastAsia="MS Mincho"/>
          <w:lang w:val="en-US"/>
        </w:rPr>
      </w:pPr>
      <w:r w:rsidRPr="002A6BCC">
        <w:rPr>
          <w:rFonts w:eastAsia="MS Mincho"/>
          <w:lang w:val="en-US"/>
        </w:rPr>
        <w:t xml:space="preserve">2.2.1 </w:t>
      </w:r>
      <w:r>
        <w:rPr>
          <w:rFonts w:eastAsia="MS Mincho"/>
          <w:lang w:val="en-US"/>
        </w:rPr>
        <w:tab/>
      </w:r>
      <w:r w:rsidRPr="002A6BCC">
        <w:rPr>
          <w:rFonts w:eastAsia="MS Mincho"/>
          <w:lang w:val="en-US"/>
        </w:rPr>
        <w:t>Technical features for TSDSI</w:t>
      </w:r>
    </w:p>
    <w:p w:rsidR="0075731F" w:rsidRPr="002A6BCC" w:rsidRDefault="0075731F" w:rsidP="00C80739">
      <w:r w:rsidRPr="002A6BCC">
        <w:t xml:space="preserve">According to </w:t>
      </w:r>
      <w:r>
        <w:t xml:space="preserve">TSDSI </w:t>
      </w:r>
      <w:r w:rsidRPr="002A6BCC">
        <w:t>RIT in</w:t>
      </w:r>
      <w:r w:rsidR="00391BCF">
        <w:t xml:space="preserve"> [1]</w:t>
      </w:r>
      <w:r w:rsidRPr="002A6BCC">
        <w:t>, the new technology features differ</w:t>
      </w:r>
      <w:r>
        <w:t xml:space="preserve">ent </w:t>
      </w:r>
      <w:r w:rsidRPr="002A6BCC">
        <w:t>from 3GPP</w:t>
      </w:r>
      <w:r>
        <w:t xml:space="preserve"> RIT</w:t>
      </w:r>
      <w:r w:rsidRPr="002A6BCC">
        <w:t xml:space="preserve"> are summarized as follow</w:t>
      </w:r>
      <w:r>
        <w:t>s</w:t>
      </w:r>
      <w:proofErr w:type="gramStart"/>
      <w:r>
        <w:t>:</w:t>
      </w:r>
      <w:r w:rsidRPr="002A6BCC">
        <w:t>.</w:t>
      </w:r>
      <w:proofErr w:type="gramEnd"/>
    </w:p>
    <w:p w:rsidR="0075731F" w:rsidRPr="002A6BCC" w:rsidRDefault="0075731F" w:rsidP="00391BCF">
      <w:pPr>
        <w:pStyle w:val="ListParagraph"/>
        <w:numPr>
          <w:ilvl w:val="0"/>
          <w:numId w:val="4"/>
        </w:numPr>
        <w:tabs>
          <w:tab w:val="clear" w:pos="794"/>
        </w:tabs>
        <w:ind w:left="1134" w:hanging="1134"/>
        <w:contextualSpacing w:val="0"/>
        <w:jc w:val="left"/>
        <w:rPr>
          <w:i/>
          <w:szCs w:val="24"/>
          <w:lang w:val="en-GB"/>
        </w:rPr>
      </w:pPr>
      <w:r w:rsidRPr="00C86782">
        <w:rPr>
          <w:b/>
          <w:i/>
          <w:szCs w:val="24"/>
          <w:lang w:val="en-GB"/>
        </w:rPr>
        <w:t>Feature 1:</w:t>
      </w:r>
      <w:r w:rsidRPr="002A6BCC">
        <w:rPr>
          <w:i/>
          <w:szCs w:val="24"/>
          <w:lang w:val="en-GB"/>
        </w:rPr>
        <w:t xml:space="preserve"> The configuration of resource block group (RBG) size is not determined by bandwidth part size (BWP) size. For 3GPP specification</w:t>
      </w:r>
      <w:r w:rsidR="00391BCF">
        <w:rPr>
          <w:i/>
          <w:szCs w:val="24"/>
          <w:lang w:val="en-GB"/>
        </w:rPr>
        <w:t xml:space="preserve"> [2]</w:t>
      </w:r>
      <w:r w:rsidRPr="002A6BCC">
        <w:rPr>
          <w:i/>
          <w:szCs w:val="24"/>
          <w:lang w:val="en-GB"/>
        </w:rPr>
        <w:t>, the RBG size is determined by BWP size</w:t>
      </w:r>
      <w:r w:rsidR="00391BCF">
        <w:rPr>
          <w:i/>
          <w:szCs w:val="24"/>
          <w:lang w:val="en-GB"/>
        </w:rPr>
        <w:t>.</w:t>
      </w:r>
    </w:p>
    <w:p w:rsidR="0075731F" w:rsidRPr="002A6BCC" w:rsidRDefault="0075731F" w:rsidP="00391BCF">
      <w:pPr>
        <w:pStyle w:val="ListParagraph"/>
        <w:numPr>
          <w:ilvl w:val="0"/>
          <w:numId w:val="4"/>
        </w:numPr>
        <w:tabs>
          <w:tab w:val="clear" w:pos="794"/>
        </w:tabs>
        <w:ind w:left="1134" w:hanging="1134"/>
        <w:contextualSpacing w:val="0"/>
        <w:jc w:val="left"/>
        <w:rPr>
          <w:i/>
          <w:iCs/>
          <w:szCs w:val="24"/>
          <w:lang w:val="en-GB"/>
        </w:rPr>
      </w:pPr>
      <w:r w:rsidRPr="00C86782">
        <w:rPr>
          <w:b/>
          <w:i/>
          <w:iCs/>
          <w:szCs w:val="24"/>
          <w:lang w:val="en-GB"/>
        </w:rPr>
        <w:t>Feature 2</w:t>
      </w:r>
      <w:r w:rsidRPr="002A6BCC">
        <w:rPr>
          <w:i/>
          <w:iCs/>
          <w:szCs w:val="24"/>
          <w:lang w:val="en-GB"/>
        </w:rPr>
        <w:t>: Shorter processing time between NZP-CSI-RS and aperiodic SRS is supported, as defined in</w:t>
      </w:r>
      <w:r w:rsidR="00391BCF">
        <w:rPr>
          <w:i/>
          <w:iCs/>
          <w:szCs w:val="24"/>
          <w:lang w:val="en-GB"/>
        </w:rPr>
        <w:t xml:space="preserve"> Table 1</w:t>
      </w:r>
      <w:r w:rsidRPr="002A6BCC">
        <w:rPr>
          <w:i/>
          <w:iCs/>
          <w:szCs w:val="24"/>
          <w:lang w:val="en-GB"/>
        </w:rPr>
        <w:t>. For 3GPP specification</w:t>
      </w:r>
      <w:r w:rsidR="00391BCF">
        <w:rPr>
          <w:i/>
          <w:iCs/>
          <w:szCs w:val="24"/>
          <w:lang w:val="en-GB"/>
        </w:rPr>
        <w:t xml:space="preserve"> [2]</w:t>
      </w:r>
      <w:r w:rsidRPr="002A6BCC">
        <w:rPr>
          <w:i/>
          <w:iCs/>
          <w:szCs w:val="24"/>
          <w:lang w:val="en-GB"/>
        </w:rPr>
        <w:t>, the delay is 42 symbols.</w:t>
      </w:r>
    </w:p>
    <w:p w:rsidR="0075731F" w:rsidRDefault="0075731F" w:rsidP="00391BCF">
      <w:pPr>
        <w:pStyle w:val="TableNo"/>
      </w:pPr>
      <w:bookmarkStart w:id="10" w:name="_Ref32342100"/>
      <w:bookmarkStart w:id="11" w:name="_Ref31795310"/>
      <w:bookmarkStart w:id="12" w:name="_Toc31943227"/>
      <w:bookmarkStart w:id="13" w:name="_Toc31943707"/>
      <w:bookmarkStart w:id="14" w:name="_Toc31944267"/>
      <w:r w:rsidRPr="00363C6B">
        <w:t>Table</w:t>
      </w:r>
      <w:r w:rsidR="00391BCF">
        <w:t xml:space="preserve"> 1</w:t>
      </w:r>
      <w:bookmarkEnd w:id="10"/>
      <w:r w:rsidRPr="00363C6B">
        <w:t xml:space="preserve"> </w:t>
      </w:r>
    </w:p>
    <w:p w:rsidR="0075731F" w:rsidRPr="00363C6B" w:rsidRDefault="0075731F" w:rsidP="00391BCF">
      <w:pPr>
        <w:pStyle w:val="Tabletitle"/>
        <w:rPr>
          <w:i/>
        </w:rPr>
      </w:pPr>
      <w:r w:rsidRPr="00363C6B">
        <w:rPr>
          <w:rFonts w:eastAsia="MS Mincho"/>
        </w:rPr>
        <w:t>T</w:t>
      </w:r>
      <w:r w:rsidRPr="00363C6B">
        <w:rPr>
          <w:rFonts w:eastAsiaTheme="minorEastAsia"/>
          <w:lang w:eastAsia="zh-CN"/>
        </w:rPr>
        <w:t>he delay configuration for SRS precoding</w:t>
      </w:r>
      <w:bookmarkEnd w:id="11"/>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858"/>
      </w:tblGrid>
      <w:tr w:rsidR="0075731F" w:rsidRPr="002A6BCC" w:rsidTr="00C80739">
        <w:trPr>
          <w:jc w:val="center"/>
        </w:trPr>
        <w:tc>
          <w:tcPr>
            <w:tcW w:w="2953" w:type="dxa"/>
            <w:vAlign w:val="center"/>
          </w:tcPr>
          <w:p w:rsidR="0075731F" w:rsidRPr="002A6BCC" w:rsidRDefault="0075731F" w:rsidP="00C80739">
            <w:pPr>
              <w:pStyle w:val="Tablehead"/>
            </w:pPr>
            <w:r w:rsidRPr="002A6BCC">
              <w:t>μ (Numerology)</w:t>
            </w:r>
          </w:p>
        </w:tc>
        <w:tc>
          <w:tcPr>
            <w:tcW w:w="2858" w:type="dxa"/>
          </w:tcPr>
          <w:p w:rsidR="0075731F" w:rsidRPr="002A6BCC" w:rsidRDefault="0075731F" w:rsidP="00391BCF">
            <w:pPr>
              <w:pStyle w:val="Tablehead"/>
              <w:rPr>
                <w:lang w:eastAsia="zh-CN"/>
              </w:rPr>
            </w:pPr>
            <w:r w:rsidRPr="002A6BCC">
              <w:rPr>
                <w:lang w:eastAsia="zh-CN"/>
              </w:rPr>
              <w:t>Delay in number of OFDM symbols</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0</w:t>
            </w:r>
          </w:p>
        </w:tc>
        <w:tc>
          <w:tcPr>
            <w:tcW w:w="2858" w:type="dxa"/>
            <w:vAlign w:val="center"/>
          </w:tcPr>
          <w:p w:rsidR="0075731F" w:rsidRPr="002A6BCC" w:rsidRDefault="0075731F" w:rsidP="00391BCF">
            <w:pPr>
              <w:pStyle w:val="Tabletext"/>
              <w:jc w:val="center"/>
              <w:rPr>
                <w:lang w:eastAsia="zh-CN"/>
              </w:rPr>
            </w:pPr>
            <w:r w:rsidRPr="002A6BCC">
              <w:rPr>
                <w:lang w:eastAsia="zh-CN"/>
              </w:rPr>
              <w:t>4</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1</w:t>
            </w:r>
          </w:p>
        </w:tc>
        <w:tc>
          <w:tcPr>
            <w:tcW w:w="2858" w:type="dxa"/>
            <w:vAlign w:val="center"/>
          </w:tcPr>
          <w:p w:rsidR="0075731F" w:rsidRPr="002A6BCC" w:rsidRDefault="0075731F" w:rsidP="00391BCF">
            <w:pPr>
              <w:pStyle w:val="Tabletext"/>
              <w:jc w:val="center"/>
              <w:rPr>
                <w:lang w:eastAsia="zh-CN"/>
              </w:rPr>
            </w:pPr>
            <w:r w:rsidRPr="002A6BCC">
              <w:rPr>
                <w:lang w:eastAsia="zh-CN"/>
              </w:rPr>
              <w:t>7</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2</w:t>
            </w:r>
          </w:p>
        </w:tc>
        <w:tc>
          <w:tcPr>
            <w:tcW w:w="2858" w:type="dxa"/>
            <w:vAlign w:val="center"/>
          </w:tcPr>
          <w:p w:rsidR="0075731F" w:rsidRPr="002A6BCC" w:rsidRDefault="0075731F" w:rsidP="00391BCF">
            <w:pPr>
              <w:pStyle w:val="Tabletext"/>
              <w:jc w:val="center"/>
              <w:rPr>
                <w:lang w:eastAsia="zh-CN"/>
              </w:rPr>
            </w:pPr>
            <w:r w:rsidRPr="002A6BCC">
              <w:rPr>
                <w:lang w:eastAsia="zh-CN"/>
              </w:rPr>
              <w:t>14</w:t>
            </w:r>
          </w:p>
        </w:tc>
      </w:tr>
      <w:tr w:rsidR="0075731F" w:rsidRPr="002A6BCC" w:rsidTr="00391BCF">
        <w:trPr>
          <w:jc w:val="center"/>
        </w:trPr>
        <w:tc>
          <w:tcPr>
            <w:tcW w:w="2953" w:type="dxa"/>
            <w:vAlign w:val="center"/>
          </w:tcPr>
          <w:p w:rsidR="0075731F" w:rsidRPr="002A6BCC" w:rsidRDefault="0075731F" w:rsidP="00391BCF">
            <w:pPr>
              <w:pStyle w:val="Tabletext"/>
              <w:jc w:val="center"/>
              <w:rPr>
                <w:lang w:eastAsia="zh-CN"/>
              </w:rPr>
            </w:pPr>
            <w:r w:rsidRPr="002A6BCC">
              <w:rPr>
                <w:lang w:eastAsia="zh-CN"/>
              </w:rPr>
              <w:t>3</w:t>
            </w:r>
          </w:p>
        </w:tc>
        <w:tc>
          <w:tcPr>
            <w:tcW w:w="2858" w:type="dxa"/>
            <w:vAlign w:val="center"/>
          </w:tcPr>
          <w:p w:rsidR="0075731F" w:rsidRPr="002A6BCC" w:rsidRDefault="0075731F" w:rsidP="00391BCF">
            <w:pPr>
              <w:pStyle w:val="Tabletext"/>
              <w:jc w:val="center"/>
              <w:rPr>
                <w:lang w:eastAsia="zh-CN"/>
              </w:rPr>
            </w:pPr>
            <w:r w:rsidRPr="002A6BCC">
              <w:rPr>
                <w:lang w:eastAsia="zh-CN"/>
              </w:rPr>
              <w:t>29</w:t>
            </w:r>
          </w:p>
        </w:tc>
      </w:tr>
    </w:tbl>
    <w:p w:rsidR="0075731F" w:rsidRPr="002A6BCC" w:rsidRDefault="0075731F" w:rsidP="00391BCF">
      <w:pPr>
        <w:pStyle w:val="ListParagraph"/>
        <w:numPr>
          <w:ilvl w:val="0"/>
          <w:numId w:val="4"/>
        </w:numPr>
        <w:tabs>
          <w:tab w:val="clear" w:pos="794"/>
        </w:tabs>
        <w:ind w:left="1134" w:hanging="1134"/>
        <w:contextualSpacing w:val="0"/>
        <w:jc w:val="left"/>
        <w:rPr>
          <w:i/>
          <w:iCs/>
          <w:szCs w:val="24"/>
          <w:lang w:val="en-GB"/>
        </w:rPr>
      </w:pPr>
      <w:r w:rsidRPr="00C86782">
        <w:rPr>
          <w:b/>
          <w:i/>
          <w:iCs/>
          <w:szCs w:val="24"/>
          <w:lang w:val="en-GB"/>
        </w:rPr>
        <w:t>Feature 3:</w:t>
      </w:r>
      <w:r w:rsidRPr="002A6BCC">
        <w:rPr>
          <w:i/>
          <w:iCs/>
          <w:szCs w:val="24"/>
          <w:lang w:val="en-GB"/>
        </w:rPr>
        <w:t xml:space="preserve"> Mandating pi/2 BPSK with spectrum shaping filter and mandating 26 </w:t>
      </w:r>
      <w:proofErr w:type="spellStart"/>
      <w:r w:rsidRPr="002A6BCC">
        <w:rPr>
          <w:i/>
          <w:iCs/>
          <w:szCs w:val="24"/>
          <w:lang w:val="en-GB"/>
        </w:rPr>
        <w:t>dBm</w:t>
      </w:r>
      <w:proofErr w:type="spellEnd"/>
      <w:r w:rsidRPr="002A6BCC">
        <w:rPr>
          <w:i/>
          <w:iCs/>
          <w:szCs w:val="24"/>
          <w:lang w:val="en-GB"/>
        </w:rPr>
        <w:t xml:space="preserve"> for Pi/2 BPSK. Configurable </w:t>
      </w:r>
      <w:proofErr w:type="spellStart"/>
      <w:proofErr w:type="gramStart"/>
      <w:r w:rsidRPr="002A6BCC">
        <w:rPr>
          <w:i/>
          <w:iCs/>
          <w:szCs w:val="24"/>
          <w:lang w:val="en-GB"/>
        </w:rPr>
        <w:t>Tx</w:t>
      </w:r>
      <w:proofErr w:type="spellEnd"/>
      <w:proofErr w:type="gramEnd"/>
      <w:r w:rsidRPr="002A6BCC">
        <w:rPr>
          <w:i/>
          <w:iCs/>
          <w:szCs w:val="24"/>
          <w:lang w:val="en-GB"/>
        </w:rPr>
        <w:t xml:space="preserve"> power for DMRS and data when Pi/2 BPSK is used.</w:t>
      </w:r>
    </w:p>
    <w:p w:rsidR="0075731F" w:rsidRPr="002A6BCC" w:rsidRDefault="0075731F" w:rsidP="00391BCF">
      <w:pPr>
        <w:pStyle w:val="ListParagraph"/>
        <w:numPr>
          <w:ilvl w:val="0"/>
          <w:numId w:val="4"/>
        </w:numPr>
        <w:tabs>
          <w:tab w:val="clear" w:pos="794"/>
        </w:tabs>
        <w:ind w:left="1134" w:hanging="1134"/>
        <w:contextualSpacing w:val="0"/>
        <w:jc w:val="left"/>
        <w:rPr>
          <w:i/>
          <w:iCs/>
          <w:szCs w:val="24"/>
          <w:lang w:val="en-GB"/>
        </w:rPr>
      </w:pPr>
      <w:r w:rsidRPr="00C86782">
        <w:rPr>
          <w:b/>
          <w:i/>
          <w:iCs/>
          <w:szCs w:val="24"/>
          <w:lang w:val="en-GB"/>
        </w:rPr>
        <w:t>Feature 4:</w:t>
      </w:r>
      <w:r w:rsidRPr="002A6BCC">
        <w:rPr>
          <w:i/>
          <w:iCs/>
          <w:szCs w:val="24"/>
          <w:lang w:val="en-GB"/>
        </w:rPr>
        <w:t xml:space="preserve"> Provide additional phase tracking reference signal (PTRS) density determination.</w:t>
      </w:r>
    </w:p>
    <w:p w:rsidR="0075731F" w:rsidRDefault="0075731F" w:rsidP="0075731F">
      <w:pPr>
        <w:rPr>
          <w:szCs w:val="24"/>
          <w:lang w:eastAsia="zh-CN"/>
        </w:rPr>
      </w:pPr>
      <w:r>
        <w:rPr>
          <w:szCs w:val="24"/>
        </w:rPr>
        <w:t>NB: I</w:t>
      </w:r>
      <w:r w:rsidRPr="002A6BCC">
        <w:rPr>
          <w:szCs w:val="24"/>
        </w:rPr>
        <w:t>f t</w:t>
      </w:r>
      <w:r>
        <w:rPr>
          <w:szCs w:val="24"/>
        </w:rPr>
        <w:t>he</w:t>
      </w:r>
      <w:r w:rsidRPr="002A6BCC">
        <w:rPr>
          <w:szCs w:val="24"/>
        </w:rPr>
        <w:t xml:space="preserve"> </w:t>
      </w:r>
      <w:r>
        <w:rPr>
          <w:szCs w:val="24"/>
        </w:rPr>
        <w:t xml:space="preserve">above </w:t>
      </w:r>
      <w:r w:rsidRPr="002A6BCC">
        <w:rPr>
          <w:szCs w:val="24"/>
        </w:rPr>
        <w:t>features</w:t>
      </w:r>
      <w:r>
        <w:rPr>
          <w:szCs w:val="24"/>
        </w:rPr>
        <w:t xml:space="preserve"> in the TSDSI</w:t>
      </w:r>
      <w:r w:rsidRPr="002A6BCC">
        <w:rPr>
          <w:szCs w:val="24"/>
        </w:rPr>
        <w:t xml:space="preserve"> </w:t>
      </w:r>
      <w:r>
        <w:rPr>
          <w:szCs w:val="24"/>
        </w:rPr>
        <w:t xml:space="preserve">RIT </w:t>
      </w:r>
      <w:r w:rsidRPr="002A6BCC">
        <w:rPr>
          <w:szCs w:val="24"/>
        </w:rPr>
        <w:t>are not applied, the evaluation results would be the same as that submitted by 3GPP</w:t>
      </w:r>
    </w:p>
    <w:p w:rsidR="0075731F" w:rsidRPr="002A6BCC" w:rsidRDefault="0075731F" w:rsidP="0075731F">
      <w:r w:rsidRPr="002A6BCC">
        <w:rPr>
          <w:szCs w:val="24"/>
          <w:lang w:eastAsia="zh-CN"/>
        </w:rPr>
        <w:t>In the following sub-sections, the potential performance gain for the above technical features except PTRS enhancement will be evaluated. In sub-6 GHz, PTRS is usually not configured. All PRTS density configurations allowed by TSDSI are also allowed by 3GPP specification, thus no PTRS overhead saving can be achieved by TSDSI compared to 3GPP.</w:t>
      </w:r>
    </w:p>
    <w:p w:rsidR="0075731F" w:rsidRDefault="0075731F" w:rsidP="0075731F">
      <w:pPr>
        <w:pStyle w:val="Heading3"/>
        <w:rPr>
          <w:rFonts w:eastAsia="MS Mincho"/>
          <w:lang w:val="en-US"/>
        </w:rPr>
      </w:pPr>
      <w:r>
        <w:rPr>
          <w:rFonts w:eastAsia="MS Mincho"/>
          <w:lang w:val="en-US"/>
        </w:rPr>
        <w:t>2.2.2</w:t>
      </w:r>
      <w:r w:rsidRPr="002A6BCC">
        <w:rPr>
          <w:rFonts w:eastAsia="MS Mincho"/>
          <w:lang w:val="en-US"/>
        </w:rPr>
        <w:t xml:space="preserve"> </w:t>
      </w:r>
      <w:r>
        <w:rPr>
          <w:rFonts w:eastAsia="MS Mincho"/>
          <w:lang w:val="en-US"/>
        </w:rPr>
        <w:tab/>
        <w:t>Evaluation results</w:t>
      </w:r>
    </w:p>
    <w:p w:rsidR="0075731F" w:rsidRPr="00AD41C8" w:rsidRDefault="0075731F" w:rsidP="00C80739">
      <w:pPr>
        <w:rPr>
          <w:lang w:val="en-US"/>
        </w:rPr>
      </w:pPr>
      <w:r w:rsidRPr="002A6BCC">
        <w:rPr>
          <w:lang w:eastAsia="zh-CN"/>
        </w:rPr>
        <w:t xml:space="preserve">The performance of RBG size configuration and fast SRS precoding is evaluated in </w:t>
      </w:r>
      <w:r w:rsidRPr="002A6BCC">
        <w:rPr>
          <w:rFonts w:eastAsia="MS Mincho"/>
        </w:rPr>
        <w:t xml:space="preserve">Dense Urban – </w:t>
      </w:r>
      <w:proofErr w:type="spellStart"/>
      <w:r w:rsidRPr="002A6BCC">
        <w:rPr>
          <w:rFonts w:eastAsia="MS Mincho"/>
        </w:rPr>
        <w:t>eMBB</w:t>
      </w:r>
      <w:proofErr w:type="spellEnd"/>
      <w:r w:rsidRPr="002A6BCC">
        <w:rPr>
          <w:rFonts w:eastAsia="MS Mincho"/>
        </w:rPr>
        <w:t xml:space="preserve"> test environment. For the transmission power enhancement with pi/2 BPSK, the performance is evaluated in Rural – </w:t>
      </w:r>
      <w:proofErr w:type="spellStart"/>
      <w:r w:rsidRPr="002A6BCC">
        <w:rPr>
          <w:rFonts w:eastAsia="MS Mincho"/>
        </w:rPr>
        <w:t>eMBB</w:t>
      </w:r>
      <w:proofErr w:type="spellEnd"/>
      <w:r w:rsidRPr="002A6BCC">
        <w:rPr>
          <w:rFonts w:eastAsia="MS Mincho"/>
        </w:rPr>
        <w:t xml:space="preserve"> test environment, to identify the gain for coverage enhancement. </w:t>
      </w:r>
      <w:r w:rsidRPr="002A6BCC">
        <w:t>The test environments and evaluation configuration parameters are described in</w:t>
      </w:r>
      <w:r w:rsidR="00C80739">
        <w:t xml:space="preserve"> Report ITU-R M.2412</w:t>
      </w:r>
      <w:r w:rsidR="00C80739">
        <w:noBreakHyphen/>
        <w:t>0</w:t>
      </w:r>
      <w:r w:rsidRPr="002A6BCC">
        <w:t>. Further evaluation assumptions can be found in Annex A.</w:t>
      </w:r>
    </w:p>
    <w:p w:rsidR="0075731F" w:rsidRPr="00AD41C8" w:rsidRDefault="0075731F" w:rsidP="0075731F">
      <w:pPr>
        <w:pStyle w:val="Heading4"/>
        <w:rPr>
          <w:rFonts w:eastAsia="MS Mincho"/>
          <w:lang w:val="en-US"/>
        </w:rPr>
      </w:pPr>
      <w:r w:rsidRPr="00AD41C8">
        <w:rPr>
          <w:rFonts w:eastAsia="MS Mincho"/>
          <w:lang w:val="en-US"/>
        </w:rPr>
        <w:t>2.2.1</w:t>
      </w:r>
      <w:r>
        <w:rPr>
          <w:rFonts w:eastAsiaTheme="minorEastAsia" w:hint="eastAsia"/>
          <w:lang w:val="en-US" w:eastAsia="zh-CN"/>
        </w:rPr>
        <w:t>.</w:t>
      </w:r>
      <w:r>
        <w:rPr>
          <w:rFonts w:eastAsiaTheme="minorEastAsia"/>
          <w:lang w:val="en-US" w:eastAsia="zh-CN"/>
        </w:rPr>
        <w:t>1</w:t>
      </w:r>
      <w:r w:rsidRPr="00AD41C8">
        <w:rPr>
          <w:rFonts w:eastAsia="MS Mincho"/>
          <w:lang w:val="en-US"/>
        </w:rPr>
        <w:t xml:space="preserve"> </w:t>
      </w:r>
      <w:r>
        <w:rPr>
          <w:rFonts w:eastAsia="MS Mincho"/>
          <w:lang w:val="en-US"/>
        </w:rPr>
        <w:tab/>
        <w:t xml:space="preserve">Dense Urban - </w:t>
      </w:r>
      <w:proofErr w:type="spellStart"/>
      <w:r>
        <w:rPr>
          <w:rFonts w:eastAsia="MS Mincho"/>
          <w:lang w:val="en-US"/>
        </w:rPr>
        <w:t>eMBB</w:t>
      </w:r>
      <w:proofErr w:type="spellEnd"/>
    </w:p>
    <w:p w:rsidR="0075731F" w:rsidRPr="00AD41C8" w:rsidRDefault="0075731F" w:rsidP="0075731F">
      <w:pPr>
        <w:spacing w:beforeLines="50"/>
        <w:jc w:val="both"/>
      </w:pPr>
      <w:r w:rsidRPr="00AD41C8">
        <w:t xml:space="preserve">Configuration A (carrier frequency of 4 GHz) and channel model </w:t>
      </w:r>
      <w:proofErr w:type="gramStart"/>
      <w:r w:rsidRPr="00AD41C8">
        <w:t>A</w:t>
      </w:r>
      <w:proofErr w:type="gramEnd"/>
      <w:r w:rsidRPr="00AD41C8">
        <w:t xml:space="preserve"> are applied for the Dense Urban – </w:t>
      </w:r>
      <w:proofErr w:type="spellStart"/>
      <w:r w:rsidRPr="00AD41C8">
        <w:t>eMBB</w:t>
      </w:r>
      <w:proofErr w:type="spellEnd"/>
      <w:r w:rsidRPr="00AD41C8">
        <w:t xml:space="preserve"> test environment.</w:t>
      </w:r>
    </w:p>
    <w:p w:rsidR="0075731F" w:rsidRDefault="0075731F" w:rsidP="00C80739">
      <w:r w:rsidRPr="00AD41C8">
        <w:t>In the evaluation, the simulation bandwidth is a</w:t>
      </w:r>
      <w:r>
        <w:t xml:space="preserve">ssumed to be 20 </w:t>
      </w:r>
      <w:proofErr w:type="spellStart"/>
      <w:r>
        <w:t>MHz.</w:t>
      </w:r>
      <w:proofErr w:type="spellEnd"/>
      <w:r>
        <w:t xml:space="preserve"> For 3GPP specification</w:t>
      </w:r>
      <w:r w:rsidR="00C80739">
        <w:t xml:space="preserve"> [2]</w:t>
      </w:r>
      <w:r w:rsidRPr="00AD41C8">
        <w:t>, the RBG size depending on the bandwidth part size (i.e. 20MHz in the evaluation) can be 4 or 8 PRBs. For TSDSI, the configuration of RBG size is decoupled by bandwidth part size</w:t>
      </w:r>
      <w:r>
        <w:t xml:space="preserve">. To differ from 3GPP, </w:t>
      </w:r>
      <w:r w:rsidRPr="00AD41C8">
        <w:t>the RBG size is set to 16 PRBs</w:t>
      </w:r>
      <w:r>
        <w:t xml:space="preserve"> in the evaluation</w:t>
      </w:r>
      <w:r w:rsidRPr="00AD41C8">
        <w:t>. The downlink evaluation results for different RBG size are provided in</w:t>
      </w:r>
      <w:r w:rsidR="00391BCF">
        <w:t xml:space="preserve"> Table 2</w:t>
      </w:r>
      <w:r w:rsidRPr="00AD41C8">
        <w:t>. The overhead of control channel for large RBG size is lower than that of small RBG size. However, the performance of average and 5%-</w:t>
      </w:r>
      <w:r>
        <w:t>percen</w:t>
      </w:r>
      <w:r w:rsidRPr="00AD41C8">
        <w:t>tile spectral efficiency is degraded due to the decline of frequency-selective gain.</w:t>
      </w:r>
    </w:p>
    <w:p w:rsidR="00391BCF" w:rsidRDefault="0075731F" w:rsidP="00C80739">
      <w:pPr>
        <w:pStyle w:val="TableNo"/>
        <w:rPr>
          <w:rFonts w:eastAsia="MS Mincho"/>
        </w:rPr>
      </w:pPr>
      <w:bookmarkStart w:id="15" w:name="_Ref32342074"/>
      <w:bookmarkStart w:id="16" w:name="_Ref31796654"/>
      <w:bookmarkStart w:id="17" w:name="_Toc31943229"/>
      <w:bookmarkStart w:id="18" w:name="_Toc31943709"/>
      <w:bookmarkStart w:id="19" w:name="_Toc31944269"/>
      <w:r w:rsidRPr="00363C6B">
        <w:t>Table</w:t>
      </w:r>
      <w:r w:rsidR="00391BCF">
        <w:t xml:space="preserve"> 2</w:t>
      </w:r>
      <w:bookmarkEnd w:id="15"/>
      <w:r w:rsidRPr="00363C6B">
        <w:t xml:space="preserve"> </w:t>
      </w:r>
    </w:p>
    <w:p w:rsidR="0075731F" w:rsidRPr="00363C6B" w:rsidRDefault="00391BCF" w:rsidP="00C80739">
      <w:pPr>
        <w:pStyle w:val="Tabletitle"/>
        <w:rPr>
          <w:rFonts w:eastAsia="MS Mincho"/>
        </w:rPr>
      </w:pPr>
      <w:r w:rsidRPr="00363C6B">
        <w:rPr>
          <w:rFonts w:eastAsia="MS Mincho"/>
        </w:rPr>
        <w:t xml:space="preserve">Spectral </w:t>
      </w:r>
      <w:r w:rsidR="0075731F" w:rsidRPr="00363C6B">
        <w:rPr>
          <w:rFonts w:eastAsia="MS Mincho"/>
        </w:rPr>
        <w:t>efficiency (</w:t>
      </w:r>
      <w:r w:rsidR="0075731F" w:rsidRPr="007F4052">
        <w:rPr>
          <w:sz w:val="21"/>
          <w:szCs w:val="21"/>
          <w:lang w:val="en-US" w:eastAsia="zh-CN"/>
        </w:rPr>
        <w:t>[bit/s/Hz/</w:t>
      </w:r>
      <w:proofErr w:type="spellStart"/>
      <w:r w:rsidR="0075731F" w:rsidRPr="007F4052">
        <w:rPr>
          <w:sz w:val="21"/>
          <w:szCs w:val="21"/>
          <w:lang w:val="en-US" w:eastAsia="zh-CN"/>
        </w:rPr>
        <w:t>TRxP</w:t>
      </w:r>
      <w:proofErr w:type="spellEnd"/>
      <w:r w:rsidR="0075731F" w:rsidRPr="007F4052">
        <w:rPr>
          <w:sz w:val="21"/>
          <w:szCs w:val="21"/>
          <w:lang w:val="en-US" w:eastAsia="zh-CN"/>
        </w:rPr>
        <w:t>]</w:t>
      </w:r>
      <w:r w:rsidR="0075731F" w:rsidRPr="00363C6B">
        <w:rPr>
          <w:rFonts w:eastAsia="MS Mincho"/>
        </w:rPr>
        <w:t xml:space="preserve">) in Dense Urban – </w:t>
      </w:r>
      <w:proofErr w:type="spellStart"/>
      <w:r w:rsidR="0075731F" w:rsidRPr="00363C6B">
        <w:rPr>
          <w:rFonts w:eastAsia="MS Mincho"/>
        </w:rPr>
        <w:t>eMBB</w:t>
      </w:r>
      <w:bookmarkEnd w:id="16"/>
      <w:bookmarkEnd w:id="17"/>
      <w:bookmarkEnd w:id="18"/>
      <w:bookmarkEnd w:id="19"/>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267"/>
        <w:gridCol w:w="1150"/>
        <w:gridCol w:w="843"/>
        <w:gridCol w:w="823"/>
        <w:gridCol w:w="1604"/>
        <w:gridCol w:w="771"/>
        <w:gridCol w:w="1330"/>
      </w:tblGrid>
      <w:tr w:rsidR="0075731F" w:rsidRPr="00C80739" w:rsidTr="00C80739">
        <w:trPr>
          <w:trHeight w:val="552"/>
          <w:jc w:val="center"/>
        </w:trPr>
        <w:tc>
          <w:tcPr>
            <w:tcW w:w="1560" w:type="dxa"/>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1267"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1150"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843" w:type="dxa"/>
            <w:vAlign w:val="center"/>
          </w:tcPr>
          <w:p w:rsidR="0075731F" w:rsidRPr="00C80739" w:rsidRDefault="0075731F" w:rsidP="00C80739">
            <w:pPr>
              <w:pStyle w:val="Tablehead"/>
              <w:rPr>
                <w:rFonts w:eastAsiaTheme="minorEastAsia"/>
                <w:sz w:val="18"/>
                <w:szCs w:val="18"/>
                <w:lang w:val="en-US" w:eastAsia="zh-CN"/>
              </w:rPr>
            </w:pPr>
            <w:r w:rsidRPr="00C80739">
              <w:rPr>
                <w:sz w:val="18"/>
                <w:szCs w:val="18"/>
                <w:lang w:val="en-US" w:eastAsia="zh-CN"/>
              </w:rPr>
              <w:t>RBG size</w:t>
            </w:r>
          </w:p>
        </w:tc>
        <w:tc>
          <w:tcPr>
            <w:tcW w:w="823" w:type="dxa"/>
            <w:vAlign w:val="center"/>
          </w:tcPr>
          <w:p w:rsidR="0075731F" w:rsidRPr="00C80739" w:rsidRDefault="0075731F" w:rsidP="00C80739">
            <w:pPr>
              <w:pStyle w:val="Tablehead"/>
              <w:rPr>
                <w:rFonts w:eastAsiaTheme="minorEastAsia"/>
                <w:sz w:val="18"/>
                <w:szCs w:val="18"/>
                <w:lang w:val="en-US" w:eastAsia="zh-CN"/>
              </w:rPr>
            </w:pPr>
            <w:r w:rsidRPr="00C80739">
              <w:rPr>
                <w:rFonts w:eastAsiaTheme="minorEastAsia"/>
                <w:sz w:val="18"/>
                <w:szCs w:val="18"/>
                <w:lang w:val="en-US" w:eastAsia="zh-CN"/>
              </w:rPr>
              <w:t>RIT</w:t>
            </w:r>
          </w:p>
        </w:tc>
        <w:tc>
          <w:tcPr>
            <w:tcW w:w="2375" w:type="dxa"/>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1330" w:type="dxa"/>
            <w:vAlign w:val="center"/>
          </w:tcPr>
          <w:p w:rsidR="0075731F" w:rsidRPr="00C80739" w:rsidRDefault="0075731F" w:rsidP="00C80739">
            <w:pPr>
              <w:pStyle w:val="Tablehead"/>
              <w:rPr>
                <w:sz w:val="18"/>
                <w:szCs w:val="18"/>
                <w:lang w:val="en-US"/>
              </w:rPr>
            </w:pPr>
            <w:r w:rsidRPr="00C80739">
              <w:rPr>
                <w:sz w:val="18"/>
                <w:szCs w:val="18"/>
                <w:lang w:val="en-US" w:eastAsia="zh-CN"/>
              </w:rPr>
              <w:t>20 MHz bandwidth</w:t>
            </w:r>
          </w:p>
        </w:tc>
      </w:tr>
      <w:tr w:rsidR="0075731F" w:rsidRPr="00C80739" w:rsidTr="00C80739">
        <w:trPr>
          <w:trHeight w:val="493"/>
          <w:jc w:val="center"/>
        </w:trPr>
        <w:tc>
          <w:tcPr>
            <w:tcW w:w="1560" w:type="dxa"/>
            <w:vMerge w:val="restart"/>
            <w:vAlign w:val="center"/>
          </w:tcPr>
          <w:p w:rsidR="0075731F" w:rsidRPr="00C80739" w:rsidRDefault="0075731F" w:rsidP="00C80739">
            <w:pPr>
              <w:pStyle w:val="Tabletext"/>
              <w:jc w:val="center"/>
              <w:rPr>
                <w:sz w:val="18"/>
                <w:szCs w:val="18"/>
                <w:lang w:val="es-ES" w:eastAsia="zh-CN"/>
              </w:rPr>
            </w:pPr>
            <w:r w:rsidRPr="00C80739">
              <w:rPr>
                <w:rFonts w:eastAsia="MS Mincho"/>
                <w:sz w:val="18"/>
                <w:szCs w:val="18"/>
                <w:lang w:val="es-ES"/>
              </w:rPr>
              <w:t>32x</w:t>
            </w:r>
            <w:r w:rsidRPr="00C80739">
              <w:rPr>
                <w:sz w:val="18"/>
                <w:szCs w:val="18"/>
                <w:lang w:val="es-ES" w:eastAsia="zh-CN"/>
              </w:rPr>
              <w:t xml:space="preserve">4 </w:t>
            </w:r>
            <w:proofErr w:type="spellStart"/>
            <w:r w:rsidRPr="00C80739">
              <w:rPr>
                <w:sz w:val="18"/>
                <w:szCs w:val="18"/>
                <w:lang w:val="es-ES" w:eastAsia="zh-CN"/>
              </w:rPr>
              <w:t>adaptive</w:t>
            </w:r>
            <w:proofErr w:type="spellEnd"/>
            <w:r w:rsidRPr="00C80739">
              <w:rPr>
                <w:sz w:val="18"/>
                <w:szCs w:val="18"/>
                <w:lang w:val="es-ES" w:eastAsia="zh-CN"/>
              </w:rPr>
              <w:t xml:space="preserve"> SU/MU -MIMO</w:t>
            </w:r>
          </w:p>
        </w:tc>
        <w:tc>
          <w:tcPr>
            <w:tcW w:w="1267"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150"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843"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w:t>
            </w:r>
          </w:p>
        </w:tc>
        <w:tc>
          <w:tcPr>
            <w:tcW w:w="823" w:type="dxa"/>
            <w:vMerge w:val="restart"/>
            <w:vAlign w:val="center"/>
          </w:tcPr>
          <w:p w:rsidR="0075731F" w:rsidRPr="00C80739" w:rsidRDefault="0075731F" w:rsidP="00C80739">
            <w:pPr>
              <w:pStyle w:val="Tabletext"/>
              <w:jc w:val="center"/>
              <w:rPr>
                <w:rFonts w:eastAsiaTheme="minorEastAsia"/>
                <w:sz w:val="18"/>
                <w:szCs w:val="18"/>
                <w:lang w:val="en-US" w:eastAsia="zh-CN"/>
              </w:rPr>
            </w:pPr>
            <w:r w:rsidRPr="00C80739">
              <w:rPr>
                <w:rFonts w:eastAsiaTheme="minorEastAsia"/>
                <w:sz w:val="18"/>
                <w:szCs w:val="18"/>
                <w:lang w:val="en-US" w:eastAsia="zh-CN"/>
              </w:rPr>
              <w:t>3GPP NR</w:t>
            </w: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7.8</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12.66</w:t>
            </w:r>
          </w:p>
        </w:tc>
      </w:tr>
      <w:tr w:rsidR="0075731F" w:rsidRPr="00C80739" w:rsidTr="00C80739">
        <w:trPr>
          <w:trHeight w:val="311"/>
          <w:jc w:val="center"/>
        </w:trPr>
        <w:tc>
          <w:tcPr>
            <w:tcW w:w="1560" w:type="dxa"/>
            <w:vMerge/>
            <w:vAlign w:val="center"/>
          </w:tcPr>
          <w:p w:rsidR="0075731F" w:rsidRPr="00C80739" w:rsidRDefault="0075731F" w:rsidP="00C80739">
            <w:pPr>
              <w:pStyle w:val="Tabletext"/>
              <w:jc w:val="center"/>
              <w:rPr>
                <w:rFonts w:eastAsia="MS Mincho"/>
                <w:sz w:val="18"/>
                <w:szCs w:val="18"/>
                <w:lang w:val="en-US"/>
              </w:rPr>
            </w:pPr>
          </w:p>
        </w:tc>
        <w:tc>
          <w:tcPr>
            <w:tcW w:w="1267" w:type="dxa"/>
            <w:vMerge/>
            <w:vAlign w:val="center"/>
          </w:tcPr>
          <w:p w:rsidR="0075731F" w:rsidRPr="00C80739" w:rsidRDefault="0075731F" w:rsidP="00C80739">
            <w:pPr>
              <w:pStyle w:val="Tabletext"/>
              <w:jc w:val="center"/>
              <w:rPr>
                <w:rFonts w:eastAsia="MS Mincho"/>
                <w:sz w:val="18"/>
                <w:szCs w:val="18"/>
                <w:lang w:val="en-US"/>
              </w:rPr>
            </w:pPr>
          </w:p>
        </w:tc>
        <w:tc>
          <w:tcPr>
            <w:tcW w:w="1150" w:type="dxa"/>
            <w:vMerge/>
            <w:vAlign w:val="center"/>
          </w:tcPr>
          <w:p w:rsidR="0075731F" w:rsidRPr="00C80739" w:rsidRDefault="0075731F" w:rsidP="00C80739">
            <w:pPr>
              <w:pStyle w:val="Tabletext"/>
              <w:jc w:val="center"/>
              <w:rPr>
                <w:rFonts w:eastAsia="MS Mincho"/>
                <w:sz w:val="18"/>
                <w:szCs w:val="18"/>
                <w:lang w:val="en-US"/>
              </w:rPr>
            </w:pPr>
          </w:p>
        </w:tc>
        <w:tc>
          <w:tcPr>
            <w:tcW w:w="843" w:type="dxa"/>
            <w:vMerge/>
            <w:vAlign w:val="center"/>
          </w:tcPr>
          <w:p w:rsidR="0075731F" w:rsidRPr="00C80739" w:rsidRDefault="0075731F" w:rsidP="00C80739">
            <w:pPr>
              <w:pStyle w:val="Tabletext"/>
              <w:jc w:val="center"/>
              <w:rPr>
                <w:sz w:val="18"/>
                <w:szCs w:val="18"/>
                <w:lang w:val="en-US" w:eastAsia="zh-CN"/>
              </w:rPr>
            </w:pPr>
          </w:p>
        </w:tc>
        <w:tc>
          <w:tcPr>
            <w:tcW w:w="823" w:type="dxa"/>
            <w:vMerge/>
            <w:vAlign w:val="center"/>
          </w:tcPr>
          <w:p w:rsidR="0075731F" w:rsidRPr="00C80739" w:rsidRDefault="0075731F" w:rsidP="00C80739">
            <w:pPr>
              <w:pStyle w:val="Tabletext"/>
              <w:jc w:val="center"/>
              <w:rPr>
                <w:sz w:val="18"/>
                <w:szCs w:val="18"/>
                <w:lang w:val="en-US" w:eastAsia="zh-CN"/>
              </w:rPr>
            </w:pP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0.225</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0.37</w:t>
            </w:r>
          </w:p>
        </w:tc>
      </w:tr>
      <w:tr w:rsidR="0075731F" w:rsidRPr="00C80739" w:rsidTr="00C80739">
        <w:trPr>
          <w:trHeight w:val="311"/>
          <w:jc w:val="center"/>
        </w:trPr>
        <w:tc>
          <w:tcPr>
            <w:tcW w:w="1560" w:type="dxa"/>
            <w:vMerge w:val="restart"/>
            <w:vAlign w:val="center"/>
          </w:tcPr>
          <w:p w:rsidR="0075731F" w:rsidRPr="00C80739" w:rsidRDefault="0075731F" w:rsidP="00C80739">
            <w:pPr>
              <w:pStyle w:val="Tabletext"/>
              <w:jc w:val="center"/>
              <w:rPr>
                <w:rFonts w:eastAsia="MS Mincho"/>
                <w:sz w:val="18"/>
                <w:szCs w:val="18"/>
                <w:lang w:val="es-ES"/>
              </w:rPr>
            </w:pPr>
            <w:r w:rsidRPr="00C80739">
              <w:rPr>
                <w:rFonts w:eastAsia="MS Mincho"/>
                <w:sz w:val="18"/>
                <w:szCs w:val="18"/>
                <w:lang w:val="es-ES"/>
              </w:rPr>
              <w:t>32x</w:t>
            </w:r>
            <w:r w:rsidRPr="00C80739">
              <w:rPr>
                <w:sz w:val="18"/>
                <w:szCs w:val="18"/>
                <w:lang w:val="es-ES" w:eastAsia="zh-CN"/>
              </w:rPr>
              <w:t xml:space="preserve">4 </w:t>
            </w:r>
            <w:proofErr w:type="spellStart"/>
            <w:r w:rsidRPr="00C80739">
              <w:rPr>
                <w:sz w:val="18"/>
                <w:szCs w:val="18"/>
                <w:lang w:val="es-ES" w:eastAsia="zh-CN"/>
              </w:rPr>
              <w:t>adaptive</w:t>
            </w:r>
            <w:proofErr w:type="spellEnd"/>
            <w:r w:rsidRPr="00C80739">
              <w:rPr>
                <w:sz w:val="18"/>
                <w:szCs w:val="18"/>
                <w:lang w:val="es-ES" w:eastAsia="zh-CN"/>
              </w:rPr>
              <w:t xml:space="preserve"> SU/MU -MIMO</w:t>
            </w:r>
          </w:p>
        </w:tc>
        <w:tc>
          <w:tcPr>
            <w:tcW w:w="1267" w:type="dxa"/>
            <w:vMerge w:val="restart"/>
            <w:vAlign w:val="center"/>
          </w:tcPr>
          <w:p w:rsidR="0075731F" w:rsidRPr="00C80739" w:rsidRDefault="0075731F" w:rsidP="00C80739">
            <w:pPr>
              <w:pStyle w:val="Tabletext"/>
              <w:jc w:val="center"/>
              <w:rPr>
                <w:rFonts w:eastAsia="MS Mincho"/>
                <w:sz w:val="18"/>
                <w:szCs w:val="18"/>
                <w:lang w:val="en-US"/>
              </w:rPr>
            </w:pPr>
            <w:r w:rsidRPr="00C80739">
              <w:rPr>
                <w:sz w:val="18"/>
                <w:szCs w:val="18"/>
                <w:lang w:val="en-US" w:eastAsia="zh-CN"/>
              </w:rPr>
              <w:t>30 kHz</w:t>
            </w:r>
          </w:p>
        </w:tc>
        <w:tc>
          <w:tcPr>
            <w:tcW w:w="1150" w:type="dxa"/>
            <w:vMerge w:val="restart"/>
            <w:vAlign w:val="center"/>
          </w:tcPr>
          <w:p w:rsidR="0075731F" w:rsidRPr="00C80739" w:rsidRDefault="0075731F" w:rsidP="00C80739">
            <w:pPr>
              <w:pStyle w:val="Tabletext"/>
              <w:jc w:val="center"/>
              <w:rPr>
                <w:rFonts w:eastAsia="MS Mincho"/>
                <w:sz w:val="18"/>
                <w:szCs w:val="18"/>
                <w:lang w:val="en-US"/>
              </w:rPr>
            </w:pPr>
            <w:r w:rsidRPr="00C80739">
              <w:rPr>
                <w:sz w:val="18"/>
                <w:szCs w:val="18"/>
                <w:lang w:val="en-US" w:eastAsia="zh-CN"/>
              </w:rPr>
              <w:t>DDDSU</w:t>
            </w:r>
          </w:p>
        </w:tc>
        <w:tc>
          <w:tcPr>
            <w:tcW w:w="843"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8</w:t>
            </w:r>
          </w:p>
        </w:tc>
        <w:tc>
          <w:tcPr>
            <w:tcW w:w="823" w:type="dxa"/>
            <w:vMerge w:val="restart"/>
            <w:vAlign w:val="center"/>
          </w:tcPr>
          <w:p w:rsidR="0075731F" w:rsidRPr="00C80739" w:rsidRDefault="0075731F" w:rsidP="00C80739">
            <w:pPr>
              <w:pStyle w:val="Tabletext"/>
              <w:jc w:val="center"/>
              <w:rPr>
                <w:sz w:val="18"/>
                <w:szCs w:val="18"/>
                <w:lang w:val="en-US" w:eastAsia="zh-CN"/>
              </w:rPr>
            </w:pPr>
            <w:r w:rsidRPr="00C80739">
              <w:rPr>
                <w:rFonts w:eastAsiaTheme="minorEastAsia"/>
                <w:sz w:val="18"/>
                <w:szCs w:val="18"/>
                <w:lang w:val="en-US" w:eastAsia="zh-CN"/>
              </w:rPr>
              <w:t>3GPP NR</w:t>
            </w: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7.8</w:t>
            </w:r>
          </w:p>
        </w:tc>
        <w:tc>
          <w:tcPr>
            <w:tcW w:w="1330" w:type="dxa"/>
            <w:vAlign w:val="center"/>
          </w:tcPr>
          <w:p w:rsidR="0075731F" w:rsidRPr="00C80739" w:rsidDel="008D2C0B"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11.9</w:t>
            </w:r>
          </w:p>
        </w:tc>
      </w:tr>
      <w:tr w:rsidR="0075731F" w:rsidRPr="00C80739" w:rsidTr="00C80739">
        <w:trPr>
          <w:trHeight w:val="311"/>
          <w:jc w:val="center"/>
        </w:trPr>
        <w:tc>
          <w:tcPr>
            <w:tcW w:w="1560" w:type="dxa"/>
            <w:vMerge/>
            <w:vAlign w:val="center"/>
          </w:tcPr>
          <w:p w:rsidR="0075731F" w:rsidRPr="00C80739" w:rsidRDefault="0075731F" w:rsidP="00C80739">
            <w:pPr>
              <w:pStyle w:val="Tabletext"/>
              <w:jc w:val="center"/>
              <w:rPr>
                <w:rFonts w:eastAsia="MS Mincho"/>
                <w:sz w:val="18"/>
                <w:szCs w:val="18"/>
                <w:lang w:val="en-US"/>
              </w:rPr>
            </w:pPr>
          </w:p>
        </w:tc>
        <w:tc>
          <w:tcPr>
            <w:tcW w:w="1267" w:type="dxa"/>
            <w:vMerge/>
            <w:vAlign w:val="center"/>
          </w:tcPr>
          <w:p w:rsidR="0075731F" w:rsidRPr="00C80739" w:rsidRDefault="0075731F" w:rsidP="00C80739">
            <w:pPr>
              <w:pStyle w:val="Tabletext"/>
              <w:jc w:val="center"/>
              <w:rPr>
                <w:sz w:val="18"/>
                <w:szCs w:val="18"/>
                <w:lang w:val="en-US" w:eastAsia="zh-CN"/>
              </w:rPr>
            </w:pPr>
          </w:p>
        </w:tc>
        <w:tc>
          <w:tcPr>
            <w:tcW w:w="1150" w:type="dxa"/>
            <w:vMerge/>
            <w:vAlign w:val="center"/>
          </w:tcPr>
          <w:p w:rsidR="0075731F" w:rsidRPr="00C80739" w:rsidRDefault="0075731F" w:rsidP="00C80739">
            <w:pPr>
              <w:pStyle w:val="Tabletext"/>
              <w:jc w:val="center"/>
              <w:rPr>
                <w:sz w:val="18"/>
                <w:szCs w:val="18"/>
                <w:lang w:val="en-US" w:eastAsia="zh-CN"/>
              </w:rPr>
            </w:pPr>
          </w:p>
        </w:tc>
        <w:tc>
          <w:tcPr>
            <w:tcW w:w="843" w:type="dxa"/>
            <w:vMerge/>
            <w:vAlign w:val="center"/>
          </w:tcPr>
          <w:p w:rsidR="0075731F" w:rsidRPr="00C80739" w:rsidRDefault="0075731F" w:rsidP="00C80739">
            <w:pPr>
              <w:pStyle w:val="Tabletext"/>
              <w:jc w:val="center"/>
              <w:rPr>
                <w:sz w:val="18"/>
                <w:szCs w:val="18"/>
                <w:lang w:val="en-US" w:eastAsia="zh-CN"/>
              </w:rPr>
            </w:pPr>
          </w:p>
        </w:tc>
        <w:tc>
          <w:tcPr>
            <w:tcW w:w="823" w:type="dxa"/>
            <w:vMerge/>
            <w:vAlign w:val="center"/>
          </w:tcPr>
          <w:p w:rsidR="0075731F" w:rsidRPr="00C80739" w:rsidRDefault="0075731F" w:rsidP="00C80739">
            <w:pPr>
              <w:pStyle w:val="Tabletext"/>
              <w:jc w:val="center"/>
              <w:rPr>
                <w:sz w:val="18"/>
                <w:szCs w:val="18"/>
                <w:lang w:val="en-US" w:eastAsia="zh-CN"/>
              </w:rPr>
            </w:pP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0.225</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0.35</w:t>
            </w:r>
          </w:p>
        </w:tc>
      </w:tr>
      <w:tr w:rsidR="0075731F" w:rsidRPr="00C80739" w:rsidTr="00C80739">
        <w:trPr>
          <w:trHeight w:val="311"/>
          <w:jc w:val="center"/>
        </w:trPr>
        <w:tc>
          <w:tcPr>
            <w:tcW w:w="1560" w:type="dxa"/>
            <w:vMerge w:val="restart"/>
            <w:vAlign w:val="center"/>
          </w:tcPr>
          <w:p w:rsidR="0075731F" w:rsidRPr="00C80739" w:rsidRDefault="0075731F" w:rsidP="00C80739">
            <w:pPr>
              <w:pStyle w:val="Tabletext"/>
              <w:jc w:val="center"/>
              <w:rPr>
                <w:rFonts w:eastAsia="MS Mincho"/>
                <w:sz w:val="18"/>
                <w:szCs w:val="18"/>
                <w:lang w:val="es-ES"/>
              </w:rPr>
            </w:pPr>
            <w:r w:rsidRPr="00C80739">
              <w:rPr>
                <w:rFonts w:eastAsia="MS Mincho"/>
                <w:sz w:val="18"/>
                <w:szCs w:val="18"/>
                <w:lang w:val="es-ES"/>
              </w:rPr>
              <w:t>32x</w:t>
            </w:r>
            <w:r w:rsidRPr="00C80739">
              <w:rPr>
                <w:sz w:val="18"/>
                <w:szCs w:val="18"/>
                <w:lang w:val="es-ES" w:eastAsia="zh-CN"/>
              </w:rPr>
              <w:t xml:space="preserve">4 </w:t>
            </w:r>
            <w:proofErr w:type="spellStart"/>
            <w:r w:rsidRPr="00C80739">
              <w:rPr>
                <w:sz w:val="18"/>
                <w:szCs w:val="18"/>
                <w:lang w:val="es-ES" w:eastAsia="zh-CN"/>
              </w:rPr>
              <w:t>adaptive</w:t>
            </w:r>
            <w:proofErr w:type="spellEnd"/>
            <w:r w:rsidRPr="00C80739">
              <w:rPr>
                <w:sz w:val="18"/>
                <w:szCs w:val="18"/>
                <w:lang w:val="es-ES" w:eastAsia="zh-CN"/>
              </w:rPr>
              <w:t xml:space="preserve"> SU/MU -MIMO</w:t>
            </w:r>
          </w:p>
        </w:tc>
        <w:tc>
          <w:tcPr>
            <w:tcW w:w="1267"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150"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843"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823" w:type="dxa"/>
            <w:vMerge w:val="restart"/>
            <w:vAlign w:val="center"/>
          </w:tcPr>
          <w:p w:rsidR="0075731F" w:rsidRPr="00C80739" w:rsidRDefault="0075731F" w:rsidP="00C80739">
            <w:pPr>
              <w:pStyle w:val="Tabletext"/>
              <w:jc w:val="center"/>
              <w:rPr>
                <w:rFonts w:eastAsiaTheme="minorEastAsia"/>
                <w:sz w:val="18"/>
                <w:szCs w:val="18"/>
                <w:lang w:val="en-US" w:eastAsia="zh-CN"/>
              </w:rPr>
            </w:pPr>
            <w:r w:rsidRPr="00C80739">
              <w:rPr>
                <w:rFonts w:eastAsiaTheme="minorEastAsia"/>
                <w:sz w:val="18"/>
                <w:szCs w:val="18"/>
                <w:lang w:val="en-US" w:eastAsia="zh-CN"/>
              </w:rPr>
              <w:t>TSDSI</w:t>
            </w: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7.8</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11.15</w:t>
            </w:r>
          </w:p>
        </w:tc>
      </w:tr>
      <w:tr w:rsidR="0075731F" w:rsidRPr="00C80739" w:rsidTr="00C80739">
        <w:trPr>
          <w:trHeight w:val="311"/>
          <w:jc w:val="center"/>
        </w:trPr>
        <w:tc>
          <w:tcPr>
            <w:tcW w:w="1560" w:type="dxa"/>
            <w:vMerge/>
            <w:vAlign w:val="center"/>
          </w:tcPr>
          <w:p w:rsidR="0075731F" w:rsidRPr="00C80739" w:rsidRDefault="0075731F" w:rsidP="00C80739">
            <w:pPr>
              <w:pStyle w:val="Tabletext"/>
              <w:jc w:val="center"/>
              <w:rPr>
                <w:rFonts w:eastAsia="MS Mincho"/>
                <w:sz w:val="18"/>
                <w:szCs w:val="18"/>
                <w:lang w:val="en-US"/>
              </w:rPr>
            </w:pPr>
          </w:p>
        </w:tc>
        <w:tc>
          <w:tcPr>
            <w:tcW w:w="1267" w:type="dxa"/>
            <w:vMerge/>
            <w:vAlign w:val="center"/>
          </w:tcPr>
          <w:p w:rsidR="0075731F" w:rsidRPr="00C80739" w:rsidRDefault="0075731F" w:rsidP="00C80739">
            <w:pPr>
              <w:pStyle w:val="Tabletext"/>
              <w:jc w:val="center"/>
              <w:rPr>
                <w:sz w:val="18"/>
                <w:szCs w:val="18"/>
                <w:lang w:val="en-US" w:eastAsia="zh-CN"/>
              </w:rPr>
            </w:pPr>
          </w:p>
        </w:tc>
        <w:tc>
          <w:tcPr>
            <w:tcW w:w="1150" w:type="dxa"/>
            <w:vMerge/>
            <w:vAlign w:val="center"/>
          </w:tcPr>
          <w:p w:rsidR="0075731F" w:rsidRPr="00C80739" w:rsidRDefault="0075731F" w:rsidP="00C80739">
            <w:pPr>
              <w:pStyle w:val="Tabletext"/>
              <w:jc w:val="center"/>
              <w:rPr>
                <w:sz w:val="18"/>
                <w:szCs w:val="18"/>
                <w:lang w:val="en-US" w:eastAsia="zh-CN"/>
              </w:rPr>
            </w:pPr>
          </w:p>
        </w:tc>
        <w:tc>
          <w:tcPr>
            <w:tcW w:w="843" w:type="dxa"/>
            <w:vMerge/>
            <w:vAlign w:val="center"/>
          </w:tcPr>
          <w:p w:rsidR="0075731F" w:rsidRPr="00C80739" w:rsidRDefault="0075731F" w:rsidP="00C80739">
            <w:pPr>
              <w:pStyle w:val="Tabletext"/>
              <w:jc w:val="center"/>
              <w:rPr>
                <w:sz w:val="18"/>
                <w:szCs w:val="18"/>
                <w:lang w:val="en-US" w:eastAsia="zh-CN"/>
              </w:rPr>
            </w:pPr>
          </w:p>
        </w:tc>
        <w:tc>
          <w:tcPr>
            <w:tcW w:w="823" w:type="dxa"/>
            <w:vMerge/>
            <w:vAlign w:val="center"/>
          </w:tcPr>
          <w:p w:rsidR="0075731F" w:rsidRPr="00C80739" w:rsidRDefault="0075731F" w:rsidP="00C80739">
            <w:pPr>
              <w:pStyle w:val="Tabletext"/>
              <w:jc w:val="center"/>
              <w:rPr>
                <w:sz w:val="18"/>
                <w:szCs w:val="18"/>
                <w:lang w:val="en-US" w:eastAsia="zh-CN"/>
              </w:rPr>
            </w:pPr>
          </w:p>
        </w:tc>
        <w:tc>
          <w:tcPr>
            <w:tcW w:w="1604"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0.225</w:t>
            </w:r>
          </w:p>
        </w:tc>
        <w:tc>
          <w:tcPr>
            <w:tcW w:w="1330"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0.34</w:t>
            </w:r>
          </w:p>
        </w:tc>
      </w:tr>
    </w:tbl>
    <w:p w:rsidR="0075731F" w:rsidRPr="007D56AB" w:rsidRDefault="0075731F" w:rsidP="0075731F">
      <w:pPr>
        <w:spacing w:beforeLines="100" w:before="240"/>
        <w:jc w:val="both"/>
      </w:pPr>
      <w:r w:rsidRPr="007D56AB">
        <w:t>It is observed that the downlink average and 5%-</w:t>
      </w:r>
      <w:r>
        <w:t>percen</w:t>
      </w:r>
      <w:r w:rsidRPr="007D56AB">
        <w:t xml:space="preserve">tile spectral efficiency is declined when the RBG size configuration for TSDSI is used. </w:t>
      </w:r>
    </w:p>
    <w:p w:rsidR="0075731F" w:rsidRDefault="0075731F" w:rsidP="00C80739">
      <w:pPr>
        <w:spacing w:beforeLines="50"/>
        <w:jc w:val="both"/>
      </w:pPr>
      <w:r w:rsidRPr="007D56AB">
        <w:t>Similar to downlink evaluation, the uplink evaluation results for different RBG size are provided in</w:t>
      </w:r>
      <w:r w:rsidR="00C80739">
        <w:t xml:space="preserve"> Table 3</w:t>
      </w:r>
      <w:r w:rsidRPr="007D56AB">
        <w:t>.</w:t>
      </w:r>
    </w:p>
    <w:p w:rsidR="00C80739" w:rsidRDefault="0075731F" w:rsidP="00C80739">
      <w:pPr>
        <w:pStyle w:val="TableNo"/>
      </w:pPr>
      <w:bookmarkStart w:id="20" w:name="_Ref32342218"/>
      <w:bookmarkStart w:id="21" w:name="_Ref31744756"/>
      <w:bookmarkStart w:id="22" w:name="_Toc31943230"/>
      <w:bookmarkStart w:id="23" w:name="_Toc31943710"/>
      <w:bookmarkStart w:id="24" w:name="_Toc31944270"/>
      <w:r w:rsidRPr="00363C6B">
        <w:t>Table</w:t>
      </w:r>
      <w:r w:rsidR="00C80739">
        <w:t xml:space="preserve"> 3</w:t>
      </w:r>
      <w:bookmarkEnd w:id="20"/>
      <w:r w:rsidRPr="00363C6B">
        <w:t xml:space="preserve"> </w:t>
      </w:r>
    </w:p>
    <w:p w:rsidR="0075731F" w:rsidRPr="00363C6B" w:rsidRDefault="0075731F" w:rsidP="00C80739">
      <w:pPr>
        <w:pStyle w:val="Tabletitle"/>
        <w:rPr>
          <w:rFonts w:eastAsia="MS Mincho"/>
        </w:rPr>
      </w:pPr>
      <w:r w:rsidRPr="00363C6B">
        <w:rPr>
          <w:rFonts w:eastAsia="MS Mincho"/>
        </w:rPr>
        <w:t xml:space="preserve">Uplink spectral efficiency for TSDSI in Dense Urban – </w:t>
      </w:r>
      <w:proofErr w:type="spellStart"/>
      <w:r w:rsidRPr="00363C6B">
        <w:rPr>
          <w:rFonts w:eastAsia="MS Mincho"/>
        </w:rPr>
        <w:t>eMBB</w:t>
      </w:r>
      <w:bookmarkEnd w:id="21"/>
      <w:bookmarkEnd w:id="22"/>
      <w:bookmarkEnd w:id="23"/>
      <w:bookmarkEnd w:id="24"/>
      <w:proofErr w:type="spellEnd"/>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5"/>
        <w:gridCol w:w="1276"/>
        <w:gridCol w:w="1275"/>
        <w:gridCol w:w="851"/>
        <w:gridCol w:w="850"/>
        <w:gridCol w:w="1585"/>
        <w:gridCol w:w="771"/>
        <w:gridCol w:w="1322"/>
      </w:tblGrid>
      <w:tr w:rsidR="0075731F" w:rsidRPr="00C80739" w:rsidTr="00C80739">
        <w:trPr>
          <w:trHeight w:val="552"/>
          <w:jc w:val="center"/>
        </w:trPr>
        <w:tc>
          <w:tcPr>
            <w:tcW w:w="1425" w:type="dxa"/>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1276"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1275"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851" w:type="dxa"/>
            <w:vAlign w:val="center"/>
          </w:tcPr>
          <w:p w:rsidR="0075731F" w:rsidRPr="00C80739" w:rsidRDefault="0075731F" w:rsidP="00C80739">
            <w:pPr>
              <w:pStyle w:val="Tablehead"/>
              <w:rPr>
                <w:sz w:val="18"/>
                <w:szCs w:val="18"/>
                <w:lang w:val="en-US" w:eastAsia="zh-CN"/>
              </w:rPr>
            </w:pPr>
            <w:r w:rsidRPr="00C80739">
              <w:rPr>
                <w:sz w:val="18"/>
                <w:szCs w:val="18"/>
                <w:lang w:val="en-US" w:eastAsia="zh-CN"/>
              </w:rPr>
              <w:t>RBG size</w:t>
            </w:r>
          </w:p>
        </w:tc>
        <w:tc>
          <w:tcPr>
            <w:tcW w:w="850" w:type="dxa"/>
            <w:vAlign w:val="center"/>
          </w:tcPr>
          <w:p w:rsidR="0075731F" w:rsidRPr="00C80739" w:rsidRDefault="0075731F" w:rsidP="00C80739">
            <w:pPr>
              <w:pStyle w:val="Tablehead"/>
              <w:rPr>
                <w:rFonts w:eastAsiaTheme="minorEastAsia"/>
                <w:sz w:val="18"/>
                <w:szCs w:val="18"/>
                <w:lang w:val="en-US" w:eastAsia="zh-CN"/>
              </w:rPr>
            </w:pPr>
            <w:r w:rsidRPr="00C80739">
              <w:rPr>
                <w:rFonts w:eastAsiaTheme="minorEastAsia"/>
                <w:sz w:val="18"/>
                <w:szCs w:val="18"/>
                <w:lang w:val="en-US" w:eastAsia="zh-CN"/>
              </w:rPr>
              <w:t>RIT</w:t>
            </w:r>
          </w:p>
        </w:tc>
        <w:tc>
          <w:tcPr>
            <w:tcW w:w="2356" w:type="dxa"/>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1322" w:type="dxa"/>
            <w:vAlign w:val="center"/>
          </w:tcPr>
          <w:p w:rsidR="0075731F" w:rsidRPr="00C80739" w:rsidRDefault="0075731F" w:rsidP="00C80739">
            <w:pPr>
              <w:pStyle w:val="Tablehead"/>
              <w:rPr>
                <w:sz w:val="18"/>
                <w:szCs w:val="18"/>
                <w:lang w:val="en-US"/>
              </w:rPr>
            </w:pPr>
            <w:r w:rsidRPr="00C80739">
              <w:rPr>
                <w:sz w:val="18"/>
                <w:szCs w:val="18"/>
                <w:lang w:val="en-US" w:eastAsia="zh-CN"/>
              </w:rPr>
              <w:t>20 MHz bandwidth</w:t>
            </w:r>
          </w:p>
        </w:tc>
      </w:tr>
      <w:tr w:rsidR="0075731F" w:rsidRPr="00C80739" w:rsidTr="00C80739">
        <w:trPr>
          <w:trHeight w:val="395"/>
          <w:jc w:val="center"/>
        </w:trPr>
        <w:tc>
          <w:tcPr>
            <w:tcW w:w="1425" w:type="dxa"/>
            <w:vMerge w:val="restart"/>
            <w:vAlign w:val="center"/>
          </w:tcPr>
          <w:p w:rsidR="0075731F" w:rsidRPr="00C80739" w:rsidRDefault="0075731F" w:rsidP="00C80739">
            <w:pPr>
              <w:pStyle w:val="Tabletext"/>
              <w:jc w:val="center"/>
              <w:rPr>
                <w:sz w:val="18"/>
                <w:szCs w:val="18"/>
                <w:lang w:val="en-US" w:eastAsia="zh-CN"/>
              </w:rPr>
            </w:pPr>
            <w:r w:rsidRPr="00C80739">
              <w:rPr>
                <w:rFonts w:eastAsia="MS Mincho"/>
                <w:sz w:val="18"/>
                <w:szCs w:val="18"/>
                <w:lang w:val="en-US"/>
              </w:rPr>
              <w:t>2x</w:t>
            </w:r>
            <w:r w:rsidRPr="00C80739">
              <w:rPr>
                <w:sz w:val="18"/>
                <w:szCs w:val="18"/>
                <w:lang w:val="en-US" w:eastAsia="zh-CN"/>
              </w:rPr>
              <w:t>32 SU-MIMO</w:t>
            </w:r>
          </w:p>
        </w:tc>
        <w:tc>
          <w:tcPr>
            <w:tcW w:w="1276"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275"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851"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w:t>
            </w:r>
          </w:p>
        </w:tc>
        <w:tc>
          <w:tcPr>
            <w:tcW w:w="850" w:type="dxa"/>
            <w:vMerge w:val="restart"/>
            <w:vAlign w:val="center"/>
          </w:tcPr>
          <w:p w:rsidR="0075731F" w:rsidRPr="00C80739" w:rsidRDefault="0075731F" w:rsidP="00C80739">
            <w:pPr>
              <w:pStyle w:val="Tabletext"/>
              <w:jc w:val="center"/>
              <w:rPr>
                <w:rFonts w:eastAsiaTheme="minorEastAsia"/>
                <w:sz w:val="18"/>
                <w:szCs w:val="18"/>
                <w:lang w:val="en-US" w:eastAsia="zh-CN"/>
              </w:rPr>
            </w:pPr>
            <w:r w:rsidRPr="00C80739">
              <w:rPr>
                <w:rFonts w:eastAsiaTheme="minorEastAsia"/>
                <w:sz w:val="18"/>
                <w:szCs w:val="18"/>
                <w:lang w:val="en-US" w:eastAsia="zh-CN"/>
              </w:rPr>
              <w:t>3GPP NR</w:t>
            </w: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6.94</w:t>
            </w:r>
          </w:p>
        </w:tc>
      </w:tr>
      <w:tr w:rsidR="0075731F" w:rsidRPr="00C80739" w:rsidTr="00C80739">
        <w:trPr>
          <w:trHeight w:val="395"/>
          <w:jc w:val="center"/>
        </w:trPr>
        <w:tc>
          <w:tcPr>
            <w:tcW w:w="1425" w:type="dxa"/>
            <w:vMerge/>
            <w:vAlign w:val="center"/>
          </w:tcPr>
          <w:p w:rsidR="0075731F" w:rsidRPr="00C80739" w:rsidRDefault="0075731F" w:rsidP="00C80739">
            <w:pPr>
              <w:pStyle w:val="Tabletext"/>
              <w:jc w:val="center"/>
              <w:rPr>
                <w:rFonts w:eastAsia="MS Mincho"/>
                <w:sz w:val="18"/>
                <w:szCs w:val="18"/>
                <w:lang w:val="en-US"/>
              </w:rPr>
            </w:pPr>
          </w:p>
        </w:tc>
        <w:tc>
          <w:tcPr>
            <w:tcW w:w="1276" w:type="dxa"/>
            <w:vMerge/>
            <w:vAlign w:val="center"/>
          </w:tcPr>
          <w:p w:rsidR="0075731F" w:rsidRPr="00C80739" w:rsidRDefault="0075731F" w:rsidP="00C80739">
            <w:pPr>
              <w:pStyle w:val="Tabletext"/>
              <w:jc w:val="center"/>
              <w:rPr>
                <w:rFonts w:eastAsia="MS Mincho"/>
                <w:sz w:val="18"/>
                <w:szCs w:val="18"/>
                <w:lang w:val="en-US"/>
              </w:rPr>
            </w:pPr>
          </w:p>
        </w:tc>
        <w:tc>
          <w:tcPr>
            <w:tcW w:w="1275" w:type="dxa"/>
            <w:vMerge/>
            <w:vAlign w:val="center"/>
          </w:tcPr>
          <w:p w:rsidR="0075731F" w:rsidRPr="00C80739" w:rsidRDefault="0075731F" w:rsidP="00C80739">
            <w:pPr>
              <w:pStyle w:val="Tabletext"/>
              <w:jc w:val="center"/>
              <w:rPr>
                <w:rFonts w:eastAsia="MS Mincho"/>
                <w:sz w:val="18"/>
                <w:szCs w:val="18"/>
                <w:lang w:val="en-US"/>
              </w:rPr>
            </w:pPr>
          </w:p>
        </w:tc>
        <w:tc>
          <w:tcPr>
            <w:tcW w:w="851" w:type="dxa"/>
            <w:vMerge/>
            <w:vAlign w:val="center"/>
          </w:tcPr>
          <w:p w:rsidR="0075731F" w:rsidRPr="00C80739" w:rsidRDefault="0075731F" w:rsidP="00C80739">
            <w:pPr>
              <w:pStyle w:val="Tabletext"/>
              <w:jc w:val="center"/>
              <w:rPr>
                <w:sz w:val="18"/>
                <w:szCs w:val="18"/>
                <w:lang w:val="en-US" w:eastAsia="zh-CN"/>
              </w:rPr>
            </w:pPr>
          </w:p>
        </w:tc>
        <w:tc>
          <w:tcPr>
            <w:tcW w:w="850" w:type="dxa"/>
            <w:vMerge/>
            <w:vAlign w:val="center"/>
          </w:tcPr>
          <w:p w:rsidR="0075731F" w:rsidRPr="00C80739" w:rsidRDefault="0075731F" w:rsidP="00C80739">
            <w:pPr>
              <w:pStyle w:val="Tabletext"/>
              <w:jc w:val="center"/>
              <w:rPr>
                <w:sz w:val="18"/>
                <w:szCs w:val="18"/>
                <w:lang w:val="en-US" w:eastAsia="zh-CN"/>
              </w:rPr>
            </w:pP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0.34</w:t>
            </w:r>
          </w:p>
        </w:tc>
      </w:tr>
      <w:tr w:rsidR="0075731F" w:rsidRPr="00C80739" w:rsidTr="00C80739">
        <w:trPr>
          <w:trHeight w:val="395"/>
          <w:jc w:val="center"/>
        </w:trPr>
        <w:tc>
          <w:tcPr>
            <w:tcW w:w="1425" w:type="dxa"/>
            <w:vMerge w:val="restart"/>
            <w:vAlign w:val="center"/>
          </w:tcPr>
          <w:p w:rsidR="0075731F" w:rsidRPr="00C80739" w:rsidRDefault="0075731F" w:rsidP="00C80739">
            <w:pPr>
              <w:pStyle w:val="Tabletext"/>
              <w:jc w:val="center"/>
              <w:rPr>
                <w:rFonts w:eastAsia="MS Mincho"/>
                <w:sz w:val="18"/>
                <w:szCs w:val="18"/>
                <w:lang w:val="en-US"/>
              </w:rPr>
            </w:pPr>
            <w:r w:rsidRPr="00C80739">
              <w:rPr>
                <w:rFonts w:eastAsia="MS Mincho"/>
                <w:sz w:val="18"/>
                <w:szCs w:val="18"/>
                <w:lang w:val="en-US"/>
              </w:rPr>
              <w:t>2x</w:t>
            </w:r>
            <w:r w:rsidRPr="00C80739">
              <w:rPr>
                <w:sz w:val="18"/>
                <w:szCs w:val="18"/>
                <w:lang w:val="en-US" w:eastAsia="zh-CN"/>
              </w:rPr>
              <w:t>32 SU-MIMO</w:t>
            </w:r>
          </w:p>
        </w:tc>
        <w:tc>
          <w:tcPr>
            <w:tcW w:w="1276" w:type="dxa"/>
            <w:vMerge w:val="restart"/>
            <w:vAlign w:val="center"/>
          </w:tcPr>
          <w:p w:rsidR="0075731F" w:rsidRPr="00C80739" w:rsidRDefault="0075731F" w:rsidP="00C80739">
            <w:pPr>
              <w:pStyle w:val="Tabletext"/>
              <w:jc w:val="center"/>
              <w:rPr>
                <w:rFonts w:eastAsia="MS Mincho"/>
                <w:sz w:val="18"/>
                <w:szCs w:val="18"/>
                <w:lang w:val="en-US"/>
              </w:rPr>
            </w:pPr>
            <w:r w:rsidRPr="00C80739">
              <w:rPr>
                <w:sz w:val="18"/>
                <w:szCs w:val="18"/>
                <w:lang w:val="en-US" w:eastAsia="zh-CN"/>
              </w:rPr>
              <w:t>30 kHz</w:t>
            </w:r>
          </w:p>
        </w:tc>
        <w:tc>
          <w:tcPr>
            <w:tcW w:w="1275" w:type="dxa"/>
            <w:vMerge w:val="restart"/>
            <w:vAlign w:val="center"/>
          </w:tcPr>
          <w:p w:rsidR="0075731F" w:rsidRPr="00C80739" w:rsidRDefault="0075731F" w:rsidP="00C80739">
            <w:pPr>
              <w:pStyle w:val="Tabletext"/>
              <w:jc w:val="center"/>
              <w:rPr>
                <w:rFonts w:eastAsia="MS Mincho"/>
                <w:sz w:val="18"/>
                <w:szCs w:val="18"/>
                <w:lang w:val="en-US"/>
              </w:rPr>
            </w:pPr>
            <w:r w:rsidRPr="00C80739">
              <w:rPr>
                <w:sz w:val="18"/>
                <w:szCs w:val="18"/>
                <w:lang w:val="en-US" w:eastAsia="zh-CN"/>
              </w:rPr>
              <w:t>DDDSU</w:t>
            </w:r>
          </w:p>
        </w:tc>
        <w:tc>
          <w:tcPr>
            <w:tcW w:w="851"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8</w:t>
            </w:r>
          </w:p>
        </w:tc>
        <w:tc>
          <w:tcPr>
            <w:tcW w:w="850" w:type="dxa"/>
            <w:vMerge w:val="restart"/>
            <w:vAlign w:val="center"/>
          </w:tcPr>
          <w:p w:rsidR="0075731F" w:rsidRPr="00C80739" w:rsidRDefault="0075731F" w:rsidP="00C80739">
            <w:pPr>
              <w:pStyle w:val="Tabletext"/>
              <w:jc w:val="center"/>
              <w:rPr>
                <w:sz w:val="18"/>
                <w:szCs w:val="18"/>
                <w:lang w:val="en-US" w:eastAsia="zh-CN"/>
              </w:rPr>
            </w:pPr>
            <w:r w:rsidRPr="00C80739">
              <w:rPr>
                <w:rFonts w:eastAsiaTheme="minorEastAsia"/>
                <w:sz w:val="18"/>
                <w:szCs w:val="18"/>
                <w:lang w:val="en-US" w:eastAsia="zh-CN"/>
              </w:rPr>
              <w:t>3GPP NR</w:t>
            </w: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1322" w:type="dxa"/>
            <w:vAlign w:val="center"/>
          </w:tcPr>
          <w:p w:rsidR="0075731F" w:rsidRPr="00C80739" w:rsidDel="008D2C0B"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6.53</w:t>
            </w:r>
          </w:p>
        </w:tc>
      </w:tr>
      <w:tr w:rsidR="0075731F" w:rsidRPr="00C80739" w:rsidTr="00C80739">
        <w:trPr>
          <w:trHeight w:val="395"/>
          <w:jc w:val="center"/>
        </w:trPr>
        <w:tc>
          <w:tcPr>
            <w:tcW w:w="1425" w:type="dxa"/>
            <w:vMerge/>
            <w:vAlign w:val="center"/>
          </w:tcPr>
          <w:p w:rsidR="0075731F" w:rsidRPr="00C80739" w:rsidRDefault="0075731F" w:rsidP="00C80739">
            <w:pPr>
              <w:pStyle w:val="Tabletext"/>
              <w:jc w:val="center"/>
              <w:rPr>
                <w:rFonts w:eastAsia="MS Mincho"/>
                <w:sz w:val="18"/>
                <w:szCs w:val="18"/>
                <w:lang w:val="en-US"/>
              </w:rPr>
            </w:pPr>
          </w:p>
        </w:tc>
        <w:tc>
          <w:tcPr>
            <w:tcW w:w="1276" w:type="dxa"/>
            <w:vMerge/>
            <w:vAlign w:val="center"/>
          </w:tcPr>
          <w:p w:rsidR="0075731F" w:rsidRPr="00C80739" w:rsidRDefault="0075731F" w:rsidP="00C80739">
            <w:pPr>
              <w:pStyle w:val="Tabletext"/>
              <w:jc w:val="center"/>
              <w:rPr>
                <w:sz w:val="18"/>
                <w:szCs w:val="18"/>
                <w:lang w:val="en-US" w:eastAsia="zh-CN"/>
              </w:rPr>
            </w:pPr>
          </w:p>
        </w:tc>
        <w:tc>
          <w:tcPr>
            <w:tcW w:w="1275" w:type="dxa"/>
            <w:vMerge/>
            <w:vAlign w:val="center"/>
          </w:tcPr>
          <w:p w:rsidR="0075731F" w:rsidRPr="00C80739" w:rsidRDefault="0075731F" w:rsidP="00C80739">
            <w:pPr>
              <w:pStyle w:val="Tabletext"/>
              <w:jc w:val="center"/>
              <w:rPr>
                <w:sz w:val="18"/>
                <w:szCs w:val="18"/>
                <w:lang w:val="en-US" w:eastAsia="zh-CN"/>
              </w:rPr>
            </w:pPr>
          </w:p>
        </w:tc>
        <w:tc>
          <w:tcPr>
            <w:tcW w:w="851" w:type="dxa"/>
            <w:vMerge/>
            <w:vAlign w:val="center"/>
          </w:tcPr>
          <w:p w:rsidR="0075731F" w:rsidRPr="00C80739" w:rsidRDefault="0075731F" w:rsidP="00C80739">
            <w:pPr>
              <w:pStyle w:val="Tabletext"/>
              <w:jc w:val="center"/>
              <w:rPr>
                <w:sz w:val="18"/>
                <w:szCs w:val="18"/>
                <w:lang w:val="en-US" w:eastAsia="zh-CN"/>
              </w:rPr>
            </w:pPr>
          </w:p>
        </w:tc>
        <w:tc>
          <w:tcPr>
            <w:tcW w:w="850" w:type="dxa"/>
            <w:vMerge/>
            <w:vAlign w:val="center"/>
          </w:tcPr>
          <w:p w:rsidR="0075731F" w:rsidRPr="00C80739" w:rsidRDefault="0075731F" w:rsidP="00C80739">
            <w:pPr>
              <w:pStyle w:val="Tabletext"/>
              <w:jc w:val="center"/>
              <w:rPr>
                <w:sz w:val="18"/>
                <w:szCs w:val="18"/>
                <w:lang w:val="en-US" w:eastAsia="zh-CN"/>
              </w:rPr>
            </w:pP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 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0.33</w:t>
            </w:r>
          </w:p>
        </w:tc>
      </w:tr>
      <w:tr w:rsidR="0075731F" w:rsidRPr="00C80739" w:rsidTr="00C80739">
        <w:trPr>
          <w:trHeight w:val="395"/>
          <w:jc w:val="center"/>
        </w:trPr>
        <w:tc>
          <w:tcPr>
            <w:tcW w:w="1425" w:type="dxa"/>
            <w:vMerge w:val="restart"/>
            <w:vAlign w:val="center"/>
          </w:tcPr>
          <w:p w:rsidR="0075731F" w:rsidRPr="00C80739" w:rsidRDefault="0075731F" w:rsidP="00C80739">
            <w:pPr>
              <w:pStyle w:val="Tabletext"/>
              <w:jc w:val="center"/>
              <w:rPr>
                <w:rFonts w:eastAsia="MS Mincho"/>
                <w:sz w:val="18"/>
                <w:szCs w:val="18"/>
                <w:lang w:val="en-US"/>
              </w:rPr>
            </w:pPr>
            <w:r w:rsidRPr="00C80739">
              <w:rPr>
                <w:rFonts w:eastAsia="MS Mincho"/>
                <w:sz w:val="18"/>
                <w:szCs w:val="18"/>
                <w:lang w:val="en-US"/>
              </w:rPr>
              <w:t>2x</w:t>
            </w:r>
            <w:r w:rsidRPr="00C80739">
              <w:rPr>
                <w:sz w:val="18"/>
                <w:szCs w:val="18"/>
                <w:lang w:val="en-US" w:eastAsia="zh-CN"/>
              </w:rPr>
              <w:t>32 SU-MIMO</w:t>
            </w:r>
          </w:p>
        </w:tc>
        <w:tc>
          <w:tcPr>
            <w:tcW w:w="1276"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 kHz</w:t>
            </w:r>
          </w:p>
        </w:tc>
        <w:tc>
          <w:tcPr>
            <w:tcW w:w="1275"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851" w:type="dxa"/>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850" w:type="dxa"/>
            <w:vMerge w:val="restart"/>
            <w:vAlign w:val="center"/>
          </w:tcPr>
          <w:p w:rsidR="0075731F" w:rsidRPr="00C80739" w:rsidRDefault="0075731F" w:rsidP="00C80739">
            <w:pPr>
              <w:pStyle w:val="Tabletext"/>
              <w:jc w:val="center"/>
              <w:rPr>
                <w:rFonts w:eastAsiaTheme="minorEastAsia"/>
                <w:sz w:val="18"/>
                <w:szCs w:val="18"/>
                <w:lang w:val="en-US" w:eastAsia="zh-CN"/>
              </w:rPr>
            </w:pPr>
            <w:r w:rsidRPr="00C80739">
              <w:rPr>
                <w:rFonts w:eastAsiaTheme="minorEastAsia"/>
                <w:sz w:val="18"/>
                <w:szCs w:val="18"/>
                <w:lang w:val="en-US" w:eastAsia="zh-CN"/>
              </w:rPr>
              <w:t>TSDSI</w:t>
            </w: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5.98</w:t>
            </w:r>
          </w:p>
        </w:tc>
      </w:tr>
      <w:tr w:rsidR="0075731F" w:rsidRPr="00C80739" w:rsidTr="00C80739">
        <w:trPr>
          <w:trHeight w:val="395"/>
          <w:jc w:val="center"/>
        </w:trPr>
        <w:tc>
          <w:tcPr>
            <w:tcW w:w="1425" w:type="dxa"/>
            <w:vMerge/>
            <w:vAlign w:val="center"/>
          </w:tcPr>
          <w:p w:rsidR="0075731F" w:rsidRPr="00C80739" w:rsidRDefault="0075731F" w:rsidP="00C80739">
            <w:pPr>
              <w:pStyle w:val="Tabletext"/>
              <w:jc w:val="center"/>
              <w:rPr>
                <w:rFonts w:eastAsia="MS Mincho"/>
                <w:sz w:val="18"/>
                <w:szCs w:val="18"/>
                <w:lang w:val="en-US"/>
              </w:rPr>
            </w:pPr>
          </w:p>
        </w:tc>
        <w:tc>
          <w:tcPr>
            <w:tcW w:w="1276" w:type="dxa"/>
            <w:vMerge/>
            <w:vAlign w:val="center"/>
          </w:tcPr>
          <w:p w:rsidR="0075731F" w:rsidRPr="00C80739" w:rsidRDefault="0075731F" w:rsidP="00C80739">
            <w:pPr>
              <w:pStyle w:val="Tabletext"/>
              <w:jc w:val="center"/>
              <w:rPr>
                <w:sz w:val="18"/>
                <w:szCs w:val="18"/>
                <w:lang w:val="en-US" w:eastAsia="zh-CN"/>
              </w:rPr>
            </w:pPr>
          </w:p>
        </w:tc>
        <w:tc>
          <w:tcPr>
            <w:tcW w:w="1275" w:type="dxa"/>
            <w:vMerge/>
            <w:vAlign w:val="center"/>
          </w:tcPr>
          <w:p w:rsidR="0075731F" w:rsidRPr="00C80739" w:rsidRDefault="0075731F" w:rsidP="00C80739">
            <w:pPr>
              <w:pStyle w:val="Tabletext"/>
              <w:jc w:val="center"/>
              <w:rPr>
                <w:sz w:val="18"/>
                <w:szCs w:val="18"/>
                <w:lang w:val="en-US" w:eastAsia="zh-CN"/>
              </w:rPr>
            </w:pPr>
          </w:p>
        </w:tc>
        <w:tc>
          <w:tcPr>
            <w:tcW w:w="851" w:type="dxa"/>
            <w:vMerge/>
            <w:vAlign w:val="center"/>
          </w:tcPr>
          <w:p w:rsidR="0075731F" w:rsidRPr="00C80739" w:rsidRDefault="0075731F" w:rsidP="00C80739">
            <w:pPr>
              <w:pStyle w:val="Tabletext"/>
              <w:jc w:val="center"/>
              <w:rPr>
                <w:sz w:val="18"/>
                <w:szCs w:val="18"/>
                <w:lang w:val="en-US" w:eastAsia="zh-CN"/>
              </w:rPr>
            </w:pPr>
          </w:p>
        </w:tc>
        <w:tc>
          <w:tcPr>
            <w:tcW w:w="850" w:type="dxa"/>
            <w:vMerge/>
            <w:vAlign w:val="center"/>
          </w:tcPr>
          <w:p w:rsidR="0075731F" w:rsidRPr="00C80739" w:rsidRDefault="0075731F" w:rsidP="00C80739">
            <w:pPr>
              <w:pStyle w:val="Tabletext"/>
              <w:jc w:val="center"/>
              <w:rPr>
                <w:sz w:val="18"/>
                <w:szCs w:val="18"/>
                <w:lang w:val="en-US" w:eastAsia="zh-CN"/>
              </w:rPr>
            </w:pPr>
          </w:p>
        </w:tc>
        <w:tc>
          <w:tcPr>
            <w:tcW w:w="1585"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 percentile [bit/s/Hz]</w:t>
            </w:r>
          </w:p>
        </w:tc>
        <w:tc>
          <w:tcPr>
            <w:tcW w:w="771" w:type="dxa"/>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1322" w:type="dxa"/>
            <w:vAlign w:val="center"/>
          </w:tcPr>
          <w:p w:rsidR="0075731F" w:rsidRPr="00C80739" w:rsidRDefault="0075731F" w:rsidP="00C80739">
            <w:pPr>
              <w:pStyle w:val="Tabletext"/>
              <w:jc w:val="center"/>
              <w:rPr>
                <w:color w:val="000000" w:themeColor="text1"/>
                <w:sz w:val="18"/>
                <w:szCs w:val="18"/>
                <w:lang w:val="en-US" w:eastAsia="zh-CN"/>
              </w:rPr>
            </w:pPr>
            <w:r w:rsidRPr="00C80739">
              <w:rPr>
                <w:color w:val="000000" w:themeColor="text1"/>
                <w:sz w:val="18"/>
                <w:szCs w:val="18"/>
                <w:lang w:val="en-US" w:eastAsia="zh-CN"/>
              </w:rPr>
              <w:t>0.29</w:t>
            </w:r>
          </w:p>
        </w:tc>
      </w:tr>
    </w:tbl>
    <w:p w:rsidR="0075731F" w:rsidRDefault="0075731F" w:rsidP="0075731F">
      <w:pPr>
        <w:spacing w:beforeLines="50"/>
        <w:jc w:val="both"/>
      </w:pPr>
    </w:p>
    <w:p w:rsidR="0075731F" w:rsidRPr="0011386D" w:rsidRDefault="0075731F" w:rsidP="00C80739">
      <w:r w:rsidRPr="0011386D">
        <w:t xml:space="preserve">For </w:t>
      </w:r>
      <w:proofErr w:type="spellStart"/>
      <w:r w:rsidRPr="0011386D">
        <w:t>precoded</w:t>
      </w:r>
      <w:proofErr w:type="spellEnd"/>
      <w:r w:rsidRPr="0011386D">
        <w:t xml:space="preserve"> SRS transmission, the delay between CSI-RS measurement and </w:t>
      </w:r>
      <w:proofErr w:type="spellStart"/>
      <w:r w:rsidRPr="0011386D">
        <w:t>precoded</w:t>
      </w:r>
      <w:proofErr w:type="spellEnd"/>
      <w:r w:rsidRPr="0011386D">
        <w:t xml:space="preserve"> SRS transmission is defined as 42 OFDM symbols for 3GPP NR. For TSDSI, shorter processing delay between CSI-RS measurement and </w:t>
      </w:r>
      <w:proofErr w:type="spellStart"/>
      <w:r w:rsidRPr="0011386D">
        <w:t>precoded</w:t>
      </w:r>
      <w:proofErr w:type="spellEnd"/>
      <w:r w:rsidRPr="0011386D">
        <w:t xml:space="preserve"> SRS transmission is supported for uplink non-codebook transmission in TDD mode. The performance enhancement comes from the accurate </w:t>
      </w:r>
      <w:proofErr w:type="spellStart"/>
      <w:r w:rsidRPr="0011386D">
        <w:t>precoder</w:t>
      </w:r>
      <w:proofErr w:type="spellEnd"/>
      <w:r w:rsidRPr="0011386D">
        <w:t xml:space="preserve"> applied for PUSCH transmission. However, the delay between CSI-RS measurement and PUSCH transmission not only depends on the transmission time of </w:t>
      </w:r>
      <w:proofErr w:type="spellStart"/>
      <w:r w:rsidRPr="0011386D">
        <w:t>precoded</w:t>
      </w:r>
      <w:proofErr w:type="spellEnd"/>
      <w:r w:rsidRPr="0011386D">
        <w:t xml:space="preserve"> SRS but also depends on the transmission time of PUSCH. In the following, the impacts of delay on CSI-RS measurement, </w:t>
      </w:r>
      <w:proofErr w:type="spellStart"/>
      <w:r w:rsidRPr="0011386D">
        <w:t>precoded</w:t>
      </w:r>
      <w:proofErr w:type="spellEnd"/>
      <w:r w:rsidRPr="0011386D">
        <w:t xml:space="preserve"> SRS transmission, and PUSCH transmission are </w:t>
      </w:r>
      <w:proofErr w:type="spellStart"/>
      <w:r w:rsidRPr="0011386D">
        <w:t>analyzed</w:t>
      </w:r>
      <w:proofErr w:type="spellEnd"/>
      <w:r w:rsidRPr="0011386D">
        <w:t xml:space="preserve"> in Figure 1.</w:t>
      </w:r>
    </w:p>
    <w:p w:rsidR="0075731F" w:rsidRDefault="0075731F" w:rsidP="00C80739">
      <w:r w:rsidRPr="0011386D">
        <w:t xml:space="preserve">In Figure 1, the frame structure ‘DDDSU’ is applied for the analysis and the scheduling delay is assumed to be one slot (including 14 OFDM symbols for one slot). In Figure 1-(a), the CSI-RS is transmitted in slot 2 and the </w:t>
      </w:r>
      <w:proofErr w:type="spellStart"/>
      <w:r w:rsidRPr="0011386D">
        <w:t>precoded</w:t>
      </w:r>
      <w:proofErr w:type="spellEnd"/>
      <w:r w:rsidRPr="0011386D">
        <w:t xml:space="preserve"> SRS can be transmitted in slot 3 or slot 4. One or 2 slots delay exist between CSI-RS measurement and </w:t>
      </w:r>
      <w:proofErr w:type="spellStart"/>
      <w:r w:rsidRPr="0011386D">
        <w:t>precoded</w:t>
      </w:r>
      <w:proofErr w:type="spellEnd"/>
      <w:r w:rsidRPr="0011386D">
        <w:t xml:space="preserve"> SRS transmission. Due to the scheduling delay and uplink grant transmission, the following PUSCH cannot use the channel state information derived from the </w:t>
      </w:r>
      <w:proofErr w:type="spellStart"/>
      <w:r w:rsidRPr="0011386D">
        <w:t>precoded</w:t>
      </w:r>
      <w:proofErr w:type="spellEnd"/>
      <w:r w:rsidRPr="0011386D">
        <w:t xml:space="preserve"> SRS in slot 3. As a result, the PUSCH transmission in slot 9 would use the </w:t>
      </w:r>
      <w:proofErr w:type="spellStart"/>
      <w:r w:rsidRPr="0011386D">
        <w:t>precoder</w:t>
      </w:r>
      <w:proofErr w:type="spellEnd"/>
      <w:r w:rsidRPr="0011386D">
        <w:t xml:space="preserve"> measured in slot 2. 3 slots delay between CSI-RS measurement and </w:t>
      </w:r>
      <w:proofErr w:type="spellStart"/>
      <w:r w:rsidRPr="0011386D">
        <w:t>precoded</w:t>
      </w:r>
      <w:proofErr w:type="spellEnd"/>
      <w:r w:rsidRPr="0011386D">
        <w:t xml:space="preserve"> SRS transmission is assumed in Figure 1-(b). The PUSCH transmission in slot 9 would use the </w:t>
      </w:r>
      <w:proofErr w:type="spellStart"/>
      <w:r w:rsidRPr="0011386D">
        <w:t>precoder</w:t>
      </w:r>
      <w:proofErr w:type="spellEnd"/>
      <w:r w:rsidRPr="0011386D">
        <w:t xml:space="preserve"> measured in slot 1. It can be observed that the total delay between CSI-RS measurement and the corresponding PUSCH transmission is much larger than that of SRS precoding delay. The performance is limited by the total delay rather than the SRS precoding delay. </w:t>
      </w:r>
    </w:p>
    <w:p w:rsidR="00C80739" w:rsidRDefault="00C80739" w:rsidP="00C80739">
      <w:pPr>
        <w:pStyle w:val="FigureNo"/>
        <w:rPr>
          <w:rFonts w:eastAsiaTheme="minorEastAsia"/>
          <w:lang w:val="en-US" w:eastAsia="zh-CN"/>
        </w:rPr>
      </w:pPr>
      <w:bookmarkStart w:id="25" w:name="_Ref31748315"/>
      <w:r>
        <w:rPr>
          <w:rFonts w:eastAsiaTheme="minorEastAsia"/>
          <w:lang w:val="en-US" w:eastAsia="zh-CN"/>
        </w:rPr>
        <w:t>Figure 1</w:t>
      </w:r>
    </w:p>
    <w:p w:rsidR="00C80739" w:rsidRPr="00AF7033" w:rsidRDefault="00C80739" w:rsidP="00C80739">
      <w:pPr>
        <w:pStyle w:val="Figuretitle"/>
        <w:spacing w:after="120"/>
        <w:rPr>
          <w:lang w:val="en-US" w:eastAsia="zh-CN"/>
        </w:rPr>
      </w:pPr>
      <w:r w:rsidRPr="00AF7033">
        <w:rPr>
          <w:rFonts w:eastAsiaTheme="minorEastAsia"/>
          <w:lang w:val="en-US" w:eastAsia="zh-CN"/>
        </w:rPr>
        <w:t xml:space="preserve">Delay analysis for CSI-RS measurement, </w:t>
      </w:r>
      <w:proofErr w:type="spellStart"/>
      <w:r w:rsidRPr="00AF7033">
        <w:rPr>
          <w:rFonts w:eastAsiaTheme="minorEastAsia"/>
          <w:lang w:val="en-US" w:eastAsia="zh-CN"/>
        </w:rPr>
        <w:t>precoded</w:t>
      </w:r>
      <w:proofErr w:type="spellEnd"/>
      <w:r w:rsidRPr="00AF7033">
        <w:rPr>
          <w:rFonts w:eastAsiaTheme="minorEastAsia"/>
          <w:lang w:val="en-US" w:eastAsia="zh-CN"/>
        </w:rPr>
        <w:t xml:space="preserve"> SRS and PUSCH transmission</w:t>
      </w:r>
      <w:bookmarkEnd w:id="25"/>
    </w:p>
    <w:p w:rsidR="0075731F" w:rsidRPr="00AF7033" w:rsidRDefault="0075731F" w:rsidP="0075731F">
      <w:pPr>
        <w:jc w:val="center"/>
        <w:rPr>
          <w:lang w:val="en-US" w:eastAsia="zh-CN"/>
        </w:rPr>
      </w:pPr>
      <w:r w:rsidRPr="00AF7033">
        <w:rPr>
          <w:noProof/>
          <w:lang w:eastAsia="zh-CN"/>
        </w:rPr>
        <w:drawing>
          <wp:inline distT="0" distB="0" distL="0" distR="0" wp14:anchorId="4E15D126" wp14:editId="3605824F">
            <wp:extent cx="3869005" cy="2017101"/>
            <wp:effectExtent l="0" t="0" r="0" b="2540"/>
            <wp:docPr id="1026" name="Picture 2" descr="C:\Users\y00369913\AppData\Roaming\eSpace_Desktop\UserData\y00369913\imagefiles\56DB4A18-241F-4195-A8B7-F752173F1A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y00369913\AppData\Roaming\eSpace_Desktop\UserData\y00369913\imagefiles\56DB4A18-241F-4195-A8B7-F752173F1A8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1446" cy="2039228"/>
                    </a:xfrm>
                    <a:prstGeom prst="rect">
                      <a:avLst/>
                    </a:prstGeom>
                    <a:noFill/>
                  </pic:spPr>
                </pic:pic>
              </a:graphicData>
            </a:graphic>
          </wp:inline>
        </w:drawing>
      </w:r>
    </w:p>
    <w:p w:rsidR="0075731F" w:rsidRPr="00C80739" w:rsidRDefault="0075731F" w:rsidP="0075731F">
      <w:pPr>
        <w:pStyle w:val="ListParagraph"/>
        <w:numPr>
          <w:ilvl w:val="0"/>
          <w:numId w:val="7"/>
        </w:numPr>
        <w:jc w:val="center"/>
        <w:textAlignment w:val="auto"/>
        <w:rPr>
          <w:rFonts w:eastAsiaTheme="minorEastAsia"/>
          <w:sz w:val="20"/>
          <w:szCs w:val="16"/>
          <w:lang w:val="en-US" w:eastAsia="zh-CN"/>
        </w:rPr>
      </w:pPr>
      <w:r w:rsidRPr="00C80739">
        <w:rPr>
          <w:rFonts w:eastAsiaTheme="minorEastAsia"/>
          <w:sz w:val="20"/>
          <w:szCs w:val="16"/>
          <w:lang w:val="en-US" w:eastAsia="zh-CN"/>
        </w:rPr>
        <w:t xml:space="preserve">1 or 2 slots delay between CSI-RS measurement and </w:t>
      </w:r>
      <w:proofErr w:type="spellStart"/>
      <w:r w:rsidRPr="00C80739">
        <w:rPr>
          <w:rFonts w:eastAsiaTheme="minorEastAsia"/>
          <w:sz w:val="20"/>
          <w:szCs w:val="16"/>
          <w:lang w:val="en-US" w:eastAsia="zh-CN"/>
        </w:rPr>
        <w:t>precoded</w:t>
      </w:r>
      <w:proofErr w:type="spellEnd"/>
      <w:r w:rsidRPr="00C80739">
        <w:rPr>
          <w:rFonts w:eastAsiaTheme="minorEastAsia"/>
          <w:sz w:val="20"/>
          <w:szCs w:val="16"/>
          <w:lang w:val="en-US" w:eastAsia="zh-CN"/>
        </w:rPr>
        <w:t xml:space="preserve"> SRS transmission</w:t>
      </w:r>
    </w:p>
    <w:p w:rsidR="0075731F" w:rsidRPr="00AF7033" w:rsidRDefault="0075731F" w:rsidP="0075731F">
      <w:pPr>
        <w:jc w:val="center"/>
        <w:rPr>
          <w:lang w:val="en-US" w:eastAsia="zh-CN"/>
        </w:rPr>
      </w:pPr>
      <w:r w:rsidRPr="00AF7033">
        <w:rPr>
          <w:noProof/>
          <w:lang w:eastAsia="zh-CN"/>
        </w:rPr>
        <w:drawing>
          <wp:inline distT="0" distB="0" distL="0" distR="0" wp14:anchorId="0C64F2EF" wp14:editId="17C87353">
            <wp:extent cx="3934892" cy="2033765"/>
            <wp:effectExtent l="0" t="0" r="8890" b="5080"/>
            <wp:docPr id="1028" name="Picture 4" descr="C:\Users\y00369913\AppData\Roaming\eSpace_Desktop\UserData\y00369913\imagefiles\85811611-BEA4-4B8A-A9E7-15B49FFEB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y00369913\AppData\Roaming\eSpace_Desktop\UserData\y00369913\imagefiles\85811611-BEA4-4B8A-A9E7-15B49FFEB2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3355" cy="2074319"/>
                    </a:xfrm>
                    <a:prstGeom prst="rect">
                      <a:avLst/>
                    </a:prstGeom>
                    <a:noFill/>
                  </pic:spPr>
                </pic:pic>
              </a:graphicData>
            </a:graphic>
          </wp:inline>
        </w:drawing>
      </w:r>
    </w:p>
    <w:p w:rsidR="0075731F" w:rsidRPr="00C80739" w:rsidRDefault="0075731F" w:rsidP="0075731F">
      <w:pPr>
        <w:pStyle w:val="ListParagraph"/>
        <w:numPr>
          <w:ilvl w:val="0"/>
          <w:numId w:val="7"/>
        </w:numPr>
        <w:jc w:val="center"/>
        <w:textAlignment w:val="auto"/>
        <w:rPr>
          <w:rFonts w:eastAsiaTheme="minorEastAsia"/>
          <w:sz w:val="20"/>
          <w:szCs w:val="16"/>
          <w:lang w:val="en-US" w:eastAsia="zh-CN"/>
        </w:rPr>
      </w:pPr>
      <w:r w:rsidRPr="00C80739">
        <w:rPr>
          <w:rFonts w:eastAsiaTheme="minorEastAsia"/>
          <w:sz w:val="20"/>
          <w:szCs w:val="16"/>
          <w:lang w:val="en-US" w:eastAsia="zh-CN"/>
        </w:rPr>
        <w:t xml:space="preserve">3 slots delay between CSI-RS measurement and </w:t>
      </w:r>
      <w:proofErr w:type="spellStart"/>
      <w:r w:rsidRPr="00C80739">
        <w:rPr>
          <w:rFonts w:eastAsiaTheme="minorEastAsia"/>
          <w:sz w:val="20"/>
          <w:szCs w:val="16"/>
          <w:lang w:val="en-US" w:eastAsia="zh-CN"/>
        </w:rPr>
        <w:t>precoded</w:t>
      </w:r>
      <w:proofErr w:type="spellEnd"/>
      <w:r w:rsidRPr="00C80739">
        <w:rPr>
          <w:rFonts w:eastAsiaTheme="minorEastAsia"/>
          <w:sz w:val="20"/>
          <w:szCs w:val="16"/>
          <w:lang w:val="en-US" w:eastAsia="zh-CN"/>
        </w:rPr>
        <w:t xml:space="preserve"> SRS transmission</w:t>
      </w:r>
    </w:p>
    <w:p w:rsidR="0075731F" w:rsidRDefault="0075731F" w:rsidP="00C80739">
      <w:r w:rsidRPr="0011386D">
        <w:t>The evaluation results are provided in</w:t>
      </w:r>
      <w:r w:rsidR="00C80739">
        <w:t xml:space="preserve"> Table 4</w:t>
      </w:r>
      <w:r w:rsidRPr="0011386D">
        <w:t xml:space="preserve">. It can be observed that there is little impact on spectral efficiency for the delay reduction of </w:t>
      </w:r>
      <w:proofErr w:type="spellStart"/>
      <w:r w:rsidRPr="0011386D">
        <w:t>precoded</w:t>
      </w:r>
      <w:proofErr w:type="spellEnd"/>
      <w:r w:rsidRPr="0011386D">
        <w:t xml:space="preserve"> SRS.  Although the delay between CSI-RS measurement and </w:t>
      </w:r>
      <w:proofErr w:type="spellStart"/>
      <w:r w:rsidRPr="0011386D">
        <w:t>precoded</w:t>
      </w:r>
      <w:proofErr w:type="spellEnd"/>
      <w:r w:rsidRPr="0011386D">
        <w:t xml:space="preserve"> SRS transmission is reduced, the delay between CSI-RS measurement and PUSCH transmission is also very large. The delay analysis can be found in Figure 1. Additionally, only the wideband </w:t>
      </w:r>
      <w:proofErr w:type="spellStart"/>
      <w:r w:rsidRPr="0011386D">
        <w:t>precoder</w:t>
      </w:r>
      <w:proofErr w:type="spellEnd"/>
      <w:r w:rsidRPr="0011386D">
        <w:t xml:space="preserve"> for SRS is supported by 3GPP NR and TSDSI. The channel for wideband changes slowly so that the performance is not sensitive to delay reduction.</w:t>
      </w:r>
    </w:p>
    <w:p w:rsidR="0075731F" w:rsidRDefault="0075731F" w:rsidP="00C80739">
      <w:pPr>
        <w:pStyle w:val="TableNo"/>
        <w:spacing w:before="240"/>
      </w:pPr>
      <w:bookmarkStart w:id="26" w:name="_Ref32342265"/>
      <w:bookmarkStart w:id="27" w:name="_Ref31748198"/>
      <w:bookmarkStart w:id="28" w:name="_Toc31943231"/>
      <w:bookmarkStart w:id="29" w:name="_Toc31943711"/>
      <w:bookmarkStart w:id="30" w:name="_Toc31944271"/>
      <w:r w:rsidRPr="00363C6B">
        <w:t>Table</w:t>
      </w:r>
      <w:r w:rsidR="00C80739">
        <w:t xml:space="preserve"> 4</w:t>
      </w:r>
      <w:bookmarkEnd w:id="26"/>
      <w:r w:rsidRPr="00363C6B">
        <w:t xml:space="preserve"> </w:t>
      </w:r>
    </w:p>
    <w:p w:rsidR="0075731F" w:rsidRPr="00363C6B" w:rsidRDefault="0075731F" w:rsidP="00391BCF">
      <w:pPr>
        <w:pStyle w:val="Tabletitle"/>
        <w:rPr>
          <w:rFonts w:eastAsia="MS Mincho"/>
        </w:rPr>
      </w:pPr>
      <w:r w:rsidRPr="00363C6B">
        <w:rPr>
          <w:rFonts w:eastAsia="MS Mincho"/>
        </w:rPr>
        <w:t xml:space="preserve">UL spectral efficiency for fast SRS precoding (TSDSI) in Dense Urban – </w:t>
      </w:r>
      <w:proofErr w:type="spellStart"/>
      <w:r w:rsidRPr="00363C6B">
        <w:rPr>
          <w:rFonts w:eastAsia="MS Mincho"/>
        </w:rPr>
        <w:t>eMBB</w:t>
      </w:r>
      <w:bookmarkEnd w:id="27"/>
      <w:bookmarkEnd w:id="28"/>
      <w:bookmarkEnd w:id="29"/>
      <w:bookmarkEnd w:id="30"/>
      <w:proofErr w:type="spellEnd"/>
      <w:r w:rsidRPr="00363C6B">
        <w:rPr>
          <w:rFonts w:eastAsia="MS Mincho"/>
        </w:rPr>
        <w:t xml:space="preserve"> </w:t>
      </w:r>
    </w:p>
    <w:tbl>
      <w:tblPr>
        <w:tblW w:w="49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09"/>
        <w:gridCol w:w="1189"/>
        <w:gridCol w:w="1047"/>
        <w:gridCol w:w="1208"/>
        <w:gridCol w:w="895"/>
        <w:gridCol w:w="1547"/>
        <w:gridCol w:w="595"/>
        <w:gridCol w:w="1591"/>
      </w:tblGrid>
      <w:tr w:rsidR="0075731F" w:rsidRPr="00C80739" w:rsidTr="0075731F">
        <w:trPr>
          <w:trHeight w:val="736"/>
          <w:jc w:val="center"/>
        </w:trPr>
        <w:tc>
          <w:tcPr>
            <w:tcW w:w="743" w:type="pct"/>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627"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552"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637" w:type="pct"/>
            <w:vAlign w:val="center"/>
          </w:tcPr>
          <w:p w:rsidR="0075731F" w:rsidRPr="00C80739" w:rsidRDefault="0075731F" w:rsidP="00C80739">
            <w:pPr>
              <w:pStyle w:val="Tablehead"/>
              <w:rPr>
                <w:rFonts w:eastAsiaTheme="minorEastAsia"/>
                <w:sz w:val="18"/>
                <w:szCs w:val="18"/>
                <w:lang w:val="en-US" w:eastAsia="zh-CN"/>
              </w:rPr>
            </w:pPr>
            <w:r w:rsidRPr="00C80739">
              <w:rPr>
                <w:sz w:val="18"/>
                <w:szCs w:val="18"/>
                <w:lang w:val="en-US" w:eastAsia="zh-CN"/>
              </w:rPr>
              <w:t>Delay for SRS precoding</w:t>
            </w:r>
          </w:p>
        </w:tc>
        <w:tc>
          <w:tcPr>
            <w:tcW w:w="472" w:type="pct"/>
            <w:vAlign w:val="center"/>
          </w:tcPr>
          <w:p w:rsidR="0075731F" w:rsidRPr="00C80739" w:rsidRDefault="0075731F" w:rsidP="00C80739">
            <w:pPr>
              <w:pStyle w:val="Tablehead"/>
              <w:rPr>
                <w:rFonts w:eastAsiaTheme="minorEastAsia"/>
                <w:sz w:val="18"/>
                <w:szCs w:val="18"/>
                <w:lang w:val="en-US" w:eastAsia="zh-CN"/>
              </w:rPr>
            </w:pPr>
            <w:r w:rsidRPr="00C80739">
              <w:rPr>
                <w:rFonts w:eastAsiaTheme="minorEastAsia"/>
                <w:sz w:val="18"/>
                <w:szCs w:val="18"/>
                <w:lang w:val="en-US" w:eastAsia="zh-CN"/>
              </w:rPr>
              <w:t>RIT</w:t>
            </w:r>
          </w:p>
        </w:tc>
        <w:tc>
          <w:tcPr>
            <w:tcW w:w="1130" w:type="pct"/>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840" w:type="pct"/>
            <w:vAlign w:val="center"/>
          </w:tcPr>
          <w:p w:rsidR="0075731F" w:rsidRPr="00C80739" w:rsidRDefault="0075731F" w:rsidP="00C80739">
            <w:pPr>
              <w:pStyle w:val="Tablehead"/>
              <w:rPr>
                <w:sz w:val="18"/>
                <w:szCs w:val="18"/>
                <w:lang w:val="en-US"/>
              </w:rPr>
            </w:pPr>
            <w:r w:rsidRPr="00C80739">
              <w:rPr>
                <w:sz w:val="18"/>
                <w:szCs w:val="18"/>
                <w:lang w:val="en-US" w:eastAsia="zh-CN"/>
              </w:rPr>
              <w:t>20</w:t>
            </w:r>
            <w:r w:rsidR="00C80739">
              <w:rPr>
                <w:sz w:val="18"/>
                <w:szCs w:val="18"/>
                <w:lang w:val="en-US" w:eastAsia="zh-CN"/>
              </w:rPr>
              <w:t xml:space="preserve"> </w:t>
            </w:r>
            <w:r w:rsidRPr="00C80739">
              <w:rPr>
                <w:sz w:val="18"/>
                <w:szCs w:val="18"/>
                <w:lang w:val="en-US" w:eastAsia="zh-CN"/>
              </w:rPr>
              <w:t>MHz bandwidth</w:t>
            </w:r>
          </w:p>
        </w:tc>
      </w:tr>
      <w:tr w:rsidR="0075731F" w:rsidRPr="00C80739" w:rsidTr="00C80739">
        <w:trPr>
          <w:trHeight w:val="303"/>
          <w:jc w:val="center"/>
        </w:trPr>
        <w:tc>
          <w:tcPr>
            <w:tcW w:w="743" w:type="pct"/>
            <w:vMerge w:val="restart"/>
            <w:vAlign w:val="center"/>
          </w:tcPr>
          <w:p w:rsidR="0075731F" w:rsidRPr="00C80739" w:rsidRDefault="0075731F" w:rsidP="00C80739">
            <w:pPr>
              <w:pStyle w:val="Tabletext"/>
              <w:jc w:val="center"/>
              <w:rPr>
                <w:sz w:val="18"/>
                <w:szCs w:val="18"/>
                <w:lang w:val="en-US" w:eastAsia="zh-CN"/>
              </w:rPr>
            </w:pPr>
            <w:r w:rsidRPr="00C80739">
              <w:rPr>
                <w:rFonts w:eastAsia="MS Mincho"/>
                <w:sz w:val="18"/>
                <w:szCs w:val="18"/>
                <w:lang w:val="en-US"/>
              </w:rPr>
              <w:t>2x</w:t>
            </w:r>
            <w:r w:rsidRPr="00C80739">
              <w:rPr>
                <w:sz w:val="18"/>
                <w:szCs w:val="18"/>
                <w:lang w:val="en-US" w:eastAsia="zh-CN"/>
              </w:rPr>
              <w:t>8 SU-MIMO</w:t>
            </w:r>
          </w:p>
        </w:tc>
        <w:tc>
          <w:tcPr>
            <w:tcW w:w="62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52"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63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 or 2 slots</w:t>
            </w:r>
          </w:p>
        </w:tc>
        <w:tc>
          <w:tcPr>
            <w:tcW w:w="472" w:type="pct"/>
            <w:vMerge w:val="restart"/>
            <w:vAlign w:val="center"/>
          </w:tcPr>
          <w:p w:rsidR="0075731F" w:rsidRPr="00C80739" w:rsidRDefault="0075731F" w:rsidP="00C80739">
            <w:pPr>
              <w:pStyle w:val="Tabletext"/>
              <w:jc w:val="center"/>
              <w:rPr>
                <w:rFonts w:eastAsiaTheme="minorEastAsia"/>
                <w:sz w:val="18"/>
                <w:szCs w:val="18"/>
                <w:lang w:val="en-US" w:eastAsia="zh-CN"/>
              </w:rPr>
            </w:pPr>
            <w:r w:rsidRPr="00C80739">
              <w:rPr>
                <w:rFonts w:eastAsiaTheme="minorEastAsia"/>
                <w:sz w:val="18"/>
                <w:szCs w:val="18"/>
                <w:lang w:val="en-US" w:eastAsia="zh-CN"/>
              </w:rPr>
              <w:t>TSDSI</w:t>
            </w:r>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7.038</w:t>
            </w:r>
          </w:p>
        </w:tc>
      </w:tr>
      <w:tr w:rsidR="0075731F" w:rsidRPr="00C80739" w:rsidTr="00C80739">
        <w:trPr>
          <w:trHeight w:val="311"/>
          <w:jc w:val="center"/>
        </w:trPr>
        <w:tc>
          <w:tcPr>
            <w:tcW w:w="743" w:type="pct"/>
            <w:vMerge/>
            <w:vAlign w:val="center"/>
          </w:tcPr>
          <w:p w:rsidR="0075731F" w:rsidRPr="00C80739" w:rsidRDefault="0075731F" w:rsidP="00C80739">
            <w:pPr>
              <w:pStyle w:val="Tabletext"/>
              <w:jc w:val="center"/>
              <w:rPr>
                <w:rFonts w:eastAsia="MS Mincho"/>
                <w:sz w:val="18"/>
                <w:szCs w:val="18"/>
                <w:lang w:val="en-US"/>
              </w:rPr>
            </w:pPr>
          </w:p>
        </w:tc>
        <w:tc>
          <w:tcPr>
            <w:tcW w:w="627" w:type="pct"/>
            <w:vMerge/>
            <w:vAlign w:val="center"/>
          </w:tcPr>
          <w:p w:rsidR="0075731F" w:rsidRPr="00C80739" w:rsidRDefault="0075731F" w:rsidP="00C80739">
            <w:pPr>
              <w:pStyle w:val="Tabletext"/>
              <w:jc w:val="center"/>
              <w:rPr>
                <w:rFonts w:eastAsia="MS Mincho"/>
                <w:sz w:val="18"/>
                <w:szCs w:val="18"/>
                <w:lang w:val="en-US"/>
              </w:rPr>
            </w:pPr>
          </w:p>
        </w:tc>
        <w:tc>
          <w:tcPr>
            <w:tcW w:w="552" w:type="pct"/>
            <w:vMerge/>
            <w:vAlign w:val="center"/>
          </w:tcPr>
          <w:p w:rsidR="0075731F" w:rsidRPr="00C80739" w:rsidRDefault="0075731F" w:rsidP="00C80739">
            <w:pPr>
              <w:pStyle w:val="Tabletext"/>
              <w:jc w:val="center"/>
              <w:rPr>
                <w:rFonts w:eastAsia="MS Mincho"/>
                <w:sz w:val="18"/>
                <w:szCs w:val="18"/>
                <w:lang w:val="en-US"/>
              </w:rPr>
            </w:pPr>
          </w:p>
        </w:tc>
        <w:tc>
          <w:tcPr>
            <w:tcW w:w="637" w:type="pct"/>
            <w:vMerge/>
            <w:vAlign w:val="center"/>
          </w:tcPr>
          <w:p w:rsidR="0075731F" w:rsidRPr="00C80739" w:rsidRDefault="0075731F" w:rsidP="00C80739">
            <w:pPr>
              <w:pStyle w:val="Tabletext"/>
              <w:jc w:val="center"/>
              <w:rPr>
                <w:sz w:val="18"/>
                <w:szCs w:val="18"/>
                <w:lang w:val="en-US" w:eastAsia="zh-CN"/>
              </w:rPr>
            </w:pPr>
          </w:p>
        </w:tc>
        <w:tc>
          <w:tcPr>
            <w:tcW w:w="472" w:type="pct"/>
            <w:vMerge/>
            <w:vAlign w:val="center"/>
          </w:tcPr>
          <w:p w:rsidR="0075731F" w:rsidRPr="00C80739" w:rsidRDefault="0075731F" w:rsidP="00C80739">
            <w:pPr>
              <w:pStyle w:val="Tabletext"/>
              <w:jc w:val="center"/>
              <w:rPr>
                <w:sz w:val="18"/>
                <w:szCs w:val="18"/>
                <w:lang w:val="en-US" w:eastAsia="zh-CN"/>
              </w:rPr>
            </w:pPr>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0.42</w:t>
            </w:r>
          </w:p>
        </w:tc>
      </w:tr>
      <w:tr w:rsidR="0075731F" w:rsidRPr="00C80739" w:rsidTr="00C80739">
        <w:trPr>
          <w:trHeight w:val="303"/>
          <w:jc w:val="center"/>
        </w:trPr>
        <w:tc>
          <w:tcPr>
            <w:tcW w:w="743" w:type="pct"/>
            <w:vMerge w:val="restart"/>
            <w:vAlign w:val="center"/>
          </w:tcPr>
          <w:p w:rsidR="0075731F" w:rsidRPr="00C80739" w:rsidRDefault="0075731F" w:rsidP="00C80739">
            <w:pPr>
              <w:pStyle w:val="Tabletext"/>
              <w:jc w:val="center"/>
              <w:rPr>
                <w:sz w:val="18"/>
                <w:szCs w:val="18"/>
                <w:lang w:val="en-US" w:eastAsia="zh-CN"/>
              </w:rPr>
            </w:pPr>
            <w:r w:rsidRPr="00C80739">
              <w:rPr>
                <w:rFonts w:eastAsia="MS Mincho"/>
                <w:sz w:val="18"/>
                <w:szCs w:val="18"/>
                <w:lang w:val="en-US"/>
              </w:rPr>
              <w:t>2x</w:t>
            </w:r>
            <w:r w:rsidRPr="00C80739">
              <w:rPr>
                <w:sz w:val="18"/>
                <w:szCs w:val="18"/>
                <w:lang w:val="en-US" w:eastAsia="zh-CN"/>
              </w:rPr>
              <w:t>8 SU-MIMO</w:t>
            </w:r>
          </w:p>
        </w:tc>
        <w:tc>
          <w:tcPr>
            <w:tcW w:w="62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52"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63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 slots</w:t>
            </w:r>
          </w:p>
        </w:tc>
        <w:tc>
          <w:tcPr>
            <w:tcW w:w="472" w:type="pct"/>
            <w:vMerge w:val="restart"/>
            <w:vAlign w:val="center"/>
          </w:tcPr>
          <w:p w:rsidR="0075731F" w:rsidRPr="00C80739" w:rsidRDefault="0075731F" w:rsidP="00C80739">
            <w:pPr>
              <w:pStyle w:val="Tabletext"/>
              <w:jc w:val="center"/>
              <w:rPr>
                <w:rFonts w:eastAsiaTheme="minorEastAsia"/>
                <w:sz w:val="18"/>
                <w:szCs w:val="18"/>
                <w:lang w:val="en-US" w:eastAsia="zh-CN"/>
              </w:rPr>
            </w:pPr>
            <w:r w:rsidRPr="00C80739">
              <w:rPr>
                <w:rFonts w:eastAsiaTheme="minorEastAsia"/>
                <w:sz w:val="18"/>
                <w:szCs w:val="18"/>
                <w:lang w:val="en-US" w:eastAsia="zh-CN"/>
              </w:rPr>
              <w:t>3GPP NR</w:t>
            </w:r>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5.4</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7.036</w:t>
            </w:r>
          </w:p>
        </w:tc>
      </w:tr>
      <w:tr w:rsidR="0075731F" w:rsidRPr="00C80739" w:rsidTr="00C80739">
        <w:trPr>
          <w:trHeight w:val="311"/>
          <w:jc w:val="center"/>
        </w:trPr>
        <w:tc>
          <w:tcPr>
            <w:tcW w:w="743" w:type="pct"/>
            <w:vMerge/>
            <w:vAlign w:val="center"/>
          </w:tcPr>
          <w:p w:rsidR="0075731F" w:rsidRPr="00C80739" w:rsidRDefault="0075731F" w:rsidP="00C80739">
            <w:pPr>
              <w:pStyle w:val="Tabletext"/>
              <w:jc w:val="center"/>
              <w:rPr>
                <w:rFonts w:eastAsia="MS Mincho"/>
                <w:sz w:val="18"/>
                <w:szCs w:val="18"/>
                <w:lang w:val="en-US"/>
              </w:rPr>
            </w:pPr>
          </w:p>
        </w:tc>
        <w:tc>
          <w:tcPr>
            <w:tcW w:w="627" w:type="pct"/>
            <w:vMerge/>
            <w:vAlign w:val="center"/>
          </w:tcPr>
          <w:p w:rsidR="0075731F" w:rsidRPr="00C80739" w:rsidRDefault="0075731F" w:rsidP="00C80739">
            <w:pPr>
              <w:pStyle w:val="Tabletext"/>
              <w:jc w:val="center"/>
              <w:rPr>
                <w:rFonts w:eastAsia="MS Mincho"/>
                <w:sz w:val="18"/>
                <w:szCs w:val="18"/>
                <w:lang w:val="en-US"/>
              </w:rPr>
            </w:pPr>
          </w:p>
        </w:tc>
        <w:tc>
          <w:tcPr>
            <w:tcW w:w="552" w:type="pct"/>
            <w:vMerge/>
            <w:vAlign w:val="center"/>
          </w:tcPr>
          <w:p w:rsidR="0075731F" w:rsidRPr="00C80739" w:rsidRDefault="0075731F" w:rsidP="00C80739">
            <w:pPr>
              <w:pStyle w:val="Tabletext"/>
              <w:jc w:val="center"/>
              <w:rPr>
                <w:rFonts w:eastAsia="MS Mincho"/>
                <w:sz w:val="18"/>
                <w:szCs w:val="18"/>
                <w:lang w:val="en-US"/>
              </w:rPr>
            </w:pPr>
          </w:p>
        </w:tc>
        <w:tc>
          <w:tcPr>
            <w:tcW w:w="637" w:type="pct"/>
            <w:vMerge/>
            <w:vAlign w:val="center"/>
          </w:tcPr>
          <w:p w:rsidR="0075731F" w:rsidRPr="00C80739" w:rsidRDefault="0075731F" w:rsidP="00C80739">
            <w:pPr>
              <w:pStyle w:val="Tabletext"/>
              <w:jc w:val="center"/>
              <w:rPr>
                <w:sz w:val="18"/>
                <w:szCs w:val="18"/>
                <w:lang w:val="en-US" w:eastAsia="zh-CN"/>
              </w:rPr>
            </w:pPr>
          </w:p>
        </w:tc>
        <w:tc>
          <w:tcPr>
            <w:tcW w:w="472" w:type="pct"/>
            <w:vMerge/>
            <w:vAlign w:val="center"/>
          </w:tcPr>
          <w:p w:rsidR="0075731F" w:rsidRPr="00C80739" w:rsidRDefault="0075731F" w:rsidP="00C80739">
            <w:pPr>
              <w:pStyle w:val="Tabletext"/>
              <w:jc w:val="center"/>
              <w:rPr>
                <w:sz w:val="18"/>
                <w:szCs w:val="18"/>
                <w:lang w:val="en-US" w:eastAsia="zh-CN"/>
              </w:rPr>
            </w:pPr>
          </w:p>
        </w:tc>
        <w:tc>
          <w:tcPr>
            <w:tcW w:w="816"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-percentile [bit/s/Hz]</w:t>
            </w:r>
          </w:p>
        </w:tc>
        <w:tc>
          <w:tcPr>
            <w:tcW w:w="313"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0.15</w:t>
            </w:r>
          </w:p>
        </w:tc>
        <w:tc>
          <w:tcPr>
            <w:tcW w:w="840"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0.418</w:t>
            </w:r>
          </w:p>
        </w:tc>
      </w:tr>
    </w:tbl>
    <w:p w:rsidR="0075731F" w:rsidRDefault="0075731F" w:rsidP="00C80739">
      <w:r w:rsidRPr="007F4052">
        <w:t xml:space="preserve">Based on the above analysis and the evaluation results, it is observed that there is little impact on spectral efficiency improvement for the delay reduction of </w:t>
      </w:r>
      <w:proofErr w:type="spellStart"/>
      <w:r w:rsidRPr="007F4052">
        <w:t>precoded</w:t>
      </w:r>
      <w:proofErr w:type="spellEnd"/>
      <w:r w:rsidRPr="007F4052">
        <w:t xml:space="preserve"> SRS.</w:t>
      </w:r>
    </w:p>
    <w:p w:rsidR="0075731F" w:rsidRPr="00AD41C8" w:rsidRDefault="0075731F" w:rsidP="0075731F">
      <w:pPr>
        <w:pStyle w:val="Heading4"/>
        <w:rPr>
          <w:rFonts w:eastAsia="MS Mincho"/>
          <w:lang w:val="en-US"/>
        </w:rPr>
      </w:pPr>
      <w:r w:rsidRPr="00AD41C8">
        <w:rPr>
          <w:rFonts w:eastAsia="MS Mincho"/>
          <w:lang w:val="en-US"/>
        </w:rPr>
        <w:t>2.2.1</w:t>
      </w:r>
      <w:r>
        <w:rPr>
          <w:rFonts w:eastAsiaTheme="minorEastAsia" w:hint="eastAsia"/>
          <w:lang w:val="en-US" w:eastAsia="zh-CN"/>
        </w:rPr>
        <w:t>.</w:t>
      </w:r>
      <w:r>
        <w:rPr>
          <w:rFonts w:eastAsiaTheme="minorEastAsia"/>
          <w:lang w:val="en-US" w:eastAsia="zh-CN"/>
        </w:rPr>
        <w:t>1</w:t>
      </w:r>
      <w:r w:rsidRPr="00AD41C8">
        <w:rPr>
          <w:rFonts w:eastAsia="MS Mincho"/>
          <w:lang w:val="en-US"/>
        </w:rPr>
        <w:t xml:space="preserve"> </w:t>
      </w:r>
      <w:r>
        <w:rPr>
          <w:rFonts w:eastAsia="MS Mincho"/>
          <w:lang w:val="en-US"/>
        </w:rPr>
        <w:tab/>
        <w:t xml:space="preserve">Rural - </w:t>
      </w:r>
      <w:proofErr w:type="spellStart"/>
      <w:r>
        <w:rPr>
          <w:rFonts w:eastAsia="MS Mincho"/>
          <w:lang w:val="en-US"/>
        </w:rPr>
        <w:t>eMBB</w:t>
      </w:r>
      <w:proofErr w:type="spellEnd"/>
    </w:p>
    <w:p w:rsidR="0075731F" w:rsidRPr="007F4052" w:rsidRDefault="0075731F" w:rsidP="00C80739">
      <w:r w:rsidRPr="007F4052">
        <w:t xml:space="preserve">For TSDSI, pi/2 BPSK with spectrum shaping filter through non-transparent approach is introduced to improve the coverage in </w:t>
      </w:r>
      <w:proofErr w:type="gramStart"/>
      <w:r w:rsidRPr="007F4052">
        <w:t>Rural</w:t>
      </w:r>
      <w:proofErr w:type="gramEnd"/>
      <w:r w:rsidRPr="007F4052">
        <w:t xml:space="preserve"> scenario, especially for the coverage of long distance. In [</w:t>
      </w:r>
      <w:r>
        <w:t>1</w:t>
      </w:r>
      <w:r w:rsidRPr="007F4052">
        <w:t xml:space="preserve">], the inter-site distance (ISD) is set to 12 km for pi/2 BPSK evaluation. But the largest inter-site distance is 6 km defined in Rural – </w:t>
      </w:r>
      <w:proofErr w:type="spellStart"/>
      <w:r w:rsidRPr="007F4052">
        <w:t>eMBB</w:t>
      </w:r>
      <w:proofErr w:type="spellEnd"/>
      <w:r w:rsidRPr="007F4052">
        <w:t xml:space="preserve"> test environment [3]. To identify the performance gain of pi/2 BPSK, the </w:t>
      </w:r>
      <w:proofErr w:type="gramStart"/>
      <w:r w:rsidRPr="007F4052">
        <w:t>Rural</w:t>
      </w:r>
      <w:proofErr w:type="gramEnd"/>
      <w:r w:rsidRPr="007F4052">
        <w:t xml:space="preserve"> configuration C – </w:t>
      </w:r>
      <w:proofErr w:type="spellStart"/>
      <w:r w:rsidRPr="007F4052">
        <w:t>eMBB</w:t>
      </w:r>
      <w:proofErr w:type="spellEnd"/>
      <w:r w:rsidRPr="007F4052">
        <w:t xml:space="preserve"> test environment with 6 km is evaluated. For the coverage of long distance, the configuration C with changed inter-site distance and carrier frequency (CF) is applied for the evaluation.</w:t>
      </w:r>
    </w:p>
    <w:p w:rsidR="0075731F" w:rsidRPr="007F4052" w:rsidRDefault="0075731F" w:rsidP="00C80739">
      <w:r w:rsidRPr="007F4052">
        <w:t xml:space="preserve">In the evaluation, the maximal transmit power for UE can achieve 26 </w:t>
      </w:r>
      <w:proofErr w:type="spellStart"/>
      <w:r w:rsidRPr="007F4052">
        <w:t>dBm</w:t>
      </w:r>
      <w:proofErr w:type="spellEnd"/>
      <w:r w:rsidRPr="007F4052">
        <w:t xml:space="preserve"> if pi/2 BPSK is enabled. Otherwise, the maximal transmit power is up to 23 </w:t>
      </w:r>
      <w:proofErr w:type="spellStart"/>
      <w:r w:rsidRPr="007F4052">
        <w:t>dBm</w:t>
      </w:r>
      <w:proofErr w:type="spellEnd"/>
      <w:r w:rsidRPr="007F4052">
        <w:t>.</w:t>
      </w:r>
    </w:p>
    <w:p w:rsidR="0075731F" w:rsidRPr="007F4052" w:rsidRDefault="0075731F" w:rsidP="00C80739">
      <w:r w:rsidRPr="007F4052">
        <w:t xml:space="preserve">The uplink evaluation results for evaluation configuration </w:t>
      </w:r>
      <w:proofErr w:type="spellStart"/>
      <w:r w:rsidRPr="007F4052">
        <w:t>C are</w:t>
      </w:r>
      <w:proofErr w:type="spellEnd"/>
      <w:r w:rsidRPr="007F4052">
        <w:t xml:space="preserve"> provided in</w:t>
      </w:r>
      <w:r w:rsidR="00C80739">
        <w:t xml:space="preserve"> Table 5</w:t>
      </w:r>
      <w:r w:rsidRPr="007F4052">
        <w:t>. For ISD = 6 km, the 5%-tile spectral efficiency can meet the requirements with and without pi/2 BPSK. The performance gain for pi/2 BPSK is very small. When the coverage is not limited, the probability to select pi/2 BPSK is very slow since the SINR is higher than the threshold of selecting pi/2 BPSK.</w:t>
      </w:r>
    </w:p>
    <w:p w:rsidR="0075731F" w:rsidRDefault="0075731F" w:rsidP="00C80739">
      <w:pPr>
        <w:pStyle w:val="TableNo"/>
        <w:spacing w:before="240"/>
      </w:pPr>
      <w:bookmarkStart w:id="31" w:name="_Ref32342282"/>
      <w:bookmarkStart w:id="32" w:name="_Ref31750081"/>
      <w:bookmarkStart w:id="33" w:name="_Toc31943233"/>
      <w:bookmarkStart w:id="34" w:name="_Toc31943713"/>
      <w:bookmarkStart w:id="35" w:name="_Toc31944273"/>
      <w:r w:rsidRPr="00363C6B">
        <w:t>Table</w:t>
      </w:r>
      <w:r w:rsidR="00C80739">
        <w:t xml:space="preserve"> 5</w:t>
      </w:r>
      <w:bookmarkEnd w:id="31"/>
      <w:r w:rsidRPr="00363C6B">
        <w:t xml:space="preserve"> </w:t>
      </w:r>
    </w:p>
    <w:p w:rsidR="0075731F" w:rsidRPr="00363C6B" w:rsidRDefault="0075731F" w:rsidP="00391BCF">
      <w:pPr>
        <w:pStyle w:val="Tabletitle"/>
        <w:rPr>
          <w:sz w:val="24"/>
        </w:rPr>
      </w:pPr>
      <w:r w:rsidRPr="00363C6B">
        <w:rPr>
          <w:rFonts w:eastAsia="MS Mincho"/>
        </w:rPr>
        <w:t xml:space="preserve">UL spectral efficiency for pi/2 BPSK (TSDSI) in Rural - </w:t>
      </w:r>
      <w:proofErr w:type="spellStart"/>
      <w:proofErr w:type="gramStart"/>
      <w:r w:rsidRPr="00363C6B">
        <w:rPr>
          <w:rFonts w:eastAsia="MS Mincho"/>
        </w:rPr>
        <w:t>eMBB</w:t>
      </w:r>
      <w:proofErr w:type="spellEnd"/>
      <w:proofErr w:type="gramEnd"/>
      <w:r w:rsidRPr="00363C6B">
        <w:rPr>
          <w:rFonts w:eastAsia="MS Mincho"/>
        </w:rPr>
        <w:br/>
        <w:t>(Evaluation configuration C with ISD = 6 km and CF = 700 MHz)</w:t>
      </w:r>
      <w:bookmarkEnd w:id="32"/>
      <w:bookmarkEnd w:id="33"/>
      <w:bookmarkEnd w:id="34"/>
      <w:bookmarkEnd w:id="35"/>
    </w:p>
    <w:tbl>
      <w:tblPr>
        <w:tblW w:w="50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6"/>
        <w:gridCol w:w="1163"/>
        <w:gridCol w:w="1040"/>
        <w:gridCol w:w="2117"/>
        <w:gridCol w:w="1568"/>
        <w:gridCol w:w="851"/>
        <w:gridCol w:w="1416"/>
      </w:tblGrid>
      <w:tr w:rsidR="0075731F" w:rsidRPr="00C80739" w:rsidTr="00C80739">
        <w:trPr>
          <w:trHeight w:val="736"/>
          <w:jc w:val="center"/>
        </w:trPr>
        <w:tc>
          <w:tcPr>
            <w:tcW w:w="766" w:type="pct"/>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604"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540" w:type="pct"/>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1099" w:type="pct"/>
            <w:vAlign w:val="center"/>
          </w:tcPr>
          <w:p w:rsidR="0075731F" w:rsidRPr="00C80739" w:rsidRDefault="0075731F" w:rsidP="00C80739">
            <w:pPr>
              <w:pStyle w:val="Tablehead"/>
              <w:rPr>
                <w:rFonts w:eastAsiaTheme="minorEastAsia"/>
                <w:sz w:val="18"/>
                <w:szCs w:val="18"/>
                <w:lang w:val="en-US" w:eastAsia="zh-CN"/>
              </w:rPr>
            </w:pPr>
            <w:r w:rsidRPr="00C80739">
              <w:rPr>
                <w:sz w:val="18"/>
                <w:szCs w:val="18"/>
                <w:lang w:val="en-US" w:eastAsia="zh-CN"/>
              </w:rPr>
              <w:t>UE transmit power</w:t>
            </w:r>
          </w:p>
        </w:tc>
        <w:tc>
          <w:tcPr>
            <w:tcW w:w="1256" w:type="pct"/>
            <w:gridSpan w:val="2"/>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735" w:type="pct"/>
            <w:vAlign w:val="center"/>
          </w:tcPr>
          <w:p w:rsidR="0075731F" w:rsidRPr="00C80739" w:rsidRDefault="0075731F" w:rsidP="00C80739">
            <w:pPr>
              <w:pStyle w:val="Tablehead"/>
              <w:rPr>
                <w:sz w:val="18"/>
                <w:szCs w:val="18"/>
                <w:lang w:val="en-US"/>
              </w:rPr>
            </w:pPr>
            <w:r w:rsidRPr="00C80739">
              <w:rPr>
                <w:sz w:val="18"/>
                <w:szCs w:val="18"/>
                <w:lang w:val="en-US" w:eastAsia="zh-CN"/>
              </w:rPr>
              <w:t>10 MHz bandwidth</w:t>
            </w:r>
          </w:p>
        </w:tc>
      </w:tr>
      <w:tr w:rsidR="00C80739" w:rsidRPr="00C80739" w:rsidTr="00C80739">
        <w:trPr>
          <w:trHeight w:val="303"/>
          <w:jc w:val="center"/>
        </w:trPr>
        <w:tc>
          <w:tcPr>
            <w:tcW w:w="766" w:type="pct"/>
            <w:vMerge w:val="restart"/>
            <w:vAlign w:val="center"/>
          </w:tcPr>
          <w:p w:rsidR="0075731F" w:rsidRPr="00C80739" w:rsidRDefault="0075731F" w:rsidP="00C80739">
            <w:pPr>
              <w:pStyle w:val="Tabletext"/>
              <w:jc w:val="center"/>
              <w:rPr>
                <w:sz w:val="18"/>
                <w:szCs w:val="18"/>
                <w:lang w:val="en-US" w:eastAsia="zh-CN"/>
              </w:rPr>
            </w:pPr>
            <w:r w:rsidRPr="00C80739">
              <w:rPr>
                <w:rFonts w:eastAsia="MS Mincho"/>
                <w:sz w:val="18"/>
                <w:szCs w:val="18"/>
                <w:lang w:val="en-US"/>
              </w:rPr>
              <w:t>2x</w:t>
            </w:r>
            <w:r w:rsidRPr="00C80739">
              <w:rPr>
                <w:sz w:val="18"/>
                <w:szCs w:val="18"/>
                <w:lang w:val="en-US" w:eastAsia="zh-CN"/>
              </w:rPr>
              <w:t>8 SU-MIMO</w:t>
            </w:r>
          </w:p>
        </w:tc>
        <w:tc>
          <w:tcPr>
            <w:tcW w:w="604"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15</w:t>
            </w:r>
          </w:p>
        </w:tc>
        <w:tc>
          <w:tcPr>
            <w:tcW w:w="540"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FDD</w:t>
            </w:r>
          </w:p>
        </w:tc>
        <w:tc>
          <w:tcPr>
            <w:tcW w:w="1099" w:type="pct"/>
            <w:vMerge w:val="restart"/>
            <w:vAlign w:val="center"/>
          </w:tcPr>
          <w:p w:rsidR="0075731F" w:rsidRPr="00C80739" w:rsidRDefault="0075731F" w:rsidP="00C80739">
            <w:pPr>
              <w:pStyle w:val="Tabletext"/>
              <w:ind w:left="-108"/>
              <w:jc w:val="center"/>
              <w:rPr>
                <w:sz w:val="18"/>
                <w:szCs w:val="18"/>
                <w:lang w:val="en-US" w:eastAsia="zh-CN"/>
              </w:rPr>
            </w:pPr>
            <w:r w:rsidRPr="00C80739">
              <w:rPr>
                <w:sz w:val="18"/>
                <w:szCs w:val="18"/>
                <w:lang w:val="en-US"/>
              </w:rPr>
              <w:t xml:space="preserve">23 </w:t>
            </w:r>
            <w:proofErr w:type="spellStart"/>
            <w:r w:rsidRPr="00C80739">
              <w:rPr>
                <w:sz w:val="18"/>
                <w:szCs w:val="18"/>
                <w:lang w:val="en-US"/>
              </w:rPr>
              <w:t>dBm</w:t>
            </w:r>
            <w:proofErr w:type="spellEnd"/>
            <w:r w:rsidRPr="00C80739">
              <w:rPr>
                <w:sz w:val="18"/>
                <w:szCs w:val="18"/>
                <w:lang w:val="en-US"/>
              </w:rPr>
              <w:t xml:space="preserve"> without pi/2 BPSK</w:t>
            </w:r>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4.15</w:t>
            </w:r>
          </w:p>
        </w:tc>
      </w:tr>
      <w:tr w:rsidR="00C80739" w:rsidRPr="00C80739" w:rsidTr="00C80739">
        <w:trPr>
          <w:trHeight w:val="311"/>
          <w:jc w:val="center"/>
        </w:trPr>
        <w:tc>
          <w:tcPr>
            <w:tcW w:w="766" w:type="pct"/>
            <w:vMerge/>
            <w:vAlign w:val="center"/>
          </w:tcPr>
          <w:p w:rsidR="0075731F" w:rsidRPr="00C80739" w:rsidRDefault="0075731F" w:rsidP="00C80739">
            <w:pPr>
              <w:pStyle w:val="Tabletext"/>
              <w:jc w:val="center"/>
              <w:rPr>
                <w:rFonts w:eastAsia="MS Mincho"/>
                <w:sz w:val="18"/>
                <w:szCs w:val="18"/>
                <w:lang w:val="en-US"/>
              </w:rPr>
            </w:pPr>
          </w:p>
        </w:tc>
        <w:tc>
          <w:tcPr>
            <w:tcW w:w="604" w:type="pct"/>
            <w:vMerge/>
            <w:vAlign w:val="center"/>
          </w:tcPr>
          <w:p w:rsidR="0075731F" w:rsidRPr="00C80739" w:rsidRDefault="0075731F" w:rsidP="00C80739">
            <w:pPr>
              <w:pStyle w:val="Tabletext"/>
              <w:jc w:val="center"/>
              <w:rPr>
                <w:rFonts w:eastAsia="MS Mincho"/>
                <w:sz w:val="18"/>
                <w:szCs w:val="18"/>
                <w:lang w:val="en-US"/>
              </w:rPr>
            </w:pPr>
          </w:p>
        </w:tc>
        <w:tc>
          <w:tcPr>
            <w:tcW w:w="540" w:type="pct"/>
            <w:vMerge/>
            <w:vAlign w:val="center"/>
          </w:tcPr>
          <w:p w:rsidR="0075731F" w:rsidRPr="00C80739" w:rsidRDefault="0075731F" w:rsidP="00C80739">
            <w:pPr>
              <w:pStyle w:val="Tabletext"/>
              <w:jc w:val="center"/>
              <w:rPr>
                <w:rFonts w:eastAsia="MS Mincho"/>
                <w:sz w:val="18"/>
                <w:szCs w:val="18"/>
                <w:lang w:val="en-US"/>
              </w:rPr>
            </w:pPr>
          </w:p>
        </w:tc>
        <w:tc>
          <w:tcPr>
            <w:tcW w:w="1099" w:type="pct"/>
            <w:vMerge/>
            <w:vAlign w:val="center"/>
          </w:tcPr>
          <w:p w:rsidR="0075731F" w:rsidRPr="00C80739" w:rsidRDefault="0075731F" w:rsidP="00C80739">
            <w:pPr>
              <w:pStyle w:val="Tabletext"/>
              <w:jc w:val="center"/>
              <w:rPr>
                <w:sz w:val="18"/>
                <w:szCs w:val="18"/>
                <w:lang w:val="en-US" w:eastAsia="zh-CN"/>
              </w:rPr>
            </w:pPr>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0.093</w:t>
            </w:r>
          </w:p>
        </w:tc>
      </w:tr>
      <w:tr w:rsidR="00C80739" w:rsidRPr="00C80739" w:rsidTr="00C80739">
        <w:trPr>
          <w:trHeight w:val="303"/>
          <w:jc w:val="center"/>
        </w:trPr>
        <w:tc>
          <w:tcPr>
            <w:tcW w:w="766" w:type="pct"/>
            <w:vMerge w:val="restart"/>
            <w:vAlign w:val="center"/>
          </w:tcPr>
          <w:p w:rsidR="0075731F" w:rsidRPr="00C80739" w:rsidRDefault="0075731F" w:rsidP="00C80739">
            <w:pPr>
              <w:pStyle w:val="Tabletext"/>
              <w:jc w:val="center"/>
              <w:rPr>
                <w:sz w:val="18"/>
                <w:szCs w:val="18"/>
                <w:lang w:val="en-US" w:eastAsia="zh-CN"/>
              </w:rPr>
            </w:pPr>
            <w:r w:rsidRPr="00C80739">
              <w:rPr>
                <w:rFonts w:eastAsia="MS Mincho"/>
                <w:sz w:val="18"/>
                <w:szCs w:val="18"/>
                <w:lang w:val="en-US"/>
              </w:rPr>
              <w:t>2x</w:t>
            </w:r>
            <w:r w:rsidRPr="00C80739">
              <w:rPr>
                <w:sz w:val="18"/>
                <w:szCs w:val="18"/>
                <w:lang w:val="en-US" w:eastAsia="zh-CN"/>
              </w:rPr>
              <w:t>8 SU-MIMO</w:t>
            </w:r>
          </w:p>
        </w:tc>
        <w:tc>
          <w:tcPr>
            <w:tcW w:w="604"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15</w:t>
            </w:r>
          </w:p>
        </w:tc>
        <w:tc>
          <w:tcPr>
            <w:tcW w:w="540"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FDD</w:t>
            </w:r>
          </w:p>
        </w:tc>
        <w:tc>
          <w:tcPr>
            <w:tcW w:w="1099"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rPr>
              <w:t xml:space="preserve">26 </w:t>
            </w:r>
            <w:proofErr w:type="spellStart"/>
            <w:r w:rsidRPr="00C80739">
              <w:rPr>
                <w:sz w:val="18"/>
                <w:szCs w:val="18"/>
                <w:lang w:val="en-US"/>
              </w:rPr>
              <w:t>dBm</w:t>
            </w:r>
            <w:proofErr w:type="spellEnd"/>
            <w:r w:rsidRPr="00C80739">
              <w:rPr>
                <w:sz w:val="18"/>
                <w:szCs w:val="18"/>
                <w:lang w:val="en-US"/>
              </w:rPr>
              <w:t xml:space="preserve"> with pi/2 BPSK</w:t>
            </w:r>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4.04</w:t>
            </w:r>
          </w:p>
        </w:tc>
      </w:tr>
      <w:tr w:rsidR="00C80739" w:rsidRPr="00C80739" w:rsidTr="00C80739">
        <w:trPr>
          <w:trHeight w:val="311"/>
          <w:jc w:val="center"/>
        </w:trPr>
        <w:tc>
          <w:tcPr>
            <w:tcW w:w="766" w:type="pct"/>
            <w:vMerge/>
            <w:vAlign w:val="center"/>
          </w:tcPr>
          <w:p w:rsidR="0075731F" w:rsidRPr="00C80739" w:rsidRDefault="0075731F" w:rsidP="00C80739">
            <w:pPr>
              <w:pStyle w:val="Tabletext"/>
              <w:jc w:val="center"/>
              <w:rPr>
                <w:rFonts w:eastAsia="MS Mincho"/>
                <w:sz w:val="18"/>
                <w:szCs w:val="18"/>
                <w:lang w:val="en-US"/>
              </w:rPr>
            </w:pPr>
          </w:p>
        </w:tc>
        <w:tc>
          <w:tcPr>
            <w:tcW w:w="604" w:type="pct"/>
            <w:vMerge/>
            <w:vAlign w:val="center"/>
          </w:tcPr>
          <w:p w:rsidR="0075731F" w:rsidRPr="00C80739" w:rsidRDefault="0075731F" w:rsidP="00C80739">
            <w:pPr>
              <w:pStyle w:val="Tabletext"/>
              <w:jc w:val="center"/>
              <w:rPr>
                <w:rFonts w:eastAsia="MS Mincho"/>
                <w:sz w:val="18"/>
                <w:szCs w:val="18"/>
                <w:lang w:val="en-US"/>
              </w:rPr>
            </w:pPr>
          </w:p>
        </w:tc>
        <w:tc>
          <w:tcPr>
            <w:tcW w:w="540" w:type="pct"/>
            <w:vMerge/>
            <w:vAlign w:val="center"/>
          </w:tcPr>
          <w:p w:rsidR="0075731F" w:rsidRPr="00C80739" w:rsidRDefault="0075731F" w:rsidP="00C80739">
            <w:pPr>
              <w:pStyle w:val="Tabletext"/>
              <w:jc w:val="center"/>
              <w:rPr>
                <w:rFonts w:eastAsia="MS Mincho"/>
                <w:sz w:val="18"/>
                <w:szCs w:val="18"/>
                <w:lang w:val="en-US"/>
              </w:rPr>
            </w:pPr>
          </w:p>
        </w:tc>
        <w:tc>
          <w:tcPr>
            <w:tcW w:w="1099" w:type="pct"/>
            <w:vMerge/>
            <w:vAlign w:val="center"/>
          </w:tcPr>
          <w:p w:rsidR="0075731F" w:rsidRPr="00C80739" w:rsidRDefault="0075731F" w:rsidP="00C80739">
            <w:pPr>
              <w:pStyle w:val="Tabletext"/>
              <w:jc w:val="center"/>
              <w:rPr>
                <w:sz w:val="18"/>
                <w:szCs w:val="18"/>
                <w:lang w:val="en-US" w:eastAsia="zh-CN"/>
              </w:rPr>
            </w:pPr>
          </w:p>
        </w:tc>
        <w:tc>
          <w:tcPr>
            <w:tcW w:w="814"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42"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35"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0.10</w:t>
            </w:r>
          </w:p>
        </w:tc>
      </w:tr>
    </w:tbl>
    <w:p w:rsidR="0075731F" w:rsidRDefault="0075731F" w:rsidP="00C80739">
      <w:r w:rsidRPr="007F4052">
        <w:t>For the coverage of long distance, the configuration C with changed inter-site distance and carrier frequency is evaluated, i.e. ISD = 12 km and CF = 4 GHz. The evaluation results are provided in</w:t>
      </w:r>
      <w:r w:rsidR="00C80739">
        <w:t xml:space="preserve"> Table 6</w:t>
      </w:r>
      <w:r w:rsidRPr="007F4052">
        <w:t xml:space="preserve">. It is observed that the 5%-tile spectral efficiency with and without pi/2 BPSK is </w:t>
      </w:r>
      <w:r>
        <w:t>equal to 0</w:t>
      </w:r>
      <w:r w:rsidRPr="007F4052">
        <w:t xml:space="preserve">. There is no coverage enhancement for pi/2 BPSK. In addition, the cumulative distribution function (CDF) of throughput is illustrated in Figure 2. It is observed that there is a large gap to coverage the cell-edge users due to the high path loss. </w:t>
      </w:r>
    </w:p>
    <w:p w:rsidR="0075731F" w:rsidRDefault="0075731F" w:rsidP="00C80739">
      <w:pPr>
        <w:pStyle w:val="TableNo"/>
        <w:spacing w:before="240"/>
      </w:pPr>
      <w:bookmarkStart w:id="36" w:name="_Ref32342306"/>
      <w:bookmarkStart w:id="37" w:name="_Ref31750800"/>
      <w:bookmarkStart w:id="38" w:name="_Toc31943234"/>
      <w:bookmarkStart w:id="39" w:name="_Toc31943714"/>
      <w:bookmarkStart w:id="40" w:name="_Toc31944274"/>
      <w:r w:rsidRPr="00363C6B">
        <w:t>Table</w:t>
      </w:r>
      <w:r w:rsidR="00C80739">
        <w:t xml:space="preserve"> 6</w:t>
      </w:r>
      <w:bookmarkEnd w:id="36"/>
      <w:r w:rsidRPr="00363C6B">
        <w:t xml:space="preserve"> </w:t>
      </w:r>
    </w:p>
    <w:p w:rsidR="0075731F" w:rsidRPr="00363C6B" w:rsidRDefault="0075731F" w:rsidP="00391BCF">
      <w:pPr>
        <w:pStyle w:val="Tabletitle"/>
        <w:rPr>
          <w:sz w:val="24"/>
        </w:rPr>
      </w:pPr>
      <w:r w:rsidRPr="00363C6B">
        <w:rPr>
          <w:rFonts w:eastAsia="MS Mincho"/>
        </w:rPr>
        <w:t xml:space="preserve">UL spectral efficiency for pi/2 BPSK (TSDSI) in Rural - </w:t>
      </w:r>
      <w:proofErr w:type="spellStart"/>
      <w:proofErr w:type="gramStart"/>
      <w:r w:rsidRPr="00363C6B">
        <w:rPr>
          <w:rFonts w:eastAsia="MS Mincho"/>
        </w:rPr>
        <w:t>eMBB</w:t>
      </w:r>
      <w:proofErr w:type="spellEnd"/>
      <w:proofErr w:type="gramEnd"/>
      <w:r w:rsidRPr="00363C6B">
        <w:rPr>
          <w:rFonts w:eastAsia="MS Mincho"/>
        </w:rPr>
        <w:br/>
        <w:t>(Changed evaluation configuration C with ISD = 12 km and CF = 4 GHz)</w:t>
      </w:r>
      <w:bookmarkEnd w:id="37"/>
      <w:bookmarkEnd w:id="38"/>
      <w:bookmarkEnd w:id="39"/>
      <w:bookmarkEnd w:id="40"/>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5"/>
        <w:gridCol w:w="1212"/>
        <w:gridCol w:w="979"/>
        <w:gridCol w:w="2183"/>
        <w:gridCol w:w="1527"/>
        <w:gridCol w:w="839"/>
        <w:gridCol w:w="1558"/>
      </w:tblGrid>
      <w:tr w:rsidR="0075731F" w:rsidRPr="00C80739" w:rsidTr="00C80739">
        <w:trPr>
          <w:trHeight w:val="226"/>
          <w:jc w:val="center"/>
        </w:trPr>
        <w:tc>
          <w:tcPr>
            <w:tcW w:w="755" w:type="pct"/>
            <w:vMerge w:val="restart"/>
            <w:vAlign w:val="center"/>
          </w:tcPr>
          <w:p w:rsidR="0075731F" w:rsidRPr="00C80739" w:rsidRDefault="0075731F" w:rsidP="00C80739">
            <w:pPr>
              <w:pStyle w:val="Tablehead"/>
              <w:rPr>
                <w:rFonts w:eastAsia="MS Mincho"/>
                <w:sz w:val="18"/>
                <w:szCs w:val="18"/>
                <w:lang w:val="en-US"/>
              </w:rPr>
            </w:pPr>
            <w:r w:rsidRPr="00C80739">
              <w:rPr>
                <w:rFonts w:eastAsia="MS Mincho"/>
                <w:sz w:val="18"/>
                <w:szCs w:val="18"/>
                <w:lang w:val="en-US"/>
              </w:rPr>
              <w:t>Scheme and antenna configuration</w:t>
            </w:r>
          </w:p>
        </w:tc>
        <w:tc>
          <w:tcPr>
            <w:tcW w:w="620" w:type="pct"/>
            <w:vMerge w:val="restart"/>
            <w:vAlign w:val="center"/>
          </w:tcPr>
          <w:p w:rsidR="0075731F" w:rsidRPr="00C80739" w:rsidRDefault="0075731F" w:rsidP="00C80739">
            <w:pPr>
              <w:pStyle w:val="Tablehead"/>
              <w:rPr>
                <w:sz w:val="18"/>
                <w:szCs w:val="18"/>
                <w:lang w:val="en-US" w:eastAsia="zh-CN"/>
              </w:rPr>
            </w:pPr>
            <w:r w:rsidRPr="00C80739">
              <w:rPr>
                <w:sz w:val="18"/>
                <w:szCs w:val="18"/>
                <w:lang w:val="en-US" w:eastAsia="zh-CN"/>
              </w:rPr>
              <w:t>Sub-carrier spacing (kHz)</w:t>
            </w:r>
          </w:p>
        </w:tc>
        <w:tc>
          <w:tcPr>
            <w:tcW w:w="501" w:type="pct"/>
            <w:vMerge w:val="restart"/>
            <w:vAlign w:val="center"/>
          </w:tcPr>
          <w:p w:rsidR="0075731F" w:rsidRPr="00C80739" w:rsidRDefault="0075731F" w:rsidP="00C80739">
            <w:pPr>
              <w:pStyle w:val="Tablehead"/>
              <w:rPr>
                <w:sz w:val="18"/>
                <w:szCs w:val="18"/>
                <w:lang w:val="en-US" w:eastAsia="zh-CN"/>
              </w:rPr>
            </w:pPr>
            <w:r w:rsidRPr="00C80739">
              <w:rPr>
                <w:sz w:val="18"/>
                <w:szCs w:val="18"/>
                <w:lang w:val="en-US" w:eastAsia="zh-CN"/>
              </w:rPr>
              <w:t>Frame structure</w:t>
            </w:r>
          </w:p>
        </w:tc>
        <w:tc>
          <w:tcPr>
            <w:tcW w:w="1117" w:type="pct"/>
            <w:vMerge w:val="restart"/>
            <w:vAlign w:val="center"/>
          </w:tcPr>
          <w:p w:rsidR="0075731F" w:rsidRPr="00C80739" w:rsidRDefault="0075731F" w:rsidP="00C80739">
            <w:pPr>
              <w:pStyle w:val="Tablehead"/>
              <w:rPr>
                <w:sz w:val="18"/>
                <w:szCs w:val="18"/>
                <w:lang w:val="en-US" w:eastAsia="zh-CN"/>
              </w:rPr>
            </w:pPr>
            <w:r w:rsidRPr="00C80739">
              <w:rPr>
                <w:sz w:val="18"/>
                <w:szCs w:val="18"/>
                <w:lang w:val="en-US" w:eastAsia="zh-CN"/>
              </w:rPr>
              <w:t>UE transmit power</w:t>
            </w:r>
          </w:p>
        </w:tc>
        <w:tc>
          <w:tcPr>
            <w:tcW w:w="1210" w:type="pct"/>
            <w:gridSpan w:val="2"/>
            <w:vMerge w:val="restart"/>
            <w:vAlign w:val="center"/>
          </w:tcPr>
          <w:p w:rsidR="0075731F" w:rsidRPr="00C80739" w:rsidRDefault="0075731F" w:rsidP="00C80739">
            <w:pPr>
              <w:pStyle w:val="Tablehead"/>
              <w:rPr>
                <w:sz w:val="18"/>
                <w:szCs w:val="18"/>
                <w:lang w:val="en-US"/>
              </w:rPr>
            </w:pPr>
            <w:r w:rsidRPr="00C80739">
              <w:rPr>
                <w:sz w:val="18"/>
                <w:szCs w:val="18"/>
                <w:lang w:val="en-US"/>
              </w:rPr>
              <w:t>ITU</w:t>
            </w:r>
          </w:p>
          <w:p w:rsidR="0075731F" w:rsidRPr="00C80739" w:rsidRDefault="0075731F" w:rsidP="00C80739">
            <w:pPr>
              <w:pStyle w:val="Tablehead"/>
              <w:rPr>
                <w:sz w:val="18"/>
                <w:szCs w:val="18"/>
                <w:lang w:val="en-US"/>
              </w:rPr>
            </w:pPr>
            <w:r w:rsidRPr="00C80739">
              <w:rPr>
                <w:sz w:val="18"/>
                <w:szCs w:val="18"/>
                <w:lang w:val="en-US"/>
              </w:rPr>
              <w:t>Requirement</w:t>
            </w:r>
          </w:p>
        </w:tc>
        <w:tc>
          <w:tcPr>
            <w:tcW w:w="798" w:type="pct"/>
            <w:vAlign w:val="center"/>
          </w:tcPr>
          <w:p w:rsidR="0075731F" w:rsidRPr="00C80739" w:rsidRDefault="0075731F" w:rsidP="00C80739">
            <w:pPr>
              <w:pStyle w:val="Tablehead"/>
              <w:rPr>
                <w:sz w:val="18"/>
                <w:szCs w:val="18"/>
                <w:lang w:val="en-US"/>
              </w:rPr>
            </w:pPr>
            <w:r w:rsidRPr="00C80739">
              <w:rPr>
                <w:sz w:val="18"/>
                <w:szCs w:val="18"/>
                <w:lang w:val="en-US"/>
              </w:rPr>
              <w:t>Channel model A</w:t>
            </w:r>
          </w:p>
        </w:tc>
      </w:tr>
      <w:tr w:rsidR="0075731F" w:rsidRPr="00C80739" w:rsidTr="00C80739">
        <w:trPr>
          <w:trHeight w:val="250"/>
          <w:jc w:val="center"/>
        </w:trPr>
        <w:tc>
          <w:tcPr>
            <w:tcW w:w="755" w:type="pct"/>
            <w:vMerge/>
            <w:vAlign w:val="center"/>
          </w:tcPr>
          <w:p w:rsidR="0075731F" w:rsidRPr="00C80739" w:rsidRDefault="0075731F" w:rsidP="0075731F">
            <w:pPr>
              <w:pStyle w:val="TAH"/>
              <w:widowControl w:val="0"/>
              <w:rPr>
                <w:rFonts w:ascii="Times New Roman" w:hAnsi="Times New Roman"/>
                <w:b w:val="0"/>
                <w:szCs w:val="18"/>
                <w:lang w:val="en-US"/>
              </w:rPr>
            </w:pPr>
          </w:p>
        </w:tc>
        <w:tc>
          <w:tcPr>
            <w:tcW w:w="620" w:type="pct"/>
            <w:vMerge/>
            <w:vAlign w:val="center"/>
          </w:tcPr>
          <w:p w:rsidR="0075731F" w:rsidRPr="00C80739" w:rsidRDefault="0075731F" w:rsidP="0075731F">
            <w:pPr>
              <w:pStyle w:val="TAH"/>
              <w:widowControl w:val="0"/>
              <w:rPr>
                <w:rFonts w:ascii="Times New Roman" w:hAnsi="Times New Roman"/>
                <w:b w:val="0"/>
                <w:szCs w:val="18"/>
                <w:lang w:val="en-US"/>
              </w:rPr>
            </w:pPr>
          </w:p>
        </w:tc>
        <w:tc>
          <w:tcPr>
            <w:tcW w:w="501" w:type="pct"/>
            <w:vMerge/>
            <w:vAlign w:val="center"/>
          </w:tcPr>
          <w:p w:rsidR="0075731F" w:rsidRPr="00C80739" w:rsidRDefault="0075731F" w:rsidP="0075731F">
            <w:pPr>
              <w:pStyle w:val="TAH"/>
              <w:widowControl w:val="0"/>
              <w:rPr>
                <w:rFonts w:ascii="Times New Roman" w:hAnsi="Times New Roman"/>
                <w:b w:val="0"/>
                <w:szCs w:val="18"/>
                <w:lang w:val="en-US"/>
              </w:rPr>
            </w:pPr>
          </w:p>
        </w:tc>
        <w:tc>
          <w:tcPr>
            <w:tcW w:w="1117" w:type="pct"/>
            <w:vMerge/>
          </w:tcPr>
          <w:p w:rsidR="0075731F" w:rsidRPr="00C80739" w:rsidRDefault="0075731F" w:rsidP="0075731F">
            <w:pPr>
              <w:pStyle w:val="TAH"/>
              <w:widowControl w:val="0"/>
              <w:rPr>
                <w:rFonts w:ascii="Times New Roman" w:hAnsi="Times New Roman"/>
                <w:b w:val="0"/>
                <w:szCs w:val="18"/>
                <w:lang w:val="en-US"/>
              </w:rPr>
            </w:pPr>
          </w:p>
        </w:tc>
        <w:tc>
          <w:tcPr>
            <w:tcW w:w="1210" w:type="pct"/>
            <w:gridSpan w:val="2"/>
            <w:vMerge/>
            <w:vAlign w:val="center"/>
          </w:tcPr>
          <w:p w:rsidR="0075731F" w:rsidRPr="00C80739" w:rsidRDefault="0075731F" w:rsidP="0075731F">
            <w:pPr>
              <w:pStyle w:val="TAH"/>
              <w:widowControl w:val="0"/>
              <w:rPr>
                <w:rFonts w:ascii="Times New Roman" w:hAnsi="Times New Roman"/>
                <w:b w:val="0"/>
                <w:szCs w:val="18"/>
                <w:lang w:val="en-US"/>
              </w:rPr>
            </w:pPr>
          </w:p>
        </w:tc>
        <w:tc>
          <w:tcPr>
            <w:tcW w:w="798" w:type="pct"/>
            <w:vAlign w:val="center"/>
          </w:tcPr>
          <w:p w:rsidR="0075731F" w:rsidRPr="00C80739" w:rsidRDefault="0075731F" w:rsidP="0075731F">
            <w:pPr>
              <w:pStyle w:val="TAH"/>
              <w:widowControl w:val="0"/>
              <w:rPr>
                <w:rFonts w:ascii="Times New Roman" w:hAnsi="Times New Roman"/>
                <w:szCs w:val="18"/>
                <w:lang w:val="en-US" w:eastAsia="zh-CN"/>
              </w:rPr>
            </w:pPr>
            <w:r w:rsidRPr="00C80739">
              <w:rPr>
                <w:rFonts w:ascii="Times New Roman" w:hAnsi="Times New Roman"/>
                <w:szCs w:val="18"/>
                <w:lang w:val="en-US" w:eastAsia="zh-CN"/>
              </w:rPr>
              <w:t>BW=20</w:t>
            </w:r>
            <w:r w:rsidR="00C80739">
              <w:rPr>
                <w:rFonts w:ascii="Times New Roman" w:hAnsi="Times New Roman"/>
                <w:szCs w:val="18"/>
                <w:lang w:val="en-US" w:eastAsia="zh-CN"/>
              </w:rPr>
              <w:t xml:space="preserve"> </w:t>
            </w:r>
            <w:r w:rsidRPr="00C80739">
              <w:rPr>
                <w:rFonts w:ascii="Times New Roman" w:hAnsi="Times New Roman"/>
                <w:szCs w:val="18"/>
                <w:lang w:val="en-US" w:eastAsia="zh-CN"/>
              </w:rPr>
              <w:t>MHz</w:t>
            </w:r>
          </w:p>
        </w:tc>
      </w:tr>
      <w:tr w:rsidR="0075731F" w:rsidRPr="00C80739" w:rsidTr="00C80739">
        <w:trPr>
          <w:trHeight w:val="303"/>
          <w:jc w:val="center"/>
        </w:trPr>
        <w:tc>
          <w:tcPr>
            <w:tcW w:w="755" w:type="pct"/>
            <w:vMerge w:val="restart"/>
            <w:vAlign w:val="center"/>
          </w:tcPr>
          <w:p w:rsidR="0075731F" w:rsidRPr="00C80739" w:rsidRDefault="0075731F" w:rsidP="00C80739">
            <w:pPr>
              <w:pStyle w:val="Tabletext"/>
              <w:jc w:val="center"/>
              <w:rPr>
                <w:sz w:val="18"/>
                <w:szCs w:val="18"/>
                <w:lang w:val="en-US" w:eastAsia="zh-CN"/>
              </w:rPr>
            </w:pPr>
            <w:r w:rsidRPr="00C80739">
              <w:rPr>
                <w:rFonts w:eastAsia="MS Mincho"/>
                <w:sz w:val="18"/>
                <w:szCs w:val="18"/>
                <w:lang w:val="en-US"/>
              </w:rPr>
              <w:t>2x</w:t>
            </w:r>
            <w:r w:rsidRPr="00C80739">
              <w:rPr>
                <w:sz w:val="18"/>
                <w:szCs w:val="18"/>
                <w:lang w:val="en-US" w:eastAsia="zh-CN"/>
              </w:rPr>
              <w:t>8 SU-MIMO</w:t>
            </w:r>
          </w:p>
        </w:tc>
        <w:tc>
          <w:tcPr>
            <w:tcW w:w="620"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01"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1117" w:type="pct"/>
            <w:vMerge w:val="restart"/>
            <w:vAlign w:val="center"/>
          </w:tcPr>
          <w:p w:rsidR="0075731F" w:rsidRPr="00C80739" w:rsidRDefault="0075731F" w:rsidP="00C80739">
            <w:pPr>
              <w:pStyle w:val="Tabletext"/>
              <w:ind w:left="-96"/>
              <w:jc w:val="center"/>
              <w:rPr>
                <w:sz w:val="18"/>
                <w:szCs w:val="18"/>
                <w:lang w:val="en-US" w:eastAsia="zh-CN"/>
              </w:rPr>
            </w:pPr>
            <w:r w:rsidRPr="00C80739">
              <w:rPr>
                <w:sz w:val="18"/>
                <w:szCs w:val="18"/>
                <w:lang w:val="en-US"/>
              </w:rPr>
              <w:t xml:space="preserve">23 </w:t>
            </w:r>
            <w:proofErr w:type="spellStart"/>
            <w:r w:rsidRPr="00C80739">
              <w:rPr>
                <w:sz w:val="18"/>
                <w:szCs w:val="18"/>
                <w:lang w:val="en-US"/>
              </w:rPr>
              <w:t>dBm</w:t>
            </w:r>
            <w:proofErr w:type="spellEnd"/>
            <w:r w:rsidRPr="00C80739">
              <w:rPr>
                <w:sz w:val="18"/>
                <w:szCs w:val="18"/>
                <w:lang w:val="en-US"/>
              </w:rPr>
              <w:t xml:space="preserve"> without pi/2 BPSK</w:t>
            </w:r>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sz w:val="18"/>
                <w:szCs w:val="18"/>
                <w:lang w:val="en-US" w:eastAsia="zh-CN"/>
              </w:rPr>
              <w:t>1.77</w:t>
            </w:r>
          </w:p>
        </w:tc>
      </w:tr>
      <w:tr w:rsidR="0075731F" w:rsidRPr="00C80739" w:rsidTr="00C80739">
        <w:trPr>
          <w:trHeight w:val="311"/>
          <w:jc w:val="center"/>
        </w:trPr>
        <w:tc>
          <w:tcPr>
            <w:tcW w:w="755" w:type="pct"/>
            <w:vMerge/>
            <w:vAlign w:val="center"/>
          </w:tcPr>
          <w:p w:rsidR="0075731F" w:rsidRPr="00C80739" w:rsidRDefault="0075731F" w:rsidP="00C80739">
            <w:pPr>
              <w:pStyle w:val="Tabletext"/>
              <w:jc w:val="center"/>
              <w:rPr>
                <w:rFonts w:eastAsia="MS Mincho"/>
                <w:sz w:val="18"/>
                <w:szCs w:val="18"/>
                <w:lang w:val="en-US"/>
              </w:rPr>
            </w:pPr>
          </w:p>
        </w:tc>
        <w:tc>
          <w:tcPr>
            <w:tcW w:w="620" w:type="pct"/>
            <w:vMerge/>
            <w:vAlign w:val="center"/>
          </w:tcPr>
          <w:p w:rsidR="0075731F" w:rsidRPr="00C80739" w:rsidRDefault="0075731F" w:rsidP="00C80739">
            <w:pPr>
              <w:pStyle w:val="Tabletext"/>
              <w:jc w:val="center"/>
              <w:rPr>
                <w:rFonts w:eastAsia="MS Mincho"/>
                <w:sz w:val="18"/>
                <w:szCs w:val="18"/>
                <w:lang w:val="en-US"/>
              </w:rPr>
            </w:pPr>
          </w:p>
        </w:tc>
        <w:tc>
          <w:tcPr>
            <w:tcW w:w="501" w:type="pct"/>
            <w:vMerge/>
            <w:vAlign w:val="center"/>
          </w:tcPr>
          <w:p w:rsidR="0075731F" w:rsidRPr="00C80739" w:rsidRDefault="0075731F" w:rsidP="00C80739">
            <w:pPr>
              <w:pStyle w:val="Tabletext"/>
              <w:jc w:val="center"/>
              <w:rPr>
                <w:rFonts w:eastAsia="MS Mincho"/>
                <w:sz w:val="18"/>
                <w:szCs w:val="18"/>
                <w:lang w:val="en-US"/>
              </w:rPr>
            </w:pPr>
          </w:p>
        </w:tc>
        <w:tc>
          <w:tcPr>
            <w:tcW w:w="1117" w:type="pct"/>
            <w:vMerge/>
            <w:vAlign w:val="center"/>
          </w:tcPr>
          <w:p w:rsidR="0075731F" w:rsidRPr="00C80739" w:rsidRDefault="0075731F" w:rsidP="00C80739">
            <w:pPr>
              <w:pStyle w:val="Tabletext"/>
              <w:jc w:val="center"/>
              <w:rPr>
                <w:sz w:val="18"/>
                <w:szCs w:val="18"/>
                <w:lang w:val="en-US" w:eastAsia="zh-CN"/>
              </w:rPr>
            </w:pPr>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color w:val="FF0000"/>
                <w:sz w:val="18"/>
                <w:szCs w:val="18"/>
                <w:lang w:val="en-US" w:eastAsia="zh-CN"/>
              </w:rPr>
              <w:t>0.0</w:t>
            </w:r>
          </w:p>
        </w:tc>
      </w:tr>
      <w:tr w:rsidR="0075731F" w:rsidRPr="00C80739" w:rsidTr="00C80739">
        <w:trPr>
          <w:trHeight w:val="303"/>
          <w:jc w:val="center"/>
        </w:trPr>
        <w:tc>
          <w:tcPr>
            <w:tcW w:w="755" w:type="pct"/>
            <w:vMerge w:val="restart"/>
            <w:vAlign w:val="center"/>
          </w:tcPr>
          <w:p w:rsidR="0075731F" w:rsidRPr="00C80739" w:rsidRDefault="0075731F" w:rsidP="00C80739">
            <w:pPr>
              <w:pStyle w:val="Tabletext"/>
              <w:jc w:val="center"/>
              <w:rPr>
                <w:sz w:val="18"/>
                <w:szCs w:val="18"/>
                <w:lang w:val="en-US" w:eastAsia="zh-CN"/>
              </w:rPr>
            </w:pPr>
            <w:r w:rsidRPr="00C80739">
              <w:rPr>
                <w:rFonts w:eastAsia="MS Mincho"/>
                <w:sz w:val="18"/>
                <w:szCs w:val="18"/>
                <w:lang w:val="en-US"/>
              </w:rPr>
              <w:t>2x</w:t>
            </w:r>
            <w:r w:rsidRPr="00C80739">
              <w:rPr>
                <w:sz w:val="18"/>
                <w:szCs w:val="18"/>
                <w:lang w:val="en-US" w:eastAsia="zh-CN"/>
              </w:rPr>
              <w:t>8 SU-MIMO</w:t>
            </w:r>
          </w:p>
        </w:tc>
        <w:tc>
          <w:tcPr>
            <w:tcW w:w="620"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30</w:t>
            </w:r>
          </w:p>
        </w:tc>
        <w:tc>
          <w:tcPr>
            <w:tcW w:w="501"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DDDSU</w:t>
            </w:r>
          </w:p>
        </w:tc>
        <w:tc>
          <w:tcPr>
            <w:tcW w:w="1117" w:type="pct"/>
            <w:vMerge w:val="restart"/>
            <w:vAlign w:val="center"/>
          </w:tcPr>
          <w:p w:rsidR="0075731F" w:rsidRPr="00C80739" w:rsidRDefault="0075731F" w:rsidP="00C80739">
            <w:pPr>
              <w:pStyle w:val="Tabletext"/>
              <w:jc w:val="center"/>
              <w:rPr>
                <w:sz w:val="18"/>
                <w:szCs w:val="18"/>
                <w:lang w:val="en-US" w:eastAsia="zh-CN"/>
              </w:rPr>
            </w:pPr>
            <w:r w:rsidRPr="00C80739">
              <w:rPr>
                <w:sz w:val="18"/>
                <w:szCs w:val="18"/>
                <w:lang w:val="en-US"/>
              </w:rPr>
              <w:t xml:space="preserve">26 </w:t>
            </w:r>
            <w:proofErr w:type="spellStart"/>
            <w:r w:rsidRPr="00C80739">
              <w:rPr>
                <w:sz w:val="18"/>
                <w:szCs w:val="18"/>
                <w:lang w:val="en-US"/>
              </w:rPr>
              <w:t>dBm</w:t>
            </w:r>
            <w:proofErr w:type="spellEnd"/>
            <w:r w:rsidRPr="00C80739">
              <w:rPr>
                <w:sz w:val="18"/>
                <w:szCs w:val="18"/>
                <w:lang w:val="en-US"/>
              </w:rPr>
              <w:t xml:space="preserve"> with pi/2 BPSK</w:t>
            </w:r>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Average [bit/s/Hz/</w:t>
            </w:r>
            <w:proofErr w:type="spellStart"/>
            <w:r w:rsidRPr="00C80739">
              <w:rPr>
                <w:sz w:val="18"/>
                <w:szCs w:val="18"/>
                <w:lang w:val="en-US" w:eastAsia="zh-CN"/>
              </w:rPr>
              <w:t>TRxP</w:t>
            </w:r>
            <w:proofErr w:type="spellEnd"/>
            <w:r w:rsidRPr="00C80739">
              <w:rPr>
                <w:sz w:val="18"/>
                <w:szCs w:val="18"/>
                <w:lang w:val="en-US" w:eastAsia="zh-CN"/>
              </w:rPr>
              <w:t>]</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1.6</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sz w:val="18"/>
                <w:szCs w:val="18"/>
                <w:lang w:val="en-US" w:eastAsia="zh-CN"/>
              </w:rPr>
              <w:t>1.80</w:t>
            </w:r>
          </w:p>
        </w:tc>
      </w:tr>
      <w:tr w:rsidR="0075731F" w:rsidRPr="00C80739" w:rsidTr="00C80739">
        <w:trPr>
          <w:trHeight w:val="311"/>
          <w:jc w:val="center"/>
        </w:trPr>
        <w:tc>
          <w:tcPr>
            <w:tcW w:w="755" w:type="pct"/>
            <w:vMerge/>
            <w:vAlign w:val="center"/>
          </w:tcPr>
          <w:p w:rsidR="0075731F" w:rsidRPr="00C80739" w:rsidRDefault="0075731F" w:rsidP="00C80739">
            <w:pPr>
              <w:pStyle w:val="Tabletext"/>
              <w:jc w:val="center"/>
              <w:rPr>
                <w:rFonts w:eastAsia="MS Mincho"/>
                <w:sz w:val="18"/>
                <w:szCs w:val="18"/>
                <w:lang w:val="en-US"/>
              </w:rPr>
            </w:pPr>
          </w:p>
        </w:tc>
        <w:tc>
          <w:tcPr>
            <w:tcW w:w="620" w:type="pct"/>
            <w:vMerge/>
            <w:vAlign w:val="center"/>
          </w:tcPr>
          <w:p w:rsidR="0075731F" w:rsidRPr="00C80739" w:rsidRDefault="0075731F" w:rsidP="00C80739">
            <w:pPr>
              <w:pStyle w:val="Tabletext"/>
              <w:jc w:val="center"/>
              <w:rPr>
                <w:rFonts w:eastAsia="MS Mincho"/>
                <w:sz w:val="18"/>
                <w:szCs w:val="18"/>
                <w:lang w:val="en-US"/>
              </w:rPr>
            </w:pPr>
          </w:p>
        </w:tc>
        <w:tc>
          <w:tcPr>
            <w:tcW w:w="501" w:type="pct"/>
            <w:vMerge/>
            <w:vAlign w:val="center"/>
          </w:tcPr>
          <w:p w:rsidR="0075731F" w:rsidRPr="00C80739" w:rsidRDefault="0075731F" w:rsidP="00C80739">
            <w:pPr>
              <w:pStyle w:val="Tabletext"/>
              <w:jc w:val="center"/>
              <w:rPr>
                <w:rFonts w:eastAsia="MS Mincho"/>
                <w:sz w:val="18"/>
                <w:szCs w:val="18"/>
                <w:lang w:val="en-US"/>
              </w:rPr>
            </w:pPr>
          </w:p>
        </w:tc>
        <w:tc>
          <w:tcPr>
            <w:tcW w:w="1117" w:type="pct"/>
            <w:vMerge/>
            <w:vAlign w:val="center"/>
          </w:tcPr>
          <w:p w:rsidR="0075731F" w:rsidRPr="00C80739" w:rsidRDefault="0075731F" w:rsidP="00C80739">
            <w:pPr>
              <w:pStyle w:val="Tabletext"/>
              <w:jc w:val="center"/>
              <w:rPr>
                <w:sz w:val="18"/>
                <w:szCs w:val="18"/>
                <w:lang w:val="en-US" w:eastAsia="zh-CN"/>
              </w:rPr>
            </w:pPr>
          </w:p>
        </w:tc>
        <w:tc>
          <w:tcPr>
            <w:tcW w:w="781"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5</w:t>
            </w:r>
            <w:r w:rsidRPr="00C80739">
              <w:rPr>
                <w:sz w:val="18"/>
                <w:szCs w:val="18"/>
                <w:vertAlign w:val="superscript"/>
                <w:lang w:val="en-US" w:eastAsia="zh-CN"/>
              </w:rPr>
              <w:t>th</w:t>
            </w:r>
            <w:r w:rsidRPr="00C80739">
              <w:rPr>
                <w:sz w:val="18"/>
                <w:szCs w:val="18"/>
                <w:lang w:val="en-US" w:eastAsia="zh-CN"/>
              </w:rPr>
              <w:t>-tile [bit/s/Hz]</w:t>
            </w:r>
          </w:p>
        </w:tc>
        <w:tc>
          <w:tcPr>
            <w:tcW w:w="429" w:type="pct"/>
            <w:vAlign w:val="center"/>
          </w:tcPr>
          <w:p w:rsidR="0075731F" w:rsidRPr="00C80739" w:rsidRDefault="0075731F" w:rsidP="00C80739">
            <w:pPr>
              <w:pStyle w:val="Tabletext"/>
              <w:jc w:val="center"/>
              <w:rPr>
                <w:sz w:val="18"/>
                <w:szCs w:val="18"/>
                <w:lang w:val="en-US" w:eastAsia="zh-CN"/>
              </w:rPr>
            </w:pPr>
            <w:r w:rsidRPr="00C80739">
              <w:rPr>
                <w:sz w:val="18"/>
                <w:szCs w:val="18"/>
                <w:lang w:val="en-US" w:eastAsia="zh-CN"/>
              </w:rPr>
              <w:t>0.045</w:t>
            </w:r>
          </w:p>
        </w:tc>
        <w:tc>
          <w:tcPr>
            <w:tcW w:w="798" w:type="pct"/>
            <w:vAlign w:val="center"/>
          </w:tcPr>
          <w:p w:rsidR="0075731F" w:rsidRPr="00C80739" w:rsidRDefault="0075731F" w:rsidP="00C80739">
            <w:pPr>
              <w:pStyle w:val="Tabletext"/>
              <w:jc w:val="center"/>
              <w:rPr>
                <w:color w:val="FF0000"/>
                <w:sz w:val="18"/>
                <w:szCs w:val="18"/>
                <w:lang w:val="en-US" w:eastAsia="zh-CN"/>
              </w:rPr>
            </w:pPr>
            <w:r w:rsidRPr="00C80739">
              <w:rPr>
                <w:color w:val="FF0000"/>
                <w:sz w:val="18"/>
                <w:szCs w:val="18"/>
                <w:lang w:val="en-US" w:eastAsia="zh-CN"/>
              </w:rPr>
              <w:t>0.0</w:t>
            </w:r>
          </w:p>
        </w:tc>
      </w:tr>
    </w:tbl>
    <w:p w:rsidR="00C80739" w:rsidRDefault="00C80739" w:rsidP="00C80739">
      <w:pPr>
        <w:pStyle w:val="FigureNo"/>
        <w:rPr>
          <w:lang w:val="en-US"/>
        </w:rPr>
      </w:pPr>
      <w:bookmarkStart w:id="41" w:name="_Ref32056946"/>
      <w:r>
        <w:rPr>
          <w:lang w:val="en-US"/>
        </w:rPr>
        <w:t>Figure 2</w:t>
      </w:r>
    </w:p>
    <w:p w:rsidR="00C80739" w:rsidRPr="00F86307" w:rsidRDefault="00C80739" w:rsidP="00C80739">
      <w:pPr>
        <w:pStyle w:val="Figuretitle"/>
        <w:rPr>
          <w:lang w:val="en-US"/>
        </w:rPr>
      </w:pPr>
      <w:r w:rsidRPr="00F86307">
        <w:rPr>
          <w:lang w:val="en-US"/>
        </w:rPr>
        <w:t>CDF of throughput for pi/2 BPSK</w:t>
      </w:r>
      <w:bookmarkEnd w:id="41"/>
    </w:p>
    <w:p w:rsidR="0075731F" w:rsidRPr="00AF7033" w:rsidRDefault="0075731F" w:rsidP="0075731F">
      <w:pPr>
        <w:jc w:val="center"/>
        <w:rPr>
          <w:lang w:val="en-US"/>
        </w:rPr>
      </w:pPr>
      <w:r w:rsidRPr="00AF7033">
        <w:rPr>
          <w:noProof/>
          <w:lang w:eastAsia="zh-CN"/>
        </w:rPr>
        <w:drawing>
          <wp:inline distT="0" distB="0" distL="0" distR="0" wp14:anchorId="7FFCE8FA" wp14:editId="2482B702">
            <wp:extent cx="3562350" cy="2873950"/>
            <wp:effectExtent l="0" t="0" r="0" b="3175"/>
            <wp:docPr id="4" name="图片 4" descr="C:\Users\y00369913\AppData\Roaming\eSpace_Desktop\UserData\y00369913\imagefiles\03BB7867-66C2-4932-B0F7-B9525EEA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BB7867-66C2-4932-B0F7-B9525EEA1713" descr="C:\Users\y00369913\AppData\Roaming\eSpace_Desktop\UserData\y00369913\imagefiles\03BB7867-66C2-4932-B0F7-B9525EEA17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3620" cy="2874974"/>
                    </a:xfrm>
                    <a:prstGeom prst="rect">
                      <a:avLst/>
                    </a:prstGeom>
                    <a:noFill/>
                    <a:ln>
                      <a:noFill/>
                    </a:ln>
                  </pic:spPr>
                </pic:pic>
              </a:graphicData>
            </a:graphic>
          </wp:inline>
        </w:drawing>
      </w:r>
    </w:p>
    <w:p w:rsidR="0075731F" w:rsidRDefault="0075731F" w:rsidP="0075731F">
      <w:pPr>
        <w:pStyle w:val="Heading3"/>
        <w:rPr>
          <w:lang w:eastAsia="zh-CN"/>
        </w:rPr>
      </w:pPr>
      <w:r w:rsidRPr="001637C9">
        <w:rPr>
          <w:lang w:eastAsia="zh-CN"/>
        </w:rPr>
        <w:t xml:space="preserve">2.2.3 </w:t>
      </w:r>
      <w:r>
        <w:rPr>
          <w:lang w:eastAsia="zh-CN"/>
        </w:rPr>
        <w:tab/>
      </w:r>
      <w:r w:rsidRPr="001637C9">
        <w:rPr>
          <w:lang w:eastAsia="zh-CN"/>
        </w:rPr>
        <w:t>Summary</w:t>
      </w:r>
    </w:p>
    <w:p w:rsidR="0075731F" w:rsidRDefault="0075731F" w:rsidP="0075731F">
      <w:pPr>
        <w:rPr>
          <w:rFonts w:eastAsia="SimSun"/>
          <w:lang w:val="en-US" w:eastAsia="zh-CN"/>
        </w:rPr>
      </w:pPr>
      <w:r w:rsidRPr="001637C9">
        <w:rPr>
          <w:rFonts w:eastAsia="SimSun"/>
          <w:lang w:val="en-US" w:eastAsia="zh-CN"/>
        </w:rPr>
        <w:t xml:space="preserve">The summary of the evaluation results </w:t>
      </w:r>
      <w:r>
        <w:rPr>
          <w:rFonts w:eastAsia="SimSun"/>
          <w:lang w:val="en-US" w:eastAsia="zh-CN"/>
        </w:rPr>
        <w:t xml:space="preserve">for TSDSI RIT are provided. The performance comparison between TSDSI and 3GPP can be found in the following table.  </w:t>
      </w:r>
    </w:p>
    <w:p w:rsidR="00391BCF" w:rsidRPr="001637C9" w:rsidRDefault="00391BCF" w:rsidP="0075731F">
      <w:pPr>
        <w:rPr>
          <w:rFonts w:eastAsia="SimSun"/>
          <w:lang w:val="en-US" w:eastAsia="zh-CN"/>
        </w:rPr>
      </w:pPr>
    </w:p>
    <w:tbl>
      <w:tblPr>
        <w:tblW w:w="5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70"/>
        <w:gridCol w:w="868"/>
        <w:gridCol w:w="1275"/>
        <w:gridCol w:w="993"/>
        <w:gridCol w:w="993"/>
        <w:gridCol w:w="1139"/>
        <w:gridCol w:w="1135"/>
        <w:gridCol w:w="1279"/>
        <w:gridCol w:w="1415"/>
      </w:tblGrid>
      <w:tr w:rsidR="00391BCF" w:rsidRPr="00391BCF" w:rsidTr="00391BCF">
        <w:trPr>
          <w:cantSplit/>
          <w:tblHeader/>
          <w:jc w:val="center"/>
        </w:trPr>
        <w:tc>
          <w:tcPr>
            <w:tcW w:w="77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Minimum technical performance requirements item (5.2.4.3.x), units, and Report</w:t>
            </w:r>
            <w:r w:rsidR="00391BCF">
              <w:rPr>
                <w:rFonts w:asciiTheme="majorBidi" w:hAnsiTheme="majorBidi" w:cstheme="majorBidi"/>
                <w:sz w:val="18"/>
                <w:szCs w:val="18"/>
                <w:lang w:val="en-US"/>
              </w:rPr>
              <w:t xml:space="preserve"> </w:t>
            </w:r>
            <w:r w:rsidRPr="00391BCF">
              <w:rPr>
                <w:rFonts w:asciiTheme="majorBidi" w:hAnsiTheme="majorBidi" w:cstheme="majorBidi"/>
                <w:sz w:val="18"/>
                <w:szCs w:val="18"/>
                <w:lang w:val="en-US"/>
              </w:rPr>
              <w:t>ITU-R M.2410-0 section reference</w:t>
            </w:r>
            <w:r w:rsidRPr="00391BCF">
              <w:rPr>
                <w:rFonts w:asciiTheme="majorBidi" w:hAnsiTheme="majorBidi" w:cstheme="majorBidi"/>
                <w:sz w:val="18"/>
                <w:szCs w:val="18"/>
                <w:vertAlign w:val="superscript"/>
                <w:lang w:val="en-US"/>
              </w:rPr>
              <w:t>(1)</w:t>
            </w:r>
          </w:p>
        </w:tc>
        <w:tc>
          <w:tcPr>
            <w:tcW w:w="145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Category</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Required value</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TSDSI Value</w:t>
            </w:r>
            <w:r w:rsidRPr="00391BCF">
              <w:rPr>
                <w:rFonts w:asciiTheme="majorBidi" w:hAnsiTheme="majorBidi" w:cstheme="majorBidi"/>
                <w:sz w:val="18"/>
                <w:szCs w:val="18"/>
                <w:vertAlign w:val="superscript"/>
                <w:lang w:val="en-US"/>
              </w:rPr>
              <w:t>(2)</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3GPP Value</w:t>
            </w:r>
            <w:r w:rsidRPr="00391BCF">
              <w:rPr>
                <w:rFonts w:asciiTheme="majorBidi" w:hAnsiTheme="majorBidi" w:cstheme="majorBidi"/>
                <w:sz w:val="18"/>
                <w:szCs w:val="18"/>
                <w:vertAlign w:val="superscript"/>
                <w:lang w:val="en-US"/>
              </w:rPr>
              <w:t>(2)</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Requirement met?</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sz w:val="18"/>
                <w:szCs w:val="18"/>
                <w:lang w:val="en-US"/>
              </w:rPr>
            </w:pPr>
            <w:r w:rsidRPr="00391BCF">
              <w:rPr>
                <w:rFonts w:asciiTheme="majorBidi" w:hAnsiTheme="majorBidi" w:cstheme="majorBidi"/>
                <w:sz w:val="18"/>
                <w:szCs w:val="18"/>
                <w:lang w:val="en-US"/>
              </w:rPr>
              <w:t>Comments</w:t>
            </w:r>
            <w:r w:rsidRPr="00391BCF">
              <w:rPr>
                <w:rFonts w:asciiTheme="majorBidi" w:hAnsiTheme="majorBidi" w:cstheme="majorBidi"/>
                <w:sz w:val="18"/>
                <w:szCs w:val="18"/>
                <w:vertAlign w:val="superscript"/>
                <w:lang w:val="en-US"/>
              </w:rPr>
              <w:t>(3)</w:t>
            </w:r>
          </w:p>
        </w:tc>
      </w:tr>
      <w:tr w:rsidR="00391BCF" w:rsidRPr="00391BCF" w:rsidTr="00391BCF">
        <w:trPr>
          <w:cantSplit/>
          <w:tblHeader/>
          <w:jc w:val="center"/>
        </w:trPr>
        <w:tc>
          <w:tcPr>
            <w:tcW w:w="7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b/>
                <w:sz w:val="18"/>
                <w:szCs w:val="18"/>
                <w:lang w:val="en-U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r w:rsidRPr="00391BCF">
              <w:rPr>
                <w:rFonts w:asciiTheme="majorBidi" w:hAnsiTheme="majorBidi" w:cstheme="majorBidi"/>
                <w:color w:val="000000" w:themeColor="text1"/>
                <w:sz w:val="18"/>
                <w:szCs w:val="18"/>
                <w:lang w:val="en-US"/>
              </w:rPr>
              <w:t>Usage scenario</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r w:rsidRPr="00391BCF">
              <w:rPr>
                <w:rFonts w:asciiTheme="majorBidi" w:hAnsiTheme="majorBidi" w:cstheme="majorBidi"/>
                <w:color w:val="000000" w:themeColor="text1"/>
                <w:sz w:val="18"/>
                <w:szCs w:val="18"/>
                <w:lang w:val="en-US"/>
              </w:rPr>
              <w:t>Test environment</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r w:rsidRPr="00391BCF">
              <w:rPr>
                <w:rFonts w:asciiTheme="majorBidi" w:hAnsiTheme="majorBidi" w:cstheme="majorBidi"/>
                <w:color w:val="000000" w:themeColor="text1"/>
                <w:sz w:val="18"/>
                <w:szCs w:val="18"/>
                <w:lang w:val="en-US"/>
              </w:rPr>
              <w:t>Downlink or 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head"/>
              <w:spacing w:before="40" w:after="40"/>
              <w:rPr>
                <w:rFonts w:asciiTheme="majorBidi" w:hAnsiTheme="majorBidi" w:cstheme="majorBidi"/>
                <w:color w:val="000000" w:themeColor="text1"/>
                <w:sz w:val="18"/>
                <w:szCs w:val="18"/>
                <w:lang w:val="en-US"/>
              </w:rPr>
            </w:pPr>
          </w:p>
        </w:tc>
      </w:tr>
      <w:tr w:rsidR="00391BCF" w:rsidRPr="00391BCF" w:rsidTr="00391BCF">
        <w:trPr>
          <w:cantSplit/>
          <w:trHeight w:val="1924"/>
          <w:jc w:val="center"/>
        </w:trPr>
        <w:tc>
          <w:tcPr>
            <w:tcW w:w="776" w:type="pct"/>
            <w:vMerge w:val="restart"/>
            <w:tcBorders>
              <w:top w:val="single" w:sz="4" w:space="0" w:color="auto"/>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r w:rsidRPr="00391BCF">
              <w:rPr>
                <w:rFonts w:asciiTheme="majorBidi" w:hAnsiTheme="majorBidi" w:cstheme="majorBidi"/>
                <w:b/>
                <w:sz w:val="18"/>
                <w:szCs w:val="18"/>
                <w:lang w:val="en-US"/>
              </w:rPr>
              <w:t>5.2.4.3.4</w:t>
            </w:r>
            <w:r w:rsidRPr="00391BCF">
              <w:rPr>
                <w:rFonts w:asciiTheme="majorBidi" w:hAnsiTheme="majorBidi" w:cstheme="majorBidi"/>
                <w:sz w:val="18"/>
                <w:szCs w:val="18"/>
                <w:lang w:val="en-US"/>
              </w:rPr>
              <w:br/>
              <w:t>5</w:t>
            </w:r>
            <w:r w:rsidRPr="00391BCF">
              <w:rPr>
                <w:rFonts w:asciiTheme="majorBidi" w:hAnsiTheme="majorBidi" w:cstheme="majorBidi"/>
                <w:sz w:val="18"/>
                <w:szCs w:val="18"/>
                <w:vertAlign w:val="superscript"/>
                <w:lang w:val="en-US"/>
              </w:rPr>
              <w:t>th</w:t>
            </w:r>
            <w:r w:rsidRPr="00391BCF">
              <w:rPr>
                <w:rFonts w:asciiTheme="majorBidi" w:hAnsiTheme="majorBidi" w:cstheme="majorBidi"/>
                <w:sz w:val="18"/>
                <w:szCs w:val="18"/>
                <w:lang w:val="en-US"/>
              </w:rPr>
              <w:t xml:space="preserve"> percentile user spectral efficiency (bit/s/Hz)</w:t>
            </w:r>
            <w:r w:rsidRPr="00391BCF">
              <w:rPr>
                <w:rFonts w:asciiTheme="majorBidi" w:hAnsiTheme="majorBidi" w:cstheme="majorBidi"/>
                <w:sz w:val="18"/>
                <w:szCs w:val="18"/>
                <w:lang w:val="en-US"/>
              </w:rPr>
              <w:br/>
            </w:r>
            <w:r w:rsidRPr="00391BCF">
              <w:rPr>
                <w:rFonts w:asciiTheme="majorBidi" w:hAnsiTheme="majorBidi" w:cstheme="majorBidi"/>
                <w:i/>
                <w:iCs/>
                <w:sz w:val="18"/>
                <w:szCs w:val="18"/>
                <w:lang w:val="en-US"/>
              </w:rPr>
              <w:t>(4.4)</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 xml:space="preserve">Dense Urban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Downlink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0.225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0.34~0.37</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0.35~0.37</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hAnsiTheme="majorBidi" w:cstheme="majorBidi"/>
                <w:sz w:val="18"/>
                <w:szCs w:val="18"/>
                <w:lang w:val="en-US"/>
              </w:rPr>
            </w:pPr>
            <w:r w:rsidRPr="00391BCF">
              <w:rPr>
                <w:rFonts w:asciiTheme="majorBidi" w:hAnsiTheme="majorBidi" w:cstheme="majorBidi"/>
                <w:sz w:val="18"/>
                <w:szCs w:val="18"/>
                <w:lang w:val="en-US"/>
              </w:rPr>
              <w:t>Yes</w:t>
            </w:r>
          </w:p>
        </w:tc>
        <w:tc>
          <w:tcPr>
            <w:tcW w:w="658" w:type="pct"/>
            <w:vMerge w:val="restart"/>
            <w:tcBorders>
              <w:top w:val="single" w:sz="4" w:space="0" w:color="auto"/>
              <w:left w:val="single" w:sz="4" w:space="0" w:color="auto"/>
              <w:right w:val="single" w:sz="4" w:space="0" w:color="auto"/>
            </w:tcBorders>
            <w:shd w:val="clear" w:color="auto" w:fill="FFFFFF"/>
            <w:vAlign w:val="center"/>
          </w:tcPr>
          <w:p w:rsidR="0075731F" w:rsidRPr="00391BCF" w:rsidRDefault="0075731F" w:rsidP="00391BCF">
            <w:pPr>
              <w:pStyle w:val="Tabletext"/>
              <w:rPr>
                <w:rFonts w:asciiTheme="majorBidi" w:hAnsiTheme="majorBidi" w:cstheme="majorBidi"/>
                <w:sz w:val="18"/>
                <w:szCs w:val="18"/>
                <w:lang w:val="en-US"/>
              </w:rPr>
            </w:pPr>
            <w:r w:rsidRPr="00391BCF">
              <w:rPr>
                <w:rFonts w:asciiTheme="majorBidi" w:hAnsiTheme="majorBidi" w:cstheme="majorBidi"/>
                <w:sz w:val="18"/>
                <w:szCs w:val="18"/>
                <w:lang w:val="en-US"/>
              </w:rPr>
              <w:t>Configuration A is evaluated. The performance of TSDSI is slightly lower than that of 3GPP.</w:t>
            </w:r>
          </w:p>
        </w:tc>
      </w:tr>
      <w:tr w:rsidR="00391BCF" w:rsidRPr="00391BCF" w:rsidTr="00391BCF">
        <w:trPr>
          <w:cantSplit/>
          <w:jc w:val="center"/>
        </w:trPr>
        <w:tc>
          <w:tcPr>
            <w:tcW w:w="776" w:type="pct"/>
            <w:vMerge/>
            <w:tcBorders>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4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5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0.15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0.29~0.42</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0.33~0.418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hAnsiTheme="majorBidi" w:cstheme="majorBidi"/>
                <w:sz w:val="18"/>
                <w:szCs w:val="18"/>
                <w:lang w:val="en-US"/>
              </w:rPr>
            </w:pPr>
            <w:r w:rsidRPr="00391BCF">
              <w:rPr>
                <w:rFonts w:asciiTheme="majorBidi" w:hAnsiTheme="majorBidi" w:cstheme="majorBidi"/>
                <w:sz w:val="18"/>
                <w:szCs w:val="18"/>
                <w:lang w:val="en-US"/>
              </w:rPr>
              <w:t>Yes</w:t>
            </w:r>
          </w:p>
        </w:tc>
        <w:tc>
          <w:tcPr>
            <w:tcW w:w="658" w:type="pct"/>
            <w:vMerge/>
            <w:tcBorders>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r>
      <w:tr w:rsidR="00391BCF" w:rsidRPr="00391BCF" w:rsidTr="00391BCF">
        <w:trPr>
          <w:cantSplit/>
          <w:trHeight w:val="2032"/>
          <w:jc w:val="center"/>
        </w:trPr>
        <w:tc>
          <w:tcPr>
            <w:tcW w:w="776" w:type="pct"/>
            <w:vMerge/>
            <w:tcBorders>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highlight w:val="yellow"/>
                <w:lang w:val="en-U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eastAsia="zh-CN"/>
              </w:rPr>
            </w:pPr>
            <w:r w:rsidRPr="00391BCF">
              <w:rPr>
                <w:rFonts w:asciiTheme="majorBidi" w:hAnsiTheme="majorBidi" w:cstheme="majorBidi"/>
                <w:sz w:val="18"/>
                <w:szCs w:val="18"/>
                <w:lang w:val="en-US"/>
              </w:rPr>
              <w:t xml:space="preserve">Rural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0.045</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0~0.10</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0~0.093</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284"/>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rPr>
                <w:rFonts w:asciiTheme="majorBidi" w:hAnsiTheme="majorBidi" w:cstheme="majorBidi"/>
                <w:sz w:val="18"/>
                <w:szCs w:val="18"/>
                <w:highlight w:val="yellow"/>
                <w:lang w:val="en-US"/>
              </w:rPr>
            </w:pPr>
            <w:r w:rsidRPr="00391BCF">
              <w:rPr>
                <w:rFonts w:asciiTheme="majorBidi" w:hAnsiTheme="majorBidi" w:cstheme="majorBidi"/>
                <w:sz w:val="18"/>
                <w:szCs w:val="18"/>
                <w:lang w:val="en-US"/>
              </w:rPr>
              <w:t>Configuration C with changed inter-site distance and carrier frequency is evaluated. TSDSI cannot improve the coverage compare to 3GPP.</w:t>
            </w:r>
          </w:p>
        </w:tc>
      </w:tr>
      <w:tr w:rsidR="00391BCF" w:rsidRPr="00391BCF" w:rsidTr="00391BCF">
        <w:trPr>
          <w:cantSplit/>
          <w:jc w:val="center"/>
        </w:trPr>
        <w:tc>
          <w:tcPr>
            <w:tcW w:w="776" w:type="pct"/>
            <w:vMerge w:val="restart"/>
            <w:tcBorders>
              <w:top w:val="single" w:sz="4" w:space="0" w:color="auto"/>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r w:rsidRPr="00391BCF">
              <w:rPr>
                <w:rFonts w:asciiTheme="majorBidi" w:hAnsiTheme="majorBidi" w:cstheme="majorBidi"/>
                <w:b/>
                <w:sz w:val="18"/>
                <w:szCs w:val="18"/>
                <w:lang w:val="en-US"/>
              </w:rPr>
              <w:t>5.2.4.3.5</w:t>
            </w:r>
            <w:r w:rsidRPr="00391BCF">
              <w:rPr>
                <w:rFonts w:asciiTheme="majorBidi" w:hAnsiTheme="majorBidi" w:cstheme="majorBidi"/>
                <w:sz w:val="18"/>
                <w:szCs w:val="18"/>
                <w:lang w:val="en-US"/>
              </w:rPr>
              <w:br/>
              <w:t xml:space="preserve">Average spectral efficiency (bit/s/Hz/ </w:t>
            </w:r>
            <w:proofErr w:type="spellStart"/>
            <w:r w:rsidRPr="00391BCF">
              <w:rPr>
                <w:rFonts w:asciiTheme="majorBidi" w:hAnsiTheme="majorBidi" w:cstheme="majorBidi"/>
                <w:sz w:val="18"/>
                <w:szCs w:val="18"/>
                <w:lang w:val="en-US"/>
              </w:rPr>
              <w:t>TRxP</w:t>
            </w:r>
            <w:proofErr w:type="spellEnd"/>
            <w:r w:rsidRPr="00391BCF">
              <w:rPr>
                <w:rFonts w:asciiTheme="majorBidi" w:hAnsiTheme="majorBidi" w:cstheme="majorBidi"/>
                <w:sz w:val="18"/>
                <w:szCs w:val="18"/>
                <w:lang w:val="en-US"/>
              </w:rPr>
              <w:t>)</w:t>
            </w:r>
            <w:r w:rsidRPr="00391BCF">
              <w:rPr>
                <w:rFonts w:asciiTheme="majorBidi" w:hAnsiTheme="majorBidi" w:cstheme="majorBidi"/>
                <w:sz w:val="18"/>
                <w:szCs w:val="18"/>
                <w:lang w:val="en-US"/>
              </w:rPr>
              <w:br/>
            </w:r>
            <w:r w:rsidRPr="00391BCF">
              <w:rPr>
                <w:rFonts w:asciiTheme="majorBidi" w:hAnsiTheme="majorBidi" w:cstheme="majorBidi"/>
                <w:i/>
                <w:iCs/>
                <w:sz w:val="18"/>
                <w:szCs w:val="18"/>
                <w:lang w:val="en-US"/>
              </w:rPr>
              <w:t>(4.5)</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 xml:space="preserve">Dense Urban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Downlink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7.8</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11.15~12.66</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11.9~12.66</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rPr>
                <w:rFonts w:asciiTheme="majorBidi" w:hAnsiTheme="majorBidi" w:cstheme="majorBidi"/>
                <w:sz w:val="18"/>
                <w:szCs w:val="18"/>
                <w:lang w:val="en-US"/>
              </w:rPr>
            </w:pPr>
            <w:r w:rsidRPr="00391BCF">
              <w:rPr>
                <w:rFonts w:asciiTheme="majorBidi" w:hAnsiTheme="majorBidi" w:cstheme="majorBidi"/>
                <w:sz w:val="18"/>
                <w:szCs w:val="18"/>
                <w:lang w:val="en-US"/>
              </w:rPr>
              <w:t>Configuration A is evaluated. The performance of TSDSI is lower than that of 3GPP.</w:t>
            </w:r>
          </w:p>
        </w:tc>
      </w:tr>
      <w:tr w:rsidR="00391BCF" w:rsidRPr="00391BCF" w:rsidTr="00391BCF">
        <w:trPr>
          <w:cantSplit/>
          <w:jc w:val="center"/>
        </w:trPr>
        <w:tc>
          <w:tcPr>
            <w:tcW w:w="776" w:type="pct"/>
            <w:vMerge/>
            <w:tcBorders>
              <w:left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4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59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5.4</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5.98~7.038</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hAnsiTheme="majorBidi" w:cstheme="majorBidi"/>
                <w:sz w:val="18"/>
                <w:szCs w:val="18"/>
                <w:lang w:val="en-US"/>
              </w:rPr>
            </w:pPr>
            <w:r w:rsidRPr="00391BCF">
              <w:rPr>
                <w:rFonts w:asciiTheme="majorBidi" w:eastAsiaTheme="minorEastAsia" w:hAnsiTheme="majorBidi" w:cstheme="majorBidi"/>
                <w:sz w:val="18"/>
                <w:szCs w:val="18"/>
                <w:lang w:val="en-US" w:eastAsia="zh-CN"/>
              </w:rPr>
              <w:t>6.53~7.036</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r>
      <w:tr w:rsidR="00391BCF" w:rsidRPr="00391BCF" w:rsidTr="00391BCF">
        <w:trPr>
          <w:cantSplit/>
          <w:trHeight w:val="565"/>
          <w:jc w:val="center"/>
        </w:trPr>
        <w:tc>
          <w:tcPr>
            <w:tcW w:w="776" w:type="pct"/>
            <w:vMerge/>
            <w:tcBorders>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spacing w:before="40" w:after="40"/>
              <w:jc w:val="center"/>
              <w:rPr>
                <w:rFonts w:asciiTheme="majorBidi" w:hAnsiTheme="majorBidi" w:cstheme="majorBidi"/>
                <w:sz w:val="18"/>
                <w:szCs w:val="18"/>
                <w:lang w:val="en-US"/>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proofErr w:type="spellStart"/>
            <w:r w:rsidRPr="00391BCF">
              <w:rPr>
                <w:rFonts w:asciiTheme="majorBidi" w:hAnsiTheme="majorBidi" w:cstheme="majorBidi"/>
                <w:sz w:val="18"/>
                <w:szCs w:val="18"/>
                <w:lang w:val="en-US"/>
              </w:rPr>
              <w:t>eMBB</w:t>
            </w:r>
            <w:proofErr w:type="spellEnd"/>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 xml:space="preserve">Rural – </w:t>
            </w:r>
            <w:proofErr w:type="spellStart"/>
            <w:r w:rsidRPr="00391BCF">
              <w:rPr>
                <w:rFonts w:asciiTheme="majorBidi" w:hAnsiTheme="majorBidi" w:cstheme="majorBidi"/>
                <w:sz w:val="18"/>
                <w:szCs w:val="18"/>
                <w:lang w:val="en-US"/>
              </w:rPr>
              <w:t>eMBB</w:t>
            </w:r>
            <w:proofErr w:type="spellEnd"/>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Uplink</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jc w:val="center"/>
              <w:rPr>
                <w:rFonts w:asciiTheme="majorBidi" w:hAnsiTheme="majorBidi" w:cstheme="majorBidi"/>
                <w:sz w:val="18"/>
                <w:szCs w:val="18"/>
                <w:lang w:val="en-US"/>
              </w:rPr>
            </w:pPr>
            <w:r w:rsidRPr="00391BCF">
              <w:rPr>
                <w:rFonts w:asciiTheme="majorBidi" w:hAnsiTheme="majorBidi" w:cstheme="majorBidi"/>
                <w:sz w:val="18"/>
                <w:szCs w:val="18"/>
                <w:lang w:val="en-US"/>
              </w:rPr>
              <w:t>1.6</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1.80~4.04</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eastAsiaTheme="minorEastAsia" w:hAnsiTheme="majorBidi" w:cstheme="majorBidi"/>
                <w:sz w:val="18"/>
                <w:szCs w:val="18"/>
                <w:lang w:val="en-US" w:eastAsia="zh-CN"/>
              </w:rPr>
              <w:t>1.77~4.15</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5731F" w:rsidRPr="00391BCF" w:rsidRDefault="0075731F" w:rsidP="00391BCF">
            <w:pPr>
              <w:pStyle w:val="Tabletext"/>
              <w:tabs>
                <w:tab w:val="clear" w:pos="567"/>
              </w:tabs>
              <w:jc w:val="center"/>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Yes</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75731F" w:rsidRPr="00391BCF" w:rsidRDefault="0075731F" w:rsidP="00391BCF">
            <w:pPr>
              <w:pStyle w:val="Tabletext"/>
              <w:rPr>
                <w:rFonts w:asciiTheme="majorBidi" w:eastAsiaTheme="minorEastAsia" w:hAnsiTheme="majorBidi" w:cstheme="majorBidi"/>
                <w:sz w:val="18"/>
                <w:szCs w:val="18"/>
                <w:lang w:val="en-US" w:eastAsia="zh-CN"/>
              </w:rPr>
            </w:pPr>
            <w:r w:rsidRPr="00391BCF">
              <w:rPr>
                <w:rFonts w:asciiTheme="majorBidi" w:hAnsiTheme="majorBidi" w:cstheme="majorBidi"/>
                <w:sz w:val="18"/>
                <w:szCs w:val="18"/>
                <w:lang w:val="en-US"/>
              </w:rPr>
              <w:t>Configuration C with changed inter-site distance and carrier frequency is evaluated. The performance for TSDSI and 3GPP is similar.</w:t>
            </w:r>
          </w:p>
        </w:tc>
      </w:tr>
      <w:tr w:rsidR="00391BCF" w:rsidRPr="00391BCF" w:rsidTr="00391BCF">
        <w:trPr>
          <w:cantSplit/>
          <w:trHeight w:val="565"/>
          <w:jc w:val="center"/>
        </w:trPr>
        <w:tc>
          <w:tcPr>
            <w:tcW w:w="5000" w:type="pct"/>
            <w:gridSpan w:val="9"/>
            <w:tcBorders>
              <w:top w:val="single" w:sz="4" w:space="0" w:color="auto"/>
              <w:left w:val="nil"/>
              <w:bottom w:val="nil"/>
              <w:right w:val="nil"/>
            </w:tcBorders>
            <w:shd w:val="clear" w:color="auto" w:fill="FFFFFF"/>
            <w:vAlign w:val="center"/>
          </w:tcPr>
          <w:p w:rsidR="00391BCF" w:rsidRPr="00391BCF" w:rsidRDefault="00391BCF" w:rsidP="00391BCF">
            <w:pPr>
              <w:pStyle w:val="Tablelegend"/>
              <w:tabs>
                <w:tab w:val="clear" w:pos="1134"/>
                <w:tab w:val="left" w:pos="313"/>
              </w:tabs>
              <w:spacing w:before="40" w:after="40"/>
              <w:ind w:left="313" w:hanging="313"/>
              <w:rPr>
                <w:rFonts w:asciiTheme="majorBidi" w:hAnsiTheme="majorBidi" w:cstheme="majorBidi"/>
                <w:sz w:val="18"/>
                <w:szCs w:val="18"/>
                <w:lang w:val="en-US"/>
              </w:rPr>
            </w:pPr>
            <w:r w:rsidRPr="00391BCF">
              <w:rPr>
                <w:rFonts w:asciiTheme="majorBidi" w:hAnsiTheme="majorBidi" w:cstheme="majorBidi"/>
                <w:sz w:val="18"/>
                <w:szCs w:val="18"/>
                <w:vertAlign w:val="superscript"/>
                <w:lang w:val="en-US"/>
              </w:rPr>
              <w:t>(1)</w:t>
            </w:r>
            <w:r w:rsidRPr="00391BCF">
              <w:rPr>
                <w:rFonts w:asciiTheme="majorBidi" w:hAnsiTheme="majorBidi" w:cstheme="majorBidi"/>
                <w:sz w:val="18"/>
                <w:szCs w:val="18"/>
                <w:lang w:val="en-US"/>
              </w:rPr>
              <w:t xml:space="preserve"> </w:t>
            </w:r>
            <w:r w:rsidRPr="00391BCF">
              <w:rPr>
                <w:rFonts w:asciiTheme="majorBidi" w:hAnsiTheme="majorBidi" w:cstheme="majorBidi"/>
                <w:sz w:val="18"/>
                <w:szCs w:val="18"/>
                <w:lang w:val="en-US"/>
              </w:rPr>
              <w:tab/>
              <w:t>As defined in Report ITU-R M.2410-0.</w:t>
            </w:r>
          </w:p>
          <w:p w:rsidR="00391BCF" w:rsidRPr="00391BCF" w:rsidRDefault="00391BCF" w:rsidP="00391BCF">
            <w:pPr>
              <w:pStyle w:val="Tablelegend"/>
              <w:tabs>
                <w:tab w:val="clear" w:pos="1134"/>
                <w:tab w:val="left" w:pos="313"/>
              </w:tabs>
              <w:spacing w:before="40" w:after="40"/>
              <w:ind w:left="313" w:hanging="313"/>
              <w:rPr>
                <w:rFonts w:asciiTheme="majorBidi" w:hAnsiTheme="majorBidi" w:cstheme="majorBidi"/>
                <w:sz w:val="18"/>
                <w:szCs w:val="18"/>
                <w:lang w:val="en-US"/>
              </w:rPr>
            </w:pPr>
            <w:r w:rsidRPr="00391BCF">
              <w:rPr>
                <w:rFonts w:asciiTheme="majorBidi" w:hAnsiTheme="majorBidi" w:cstheme="majorBidi"/>
                <w:sz w:val="18"/>
                <w:szCs w:val="18"/>
                <w:vertAlign w:val="superscript"/>
                <w:lang w:val="en-US"/>
              </w:rPr>
              <w:t>(2)</w:t>
            </w:r>
            <w:r w:rsidRPr="00391BCF">
              <w:rPr>
                <w:rFonts w:asciiTheme="majorBidi" w:hAnsiTheme="majorBidi" w:cstheme="majorBidi"/>
                <w:sz w:val="18"/>
                <w:szCs w:val="18"/>
                <w:lang w:val="en-US"/>
              </w:rPr>
              <w:t xml:space="preserve"> </w:t>
            </w:r>
            <w:r w:rsidRPr="00391BCF">
              <w:rPr>
                <w:rFonts w:asciiTheme="majorBidi" w:hAnsiTheme="majorBidi" w:cstheme="majorBidi"/>
                <w:sz w:val="18"/>
                <w:szCs w:val="18"/>
                <w:lang w:val="en-US"/>
              </w:rPr>
              <w:tab/>
              <w:t>According to the evaluation methodology specified in Report ITU-R M.2412-0.</w:t>
            </w:r>
          </w:p>
          <w:p w:rsidR="00391BCF" w:rsidRPr="00391BCF" w:rsidRDefault="00391BCF" w:rsidP="00391BCF">
            <w:pPr>
              <w:pStyle w:val="Tablelegend"/>
              <w:tabs>
                <w:tab w:val="clear" w:pos="1134"/>
                <w:tab w:val="left" w:pos="313"/>
              </w:tabs>
              <w:spacing w:before="40" w:after="40"/>
              <w:ind w:left="313" w:hanging="313"/>
              <w:rPr>
                <w:rFonts w:asciiTheme="majorBidi" w:hAnsiTheme="majorBidi" w:cstheme="majorBidi"/>
                <w:sz w:val="18"/>
                <w:szCs w:val="18"/>
                <w:lang w:val="en-US"/>
              </w:rPr>
            </w:pPr>
            <w:r w:rsidRPr="00391BCF">
              <w:rPr>
                <w:rFonts w:asciiTheme="majorBidi" w:hAnsiTheme="majorBidi" w:cstheme="majorBidi"/>
                <w:sz w:val="18"/>
                <w:szCs w:val="18"/>
                <w:vertAlign w:val="superscript"/>
                <w:lang w:val="en-US"/>
              </w:rPr>
              <w:t>(3)</w:t>
            </w:r>
            <w:r w:rsidRPr="00391BCF">
              <w:rPr>
                <w:rFonts w:asciiTheme="majorBidi" w:hAnsiTheme="majorBidi" w:cstheme="majorBidi"/>
                <w:sz w:val="18"/>
                <w:szCs w:val="18"/>
                <w:lang w:val="en-US"/>
              </w:rPr>
              <w:tab/>
            </w:r>
            <w:r w:rsidRPr="00391BCF">
              <w:rPr>
                <w:rFonts w:asciiTheme="majorBidi" w:eastAsia="Malgun Gothic" w:hAnsiTheme="majorBidi" w:cstheme="majorBidi"/>
                <w:sz w:val="18"/>
                <w:szCs w:val="18"/>
                <w:lang w:val="en-US"/>
              </w:rPr>
              <w:t>Proponents should report their selected evaluation methodology of the Connection density, the channel model variant used, and evaluation configuration(s) with their exact values (e.g. antenna element number, bandwidth, etc.) per test environment</w:t>
            </w:r>
            <w:r w:rsidRPr="00391BCF">
              <w:rPr>
                <w:rFonts w:asciiTheme="majorBidi" w:hAnsiTheme="majorBidi" w:cstheme="majorBidi"/>
                <w:sz w:val="18"/>
                <w:szCs w:val="18"/>
                <w:lang w:val="en-US" w:eastAsia="ja-JP"/>
              </w:rPr>
              <w:t>, and could provide other relevant information as well</w:t>
            </w:r>
            <w:r w:rsidRPr="00391BCF">
              <w:rPr>
                <w:rFonts w:asciiTheme="majorBidi" w:eastAsia="Malgun Gothic" w:hAnsiTheme="majorBidi" w:cstheme="majorBidi"/>
                <w:sz w:val="18"/>
                <w:szCs w:val="18"/>
                <w:lang w:val="en-US"/>
              </w:rPr>
              <w:t>. For details, refer to Report ITU-R M.2412-0, in particular, § 7.1.3 for the evaluation methodologies, § 8.4 for the evaluation configurations per each test environment, and Annex 1 on the channel model variants.</w:t>
            </w:r>
          </w:p>
          <w:p w:rsidR="00391BCF" w:rsidRPr="00391BCF" w:rsidRDefault="00391BCF" w:rsidP="00391BCF">
            <w:pPr>
              <w:pStyle w:val="Tabletext"/>
              <w:rPr>
                <w:rFonts w:asciiTheme="majorBidi" w:hAnsiTheme="majorBidi" w:cstheme="majorBidi"/>
                <w:sz w:val="18"/>
                <w:szCs w:val="18"/>
                <w:lang w:val="en-US"/>
              </w:rPr>
            </w:pPr>
            <w:r w:rsidRPr="00391BCF">
              <w:rPr>
                <w:rFonts w:asciiTheme="majorBidi" w:eastAsia="Malgun Gothic" w:hAnsiTheme="majorBidi" w:cstheme="majorBidi"/>
                <w:sz w:val="18"/>
                <w:szCs w:val="18"/>
                <w:vertAlign w:val="superscript"/>
                <w:lang w:val="en-US"/>
              </w:rPr>
              <w:t>(4)</w:t>
            </w:r>
            <w:r w:rsidRPr="00391BCF">
              <w:rPr>
                <w:rFonts w:asciiTheme="majorBidi" w:eastAsia="Malgun Gothic" w:hAnsiTheme="majorBidi" w:cstheme="majorBidi"/>
                <w:sz w:val="18"/>
                <w:szCs w:val="18"/>
                <w:lang w:val="en-US"/>
              </w:rPr>
              <w:tab/>
              <w:t>Refer to § 7.3.1 of Report ITU-R M.2412-0.</w:t>
            </w:r>
          </w:p>
        </w:tc>
      </w:tr>
    </w:tbl>
    <w:p w:rsidR="0075731F" w:rsidRPr="001F7F8C" w:rsidRDefault="0075731F" w:rsidP="0075731F">
      <w:pPr>
        <w:pStyle w:val="Heading2"/>
        <w:rPr>
          <w:lang w:val="en-US"/>
        </w:rPr>
      </w:pPr>
      <w:r w:rsidRPr="001F7F8C">
        <w:rPr>
          <w:lang w:val="en-US"/>
        </w:rPr>
        <w:t xml:space="preserve">2.3 </w:t>
      </w:r>
      <w:r>
        <w:rPr>
          <w:lang w:val="en-US"/>
        </w:rPr>
        <w:tab/>
      </w:r>
      <w:r w:rsidRPr="001F7F8C">
        <w:rPr>
          <w:lang w:val="en-US"/>
        </w:rPr>
        <w:t>Conclusions</w:t>
      </w:r>
    </w:p>
    <w:p w:rsidR="0075731F" w:rsidRDefault="0075731F" w:rsidP="00C80739">
      <w:pPr>
        <w:spacing w:beforeLines="50"/>
        <w:rPr>
          <w:rFonts w:eastAsia="SimSun"/>
          <w:lang w:val="en-US" w:eastAsia="zh-CN"/>
        </w:rPr>
      </w:pPr>
      <w:r>
        <w:rPr>
          <w:rFonts w:eastAsia="SimSun"/>
          <w:lang w:val="en-US" w:eastAsia="zh-CN"/>
        </w:rPr>
        <w:t xml:space="preserve">The </w:t>
      </w:r>
      <w:r w:rsidRPr="0064711F">
        <w:rPr>
          <w:rFonts w:eastAsia="SimSun"/>
          <w:lang w:val="en-US" w:eastAsia="zh-CN"/>
        </w:rPr>
        <w:t>assessment and evaluation results</w:t>
      </w:r>
      <w:r>
        <w:rPr>
          <w:rFonts w:eastAsia="SimSun"/>
          <w:lang w:val="en-US" w:eastAsia="zh-CN"/>
        </w:rPr>
        <w:t xml:space="preserve"> for TSDSI RIT</w:t>
      </w:r>
      <w:r w:rsidR="00C80739">
        <w:rPr>
          <w:rFonts w:eastAsia="SimSun"/>
          <w:lang w:val="en-US" w:eastAsia="zh-CN"/>
        </w:rPr>
        <w:t xml:space="preserve"> [1]</w:t>
      </w:r>
      <w:r>
        <w:rPr>
          <w:rFonts w:eastAsia="SimSun"/>
          <w:lang w:val="en-US" w:eastAsia="zh-CN"/>
        </w:rPr>
        <w:t xml:space="preserve"> are provided in this report to identify the performance gain comparing to 3GPP NR</w:t>
      </w:r>
      <w:r w:rsidRPr="002F371A">
        <w:rPr>
          <w:rFonts w:eastAsia="SimSun"/>
          <w:lang w:val="en-US" w:eastAsia="zh-CN"/>
        </w:rPr>
        <w:t xml:space="preserve">. </w:t>
      </w:r>
      <w:r>
        <w:rPr>
          <w:rFonts w:eastAsia="SimSun"/>
          <w:lang w:val="en-US" w:eastAsia="zh-CN"/>
        </w:rPr>
        <w:t>The following observations can be obtained</w:t>
      </w:r>
      <w:r w:rsidRPr="002F371A">
        <w:rPr>
          <w:rFonts w:eastAsia="SimSun"/>
          <w:lang w:val="en-US" w:eastAsia="zh-CN"/>
        </w:rPr>
        <w:t>.</w:t>
      </w:r>
    </w:p>
    <w:p w:rsidR="0075731F" w:rsidRDefault="0075731F" w:rsidP="00391BCF">
      <w:pPr>
        <w:pStyle w:val="ListParagraph"/>
        <w:numPr>
          <w:ilvl w:val="0"/>
          <w:numId w:val="4"/>
        </w:numPr>
        <w:tabs>
          <w:tab w:val="clear" w:pos="794"/>
        </w:tabs>
        <w:spacing w:before="80"/>
        <w:ind w:left="1134" w:hanging="1134"/>
        <w:contextualSpacing w:val="0"/>
        <w:jc w:val="left"/>
        <w:rPr>
          <w:rFonts w:eastAsia="SimSun"/>
          <w:lang w:val="en-US" w:eastAsia="zh-CN"/>
        </w:rPr>
      </w:pPr>
      <w:r w:rsidRPr="0064711F">
        <w:rPr>
          <w:rFonts w:eastAsia="SimSun"/>
          <w:lang w:val="en-US" w:eastAsia="zh-CN"/>
        </w:rPr>
        <w:t xml:space="preserve">For the evaluation of RBG size configuration, the </w:t>
      </w:r>
      <w:r>
        <w:rPr>
          <w:rFonts w:eastAsia="SimSun"/>
          <w:lang w:val="en-US" w:eastAsia="zh-CN"/>
        </w:rPr>
        <w:t>average spectral efficiency and 5% user spectral efficiency of TSDSI are slightly</w:t>
      </w:r>
      <w:r w:rsidRPr="0064711F">
        <w:rPr>
          <w:rFonts w:eastAsia="SimSun"/>
          <w:lang w:val="en-US" w:eastAsia="zh-CN"/>
        </w:rPr>
        <w:t xml:space="preserve"> lower than that of 3GPP</w:t>
      </w:r>
      <w:r>
        <w:rPr>
          <w:rFonts w:eastAsia="SimSun"/>
          <w:lang w:val="en-US" w:eastAsia="zh-CN"/>
        </w:rPr>
        <w:t xml:space="preserve"> in configuration A of Dense Urban - </w:t>
      </w:r>
      <w:proofErr w:type="spellStart"/>
      <w:r>
        <w:rPr>
          <w:rFonts w:eastAsia="SimSun"/>
          <w:lang w:val="en-US" w:eastAsia="zh-CN"/>
        </w:rPr>
        <w:t>eMBB</w:t>
      </w:r>
      <w:proofErr w:type="spellEnd"/>
      <w:r>
        <w:rPr>
          <w:rFonts w:eastAsia="SimSun"/>
          <w:lang w:val="en-US" w:eastAsia="zh-CN"/>
        </w:rPr>
        <w:t xml:space="preserve"> test environment. </w:t>
      </w:r>
    </w:p>
    <w:p w:rsidR="0075731F" w:rsidRDefault="0075731F" w:rsidP="00391BCF">
      <w:pPr>
        <w:pStyle w:val="ListParagraph"/>
        <w:numPr>
          <w:ilvl w:val="0"/>
          <w:numId w:val="4"/>
        </w:numPr>
        <w:tabs>
          <w:tab w:val="clear" w:pos="794"/>
        </w:tabs>
        <w:spacing w:before="80"/>
        <w:ind w:left="1134" w:hanging="1134"/>
        <w:contextualSpacing w:val="0"/>
        <w:jc w:val="left"/>
        <w:rPr>
          <w:rFonts w:eastAsia="SimSun"/>
          <w:lang w:val="en-US" w:eastAsia="zh-CN"/>
        </w:rPr>
      </w:pPr>
      <w:r>
        <w:rPr>
          <w:rFonts w:eastAsia="SimSun"/>
          <w:lang w:val="en-US" w:eastAsia="zh-CN"/>
        </w:rPr>
        <w:t xml:space="preserve">For the evaluation of fast SRS precoding, there is not much gain for TSDSI compared that of 3GPP in configuration A of Dense Urban - </w:t>
      </w:r>
      <w:proofErr w:type="spellStart"/>
      <w:r>
        <w:rPr>
          <w:rFonts w:eastAsia="SimSun"/>
          <w:lang w:val="en-US" w:eastAsia="zh-CN"/>
        </w:rPr>
        <w:t>eMBB</w:t>
      </w:r>
      <w:proofErr w:type="spellEnd"/>
      <w:r>
        <w:rPr>
          <w:rFonts w:eastAsia="SimSun"/>
          <w:lang w:val="en-US" w:eastAsia="zh-CN"/>
        </w:rPr>
        <w:t xml:space="preserve"> test environment. </w:t>
      </w:r>
    </w:p>
    <w:p w:rsidR="0075731F" w:rsidRPr="003F79A8" w:rsidRDefault="0075731F" w:rsidP="00391BCF">
      <w:pPr>
        <w:pStyle w:val="ListParagraph"/>
        <w:numPr>
          <w:ilvl w:val="0"/>
          <w:numId w:val="4"/>
        </w:numPr>
        <w:tabs>
          <w:tab w:val="clear" w:pos="794"/>
        </w:tabs>
        <w:spacing w:before="80"/>
        <w:ind w:left="1134" w:hanging="1134"/>
        <w:contextualSpacing w:val="0"/>
        <w:jc w:val="left"/>
        <w:rPr>
          <w:rFonts w:eastAsia="MS Mincho"/>
          <w:lang w:val="en-US" w:eastAsia="zh-CN"/>
        </w:rPr>
      </w:pPr>
      <w:r w:rsidRPr="0064711F">
        <w:rPr>
          <w:rFonts w:eastAsia="SimSun"/>
          <w:lang w:val="en-US" w:eastAsia="zh-CN"/>
        </w:rPr>
        <w:t xml:space="preserve">For the evaluation of pi/2 BPSK with transmit power enhancement, the coverage </w:t>
      </w:r>
      <w:r>
        <w:rPr>
          <w:rFonts w:eastAsia="SimSun"/>
          <w:lang w:val="en-US" w:eastAsia="zh-CN"/>
        </w:rPr>
        <w:t xml:space="preserve">could </w:t>
      </w:r>
      <w:r w:rsidRPr="0064711F">
        <w:rPr>
          <w:rFonts w:eastAsia="SimSun"/>
          <w:lang w:val="en-US" w:eastAsia="zh-CN"/>
        </w:rPr>
        <w:t>not be improve</w:t>
      </w:r>
      <w:r>
        <w:rPr>
          <w:rFonts w:eastAsia="SimSun"/>
          <w:lang w:val="en-US" w:eastAsia="zh-CN"/>
        </w:rPr>
        <w:t>d</w:t>
      </w:r>
      <w:r w:rsidRPr="0064711F">
        <w:rPr>
          <w:rFonts w:eastAsia="SimSun"/>
          <w:lang w:val="en-US" w:eastAsia="zh-CN"/>
        </w:rPr>
        <w:t xml:space="preserve"> in the configuration C </w:t>
      </w:r>
      <w:r>
        <w:rPr>
          <w:rFonts w:eastAsia="SimSun"/>
          <w:lang w:val="en-US" w:eastAsia="zh-CN"/>
        </w:rPr>
        <w:t>for</w:t>
      </w:r>
      <w:r w:rsidRPr="0064711F">
        <w:rPr>
          <w:rFonts w:eastAsia="SimSun"/>
          <w:lang w:val="en-US" w:eastAsia="zh-CN"/>
        </w:rPr>
        <w:t xml:space="preserve"> long distance.</w:t>
      </w:r>
    </w:p>
    <w:p w:rsidR="0075731F" w:rsidRDefault="0075731F" w:rsidP="0075731F">
      <w:pPr>
        <w:pStyle w:val="AnnexNo"/>
        <w:rPr>
          <w:rFonts w:eastAsia="MS Mincho"/>
          <w:lang w:val="en-US"/>
        </w:rPr>
      </w:pPr>
      <w:r>
        <w:rPr>
          <w:rFonts w:eastAsia="MS Mincho"/>
          <w:lang w:val="en-US"/>
        </w:rPr>
        <w:t>Annex A</w:t>
      </w:r>
    </w:p>
    <w:p w:rsidR="0075731F" w:rsidRPr="00B47DB1" w:rsidRDefault="0075731F" w:rsidP="0075731F">
      <w:pPr>
        <w:pStyle w:val="Annextitle"/>
        <w:rPr>
          <w:rFonts w:eastAsia="MS Mincho"/>
          <w:lang w:val="en-US"/>
        </w:rPr>
      </w:pPr>
      <w:r w:rsidRPr="00B47DB1">
        <w:rPr>
          <w:rFonts w:eastAsia="MS Mincho"/>
          <w:lang w:val="en-US"/>
        </w:rPr>
        <w:t xml:space="preserve">Evaluation assumptions </w:t>
      </w:r>
      <w:r>
        <w:rPr>
          <w:rFonts w:eastAsia="MS Mincho"/>
          <w:lang w:val="en-US"/>
        </w:rPr>
        <w:t>for spectral efficiency</w:t>
      </w:r>
    </w:p>
    <w:p w:rsidR="0075731F" w:rsidRPr="00014838" w:rsidRDefault="0075731F" w:rsidP="0075731F">
      <w:pPr>
        <w:pStyle w:val="Normalaftertitle0"/>
        <w:rPr>
          <w:lang w:val="en-US" w:eastAsia="zh-CN"/>
        </w:rPr>
      </w:pPr>
      <w:bookmarkStart w:id="42" w:name="_Toc18152"/>
      <w:bookmarkStart w:id="43" w:name="_Toc2023"/>
      <w:r w:rsidRPr="00014838">
        <w:rPr>
          <w:lang w:val="en-US" w:eastAsia="zh-CN"/>
        </w:rPr>
        <w:t>The detailed evaluation assumptions for downlink and uplink are illustrated in Table A</w:t>
      </w:r>
      <w:r>
        <w:rPr>
          <w:lang w:val="en-US" w:eastAsia="zh-CN"/>
        </w:rPr>
        <w:t>-1 and Table </w:t>
      </w:r>
      <w:r w:rsidRPr="00014838">
        <w:rPr>
          <w:lang w:val="en-US" w:eastAsia="zh-CN"/>
        </w:rPr>
        <w:t xml:space="preserve">A-2, respectively. </w:t>
      </w:r>
    </w:p>
    <w:bookmarkEnd w:id="42"/>
    <w:bookmarkEnd w:id="43"/>
    <w:p w:rsidR="0075731F" w:rsidRDefault="0075731F" w:rsidP="0075731F">
      <w:pPr>
        <w:pStyle w:val="TableNo"/>
        <w:rPr>
          <w:lang w:val="en-US"/>
        </w:rPr>
      </w:pPr>
      <w:r w:rsidRPr="00014838">
        <w:rPr>
          <w:lang w:val="en-US"/>
        </w:rPr>
        <w:t xml:space="preserve">Table A-1 </w:t>
      </w:r>
    </w:p>
    <w:p w:rsidR="0075731F" w:rsidRPr="00014838" w:rsidRDefault="0075731F" w:rsidP="0075731F">
      <w:pPr>
        <w:pStyle w:val="Tabletitle"/>
        <w:rPr>
          <w:lang w:val="en-US" w:eastAsia="zh-CN"/>
        </w:rPr>
      </w:pPr>
      <w:r w:rsidRPr="00014838">
        <w:rPr>
          <w:lang w:val="en-US"/>
        </w:rPr>
        <w:t>Evaluation assumptions for downlink</w:t>
      </w:r>
    </w:p>
    <w:tbl>
      <w:tblPr>
        <w:tblW w:w="8784" w:type="dxa"/>
        <w:jc w:val="center"/>
        <w:tblLayout w:type="fixed"/>
        <w:tblLook w:val="04A0" w:firstRow="1" w:lastRow="0" w:firstColumn="1" w:lastColumn="0" w:noHBand="0" w:noVBand="1"/>
      </w:tblPr>
      <w:tblGrid>
        <w:gridCol w:w="3397"/>
        <w:gridCol w:w="5387"/>
      </w:tblGrid>
      <w:tr w:rsidR="0075731F" w:rsidRPr="0075731F" w:rsidTr="0075731F">
        <w:trPr>
          <w:trHeight w:val="285"/>
          <w:jc w:val="center"/>
        </w:trPr>
        <w:tc>
          <w:tcPr>
            <w:tcW w:w="3397" w:type="dxa"/>
            <w:tcBorders>
              <w:top w:val="single" w:sz="4" w:space="0" w:color="auto"/>
              <w:left w:val="single" w:sz="4" w:space="0" w:color="auto"/>
              <w:bottom w:val="nil"/>
              <w:right w:val="single" w:sz="4" w:space="0" w:color="auto"/>
            </w:tcBorders>
            <w:shd w:val="clear" w:color="000000" w:fill="D8D8D8"/>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Configuration parameters</w:t>
            </w:r>
          </w:p>
        </w:tc>
        <w:tc>
          <w:tcPr>
            <w:tcW w:w="5387" w:type="dxa"/>
            <w:tcBorders>
              <w:top w:val="single" w:sz="4" w:space="0" w:color="auto"/>
              <w:left w:val="nil"/>
              <w:bottom w:val="single" w:sz="4" w:space="0" w:color="auto"/>
              <w:right w:val="single" w:sz="4" w:space="0" w:color="auto"/>
            </w:tcBorders>
            <w:shd w:val="clear" w:color="000000" w:fill="D9D9D9"/>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Dense Urban (Configuration A)</w:t>
            </w:r>
          </w:p>
        </w:tc>
      </w:tr>
      <w:tr w:rsidR="0075731F" w:rsidRPr="0075731F" w:rsidTr="0075731F">
        <w:trPr>
          <w:trHeight w:val="285"/>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Multiple access</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OFDMA</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Duplexing</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TDD</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Network synchronization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Synchronized</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Carrier frequency</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For configuration A: 4GHz</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Modulation</w:t>
            </w:r>
          </w:p>
        </w:tc>
        <w:tc>
          <w:tcPr>
            <w:tcW w:w="5387" w:type="dxa"/>
            <w:tcBorders>
              <w:top w:val="nil"/>
              <w:left w:val="nil"/>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Up to 256 QAM</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Coding on data channel</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LDPC</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Subcarrier spacing</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30 kHz</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Simulation bandwidth</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20MHz</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Frame structure</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color w:val="000000"/>
                <w:lang w:val="en-US" w:eastAsia="zh-CN"/>
              </w:rPr>
            </w:pPr>
            <w:r w:rsidRPr="0075731F">
              <w:rPr>
                <w:rFonts w:eastAsia="SimSun"/>
                <w:color w:val="000000"/>
                <w:lang w:val="en-US" w:eastAsia="zh-CN"/>
              </w:rPr>
              <w:t>DDDSU</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Transmission scheme</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Adaptive SU/MU-MIMO</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MU dimension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Up to 12 layers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 dimension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Up to 4 layers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lang w:val="en-US"/>
              </w:rPr>
              <w:t>Codeword</w:t>
            </w:r>
            <w:proofErr w:type="spellEnd"/>
            <w:r w:rsidRPr="0075731F">
              <w:rPr>
                <w:lang w:val="en-US"/>
              </w:rPr>
              <w:t xml:space="preserve"> (CW)-to-layer mapping</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lang w:val="en-US"/>
              </w:rPr>
              <w:t>For 1~4 layers, CW1;</w:t>
            </w:r>
            <w:r w:rsidRPr="0075731F">
              <w:rPr>
                <w:lang w:val="en-US"/>
              </w:rPr>
              <w:br/>
              <w:t>For 5 layers or more, two CWs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CSI feedback</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every 5ms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Interference measurement</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SU-CQI</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ACK/NACK delay</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The next available UL slot</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Antenna configuration at </w:t>
            </w:r>
            <w:proofErr w:type="spellStart"/>
            <w:r w:rsidRPr="0075731F">
              <w:rPr>
                <w:rFonts w:eastAsia="SimSun"/>
                <w:lang w:val="en-US" w:eastAsia="zh-CN"/>
              </w:rPr>
              <w:t>TRxP</w:t>
            </w:r>
            <w:proofErr w:type="spellEnd"/>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For 32T: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 (8,8,2,1,1;2,8)</w:t>
            </w:r>
          </w:p>
          <w:p w:rsidR="0075731F" w:rsidRPr="0075731F" w:rsidRDefault="0075731F" w:rsidP="00391BCF">
            <w:pPr>
              <w:pStyle w:val="Tabletext"/>
              <w:rPr>
                <w:rFonts w:eastAsia="SimSun"/>
                <w:lang w:val="en-US" w:eastAsia="zh-CN"/>
              </w:rPr>
            </w:pPr>
            <w:r w:rsidRPr="0075731F">
              <w:rPr>
                <w:rFonts w:eastAsia="SimSun"/>
                <w:lang w:val="en-US" w:eastAsia="zh-CN"/>
              </w:rPr>
              <w:t>(</w:t>
            </w:r>
            <w:proofErr w:type="spellStart"/>
            <w:r w:rsidRPr="0075731F">
              <w:rPr>
                <w:rFonts w:eastAsia="SimSun"/>
                <w:lang w:val="en-US" w:eastAsia="zh-CN"/>
              </w:rPr>
              <w:t>dH</w:t>
            </w:r>
            <w:proofErr w:type="spellEnd"/>
            <w:r w:rsidRPr="0075731F">
              <w:rPr>
                <w:rFonts w:eastAsia="SimSun"/>
                <w:lang w:val="en-US" w:eastAsia="zh-CN"/>
              </w:rPr>
              <w:t xml:space="preserve">, </w:t>
            </w:r>
            <w:proofErr w:type="spellStart"/>
            <w:r w:rsidRPr="0075731F">
              <w:rPr>
                <w:rFonts w:eastAsia="SimSun"/>
                <w:lang w:val="en-US" w:eastAsia="zh-CN"/>
              </w:rPr>
              <w:t>dV</w:t>
            </w:r>
            <w:proofErr w:type="spellEnd"/>
            <w:r w:rsidRPr="0075731F">
              <w:rPr>
                <w:rFonts w:eastAsia="SimSun"/>
                <w:lang w:val="en-US" w:eastAsia="zh-CN"/>
              </w:rPr>
              <w:t>) = (0.5, 0.8) λ</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Antenna configuration at UE</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For 4R: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(1,2,2,1,1; 1,2)</w:t>
            </w:r>
          </w:p>
          <w:p w:rsidR="0075731F" w:rsidRPr="0075731F" w:rsidRDefault="0075731F" w:rsidP="00391BCF">
            <w:pPr>
              <w:pStyle w:val="Tabletext"/>
              <w:rPr>
                <w:rFonts w:eastAsia="SimSun"/>
                <w:lang w:val="en-US" w:eastAsia="zh-CN"/>
              </w:rPr>
            </w:pPr>
            <w:r w:rsidRPr="0075731F">
              <w:rPr>
                <w:rFonts w:eastAsia="SimSun"/>
                <w:lang w:val="en-US" w:eastAsia="zh-CN"/>
              </w:rPr>
              <w:t>(</w:t>
            </w:r>
            <w:proofErr w:type="spellStart"/>
            <w:r w:rsidRPr="0075731F">
              <w:rPr>
                <w:rFonts w:eastAsia="SimSun"/>
                <w:lang w:val="en-US" w:eastAsia="zh-CN"/>
              </w:rPr>
              <w:t>dH</w:t>
            </w:r>
            <w:proofErr w:type="spellEnd"/>
            <w:r w:rsidRPr="0075731F">
              <w:rPr>
                <w:rFonts w:eastAsia="SimSun"/>
                <w:lang w:val="en-US" w:eastAsia="zh-CN"/>
              </w:rPr>
              <w:t xml:space="preserve">, </w:t>
            </w:r>
            <w:proofErr w:type="spellStart"/>
            <w:r w:rsidRPr="0075731F">
              <w:rPr>
                <w:rFonts w:eastAsia="SimSun"/>
                <w:lang w:val="en-US" w:eastAsia="zh-CN"/>
              </w:rPr>
              <w:t>dV</w:t>
            </w:r>
            <w:proofErr w:type="spellEnd"/>
            <w:r w:rsidRPr="0075731F">
              <w:rPr>
                <w:rFonts w:eastAsia="SimSun"/>
                <w:lang w:val="en-US" w:eastAsia="zh-CN"/>
              </w:rPr>
              <w:t>) = (0.5, N/A) λ</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Scheduling</w:t>
            </w:r>
          </w:p>
        </w:tc>
        <w:tc>
          <w:tcPr>
            <w:tcW w:w="5387" w:type="dxa"/>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PF</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Receiver</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MMSE-IRC</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Channel estimation</w:t>
            </w:r>
          </w:p>
        </w:tc>
        <w:tc>
          <w:tcPr>
            <w:tcW w:w="5387" w:type="dxa"/>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Non-ideal</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TRxP</w:t>
            </w:r>
            <w:proofErr w:type="spellEnd"/>
            <w:r w:rsidRPr="0075731F">
              <w:rPr>
                <w:rFonts w:eastAsia="SimSun"/>
                <w:lang w:val="en-US" w:eastAsia="zh-CN"/>
              </w:rPr>
              <w:t xml:space="preserve"> number per site</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3</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Mechanic tilt</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90° in GCS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Electronic tilt</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105° in LCS</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Handover margin (dB)</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Wrapping around method</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Geographical distance-based wrapping</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Criteria for selection for serving </w:t>
            </w:r>
            <w:proofErr w:type="spellStart"/>
            <w:r w:rsidRPr="0075731F">
              <w:rPr>
                <w:rFonts w:eastAsia="SimSun"/>
                <w:lang w:val="en-US" w:eastAsia="zh-CN"/>
              </w:rPr>
              <w:t>TRxP</w:t>
            </w:r>
            <w:proofErr w:type="spellEnd"/>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RSRP based</w:t>
            </w:r>
          </w:p>
        </w:tc>
      </w:tr>
      <w:tr w:rsidR="0075731F" w:rsidRPr="0075731F" w:rsidTr="0075731F">
        <w:trPr>
          <w:trHeight w:val="285"/>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Overhead</w:t>
            </w:r>
          </w:p>
        </w:tc>
        <w:tc>
          <w:tcPr>
            <w:tcW w:w="5387" w:type="dxa"/>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PDCCH: 2 complete symbols</w:t>
            </w:r>
          </w:p>
          <w:p w:rsidR="0075731F" w:rsidRPr="0075731F" w:rsidRDefault="0075731F" w:rsidP="00391BCF">
            <w:pPr>
              <w:pStyle w:val="Tabletext"/>
              <w:rPr>
                <w:rFonts w:eastAsia="SimSun"/>
                <w:lang w:val="en-US" w:eastAsia="zh-CN"/>
              </w:rPr>
            </w:pPr>
            <w:r w:rsidRPr="0075731F">
              <w:rPr>
                <w:rFonts w:eastAsia="SimSun"/>
                <w:lang w:val="en-US" w:eastAsia="zh-CN"/>
              </w:rPr>
              <w:t>DMRS: Type II, based on MU-layer (dynamic in simulation)</w:t>
            </w:r>
          </w:p>
          <w:p w:rsidR="0075731F" w:rsidRPr="0075731F" w:rsidRDefault="0075731F" w:rsidP="00391BCF">
            <w:pPr>
              <w:pStyle w:val="Tabletext"/>
              <w:rPr>
                <w:rFonts w:eastAsia="SimSun"/>
                <w:lang w:val="en-US" w:eastAsia="zh-CN"/>
              </w:rPr>
            </w:pPr>
            <w:r w:rsidRPr="0075731F">
              <w:rPr>
                <w:rFonts w:eastAsia="SimSun"/>
                <w:lang w:val="en-US" w:eastAsia="zh-CN"/>
              </w:rPr>
              <w:t>CSI-RS</w:t>
            </w:r>
            <w:r w:rsidRPr="0075731F">
              <w:rPr>
                <w:rFonts w:eastAsia="SimSun"/>
                <w:lang w:val="en-US" w:eastAsia="zh-CN"/>
              </w:rPr>
              <w:t>：</w:t>
            </w:r>
            <w:r w:rsidRPr="0075731F">
              <w:rPr>
                <w:rFonts w:eastAsia="SimSun"/>
                <w:lang w:val="en-US" w:eastAsia="zh-CN"/>
              </w:rPr>
              <w:t>32 ports per 5 slots</w:t>
            </w:r>
          </w:p>
          <w:p w:rsidR="0075731F" w:rsidRPr="0075731F" w:rsidRDefault="0075731F" w:rsidP="00391BCF">
            <w:pPr>
              <w:pStyle w:val="Tabletext"/>
              <w:rPr>
                <w:rFonts w:eastAsia="SimSun"/>
                <w:lang w:val="en-US" w:eastAsia="zh-CN"/>
              </w:rPr>
            </w:pPr>
            <w:r w:rsidRPr="0075731F">
              <w:rPr>
                <w:rFonts w:eastAsia="SimSun"/>
                <w:lang w:val="en-US" w:eastAsia="zh-CN"/>
              </w:rPr>
              <w:t>CSI-RS for IM</w:t>
            </w:r>
            <w:r w:rsidRPr="0075731F">
              <w:rPr>
                <w:rFonts w:eastAsia="SimSun"/>
                <w:lang w:val="en-US" w:eastAsia="zh-CN"/>
              </w:rPr>
              <w:t>：</w:t>
            </w:r>
            <w:r w:rsidRPr="0075731F">
              <w:rPr>
                <w:rFonts w:eastAsia="SimSun"/>
                <w:lang w:val="en-US" w:eastAsia="zh-CN"/>
              </w:rPr>
              <w:t>ZP CSI-RS with 5 slots period; 4 RE/PRB/5 slots</w:t>
            </w:r>
          </w:p>
          <w:p w:rsidR="0075731F" w:rsidRPr="0075731F" w:rsidRDefault="0075731F" w:rsidP="00391BCF">
            <w:pPr>
              <w:pStyle w:val="Tabletext"/>
              <w:rPr>
                <w:rFonts w:eastAsia="SimSun"/>
                <w:lang w:val="en-US" w:eastAsia="zh-CN"/>
              </w:rPr>
            </w:pPr>
            <w:r w:rsidRPr="0075731F">
              <w:rPr>
                <w:rFonts w:eastAsia="SimSun"/>
                <w:lang w:val="en-US" w:eastAsia="zh-CN"/>
              </w:rPr>
              <w:t>SSB</w:t>
            </w:r>
            <w:r w:rsidRPr="0075731F">
              <w:rPr>
                <w:rFonts w:eastAsia="SimSun"/>
                <w:lang w:val="en-US" w:eastAsia="zh-CN"/>
              </w:rPr>
              <w:t>：</w:t>
            </w:r>
            <w:r w:rsidRPr="0075731F">
              <w:rPr>
                <w:rFonts w:eastAsia="SimSun"/>
                <w:lang w:val="en-US" w:eastAsia="zh-CN"/>
              </w:rPr>
              <w:t xml:space="preserve">1 SSB per 20 </w:t>
            </w:r>
            <w:proofErr w:type="spellStart"/>
            <w:r w:rsidRPr="0075731F">
              <w:rPr>
                <w:rFonts w:eastAsia="SimSun"/>
                <w:lang w:val="en-US" w:eastAsia="zh-CN"/>
              </w:rPr>
              <w:t>ms</w:t>
            </w:r>
            <w:proofErr w:type="spellEnd"/>
          </w:p>
          <w:p w:rsidR="0075731F" w:rsidRPr="0075731F" w:rsidRDefault="0075731F" w:rsidP="00391BCF">
            <w:pPr>
              <w:pStyle w:val="Tabletext"/>
              <w:rPr>
                <w:rFonts w:eastAsia="SimSun"/>
                <w:lang w:val="en-US" w:eastAsia="zh-CN"/>
              </w:rPr>
            </w:pPr>
            <w:r w:rsidRPr="0075731F">
              <w:rPr>
                <w:rFonts w:eastAsia="SimSun"/>
                <w:lang w:val="en-US" w:eastAsia="zh-CN"/>
              </w:rPr>
              <w:t>TRS</w:t>
            </w:r>
            <w:r w:rsidRPr="0075731F">
              <w:rPr>
                <w:rFonts w:eastAsia="SimSun"/>
                <w:lang w:val="en-US" w:eastAsia="zh-CN"/>
              </w:rPr>
              <w:t>：</w:t>
            </w:r>
            <w:r w:rsidRPr="0075731F">
              <w:rPr>
                <w:rFonts w:eastAsia="SimSun"/>
                <w:lang w:val="en-US" w:eastAsia="zh-CN"/>
              </w:rPr>
              <w:t>2 consecutive slots per 20ms, 1 port, maximal 52 PRBs</w:t>
            </w:r>
          </w:p>
        </w:tc>
      </w:tr>
    </w:tbl>
    <w:p w:rsidR="0075731F" w:rsidRPr="0075731F" w:rsidRDefault="0075731F" w:rsidP="0075731F">
      <w:pPr>
        <w:spacing w:beforeLines="50" w:line="240" w:lineRule="exact"/>
        <w:ind w:left="426"/>
        <w:rPr>
          <w:b/>
          <w:sz w:val="20"/>
          <w:lang w:val="en-US"/>
        </w:rPr>
      </w:pPr>
      <w:r w:rsidRPr="0075731F">
        <w:rPr>
          <w:rFonts w:eastAsia="SimSun"/>
          <w:i/>
          <w:sz w:val="20"/>
          <w:lang w:val="en-US" w:eastAsia="zh-CN"/>
        </w:rPr>
        <w:t>Note: Other system configuration parameters align with Report ITU-R M.2412.</w:t>
      </w:r>
    </w:p>
    <w:p w:rsidR="0075731F" w:rsidRDefault="0075731F" w:rsidP="0075731F">
      <w:pPr>
        <w:pStyle w:val="TableNo"/>
        <w:rPr>
          <w:lang w:val="en-US"/>
        </w:rPr>
      </w:pPr>
      <w:r w:rsidRPr="00AF7033">
        <w:rPr>
          <w:lang w:val="en-US"/>
        </w:rPr>
        <w:t xml:space="preserve">Table A-2 </w:t>
      </w:r>
    </w:p>
    <w:p w:rsidR="0075731F" w:rsidRPr="00AF7033" w:rsidRDefault="0075731F" w:rsidP="0075731F">
      <w:pPr>
        <w:pStyle w:val="Tabletitle"/>
        <w:rPr>
          <w:lang w:val="en-US" w:eastAsia="zh-CN"/>
        </w:rPr>
      </w:pPr>
      <w:r w:rsidRPr="00AF7033">
        <w:rPr>
          <w:lang w:val="en-US"/>
        </w:rPr>
        <w:t>Evaluation assumptions for uplink</w:t>
      </w:r>
    </w:p>
    <w:tbl>
      <w:tblPr>
        <w:tblW w:w="5000" w:type="pct"/>
        <w:jc w:val="center"/>
        <w:tblLayout w:type="fixed"/>
        <w:tblLook w:val="04A0" w:firstRow="1" w:lastRow="0" w:firstColumn="1" w:lastColumn="0" w:noHBand="0" w:noVBand="1"/>
      </w:tblPr>
      <w:tblGrid>
        <w:gridCol w:w="3207"/>
        <w:gridCol w:w="3210"/>
        <w:gridCol w:w="3212"/>
      </w:tblGrid>
      <w:tr w:rsidR="0075731F" w:rsidRPr="0075731F" w:rsidTr="0075731F">
        <w:trPr>
          <w:trHeight w:val="285"/>
          <w:jc w:val="center"/>
        </w:trPr>
        <w:tc>
          <w:tcPr>
            <w:tcW w:w="1665" w:type="pct"/>
            <w:tcBorders>
              <w:top w:val="single" w:sz="4" w:space="0" w:color="auto"/>
              <w:left w:val="single" w:sz="4" w:space="0" w:color="auto"/>
              <w:bottom w:val="nil"/>
              <w:right w:val="single" w:sz="4" w:space="0" w:color="auto"/>
            </w:tcBorders>
            <w:shd w:val="clear" w:color="000000" w:fill="D8D8D8"/>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Configuration parameters</w:t>
            </w:r>
          </w:p>
        </w:tc>
        <w:tc>
          <w:tcPr>
            <w:tcW w:w="1667" w:type="pct"/>
            <w:tcBorders>
              <w:top w:val="single" w:sz="4" w:space="0" w:color="auto"/>
              <w:left w:val="nil"/>
              <w:bottom w:val="single" w:sz="4" w:space="0" w:color="auto"/>
              <w:right w:val="single" w:sz="4" w:space="0" w:color="auto"/>
            </w:tcBorders>
            <w:shd w:val="clear" w:color="000000" w:fill="D9D9D9"/>
            <w:vAlign w:val="center"/>
            <w:hideMark/>
          </w:tcPr>
          <w:p w:rsidR="0075731F" w:rsidRPr="0075731F" w:rsidRDefault="0075731F" w:rsidP="00391BCF">
            <w:pPr>
              <w:pStyle w:val="Tablehead"/>
              <w:rPr>
                <w:rFonts w:eastAsia="SimSun"/>
                <w:lang w:val="en-US" w:eastAsia="zh-CN"/>
              </w:rPr>
            </w:pPr>
            <w:r w:rsidRPr="0075731F">
              <w:rPr>
                <w:rFonts w:eastAsia="SimSun"/>
                <w:lang w:val="en-US" w:eastAsia="zh-CN"/>
              </w:rPr>
              <w:t>Dense Urban</w:t>
            </w:r>
          </w:p>
          <w:p w:rsidR="0075731F" w:rsidRPr="0075731F" w:rsidRDefault="0075731F" w:rsidP="00391BCF">
            <w:pPr>
              <w:pStyle w:val="Tablehead"/>
              <w:rPr>
                <w:rFonts w:eastAsia="SimSun"/>
                <w:lang w:val="en-US" w:eastAsia="zh-CN"/>
              </w:rPr>
            </w:pPr>
            <w:r w:rsidRPr="0075731F">
              <w:rPr>
                <w:rFonts w:eastAsia="SimSun"/>
                <w:lang w:val="en-US" w:eastAsia="zh-CN"/>
              </w:rPr>
              <w:t>(Configuration A)</w:t>
            </w:r>
          </w:p>
        </w:tc>
        <w:tc>
          <w:tcPr>
            <w:tcW w:w="1668" w:type="pct"/>
            <w:tcBorders>
              <w:top w:val="single" w:sz="4" w:space="0" w:color="auto"/>
              <w:left w:val="nil"/>
              <w:bottom w:val="single" w:sz="4" w:space="0" w:color="auto"/>
              <w:right w:val="single" w:sz="4" w:space="0" w:color="auto"/>
            </w:tcBorders>
            <w:shd w:val="clear" w:color="000000" w:fill="D9D9D9"/>
            <w:vAlign w:val="center"/>
          </w:tcPr>
          <w:p w:rsidR="0075731F" w:rsidRPr="0075731F" w:rsidRDefault="0075731F" w:rsidP="00391BCF">
            <w:pPr>
              <w:pStyle w:val="Tablehead"/>
              <w:rPr>
                <w:rFonts w:eastAsia="SimSun"/>
                <w:lang w:val="en-US" w:eastAsia="zh-CN"/>
              </w:rPr>
            </w:pPr>
            <w:r w:rsidRPr="0075731F">
              <w:rPr>
                <w:rFonts w:eastAsia="SimSun"/>
                <w:lang w:val="en-US" w:eastAsia="zh-CN"/>
              </w:rPr>
              <w:t>Rural</w:t>
            </w:r>
          </w:p>
          <w:p w:rsidR="0075731F" w:rsidRPr="0075731F" w:rsidRDefault="0075731F" w:rsidP="00391BCF">
            <w:pPr>
              <w:pStyle w:val="Tablehead"/>
              <w:rPr>
                <w:rFonts w:eastAsia="SimSun"/>
                <w:lang w:val="en-US" w:eastAsia="zh-CN"/>
              </w:rPr>
            </w:pPr>
            <w:r w:rsidRPr="0075731F">
              <w:rPr>
                <w:rFonts w:eastAsia="SimSun"/>
                <w:lang w:val="en-US" w:eastAsia="zh-CN"/>
              </w:rPr>
              <w:t>(Configuration C)</w:t>
            </w:r>
          </w:p>
        </w:tc>
      </w:tr>
      <w:tr w:rsidR="0075731F" w:rsidRPr="0075731F" w:rsidTr="0075731F">
        <w:trPr>
          <w:trHeight w:val="285"/>
          <w:jc w:val="center"/>
        </w:trPr>
        <w:tc>
          <w:tcPr>
            <w:tcW w:w="1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Multiple access</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CP-OFDM</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DFT-S-OFDM</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Duplexing</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TDD</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FDD/TDD</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Network synchronization</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Synchronized</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Synchronized</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Coding</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LDPC</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LDPC</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Numerology</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30kHz </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MS Mincho"/>
                <w:lang w:val="en-US"/>
              </w:rPr>
            </w:pPr>
            <w:r w:rsidRPr="0075731F">
              <w:rPr>
                <w:lang w:val="en-US"/>
              </w:rPr>
              <w:t>15 kHz for FDD, 30 kHz for TDD</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Simulation bandwidth</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lang w:val="en-US"/>
              </w:rPr>
              <w:t>20 MHz</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lang w:val="en-US"/>
              </w:rPr>
            </w:pPr>
            <w:r w:rsidRPr="0075731F">
              <w:rPr>
                <w:lang w:val="en-US"/>
              </w:rPr>
              <w:t>10 MHz for FDD;</w:t>
            </w:r>
          </w:p>
          <w:p w:rsidR="0075731F" w:rsidRPr="0075731F" w:rsidRDefault="0075731F" w:rsidP="00391BCF">
            <w:pPr>
              <w:pStyle w:val="Tabletext"/>
              <w:rPr>
                <w:rFonts w:eastAsia="SimSun"/>
                <w:lang w:val="en-US" w:eastAsia="zh-CN"/>
              </w:rPr>
            </w:pPr>
            <w:r w:rsidRPr="0075731F">
              <w:rPr>
                <w:lang w:val="en-US"/>
              </w:rPr>
              <w:t>20 MHz for TDD</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TDD Frame structure</w:t>
            </w:r>
          </w:p>
        </w:tc>
        <w:tc>
          <w:tcPr>
            <w:tcW w:w="1667" w:type="pct"/>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color w:val="000000"/>
                <w:lang w:val="en-US" w:eastAsia="zh-CN"/>
              </w:rPr>
            </w:pPr>
            <w:r w:rsidRPr="0075731F">
              <w:rPr>
                <w:rFonts w:eastAsia="SimSun"/>
                <w:color w:val="000000"/>
                <w:lang w:val="en-US" w:eastAsia="zh-CN"/>
              </w:rPr>
              <w:t>DDDSU</w:t>
            </w:r>
          </w:p>
        </w:tc>
        <w:tc>
          <w:tcPr>
            <w:tcW w:w="1668" w:type="pct"/>
            <w:tcBorders>
              <w:top w:val="nil"/>
              <w:left w:val="nil"/>
              <w:bottom w:val="single" w:sz="4" w:space="0" w:color="auto"/>
              <w:right w:val="single" w:sz="4" w:space="0" w:color="auto"/>
            </w:tcBorders>
            <w:shd w:val="clear" w:color="000000" w:fill="FFFFFF"/>
            <w:vAlign w:val="center"/>
          </w:tcPr>
          <w:p w:rsidR="0075731F" w:rsidRPr="0075731F" w:rsidRDefault="0075731F" w:rsidP="00391BCF">
            <w:pPr>
              <w:pStyle w:val="Tabletext"/>
              <w:rPr>
                <w:rFonts w:eastAsia="SimSun"/>
                <w:color w:val="000000"/>
                <w:lang w:val="en-US" w:eastAsia="zh-CN"/>
              </w:rPr>
            </w:pPr>
            <w:r w:rsidRPr="0075731F">
              <w:rPr>
                <w:rFonts w:eastAsia="SimSun"/>
                <w:color w:val="000000"/>
                <w:lang w:val="en-US" w:eastAsia="zh-CN"/>
              </w:rPr>
              <w:t>DDDSU</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Transmission scheme</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SU-MIMO</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SU-MIMO</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SU dimension</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Up to 2 layers</w:t>
            </w:r>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Up to 2 layers</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lang w:val="en-US"/>
              </w:rPr>
              <w:t>Codeword</w:t>
            </w:r>
            <w:proofErr w:type="spellEnd"/>
            <w:r w:rsidRPr="0075731F">
              <w:rPr>
                <w:lang w:val="en-US"/>
              </w:rPr>
              <w:t xml:space="preserve"> (CW)-to-layer mapping</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lang w:val="en-US"/>
              </w:rPr>
              <w:t>For 1~4 layers, CW1;</w:t>
            </w:r>
            <w:r w:rsidRPr="0075731F">
              <w:rPr>
                <w:lang w:val="en-US"/>
              </w:rPr>
              <w:br/>
              <w:t>For 5 layers or more, two CWs</w:t>
            </w:r>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lang w:val="en-US" w:eastAsia="zh-CN"/>
              </w:rPr>
            </w:pPr>
            <w:r w:rsidRPr="0075731F">
              <w:rPr>
                <w:lang w:val="en-US"/>
              </w:rPr>
              <w:t>For 1~4 layers, CW1;</w:t>
            </w:r>
            <w:r w:rsidRPr="0075731F">
              <w:rPr>
                <w:lang w:val="en-US"/>
              </w:rPr>
              <w:br/>
              <w:t>For 5 layers or more, two CWs</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Re-transmission delay</w:t>
            </w:r>
          </w:p>
        </w:tc>
        <w:tc>
          <w:tcPr>
            <w:tcW w:w="1667" w:type="pct"/>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Next available slot</w:t>
            </w:r>
          </w:p>
        </w:tc>
        <w:tc>
          <w:tcPr>
            <w:tcW w:w="1668" w:type="pct"/>
            <w:tcBorders>
              <w:top w:val="nil"/>
              <w:left w:val="nil"/>
              <w:bottom w:val="single" w:sz="4" w:space="0" w:color="auto"/>
              <w:right w:val="single" w:sz="4" w:space="0" w:color="auto"/>
            </w:tcBorders>
            <w:shd w:val="clear" w:color="000000" w:fill="FFFFFF"/>
            <w:vAlign w:val="center"/>
          </w:tcPr>
          <w:p w:rsidR="0075731F" w:rsidRPr="0075731F" w:rsidRDefault="0075731F" w:rsidP="00391BCF">
            <w:pPr>
              <w:pStyle w:val="Tabletext"/>
              <w:rPr>
                <w:rFonts w:eastAsia="SimSun"/>
                <w:lang w:val="en-US" w:eastAsia="zh-CN"/>
              </w:rPr>
            </w:pPr>
            <w:r w:rsidRPr="0075731F">
              <w:rPr>
                <w:rFonts w:eastAsia="SimSun"/>
                <w:lang w:val="en-US" w:eastAsia="zh-CN"/>
              </w:rPr>
              <w:t>Next available slot</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 xml:space="preserve">Antenna configuration at </w:t>
            </w:r>
            <w:proofErr w:type="spellStart"/>
            <w:r w:rsidRPr="0075731F">
              <w:rPr>
                <w:rFonts w:eastAsia="SimSun"/>
                <w:lang w:val="en-US" w:eastAsia="zh-CN"/>
              </w:rPr>
              <w:t>TRxP</w:t>
            </w:r>
            <w:proofErr w:type="spellEnd"/>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For 32R: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(8,8,2,1,1; 2,8)</w:t>
            </w:r>
          </w:p>
          <w:p w:rsidR="0075731F" w:rsidRPr="0075731F" w:rsidRDefault="0075731F" w:rsidP="00391BCF">
            <w:pPr>
              <w:pStyle w:val="Tabletext"/>
              <w:rPr>
                <w:rFonts w:eastAsia="SimSun"/>
                <w:lang w:val="en-US" w:eastAsia="zh-CN"/>
              </w:rPr>
            </w:pPr>
            <w:r w:rsidRPr="0075731F">
              <w:rPr>
                <w:rFonts w:eastAsia="SimSun"/>
                <w:lang w:val="en-US" w:eastAsia="zh-CN"/>
              </w:rPr>
              <w:t>(</w:t>
            </w:r>
            <w:proofErr w:type="spellStart"/>
            <w:r w:rsidRPr="0075731F">
              <w:rPr>
                <w:rFonts w:eastAsia="SimSun"/>
                <w:lang w:val="en-US" w:eastAsia="zh-CN"/>
              </w:rPr>
              <w:t>dH</w:t>
            </w:r>
            <w:proofErr w:type="spellEnd"/>
            <w:r w:rsidRPr="0075731F">
              <w:rPr>
                <w:rFonts w:eastAsia="SimSun"/>
                <w:lang w:val="en-US" w:eastAsia="zh-CN"/>
              </w:rPr>
              <w:t xml:space="preserve">, </w:t>
            </w:r>
            <w:proofErr w:type="spellStart"/>
            <w:r w:rsidRPr="0075731F">
              <w:rPr>
                <w:rFonts w:eastAsia="SimSun"/>
                <w:lang w:val="en-US" w:eastAsia="zh-CN"/>
              </w:rPr>
              <w:t>dV</w:t>
            </w:r>
            <w:proofErr w:type="spellEnd"/>
            <w:r w:rsidRPr="0075731F">
              <w:rPr>
                <w:rFonts w:eastAsia="SimSun"/>
                <w:lang w:val="en-US" w:eastAsia="zh-CN"/>
              </w:rPr>
              <w:t>)=(0.5, 0.8)λ;</w:t>
            </w:r>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lang w:val="en-US"/>
              </w:rPr>
              <w:t>8Rx, (8,4,2,1,1; 1,4)</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Antenna configuration at UE</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For 2T: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xml:space="preserve">)=  (1,1,2,1,1; 1,1); </w:t>
            </w:r>
          </w:p>
        </w:tc>
        <w:tc>
          <w:tcPr>
            <w:tcW w:w="1668"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For 2T: (</w:t>
            </w:r>
            <w:proofErr w:type="spellStart"/>
            <w:r w:rsidRPr="0075731F">
              <w:rPr>
                <w:rFonts w:eastAsia="SimSun"/>
                <w:lang w:val="en-US" w:eastAsia="zh-CN"/>
              </w:rPr>
              <w:t>M,N,P,Mg,Ng</w:t>
            </w:r>
            <w:proofErr w:type="spellEnd"/>
            <w:r w:rsidRPr="0075731F">
              <w:rPr>
                <w:rFonts w:eastAsia="SimSun"/>
                <w:lang w:val="en-US" w:eastAsia="zh-CN"/>
              </w:rPr>
              <w:t xml:space="preserve">; </w:t>
            </w:r>
            <w:proofErr w:type="spellStart"/>
            <w:r w:rsidRPr="0075731F">
              <w:rPr>
                <w:rFonts w:eastAsia="SimSun"/>
                <w:lang w:val="en-US" w:eastAsia="zh-CN"/>
              </w:rPr>
              <w:t>Mp,Np</w:t>
            </w:r>
            <w:proofErr w:type="spellEnd"/>
            <w:r w:rsidRPr="0075731F">
              <w:rPr>
                <w:rFonts w:eastAsia="SimSun"/>
                <w:lang w:val="en-US" w:eastAsia="zh-CN"/>
              </w:rPr>
              <w:t>)=  (1,1,2,1,1; 1,1)</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Scheduling</w:t>
            </w:r>
          </w:p>
        </w:tc>
        <w:tc>
          <w:tcPr>
            <w:tcW w:w="1667" w:type="pct"/>
            <w:tcBorders>
              <w:top w:val="nil"/>
              <w:left w:val="nil"/>
              <w:bottom w:val="single" w:sz="4" w:space="0" w:color="auto"/>
              <w:right w:val="single" w:sz="4" w:space="0" w:color="auto"/>
            </w:tcBorders>
            <w:shd w:val="clear" w:color="000000" w:fill="FFFFFF"/>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PF</w:t>
            </w:r>
          </w:p>
        </w:tc>
        <w:tc>
          <w:tcPr>
            <w:tcW w:w="1668" w:type="pct"/>
            <w:tcBorders>
              <w:top w:val="nil"/>
              <w:left w:val="nil"/>
              <w:bottom w:val="single" w:sz="4" w:space="0" w:color="auto"/>
              <w:right w:val="single" w:sz="4" w:space="0" w:color="auto"/>
            </w:tcBorders>
            <w:shd w:val="clear" w:color="000000" w:fill="FFFFFF"/>
            <w:vAlign w:val="center"/>
          </w:tcPr>
          <w:p w:rsidR="0075731F" w:rsidRPr="0075731F" w:rsidRDefault="0075731F" w:rsidP="00391BCF">
            <w:pPr>
              <w:pStyle w:val="Tabletext"/>
              <w:rPr>
                <w:rFonts w:eastAsia="SimSun"/>
                <w:lang w:val="en-US" w:eastAsia="zh-CN"/>
              </w:rPr>
            </w:pPr>
            <w:r w:rsidRPr="0075731F">
              <w:rPr>
                <w:lang w:val="en-US"/>
              </w:rPr>
              <w:t>PF</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Receiver</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MMSE-IRC</w:t>
            </w:r>
          </w:p>
        </w:tc>
        <w:tc>
          <w:tcPr>
            <w:tcW w:w="1668" w:type="pct"/>
            <w:tcBorders>
              <w:top w:val="nil"/>
              <w:left w:val="nil"/>
              <w:bottom w:val="single" w:sz="4" w:space="0" w:color="auto"/>
              <w:right w:val="single" w:sz="4" w:space="0" w:color="auto"/>
            </w:tcBorders>
          </w:tcPr>
          <w:p w:rsidR="0075731F" w:rsidRPr="0075731F" w:rsidRDefault="0075731F" w:rsidP="00391BCF">
            <w:pPr>
              <w:pStyle w:val="Tabletext"/>
              <w:rPr>
                <w:rFonts w:eastAsia="SimSun"/>
                <w:lang w:val="en-US" w:eastAsia="zh-CN"/>
              </w:rPr>
            </w:pPr>
            <w:r w:rsidRPr="0075731F">
              <w:rPr>
                <w:rFonts w:eastAsia="SimSun"/>
                <w:lang w:val="en-US" w:eastAsia="zh-CN"/>
              </w:rPr>
              <w:t>MMSE-IRC</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Channel estimation</w:t>
            </w:r>
          </w:p>
        </w:tc>
        <w:tc>
          <w:tcPr>
            <w:tcW w:w="1667" w:type="pct"/>
            <w:tcBorders>
              <w:top w:val="nil"/>
              <w:left w:val="nil"/>
              <w:bottom w:val="single" w:sz="4" w:space="0" w:color="auto"/>
              <w:right w:val="single" w:sz="4" w:space="0" w:color="auto"/>
            </w:tcBorders>
            <w:shd w:val="clear" w:color="auto" w:fill="auto"/>
            <w:vAlign w:val="center"/>
            <w:hideMark/>
          </w:tcPr>
          <w:p w:rsidR="0075731F" w:rsidRPr="0075731F" w:rsidRDefault="0075731F" w:rsidP="00391BCF">
            <w:pPr>
              <w:pStyle w:val="Tabletext"/>
              <w:rPr>
                <w:rFonts w:eastAsia="SimSun"/>
                <w:lang w:val="en-US" w:eastAsia="zh-CN"/>
              </w:rPr>
            </w:pPr>
            <w:r w:rsidRPr="0075731F">
              <w:rPr>
                <w:rFonts w:eastAsia="SimSun"/>
                <w:lang w:val="en-US" w:eastAsia="zh-CN"/>
              </w:rPr>
              <w:t>Non-ideal</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lang w:val="en-US"/>
              </w:rPr>
              <w:t>Non-ideal</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lang w:val="en-US"/>
              </w:rPr>
              <w:t>Power control parameter</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color w:val="000000"/>
                <w:lang w:val="en-US"/>
              </w:rPr>
              <w:t>P0=-60, alpha = 0.6</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color w:val="000000"/>
                <w:lang w:val="en-US" w:eastAsia="zh-CN"/>
              </w:rPr>
            </w:pPr>
            <w:r w:rsidRPr="0075731F">
              <w:rPr>
                <w:color w:val="000000"/>
                <w:lang w:val="en-US" w:eastAsia="zh-CN"/>
              </w:rPr>
              <w:t>P0=-76, alpha = 0.8</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proofErr w:type="spellStart"/>
            <w:r w:rsidRPr="0075731F">
              <w:rPr>
                <w:rFonts w:eastAsia="SimSun"/>
                <w:lang w:val="en-US" w:eastAsia="zh-CN"/>
              </w:rPr>
              <w:t>TRxP</w:t>
            </w:r>
            <w:proofErr w:type="spellEnd"/>
            <w:r w:rsidRPr="0075731F">
              <w:rPr>
                <w:rFonts w:eastAsia="SimSun"/>
                <w:lang w:val="en-US" w:eastAsia="zh-CN"/>
              </w:rPr>
              <w:t xml:space="preserve"> number per site</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3</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3</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Mechanic tilt</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90° in GCS</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90° in GCS</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Electronic tilt</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105° in LCS</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92° in LCS </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Handover margin (dB)</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1</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1</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Wrapping around method</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Geographical distance-based wrapping</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Geographical distance-based wrapping</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 xml:space="preserve">Criteria for selection for serving </w:t>
            </w:r>
            <w:proofErr w:type="spellStart"/>
            <w:r w:rsidRPr="0075731F">
              <w:rPr>
                <w:rFonts w:eastAsia="SimSun"/>
                <w:lang w:val="en-US" w:eastAsia="zh-CN"/>
              </w:rPr>
              <w:t>TRxP</w:t>
            </w:r>
            <w:proofErr w:type="spellEnd"/>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RSRP based</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RSRP based</w:t>
            </w:r>
          </w:p>
        </w:tc>
      </w:tr>
      <w:tr w:rsidR="0075731F" w:rsidRPr="0075731F" w:rsidTr="0075731F">
        <w:trPr>
          <w:trHeight w:val="285"/>
          <w:jc w:val="center"/>
        </w:trPr>
        <w:tc>
          <w:tcPr>
            <w:tcW w:w="1665" w:type="pct"/>
            <w:tcBorders>
              <w:top w:val="nil"/>
              <w:left w:val="single" w:sz="4" w:space="0" w:color="auto"/>
              <w:bottom w:val="single" w:sz="4" w:space="0" w:color="auto"/>
              <w:right w:val="single" w:sz="4" w:space="0" w:color="auto"/>
            </w:tcBorders>
            <w:shd w:val="clear" w:color="auto" w:fill="auto"/>
            <w:noWrap/>
            <w:vAlign w:val="center"/>
          </w:tcPr>
          <w:p w:rsidR="0075731F" w:rsidRPr="0075731F" w:rsidRDefault="0075731F" w:rsidP="00391BCF">
            <w:pPr>
              <w:pStyle w:val="Tabletext"/>
              <w:rPr>
                <w:rFonts w:eastAsia="SimSun"/>
                <w:lang w:val="en-US" w:eastAsia="zh-CN"/>
              </w:rPr>
            </w:pPr>
            <w:r w:rsidRPr="0075731F">
              <w:rPr>
                <w:rFonts w:eastAsia="SimSun"/>
                <w:lang w:val="en-US" w:eastAsia="zh-CN"/>
              </w:rPr>
              <w:t>Overhead</w:t>
            </w:r>
          </w:p>
        </w:tc>
        <w:tc>
          <w:tcPr>
            <w:tcW w:w="1667" w:type="pct"/>
            <w:tcBorders>
              <w:top w:val="nil"/>
              <w:left w:val="nil"/>
              <w:bottom w:val="single" w:sz="4" w:space="0" w:color="auto"/>
              <w:right w:val="single" w:sz="4" w:space="0" w:color="auto"/>
            </w:tcBorders>
            <w:shd w:val="clear" w:color="auto" w:fill="auto"/>
            <w:vAlign w:val="center"/>
          </w:tcPr>
          <w:p w:rsidR="0075731F" w:rsidRPr="0075731F" w:rsidRDefault="0075731F" w:rsidP="00391BCF">
            <w:pPr>
              <w:pStyle w:val="Tabletext"/>
              <w:rPr>
                <w:rFonts w:eastAsia="SimSun"/>
                <w:lang w:val="en-US" w:eastAsia="zh-CN"/>
              </w:rPr>
            </w:pPr>
            <w:r w:rsidRPr="0075731F">
              <w:rPr>
                <w:rFonts w:eastAsia="SimSun"/>
                <w:lang w:val="en-US" w:eastAsia="zh-CN"/>
              </w:rPr>
              <w:t>PUCCH: 2 PRB and 14 symbols</w:t>
            </w:r>
          </w:p>
          <w:p w:rsidR="0075731F" w:rsidRPr="0075731F" w:rsidRDefault="0075731F" w:rsidP="00391BCF">
            <w:pPr>
              <w:pStyle w:val="Tabletext"/>
              <w:rPr>
                <w:rFonts w:eastAsia="SimSun"/>
                <w:lang w:val="en-US" w:eastAsia="zh-CN"/>
              </w:rPr>
            </w:pPr>
            <w:r w:rsidRPr="0075731F">
              <w:rPr>
                <w:rFonts w:eastAsia="SimSun"/>
                <w:lang w:val="en-US" w:eastAsia="zh-CN"/>
              </w:rPr>
              <w:t>DMRS: Type II, one front loaded symbol + 1 addition symbol</w:t>
            </w:r>
          </w:p>
          <w:p w:rsidR="0075731F" w:rsidRPr="0075731F" w:rsidRDefault="0075731F" w:rsidP="00391BCF">
            <w:pPr>
              <w:pStyle w:val="Tabletext"/>
              <w:rPr>
                <w:rFonts w:eastAsia="SimSun"/>
                <w:lang w:val="en-US" w:eastAsia="zh-CN"/>
              </w:rPr>
            </w:pPr>
            <w:r w:rsidRPr="0075731F">
              <w:rPr>
                <w:rFonts w:eastAsia="SimSun"/>
                <w:lang w:val="en-US" w:eastAsia="zh-CN"/>
              </w:rPr>
              <w:t>SRS</w:t>
            </w:r>
            <w:r w:rsidRPr="0075731F">
              <w:rPr>
                <w:rFonts w:eastAsia="SimSun"/>
                <w:lang w:val="en-US" w:eastAsia="zh-CN"/>
              </w:rPr>
              <w:t>：</w:t>
            </w:r>
            <w:r w:rsidRPr="0075731F">
              <w:rPr>
                <w:rFonts w:eastAsia="SimSun"/>
                <w:lang w:val="en-US" w:eastAsia="zh-CN"/>
              </w:rPr>
              <w:t>2 symbols per 5 slots</w:t>
            </w:r>
          </w:p>
        </w:tc>
        <w:tc>
          <w:tcPr>
            <w:tcW w:w="1668" w:type="pct"/>
            <w:tcBorders>
              <w:top w:val="nil"/>
              <w:left w:val="nil"/>
              <w:bottom w:val="single" w:sz="4" w:space="0" w:color="auto"/>
              <w:right w:val="single" w:sz="4" w:space="0" w:color="auto"/>
            </w:tcBorders>
            <w:vAlign w:val="center"/>
          </w:tcPr>
          <w:p w:rsidR="0075731F" w:rsidRPr="0075731F" w:rsidRDefault="0075731F" w:rsidP="00391BCF">
            <w:pPr>
              <w:pStyle w:val="Tabletext"/>
              <w:rPr>
                <w:rFonts w:eastAsia="SimSun"/>
                <w:lang w:val="en-US" w:eastAsia="zh-CN"/>
              </w:rPr>
            </w:pPr>
            <w:r w:rsidRPr="0075731F">
              <w:rPr>
                <w:rFonts w:eastAsia="SimSun"/>
                <w:lang w:val="en-US" w:eastAsia="zh-CN"/>
              </w:rPr>
              <w:t>PUCCH: 2 PRB and 14 symbols</w:t>
            </w:r>
          </w:p>
          <w:p w:rsidR="0075731F" w:rsidRPr="0075731F" w:rsidRDefault="0075731F" w:rsidP="00391BCF">
            <w:pPr>
              <w:pStyle w:val="Tabletext"/>
              <w:rPr>
                <w:rFonts w:eastAsia="SimSun"/>
                <w:lang w:val="en-US" w:eastAsia="zh-CN"/>
              </w:rPr>
            </w:pPr>
            <w:r w:rsidRPr="0075731F">
              <w:rPr>
                <w:rFonts w:eastAsia="SimSun"/>
                <w:lang w:val="en-US" w:eastAsia="zh-CN"/>
              </w:rPr>
              <w:t>DMRS: Type II, one front loaded symbol + 1 addition symbol</w:t>
            </w:r>
          </w:p>
          <w:p w:rsidR="0075731F" w:rsidRPr="0075731F" w:rsidRDefault="0075731F" w:rsidP="00391BCF">
            <w:pPr>
              <w:pStyle w:val="Tabletext"/>
              <w:rPr>
                <w:rFonts w:eastAsia="SimSun"/>
                <w:lang w:val="en-US" w:eastAsia="zh-CN"/>
              </w:rPr>
            </w:pPr>
            <w:r w:rsidRPr="0075731F">
              <w:rPr>
                <w:rFonts w:eastAsia="SimSun"/>
                <w:lang w:val="en-US" w:eastAsia="zh-CN"/>
              </w:rPr>
              <w:t>SRS</w:t>
            </w:r>
            <w:r w:rsidRPr="0075731F">
              <w:rPr>
                <w:rFonts w:eastAsia="SimSun"/>
                <w:lang w:val="en-US" w:eastAsia="zh-CN"/>
              </w:rPr>
              <w:t>：</w:t>
            </w:r>
            <w:r w:rsidRPr="0075731F">
              <w:rPr>
                <w:rFonts w:eastAsia="SimSun"/>
                <w:lang w:val="en-US" w:eastAsia="zh-CN"/>
              </w:rPr>
              <w:t>2 symbols per 5 slots</w:t>
            </w:r>
          </w:p>
        </w:tc>
      </w:tr>
    </w:tbl>
    <w:p w:rsidR="0075731F" w:rsidRPr="00391BCF" w:rsidRDefault="0075731F" w:rsidP="0075731F">
      <w:pPr>
        <w:spacing w:beforeLines="50"/>
        <w:rPr>
          <w:sz w:val="20"/>
          <w:lang w:val="en-US" w:eastAsia="zh-CN"/>
        </w:rPr>
      </w:pPr>
      <w:r w:rsidRPr="00391BCF">
        <w:rPr>
          <w:rFonts w:eastAsia="SimSun"/>
          <w:i/>
          <w:sz w:val="20"/>
          <w:lang w:val="en-US" w:eastAsia="zh-CN"/>
        </w:rPr>
        <w:t>Note: Other system configuration parameters align with Report ITU-R M.2412.</w:t>
      </w:r>
    </w:p>
    <w:p w:rsidR="0075731F" w:rsidRPr="002A6BCC" w:rsidRDefault="0075731F" w:rsidP="0075731F">
      <w:pPr>
        <w:pStyle w:val="Reftitle"/>
        <w:rPr>
          <w:lang w:eastAsia="zh-CN"/>
        </w:rPr>
      </w:pPr>
      <w:r w:rsidRPr="002A6BCC">
        <w:rPr>
          <w:rFonts w:hint="eastAsia"/>
          <w:lang w:eastAsia="zh-CN"/>
        </w:rPr>
        <w:t>Re</w:t>
      </w:r>
      <w:r w:rsidRPr="002A6BCC">
        <w:rPr>
          <w:lang w:eastAsia="zh-CN"/>
        </w:rPr>
        <w:t>ference</w:t>
      </w:r>
    </w:p>
    <w:p w:rsidR="0075731F" w:rsidRPr="00AF7033" w:rsidRDefault="0075731F" w:rsidP="00391BCF">
      <w:pPr>
        <w:pStyle w:val="Reftext"/>
        <w:rPr>
          <w:bCs/>
          <w:iCs/>
          <w:color w:val="000000" w:themeColor="text1"/>
          <w:szCs w:val="24"/>
          <w:lang w:val="en-US"/>
        </w:rPr>
      </w:pPr>
      <w:bookmarkStart w:id="44" w:name="_Ref32056684"/>
      <w:r>
        <w:rPr>
          <w:bCs/>
          <w:iCs/>
          <w:color w:val="000000" w:themeColor="text1"/>
          <w:szCs w:val="24"/>
          <w:lang w:val="en-US"/>
        </w:rPr>
        <w:t>[1]</w:t>
      </w:r>
      <w:r>
        <w:rPr>
          <w:bCs/>
          <w:iCs/>
          <w:color w:val="000000" w:themeColor="text1"/>
          <w:szCs w:val="24"/>
          <w:lang w:val="en-US"/>
        </w:rPr>
        <w:tab/>
      </w:r>
      <w:r w:rsidRPr="00AF7033">
        <w:rPr>
          <w:bCs/>
          <w:iCs/>
          <w:color w:val="000000" w:themeColor="text1"/>
          <w:szCs w:val="24"/>
          <w:lang w:val="en-US"/>
        </w:rPr>
        <w:t>ITU-R WP</w:t>
      </w:r>
      <w:r>
        <w:rPr>
          <w:bCs/>
          <w:iCs/>
          <w:color w:val="000000" w:themeColor="text1"/>
          <w:szCs w:val="24"/>
          <w:lang w:val="en-US"/>
        </w:rPr>
        <w:t xml:space="preserve"> </w:t>
      </w:r>
      <w:r w:rsidRPr="00AF7033">
        <w:rPr>
          <w:bCs/>
          <w:iCs/>
          <w:color w:val="000000" w:themeColor="text1"/>
          <w:szCs w:val="24"/>
          <w:lang w:val="en-US"/>
        </w:rPr>
        <w:t xml:space="preserve">5D: </w:t>
      </w:r>
      <w:r w:rsidRPr="00AF7033">
        <w:rPr>
          <w:rFonts w:eastAsia="MS Mincho"/>
          <w:lang w:val="en-US"/>
        </w:rPr>
        <w:t xml:space="preserve">Acknowledgement of candidate RIT submission </w:t>
      </w:r>
      <w:r w:rsidRPr="00AF7033">
        <w:rPr>
          <w:rFonts w:eastAsia="MS Mincho"/>
          <w:bCs/>
          <w:lang w:val="en-US"/>
        </w:rPr>
        <w:t>from TSDSI</w:t>
      </w:r>
      <w:r w:rsidRPr="00AF7033">
        <w:rPr>
          <w:rFonts w:ascii="MS PGothic" w:eastAsia="MS PGothic" w:hAnsi="MS PGothic" w:cs="MS PGothic"/>
          <w:bCs/>
          <w:lang w:val="en-US" w:eastAsia="ja-JP"/>
        </w:rPr>
        <w:t xml:space="preserve"> </w:t>
      </w:r>
      <w:r w:rsidRPr="00AF7033">
        <w:rPr>
          <w:rFonts w:eastAsia="MS Mincho"/>
          <w:bCs/>
          <w:lang w:val="en-US"/>
        </w:rPr>
        <w:t>under Step 3 of the IMT-2020 process</w:t>
      </w:r>
      <w:r w:rsidRPr="00AF7033">
        <w:rPr>
          <w:szCs w:val="24"/>
          <w:lang w:val="en-US" w:eastAsia="zh-CN"/>
        </w:rPr>
        <w:t>. Document IMT-2020/</w:t>
      </w:r>
      <w:hyperlink r:id="rId13" w:history="1">
        <w:r w:rsidRPr="00391BCF">
          <w:rPr>
            <w:rStyle w:val="Hyperlink"/>
            <w:szCs w:val="24"/>
            <w:lang w:val="en-US" w:eastAsia="zh-CN"/>
          </w:rPr>
          <w:t>1</w:t>
        </w:r>
        <w:r w:rsidRPr="00391BCF">
          <w:rPr>
            <w:rStyle w:val="Hyperlink"/>
            <w:rFonts w:eastAsiaTheme="minorEastAsia"/>
            <w:szCs w:val="24"/>
            <w:lang w:val="en-US" w:eastAsia="zh-CN"/>
          </w:rPr>
          <w:t>9(Rev.1)</w:t>
        </w:r>
      </w:hyperlink>
      <w:r w:rsidRPr="00AF7033">
        <w:rPr>
          <w:szCs w:val="24"/>
          <w:lang w:val="en-US" w:eastAsia="zh-CN"/>
        </w:rPr>
        <w:t xml:space="preserve">, 23 </w:t>
      </w:r>
      <w:r w:rsidRPr="00AF7033">
        <w:rPr>
          <w:rFonts w:eastAsiaTheme="minorEastAsia"/>
          <w:szCs w:val="24"/>
          <w:lang w:val="en-US" w:eastAsia="zh-CN"/>
        </w:rPr>
        <w:t xml:space="preserve">December </w:t>
      </w:r>
      <w:r w:rsidRPr="00AF7033">
        <w:rPr>
          <w:szCs w:val="24"/>
          <w:lang w:val="en-US" w:eastAsia="zh-CN"/>
        </w:rPr>
        <w:t>2019.</w:t>
      </w:r>
      <w:bookmarkEnd w:id="44"/>
    </w:p>
    <w:p w:rsidR="0075731F" w:rsidRPr="00C86782" w:rsidRDefault="0075731F" w:rsidP="0075731F">
      <w:pPr>
        <w:pStyle w:val="Reftext"/>
        <w:rPr>
          <w:bCs/>
          <w:iCs/>
          <w:color w:val="000000" w:themeColor="text1"/>
          <w:szCs w:val="24"/>
          <w:lang w:val="en-US"/>
        </w:rPr>
      </w:pPr>
      <w:bookmarkStart w:id="45" w:name="_Ref32336868"/>
      <w:r>
        <w:rPr>
          <w:bCs/>
          <w:iCs/>
          <w:color w:val="000000" w:themeColor="text1"/>
          <w:szCs w:val="24"/>
          <w:lang w:val="en-US"/>
        </w:rPr>
        <w:t>[2]</w:t>
      </w:r>
      <w:r>
        <w:rPr>
          <w:bCs/>
          <w:iCs/>
          <w:color w:val="000000" w:themeColor="text1"/>
          <w:szCs w:val="24"/>
          <w:lang w:val="en-US"/>
        </w:rPr>
        <w:tab/>
      </w:r>
      <w:r w:rsidRPr="00AF7033">
        <w:rPr>
          <w:lang w:val="en-US"/>
        </w:rPr>
        <w:t>3GPP TS 38.214: "Physical layer procedures for data".</w:t>
      </w:r>
      <w:bookmarkEnd w:id="45"/>
    </w:p>
    <w:p w:rsidR="0075731F" w:rsidRPr="00AF7033" w:rsidRDefault="0075731F" w:rsidP="0075731F">
      <w:pPr>
        <w:pStyle w:val="Reftext"/>
        <w:rPr>
          <w:bCs/>
          <w:iCs/>
          <w:color w:val="000000" w:themeColor="text1"/>
          <w:szCs w:val="24"/>
          <w:lang w:val="en-US"/>
        </w:rPr>
      </w:pPr>
      <w:bookmarkStart w:id="46" w:name="_Ref536805371"/>
      <w:r>
        <w:rPr>
          <w:bCs/>
          <w:iCs/>
          <w:color w:val="000000" w:themeColor="text1"/>
          <w:szCs w:val="24"/>
          <w:lang w:val="en-US"/>
        </w:rPr>
        <w:t>[3]</w:t>
      </w:r>
      <w:r>
        <w:rPr>
          <w:bCs/>
          <w:iCs/>
          <w:color w:val="000000" w:themeColor="text1"/>
          <w:szCs w:val="24"/>
          <w:lang w:val="en-US"/>
        </w:rPr>
        <w:tab/>
      </w:r>
      <w:r w:rsidRPr="00AF7033">
        <w:rPr>
          <w:bCs/>
          <w:iCs/>
          <w:color w:val="000000" w:themeColor="text1"/>
          <w:szCs w:val="24"/>
          <w:lang w:val="en-US"/>
        </w:rPr>
        <w:t xml:space="preserve">ITU-R: Guidelines for evaluation of radio interface technologies for IMT-2020. Report ITU-R </w:t>
      </w:r>
      <w:hyperlink r:id="rId14" w:history="1">
        <w:r w:rsidRPr="00391BCF">
          <w:rPr>
            <w:rStyle w:val="Hyperlink"/>
            <w:bCs/>
            <w:iCs/>
            <w:szCs w:val="24"/>
            <w:lang w:val="en-US"/>
          </w:rPr>
          <w:t>M.2412-0</w:t>
        </w:r>
      </w:hyperlink>
      <w:r w:rsidRPr="00AF7033">
        <w:rPr>
          <w:bCs/>
          <w:iCs/>
          <w:color w:val="000000" w:themeColor="text1"/>
          <w:szCs w:val="24"/>
          <w:lang w:val="en-US"/>
        </w:rPr>
        <w:t>, (10/2017).</w:t>
      </w:r>
      <w:bookmarkEnd w:id="46"/>
    </w:p>
    <w:p w:rsidR="0075731F" w:rsidRPr="0075731F" w:rsidRDefault="0075731F" w:rsidP="0075731F">
      <w:pPr>
        <w:rPr>
          <w:lang w:eastAsia="zh-CN"/>
        </w:rPr>
      </w:pPr>
    </w:p>
    <w:p w:rsidR="000069D4" w:rsidRPr="0075731F" w:rsidRDefault="0075731F" w:rsidP="0075731F">
      <w:pPr>
        <w:jc w:val="center"/>
        <w:rPr>
          <w:lang w:eastAsia="zh-CN"/>
        </w:rPr>
      </w:pPr>
      <w:r>
        <w:rPr>
          <w:lang w:eastAsia="zh-CN"/>
        </w:rPr>
        <w:t>_______________</w:t>
      </w:r>
    </w:p>
    <w:sectPr w:rsidR="000069D4" w:rsidRPr="0075731F"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A1" w:rsidRDefault="00F455A1">
      <w:r>
        <w:separator/>
      </w:r>
    </w:p>
  </w:endnote>
  <w:endnote w:type="continuationSeparator" w:id="0">
    <w:p w:rsidR="00F455A1" w:rsidRDefault="00F4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1F" w:rsidRPr="002F7CB3" w:rsidRDefault="0075731F">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Document4</w:t>
    </w:r>
    <w:r>
      <w:fldChar w:fldCharType="end"/>
    </w:r>
    <w:r>
      <w:t xml:space="preserve"> ( )</w:t>
    </w:r>
    <w:r w:rsidRPr="002F7CB3">
      <w:rPr>
        <w:lang w:val="en-US"/>
      </w:rPr>
      <w:tab/>
    </w:r>
    <w:r>
      <w:fldChar w:fldCharType="begin"/>
    </w:r>
    <w:r>
      <w:instrText xml:space="preserve"> savedate \@ dd.MM.yy </w:instrText>
    </w:r>
    <w:r>
      <w:fldChar w:fldCharType="separate"/>
    </w:r>
    <w:r w:rsidR="00697A22">
      <w:t>27.02.20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1F" w:rsidRPr="002F7CB3" w:rsidRDefault="0075731F"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Document4</w:t>
    </w:r>
    <w:r>
      <w:fldChar w:fldCharType="end"/>
    </w:r>
    <w:r>
      <w:t xml:space="preserve"> ( )</w:t>
    </w:r>
    <w:r w:rsidRPr="002F7CB3">
      <w:rPr>
        <w:lang w:val="en-US"/>
      </w:rPr>
      <w:tab/>
    </w:r>
    <w:r>
      <w:fldChar w:fldCharType="begin"/>
    </w:r>
    <w:r>
      <w:instrText xml:space="preserve"> savedate \@ dd.MM.yy </w:instrText>
    </w:r>
    <w:r>
      <w:fldChar w:fldCharType="separate"/>
    </w:r>
    <w:r w:rsidR="00697A22">
      <w:t>27.02.20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A1" w:rsidRDefault="00F455A1">
      <w:r>
        <w:t>____________________</w:t>
      </w:r>
    </w:p>
  </w:footnote>
  <w:footnote w:type="continuationSeparator" w:id="0">
    <w:p w:rsidR="00F455A1" w:rsidRDefault="00F455A1">
      <w:r>
        <w:continuationSeparator/>
      </w:r>
    </w:p>
  </w:footnote>
  <w:footnote w:id="1">
    <w:p w:rsidR="0075731F" w:rsidRPr="00420CE1" w:rsidRDefault="0075731F" w:rsidP="0075731F">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1F" w:rsidRDefault="0075731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97A22">
      <w:rPr>
        <w:rStyle w:val="PageNumber"/>
        <w:noProof/>
      </w:rPr>
      <w:t>11</w:t>
    </w:r>
    <w:r>
      <w:rPr>
        <w:rStyle w:val="PageNumber"/>
      </w:rPr>
      <w:fldChar w:fldCharType="end"/>
    </w:r>
    <w:r>
      <w:rPr>
        <w:rStyle w:val="PageNumber"/>
      </w:rPr>
      <w:t xml:space="preserve"> -</w:t>
    </w:r>
  </w:p>
  <w:p w:rsidR="0075731F" w:rsidRDefault="0075731F">
    <w:pPr>
      <w:pStyle w:val="Header"/>
      <w:rPr>
        <w:lang w:val="en-US"/>
      </w:rPr>
    </w:pPr>
    <w:r>
      <w:rPr>
        <w:lang w:val="en-US"/>
      </w:rPr>
      <w:t>5D/124-E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51B"/>
    <w:multiLevelType w:val="hybridMultilevel"/>
    <w:tmpl w:val="612C4A76"/>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64480D"/>
    <w:multiLevelType w:val="hybridMultilevel"/>
    <w:tmpl w:val="C2BAE288"/>
    <w:lvl w:ilvl="0" w:tplc="440E4994">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DD2C82"/>
    <w:multiLevelType w:val="hybridMultilevel"/>
    <w:tmpl w:val="EF10E64A"/>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F93D05"/>
    <w:multiLevelType w:val="hybridMultilevel"/>
    <w:tmpl w:val="612C4A76"/>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FC3571"/>
    <w:multiLevelType w:val="hybridMultilevel"/>
    <w:tmpl w:val="C2BAE288"/>
    <w:lvl w:ilvl="0" w:tplc="440E4994">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8C4B56"/>
    <w:multiLevelType w:val="hybridMultilevel"/>
    <w:tmpl w:val="CB2005F4"/>
    <w:lvl w:ilvl="0" w:tplc="29C27434">
      <w:numFmt w:val="bullet"/>
      <w:lvlText w:val="-"/>
      <w:lvlJc w:val="left"/>
      <w:pPr>
        <w:ind w:left="600" w:hanging="360"/>
      </w:pPr>
      <w:rPr>
        <w:rFonts w:ascii="Calibri" w:eastAsia="Calibri" w:hAnsi="Calibri" w:cs="Calibri" w:hint="default"/>
      </w:rPr>
    </w:lvl>
    <w:lvl w:ilvl="1" w:tplc="29C27434">
      <w:numFmt w:val="bullet"/>
      <w:lvlText w:val="-"/>
      <w:lvlJc w:val="left"/>
      <w:pPr>
        <w:ind w:left="1320" w:hanging="360"/>
      </w:pPr>
      <w:rPr>
        <w:rFonts w:ascii="Calibri" w:eastAsia="Calibri" w:hAnsi="Calibri" w:cs="Calibri"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7" w15:restartNumberingAfterBreak="0">
    <w:nsid w:val="420340FA"/>
    <w:multiLevelType w:val="hybridMultilevel"/>
    <w:tmpl w:val="612C4A76"/>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6572A5"/>
    <w:multiLevelType w:val="hybridMultilevel"/>
    <w:tmpl w:val="624EC27A"/>
    <w:lvl w:ilvl="0" w:tplc="29C274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670831"/>
    <w:multiLevelType w:val="hybridMultilevel"/>
    <w:tmpl w:val="6D3C2694"/>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B16B51"/>
    <w:multiLevelType w:val="hybridMultilevel"/>
    <w:tmpl w:val="D9424F6E"/>
    <w:lvl w:ilvl="0" w:tplc="E7EC0BCE">
      <w:start w:val="1"/>
      <w:numFmt w:val="decimal"/>
      <w:lvlText w:val="Table %1"/>
      <w:lvlJc w:val="left"/>
      <w:pPr>
        <w:ind w:left="720" w:hanging="360"/>
      </w:pPr>
      <w:rPr>
        <w:rFonts w:ascii="Times New Roman Bold" w:hAnsi="Times New Roman Bold" w:hint="default"/>
        <w:b/>
        <w:i w:val="0"/>
        <w:color w:val="000000" w:themeColor="text1"/>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586999"/>
    <w:multiLevelType w:val="hybridMultilevel"/>
    <w:tmpl w:val="936063E8"/>
    <w:lvl w:ilvl="0" w:tplc="5484DD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4"/>
  </w:num>
  <w:num w:numId="4">
    <w:abstractNumId w:val="6"/>
  </w:num>
  <w:num w:numId="5">
    <w:abstractNumId w:val="9"/>
  </w:num>
  <w:num w:numId="6">
    <w:abstractNumId w:val="3"/>
  </w:num>
  <w:num w:numId="7">
    <w:abstractNumId w:val="12"/>
  </w:num>
  <w:num w:numId="8">
    <w:abstractNumId w:val="5"/>
  </w:num>
  <w:num w:numId="9">
    <w:abstractNumId w:val="10"/>
  </w:num>
  <w:num w:numId="10">
    <w:abstractNumId w:val="7"/>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BE"/>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91BCF"/>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97A22"/>
    <w:rsid w:val="0075731F"/>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64DBE"/>
    <w:rsid w:val="00B76F35"/>
    <w:rsid w:val="00B81138"/>
    <w:rsid w:val="00BC7CCF"/>
    <w:rsid w:val="00BE470B"/>
    <w:rsid w:val="00C57A91"/>
    <w:rsid w:val="00C80739"/>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455A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59353D-9857-4E6D-A0C2-B2351C2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1F"/>
    <w:rPr>
      <w:rFonts w:ascii="Times New Roman" w:hAnsi="Times New Roman"/>
      <w:b/>
      <w:sz w:val="28"/>
      <w:lang w:val="en-GB" w:eastAsia="en-US"/>
    </w:rPr>
  </w:style>
  <w:style w:type="character" w:customStyle="1" w:styleId="Heading2Char">
    <w:name w:val="Heading 2 Char"/>
    <w:basedOn w:val="DefaultParagraphFont"/>
    <w:link w:val="Heading2"/>
    <w:uiPriority w:val="9"/>
    <w:rsid w:val="0075731F"/>
    <w:rPr>
      <w:rFonts w:ascii="Times New Roman" w:hAnsi="Times New Roman"/>
      <w:b/>
      <w:sz w:val="24"/>
      <w:lang w:val="en-GB" w:eastAsia="en-US"/>
    </w:rPr>
  </w:style>
  <w:style w:type="character" w:customStyle="1" w:styleId="Heading3Char">
    <w:name w:val="Heading 3 Char"/>
    <w:basedOn w:val="DefaultParagraphFont"/>
    <w:link w:val="Heading3"/>
    <w:uiPriority w:val="9"/>
    <w:rsid w:val="0075731F"/>
    <w:rPr>
      <w:rFonts w:ascii="Times New Roman" w:hAnsi="Times New Roman"/>
      <w:b/>
      <w:sz w:val="24"/>
      <w:lang w:val="en-GB" w:eastAsia="en-US"/>
    </w:rPr>
  </w:style>
  <w:style w:type="character" w:customStyle="1" w:styleId="Heading4Char">
    <w:name w:val="Heading 4 Char"/>
    <w:basedOn w:val="DefaultParagraphFont"/>
    <w:link w:val="Heading4"/>
    <w:uiPriority w:val="9"/>
    <w:rsid w:val="0075731F"/>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character" w:customStyle="1" w:styleId="enumlev1Char">
    <w:name w:val="enumlev1 Char"/>
    <w:link w:val="enumlev1"/>
    <w:qFormat/>
    <w:locked/>
    <w:rsid w:val="0075731F"/>
    <w:rPr>
      <w:rFonts w:ascii="Times New Roman" w:hAnsi="Times New Roman"/>
      <w:sz w:val="24"/>
      <w:lang w:val="en-GB" w:eastAsia="en-US"/>
    </w:r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75731F"/>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basedOn w:val="DefaultParagraphFont"/>
    <w:link w:val="Source"/>
    <w:locked/>
    <w:rsid w:val="0075731F"/>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75731F"/>
    <w:rPr>
      <w:rFonts w:ascii="Times New Roman Bold" w:hAnsi="Times New Roman Bold" w:cs="Times New Roman Bold"/>
      <w:b/>
      <w:lang w:val="en-GB" w:eastAsia="en-US"/>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75731F"/>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basedOn w:val="SourceChar"/>
    <w:link w:val="Title1"/>
    <w:locked/>
    <w:rsid w:val="0075731F"/>
    <w:rPr>
      <w:rFonts w:ascii="Times New Roman" w:hAnsi="Times New Roman"/>
      <w:b w:val="0"/>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qFormat/>
    <w:rsid w:val="0075731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H">
    <w:name w:val="TAH"/>
    <w:basedOn w:val="Normal"/>
    <w:link w:val="TAHCar"/>
    <w:qFormat/>
    <w:rsid w:val="0075731F"/>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75731F"/>
    <w:rPr>
      <w:rFonts w:ascii="Arial" w:eastAsia="MS Mincho" w:hAnsi="Arial"/>
      <w:b/>
      <w:sz w:val="18"/>
      <w:lang w:val="en-GB" w:eastAsia="en-US"/>
    </w:rPr>
  </w:style>
  <w:style w:type="paragraph" w:customStyle="1" w:styleId="TAC">
    <w:name w:val="TAC"/>
    <w:basedOn w:val="Normal"/>
    <w:link w:val="TACChar"/>
    <w:qFormat/>
    <w:rsid w:val="0075731F"/>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qFormat/>
    <w:rsid w:val="0075731F"/>
    <w:rPr>
      <w:rFonts w:ascii="Arial" w:hAnsi="Arial"/>
      <w:sz w:val="18"/>
      <w:lang w:val="en-GB" w:eastAsia="en-US"/>
    </w:rPr>
  </w:style>
  <w:style w:type="paragraph" w:customStyle="1" w:styleId="TAN">
    <w:name w:val="TAN"/>
    <w:basedOn w:val="Normal"/>
    <w:link w:val="TANChar"/>
    <w:rsid w:val="0075731F"/>
    <w:pPr>
      <w:keepNext/>
      <w:keepLines/>
      <w:tabs>
        <w:tab w:val="clear" w:pos="1134"/>
        <w:tab w:val="clear" w:pos="1871"/>
        <w:tab w:val="clear" w:pos="2268"/>
      </w:tabs>
      <w:spacing w:before="0"/>
      <w:ind w:left="851" w:hanging="851"/>
    </w:pPr>
    <w:rPr>
      <w:rFonts w:ascii="Arial" w:eastAsia="MS Mincho" w:hAnsi="Arial"/>
      <w:sz w:val="18"/>
    </w:rPr>
  </w:style>
  <w:style w:type="character" w:customStyle="1" w:styleId="TANChar">
    <w:name w:val="TAN Char"/>
    <w:link w:val="TAN"/>
    <w:rsid w:val="0075731F"/>
    <w:rPr>
      <w:rFonts w:ascii="Arial" w:eastAsia="MS Mincho" w:hAnsi="Arial"/>
      <w:sz w:val="18"/>
      <w:lang w:val="en-GB" w:eastAsia="en-US"/>
    </w:rPr>
  </w:style>
  <w:style w:type="paragraph" w:customStyle="1" w:styleId="TAL">
    <w:name w:val="TAL"/>
    <w:basedOn w:val="Normal"/>
    <w:link w:val="TALCar"/>
    <w:rsid w:val="0075731F"/>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75731F"/>
    <w:rPr>
      <w:rFonts w:ascii="Arial" w:eastAsia="MS Mincho" w:hAnsi="Arial"/>
      <w:sz w:val="18"/>
      <w:lang w:val="en-GB" w:eastAsia="en-US"/>
    </w:rPr>
  </w:style>
  <w:style w:type="paragraph" w:customStyle="1" w:styleId="TAR">
    <w:name w:val="TAR"/>
    <w:basedOn w:val="Normal"/>
    <w:rsid w:val="0075731F"/>
    <w:pPr>
      <w:keepNext/>
      <w:keepLines/>
      <w:tabs>
        <w:tab w:val="clear" w:pos="1134"/>
        <w:tab w:val="clear" w:pos="1871"/>
        <w:tab w:val="clear" w:pos="2268"/>
      </w:tabs>
      <w:spacing w:before="0"/>
      <w:jc w:val="right"/>
    </w:pPr>
    <w:rPr>
      <w:rFonts w:ascii="Arial" w:eastAsia="MS Mincho" w:hAnsi="Arial"/>
      <w:sz w:val="18"/>
      <w:lang w:eastAsia="ja-JP"/>
    </w:rPr>
  </w:style>
  <w:style w:type="table" w:styleId="TableGrid">
    <w:name w:val="Table Grid"/>
    <w:basedOn w:val="TableNormal"/>
    <w:qFormat/>
    <w:rsid w:val="0075731F"/>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731F"/>
    <w:rPr>
      <w:color w:val="0000FF"/>
      <w:u w:val="single"/>
    </w:rPr>
  </w:style>
  <w:style w:type="character" w:customStyle="1" w:styleId="BalloonTextChar">
    <w:name w:val="Balloon Text Char"/>
    <w:basedOn w:val="DefaultParagraphFont"/>
    <w:link w:val="BalloonText"/>
    <w:uiPriority w:val="99"/>
    <w:semiHidden/>
    <w:rsid w:val="0075731F"/>
    <w:rPr>
      <w:rFonts w:ascii="Segoe UI" w:eastAsiaTheme="minorEastAsia" w:hAnsi="Segoe UI" w:cs="Segoe UI"/>
      <w:sz w:val="18"/>
      <w:szCs w:val="18"/>
      <w:lang w:val="en-GB" w:eastAsia="en-US"/>
    </w:rPr>
  </w:style>
  <w:style w:type="paragraph" w:styleId="BalloonText">
    <w:name w:val="Balloon Text"/>
    <w:basedOn w:val="Normal"/>
    <w:link w:val="BalloonTextChar"/>
    <w:uiPriority w:val="99"/>
    <w:semiHidden/>
    <w:unhideWhenUsed/>
    <w:rsid w:val="0075731F"/>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rPr>
  </w:style>
  <w:style w:type="paragraph" w:styleId="ListParagraph">
    <w:name w:val="List Paragraph"/>
    <w:aliases w:val="- Bullets,목록 단락,リスト段落,?? ??,?????,????"/>
    <w:basedOn w:val="Normal"/>
    <w:link w:val="ListParagraphChar"/>
    <w:uiPriority w:val="34"/>
    <w:qFormat/>
    <w:rsid w:val="0075731F"/>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75731F"/>
    <w:rPr>
      <w:rFonts w:ascii="Times New Roman" w:hAnsi="Times New Roman"/>
      <w:sz w:val="24"/>
      <w:lang w:val="fr-FR"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uiPriority w:val="35"/>
    <w:qFormat/>
    <w:rsid w:val="0075731F"/>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uiPriority w:val="35"/>
    <w:locked/>
    <w:rsid w:val="0075731F"/>
    <w:rPr>
      <w:rFonts w:ascii="Times New Roman" w:eastAsia="MS Mincho" w:hAnsi="Times New Roman"/>
      <w:b/>
      <w:bCs/>
      <w:lang w:val="en-GB" w:eastAsia="en-US"/>
    </w:rPr>
  </w:style>
  <w:style w:type="character" w:customStyle="1" w:styleId="enumlev10">
    <w:name w:val="enumlev1 Знак"/>
    <w:locked/>
    <w:rsid w:val="0075731F"/>
    <w:rPr>
      <w:rFonts w:ascii="Times New Roman" w:eastAsia="MS Mincho" w:hAnsi="Times New Roman" w:cs="Times New Roman"/>
      <w:sz w:val="24"/>
      <w:szCs w:val="20"/>
    </w:rPr>
  </w:style>
  <w:style w:type="paragraph" w:styleId="Date">
    <w:name w:val="Date"/>
    <w:basedOn w:val="Normal"/>
    <w:next w:val="Normal"/>
    <w:link w:val="DateChar"/>
    <w:uiPriority w:val="99"/>
    <w:unhideWhenUsed/>
    <w:rsid w:val="0075731F"/>
    <w:pPr>
      <w:tabs>
        <w:tab w:val="clear" w:pos="1134"/>
        <w:tab w:val="clear" w:pos="1871"/>
        <w:tab w:val="clear" w:pos="2268"/>
      </w:tabs>
      <w:overflowPunct/>
      <w:autoSpaceDE/>
      <w:autoSpaceDN/>
      <w:adjustRightInd/>
      <w:spacing w:before="0" w:after="200" w:line="276" w:lineRule="auto"/>
      <w:ind w:leftChars="2500" w:left="100"/>
      <w:textAlignment w:val="auto"/>
    </w:pPr>
    <w:rPr>
      <w:rFonts w:asciiTheme="minorHAnsi" w:eastAsiaTheme="minorEastAsia" w:hAnsiTheme="minorHAnsi" w:cstheme="minorBidi"/>
      <w:sz w:val="22"/>
      <w:szCs w:val="22"/>
    </w:rPr>
  </w:style>
  <w:style w:type="character" w:customStyle="1" w:styleId="DateChar">
    <w:name w:val="Date Char"/>
    <w:basedOn w:val="DefaultParagraphFont"/>
    <w:link w:val="Date"/>
    <w:uiPriority w:val="99"/>
    <w:rsid w:val="0075731F"/>
    <w:rPr>
      <w:rFonts w:asciiTheme="minorHAnsi" w:eastAsiaTheme="minorEastAsia"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5-IMT.2020-C-0019/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5-IMT.2020-C-0002/en" TargetMode="External"/><Relationship Id="rId14" Type="http://schemas.openxmlformats.org/officeDocument/2006/relationships/hyperlink" Target="https://www.itu.int/pub/R-REP-M.2412-20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9468-81E6-4FDD-8DAF-8CC26C03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Limousin, Catherine</cp:lastModifiedBy>
  <cp:revision>1</cp:revision>
  <cp:lastPrinted>2008-02-21T14:04:00Z</cp:lastPrinted>
  <dcterms:created xsi:type="dcterms:W3CDTF">2020-02-27T16:09:00Z</dcterms:created>
  <dcterms:modified xsi:type="dcterms:W3CDTF">2020-02-27T16:09:00Z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