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35520" w:rsidP="00E35520">
            <w:pPr>
              <w:shd w:val="solid" w:color="FFFFFF" w:fill="FFFFFF"/>
              <w:spacing w:before="0" w:line="240" w:lineRule="atLeast"/>
            </w:pPr>
            <w:bookmarkStart w:id="0" w:name="ditulogo"/>
            <w:bookmarkEnd w:id="0"/>
            <w:r>
              <w:rPr>
                <w:noProof/>
                <w:lang w:val="en-US"/>
              </w:rPr>
              <w:drawing>
                <wp:inline distT="0" distB="0" distL="0" distR="0" wp14:anchorId="272F3B2E" wp14:editId="59FE141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947A04" w:rsidRPr="00947A04" w:rsidRDefault="00E35520" w:rsidP="00947A04">
            <w:pPr>
              <w:shd w:val="clear" w:color="auto" w:fill="FFFFFF" w:themeFill="background1"/>
              <w:spacing w:after="240"/>
              <w:ind w:left="1134" w:hanging="1134"/>
              <w:rPr>
                <w:rFonts w:ascii="Verdana" w:eastAsia="Verdana" w:hAnsi="Verdana" w:cs="Verdana"/>
                <w:sz w:val="20"/>
              </w:rPr>
            </w:pPr>
            <w:bookmarkStart w:id="1" w:name="recibido"/>
            <w:bookmarkStart w:id="2" w:name="dnum" w:colFirst="1" w:colLast="1"/>
            <w:bookmarkEnd w:id="1"/>
            <w:r w:rsidRPr="00947A04">
              <w:rPr>
                <w:rFonts w:ascii="Verdana" w:hAnsi="Verdana"/>
                <w:sz w:val="20"/>
              </w:rPr>
              <w:t>Received:</w:t>
            </w:r>
            <w:r w:rsidRPr="00947A04">
              <w:rPr>
                <w:rFonts w:ascii="Verdana" w:hAnsi="Verdana"/>
                <w:sz w:val="20"/>
              </w:rPr>
              <w:tab/>
            </w:r>
            <w:r w:rsidR="00947A04" w:rsidRPr="00947A04">
              <w:rPr>
                <w:rFonts w:ascii="Verdana" w:eastAsia="Verdana" w:hAnsi="Verdana" w:cs="Verdana"/>
                <w:sz w:val="20"/>
              </w:rPr>
              <w:t>16 August 2021</w:t>
            </w:r>
          </w:p>
          <w:p w:rsidR="000069D4" w:rsidRPr="00947A04" w:rsidRDefault="00947A04" w:rsidP="00947A04">
            <w:pPr>
              <w:shd w:val="solid" w:color="FFFFFF" w:fill="FFFFFF"/>
              <w:tabs>
                <w:tab w:val="clear" w:pos="1134"/>
                <w:tab w:val="clear" w:pos="1871"/>
                <w:tab w:val="clear" w:pos="2268"/>
              </w:tabs>
              <w:spacing w:before="0" w:after="240"/>
              <w:ind w:left="1134" w:hanging="1134"/>
              <w:rPr>
                <w:rFonts w:ascii="Verdana" w:hAnsi="Verdana"/>
                <w:sz w:val="20"/>
              </w:rPr>
            </w:pPr>
            <w:r w:rsidRPr="00947A04">
              <w:rPr>
                <w:rFonts w:ascii="Verdana" w:eastAsia="Verdana" w:hAnsi="Verdana" w:cs="Verdana"/>
                <w:sz w:val="20"/>
              </w:rPr>
              <w:t xml:space="preserve">Source: </w:t>
            </w:r>
            <w:r w:rsidRPr="00947A04">
              <w:tab/>
            </w:r>
            <w:r w:rsidRPr="00947A04">
              <w:rPr>
                <w:rFonts w:ascii="Verdana" w:eastAsia="Verdana" w:hAnsi="Verdana" w:cs="Verdana"/>
                <w:sz w:val="20"/>
              </w:rPr>
              <w:t>Wireless World Research Forum</w:t>
            </w:r>
          </w:p>
          <w:p w:rsidR="00E35520" w:rsidRPr="00982084" w:rsidRDefault="00E35520" w:rsidP="00E35520">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E35520" w:rsidRDefault="00E3552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5D/743-E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35520" w:rsidRDefault="00E35520"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5A0C54" w:rsidRPr="00D10AB6">
              <w:rPr>
                <w:rFonts w:ascii="Verdana" w:hAnsi="Verdana" w:hint="eastAsia"/>
                <w:b/>
                <w:sz w:val="20"/>
                <w:lang w:eastAsia="zh-CN"/>
              </w:rPr>
              <w:t>7</w:t>
            </w:r>
            <w:r>
              <w:rPr>
                <w:rFonts w:ascii="Verdana" w:hAnsi="Verdana"/>
                <w:b/>
                <w:sz w:val="20"/>
                <w:lang w:eastAsia="zh-CN"/>
              </w:rPr>
              <w:t xml:space="preserve"> August 2021</w:t>
            </w:r>
          </w:p>
        </w:tc>
      </w:tr>
      <w:tr w:rsidR="00947A04" w:rsidTr="00876A8A">
        <w:trPr>
          <w:cantSplit/>
        </w:trPr>
        <w:tc>
          <w:tcPr>
            <w:tcW w:w="6487" w:type="dxa"/>
            <w:vMerge/>
          </w:tcPr>
          <w:p w:rsidR="00947A04" w:rsidRDefault="00947A04" w:rsidP="00947A04">
            <w:pPr>
              <w:spacing w:before="60"/>
              <w:jc w:val="center"/>
              <w:rPr>
                <w:b/>
                <w:smallCaps/>
                <w:sz w:val="32"/>
                <w:lang w:eastAsia="zh-CN"/>
              </w:rPr>
            </w:pPr>
            <w:bookmarkStart w:id="4" w:name="dorlang" w:colFirst="1" w:colLast="1"/>
            <w:bookmarkEnd w:id="3"/>
          </w:p>
        </w:tc>
        <w:tc>
          <w:tcPr>
            <w:tcW w:w="3402" w:type="dxa"/>
          </w:tcPr>
          <w:p w:rsidR="00947A04" w:rsidRPr="00E35520" w:rsidRDefault="00947A04" w:rsidP="00947A04">
            <w:pPr>
              <w:shd w:val="solid" w:color="FFFFFF" w:fill="FFFFFF"/>
              <w:spacing w:before="0" w:line="240" w:lineRule="atLeast"/>
              <w:rPr>
                <w:rFonts w:ascii="Verdana" w:hAnsi="Verdana"/>
                <w:sz w:val="20"/>
                <w:lang w:eastAsia="zh-CN"/>
              </w:rPr>
            </w:pPr>
            <w:r w:rsidRPr="0001792D">
              <w:rPr>
                <w:rFonts w:ascii="Verdana" w:eastAsia="Verdana" w:hAnsi="Verdana" w:cs="Verdana"/>
                <w:b/>
                <w:sz w:val="20"/>
              </w:rPr>
              <w:t>English only</w:t>
            </w:r>
            <w:r w:rsidRPr="0001792D">
              <w:rPr>
                <w:rFonts w:ascii="Verdana" w:eastAsia="Verdana" w:hAnsi="Verdana" w:cs="Verdana"/>
                <w:b/>
                <w:sz w:val="20"/>
              </w:rPr>
              <w:br/>
            </w:r>
            <w:r w:rsidRPr="0001792D">
              <w:rPr>
                <w:rFonts w:ascii="Verdana" w:eastAsia="Verdana" w:hAnsi="Verdana" w:cs="Verdana"/>
                <w:b/>
                <w:sz w:val="20"/>
              </w:rPr>
              <w:br/>
              <w:t>TECHNOLOGY ASPECTS</w:t>
            </w:r>
          </w:p>
        </w:tc>
      </w:tr>
      <w:tr w:rsidR="00947A04" w:rsidTr="00D046A7">
        <w:trPr>
          <w:cantSplit/>
        </w:trPr>
        <w:tc>
          <w:tcPr>
            <w:tcW w:w="9889" w:type="dxa"/>
            <w:gridSpan w:val="2"/>
          </w:tcPr>
          <w:p w:rsidR="00947A04" w:rsidRDefault="00947A04" w:rsidP="00947A04">
            <w:pPr>
              <w:pStyle w:val="Source"/>
              <w:rPr>
                <w:lang w:eastAsia="zh-CN"/>
              </w:rPr>
            </w:pPr>
            <w:bookmarkStart w:id="5" w:name="dsource" w:colFirst="0" w:colLast="0"/>
            <w:bookmarkEnd w:id="4"/>
            <w:r w:rsidRPr="0001792D">
              <w:rPr>
                <w:color w:val="000000"/>
                <w:szCs w:val="28"/>
              </w:rPr>
              <w:t>Wireless World Research Forum</w:t>
            </w:r>
          </w:p>
        </w:tc>
      </w:tr>
      <w:tr w:rsidR="00947A04" w:rsidTr="00D046A7">
        <w:trPr>
          <w:cantSplit/>
        </w:trPr>
        <w:tc>
          <w:tcPr>
            <w:tcW w:w="9889" w:type="dxa"/>
            <w:gridSpan w:val="2"/>
          </w:tcPr>
          <w:p w:rsidR="00947A04" w:rsidRDefault="00947A04" w:rsidP="00EE104D">
            <w:pPr>
              <w:pStyle w:val="Title1"/>
              <w:rPr>
                <w:lang w:eastAsia="zh-CN"/>
              </w:rPr>
            </w:pPr>
            <w:bookmarkStart w:id="6" w:name="drec" w:colFirst="0" w:colLast="0"/>
            <w:bookmarkEnd w:id="5"/>
            <w:r w:rsidRPr="0001792D">
              <w:t>Evaluation Report on the Candidate Technology Submission For IMT-2020 “EUHT” As Part of the Re-engagement in Step 4 Evaluation</w:t>
            </w:r>
          </w:p>
        </w:tc>
      </w:tr>
      <w:tr w:rsidR="00947A04" w:rsidTr="00D046A7">
        <w:trPr>
          <w:cantSplit/>
        </w:trPr>
        <w:tc>
          <w:tcPr>
            <w:tcW w:w="9889" w:type="dxa"/>
            <w:gridSpan w:val="2"/>
          </w:tcPr>
          <w:p w:rsidR="00947A04" w:rsidRDefault="00947A04" w:rsidP="00947A04">
            <w:pPr>
              <w:pStyle w:val="Title1"/>
              <w:rPr>
                <w:lang w:eastAsia="zh-CN"/>
              </w:rPr>
            </w:pPr>
            <w:bookmarkStart w:id="7" w:name="dtitle1" w:colFirst="0" w:colLast="0"/>
            <w:bookmarkEnd w:id="6"/>
          </w:p>
        </w:tc>
      </w:tr>
    </w:tbl>
    <w:p w:rsidR="00947A04" w:rsidRPr="0001792D" w:rsidRDefault="00947A04" w:rsidP="00CF7A66">
      <w:pPr>
        <w:jc w:val="both"/>
      </w:pPr>
      <w:bookmarkStart w:id="8" w:name="dbreak"/>
      <w:bookmarkEnd w:id="7"/>
      <w:bookmarkEnd w:id="8"/>
      <w:r w:rsidRPr="0001792D">
        <w:t>This contribution contains the evaluation report from the Independent Evaluation Group Wireless World Research Forum (WWRF) for EUHT, IMT-2020/17 Submission. Following the finalisation of Step 7 in the IMT-2020 Process, EUHT submission evaluation was granted an extension in the IMT-2020 Process, for re-engagement and re-evaluation.</w:t>
      </w:r>
    </w:p>
    <w:p w:rsidR="00947A04" w:rsidRPr="0001792D" w:rsidRDefault="00947A04" w:rsidP="00947A04">
      <w:pPr>
        <w:spacing w:line="360" w:lineRule="auto"/>
        <w:jc w:val="both"/>
      </w:pPr>
      <w:r w:rsidRPr="0001792D">
        <w:t xml:space="preserve">The evaluation is </w:t>
      </w:r>
      <w:r w:rsidRPr="00C758AC">
        <w:t xml:space="preserve">based on the characteristics defined in </w:t>
      </w:r>
      <w:r w:rsidR="00C6633A" w:rsidRPr="00C758AC">
        <w:t xml:space="preserve">Reports </w:t>
      </w:r>
      <w:r w:rsidRPr="00C758AC">
        <w:t xml:space="preserve">ITU-R </w:t>
      </w:r>
      <w:hyperlink r:id="rId9" w:history="1">
        <w:r w:rsidRPr="00C6633A">
          <w:rPr>
            <w:rStyle w:val="Hyperlink"/>
          </w:rPr>
          <w:t>M.2410</w:t>
        </w:r>
      </w:hyperlink>
      <w:r w:rsidRPr="00C758AC">
        <w:t xml:space="preserve"> [1], </w:t>
      </w:r>
      <w:hyperlink r:id="rId10" w:history="1">
        <w:r w:rsidRPr="00C6633A">
          <w:rPr>
            <w:rStyle w:val="Hyperlink"/>
          </w:rPr>
          <w:t>M.2411</w:t>
        </w:r>
      </w:hyperlink>
      <w:r w:rsidRPr="00C758AC">
        <w:t xml:space="preserve"> [2] and </w:t>
      </w:r>
      <w:hyperlink r:id="rId11" w:history="1">
        <w:r w:rsidRPr="00C6633A">
          <w:rPr>
            <w:rStyle w:val="Hyperlink"/>
          </w:rPr>
          <w:t>M.2412</w:t>
        </w:r>
      </w:hyperlink>
      <w:r w:rsidRPr="00C758AC">
        <w:t xml:space="preserve"> [2] using a</w:t>
      </w:r>
      <w:r w:rsidRPr="0001792D">
        <w:t xml:space="preserve"> methodology described in Report ITU-R M.2412-0</w:t>
      </w:r>
      <w:r>
        <w:t xml:space="preserve"> [3]</w:t>
      </w:r>
      <w:r w:rsidRPr="0001792D">
        <w:t>.</w:t>
      </w:r>
    </w:p>
    <w:p w:rsidR="00947A04" w:rsidRPr="0001792D" w:rsidRDefault="00947A04" w:rsidP="00947A04">
      <w:pPr>
        <w:jc w:val="both"/>
      </w:pPr>
      <w:r w:rsidRPr="0001792D">
        <w:t>The report is organized as follows:</w:t>
      </w:r>
    </w:p>
    <w:p w:rsidR="00947A04" w:rsidRPr="0001792D" w:rsidRDefault="00947A04" w:rsidP="00947A04">
      <w:pPr>
        <w:spacing w:before="240" w:after="240"/>
        <w:rPr>
          <w:rFonts w:eastAsia="Arial"/>
          <w:color w:val="000000"/>
        </w:rPr>
      </w:pPr>
      <w:r w:rsidRPr="0001792D">
        <w:rPr>
          <w:rFonts w:eastAsia="Arial"/>
          <w:color w:val="000000"/>
        </w:rPr>
        <w:t>•</w:t>
      </w:r>
      <w:r w:rsidRPr="0001792D">
        <w:rPr>
          <w:rFonts w:eastAsia="Arial"/>
          <w:color w:val="000000"/>
        </w:rPr>
        <w:tab/>
        <w:t>Part I: Administrative Aspects of the WWRF</w:t>
      </w:r>
    </w:p>
    <w:p w:rsidR="00947A04" w:rsidRPr="0001792D" w:rsidRDefault="00947A04" w:rsidP="00947A04">
      <w:pPr>
        <w:spacing w:before="240" w:after="240"/>
        <w:rPr>
          <w:rFonts w:eastAsia="Arial"/>
          <w:color w:val="000000"/>
        </w:rPr>
      </w:pPr>
      <w:r w:rsidRPr="0001792D">
        <w:rPr>
          <w:rFonts w:eastAsia="Arial"/>
          <w:color w:val="000000"/>
        </w:rPr>
        <w:t>•</w:t>
      </w:r>
      <w:r w:rsidRPr="0001792D">
        <w:rPr>
          <w:rFonts w:eastAsia="Arial"/>
          <w:color w:val="000000"/>
        </w:rPr>
        <w:tab/>
        <w:t>Part II: Technical Aspects of the work of WWRF</w:t>
      </w:r>
    </w:p>
    <w:p w:rsidR="00947A04" w:rsidRPr="0001792D" w:rsidRDefault="00947A04" w:rsidP="00947A04">
      <w:pPr>
        <w:spacing w:before="240" w:after="240"/>
        <w:rPr>
          <w:rFonts w:eastAsia="Arial"/>
          <w:color w:val="000000"/>
        </w:rPr>
      </w:pPr>
      <w:r w:rsidRPr="0001792D">
        <w:rPr>
          <w:rFonts w:eastAsia="Arial"/>
          <w:color w:val="000000"/>
        </w:rPr>
        <w:t>•</w:t>
      </w:r>
      <w:r w:rsidRPr="0001792D">
        <w:rPr>
          <w:rFonts w:eastAsia="Arial"/>
          <w:color w:val="000000"/>
        </w:rPr>
        <w:tab/>
        <w:t>Part III: Conclusions</w:t>
      </w:r>
    </w:p>
    <w:p w:rsidR="0097494F" w:rsidRDefault="0097494F">
      <w:pPr>
        <w:tabs>
          <w:tab w:val="clear" w:pos="1134"/>
          <w:tab w:val="clear" w:pos="1871"/>
          <w:tab w:val="clear" w:pos="2268"/>
        </w:tabs>
        <w:overflowPunct/>
        <w:autoSpaceDE/>
        <w:autoSpaceDN/>
        <w:adjustRightInd/>
        <w:spacing w:before="0"/>
        <w:textAlignment w:val="auto"/>
        <w:rPr>
          <w:caps/>
          <w:sz w:val="28"/>
        </w:rPr>
      </w:pPr>
      <w:r>
        <w:br w:type="page"/>
      </w:r>
    </w:p>
    <w:p w:rsidR="004820DC" w:rsidRDefault="004820DC" w:rsidP="0097494F">
      <w:pPr>
        <w:pStyle w:val="PartNo"/>
      </w:pPr>
      <w:r w:rsidRPr="0001792D">
        <w:t>Part I:</w:t>
      </w:r>
      <w:r>
        <w:t xml:space="preserve"> </w:t>
      </w:r>
      <w:r w:rsidRPr="0001792D">
        <w:t xml:space="preserve">Administrative aspects of the Independent </w:t>
      </w:r>
      <w:r w:rsidR="0097494F">
        <w:br/>
      </w:r>
      <w:r w:rsidRPr="0001792D">
        <w:t>Evaluation Group</w:t>
      </w:r>
    </w:p>
    <w:p w:rsidR="00947A04" w:rsidRPr="0001792D" w:rsidRDefault="00947A04" w:rsidP="00947A04">
      <w:pPr>
        <w:pStyle w:val="Heading1"/>
        <w:rPr>
          <w:b w:val="0"/>
          <w:color w:val="000000"/>
          <w:szCs w:val="28"/>
        </w:rPr>
      </w:pPr>
      <w:r w:rsidRPr="0001792D">
        <w:rPr>
          <w:color w:val="000000"/>
          <w:szCs w:val="28"/>
        </w:rPr>
        <w:t>I-1</w:t>
      </w:r>
      <w:r w:rsidRPr="0001792D">
        <w:rPr>
          <w:color w:val="000000"/>
          <w:szCs w:val="28"/>
        </w:rPr>
        <w:tab/>
        <w:t>Name of the Independent Evaluation Group (IEG)</w:t>
      </w:r>
    </w:p>
    <w:p w:rsidR="00947A04" w:rsidRPr="0001792D" w:rsidRDefault="00947A04" w:rsidP="00C758AC">
      <w:r w:rsidRPr="0001792D">
        <w:t>Wireless World Research Forum (WWRF).</w:t>
      </w:r>
    </w:p>
    <w:p w:rsidR="00947A04" w:rsidRPr="0001792D" w:rsidRDefault="00947A04" w:rsidP="00947A04">
      <w:pPr>
        <w:pStyle w:val="Heading1"/>
        <w:rPr>
          <w:b w:val="0"/>
          <w:color w:val="000000"/>
          <w:szCs w:val="28"/>
        </w:rPr>
      </w:pPr>
      <w:r w:rsidRPr="0001792D">
        <w:rPr>
          <w:color w:val="000000"/>
          <w:szCs w:val="28"/>
        </w:rPr>
        <w:t>I-2</w:t>
      </w:r>
      <w:r w:rsidRPr="0001792D">
        <w:rPr>
          <w:color w:val="000000"/>
          <w:szCs w:val="28"/>
        </w:rPr>
        <w:tab/>
        <w:t>Introduction and background of the Independent Evaluation Group</w:t>
      </w:r>
    </w:p>
    <w:p w:rsidR="00947A04" w:rsidRPr="0001792D" w:rsidRDefault="00947A04" w:rsidP="00C758AC">
      <w:pPr>
        <w:jc w:val="both"/>
      </w:pPr>
      <w:r w:rsidRPr="0001792D">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rsidR="00947A04" w:rsidRPr="0001792D" w:rsidRDefault="00947A04" w:rsidP="00C758AC">
      <w:pPr>
        <w:jc w:val="both"/>
      </w:pPr>
      <w:r w:rsidRPr="0001792D">
        <w:t xml:space="preserve">Over the last ten years, WWRF has championed several activities focused on the wireless evolution to and beyond 5G, including workshops and special sessions, presentations, white papers, and journal special issues. WWRF has been very supportive of the ITU’s evaluation process for </w:t>
      </w:r>
      <w:r w:rsidR="00C758AC">
        <w:br/>
      </w:r>
      <w:r w:rsidRPr="0001792D">
        <w:t>IMT-2020 and participates as an independent evaluation group (IEG).</w:t>
      </w:r>
    </w:p>
    <w:p w:rsidR="00947A04" w:rsidRPr="0001792D" w:rsidRDefault="00947A04" w:rsidP="00C758AC">
      <w:pPr>
        <w:pStyle w:val="Heading1"/>
      </w:pPr>
      <w:r w:rsidRPr="0001792D">
        <w:t>I-3</w:t>
      </w:r>
      <w:r w:rsidRPr="0001792D">
        <w:tab/>
        <w:t>Method of work</w:t>
      </w:r>
    </w:p>
    <w:p w:rsidR="00947A04" w:rsidRPr="0001792D" w:rsidRDefault="00947A04" w:rsidP="00947A04">
      <w:pPr>
        <w:pStyle w:val="Heading2"/>
        <w:rPr>
          <w:szCs w:val="24"/>
        </w:rPr>
      </w:pPr>
      <w:r w:rsidRPr="0001792D">
        <w:rPr>
          <w:szCs w:val="24"/>
        </w:rPr>
        <w:t>I-3-1</w:t>
      </w:r>
      <w:r w:rsidRPr="0001792D">
        <w:rPr>
          <w:szCs w:val="24"/>
        </w:rPr>
        <w:tab/>
        <w:t>Background</w:t>
      </w:r>
    </w:p>
    <w:p w:rsidR="00947A04" w:rsidRPr="0001792D" w:rsidRDefault="00947A04" w:rsidP="00947A04">
      <w:pPr>
        <w:spacing w:before="240" w:after="240"/>
        <w:jc w:val="both"/>
        <w:rPr>
          <w:rFonts w:eastAsia="Arial"/>
          <w:color w:val="000000"/>
        </w:rPr>
      </w:pPr>
      <w:r w:rsidRPr="0001792D">
        <w:rPr>
          <w:rFonts w:eastAsia="Arial"/>
          <w:color w:val="000000" w:themeColor="text1"/>
        </w:rPr>
        <w:t>The step 4 of IMT-2020 evaluation process was conducted to identify if the candidate RIT met the requirements set by the ITU. However, the step 4 didn’t conclude the decision-making process and an extension was agreed upon, where the steps 4-7 will be carried out to ascertain if the RIT meets the ITU requirements.</w:t>
      </w:r>
    </w:p>
    <w:p w:rsidR="00947A04" w:rsidRPr="0001792D" w:rsidRDefault="00947A04" w:rsidP="00947A04">
      <w:pPr>
        <w:pStyle w:val="Heading2"/>
        <w:rPr>
          <w:szCs w:val="24"/>
        </w:rPr>
      </w:pPr>
      <w:r w:rsidRPr="0001792D">
        <w:rPr>
          <w:szCs w:val="24"/>
        </w:rPr>
        <w:t>I-3-2</w:t>
      </w:r>
      <w:r w:rsidRPr="0001792D">
        <w:rPr>
          <w:szCs w:val="24"/>
        </w:rPr>
        <w:tab/>
        <w:t>Organizational Issues</w:t>
      </w:r>
    </w:p>
    <w:p w:rsidR="00947A04" w:rsidRPr="0001792D" w:rsidRDefault="00947A04" w:rsidP="00947A04">
      <w:r w:rsidRPr="0001792D">
        <w:t>The work was organized using the following channels:</w:t>
      </w:r>
    </w:p>
    <w:p w:rsidR="00947A04" w:rsidRPr="0001792D" w:rsidRDefault="004820DC" w:rsidP="004820DC">
      <w:pPr>
        <w:pStyle w:val="enumlev1"/>
      </w:pPr>
      <w:r>
        <w:t>1</w:t>
      </w:r>
      <w:r>
        <w:tab/>
      </w:r>
      <w:r w:rsidR="00947A04" w:rsidRPr="0001792D">
        <w:t>Regular online meetings of the steering board</w:t>
      </w:r>
    </w:p>
    <w:p w:rsidR="00947A04" w:rsidRPr="0001792D" w:rsidRDefault="004820DC" w:rsidP="004820DC">
      <w:pPr>
        <w:pStyle w:val="enumlev1"/>
      </w:pPr>
      <w:r>
        <w:t>2</w:t>
      </w:r>
      <w:r>
        <w:tab/>
      </w:r>
      <w:r w:rsidR="00947A04" w:rsidRPr="0001792D">
        <w:t>Weekly meetings of the technical team</w:t>
      </w:r>
    </w:p>
    <w:p w:rsidR="00947A04" w:rsidRPr="0001792D" w:rsidRDefault="004820DC" w:rsidP="004820DC">
      <w:pPr>
        <w:pStyle w:val="enumlev1"/>
      </w:pPr>
      <w:r>
        <w:t>3</w:t>
      </w:r>
      <w:r>
        <w:tab/>
      </w:r>
      <w:r w:rsidR="00947A04" w:rsidRPr="0001792D">
        <w:t>File sharing through secure shared space</w:t>
      </w:r>
    </w:p>
    <w:p w:rsidR="00947A04" w:rsidRPr="0001792D" w:rsidRDefault="004820DC" w:rsidP="004820DC">
      <w:pPr>
        <w:pStyle w:val="enumlev1"/>
      </w:pPr>
      <w:r>
        <w:t>4</w:t>
      </w:r>
      <w:r>
        <w:tab/>
      </w:r>
      <w:r w:rsidR="00947A04" w:rsidRPr="0001792D">
        <w:t>Workshops/Seminars organised by the WWRF</w:t>
      </w:r>
    </w:p>
    <w:p w:rsidR="00947A04" w:rsidRPr="0001792D" w:rsidRDefault="004820DC" w:rsidP="004820DC">
      <w:pPr>
        <w:pStyle w:val="enumlev1"/>
      </w:pPr>
      <w:r>
        <w:t>5</w:t>
      </w:r>
      <w:r>
        <w:tab/>
      </w:r>
      <w:r w:rsidR="00947A04" w:rsidRPr="0001792D">
        <w:t>Monitoring of the ITU Discussion Forum</w:t>
      </w:r>
    </w:p>
    <w:p w:rsidR="00947A04" w:rsidRPr="0001792D" w:rsidRDefault="00947A04" w:rsidP="00C758AC">
      <w:pPr>
        <w:pStyle w:val="Heading1"/>
      </w:pPr>
      <w:r w:rsidRPr="0001792D">
        <w:t>I-4</w:t>
      </w:r>
      <w:r w:rsidRPr="0001792D">
        <w:tab/>
        <w:t>Administrative contact details</w:t>
      </w:r>
    </w:p>
    <w:p w:rsidR="00947A04" w:rsidRPr="0001792D" w:rsidRDefault="00947A04" w:rsidP="00947A04">
      <w:r w:rsidRPr="0001792D">
        <w:rPr>
          <w:b/>
          <w:bCs/>
        </w:rPr>
        <w:t>Name &amp; Affiliation:</w:t>
      </w:r>
      <w:r w:rsidRPr="0001792D">
        <w:t xml:space="preserve"> Dr Nigel Jefferies, WWRF Chairman.</w:t>
      </w:r>
    </w:p>
    <w:p w:rsidR="00947A04" w:rsidRPr="0001792D" w:rsidRDefault="00947A04" w:rsidP="00947A04">
      <w:r w:rsidRPr="0001792D">
        <w:rPr>
          <w:b/>
          <w:bCs/>
        </w:rPr>
        <w:t>Email:</w:t>
      </w:r>
      <w:r w:rsidRPr="0001792D">
        <w:t xml:space="preserve"> </w:t>
      </w:r>
      <w:hyperlink r:id="rId12">
        <w:r w:rsidRPr="0001792D">
          <w:rPr>
            <w:color w:val="0000FF"/>
            <w:u w:val="single"/>
          </w:rPr>
          <w:t>chairman@wwrf.ch</w:t>
        </w:r>
      </w:hyperlink>
    </w:p>
    <w:p w:rsidR="00947A04" w:rsidRPr="0001792D" w:rsidRDefault="00947A04" w:rsidP="00C6633A">
      <w:pPr>
        <w:pStyle w:val="Heading1"/>
        <w:spacing w:after="120"/>
      </w:pPr>
      <w:r w:rsidRPr="0001792D">
        <w:t>I-5</w:t>
      </w:r>
      <w:r w:rsidRPr="0001792D">
        <w:tab/>
        <w:t>Technical contact details</w:t>
      </w:r>
    </w:p>
    <w:tbl>
      <w:tblPr>
        <w:tblStyle w:val="PlainTable2"/>
        <w:tblW w:w="10075" w:type="dxa"/>
        <w:tblBorders>
          <w:top w:val="none" w:sz="0" w:space="0" w:color="auto"/>
          <w:bottom w:val="none" w:sz="0" w:space="0" w:color="auto"/>
        </w:tblBorders>
        <w:tblLayout w:type="fixed"/>
        <w:tblLook w:val="0400" w:firstRow="0" w:lastRow="0" w:firstColumn="0" w:lastColumn="0" w:noHBand="0" w:noVBand="1"/>
      </w:tblPr>
      <w:tblGrid>
        <w:gridCol w:w="2735"/>
        <w:gridCol w:w="3799"/>
        <w:gridCol w:w="3541"/>
      </w:tblGrid>
      <w:tr w:rsidR="00947A04" w:rsidRPr="0001792D" w:rsidTr="00C01B2B">
        <w:trPr>
          <w:cnfStyle w:val="000000100000" w:firstRow="0" w:lastRow="0" w:firstColumn="0" w:lastColumn="0" w:oddVBand="0" w:evenVBand="0" w:oddHBand="1" w:evenHBand="0" w:firstRowFirstColumn="0" w:firstRowLastColumn="0" w:lastRowFirstColumn="0" w:lastRowLastColumn="0"/>
          <w:trHeight w:val="427"/>
        </w:trPr>
        <w:tc>
          <w:tcPr>
            <w:tcW w:w="2735" w:type="dxa"/>
          </w:tcPr>
          <w:p w:rsidR="00947A04" w:rsidRPr="00D41C9B" w:rsidRDefault="00EB289F" w:rsidP="00C01B2B">
            <w:pPr>
              <w:ind w:right="95"/>
              <w:rPr>
                <w:rFonts w:cs="Times New Roman"/>
                <w:b/>
                <w:bCs/>
              </w:rPr>
            </w:pPr>
            <w:hyperlink r:id="rId13">
              <w:r w:rsidR="00947A04" w:rsidRPr="00D41C9B">
                <w:rPr>
                  <w:rFonts w:cs="Times New Roman"/>
                  <w:b/>
                  <w:bCs/>
                  <w:color w:val="000000"/>
                </w:rPr>
                <w:t>Name</w:t>
              </w:r>
            </w:hyperlink>
          </w:p>
        </w:tc>
        <w:tc>
          <w:tcPr>
            <w:tcW w:w="3799" w:type="dxa"/>
          </w:tcPr>
          <w:p w:rsidR="00947A04" w:rsidRPr="00D41C9B" w:rsidRDefault="00947A04" w:rsidP="00C01B2B">
            <w:pPr>
              <w:ind w:right="95"/>
              <w:rPr>
                <w:rFonts w:cs="Times New Roman"/>
                <w:b/>
                <w:bCs/>
                <w:color w:val="000000"/>
              </w:rPr>
            </w:pPr>
            <w:r w:rsidRPr="00D41C9B">
              <w:rPr>
                <w:rFonts w:cs="Times New Roman"/>
                <w:b/>
                <w:bCs/>
                <w:color w:val="000000"/>
              </w:rPr>
              <w:t>Affiliation</w:t>
            </w:r>
          </w:p>
        </w:tc>
        <w:tc>
          <w:tcPr>
            <w:tcW w:w="3541" w:type="dxa"/>
          </w:tcPr>
          <w:p w:rsidR="00947A04" w:rsidRPr="00D41C9B" w:rsidRDefault="00947A04" w:rsidP="00C01B2B">
            <w:pPr>
              <w:ind w:right="95"/>
              <w:rPr>
                <w:rFonts w:cs="Times New Roman"/>
                <w:b/>
                <w:bCs/>
                <w:color w:val="000000"/>
              </w:rPr>
            </w:pPr>
            <w:r w:rsidRPr="00D41C9B">
              <w:rPr>
                <w:rFonts w:cs="Times New Roman"/>
                <w:b/>
                <w:bCs/>
                <w:color w:val="000000"/>
              </w:rPr>
              <w:t>e-mail</w:t>
            </w:r>
          </w:p>
        </w:tc>
      </w:tr>
      <w:tr w:rsidR="00947A04" w:rsidRPr="0001792D" w:rsidTr="00C01B2B">
        <w:trPr>
          <w:trHeight w:val="415"/>
        </w:trPr>
        <w:tc>
          <w:tcPr>
            <w:tcW w:w="2735" w:type="dxa"/>
          </w:tcPr>
          <w:p w:rsidR="00947A04" w:rsidRPr="0001792D" w:rsidRDefault="00947A04" w:rsidP="00C01B2B">
            <w:pPr>
              <w:ind w:right="95"/>
              <w:rPr>
                <w:rFonts w:cs="Times New Roman"/>
              </w:rPr>
            </w:pPr>
            <w:r w:rsidRPr="0001792D">
              <w:rPr>
                <w:rFonts w:cs="Times New Roman"/>
              </w:rPr>
              <w:t xml:space="preserve">Prof. Christos </w:t>
            </w:r>
            <w:proofErr w:type="spellStart"/>
            <w:r w:rsidRPr="0001792D">
              <w:rPr>
                <w:rFonts w:cs="Times New Roman"/>
              </w:rPr>
              <w:t>Politis</w:t>
            </w:r>
            <w:proofErr w:type="spellEnd"/>
          </w:p>
        </w:tc>
        <w:tc>
          <w:tcPr>
            <w:tcW w:w="3799" w:type="dxa"/>
          </w:tcPr>
          <w:p w:rsidR="00947A04" w:rsidRPr="0001792D" w:rsidRDefault="00947A04" w:rsidP="00C01B2B">
            <w:pPr>
              <w:ind w:right="95"/>
              <w:rPr>
                <w:rFonts w:cs="Times New Roman"/>
                <w:color w:val="000000"/>
                <w:u w:val="single"/>
              </w:rPr>
            </w:pPr>
            <w:r w:rsidRPr="0001792D">
              <w:rPr>
                <w:rFonts w:cs="Times New Roman"/>
                <w:color w:val="000000"/>
                <w:u w:val="single"/>
              </w:rPr>
              <w:t>Kingston University, UK</w:t>
            </w:r>
          </w:p>
        </w:tc>
        <w:tc>
          <w:tcPr>
            <w:tcW w:w="3541" w:type="dxa"/>
          </w:tcPr>
          <w:p w:rsidR="00947A04" w:rsidRPr="0001792D" w:rsidRDefault="00EB289F" w:rsidP="00C01B2B">
            <w:pPr>
              <w:ind w:right="95"/>
              <w:rPr>
                <w:rFonts w:cs="Times New Roman"/>
              </w:rPr>
            </w:pPr>
            <w:hyperlink r:id="rId14">
              <w:r w:rsidR="00947A04" w:rsidRPr="0001792D">
                <w:rPr>
                  <w:rFonts w:cs="Times New Roman"/>
                  <w:color w:val="1155CC"/>
                  <w:u w:val="single"/>
                </w:rPr>
                <w:t>c.politis@kingston.ac.uk</w:t>
              </w:r>
            </w:hyperlink>
          </w:p>
        </w:tc>
      </w:tr>
      <w:tr w:rsidR="00947A04" w:rsidRPr="0001792D" w:rsidTr="00C01B2B">
        <w:trPr>
          <w:cnfStyle w:val="000000100000" w:firstRow="0" w:lastRow="0" w:firstColumn="0" w:lastColumn="0" w:oddVBand="0" w:evenVBand="0" w:oddHBand="1" w:evenHBand="0" w:firstRowFirstColumn="0" w:firstRowLastColumn="0" w:lastRowFirstColumn="0" w:lastRowLastColumn="0"/>
          <w:trHeight w:val="427"/>
        </w:trPr>
        <w:tc>
          <w:tcPr>
            <w:tcW w:w="2735" w:type="dxa"/>
          </w:tcPr>
          <w:p w:rsidR="00947A04" w:rsidRPr="0001792D" w:rsidRDefault="00947A04" w:rsidP="00C01B2B">
            <w:pPr>
              <w:ind w:right="95"/>
              <w:rPr>
                <w:rFonts w:cs="Times New Roman"/>
              </w:rPr>
            </w:pPr>
            <w:proofErr w:type="spellStart"/>
            <w:r w:rsidRPr="0001792D">
              <w:rPr>
                <w:rFonts w:cs="Times New Roman"/>
              </w:rPr>
              <w:t>Dr.</w:t>
            </w:r>
            <w:proofErr w:type="spellEnd"/>
            <w:r w:rsidRPr="0001792D">
              <w:rPr>
                <w:rFonts w:cs="Times New Roman"/>
              </w:rPr>
              <w:t xml:space="preserve"> </w:t>
            </w:r>
            <w:proofErr w:type="spellStart"/>
            <w:r w:rsidRPr="0001792D">
              <w:rPr>
                <w:rFonts w:cs="Times New Roman"/>
              </w:rPr>
              <w:t>Rafay</w:t>
            </w:r>
            <w:proofErr w:type="spellEnd"/>
            <w:r w:rsidRPr="0001792D">
              <w:rPr>
                <w:rFonts w:cs="Times New Roman"/>
              </w:rPr>
              <w:t xml:space="preserve"> Iqbal Ansari</w:t>
            </w:r>
          </w:p>
        </w:tc>
        <w:tc>
          <w:tcPr>
            <w:tcW w:w="3799" w:type="dxa"/>
          </w:tcPr>
          <w:p w:rsidR="00947A04" w:rsidRPr="0001792D" w:rsidRDefault="00947A04" w:rsidP="00C01B2B">
            <w:pPr>
              <w:ind w:right="95"/>
              <w:rPr>
                <w:rFonts w:cs="Times New Roman"/>
                <w:color w:val="000000"/>
                <w:u w:val="single"/>
              </w:rPr>
            </w:pPr>
            <w:r w:rsidRPr="0001792D">
              <w:rPr>
                <w:rFonts w:cs="Times New Roman"/>
                <w:u w:val="single"/>
              </w:rPr>
              <w:t>Kingston University, UK</w:t>
            </w:r>
          </w:p>
        </w:tc>
        <w:tc>
          <w:tcPr>
            <w:tcW w:w="3541" w:type="dxa"/>
          </w:tcPr>
          <w:p w:rsidR="00947A04" w:rsidRPr="0001792D" w:rsidRDefault="00EB289F" w:rsidP="00C01B2B">
            <w:pPr>
              <w:ind w:right="95"/>
              <w:rPr>
                <w:rFonts w:cs="Times New Roman"/>
                <w:highlight w:val="yellow"/>
              </w:rPr>
            </w:pPr>
            <w:hyperlink r:id="rId15">
              <w:r w:rsidR="00947A04" w:rsidRPr="0001792D">
                <w:rPr>
                  <w:rFonts w:cs="Times New Roman"/>
                  <w:color w:val="1155CC"/>
                  <w:u w:val="single"/>
                </w:rPr>
                <w:t>rafay.ansari@kingston.ac.uk</w:t>
              </w:r>
            </w:hyperlink>
            <w:r w:rsidR="00947A04" w:rsidRPr="0001792D">
              <w:rPr>
                <w:rFonts w:cs="Times New Roman"/>
              </w:rPr>
              <w:t xml:space="preserve"> </w:t>
            </w:r>
          </w:p>
        </w:tc>
      </w:tr>
      <w:tr w:rsidR="00947A04" w:rsidRPr="0001792D" w:rsidTr="00C01B2B">
        <w:trPr>
          <w:trHeight w:val="415"/>
        </w:trPr>
        <w:tc>
          <w:tcPr>
            <w:tcW w:w="2735" w:type="dxa"/>
          </w:tcPr>
          <w:p w:rsidR="00947A04" w:rsidRPr="0001792D" w:rsidRDefault="00947A04" w:rsidP="00C01B2B">
            <w:pPr>
              <w:ind w:right="95"/>
              <w:rPr>
                <w:rFonts w:cs="Times New Roman"/>
              </w:rPr>
            </w:pPr>
            <w:proofErr w:type="spellStart"/>
            <w:r w:rsidRPr="0001792D">
              <w:rPr>
                <w:rFonts w:cs="Times New Roman"/>
              </w:rPr>
              <w:t>Dr.</w:t>
            </w:r>
            <w:proofErr w:type="spellEnd"/>
            <w:r w:rsidRPr="0001792D">
              <w:rPr>
                <w:rFonts w:cs="Times New Roman"/>
              </w:rPr>
              <w:t xml:space="preserve"> M Arslan Usman</w:t>
            </w:r>
          </w:p>
        </w:tc>
        <w:tc>
          <w:tcPr>
            <w:tcW w:w="3799" w:type="dxa"/>
          </w:tcPr>
          <w:p w:rsidR="00947A04" w:rsidRPr="0001792D" w:rsidRDefault="00947A04" w:rsidP="00C01B2B">
            <w:pPr>
              <w:ind w:right="95"/>
              <w:rPr>
                <w:rFonts w:cs="Times New Roman"/>
                <w:color w:val="000000"/>
                <w:u w:val="single"/>
              </w:rPr>
            </w:pPr>
            <w:r w:rsidRPr="0001792D">
              <w:rPr>
                <w:rFonts w:cs="Times New Roman"/>
                <w:color w:val="000000"/>
                <w:u w:val="single"/>
              </w:rPr>
              <w:t>Kingston University, UK</w:t>
            </w:r>
          </w:p>
        </w:tc>
        <w:tc>
          <w:tcPr>
            <w:tcW w:w="3541" w:type="dxa"/>
          </w:tcPr>
          <w:p w:rsidR="00947A04" w:rsidRPr="0001792D" w:rsidRDefault="00EB289F" w:rsidP="00C01B2B">
            <w:pPr>
              <w:ind w:right="95"/>
              <w:rPr>
                <w:rFonts w:cs="Times New Roman"/>
              </w:rPr>
            </w:pPr>
            <w:hyperlink r:id="rId16">
              <w:r w:rsidR="00947A04" w:rsidRPr="0001792D">
                <w:rPr>
                  <w:rFonts w:cs="Times New Roman"/>
                  <w:color w:val="0000FF"/>
                  <w:u w:val="single"/>
                </w:rPr>
                <w:t>m.usman@kingston.ac.uk</w:t>
              </w:r>
            </w:hyperlink>
          </w:p>
        </w:tc>
      </w:tr>
      <w:tr w:rsidR="00947A04" w:rsidRPr="0001792D" w:rsidTr="00C01B2B">
        <w:trPr>
          <w:cnfStyle w:val="000000100000" w:firstRow="0" w:lastRow="0" w:firstColumn="0" w:lastColumn="0" w:oddVBand="0" w:evenVBand="0" w:oddHBand="1" w:evenHBand="0" w:firstRowFirstColumn="0" w:firstRowLastColumn="0" w:lastRowFirstColumn="0" w:lastRowLastColumn="0"/>
          <w:trHeight w:val="427"/>
        </w:trPr>
        <w:tc>
          <w:tcPr>
            <w:tcW w:w="2735" w:type="dxa"/>
          </w:tcPr>
          <w:p w:rsidR="00947A04" w:rsidRPr="0001792D" w:rsidRDefault="00947A04" w:rsidP="00C01B2B">
            <w:pPr>
              <w:ind w:right="95"/>
              <w:rPr>
                <w:rFonts w:cs="Times New Roman"/>
              </w:rPr>
            </w:pPr>
            <w:r w:rsidRPr="0001792D">
              <w:rPr>
                <w:rFonts w:cs="Times New Roman"/>
              </w:rPr>
              <w:t xml:space="preserve">Mr. </w:t>
            </w:r>
            <w:proofErr w:type="spellStart"/>
            <w:r w:rsidRPr="0001792D">
              <w:rPr>
                <w:rFonts w:cs="Times New Roman"/>
              </w:rPr>
              <w:t>Nuwan</w:t>
            </w:r>
            <w:proofErr w:type="spellEnd"/>
            <w:r w:rsidRPr="0001792D">
              <w:rPr>
                <w:rFonts w:cs="Times New Roman"/>
              </w:rPr>
              <w:t xml:space="preserve"> </w:t>
            </w:r>
            <w:proofErr w:type="spellStart"/>
            <w:r w:rsidRPr="0001792D">
              <w:rPr>
                <w:rFonts w:cs="Times New Roman"/>
              </w:rPr>
              <w:t>Weerasinghe</w:t>
            </w:r>
            <w:proofErr w:type="spellEnd"/>
          </w:p>
        </w:tc>
        <w:tc>
          <w:tcPr>
            <w:tcW w:w="3799" w:type="dxa"/>
          </w:tcPr>
          <w:p w:rsidR="00947A04" w:rsidRPr="0001792D" w:rsidRDefault="00947A04" w:rsidP="00C01B2B">
            <w:pPr>
              <w:ind w:right="95"/>
              <w:rPr>
                <w:rFonts w:cs="Times New Roman"/>
                <w:color w:val="000000"/>
                <w:u w:val="single"/>
              </w:rPr>
            </w:pPr>
            <w:r w:rsidRPr="0001792D">
              <w:rPr>
                <w:rFonts w:cs="Times New Roman"/>
                <w:color w:val="000000"/>
                <w:u w:val="single"/>
              </w:rPr>
              <w:t>Kingston University, UK</w:t>
            </w:r>
          </w:p>
        </w:tc>
        <w:tc>
          <w:tcPr>
            <w:tcW w:w="3541" w:type="dxa"/>
          </w:tcPr>
          <w:p w:rsidR="00947A04" w:rsidRPr="0001792D" w:rsidRDefault="00EB289F" w:rsidP="00C01B2B">
            <w:pPr>
              <w:ind w:right="95"/>
              <w:rPr>
                <w:rFonts w:cs="Times New Roman"/>
              </w:rPr>
            </w:pPr>
            <w:hyperlink r:id="rId17">
              <w:r w:rsidR="00947A04" w:rsidRPr="0001792D">
                <w:rPr>
                  <w:rFonts w:cs="Times New Roman"/>
                  <w:color w:val="1155CC"/>
                  <w:u w:val="single"/>
                </w:rPr>
                <w:t>nuwan.weerasinghe@kingston.ac.uk</w:t>
              </w:r>
            </w:hyperlink>
            <w:r w:rsidR="00947A04" w:rsidRPr="0001792D">
              <w:rPr>
                <w:rFonts w:cs="Times New Roman"/>
              </w:rPr>
              <w:t xml:space="preserve"> </w:t>
            </w:r>
          </w:p>
        </w:tc>
      </w:tr>
      <w:tr w:rsidR="00947A04" w:rsidRPr="0001792D" w:rsidTr="00C01B2B">
        <w:trPr>
          <w:trHeight w:val="427"/>
        </w:trPr>
        <w:tc>
          <w:tcPr>
            <w:tcW w:w="2735" w:type="dxa"/>
          </w:tcPr>
          <w:p w:rsidR="00947A04" w:rsidRPr="0001792D" w:rsidRDefault="00947A04" w:rsidP="00C01B2B">
            <w:pPr>
              <w:ind w:right="95"/>
              <w:rPr>
                <w:rFonts w:cs="Times New Roman"/>
              </w:rPr>
            </w:pPr>
            <w:proofErr w:type="spellStart"/>
            <w:r>
              <w:rPr>
                <w:rFonts w:cs="Times New Roman"/>
              </w:rPr>
              <w:t>Dr.</w:t>
            </w:r>
            <w:proofErr w:type="spellEnd"/>
            <w:r>
              <w:rPr>
                <w:rFonts w:cs="Times New Roman"/>
              </w:rPr>
              <w:t xml:space="preserve"> </w:t>
            </w:r>
            <w:proofErr w:type="spellStart"/>
            <w:r>
              <w:rPr>
                <w:rFonts w:cs="Times New Roman"/>
              </w:rPr>
              <w:t>Yuhui</w:t>
            </w:r>
            <w:proofErr w:type="spellEnd"/>
            <w:r>
              <w:rPr>
                <w:rFonts w:cs="Times New Roman"/>
              </w:rPr>
              <w:t xml:space="preserve"> Luo</w:t>
            </w:r>
          </w:p>
        </w:tc>
        <w:tc>
          <w:tcPr>
            <w:tcW w:w="3799" w:type="dxa"/>
          </w:tcPr>
          <w:p w:rsidR="00947A04" w:rsidRPr="0001792D" w:rsidRDefault="00947A04" w:rsidP="00C01B2B">
            <w:pPr>
              <w:ind w:right="95"/>
              <w:rPr>
                <w:rFonts w:cs="Times New Roman"/>
                <w:color w:val="000000"/>
                <w:u w:val="single"/>
              </w:rPr>
            </w:pPr>
            <w:r>
              <w:rPr>
                <w:rFonts w:cs="Times New Roman"/>
                <w:color w:val="000000"/>
                <w:u w:val="single"/>
              </w:rPr>
              <w:t>National Physical Laboratory (NPL)</w:t>
            </w:r>
          </w:p>
        </w:tc>
        <w:tc>
          <w:tcPr>
            <w:tcW w:w="3541" w:type="dxa"/>
          </w:tcPr>
          <w:p w:rsidR="00947A04" w:rsidRPr="001B1570" w:rsidRDefault="00947A04" w:rsidP="00C01B2B">
            <w:pPr>
              <w:ind w:right="95"/>
              <w:rPr>
                <w:rFonts w:cs="Times New Roman"/>
                <w:color w:val="0000FF"/>
                <w:u w:val="single"/>
              </w:rPr>
            </w:pPr>
            <w:r w:rsidRPr="001B1570">
              <w:rPr>
                <w:rFonts w:cs="Times New Roman"/>
                <w:color w:val="0000FF"/>
                <w:u w:val="single"/>
              </w:rPr>
              <w:t>yuhui.luo@npl.co.uk</w:t>
            </w:r>
          </w:p>
        </w:tc>
      </w:tr>
      <w:tr w:rsidR="00947A04" w:rsidRPr="0001792D" w:rsidTr="00C01B2B">
        <w:trPr>
          <w:cnfStyle w:val="000000100000" w:firstRow="0" w:lastRow="0" w:firstColumn="0" w:lastColumn="0" w:oddVBand="0" w:evenVBand="0" w:oddHBand="1" w:evenHBand="0" w:firstRowFirstColumn="0" w:firstRowLastColumn="0" w:lastRowFirstColumn="0" w:lastRowLastColumn="0"/>
          <w:trHeight w:val="427"/>
        </w:trPr>
        <w:tc>
          <w:tcPr>
            <w:tcW w:w="2735" w:type="dxa"/>
          </w:tcPr>
          <w:p w:rsidR="00947A04" w:rsidRPr="0001792D" w:rsidRDefault="00947A04" w:rsidP="00C01B2B">
            <w:pPr>
              <w:ind w:right="95"/>
              <w:rPr>
                <w:rFonts w:cs="Times New Roman"/>
              </w:rPr>
            </w:pPr>
            <w:proofErr w:type="spellStart"/>
            <w:r>
              <w:rPr>
                <w:rFonts w:cs="Times New Roman"/>
              </w:rPr>
              <w:t>Dr.</w:t>
            </w:r>
            <w:proofErr w:type="spellEnd"/>
            <w:r>
              <w:rPr>
                <w:rFonts w:cs="Times New Roman"/>
              </w:rPr>
              <w:t xml:space="preserve"> </w:t>
            </w:r>
            <w:proofErr w:type="spellStart"/>
            <w:r>
              <w:rPr>
                <w:rFonts w:cs="Times New Roman"/>
              </w:rPr>
              <w:t>Yungsong</w:t>
            </w:r>
            <w:proofErr w:type="spellEnd"/>
            <w:r>
              <w:rPr>
                <w:rFonts w:cs="Times New Roman"/>
              </w:rPr>
              <w:t xml:space="preserve"> </w:t>
            </w:r>
            <w:proofErr w:type="spellStart"/>
            <w:r>
              <w:rPr>
                <w:rFonts w:cs="Times New Roman"/>
              </w:rPr>
              <w:t>Gui</w:t>
            </w:r>
            <w:proofErr w:type="spellEnd"/>
          </w:p>
        </w:tc>
        <w:tc>
          <w:tcPr>
            <w:tcW w:w="3799" w:type="dxa"/>
          </w:tcPr>
          <w:p w:rsidR="00947A04" w:rsidRPr="0001792D" w:rsidRDefault="00947A04" w:rsidP="00C01B2B">
            <w:pPr>
              <w:ind w:right="95"/>
              <w:rPr>
                <w:rFonts w:cs="Times New Roman"/>
                <w:color w:val="000000"/>
                <w:u w:val="single"/>
              </w:rPr>
            </w:pPr>
            <w:r>
              <w:rPr>
                <w:rFonts w:cs="Times New Roman"/>
                <w:color w:val="000000"/>
                <w:u w:val="single"/>
              </w:rPr>
              <w:t>National Physical Laboratory (NPL)</w:t>
            </w:r>
          </w:p>
        </w:tc>
        <w:tc>
          <w:tcPr>
            <w:tcW w:w="3541" w:type="dxa"/>
          </w:tcPr>
          <w:p w:rsidR="00947A04" w:rsidRPr="001B1570" w:rsidRDefault="00947A04" w:rsidP="00C01B2B">
            <w:pPr>
              <w:ind w:right="95"/>
              <w:rPr>
                <w:rFonts w:cs="Times New Roman"/>
                <w:color w:val="0000FF"/>
                <w:u w:val="single"/>
              </w:rPr>
            </w:pPr>
            <w:r w:rsidRPr="001B1570">
              <w:rPr>
                <w:rFonts w:cs="Times New Roman"/>
                <w:color w:val="0000FF"/>
                <w:u w:val="single"/>
              </w:rPr>
              <w:t>Yungsung.gui@npl.co.uk</w:t>
            </w:r>
          </w:p>
        </w:tc>
      </w:tr>
      <w:tr w:rsidR="00947A04" w:rsidRPr="0001792D" w:rsidTr="00C01B2B">
        <w:trPr>
          <w:trHeight w:val="427"/>
        </w:trPr>
        <w:tc>
          <w:tcPr>
            <w:tcW w:w="2735" w:type="dxa"/>
          </w:tcPr>
          <w:p w:rsidR="00947A04" w:rsidRPr="0001792D" w:rsidRDefault="00947A04" w:rsidP="00C01B2B">
            <w:pPr>
              <w:ind w:right="95"/>
              <w:rPr>
                <w:rFonts w:cs="Times New Roman"/>
              </w:rPr>
            </w:pPr>
            <w:proofErr w:type="spellStart"/>
            <w:r>
              <w:rPr>
                <w:rFonts w:cs="Times New Roman"/>
              </w:rPr>
              <w:t>Dr.</w:t>
            </w:r>
            <w:proofErr w:type="spellEnd"/>
            <w:r>
              <w:rPr>
                <w:rFonts w:cs="Times New Roman"/>
              </w:rPr>
              <w:t xml:space="preserve"> David Humphreys</w:t>
            </w:r>
          </w:p>
        </w:tc>
        <w:tc>
          <w:tcPr>
            <w:tcW w:w="3799" w:type="dxa"/>
          </w:tcPr>
          <w:p w:rsidR="00947A04" w:rsidRPr="0001792D" w:rsidRDefault="00947A04" w:rsidP="00C01B2B">
            <w:pPr>
              <w:ind w:right="95"/>
              <w:rPr>
                <w:rFonts w:cs="Times New Roman"/>
                <w:color w:val="000000"/>
                <w:u w:val="single"/>
              </w:rPr>
            </w:pPr>
            <w:r>
              <w:rPr>
                <w:rFonts w:cs="Times New Roman"/>
                <w:color w:val="000000"/>
                <w:u w:val="single"/>
              </w:rPr>
              <w:t>National Physical Laboratory (NPL)</w:t>
            </w:r>
          </w:p>
        </w:tc>
        <w:tc>
          <w:tcPr>
            <w:tcW w:w="3541" w:type="dxa"/>
          </w:tcPr>
          <w:p w:rsidR="00947A04" w:rsidRPr="001B1570" w:rsidRDefault="00947A04" w:rsidP="00C01B2B">
            <w:pPr>
              <w:ind w:right="95"/>
              <w:rPr>
                <w:rFonts w:cs="Times New Roman"/>
                <w:color w:val="0000FF"/>
                <w:u w:val="single"/>
              </w:rPr>
            </w:pPr>
            <w:r w:rsidRPr="001B1570">
              <w:rPr>
                <w:rFonts w:cs="Times New Roman"/>
                <w:color w:val="0000FF"/>
                <w:u w:val="single"/>
              </w:rPr>
              <w:t>david.humphreys@npl.co.uk</w:t>
            </w:r>
          </w:p>
        </w:tc>
      </w:tr>
    </w:tbl>
    <w:p w:rsidR="00EE104D" w:rsidRDefault="00EE104D" w:rsidP="00EE104D">
      <w:pPr>
        <w:pStyle w:val="Tablefin"/>
      </w:pPr>
    </w:p>
    <w:p w:rsidR="00D41C9B" w:rsidRDefault="00D41C9B" w:rsidP="0097494F">
      <w:pPr>
        <w:pStyle w:val="PartNo"/>
      </w:pPr>
    </w:p>
    <w:p w:rsidR="00947A04" w:rsidRPr="0001792D" w:rsidRDefault="00947A04" w:rsidP="0097494F">
      <w:pPr>
        <w:pStyle w:val="PartNo"/>
        <w:rPr>
          <w:rFonts w:ascii="Arial" w:eastAsia="Arial" w:hAnsi="Arial" w:cs="Arial"/>
        </w:rPr>
      </w:pPr>
      <w:r w:rsidRPr="0001792D">
        <w:t>Part II: Technical aspects of the work of the Independent Evaluation Group</w:t>
      </w:r>
    </w:p>
    <w:p w:rsidR="00947A04" w:rsidRPr="0001792D" w:rsidRDefault="00947A04" w:rsidP="00947A04">
      <w:pPr>
        <w:pStyle w:val="Heading1"/>
        <w:jc w:val="both"/>
        <w:rPr>
          <w:b w:val="0"/>
          <w:color w:val="000000"/>
          <w:szCs w:val="28"/>
        </w:rPr>
      </w:pPr>
      <w:r w:rsidRPr="0001792D">
        <w:rPr>
          <w:color w:val="000000"/>
          <w:szCs w:val="28"/>
        </w:rPr>
        <w:t>II-A</w:t>
      </w:r>
      <w:r w:rsidRPr="0001792D">
        <w:rPr>
          <w:color w:val="000000"/>
          <w:szCs w:val="28"/>
        </w:rPr>
        <w:tab/>
        <w:t>What candidate technologies or portions of the candidate technologies this IEG is or might anticipate evaluating?</w:t>
      </w:r>
    </w:p>
    <w:p w:rsidR="00947A04" w:rsidRPr="0001792D" w:rsidRDefault="00947A04" w:rsidP="00947A04">
      <w:pPr>
        <w:spacing w:before="240" w:after="240"/>
        <w:rPr>
          <w:rFonts w:eastAsia="Arial"/>
          <w:color w:val="000000"/>
        </w:rPr>
      </w:pPr>
      <w:r w:rsidRPr="0001792D">
        <w:rPr>
          <w:rFonts w:eastAsia="Arial"/>
          <w:color w:val="000000"/>
        </w:rPr>
        <w:t xml:space="preserve">The IEG has evaluated the following scenario for EUHT: </w:t>
      </w:r>
    </w:p>
    <w:p w:rsidR="00947A04" w:rsidRPr="0001792D" w:rsidRDefault="004820DC" w:rsidP="004820DC">
      <w:pPr>
        <w:pStyle w:val="enumlev1"/>
        <w:rPr>
          <w:rFonts w:eastAsia="Arial"/>
        </w:rPr>
      </w:pPr>
      <w:r w:rsidRPr="004820DC">
        <w:rPr>
          <w:rFonts w:eastAsia="Arial"/>
        </w:rPr>
        <w:t>•</w:t>
      </w:r>
      <w:r>
        <w:rPr>
          <w:rFonts w:eastAsia="Arial"/>
        </w:rPr>
        <w:tab/>
      </w:r>
      <w:r w:rsidR="00947A04" w:rsidRPr="0001792D">
        <w:rPr>
          <w:rFonts w:eastAsia="Arial"/>
        </w:rPr>
        <w:t>URLLC for urban macro environment (By Simulation)</w:t>
      </w:r>
    </w:p>
    <w:p w:rsidR="00947A04" w:rsidRPr="0001792D" w:rsidRDefault="00947A04" w:rsidP="00C758AC">
      <w:pPr>
        <w:pStyle w:val="Heading1"/>
      </w:pPr>
      <w:r w:rsidRPr="0001792D">
        <w:t>II-B</w:t>
      </w:r>
      <w:r w:rsidR="004820DC">
        <w:tab/>
      </w:r>
      <w:r w:rsidRPr="0001792D">
        <w:t xml:space="preserve"> Confirmation of utilization of the ITU-R evaluation guidelines in Report ITU-R M.2412</w:t>
      </w:r>
    </w:p>
    <w:p w:rsidR="00947A04" w:rsidRPr="00DD6850" w:rsidRDefault="00947A04" w:rsidP="00947A04">
      <w:pPr>
        <w:spacing w:before="240" w:after="240"/>
        <w:jc w:val="both"/>
      </w:pPr>
      <w:r w:rsidRPr="0001792D">
        <w:t>The IEG has followed the ITU-R evaluation guidelines and the evaluation is conducted under the light of those guidelines.</w:t>
      </w:r>
    </w:p>
    <w:p w:rsidR="00947A04" w:rsidRDefault="00947A04" w:rsidP="0097494F">
      <w:pPr>
        <w:pStyle w:val="Heading1"/>
      </w:pPr>
      <w:r w:rsidRPr="0001792D">
        <w:t>II-C</w:t>
      </w:r>
      <w:r w:rsidR="0097494F">
        <w:tab/>
      </w:r>
      <w:r w:rsidRPr="0001792D">
        <w:t>Summary of Results</w:t>
      </w:r>
    </w:p>
    <w:p w:rsidR="00947A04" w:rsidRPr="0001792D" w:rsidRDefault="00947A04" w:rsidP="00947A04">
      <w:pPr>
        <w:pStyle w:val="Heading2"/>
        <w:rPr>
          <w:szCs w:val="24"/>
        </w:rPr>
      </w:pPr>
      <w:r w:rsidRPr="0001792D">
        <w:rPr>
          <w:szCs w:val="24"/>
        </w:rPr>
        <w:t>II-</w:t>
      </w:r>
      <w:r>
        <w:rPr>
          <w:szCs w:val="24"/>
        </w:rPr>
        <w:t>C</w:t>
      </w:r>
      <w:r w:rsidRPr="0001792D">
        <w:rPr>
          <w:szCs w:val="24"/>
        </w:rPr>
        <w:t>-1</w:t>
      </w:r>
      <w:r w:rsidRPr="0001792D">
        <w:rPr>
          <w:szCs w:val="24"/>
        </w:rPr>
        <w:tab/>
      </w:r>
      <w:r>
        <w:rPr>
          <w:szCs w:val="24"/>
        </w:rPr>
        <w:t>Requirements from ITU</w:t>
      </w:r>
    </w:p>
    <w:p w:rsidR="00947A04" w:rsidRDefault="00947A04" w:rsidP="00C758AC">
      <w:pPr>
        <w:rPr>
          <w:rFonts w:eastAsia="Arial"/>
        </w:rPr>
      </w:pPr>
      <w:r>
        <w:rPr>
          <w:rFonts w:eastAsia="Arial"/>
        </w:rPr>
        <w:t>For any candidate technology, ITU has laid down t</w:t>
      </w:r>
      <w:r w:rsidRPr="00914F86">
        <w:rPr>
          <w:rFonts w:eastAsia="Arial"/>
        </w:rPr>
        <w:t>he minimum requirement</w:t>
      </w:r>
      <w:r>
        <w:rPr>
          <w:rFonts w:eastAsia="Arial"/>
        </w:rPr>
        <w:t>s</w:t>
      </w:r>
      <w:r w:rsidRPr="00914F86">
        <w:rPr>
          <w:rFonts w:eastAsia="Arial"/>
        </w:rPr>
        <w:t xml:space="preserve"> for reliability </w:t>
      </w:r>
      <w:r>
        <w:rPr>
          <w:rFonts w:eastAsia="Arial"/>
        </w:rPr>
        <w:t>i.e.,</w:t>
      </w:r>
      <w:r w:rsidRPr="00914F86">
        <w:rPr>
          <w:rFonts w:eastAsia="Arial"/>
        </w:rPr>
        <w:t xml:space="preserve"> </w:t>
      </w:r>
      <w:r w:rsidR="00C6633A">
        <w:rPr>
          <w:rFonts w:eastAsia="Arial"/>
        </w:rPr>
        <w:br/>
      </w:r>
      <w:r w:rsidRPr="00914F86">
        <w:rPr>
          <w:rFonts w:eastAsia="Arial"/>
        </w:rPr>
        <w:t>1-10</w:t>
      </w:r>
      <w:r w:rsidRPr="00914F86">
        <w:rPr>
          <w:rFonts w:eastAsia="Arial"/>
          <w:vertAlign w:val="superscript"/>
        </w:rPr>
        <w:t>-5</w:t>
      </w:r>
      <w:r>
        <w:rPr>
          <w:rFonts w:eastAsia="Arial"/>
        </w:rPr>
        <w:t xml:space="preserve"> </w:t>
      </w:r>
      <w:r w:rsidRPr="00914F86">
        <w:rPr>
          <w:rFonts w:eastAsia="Arial"/>
        </w:rPr>
        <w:t>success probability of transmitting a layer 2 PDU</w:t>
      </w:r>
      <w:r>
        <w:rPr>
          <w:rFonts w:eastAsia="Arial"/>
        </w:rPr>
        <w:t xml:space="preserve"> </w:t>
      </w:r>
      <w:r w:rsidRPr="00914F86">
        <w:rPr>
          <w:rFonts w:eastAsia="Arial"/>
        </w:rPr>
        <w:t xml:space="preserve">(protocol data unit) of 32 bytes within 1 </w:t>
      </w:r>
      <w:proofErr w:type="spellStart"/>
      <w:r w:rsidRPr="00914F86">
        <w:rPr>
          <w:rFonts w:eastAsia="Arial"/>
        </w:rPr>
        <w:t>ms</w:t>
      </w:r>
      <w:proofErr w:type="spellEnd"/>
      <w:r w:rsidRPr="00914F86">
        <w:rPr>
          <w:rFonts w:eastAsia="Arial"/>
        </w:rPr>
        <w:t xml:space="preserve"> in channel quality of coverage edge for the Urban Macro-URLLC test environment, assuming small application data (e.g., 20 bytes application data + protocol</w:t>
      </w:r>
      <w:r>
        <w:rPr>
          <w:rFonts w:eastAsia="Arial"/>
        </w:rPr>
        <w:t xml:space="preserve"> overhead).</w:t>
      </w:r>
    </w:p>
    <w:p w:rsidR="00947A04" w:rsidRPr="0001792D" w:rsidRDefault="00947A04" w:rsidP="00947A04">
      <w:pPr>
        <w:pStyle w:val="Heading2"/>
        <w:rPr>
          <w:szCs w:val="24"/>
        </w:rPr>
      </w:pPr>
      <w:r w:rsidRPr="0001792D">
        <w:rPr>
          <w:szCs w:val="24"/>
        </w:rPr>
        <w:t>II-</w:t>
      </w:r>
      <w:r>
        <w:rPr>
          <w:szCs w:val="24"/>
        </w:rPr>
        <w:t>C</w:t>
      </w:r>
      <w:r w:rsidRPr="0001792D">
        <w:rPr>
          <w:szCs w:val="24"/>
        </w:rPr>
        <w:t>-</w:t>
      </w:r>
      <w:r>
        <w:rPr>
          <w:szCs w:val="24"/>
        </w:rPr>
        <w:t>2</w:t>
      </w:r>
      <w:r w:rsidRPr="0001792D">
        <w:rPr>
          <w:szCs w:val="24"/>
        </w:rPr>
        <w:tab/>
      </w:r>
      <w:r>
        <w:rPr>
          <w:szCs w:val="24"/>
        </w:rPr>
        <w:t>Evaluation methodology</w:t>
      </w:r>
    </w:p>
    <w:p w:rsidR="00947A04" w:rsidRDefault="00947A04" w:rsidP="00C758AC">
      <w:pPr>
        <w:rPr>
          <w:rFonts w:eastAsia="Arial"/>
          <w:i/>
          <w:iCs/>
        </w:rPr>
      </w:pPr>
      <w:r>
        <w:rPr>
          <w:rFonts w:eastAsia="Arial"/>
        </w:rPr>
        <w:t xml:space="preserve">The evaluation methodology followed to evaluate the candidate technology EUHT can be found in </w:t>
      </w:r>
      <w:r w:rsidRPr="00872501">
        <w:rPr>
          <w:rFonts w:eastAsia="Arial"/>
          <w:i/>
          <w:iCs/>
        </w:rPr>
        <w:t>section 7.1.5 of ITU-R M.2412.</w:t>
      </w:r>
    </w:p>
    <w:p w:rsidR="00947A04" w:rsidRDefault="00947A04" w:rsidP="00947A04">
      <w:pPr>
        <w:pStyle w:val="Heading2"/>
        <w:rPr>
          <w:szCs w:val="24"/>
        </w:rPr>
      </w:pPr>
      <w:r w:rsidRPr="0001792D">
        <w:rPr>
          <w:szCs w:val="24"/>
        </w:rPr>
        <w:t>II-</w:t>
      </w:r>
      <w:r>
        <w:rPr>
          <w:szCs w:val="24"/>
        </w:rPr>
        <w:t>C</w:t>
      </w:r>
      <w:r w:rsidRPr="0001792D">
        <w:rPr>
          <w:szCs w:val="24"/>
        </w:rPr>
        <w:t>-</w:t>
      </w:r>
      <w:r>
        <w:rPr>
          <w:szCs w:val="24"/>
        </w:rPr>
        <w:t>2A</w:t>
      </w:r>
      <w:r w:rsidRPr="0001792D">
        <w:rPr>
          <w:szCs w:val="24"/>
        </w:rPr>
        <w:tab/>
      </w:r>
      <w:r>
        <w:rPr>
          <w:szCs w:val="24"/>
        </w:rPr>
        <w:t>System-level simulation parameters and technical assumptions</w:t>
      </w:r>
    </w:p>
    <w:p w:rsidR="00947A04" w:rsidRDefault="00947A04" w:rsidP="00C758AC">
      <w:pPr>
        <w:pStyle w:val="Headingb"/>
      </w:pPr>
      <w:r>
        <w:t>Network Configuration &amp; Layout:</w:t>
      </w:r>
    </w:p>
    <w:p w:rsidR="00947A04" w:rsidRPr="00DD6850" w:rsidRDefault="00947A04" w:rsidP="00C758AC">
      <w:pPr>
        <w:rPr>
          <w:rFonts w:eastAsia="Arial"/>
        </w:rPr>
      </w:pPr>
      <w:r>
        <w:rPr>
          <w:rFonts w:eastAsia="Arial"/>
        </w:rPr>
        <w:t xml:space="preserve">We have setup the layout for </w:t>
      </w:r>
      <w:r w:rsidRPr="00DD6850">
        <w:rPr>
          <w:rFonts w:eastAsia="Arial"/>
        </w:rPr>
        <w:t xml:space="preserve">EUHT system-level simulator network </w:t>
      </w:r>
      <w:r>
        <w:rPr>
          <w:rFonts w:eastAsia="Arial"/>
        </w:rPr>
        <w:t xml:space="preserve">as per the guidelines of </w:t>
      </w:r>
      <w:r w:rsidRPr="00DD6850">
        <w:rPr>
          <w:rFonts w:eastAsia="Arial"/>
        </w:rPr>
        <w:t>ITU</w:t>
      </w:r>
      <w:r>
        <w:rPr>
          <w:rFonts w:eastAsia="Arial"/>
        </w:rPr>
        <w:t xml:space="preserve">. A </w:t>
      </w:r>
      <w:r w:rsidRPr="00DD6850">
        <w:rPr>
          <w:rFonts w:eastAsia="Arial"/>
        </w:rPr>
        <w:t xml:space="preserve">summary of </w:t>
      </w:r>
      <w:r>
        <w:rPr>
          <w:rFonts w:eastAsia="Arial"/>
        </w:rPr>
        <w:t xml:space="preserve">system </w:t>
      </w:r>
      <w:r w:rsidRPr="00DD6850">
        <w:rPr>
          <w:rFonts w:eastAsia="Arial"/>
        </w:rPr>
        <w:t>configuration is provided in Table 1</w:t>
      </w:r>
      <w:r>
        <w:rPr>
          <w:rFonts w:eastAsia="Arial"/>
        </w:rPr>
        <w:t xml:space="preserve"> and a</w:t>
      </w:r>
      <w:r w:rsidRPr="00DD6850">
        <w:rPr>
          <w:rFonts w:eastAsia="Arial"/>
        </w:rPr>
        <w:t xml:space="preserve"> network layout of one test cycle is shown in Fig. 1.</w:t>
      </w:r>
    </w:p>
    <w:p w:rsidR="004820DC" w:rsidRDefault="00947A04" w:rsidP="004820DC">
      <w:pPr>
        <w:pStyle w:val="TableNo"/>
      </w:pPr>
      <w:r w:rsidRPr="0001792D">
        <w:t xml:space="preserve">Table </w:t>
      </w:r>
      <w:r>
        <w:t>1</w:t>
      </w:r>
    </w:p>
    <w:p w:rsidR="00947A04" w:rsidRPr="009F2B2D" w:rsidRDefault="00947A04" w:rsidP="004820DC">
      <w:pPr>
        <w:pStyle w:val="Tabletitle"/>
      </w:pPr>
      <w:r>
        <w:t>System configuration</w:t>
      </w:r>
    </w:p>
    <w:tbl>
      <w:tblPr>
        <w:tblW w:w="8214" w:type="dxa"/>
        <w:jc w:val="center"/>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4107"/>
        <w:gridCol w:w="4107"/>
      </w:tblGrid>
      <w:tr w:rsidR="00947A04" w:rsidRPr="00764B43" w:rsidTr="00C01B2B">
        <w:trPr>
          <w:trHeight w:val="211"/>
          <w:jc w:val="center"/>
        </w:trPr>
        <w:tc>
          <w:tcPr>
            <w:tcW w:w="4107" w:type="dxa"/>
            <w:tcBorders>
              <w:bottom w:val="single" w:sz="8" w:space="0" w:color="000000"/>
            </w:tcBorders>
            <w:shd w:val="clear" w:color="auto" w:fill="auto"/>
            <w:tcMar>
              <w:top w:w="100" w:type="dxa"/>
              <w:left w:w="100" w:type="dxa"/>
              <w:bottom w:w="100" w:type="dxa"/>
              <w:right w:w="100" w:type="dxa"/>
            </w:tcMar>
          </w:tcPr>
          <w:p w:rsidR="00947A04" w:rsidRPr="00764B43" w:rsidRDefault="00947A04" w:rsidP="00C6633A">
            <w:pPr>
              <w:pStyle w:val="Tablehead"/>
            </w:pPr>
            <w:r w:rsidRPr="00764B43">
              <w:t>Parameter</w:t>
            </w:r>
          </w:p>
        </w:tc>
        <w:tc>
          <w:tcPr>
            <w:tcW w:w="4107" w:type="dxa"/>
            <w:tcBorders>
              <w:bottom w:val="single" w:sz="8" w:space="0" w:color="000000"/>
            </w:tcBorders>
            <w:shd w:val="clear" w:color="auto" w:fill="auto"/>
            <w:tcMar>
              <w:top w:w="100" w:type="dxa"/>
              <w:left w:w="100" w:type="dxa"/>
              <w:bottom w:w="100" w:type="dxa"/>
              <w:right w:w="100" w:type="dxa"/>
            </w:tcMar>
          </w:tcPr>
          <w:p w:rsidR="00947A04" w:rsidRPr="00764B43" w:rsidRDefault="00947A04" w:rsidP="00C6633A">
            <w:pPr>
              <w:pStyle w:val="Tablehead"/>
            </w:pPr>
            <w:r w:rsidRPr="00764B43">
              <w:t>Value</w:t>
            </w:r>
          </w:p>
        </w:tc>
      </w:tr>
      <w:tr w:rsidR="00947A04" w:rsidRPr="00764B43" w:rsidTr="00C01B2B">
        <w:trPr>
          <w:trHeight w:val="85"/>
          <w:jc w:val="center"/>
        </w:trPr>
        <w:tc>
          <w:tcPr>
            <w:tcW w:w="4107" w:type="dxa"/>
            <w:tcBorders>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Number of Sites</w:t>
            </w:r>
          </w:p>
        </w:tc>
        <w:tc>
          <w:tcPr>
            <w:tcW w:w="4107" w:type="dxa"/>
            <w:tcBorders>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19</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Number of Sectors per Site</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3</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Frequency reuse factor</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3</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Total Number of Cells</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19 * 3 = 57</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 xml:space="preserve">Number of </w:t>
            </w:r>
            <w:r>
              <w:t xml:space="preserve">UE </w:t>
            </w:r>
            <w:r w:rsidRPr="00DD6850">
              <w:t>devices per Cell</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10</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 xml:space="preserve">Total </w:t>
            </w:r>
            <w:r w:rsidRPr="000B48CA">
              <w:t xml:space="preserve">UE </w:t>
            </w:r>
            <w:r w:rsidRPr="00DD6850">
              <w:t>devices</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57 * 10 = 570</w:t>
            </w:r>
          </w:p>
        </w:tc>
      </w:tr>
      <w:tr w:rsidR="00947A04" w:rsidRPr="00764B43" w:rsidTr="00C01B2B">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UE antenna height</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1.5 m</w:t>
            </w:r>
          </w:p>
        </w:tc>
      </w:tr>
      <w:tr w:rsidR="00947A04" w:rsidRPr="00764B43" w:rsidTr="00C01B2B">
        <w:trPr>
          <w:trHeight w:val="325"/>
          <w:jc w:val="center"/>
        </w:trPr>
        <w:tc>
          <w:tcPr>
            <w:tcW w:w="4107" w:type="dxa"/>
            <w:tcBorders>
              <w:top w:val="nil"/>
              <w:bottom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BS antenna height</w:t>
            </w:r>
          </w:p>
        </w:tc>
        <w:tc>
          <w:tcPr>
            <w:tcW w:w="4107" w:type="dxa"/>
            <w:tcBorders>
              <w:top w:val="nil"/>
              <w:bottom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25 m</w:t>
            </w:r>
          </w:p>
        </w:tc>
      </w:tr>
      <w:tr w:rsidR="00947A04" w:rsidRPr="00764B43" w:rsidTr="00D41C9B">
        <w:trPr>
          <w:trHeight w:val="223"/>
          <w:jc w:val="center"/>
        </w:trPr>
        <w:tc>
          <w:tcPr>
            <w:tcW w:w="4107" w:type="dxa"/>
            <w:tcBorders>
              <w:top w:val="nil"/>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Inter-site distance</w:t>
            </w:r>
          </w:p>
        </w:tc>
        <w:tc>
          <w:tcPr>
            <w:tcW w:w="4107" w:type="dxa"/>
            <w:tcBorders>
              <w:top w:val="nil"/>
            </w:tcBorders>
            <w:shd w:val="clear" w:color="auto" w:fill="auto"/>
            <w:tcMar>
              <w:top w:w="100" w:type="dxa"/>
              <w:left w:w="100" w:type="dxa"/>
              <w:bottom w:w="100" w:type="dxa"/>
              <w:right w:w="100" w:type="dxa"/>
            </w:tcMar>
          </w:tcPr>
          <w:p w:rsidR="00947A04" w:rsidRPr="00764B43" w:rsidRDefault="00947A04" w:rsidP="00C6633A">
            <w:pPr>
              <w:pStyle w:val="Tabletext"/>
            </w:pPr>
            <w:r w:rsidRPr="00764B43">
              <w:t>500 m</w:t>
            </w:r>
          </w:p>
        </w:tc>
      </w:tr>
    </w:tbl>
    <w:p w:rsidR="00947A04" w:rsidRDefault="00947A04" w:rsidP="004820DC">
      <w:pPr>
        <w:pStyle w:val="Tablefin"/>
      </w:pPr>
    </w:p>
    <w:p w:rsidR="004820DC" w:rsidRDefault="00C758AC" w:rsidP="004820DC">
      <w:pPr>
        <w:pStyle w:val="FigureNo"/>
      </w:pPr>
      <w:r w:rsidRPr="0076542F">
        <w:t>Fig</w:t>
      </w:r>
      <w:r>
        <w:t>URE</w:t>
      </w:r>
      <w:r w:rsidR="004820DC" w:rsidRPr="00DD6850">
        <w:t xml:space="preserve"> 1</w:t>
      </w:r>
    </w:p>
    <w:p w:rsidR="00947A04" w:rsidRDefault="004820DC" w:rsidP="004820DC">
      <w:pPr>
        <w:pStyle w:val="Figuretitle"/>
        <w:rPr>
          <w:rFonts w:ascii="Times" w:hAnsi="Times" w:cs="Arial"/>
          <w:bCs/>
          <w:i/>
          <w:iCs/>
          <w:color w:val="000000"/>
        </w:rPr>
      </w:pPr>
      <w:r w:rsidRPr="00DD6850">
        <w:t>System Level Simulation Network</w:t>
      </w:r>
      <w:r>
        <w:t>,</w:t>
      </w:r>
      <w:r w:rsidRPr="00DD6850">
        <w:t xml:space="preserve"> Layout:</w:t>
      </w:r>
      <w:r>
        <w:t xml:space="preserve"> </w:t>
      </w:r>
      <w:r w:rsidRPr="00DD6850">
        <w:t>Urban Macro – URLLC test environment</w:t>
      </w:r>
    </w:p>
    <w:p w:rsidR="00947A04" w:rsidRDefault="00947A04" w:rsidP="00947A04">
      <w:pPr>
        <w:pStyle w:val="NormalWeb"/>
        <w:spacing w:before="240" w:beforeAutospacing="0" w:after="240" w:afterAutospacing="0"/>
        <w:jc w:val="center"/>
        <w:textAlignment w:val="baseline"/>
        <w:rPr>
          <w:rFonts w:ascii="Times" w:hAnsi="Times" w:cs="Arial"/>
          <w:b/>
          <w:bCs/>
          <w:i/>
          <w:iCs/>
          <w:color w:val="000000"/>
        </w:rPr>
      </w:pPr>
      <w:r>
        <w:rPr>
          <w:noProof/>
          <w:lang w:val="en-US" w:eastAsia="en-US"/>
        </w:rPr>
        <w:drawing>
          <wp:inline distT="114300" distB="114300" distL="114300" distR="114300" wp14:anchorId="24610DC3" wp14:editId="3A59C0F7">
            <wp:extent cx="4198188" cy="2730500"/>
            <wp:effectExtent l="0" t="0" r="5715" b="0"/>
            <wp:docPr id="3"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Chart&#10;&#10;Description automatically generated"/>
                    <pic:cNvPicPr preferRelativeResize="0"/>
                  </pic:nvPicPr>
                  <pic:blipFill>
                    <a:blip r:embed="rId18"/>
                    <a:srcRect/>
                    <a:stretch>
                      <a:fillRect/>
                    </a:stretch>
                  </pic:blipFill>
                  <pic:spPr>
                    <a:xfrm>
                      <a:off x="0" y="0"/>
                      <a:ext cx="4232551" cy="2752849"/>
                    </a:xfrm>
                    <a:prstGeom prst="rect">
                      <a:avLst/>
                    </a:prstGeom>
                    <a:ln/>
                  </pic:spPr>
                </pic:pic>
              </a:graphicData>
            </a:graphic>
          </wp:inline>
        </w:drawing>
      </w:r>
    </w:p>
    <w:p w:rsidR="004820DC" w:rsidRDefault="00947A04" w:rsidP="004820DC">
      <w:pPr>
        <w:pStyle w:val="TableNo"/>
      </w:pPr>
      <w:r w:rsidRPr="0001792D">
        <w:t xml:space="preserve">Table </w:t>
      </w:r>
      <w:r>
        <w:t>2</w:t>
      </w:r>
    </w:p>
    <w:p w:rsidR="00947A04" w:rsidRDefault="00947A04" w:rsidP="004820DC">
      <w:pPr>
        <w:pStyle w:val="Tabletitle"/>
      </w:pPr>
      <w:r>
        <w:t>System level Technical Assumptions &amp; Parameters (Downlink)</w:t>
      </w:r>
    </w:p>
    <w:tbl>
      <w:tblPr>
        <w:tblW w:w="9360" w:type="dxa"/>
        <w:tblBorders>
          <w:top w:val="single" w:sz="8" w:space="0" w:color="000000"/>
          <w:bottom w:val="single" w:sz="8" w:space="0" w:color="000000"/>
        </w:tblBorders>
        <w:tblLayout w:type="fixed"/>
        <w:tblLook w:val="0600" w:firstRow="0" w:lastRow="0" w:firstColumn="0" w:lastColumn="0" w:noHBand="1" w:noVBand="1"/>
      </w:tblPr>
      <w:tblGrid>
        <w:gridCol w:w="5245"/>
        <w:gridCol w:w="4115"/>
      </w:tblGrid>
      <w:tr w:rsidR="00947A04" w:rsidTr="00C01B2B">
        <w:tc>
          <w:tcPr>
            <w:tcW w:w="5245" w:type="dxa"/>
            <w:tcBorders>
              <w:top w:val="single" w:sz="8" w:space="0" w:color="000000"/>
              <w:bottom w:val="single" w:sz="8" w:space="0" w:color="000000"/>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Parameter</w:t>
            </w:r>
          </w:p>
        </w:tc>
        <w:tc>
          <w:tcPr>
            <w:tcW w:w="4115" w:type="dxa"/>
            <w:tcBorders>
              <w:top w:val="single" w:sz="8" w:space="0" w:color="000000"/>
              <w:bottom w:val="single" w:sz="8" w:space="0" w:color="000000"/>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Value</w:t>
            </w:r>
          </w:p>
        </w:tc>
      </w:tr>
      <w:tr w:rsidR="00947A04" w:rsidTr="00C01B2B">
        <w:tc>
          <w:tcPr>
            <w:tcW w:w="5245" w:type="dxa"/>
            <w:tcBorders>
              <w:top w:val="single" w:sz="8" w:space="0" w:color="000000"/>
            </w:tcBorders>
            <w:shd w:val="clear" w:color="auto" w:fill="auto"/>
            <w:tcMar>
              <w:top w:w="100" w:type="dxa"/>
              <w:left w:w="100" w:type="dxa"/>
              <w:bottom w:w="100" w:type="dxa"/>
              <w:right w:w="100" w:type="dxa"/>
            </w:tcMar>
          </w:tcPr>
          <w:p w:rsidR="00947A04" w:rsidRPr="00DD6850" w:rsidRDefault="00947A04" w:rsidP="00C6633A">
            <w:pPr>
              <w:pStyle w:val="Tablehead"/>
            </w:pPr>
            <w:r w:rsidRPr="00DD6850">
              <w:t>Base Station noise figure</w:t>
            </w:r>
          </w:p>
        </w:tc>
        <w:tc>
          <w:tcPr>
            <w:tcW w:w="4115" w:type="dxa"/>
            <w:tcBorders>
              <w:top w:val="single" w:sz="8" w:space="0" w:color="000000"/>
            </w:tcBorders>
            <w:shd w:val="clear" w:color="auto" w:fill="auto"/>
            <w:tcMar>
              <w:top w:w="100" w:type="dxa"/>
              <w:left w:w="100" w:type="dxa"/>
              <w:bottom w:w="100" w:type="dxa"/>
              <w:right w:w="100" w:type="dxa"/>
            </w:tcMar>
          </w:tcPr>
          <w:p w:rsidR="00947A04" w:rsidRPr="00DD6850" w:rsidRDefault="00947A04" w:rsidP="000834BF">
            <w:pPr>
              <w:pStyle w:val="Tabletext"/>
            </w:pPr>
            <w:r w:rsidRPr="00DD6850">
              <w:t>5 dB</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UE noise figure</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7 dB</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BS antenna element gain</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 xml:space="preserve">8 </w:t>
            </w:r>
            <w:proofErr w:type="spellStart"/>
            <w:r w:rsidRPr="00DD6850">
              <w:t>dBi</w:t>
            </w:r>
            <w:proofErr w:type="spellEnd"/>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UE antenna element gain</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 xml:space="preserve">0 </w:t>
            </w:r>
            <w:proofErr w:type="spellStart"/>
            <w:r w:rsidRPr="00DD6850">
              <w:t>dBi</w:t>
            </w:r>
            <w:proofErr w:type="spellEnd"/>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 xml:space="preserve">Total transmit power per </w:t>
            </w:r>
            <w:proofErr w:type="spellStart"/>
            <w:r w:rsidRPr="00DD6850">
              <w:t>TRxP</w:t>
            </w:r>
            <w:proofErr w:type="spellEnd"/>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46 dBm for 10 MHz bandwidth</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UE power class</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23 dBm</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Thermal noise level</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‒174 dBm/Hz</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Traffic model</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Full buffer</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Simulation bandwidth</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t>20</w:t>
            </w:r>
            <w:r w:rsidRPr="00DD6850">
              <w:t xml:space="preserve"> MHz</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Percentage of high loss and low loss building type</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100% low loss</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 xml:space="preserve">Number of antenna elements per </w:t>
            </w:r>
            <w:proofErr w:type="spellStart"/>
            <w:r w:rsidRPr="00DD6850">
              <w:t>TRxP</w:t>
            </w:r>
            <w:proofErr w:type="spellEnd"/>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t>8</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Number of UE antenna elements</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t>2, 4 and 8</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Mechanic tilt</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90° in GCS</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Electronic tilt</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99° in LCS</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UE mobility model</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Fixed and identical speed |v| of all UEs, randomly and uniformly distributed direction</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UE speeds of interest</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3 km/h</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Carrier Frequency for evaluation</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4 GHz</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Numerology</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78.125 kHz SCS</w:t>
            </w:r>
          </w:p>
        </w:tc>
      </w:tr>
      <w:tr w:rsidR="00947A04" w:rsidTr="00C01B2B">
        <w:tc>
          <w:tcPr>
            <w:tcW w:w="5245" w:type="dxa"/>
            <w:shd w:val="clear" w:color="auto" w:fill="auto"/>
            <w:tcMar>
              <w:top w:w="100" w:type="dxa"/>
              <w:left w:w="100" w:type="dxa"/>
              <w:bottom w:w="100" w:type="dxa"/>
              <w:right w:w="100" w:type="dxa"/>
            </w:tcMar>
          </w:tcPr>
          <w:p w:rsidR="00947A04" w:rsidRPr="00DD6850" w:rsidRDefault="00947A04" w:rsidP="00C6633A">
            <w:pPr>
              <w:pStyle w:val="Tablehead"/>
            </w:pPr>
            <w:r w:rsidRPr="00DD6850">
              <w:t>Duplexing</w:t>
            </w:r>
          </w:p>
        </w:tc>
        <w:tc>
          <w:tcPr>
            <w:tcW w:w="4115" w:type="dxa"/>
            <w:shd w:val="clear" w:color="auto" w:fill="auto"/>
            <w:tcMar>
              <w:top w:w="100" w:type="dxa"/>
              <w:left w:w="100" w:type="dxa"/>
              <w:bottom w:w="100" w:type="dxa"/>
              <w:right w:w="100" w:type="dxa"/>
            </w:tcMar>
          </w:tcPr>
          <w:p w:rsidR="00947A04" w:rsidRPr="00DD6850" w:rsidRDefault="00947A04" w:rsidP="000834BF">
            <w:pPr>
              <w:pStyle w:val="Tabletext"/>
            </w:pPr>
            <w:r w:rsidRPr="00DD6850">
              <w:t>TDD</w:t>
            </w:r>
          </w:p>
        </w:tc>
      </w:tr>
    </w:tbl>
    <w:p w:rsidR="00947A04" w:rsidRDefault="00947A04" w:rsidP="004820DC">
      <w:pPr>
        <w:pStyle w:val="Tablefin"/>
      </w:pPr>
    </w:p>
    <w:p w:rsidR="00947A04" w:rsidRDefault="00947A04" w:rsidP="00947A04">
      <w:pPr>
        <w:pStyle w:val="Heading2"/>
        <w:rPr>
          <w:szCs w:val="24"/>
        </w:rPr>
      </w:pPr>
      <w:r w:rsidRPr="0001792D">
        <w:rPr>
          <w:szCs w:val="24"/>
        </w:rPr>
        <w:t>II-</w:t>
      </w:r>
      <w:r>
        <w:rPr>
          <w:szCs w:val="24"/>
        </w:rPr>
        <w:t>C</w:t>
      </w:r>
      <w:r w:rsidRPr="0001792D">
        <w:rPr>
          <w:szCs w:val="24"/>
        </w:rPr>
        <w:t>-</w:t>
      </w:r>
      <w:r>
        <w:rPr>
          <w:szCs w:val="24"/>
        </w:rPr>
        <w:t>2B</w:t>
      </w:r>
      <w:r w:rsidRPr="0001792D">
        <w:rPr>
          <w:szCs w:val="24"/>
        </w:rPr>
        <w:tab/>
      </w:r>
      <w:r>
        <w:rPr>
          <w:szCs w:val="24"/>
        </w:rPr>
        <w:t>Link Simulation parameters and workflow</w:t>
      </w:r>
    </w:p>
    <w:p w:rsidR="00947A04" w:rsidRPr="00DD6850" w:rsidRDefault="00947A04" w:rsidP="004820DC">
      <w:pPr>
        <w:rPr>
          <w:rFonts w:eastAsia="Arial"/>
        </w:rPr>
      </w:pPr>
      <w:r>
        <w:rPr>
          <w:rFonts w:eastAsia="Arial"/>
        </w:rPr>
        <w:t xml:space="preserve">The link level simulation parameters have been taken from the EUHT specifications provided by </w:t>
      </w:r>
      <w:proofErr w:type="spellStart"/>
      <w:r w:rsidRPr="00DD6850">
        <w:rPr>
          <w:rFonts w:eastAsia="Arial"/>
          <w:b/>
          <w:bCs/>
        </w:rPr>
        <w:t>Nufront</w:t>
      </w:r>
      <w:proofErr w:type="spellEnd"/>
      <w:r>
        <w:rPr>
          <w:rFonts w:eastAsia="Arial"/>
        </w:rPr>
        <w:t xml:space="preserve"> and have been cross verified with the </w:t>
      </w:r>
      <w:r w:rsidRPr="00DD6850">
        <w:rPr>
          <w:rFonts w:eastAsia="Arial"/>
          <w:i/>
          <w:iCs/>
        </w:rPr>
        <w:t>Self Evaluation Report</w:t>
      </w:r>
      <w:r>
        <w:rPr>
          <w:rFonts w:eastAsia="Arial"/>
        </w:rPr>
        <w:t xml:space="preserve"> of EUHT.</w:t>
      </w:r>
    </w:p>
    <w:p w:rsidR="004820DC" w:rsidRDefault="00947A04" w:rsidP="004820DC">
      <w:pPr>
        <w:pStyle w:val="TableNo"/>
      </w:pPr>
      <w:r w:rsidRPr="0001792D">
        <w:t xml:space="preserve">Table </w:t>
      </w:r>
      <w:r>
        <w:t>3</w:t>
      </w:r>
    </w:p>
    <w:p w:rsidR="00947A04" w:rsidRPr="00872501" w:rsidRDefault="00947A04" w:rsidP="004820DC">
      <w:pPr>
        <w:pStyle w:val="Tabletitle"/>
      </w:pPr>
      <w:r>
        <w:t>Link level simulation parameters (Downlink)</w:t>
      </w:r>
    </w:p>
    <w:tbl>
      <w:tblPr>
        <w:tblStyle w:val="PlainTable2"/>
        <w:tblW w:w="8284" w:type="dxa"/>
        <w:tblLook w:val="0600" w:firstRow="0" w:lastRow="0" w:firstColumn="0" w:lastColumn="0" w:noHBand="1" w:noVBand="1"/>
      </w:tblPr>
      <w:tblGrid>
        <w:gridCol w:w="4150"/>
        <w:gridCol w:w="4134"/>
      </w:tblGrid>
      <w:tr w:rsidR="00947A04" w:rsidRPr="0001792D" w:rsidTr="00C01B2B">
        <w:trPr>
          <w:trHeight w:val="384"/>
        </w:trPr>
        <w:tc>
          <w:tcPr>
            <w:tcW w:w="4150" w:type="dxa"/>
            <w:tcBorders>
              <w:top w:val="single" w:sz="8" w:space="0" w:color="000000"/>
              <w:bottom w:val="single" w:sz="8" w:space="0" w:color="000000"/>
            </w:tcBorders>
          </w:tcPr>
          <w:p w:rsidR="00947A04" w:rsidRPr="0001792D" w:rsidRDefault="00947A04" w:rsidP="000834BF">
            <w:pPr>
              <w:pStyle w:val="Tablehead"/>
            </w:pPr>
            <w:r>
              <w:t>Parameter</w:t>
            </w:r>
          </w:p>
        </w:tc>
        <w:tc>
          <w:tcPr>
            <w:tcW w:w="4134" w:type="dxa"/>
            <w:tcBorders>
              <w:top w:val="single" w:sz="8" w:space="0" w:color="000000"/>
              <w:bottom w:val="single" w:sz="8" w:space="0" w:color="000000"/>
            </w:tcBorders>
          </w:tcPr>
          <w:p w:rsidR="00947A04" w:rsidRPr="00DD6850" w:rsidRDefault="00947A04" w:rsidP="000834BF">
            <w:pPr>
              <w:pStyle w:val="Tablehead"/>
            </w:pPr>
            <w:r w:rsidRPr="00DD6850">
              <w:t>Value</w:t>
            </w:r>
          </w:p>
        </w:tc>
      </w:tr>
      <w:tr w:rsidR="00947A04" w:rsidRPr="0001792D" w:rsidTr="00C01B2B">
        <w:trPr>
          <w:trHeight w:val="384"/>
        </w:trPr>
        <w:tc>
          <w:tcPr>
            <w:tcW w:w="4150" w:type="dxa"/>
            <w:tcBorders>
              <w:top w:val="single" w:sz="8" w:space="0" w:color="000000"/>
            </w:tcBorders>
            <w:hideMark/>
          </w:tcPr>
          <w:p w:rsidR="00947A04" w:rsidRPr="0001792D" w:rsidRDefault="00947A04" w:rsidP="000834BF">
            <w:pPr>
              <w:pStyle w:val="Tablehead"/>
            </w:pPr>
            <w:r w:rsidRPr="0001792D">
              <w:t>Scenario</w:t>
            </w:r>
          </w:p>
        </w:tc>
        <w:tc>
          <w:tcPr>
            <w:tcW w:w="4134" w:type="dxa"/>
            <w:tcBorders>
              <w:top w:val="single" w:sz="8" w:space="0" w:color="000000"/>
            </w:tcBorders>
            <w:hideMark/>
          </w:tcPr>
          <w:p w:rsidR="00947A04" w:rsidRPr="0001792D" w:rsidRDefault="00947A04" w:rsidP="000834BF">
            <w:pPr>
              <w:pStyle w:val="Tabletext"/>
            </w:pPr>
            <w:r w:rsidRPr="0001792D">
              <w:t>Dense Urban</w:t>
            </w:r>
          </w:p>
        </w:tc>
      </w:tr>
      <w:tr w:rsidR="00947A04" w:rsidRPr="0001792D" w:rsidTr="00C01B2B">
        <w:trPr>
          <w:trHeight w:val="384"/>
        </w:trPr>
        <w:tc>
          <w:tcPr>
            <w:tcW w:w="4150" w:type="dxa"/>
            <w:hideMark/>
          </w:tcPr>
          <w:p w:rsidR="00947A04" w:rsidRPr="0001792D" w:rsidRDefault="00947A04" w:rsidP="000834BF">
            <w:pPr>
              <w:pStyle w:val="Tablehead"/>
            </w:pPr>
            <w:r w:rsidRPr="0001792D">
              <w:t>Carrier Frequency</w:t>
            </w:r>
          </w:p>
        </w:tc>
        <w:tc>
          <w:tcPr>
            <w:tcW w:w="4134" w:type="dxa"/>
            <w:hideMark/>
          </w:tcPr>
          <w:p w:rsidR="00947A04" w:rsidRPr="0001792D" w:rsidRDefault="00947A04" w:rsidP="000834BF">
            <w:pPr>
              <w:pStyle w:val="Tabletext"/>
            </w:pPr>
            <w:r w:rsidRPr="0001792D">
              <w:t>4 GHz (Sub 6 GHz Bands)</w:t>
            </w:r>
          </w:p>
        </w:tc>
      </w:tr>
      <w:tr w:rsidR="00947A04" w:rsidRPr="0001792D" w:rsidTr="00C01B2B">
        <w:trPr>
          <w:trHeight w:val="509"/>
        </w:trPr>
        <w:tc>
          <w:tcPr>
            <w:tcW w:w="4150" w:type="dxa"/>
            <w:hideMark/>
          </w:tcPr>
          <w:p w:rsidR="00947A04" w:rsidRPr="0001792D" w:rsidRDefault="00947A04" w:rsidP="000834BF">
            <w:pPr>
              <w:pStyle w:val="Tablehead"/>
            </w:pPr>
            <w:r w:rsidRPr="0001792D">
              <w:t>Bandwidth</w:t>
            </w:r>
          </w:p>
        </w:tc>
        <w:tc>
          <w:tcPr>
            <w:tcW w:w="4134" w:type="dxa"/>
            <w:hideMark/>
          </w:tcPr>
          <w:p w:rsidR="00947A04" w:rsidRPr="0001792D" w:rsidRDefault="00947A04" w:rsidP="000834BF">
            <w:pPr>
              <w:pStyle w:val="Tabletext"/>
            </w:pPr>
            <w:r w:rsidRPr="0001792D">
              <w:t>20</w:t>
            </w:r>
            <w:r>
              <w:t xml:space="preserve"> </w:t>
            </w:r>
            <w:r w:rsidRPr="0001792D">
              <w:t>MHz</w:t>
            </w:r>
          </w:p>
        </w:tc>
      </w:tr>
      <w:tr w:rsidR="00947A04" w:rsidRPr="0001792D" w:rsidTr="00C01B2B">
        <w:trPr>
          <w:trHeight w:val="419"/>
        </w:trPr>
        <w:tc>
          <w:tcPr>
            <w:tcW w:w="4150" w:type="dxa"/>
            <w:hideMark/>
          </w:tcPr>
          <w:p w:rsidR="00947A04" w:rsidRPr="0001792D" w:rsidRDefault="00947A04" w:rsidP="000834BF">
            <w:pPr>
              <w:pStyle w:val="Tablehead"/>
            </w:pPr>
            <w:r w:rsidRPr="0001792D">
              <w:t>Signalling Waveform</w:t>
            </w:r>
          </w:p>
        </w:tc>
        <w:tc>
          <w:tcPr>
            <w:tcW w:w="4134" w:type="dxa"/>
            <w:hideMark/>
          </w:tcPr>
          <w:p w:rsidR="00947A04" w:rsidRPr="0001792D" w:rsidRDefault="00947A04" w:rsidP="000834BF">
            <w:pPr>
              <w:pStyle w:val="Tabletext"/>
            </w:pPr>
            <w:r w:rsidRPr="0001792D">
              <w:t>CP-OFDM (SU-MIMO)</w:t>
            </w:r>
          </w:p>
        </w:tc>
      </w:tr>
      <w:tr w:rsidR="00947A04" w:rsidRPr="0001792D" w:rsidTr="00C01B2B">
        <w:trPr>
          <w:trHeight w:val="413"/>
        </w:trPr>
        <w:tc>
          <w:tcPr>
            <w:tcW w:w="4150" w:type="dxa"/>
            <w:hideMark/>
          </w:tcPr>
          <w:p w:rsidR="00947A04" w:rsidRPr="0001792D" w:rsidRDefault="00947A04" w:rsidP="000834BF">
            <w:pPr>
              <w:pStyle w:val="Tablehead"/>
            </w:pPr>
            <w:r w:rsidRPr="0001792D">
              <w:t>Subcarrier Spacing</w:t>
            </w:r>
          </w:p>
        </w:tc>
        <w:tc>
          <w:tcPr>
            <w:tcW w:w="4134" w:type="dxa"/>
            <w:hideMark/>
          </w:tcPr>
          <w:p w:rsidR="00947A04" w:rsidRPr="0001792D" w:rsidRDefault="00947A04" w:rsidP="000834BF">
            <w:pPr>
              <w:pStyle w:val="Tabletext"/>
            </w:pPr>
            <w:r w:rsidRPr="0001792D">
              <w:t xml:space="preserve">78.125 KHz </w:t>
            </w:r>
          </w:p>
        </w:tc>
      </w:tr>
      <w:tr w:rsidR="00947A04" w:rsidRPr="0001792D" w:rsidTr="00C01B2B">
        <w:trPr>
          <w:trHeight w:val="413"/>
        </w:trPr>
        <w:tc>
          <w:tcPr>
            <w:tcW w:w="4150" w:type="dxa"/>
          </w:tcPr>
          <w:p w:rsidR="00947A04" w:rsidRPr="0001792D" w:rsidRDefault="00947A04" w:rsidP="000834BF">
            <w:pPr>
              <w:pStyle w:val="Tablehead"/>
            </w:pPr>
            <w:r>
              <w:t>Delay Spread</w:t>
            </w:r>
          </w:p>
        </w:tc>
        <w:tc>
          <w:tcPr>
            <w:tcW w:w="4134" w:type="dxa"/>
          </w:tcPr>
          <w:p w:rsidR="00947A04" w:rsidRPr="0001792D" w:rsidRDefault="00947A04" w:rsidP="000834BF">
            <w:pPr>
              <w:pStyle w:val="Tabletext"/>
            </w:pPr>
            <w:r>
              <w:t>363</w:t>
            </w:r>
            <w:r w:rsidR="00D41C9B">
              <w:t xml:space="preserve"> </w:t>
            </w:r>
            <w:r>
              <w:t>ns</w:t>
            </w:r>
          </w:p>
        </w:tc>
      </w:tr>
      <w:tr w:rsidR="00947A04" w:rsidRPr="0001792D" w:rsidTr="00C01B2B">
        <w:trPr>
          <w:trHeight w:val="384"/>
        </w:trPr>
        <w:tc>
          <w:tcPr>
            <w:tcW w:w="4150" w:type="dxa"/>
            <w:hideMark/>
          </w:tcPr>
          <w:p w:rsidR="00947A04" w:rsidRPr="0001792D" w:rsidRDefault="00947A04" w:rsidP="000834BF">
            <w:pPr>
              <w:pStyle w:val="Tablehead"/>
            </w:pPr>
            <w:r w:rsidRPr="0001792D">
              <w:t>Cyclic Prefix</w:t>
            </w:r>
          </w:p>
        </w:tc>
        <w:tc>
          <w:tcPr>
            <w:tcW w:w="4134" w:type="dxa"/>
            <w:hideMark/>
          </w:tcPr>
          <w:p w:rsidR="00947A04" w:rsidRPr="0001792D" w:rsidRDefault="00947A04" w:rsidP="000834BF">
            <w:pPr>
              <w:pStyle w:val="Tabletext"/>
            </w:pPr>
            <w:r w:rsidRPr="0001792D">
              <w:t>FFT</w:t>
            </w:r>
            <w:r>
              <w:t xml:space="preserve"> Size</w:t>
            </w:r>
            <w:r w:rsidRPr="0001792D">
              <w:t>/4</w:t>
            </w:r>
          </w:p>
        </w:tc>
      </w:tr>
      <w:tr w:rsidR="00947A04" w:rsidRPr="0001792D" w:rsidTr="00C01B2B">
        <w:trPr>
          <w:trHeight w:val="384"/>
        </w:trPr>
        <w:tc>
          <w:tcPr>
            <w:tcW w:w="4150" w:type="dxa"/>
            <w:hideMark/>
          </w:tcPr>
          <w:p w:rsidR="00947A04" w:rsidRPr="0001792D" w:rsidRDefault="00947A04" w:rsidP="000834BF">
            <w:pPr>
              <w:pStyle w:val="Tablehead"/>
            </w:pPr>
            <w:r w:rsidRPr="0001792D">
              <w:t>Guard Band</w:t>
            </w:r>
          </w:p>
        </w:tc>
        <w:tc>
          <w:tcPr>
            <w:tcW w:w="4134" w:type="dxa"/>
            <w:hideMark/>
          </w:tcPr>
          <w:p w:rsidR="00947A04" w:rsidRPr="0001792D" w:rsidRDefault="00947A04" w:rsidP="000834BF">
            <w:pPr>
              <w:pStyle w:val="Tabletext"/>
            </w:pPr>
            <w:r w:rsidRPr="0001792D">
              <w:t>True</w:t>
            </w:r>
          </w:p>
        </w:tc>
      </w:tr>
      <w:tr w:rsidR="00947A04" w:rsidRPr="0001792D" w:rsidTr="00C01B2B">
        <w:trPr>
          <w:trHeight w:val="426"/>
        </w:trPr>
        <w:tc>
          <w:tcPr>
            <w:tcW w:w="4150" w:type="dxa"/>
            <w:hideMark/>
          </w:tcPr>
          <w:p w:rsidR="00947A04" w:rsidRPr="0001792D" w:rsidRDefault="00947A04" w:rsidP="000834BF">
            <w:pPr>
              <w:pStyle w:val="Tablehead"/>
            </w:pPr>
            <w:r w:rsidRPr="0001792D">
              <w:t>Propagation Channel</w:t>
            </w:r>
          </w:p>
        </w:tc>
        <w:tc>
          <w:tcPr>
            <w:tcW w:w="4134" w:type="dxa"/>
            <w:hideMark/>
          </w:tcPr>
          <w:p w:rsidR="00947A04" w:rsidRPr="0001792D" w:rsidRDefault="00947A04" w:rsidP="000834BF">
            <w:pPr>
              <w:pStyle w:val="Tabletext"/>
            </w:pPr>
            <w:r w:rsidRPr="0001792D">
              <w:t xml:space="preserve">Tap Delay Line </w:t>
            </w:r>
            <w:r>
              <w:t>(TDL)</w:t>
            </w:r>
          </w:p>
        </w:tc>
      </w:tr>
      <w:tr w:rsidR="00947A04" w:rsidRPr="0001792D" w:rsidTr="00C01B2B">
        <w:trPr>
          <w:trHeight w:val="384"/>
        </w:trPr>
        <w:tc>
          <w:tcPr>
            <w:tcW w:w="4150" w:type="dxa"/>
            <w:hideMark/>
          </w:tcPr>
          <w:p w:rsidR="00947A04" w:rsidRPr="0001792D" w:rsidRDefault="00947A04" w:rsidP="000834BF">
            <w:pPr>
              <w:pStyle w:val="Tablehead"/>
            </w:pPr>
            <w:r w:rsidRPr="0001792D">
              <w:t>Mobility</w:t>
            </w:r>
          </w:p>
        </w:tc>
        <w:tc>
          <w:tcPr>
            <w:tcW w:w="4134" w:type="dxa"/>
            <w:hideMark/>
          </w:tcPr>
          <w:p w:rsidR="00947A04" w:rsidRPr="0001792D" w:rsidRDefault="00947A04" w:rsidP="000834BF">
            <w:pPr>
              <w:pStyle w:val="Tabletext"/>
            </w:pPr>
            <w:r w:rsidRPr="0001792D">
              <w:t>True</w:t>
            </w:r>
          </w:p>
        </w:tc>
      </w:tr>
      <w:tr w:rsidR="00947A04" w:rsidRPr="0001792D" w:rsidTr="00C01B2B">
        <w:trPr>
          <w:trHeight w:val="654"/>
        </w:trPr>
        <w:tc>
          <w:tcPr>
            <w:tcW w:w="4150" w:type="dxa"/>
            <w:hideMark/>
          </w:tcPr>
          <w:p w:rsidR="00947A04" w:rsidRPr="0001792D" w:rsidRDefault="00947A04" w:rsidP="000834BF">
            <w:pPr>
              <w:pStyle w:val="Tablehead"/>
            </w:pPr>
            <w:r w:rsidRPr="0001792D">
              <w:t>Errors Considered</w:t>
            </w:r>
          </w:p>
        </w:tc>
        <w:tc>
          <w:tcPr>
            <w:tcW w:w="4134" w:type="dxa"/>
            <w:hideMark/>
          </w:tcPr>
          <w:p w:rsidR="00947A04" w:rsidRPr="0001792D" w:rsidRDefault="00947A04" w:rsidP="000834BF">
            <w:pPr>
              <w:pStyle w:val="Tabletext"/>
            </w:pPr>
            <w:r>
              <w:t>Block Error Rate (BLER)</w:t>
            </w:r>
          </w:p>
        </w:tc>
      </w:tr>
      <w:tr w:rsidR="00947A04" w:rsidRPr="0001792D" w:rsidTr="00C01B2B">
        <w:trPr>
          <w:trHeight w:val="628"/>
        </w:trPr>
        <w:tc>
          <w:tcPr>
            <w:tcW w:w="4150" w:type="dxa"/>
            <w:hideMark/>
          </w:tcPr>
          <w:p w:rsidR="00947A04" w:rsidRPr="0001792D" w:rsidRDefault="00947A04" w:rsidP="000834BF">
            <w:pPr>
              <w:pStyle w:val="Tablehead"/>
            </w:pPr>
            <w:r w:rsidRPr="0001792D">
              <w:t>Channel Coding</w:t>
            </w:r>
          </w:p>
        </w:tc>
        <w:tc>
          <w:tcPr>
            <w:tcW w:w="4134" w:type="dxa"/>
            <w:hideMark/>
          </w:tcPr>
          <w:p w:rsidR="00947A04" w:rsidRPr="0001792D" w:rsidRDefault="00947A04" w:rsidP="000834BF">
            <w:pPr>
              <w:pStyle w:val="Tabletext"/>
            </w:pPr>
            <w:r>
              <w:t xml:space="preserve">LDPC, code rate 4/7 </w:t>
            </w:r>
            <w:r w:rsidR="003F072E">
              <w:br/>
            </w:r>
            <w:r>
              <w:t>(as per EUHT Self Evaluation Report)</w:t>
            </w:r>
          </w:p>
        </w:tc>
      </w:tr>
      <w:tr w:rsidR="00947A04" w:rsidRPr="0001792D" w:rsidTr="00C01B2B">
        <w:trPr>
          <w:trHeight w:val="645"/>
        </w:trPr>
        <w:tc>
          <w:tcPr>
            <w:tcW w:w="4150" w:type="dxa"/>
            <w:hideMark/>
          </w:tcPr>
          <w:p w:rsidR="00947A04" w:rsidRPr="0001792D" w:rsidRDefault="00947A04" w:rsidP="000834BF">
            <w:pPr>
              <w:pStyle w:val="Tablehead"/>
            </w:pPr>
            <w:r w:rsidRPr="0001792D">
              <w:t>Modulation</w:t>
            </w:r>
          </w:p>
        </w:tc>
        <w:tc>
          <w:tcPr>
            <w:tcW w:w="4134" w:type="dxa"/>
            <w:hideMark/>
          </w:tcPr>
          <w:p w:rsidR="00947A04" w:rsidRPr="0001792D" w:rsidRDefault="00947A04" w:rsidP="000834BF">
            <w:pPr>
              <w:pStyle w:val="Tabletext"/>
            </w:pPr>
            <w:r w:rsidRPr="0001792D">
              <w:t>QPSK</w:t>
            </w:r>
          </w:p>
        </w:tc>
      </w:tr>
      <w:tr w:rsidR="00947A04" w:rsidRPr="0001792D" w:rsidTr="00C01B2B">
        <w:trPr>
          <w:trHeight w:val="384"/>
        </w:trPr>
        <w:tc>
          <w:tcPr>
            <w:tcW w:w="4150" w:type="dxa"/>
            <w:hideMark/>
          </w:tcPr>
          <w:p w:rsidR="00947A04" w:rsidRPr="0001792D" w:rsidRDefault="00947A04" w:rsidP="000834BF">
            <w:pPr>
              <w:pStyle w:val="Tablehead"/>
            </w:pPr>
            <w:r w:rsidRPr="0001792D">
              <w:t>Channel Estimation</w:t>
            </w:r>
          </w:p>
        </w:tc>
        <w:tc>
          <w:tcPr>
            <w:tcW w:w="4134" w:type="dxa"/>
            <w:hideMark/>
          </w:tcPr>
          <w:p w:rsidR="00947A04" w:rsidRPr="0001792D" w:rsidRDefault="00947A04" w:rsidP="000834BF">
            <w:pPr>
              <w:pStyle w:val="Tabletext"/>
            </w:pPr>
            <w:r w:rsidRPr="0001792D">
              <w:t>Imperfect, Non-Ideal</w:t>
            </w:r>
          </w:p>
        </w:tc>
      </w:tr>
      <w:tr w:rsidR="00947A04" w:rsidRPr="0001792D" w:rsidTr="00C01B2B">
        <w:trPr>
          <w:trHeight w:val="391"/>
        </w:trPr>
        <w:tc>
          <w:tcPr>
            <w:tcW w:w="4150" w:type="dxa"/>
            <w:tcBorders>
              <w:bottom w:val="nil"/>
            </w:tcBorders>
            <w:hideMark/>
          </w:tcPr>
          <w:p w:rsidR="00947A04" w:rsidRPr="0001792D" w:rsidRDefault="00947A04" w:rsidP="000834BF">
            <w:pPr>
              <w:pStyle w:val="Tablehead"/>
            </w:pPr>
            <w:r w:rsidRPr="0001792D">
              <w:t>Number of Transmit Antennas</w:t>
            </w:r>
          </w:p>
        </w:tc>
        <w:tc>
          <w:tcPr>
            <w:tcW w:w="4134" w:type="dxa"/>
            <w:tcBorders>
              <w:bottom w:val="nil"/>
            </w:tcBorders>
            <w:hideMark/>
          </w:tcPr>
          <w:p w:rsidR="00947A04" w:rsidRPr="0001792D" w:rsidRDefault="00947A04" w:rsidP="000834BF">
            <w:pPr>
              <w:pStyle w:val="Tabletext"/>
            </w:pPr>
            <w:r w:rsidRPr="0001792D">
              <w:t xml:space="preserve">8 </w:t>
            </w:r>
          </w:p>
        </w:tc>
      </w:tr>
      <w:tr w:rsidR="00947A04" w:rsidRPr="0001792D" w:rsidTr="00C01B2B">
        <w:trPr>
          <w:trHeight w:val="329"/>
        </w:trPr>
        <w:tc>
          <w:tcPr>
            <w:tcW w:w="4150" w:type="dxa"/>
            <w:tcBorders>
              <w:top w:val="nil"/>
              <w:bottom w:val="single" w:sz="8" w:space="0" w:color="000000"/>
            </w:tcBorders>
            <w:hideMark/>
          </w:tcPr>
          <w:p w:rsidR="00947A04" w:rsidRPr="0001792D" w:rsidRDefault="00947A04" w:rsidP="000834BF">
            <w:pPr>
              <w:pStyle w:val="Tablehead"/>
            </w:pPr>
            <w:r w:rsidRPr="0001792D">
              <w:t>Number of Receiver Antennas</w:t>
            </w:r>
          </w:p>
        </w:tc>
        <w:tc>
          <w:tcPr>
            <w:tcW w:w="4134" w:type="dxa"/>
            <w:tcBorders>
              <w:top w:val="nil"/>
              <w:bottom w:val="single" w:sz="8" w:space="0" w:color="000000"/>
            </w:tcBorders>
            <w:hideMark/>
          </w:tcPr>
          <w:p w:rsidR="00947A04" w:rsidRPr="0001792D" w:rsidRDefault="00947A04" w:rsidP="000834BF">
            <w:pPr>
              <w:pStyle w:val="Tabletext"/>
            </w:pPr>
            <w:r>
              <w:t xml:space="preserve">2, 4 and 8 </w:t>
            </w:r>
          </w:p>
        </w:tc>
      </w:tr>
    </w:tbl>
    <w:p w:rsidR="00947A04" w:rsidRDefault="00947A04" w:rsidP="004820DC">
      <w:pPr>
        <w:pStyle w:val="Tablefin"/>
      </w:pPr>
    </w:p>
    <w:p w:rsidR="00947A04" w:rsidRDefault="00947A04" w:rsidP="00947A04">
      <w:pPr>
        <w:jc w:val="both"/>
        <w:rPr>
          <w:szCs w:val="24"/>
        </w:rPr>
      </w:pPr>
      <w:r w:rsidRPr="0001792D">
        <w:rPr>
          <w:rFonts w:eastAsia="Arial"/>
        </w:rPr>
        <w:t>A stepwise workflow of the simulator is explained as follows:</w:t>
      </w:r>
      <w:r w:rsidRPr="0001792D">
        <w:rPr>
          <w:szCs w:val="24"/>
        </w:rPr>
        <w:t xml:space="preserve"> </w:t>
      </w:r>
    </w:p>
    <w:p w:rsidR="00947A04" w:rsidRPr="0001792D" w:rsidRDefault="00C758AC" w:rsidP="00C758AC">
      <w:pPr>
        <w:pStyle w:val="enumlev1"/>
        <w:rPr>
          <w:rFonts w:eastAsia="Arial"/>
        </w:rPr>
      </w:pPr>
      <w:r>
        <w:rPr>
          <w:rFonts w:eastAsia="Arial"/>
          <w:b/>
        </w:rPr>
        <w:t>1</w:t>
      </w:r>
      <w:r>
        <w:rPr>
          <w:rFonts w:eastAsia="Arial"/>
          <w:b/>
        </w:rPr>
        <w:tab/>
      </w:r>
      <w:r w:rsidR="00947A04" w:rsidRPr="0001792D">
        <w:rPr>
          <w:rFonts w:eastAsia="Arial"/>
          <w:b/>
        </w:rPr>
        <w:t xml:space="preserve">Update the </w:t>
      </w:r>
      <w:r w:rsidR="00947A04">
        <w:rPr>
          <w:rFonts w:eastAsia="Arial"/>
          <w:b/>
        </w:rPr>
        <w:t>receiver</w:t>
      </w:r>
      <w:r w:rsidR="00947A04" w:rsidRPr="0001792D">
        <w:rPr>
          <w:rFonts w:eastAsia="Arial"/>
          <w:b/>
        </w:rPr>
        <w:t xml:space="preserve"> process:</w:t>
      </w:r>
      <w:r w:rsidR="00947A04" w:rsidRPr="0001792D">
        <w:rPr>
          <w:rFonts w:eastAsia="Arial"/>
        </w:rPr>
        <w:t xml:space="preserve"> Checks the </w:t>
      </w:r>
      <w:r w:rsidR="00947A04">
        <w:rPr>
          <w:rFonts w:eastAsia="Arial"/>
        </w:rPr>
        <w:t>FCS</w:t>
      </w:r>
      <w:r w:rsidR="00947A04" w:rsidRPr="0001792D">
        <w:rPr>
          <w:rFonts w:eastAsia="Arial"/>
        </w:rPr>
        <w:t xml:space="preserve"> </w:t>
      </w:r>
      <w:r w:rsidR="00947A04">
        <w:rPr>
          <w:rFonts w:eastAsia="Arial"/>
        </w:rPr>
        <w:t xml:space="preserve">in MAC layer </w:t>
      </w:r>
      <w:r w:rsidR="00947A04" w:rsidRPr="0001792D">
        <w:rPr>
          <w:rFonts w:eastAsia="Arial"/>
        </w:rPr>
        <w:t>for any required</w:t>
      </w:r>
      <w:r w:rsidR="00947A04">
        <w:rPr>
          <w:rFonts w:eastAsia="Arial"/>
        </w:rPr>
        <w:t xml:space="preserve"> transmissions</w:t>
      </w:r>
      <w:r w:rsidR="00947A04" w:rsidRPr="0001792D">
        <w:rPr>
          <w:rFonts w:eastAsia="Arial"/>
        </w:rPr>
        <w:t>.</w:t>
      </w:r>
    </w:p>
    <w:p w:rsidR="00947A04" w:rsidRPr="0001792D" w:rsidRDefault="00C758AC" w:rsidP="00C758AC">
      <w:pPr>
        <w:pStyle w:val="enumlev1"/>
        <w:rPr>
          <w:rFonts w:eastAsia="Arial"/>
        </w:rPr>
      </w:pPr>
      <w:r>
        <w:rPr>
          <w:rFonts w:eastAsia="Arial"/>
          <w:b/>
        </w:rPr>
        <w:t>2</w:t>
      </w:r>
      <w:r>
        <w:rPr>
          <w:rFonts w:eastAsia="Arial"/>
          <w:b/>
        </w:rPr>
        <w:tab/>
      </w:r>
      <w:r w:rsidR="00947A04" w:rsidRPr="0001792D">
        <w:rPr>
          <w:rFonts w:eastAsia="Arial"/>
          <w:b/>
        </w:rPr>
        <w:t>Resource grid generation</w:t>
      </w:r>
      <w:r w:rsidR="00947A04" w:rsidRPr="0001792D">
        <w:rPr>
          <w:rFonts w:eastAsia="Arial"/>
        </w:rPr>
        <w:t>: Channel Coding and Modulation</w:t>
      </w:r>
    </w:p>
    <w:p w:rsidR="00947A04" w:rsidRPr="0001792D" w:rsidRDefault="00C758AC" w:rsidP="00C758AC">
      <w:pPr>
        <w:pStyle w:val="enumlev1"/>
        <w:rPr>
          <w:rFonts w:eastAsia="Arial"/>
        </w:rPr>
      </w:pPr>
      <w:r>
        <w:rPr>
          <w:rFonts w:eastAsia="Arial"/>
          <w:b/>
        </w:rPr>
        <w:t>3</w:t>
      </w:r>
      <w:r>
        <w:rPr>
          <w:rFonts w:eastAsia="Arial"/>
          <w:b/>
        </w:rPr>
        <w:tab/>
      </w:r>
      <w:r w:rsidR="00947A04" w:rsidRPr="0001792D">
        <w:rPr>
          <w:rFonts w:eastAsia="Arial"/>
          <w:b/>
        </w:rPr>
        <w:t>Waveform generation:</w:t>
      </w:r>
      <w:r w:rsidR="00947A04" w:rsidRPr="0001792D">
        <w:rPr>
          <w:rFonts w:eastAsia="Arial"/>
        </w:rPr>
        <w:t xml:space="preserve"> OFDM Modulation is performed.</w:t>
      </w:r>
    </w:p>
    <w:p w:rsidR="00947A04" w:rsidRPr="0001792D" w:rsidRDefault="00C758AC" w:rsidP="00C758AC">
      <w:pPr>
        <w:pStyle w:val="enumlev1"/>
        <w:rPr>
          <w:rFonts w:eastAsia="Arial"/>
        </w:rPr>
      </w:pPr>
      <w:r>
        <w:rPr>
          <w:rFonts w:eastAsia="Arial"/>
          <w:b/>
        </w:rPr>
        <w:t>4</w:t>
      </w:r>
      <w:r>
        <w:rPr>
          <w:rFonts w:eastAsia="Arial"/>
          <w:b/>
        </w:rPr>
        <w:tab/>
      </w:r>
      <w:r w:rsidR="00947A04" w:rsidRPr="0001792D">
        <w:rPr>
          <w:rFonts w:eastAsia="Arial"/>
          <w:b/>
        </w:rPr>
        <w:t>Channel modelling</w:t>
      </w:r>
      <w:r w:rsidR="00947A04" w:rsidRPr="0001792D">
        <w:rPr>
          <w:rFonts w:eastAsia="Arial"/>
          <w:i/>
        </w:rPr>
        <w:t>:</w:t>
      </w:r>
      <w:r w:rsidR="00947A04" w:rsidRPr="0001792D">
        <w:rPr>
          <w:rFonts w:eastAsia="Arial"/>
        </w:rPr>
        <w:t xml:space="preserve"> Pass the waveform through a channel.</w:t>
      </w:r>
    </w:p>
    <w:p w:rsidR="00947A04" w:rsidRPr="0001792D" w:rsidRDefault="00C758AC" w:rsidP="00C758AC">
      <w:pPr>
        <w:pStyle w:val="enumlev1"/>
        <w:rPr>
          <w:rFonts w:eastAsia="Arial"/>
        </w:rPr>
      </w:pPr>
      <w:r>
        <w:rPr>
          <w:rFonts w:eastAsia="Arial"/>
          <w:b/>
        </w:rPr>
        <w:t>5</w:t>
      </w:r>
      <w:r>
        <w:rPr>
          <w:rFonts w:eastAsia="Arial"/>
          <w:b/>
        </w:rPr>
        <w:tab/>
      </w:r>
      <w:r w:rsidR="00947A04" w:rsidRPr="0001792D">
        <w:rPr>
          <w:rFonts w:eastAsia="Arial"/>
          <w:b/>
        </w:rPr>
        <w:t>Perform synchronization and OFDM demodulation:</w:t>
      </w:r>
      <w:r w:rsidR="00947A04" w:rsidRPr="0001792D">
        <w:rPr>
          <w:rFonts w:eastAsia="Arial"/>
          <w:b/>
          <w:i/>
        </w:rPr>
        <w:t xml:space="preserve"> </w:t>
      </w:r>
      <w:r w:rsidR="00947A04" w:rsidRPr="0001792D">
        <w:rPr>
          <w:rFonts w:eastAsia="Arial"/>
        </w:rPr>
        <w:t>Perfect or practical synchronisation is performed.</w:t>
      </w:r>
    </w:p>
    <w:p w:rsidR="00947A04" w:rsidRPr="0001792D" w:rsidRDefault="00C758AC" w:rsidP="00C758AC">
      <w:pPr>
        <w:pStyle w:val="enumlev1"/>
        <w:rPr>
          <w:rFonts w:eastAsia="Arial"/>
        </w:rPr>
      </w:pPr>
      <w:r>
        <w:rPr>
          <w:rFonts w:eastAsia="Arial"/>
          <w:b/>
        </w:rPr>
        <w:t>6</w:t>
      </w:r>
      <w:r>
        <w:rPr>
          <w:rFonts w:eastAsia="Arial"/>
          <w:b/>
        </w:rPr>
        <w:tab/>
      </w:r>
      <w:r w:rsidR="00947A04" w:rsidRPr="0001792D">
        <w:rPr>
          <w:rFonts w:eastAsia="Arial"/>
          <w:b/>
        </w:rPr>
        <w:t>Perform channel estimation:</w:t>
      </w:r>
      <w:r w:rsidR="00947A04" w:rsidRPr="0001792D">
        <w:rPr>
          <w:rFonts w:eastAsia="Arial"/>
        </w:rPr>
        <w:t xml:space="preserve"> Perfect or practical channel estimation is performed by using the demodulation reference signals</w:t>
      </w:r>
      <w:r w:rsidR="00947A04">
        <w:rPr>
          <w:rFonts w:eastAsia="Arial"/>
        </w:rPr>
        <w:t xml:space="preserve"> or </w:t>
      </w:r>
      <w:r w:rsidR="00947A04" w:rsidRPr="00A950D6">
        <w:rPr>
          <w:rFonts w:eastAsia="Arial"/>
        </w:rPr>
        <w:t>common reference signal</w:t>
      </w:r>
      <w:r w:rsidR="00947A04" w:rsidRPr="0001792D">
        <w:rPr>
          <w:rFonts w:eastAsia="Arial"/>
        </w:rPr>
        <w:t>. Then OFDM demodulation is performed.</w:t>
      </w:r>
    </w:p>
    <w:p w:rsidR="00947A04" w:rsidRPr="0001792D" w:rsidRDefault="00C758AC" w:rsidP="00C758AC">
      <w:pPr>
        <w:pStyle w:val="enumlev1"/>
        <w:rPr>
          <w:rFonts w:eastAsia="Arial"/>
        </w:rPr>
      </w:pPr>
      <w:r>
        <w:rPr>
          <w:rFonts w:eastAsia="Arial"/>
          <w:b/>
        </w:rPr>
        <w:t>7</w:t>
      </w:r>
      <w:r>
        <w:rPr>
          <w:rFonts w:eastAsia="Arial"/>
          <w:b/>
        </w:rPr>
        <w:tab/>
      </w:r>
      <w:r w:rsidR="00947A04" w:rsidRPr="0001792D">
        <w:rPr>
          <w:rFonts w:eastAsia="Arial"/>
          <w:b/>
        </w:rPr>
        <w:t>Perform equalization and CPE compensation</w:t>
      </w:r>
      <w:r w:rsidR="00947A04">
        <w:rPr>
          <w:rFonts w:eastAsia="Arial"/>
        </w:rPr>
        <w:t>.</w:t>
      </w:r>
    </w:p>
    <w:p w:rsidR="00947A04" w:rsidRPr="0001792D" w:rsidRDefault="00C758AC" w:rsidP="00C758AC">
      <w:pPr>
        <w:pStyle w:val="enumlev1"/>
        <w:rPr>
          <w:rFonts w:eastAsia="Arial"/>
        </w:rPr>
      </w:pPr>
      <w:r>
        <w:rPr>
          <w:rFonts w:eastAsia="Arial"/>
          <w:b/>
        </w:rPr>
        <w:t>8</w:t>
      </w:r>
      <w:r>
        <w:rPr>
          <w:rFonts w:eastAsia="Arial"/>
          <w:b/>
        </w:rPr>
        <w:tab/>
      </w:r>
      <w:r w:rsidR="00947A04" w:rsidRPr="0001792D">
        <w:rPr>
          <w:rFonts w:eastAsia="Arial"/>
          <w:b/>
        </w:rPr>
        <w:t>Precoding matrix calculation:</w:t>
      </w:r>
      <w:r w:rsidR="00947A04" w:rsidRPr="0001792D">
        <w:rPr>
          <w:rFonts w:eastAsia="Arial"/>
        </w:rPr>
        <w:t xml:space="preserve"> Generate the precoding matrix for the next transmission.</w:t>
      </w:r>
    </w:p>
    <w:p w:rsidR="00947A04" w:rsidRPr="0001792D" w:rsidRDefault="00C758AC" w:rsidP="00C758AC">
      <w:pPr>
        <w:pStyle w:val="enumlev1"/>
        <w:rPr>
          <w:rFonts w:eastAsia="Arial"/>
        </w:rPr>
      </w:pPr>
      <w:r>
        <w:rPr>
          <w:rFonts w:eastAsia="Arial"/>
          <w:b/>
        </w:rPr>
        <w:t>9</w:t>
      </w:r>
      <w:r>
        <w:rPr>
          <w:rFonts w:eastAsia="Arial"/>
          <w:b/>
        </w:rPr>
        <w:tab/>
      </w:r>
      <w:r w:rsidR="00947A04" w:rsidRPr="0001792D">
        <w:rPr>
          <w:rFonts w:eastAsia="Arial"/>
          <w:b/>
        </w:rPr>
        <w:t xml:space="preserve">Decode the </w:t>
      </w:r>
      <w:r w:rsidR="00947A04">
        <w:rPr>
          <w:rFonts w:eastAsia="Arial"/>
        </w:rPr>
        <w:t>TCH</w:t>
      </w:r>
      <w:r w:rsidR="00947A04" w:rsidRPr="0001792D">
        <w:rPr>
          <w:rFonts w:eastAsia="Arial"/>
          <w:b/>
        </w:rPr>
        <w:t>:</w:t>
      </w:r>
      <w:r w:rsidR="00947A04" w:rsidRPr="0001792D">
        <w:rPr>
          <w:rFonts w:eastAsia="Arial"/>
        </w:rPr>
        <w:t xml:space="preserve"> Demodulation and descrambling of the recovered </w:t>
      </w:r>
      <w:r w:rsidR="00947A04">
        <w:rPr>
          <w:rFonts w:eastAsia="Arial"/>
        </w:rPr>
        <w:t>TCH</w:t>
      </w:r>
      <w:r w:rsidR="00947A04" w:rsidRPr="0001792D">
        <w:rPr>
          <w:rFonts w:eastAsia="Arial"/>
        </w:rPr>
        <w:t xml:space="preserve"> symbols for all transmit and receive antenna pairs, along with a noise estimate is performed.</w:t>
      </w:r>
    </w:p>
    <w:p w:rsidR="00947A04" w:rsidRDefault="00C758AC" w:rsidP="00C758AC">
      <w:pPr>
        <w:pStyle w:val="enumlev1"/>
        <w:rPr>
          <w:rFonts w:eastAsia="Arial"/>
          <w:b/>
        </w:rPr>
      </w:pPr>
      <w:r>
        <w:rPr>
          <w:rFonts w:eastAsia="Arial"/>
          <w:b/>
        </w:rPr>
        <w:t>10</w:t>
      </w:r>
      <w:r>
        <w:rPr>
          <w:rFonts w:eastAsia="Arial"/>
          <w:b/>
        </w:rPr>
        <w:tab/>
      </w:r>
      <w:r w:rsidR="00947A04" w:rsidRPr="0001792D">
        <w:rPr>
          <w:rFonts w:eastAsia="Arial"/>
          <w:b/>
        </w:rPr>
        <w:t>Decode DL-</w:t>
      </w:r>
      <w:r w:rsidR="00947A04" w:rsidRPr="00A950D6">
        <w:rPr>
          <w:rFonts w:eastAsia="Arial"/>
          <w:b/>
        </w:rPr>
        <w:t xml:space="preserve">TCH </w:t>
      </w:r>
    </w:p>
    <w:p w:rsidR="00947A04" w:rsidRDefault="00947A04" w:rsidP="00947A04">
      <w:pPr>
        <w:pStyle w:val="Heading2"/>
        <w:rPr>
          <w:szCs w:val="24"/>
        </w:rPr>
      </w:pPr>
      <w:r w:rsidRPr="0001792D">
        <w:rPr>
          <w:szCs w:val="24"/>
        </w:rPr>
        <w:t>II-</w:t>
      </w:r>
      <w:r>
        <w:rPr>
          <w:szCs w:val="24"/>
        </w:rPr>
        <w:t>C</w:t>
      </w:r>
      <w:r w:rsidRPr="0001792D">
        <w:rPr>
          <w:szCs w:val="24"/>
        </w:rPr>
        <w:t>-</w:t>
      </w:r>
      <w:r>
        <w:rPr>
          <w:szCs w:val="24"/>
        </w:rPr>
        <w:t>2C</w:t>
      </w:r>
      <w:r w:rsidRPr="0001792D">
        <w:rPr>
          <w:szCs w:val="24"/>
        </w:rPr>
        <w:tab/>
      </w:r>
      <w:r>
        <w:rPr>
          <w:szCs w:val="24"/>
        </w:rPr>
        <w:t xml:space="preserve">Channel Model  </w:t>
      </w:r>
    </w:p>
    <w:p w:rsidR="00947A04" w:rsidRPr="001B1570" w:rsidRDefault="00947A04" w:rsidP="00947A04">
      <w:pPr>
        <w:jc w:val="both"/>
        <w:rPr>
          <w:color w:val="000000"/>
        </w:rPr>
      </w:pPr>
      <w:r w:rsidRPr="001B1570">
        <w:rPr>
          <w:color w:val="000000"/>
        </w:rPr>
        <w:t>T</w:t>
      </w:r>
      <w:r>
        <w:rPr>
          <w:color w:val="000000"/>
        </w:rPr>
        <w:t>he channel model</w:t>
      </w:r>
      <w:r w:rsidRPr="001B1570">
        <w:rPr>
          <w:color w:val="000000"/>
        </w:rPr>
        <w:t xml:space="preserve"> is based on 3GPP TR 38.901 [1</w:t>
      </w:r>
      <w:r w:rsidRPr="00463856">
        <w:rPr>
          <w:color w:val="000000"/>
        </w:rPr>
        <w:t>] implementation</w:t>
      </w:r>
      <w:r w:rsidRPr="001B1570">
        <w:rPr>
          <w:color w:val="000000"/>
        </w:rPr>
        <w:t xml:space="preserve"> of a channel model [2][3]. Which is a 3D statistical Spatial Channel Model supporting different propagation environments (e.g., urban, rural, indoor), multi-antenna operations and the modelling of wireless channels between 0.5 and 100 GHz.  </w:t>
      </w:r>
    </w:p>
    <w:p w:rsidR="00947A04" w:rsidRPr="001B1570" w:rsidRDefault="00947A04" w:rsidP="00947A04">
      <w:pPr>
        <w:jc w:val="both"/>
        <w:rPr>
          <w:color w:val="000000"/>
        </w:rPr>
      </w:pPr>
      <w:r>
        <w:rPr>
          <w:color w:val="000000"/>
        </w:rPr>
        <w:t>The implementation focused on</w:t>
      </w:r>
      <w:r w:rsidRPr="001B1570">
        <w:rPr>
          <w:color w:val="000000"/>
        </w:rPr>
        <w:t>:</w:t>
      </w:r>
    </w:p>
    <w:p w:rsidR="00947A04" w:rsidRPr="001B1570" w:rsidRDefault="004820DC" w:rsidP="004820DC">
      <w:pPr>
        <w:pStyle w:val="enumlev1"/>
      </w:pPr>
      <w:r>
        <w:t>•</w:t>
      </w:r>
      <w:r>
        <w:tab/>
      </w:r>
      <w:r w:rsidR="00947A04" w:rsidRPr="001B1570">
        <w:t>Path loss and shadowing models (3GPP TR 38.901, Sec. 7.4.1)</w:t>
      </w:r>
    </w:p>
    <w:p w:rsidR="00947A04" w:rsidRPr="001B1570" w:rsidRDefault="004820DC" w:rsidP="004820DC">
      <w:pPr>
        <w:pStyle w:val="enumlev1"/>
      </w:pPr>
      <w:r>
        <w:t>•</w:t>
      </w:r>
      <w:r>
        <w:tab/>
      </w:r>
      <w:r w:rsidR="00947A04" w:rsidRPr="001B1570">
        <w:t>Autocorrelation of shadow fading (3GPP TR 38.901, Sec. 7.4.4)</w:t>
      </w:r>
    </w:p>
    <w:p w:rsidR="00947A04" w:rsidRPr="001B1570" w:rsidRDefault="004820DC" w:rsidP="004820DC">
      <w:pPr>
        <w:pStyle w:val="enumlev1"/>
      </w:pPr>
      <w:r>
        <w:t>•</w:t>
      </w:r>
      <w:r>
        <w:tab/>
      </w:r>
      <w:r w:rsidR="00947A04" w:rsidRPr="001B1570">
        <w:t>Channel condition models (3GPP TR 38.901, Sec. 7.4.2)</w:t>
      </w:r>
    </w:p>
    <w:p w:rsidR="00947A04" w:rsidRPr="001B1570" w:rsidRDefault="00947A04" w:rsidP="00947A04">
      <w:pPr>
        <w:jc w:val="both"/>
        <w:rPr>
          <w:color w:val="000000"/>
        </w:rPr>
      </w:pPr>
      <w:r>
        <w:rPr>
          <w:color w:val="000000"/>
        </w:rPr>
        <w:t>For authenticating our channel model, w</w:t>
      </w:r>
      <w:r w:rsidRPr="001B1570">
        <w:rPr>
          <w:color w:val="000000"/>
        </w:rPr>
        <w:t>e compared the 3GPP TR 38.901 specification with IMT 2020 channel specification</w:t>
      </w:r>
      <w:r>
        <w:rPr>
          <w:color w:val="000000"/>
        </w:rPr>
        <w:t>. After careful consideration</w:t>
      </w:r>
      <w:r w:rsidRPr="001B1570">
        <w:rPr>
          <w:color w:val="000000"/>
        </w:rPr>
        <w:t xml:space="preserve"> </w:t>
      </w:r>
      <w:r>
        <w:rPr>
          <w:color w:val="000000"/>
        </w:rPr>
        <w:t>we</w:t>
      </w:r>
      <w:r w:rsidRPr="001B1570">
        <w:rPr>
          <w:color w:val="000000"/>
        </w:rPr>
        <w:t xml:space="preserve"> observe</w:t>
      </w:r>
      <w:r>
        <w:rPr>
          <w:color w:val="000000"/>
        </w:rPr>
        <w:t>d</w:t>
      </w:r>
      <w:r w:rsidRPr="001B1570">
        <w:rPr>
          <w:color w:val="000000"/>
        </w:rPr>
        <w:t xml:space="preserve"> only a few </w:t>
      </w:r>
      <w:r>
        <w:rPr>
          <w:color w:val="000000"/>
        </w:rPr>
        <w:t xml:space="preserve">minor </w:t>
      </w:r>
      <w:r w:rsidRPr="001B1570">
        <w:rPr>
          <w:color w:val="000000"/>
        </w:rPr>
        <w:t>parameter differences</w:t>
      </w:r>
      <w:r>
        <w:rPr>
          <w:color w:val="000000"/>
        </w:rPr>
        <w:t xml:space="preserve"> which have negligible to zero impact on the simulation results.</w:t>
      </w:r>
      <w:r w:rsidRPr="001B1570">
        <w:rPr>
          <w:color w:val="000000"/>
        </w:rPr>
        <w:t>  Hence, we have developed the EUHT channel based on 3GPP channel model. </w:t>
      </w:r>
    </w:p>
    <w:p w:rsidR="00947A04" w:rsidRPr="00F63F6B" w:rsidRDefault="00947A04" w:rsidP="00947A04">
      <w:pPr>
        <w:jc w:val="both"/>
        <w:rPr>
          <w:i/>
          <w:iCs/>
          <w:color w:val="000000"/>
        </w:rPr>
      </w:pPr>
      <w:r w:rsidRPr="00F63F6B">
        <w:rPr>
          <w:i/>
          <w:iCs/>
          <w:color w:val="000000"/>
        </w:rPr>
        <w:t>The detailed study for this comparison is available upon request.</w:t>
      </w:r>
    </w:p>
    <w:p w:rsidR="00947A04" w:rsidRDefault="00947A04" w:rsidP="00947A04">
      <w:pPr>
        <w:pStyle w:val="Heading2"/>
        <w:rPr>
          <w:szCs w:val="24"/>
        </w:rPr>
      </w:pPr>
      <w:r w:rsidRPr="0001792D">
        <w:rPr>
          <w:szCs w:val="24"/>
        </w:rPr>
        <w:t>II-</w:t>
      </w:r>
      <w:r>
        <w:rPr>
          <w:szCs w:val="24"/>
        </w:rPr>
        <w:t>C</w:t>
      </w:r>
      <w:r w:rsidRPr="0001792D">
        <w:rPr>
          <w:szCs w:val="24"/>
        </w:rPr>
        <w:t>-</w:t>
      </w:r>
      <w:r>
        <w:rPr>
          <w:szCs w:val="24"/>
        </w:rPr>
        <w:t>3</w:t>
      </w:r>
      <w:r w:rsidRPr="0001792D">
        <w:rPr>
          <w:szCs w:val="24"/>
        </w:rPr>
        <w:tab/>
      </w:r>
      <w:r>
        <w:rPr>
          <w:szCs w:val="24"/>
        </w:rPr>
        <w:t>Results</w:t>
      </w:r>
    </w:p>
    <w:p w:rsidR="00947A04" w:rsidRDefault="00947A04" w:rsidP="000B3287">
      <w:pPr>
        <w:rPr>
          <w:b/>
        </w:rPr>
      </w:pPr>
      <w:r w:rsidRPr="00DD6850">
        <w:t>The 5%-tile SINR applied for link level simulation is -2.</w:t>
      </w:r>
      <w:r>
        <w:t>675</w:t>
      </w:r>
      <w:r w:rsidRPr="00DD6850">
        <w:t xml:space="preserve"> dB</w:t>
      </w:r>
      <w:r>
        <w:t xml:space="preserve"> as it can be seen in the following figure. It can be seen in Table 4 that the candidate technology does not pass the reliability requirements of ITU.</w:t>
      </w:r>
    </w:p>
    <w:p w:rsidR="00D81171" w:rsidRDefault="00D81171" w:rsidP="00D81171">
      <w:pPr>
        <w:pStyle w:val="FigureNo"/>
      </w:pPr>
      <w:r w:rsidRPr="0076542F">
        <w:t>Fig</w:t>
      </w:r>
      <w:r w:rsidR="00C758AC">
        <w:t xml:space="preserve">URE </w:t>
      </w:r>
      <w:r w:rsidRPr="0076542F">
        <w:t>2</w:t>
      </w:r>
    </w:p>
    <w:p w:rsidR="00D81171" w:rsidRPr="0076542F" w:rsidRDefault="00D81171" w:rsidP="00D81171">
      <w:pPr>
        <w:pStyle w:val="Figuretitle"/>
      </w:pPr>
      <w:r w:rsidRPr="0076542F">
        <w:t>Downlink SINR distribution obtained from System-Level simulations</w:t>
      </w:r>
    </w:p>
    <w:p w:rsidR="00947A04" w:rsidRDefault="00947A04" w:rsidP="00947A04">
      <w:pPr>
        <w:spacing w:line="360" w:lineRule="auto"/>
        <w:jc w:val="center"/>
      </w:pPr>
      <w:r>
        <w:rPr>
          <w:noProof/>
          <w:lang w:val="en-US"/>
        </w:rPr>
        <w:drawing>
          <wp:inline distT="114300" distB="114300" distL="114300" distR="114300" wp14:anchorId="204C9661" wp14:editId="3531C821">
            <wp:extent cx="3220085" cy="2121772"/>
            <wp:effectExtent l="0" t="0" r="5715" b="0"/>
            <wp:docPr id="2" name="image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Chart, line chart&#10;&#10;Description automatically generated"/>
                    <pic:cNvPicPr preferRelativeResize="0"/>
                  </pic:nvPicPr>
                  <pic:blipFill rotWithShape="1">
                    <a:blip r:embed="rId19"/>
                    <a:srcRect t="10438"/>
                    <a:stretch/>
                  </pic:blipFill>
                  <pic:spPr bwMode="auto">
                    <a:xfrm>
                      <a:off x="0" y="0"/>
                      <a:ext cx="3244212" cy="2137670"/>
                    </a:xfrm>
                    <a:prstGeom prst="rect">
                      <a:avLst/>
                    </a:prstGeom>
                    <a:ln>
                      <a:noFill/>
                    </a:ln>
                    <a:extLst>
                      <a:ext uri="{53640926-AAD7-44D8-BBD7-CCE9431645EC}">
                        <a14:shadowObscured xmlns:a14="http://schemas.microsoft.com/office/drawing/2010/main"/>
                      </a:ext>
                    </a:extLst>
                  </pic:spPr>
                </pic:pic>
              </a:graphicData>
            </a:graphic>
          </wp:inline>
        </w:drawing>
      </w:r>
    </w:p>
    <w:p w:rsidR="00947A04" w:rsidRDefault="00947A04" w:rsidP="00947A04">
      <w:pPr>
        <w:pStyle w:val="Heading2"/>
        <w:rPr>
          <w:szCs w:val="24"/>
        </w:rPr>
      </w:pPr>
      <w:r w:rsidRPr="0001792D">
        <w:rPr>
          <w:szCs w:val="24"/>
        </w:rPr>
        <w:t>II-</w:t>
      </w:r>
      <w:r>
        <w:rPr>
          <w:szCs w:val="24"/>
        </w:rPr>
        <w:t>C</w:t>
      </w:r>
      <w:r w:rsidRPr="0001792D">
        <w:rPr>
          <w:szCs w:val="24"/>
        </w:rPr>
        <w:t>-</w:t>
      </w:r>
      <w:r>
        <w:rPr>
          <w:szCs w:val="24"/>
        </w:rPr>
        <w:t>4</w:t>
      </w:r>
      <w:r w:rsidRPr="0001792D">
        <w:rPr>
          <w:szCs w:val="24"/>
        </w:rPr>
        <w:tab/>
      </w:r>
      <w:r>
        <w:rPr>
          <w:szCs w:val="24"/>
        </w:rPr>
        <w:t>Updated results</w:t>
      </w:r>
    </w:p>
    <w:p w:rsidR="00947A04" w:rsidRDefault="00947A04" w:rsidP="000B3287">
      <w:pPr>
        <w:rPr>
          <w:b/>
          <w:bCs/>
        </w:rPr>
      </w:pPr>
      <w:r w:rsidRPr="0076542F">
        <w:t xml:space="preserve">This section contains the updated results for reliability analysis of EUHT. It can be seen in Table 4 that the RIT does not meet the reliability criteria for urban macro URLLC scenario. There are several observations that WWRF has compiled using the report ITU-R M.2412 and technical specifications for EUHT provided by </w:t>
      </w:r>
      <w:proofErr w:type="spellStart"/>
      <w:r w:rsidRPr="0076542F">
        <w:t>Nufront</w:t>
      </w:r>
      <w:proofErr w:type="spellEnd"/>
      <w:r w:rsidRPr="0076542F">
        <w:t>.</w:t>
      </w:r>
    </w:p>
    <w:p w:rsidR="00947A04" w:rsidRPr="001B1570" w:rsidRDefault="00947A04" w:rsidP="00C758AC">
      <w:pPr>
        <w:pStyle w:val="Headingb"/>
      </w:pPr>
      <w:r w:rsidRPr="001B1570">
        <w:t>Observations from ITU-R M.2412 and EUHT specification document:</w:t>
      </w:r>
    </w:p>
    <w:p w:rsidR="00947A04" w:rsidRDefault="000B3287" w:rsidP="000B3287">
      <w:pPr>
        <w:rPr>
          <w:b/>
          <w:bCs/>
        </w:rPr>
      </w:pPr>
      <w:r>
        <w:t>•</w:t>
      </w:r>
      <w:r>
        <w:tab/>
      </w:r>
      <w:r w:rsidR="00947A04">
        <w:t>For meeting the reliability criteria (&gt; 99.999%), channel estimation is one of the key processes. In EUHT technology, channel estimation is performed using the common reference signal (CRS).</w:t>
      </w:r>
    </w:p>
    <w:p w:rsidR="00947A04" w:rsidRDefault="000B3287" w:rsidP="000B3287">
      <w:pPr>
        <w:rPr>
          <w:b/>
          <w:bCs/>
        </w:rPr>
      </w:pPr>
      <w:r>
        <w:t>•</w:t>
      </w:r>
      <w:r>
        <w:tab/>
      </w:r>
      <w:r w:rsidR="00947A04">
        <w:t>As per</w:t>
      </w:r>
      <w:r w:rsidR="00947A04" w:rsidRPr="00911941">
        <w:t xml:space="preserve"> ITU-R M.2412, there are 19</w:t>
      </w:r>
      <w:r w:rsidR="00947A04">
        <w:t>×</w:t>
      </w:r>
      <w:r w:rsidR="00947A04" w:rsidRPr="00911941">
        <w:t>3 cells in Urban Macro-URLLC test environment</w:t>
      </w:r>
      <w:r w:rsidR="00947A04">
        <w:t xml:space="preserve"> and a</w:t>
      </w:r>
      <w:r w:rsidR="00947A04" w:rsidRPr="00911941">
        <w:t xml:space="preserve">ll the </w:t>
      </w:r>
      <w:r w:rsidR="00947A04">
        <w:t>user terminals</w:t>
      </w:r>
      <w:r w:rsidR="00947A04" w:rsidRPr="00911941">
        <w:t xml:space="preserve"> will be evaluated in the URLLC evaluation assumptions</w:t>
      </w:r>
      <w:r w:rsidR="00947A04">
        <w:t>.</w:t>
      </w:r>
    </w:p>
    <w:p w:rsidR="00947A04" w:rsidRDefault="000B3287" w:rsidP="000B3287">
      <w:pPr>
        <w:rPr>
          <w:b/>
          <w:bCs/>
        </w:rPr>
      </w:pPr>
      <w:r>
        <w:t>•</w:t>
      </w:r>
      <w:r>
        <w:tab/>
      </w:r>
      <w:r w:rsidR="00947A04">
        <w:t>This means</w:t>
      </w:r>
      <w:r w:rsidR="00947A04" w:rsidRPr="00911941">
        <w:t xml:space="preserve"> all these </w:t>
      </w:r>
      <w:r w:rsidR="00947A04">
        <w:t>terminals</w:t>
      </w:r>
      <w:r w:rsidR="00947A04" w:rsidRPr="00911941">
        <w:t xml:space="preserve"> have the URLLC traffic with at least 99.999% success probability in 1 </w:t>
      </w:r>
      <w:r w:rsidR="00947A04">
        <w:t>millisecond</w:t>
      </w:r>
      <w:r w:rsidR="00947A04" w:rsidRPr="00911941">
        <w:t>.</w:t>
      </w:r>
    </w:p>
    <w:p w:rsidR="00947A04" w:rsidRPr="002C7404" w:rsidRDefault="000B3287" w:rsidP="000B3287">
      <w:pPr>
        <w:rPr>
          <w:b/>
          <w:bCs/>
        </w:rPr>
      </w:pPr>
      <w:r>
        <w:t>•</w:t>
      </w:r>
      <w:r>
        <w:tab/>
      </w:r>
      <w:r w:rsidR="00947A04">
        <w:t>In low error mode, the CRS consists of one unique sequence without any identification.</w:t>
      </w:r>
    </w:p>
    <w:p w:rsidR="00947A04" w:rsidRPr="0076542F" w:rsidRDefault="000B3287" w:rsidP="000B3287">
      <w:pPr>
        <w:rPr>
          <w:b/>
          <w:bCs/>
        </w:rPr>
      </w:pPr>
      <w:r>
        <w:t>•</w:t>
      </w:r>
      <w:r>
        <w:tab/>
      </w:r>
      <w:r w:rsidR="00947A04">
        <w:t>During the transmission of one frame, all the cells operate in the same mode i.e., either normal mode or low error mode. Therefore, it can be assumed that all the cells in Urban-Macro URLLC simulations should be in the low error mode.</w:t>
      </w:r>
    </w:p>
    <w:p w:rsidR="00947A04" w:rsidRDefault="000B3287" w:rsidP="000B3287">
      <w:pPr>
        <w:rPr>
          <w:b/>
        </w:rPr>
      </w:pPr>
      <w:r>
        <w:t>•</w:t>
      </w:r>
      <w:r>
        <w:tab/>
      </w:r>
      <w:r w:rsidR="00947A04">
        <w:t>This results in all cells sending the same CRS at the same time, which means for any cell, the CRS in the low error mode would be polluted by signals of the neighbouring cells and result in wrong channel estimation. This will lead to CCH performance degradation in URLLC mode. The frame structure is given in Fig. 3.</w:t>
      </w:r>
    </w:p>
    <w:p w:rsidR="00D81171" w:rsidRDefault="00D81171" w:rsidP="00D81171">
      <w:pPr>
        <w:pStyle w:val="FigureNo"/>
        <w:rPr>
          <w:b/>
        </w:rPr>
      </w:pPr>
      <w:r w:rsidRPr="001B1570">
        <w:t>Fig</w:t>
      </w:r>
      <w:r w:rsidR="00C758AC">
        <w:t>URE</w:t>
      </w:r>
      <w:r w:rsidRPr="001B1570">
        <w:t xml:space="preserve"> </w:t>
      </w:r>
      <w:r>
        <w:t>3</w:t>
      </w:r>
    </w:p>
    <w:p w:rsidR="00D81171" w:rsidRDefault="00D81171" w:rsidP="00D81171">
      <w:pPr>
        <w:pStyle w:val="Figuretitle"/>
        <w:rPr>
          <w:bCs/>
        </w:rPr>
      </w:pPr>
      <w:r>
        <w:t>Frame structure of EUHT in physical layer (EUHT Specification)</w:t>
      </w:r>
    </w:p>
    <w:p w:rsidR="00947A04" w:rsidRPr="00205DAC" w:rsidRDefault="00947A04" w:rsidP="00947A04">
      <w:pPr>
        <w:pStyle w:val="Heading2"/>
        <w:jc w:val="center"/>
        <w:rPr>
          <w:szCs w:val="24"/>
        </w:rPr>
      </w:pPr>
      <w:r w:rsidRPr="00C947F4">
        <w:rPr>
          <w:noProof/>
          <w:sz w:val="22"/>
          <w:lang w:val="en-US"/>
        </w:rPr>
        <w:drawing>
          <wp:inline distT="0" distB="0" distL="0" distR="0" wp14:anchorId="51D75901" wp14:editId="4D7E4BFC">
            <wp:extent cx="5411338" cy="2026094"/>
            <wp:effectExtent l="19050" t="19050" r="18415" b="12700"/>
            <wp:docPr id="51" name="图片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Timeline&#10;&#10;Description automatically generated"/>
                    <pic:cNvPicPr/>
                  </pic:nvPicPr>
                  <pic:blipFill>
                    <a:blip r:embed="rId20"/>
                    <a:stretch>
                      <a:fillRect/>
                    </a:stretch>
                  </pic:blipFill>
                  <pic:spPr>
                    <a:xfrm>
                      <a:off x="0" y="0"/>
                      <a:ext cx="5416766" cy="2028126"/>
                    </a:xfrm>
                    <a:prstGeom prst="rect">
                      <a:avLst/>
                    </a:prstGeom>
                    <a:ln>
                      <a:solidFill>
                        <a:sysClr val="windowText" lastClr="000000"/>
                      </a:solidFill>
                    </a:ln>
                  </pic:spPr>
                </pic:pic>
              </a:graphicData>
            </a:graphic>
          </wp:inline>
        </w:drawing>
      </w:r>
    </w:p>
    <w:p w:rsidR="00947A04" w:rsidRDefault="000B3287" w:rsidP="000B3287">
      <w:pPr>
        <w:rPr>
          <w:b/>
          <w:bCs/>
        </w:rPr>
      </w:pPr>
      <w:r>
        <w:t>•</w:t>
      </w:r>
      <w:r>
        <w:tab/>
      </w:r>
      <w:r w:rsidR="00947A04">
        <w:t>This forms the basis of EUHT Technology not being able to meet the reliability criteria. WWRF further analysed the Downlink TCH (DL-TCH) performance under the same set of conditions.</w:t>
      </w:r>
    </w:p>
    <w:p w:rsidR="00947A04" w:rsidRDefault="000B3287" w:rsidP="000B3287">
      <w:pPr>
        <w:rPr>
          <w:b/>
          <w:bCs/>
        </w:rPr>
      </w:pPr>
      <w:r>
        <w:t>•</w:t>
      </w:r>
      <w:r>
        <w:tab/>
      </w:r>
      <w:r w:rsidR="00947A04">
        <w:t xml:space="preserve">As per the self-evaluation report of </w:t>
      </w:r>
      <w:proofErr w:type="spellStart"/>
      <w:r w:rsidR="00947A04">
        <w:t>Nufront</w:t>
      </w:r>
      <w:proofErr w:type="spellEnd"/>
      <w:r w:rsidR="00947A04">
        <w:t xml:space="preserve"> for EUHT technology, there are 12 number of repetitions for DL-TCH. WWRF has followed the same test environment in their simulations.  As per the Section 8.5.3 in EUHT specification document, a single RU-OFDMA scheme supports up to 4 repetitions in time domain. WWRF’s simulations are also based on RU-OFDMA.</w:t>
      </w:r>
    </w:p>
    <w:p w:rsidR="00947A04" w:rsidRDefault="000B3287" w:rsidP="000B3287">
      <w:pPr>
        <w:rPr>
          <w:b/>
          <w:bCs/>
        </w:rPr>
      </w:pPr>
      <w:r>
        <w:t>•</w:t>
      </w:r>
      <w:r>
        <w:tab/>
      </w:r>
      <w:r w:rsidR="00947A04">
        <w:t>As per the EUHT specification document, for RU-OFDMA scheme, CRS is used for channel estimation which means DL-TCH will encounter the same problem like CCH. This will lead to wrong channel estimation and performance degradation for DL-TCH.</w:t>
      </w:r>
    </w:p>
    <w:p w:rsidR="00947A04" w:rsidRDefault="000B3287" w:rsidP="000B3287">
      <w:pPr>
        <w:rPr>
          <w:b/>
          <w:bCs/>
        </w:rPr>
      </w:pPr>
      <w:r>
        <w:t>•</w:t>
      </w:r>
      <w:r>
        <w:tab/>
      </w:r>
      <w:r w:rsidR="00947A04">
        <w:t>Considering all these assumptions, WWRF concludes that even if antennae elements are increased at the receiver end (2, 4 and 8), wrong channel estimation leads to performance degradation in both CCH and DL-TCH and becomes the basis for EUHT not passing the reliability requirements.</w:t>
      </w:r>
    </w:p>
    <w:p w:rsidR="00947A04" w:rsidRPr="0076542F" w:rsidRDefault="000B3287" w:rsidP="000B3287">
      <w:pPr>
        <w:rPr>
          <w:b/>
          <w:bCs/>
        </w:rPr>
      </w:pPr>
      <w:r>
        <w:t>•</w:t>
      </w:r>
      <w:r>
        <w:tab/>
      </w:r>
      <w:r w:rsidR="00947A04">
        <w:t>The results are provided in the Table 4 as follows.</w:t>
      </w:r>
    </w:p>
    <w:p w:rsidR="00D81171" w:rsidRDefault="00947A04" w:rsidP="00D81171">
      <w:pPr>
        <w:pStyle w:val="TableNo"/>
      </w:pPr>
      <w:r w:rsidRPr="0001792D">
        <w:t xml:space="preserve">Table </w:t>
      </w:r>
      <w:r>
        <w:t>4</w:t>
      </w:r>
    </w:p>
    <w:p w:rsidR="00947A04" w:rsidRDefault="00947A04" w:rsidP="00D81171">
      <w:pPr>
        <w:pStyle w:val="Tabletitle"/>
      </w:pPr>
      <w:r>
        <w:t>Final and updated results for Downlink (Antennae Config 8×8)</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271"/>
        <w:gridCol w:w="992"/>
        <w:gridCol w:w="992"/>
        <w:gridCol w:w="993"/>
        <w:gridCol w:w="1422"/>
        <w:gridCol w:w="1559"/>
      </w:tblGrid>
      <w:tr w:rsidR="00947A04" w:rsidRPr="0001792D" w:rsidTr="00C01B2B">
        <w:trPr>
          <w:cantSplit/>
          <w:tblHeader/>
          <w:jc w:val="center"/>
        </w:trPr>
        <w:tc>
          <w:tcPr>
            <w:tcW w:w="1418" w:type="dxa"/>
            <w:vMerge w:val="restart"/>
            <w:shd w:val="clear" w:color="auto" w:fill="auto"/>
            <w:vAlign w:val="center"/>
            <w:hideMark/>
          </w:tcPr>
          <w:p w:rsidR="00947A04" w:rsidRPr="00A15194" w:rsidRDefault="00947A04" w:rsidP="000834BF">
            <w:pPr>
              <w:pStyle w:val="Tablehead"/>
            </w:pPr>
            <w:r w:rsidRPr="00A15194">
              <w:t>Minimum technical performance requirements (ITU-R M.2410)</w:t>
            </w:r>
          </w:p>
        </w:tc>
        <w:tc>
          <w:tcPr>
            <w:tcW w:w="3255" w:type="dxa"/>
            <w:gridSpan w:val="3"/>
            <w:shd w:val="clear" w:color="auto" w:fill="auto"/>
            <w:vAlign w:val="center"/>
            <w:hideMark/>
          </w:tcPr>
          <w:p w:rsidR="00947A04" w:rsidRPr="00A15194" w:rsidRDefault="00947A04" w:rsidP="000834BF">
            <w:pPr>
              <w:pStyle w:val="Tablehead"/>
            </w:pPr>
            <w:r w:rsidRPr="00A15194">
              <w:t>Category</w:t>
            </w:r>
          </w:p>
        </w:tc>
        <w:tc>
          <w:tcPr>
            <w:tcW w:w="992" w:type="dxa"/>
            <w:vMerge w:val="restart"/>
            <w:shd w:val="clear" w:color="auto" w:fill="auto"/>
            <w:vAlign w:val="center"/>
          </w:tcPr>
          <w:p w:rsidR="00947A04" w:rsidRPr="00A15194" w:rsidRDefault="00947A04" w:rsidP="000834BF">
            <w:pPr>
              <w:pStyle w:val="Tablehead"/>
            </w:pPr>
            <w:r w:rsidRPr="00A15194">
              <w:t>Required value</w:t>
            </w:r>
          </w:p>
        </w:tc>
        <w:tc>
          <w:tcPr>
            <w:tcW w:w="993" w:type="dxa"/>
            <w:vMerge w:val="restart"/>
            <w:shd w:val="clear" w:color="auto" w:fill="auto"/>
            <w:vAlign w:val="center"/>
          </w:tcPr>
          <w:p w:rsidR="00947A04" w:rsidRPr="00A15194" w:rsidRDefault="00947A04" w:rsidP="000834BF">
            <w:pPr>
              <w:pStyle w:val="Tablehead"/>
            </w:pPr>
            <w:r w:rsidRPr="00A15194">
              <w:t>Value</w:t>
            </w:r>
          </w:p>
        </w:tc>
        <w:tc>
          <w:tcPr>
            <w:tcW w:w="1422" w:type="dxa"/>
            <w:vMerge w:val="restart"/>
            <w:shd w:val="clear" w:color="auto" w:fill="auto"/>
            <w:vAlign w:val="center"/>
          </w:tcPr>
          <w:p w:rsidR="00947A04" w:rsidRPr="00A15194" w:rsidRDefault="00947A04" w:rsidP="000834BF">
            <w:pPr>
              <w:pStyle w:val="Tablehead"/>
              <w:ind w:left="-70"/>
            </w:pPr>
            <w:r w:rsidRPr="00A15194">
              <w:t>Meets the Requirement?</w:t>
            </w:r>
          </w:p>
        </w:tc>
        <w:tc>
          <w:tcPr>
            <w:tcW w:w="1559" w:type="dxa"/>
            <w:vMerge w:val="restart"/>
            <w:shd w:val="clear" w:color="auto" w:fill="auto"/>
            <w:vAlign w:val="center"/>
            <w:hideMark/>
          </w:tcPr>
          <w:p w:rsidR="00947A04" w:rsidRPr="00A15194" w:rsidRDefault="00947A04" w:rsidP="000834BF">
            <w:pPr>
              <w:pStyle w:val="Tablehead"/>
            </w:pPr>
            <w:r w:rsidRPr="00A15194">
              <w:t>Remarks</w:t>
            </w:r>
          </w:p>
        </w:tc>
      </w:tr>
      <w:tr w:rsidR="00947A04" w:rsidRPr="0001792D" w:rsidTr="00C01B2B">
        <w:trPr>
          <w:cantSplit/>
          <w:tblHeader/>
          <w:jc w:val="center"/>
        </w:trPr>
        <w:tc>
          <w:tcPr>
            <w:tcW w:w="1418" w:type="dxa"/>
            <w:vMerge/>
            <w:shd w:val="clear" w:color="auto" w:fill="auto"/>
            <w:vAlign w:val="center"/>
            <w:hideMark/>
          </w:tcPr>
          <w:p w:rsidR="00947A04" w:rsidRPr="00A15194" w:rsidRDefault="00947A04" w:rsidP="00C01B2B">
            <w:pPr>
              <w:tabs>
                <w:tab w:val="left" w:pos="794"/>
                <w:tab w:val="left" w:pos="1191"/>
                <w:tab w:val="left" w:pos="1588"/>
                <w:tab w:val="left" w:pos="1985"/>
              </w:tabs>
              <w:jc w:val="both"/>
              <w:rPr>
                <w:b/>
                <w:sz w:val="18"/>
                <w:szCs w:val="18"/>
              </w:rPr>
            </w:pPr>
          </w:p>
        </w:tc>
        <w:tc>
          <w:tcPr>
            <w:tcW w:w="992" w:type="dxa"/>
            <w:shd w:val="clear" w:color="auto" w:fill="auto"/>
            <w:vAlign w:val="center"/>
            <w:hideMark/>
          </w:tcPr>
          <w:p w:rsidR="00947A04" w:rsidRPr="00A15194" w:rsidRDefault="00947A04" w:rsidP="000834BF">
            <w:pPr>
              <w:pStyle w:val="Tablehead"/>
            </w:pPr>
            <w:r w:rsidRPr="00A15194">
              <w:t>Usage scenario</w:t>
            </w:r>
          </w:p>
        </w:tc>
        <w:tc>
          <w:tcPr>
            <w:tcW w:w="1271" w:type="dxa"/>
            <w:shd w:val="clear" w:color="auto" w:fill="auto"/>
            <w:vAlign w:val="center"/>
            <w:hideMark/>
          </w:tcPr>
          <w:p w:rsidR="00947A04" w:rsidRPr="00A15194" w:rsidRDefault="00947A04" w:rsidP="000834BF">
            <w:pPr>
              <w:pStyle w:val="Tablehead"/>
              <w:ind w:left="-53"/>
            </w:pPr>
            <w:r w:rsidRPr="00A15194">
              <w:t>Test environment</w:t>
            </w:r>
          </w:p>
        </w:tc>
        <w:tc>
          <w:tcPr>
            <w:tcW w:w="992" w:type="dxa"/>
            <w:shd w:val="clear" w:color="auto" w:fill="auto"/>
            <w:vAlign w:val="center"/>
            <w:hideMark/>
          </w:tcPr>
          <w:p w:rsidR="00947A04" w:rsidRPr="00A15194" w:rsidRDefault="00947A04" w:rsidP="000834BF">
            <w:pPr>
              <w:pStyle w:val="Tablehead"/>
              <w:ind w:left="-98"/>
            </w:pPr>
            <w:r w:rsidRPr="00A15194">
              <w:t>Downlink or Uplink</w:t>
            </w:r>
          </w:p>
        </w:tc>
        <w:tc>
          <w:tcPr>
            <w:tcW w:w="992"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993"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1422"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1559"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r>
      <w:tr w:rsidR="00947A04" w:rsidRPr="0001792D" w:rsidTr="00C01B2B">
        <w:trPr>
          <w:cantSplit/>
          <w:tblHeader/>
          <w:jc w:val="center"/>
        </w:trPr>
        <w:tc>
          <w:tcPr>
            <w:tcW w:w="1418" w:type="dxa"/>
            <w:shd w:val="clear" w:color="auto" w:fill="auto"/>
            <w:vAlign w:val="center"/>
          </w:tcPr>
          <w:p w:rsidR="00947A04" w:rsidRPr="000834BF" w:rsidRDefault="00947A04" w:rsidP="00C01B2B">
            <w:pPr>
              <w:tabs>
                <w:tab w:val="left" w:pos="794"/>
                <w:tab w:val="left" w:pos="1191"/>
                <w:tab w:val="left" w:pos="1588"/>
                <w:tab w:val="left" w:pos="1985"/>
              </w:tabs>
              <w:jc w:val="both"/>
              <w:rPr>
                <w:b/>
                <w:sz w:val="20"/>
              </w:rPr>
            </w:pPr>
            <w:r w:rsidRPr="000834BF">
              <w:rPr>
                <w:b/>
                <w:sz w:val="20"/>
              </w:rPr>
              <w:t>Reliability</w:t>
            </w:r>
          </w:p>
        </w:tc>
        <w:tc>
          <w:tcPr>
            <w:tcW w:w="992"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bCs/>
                <w:sz w:val="20"/>
              </w:rPr>
              <w:t>URLLC</w:t>
            </w:r>
          </w:p>
        </w:tc>
        <w:tc>
          <w:tcPr>
            <w:tcW w:w="1271"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bCs/>
                <w:sz w:val="20"/>
              </w:rPr>
              <w:t>Urban macro-URLLC</w:t>
            </w:r>
          </w:p>
        </w:tc>
        <w:tc>
          <w:tcPr>
            <w:tcW w:w="992"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bCs/>
                <w:sz w:val="20"/>
              </w:rPr>
              <w:t>Downlink</w:t>
            </w:r>
          </w:p>
        </w:tc>
        <w:tc>
          <w:tcPr>
            <w:tcW w:w="992"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sz w:val="20"/>
              </w:rPr>
              <w:t>99.999%</w:t>
            </w:r>
          </w:p>
        </w:tc>
        <w:tc>
          <w:tcPr>
            <w:tcW w:w="993"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bCs/>
                <w:color w:val="FF0000"/>
                <w:sz w:val="20"/>
              </w:rPr>
              <w:t>99.955%</w:t>
            </w:r>
          </w:p>
        </w:tc>
        <w:tc>
          <w:tcPr>
            <w:tcW w:w="1422" w:type="dxa"/>
            <w:shd w:val="clear" w:color="auto" w:fill="auto"/>
            <w:vAlign w:val="center"/>
          </w:tcPr>
          <w:p w:rsidR="00947A04" w:rsidRPr="000834BF"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0834BF">
              <w:rPr>
                <w:bCs/>
                <w:color w:val="FF0000"/>
                <w:sz w:val="20"/>
              </w:rPr>
              <w:t>No</w:t>
            </w:r>
          </w:p>
        </w:tc>
        <w:tc>
          <w:tcPr>
            <w:tcW w:w="1559" w:type="dxa"/>
            <w:shd w:val="clear" w:color="auto" w:fill="auto"/>
            <w:vAlign w:val="center"/>
          </w:tcPr>
          <w:p w:rsidR="00947A04" w:rsidRPr="000834BF" w:rsidRDefault="00947A04" w:rsidP="000834B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
              <w:rPr>
                <w:bCs/>
                <w:i/>
                <w:iCs/>
                <w:sz w:val="20"/>
              </w:rPr>
            </w:pPr>
            <w:r w:rsidRPr="000834BF">
              <w:rPr>
                <w:bCs/>
                <w:i/>
                <w:iCs/>
                <w:color w:val="FF0000"/>
                <w:sz w:val="20"/>
              </w:rPr>
              <w:t>The candidate under evaluation does not meet the reliability criteria due to the provided antenna configuration</w:t>
            </w:r>
            <w:r w:rsidRPr="000834BF">
              <w:rPr>
                <w:bCs/>
                <w:i/>
                <w:iCs/>
                <w:sz w:val="20"/>
              </w:rPr>
              <w:t>.</w:t>
            </w:r>
          </w:p>
        </w:tc>
      </w:tr>
    </w:tbl>
    <w:p w:rsidR="00947A04" w:rsidRDefault="00947A04" w:rsidP="00D81171">
      <w:pPr>
        <w:pStyle w:val="Tablefin"/>
      </w:pPr>
    </w:p>
    <w:p w:rsidR="00947A04" w:rsidRDefault="00C758AC" w:rsidP="00C758AC">
      <w:pPr>
        <w:rPr>
          <w:b/>
          <w:bCs/>
        </w:rPr>
      </w:pPr>
      <w:r>
        <w:t>•</w:t>
      </w:r>
      <w:r>
        <w:tab/>
      </w:r>
      <w:r w:rsidR="00947A04">
        <w:t xml:space="preserve">Additionally, in URLLC mode, energy efficiency at the receiver end is one of the key concerns. WWRF has not evaluated EUHT technology for energy efficiency, but it is a well-known and well-researched fact that increasing the number of antennae elements at the receiver leads to degradation in energy efficiency. </w:t>
      </w:r>
    </w:p>
    <w:p w:rsidR="00947A04" w:rsidRPr="00205DAC" w:rsidRDefault="00C758AC" w:rsidP="00C758AC">
      <w:pPr>
        <w:rPr>
          <w:b/>
          <w:bCs/>
        </w:rPr>
      </w:pPr>
      <w:r>
        <w:t>•</w:t>
      </w:r>
      <w:r>
        <w:tab/>
      </w:r>
      <w:r w:rsidR="00947A04">
        <w:t xml:space="preserve">Furthermore, it should be noted that as per ITU-R M. 2410-0 (Section 4.9), following are the requirements for energy efficiency. It can be observed that the ITU report does not define a numerical value for energy efficiency requirements, instead it is mainly relying on measurement of Spectral Efficiency. Furthermore, the requirement is defined mainly for </w:t>
      </w:r>
      <w:proofErr w:type="spellStart"/>
      <w:r w:rsidR="00947A04" w:rsidRPr="00205DAC">
        <w:t>eMBB</w:t>
      </w:r>
      <w:proofErr w:type="spellEnd"/>
      <w:r w:rsidR="00947A04" w:rsidRPr="00205DAC">
        <w:t xml:space="preserve"> usage scenario only</w:t>
      </w:r>
      <w:r w:rsidR="00947A04">
        <w:t xml:space="preserve"> highlighted as follows.</w:t>
      </w:r>
    </w:p>
    <w:p w:rsidR="00947A04" w:rsidRDefault="00947A04" w:rsidP="00947A04">
      <w:pPr>
        <w:pStyle w:val="Heading2"/>
        <w:ind w:left="720"/>
        <w:jc w:val="both"/>
        <w:rPr>
          <w:b w:val="0"/>
          <w:bCs/>
          <w:szCs w:val="24"/>
        </w:rPr>
      </w:pPr>
      <w:r>
        <w:rPr>
          <w:b w:val="0"/>
          <w:bCs/>
          <w:noProof/>
          <w:szCs w:val="24"/>
          <w:lang w:val="en-US"/>
        </w:rPr>
        <w:drawing>
          <wp:inline distT="0" distB="0" distL="0" distR="0" wp14:anchorId="0135ED79" wp14:editId="0CE3F627">
            <wp:extent cx="5208457" cy="3053751"/>
            <wp:effectExtent l="63500" t="63500" r="125730" b="121285"/>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7141" cy="30588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7A04" w:rsidRPr="001B1570" w:rsidRDefault="00947A04" w:rsidP="0097494F">
      <w:pPr>
        <w:pStyle w:val="Heading2"/>
      </w:pPr>
      <w:r w:rsidRPr="0001792D">
        <w:t>II-</w:t>
      </w:r>
      <w:r>
        <w:t>C</w:t>
      </w:r>
      <w:r w:rsidRPr="0001792D">
        <w:t>-</w:t>
      </w:r>
      <w:r>
        <w:t>5</w:t>
      </w:r>
      <w:r w:rsidRPr="0001792D">
        <w:tab/>
      </w:r>
      <w:r>
        <w:t xml:space="preserve">Correspondence with </w:t>
      </w:r>
      <w:proofErr w:type="spellStart"/>
      <w:r>
        <w:t>Nufront</w:t>
      </w:r>
      <w:proofErr w:type="spellEnd"/>
    </w:p>
    <w:p w:rsidR="00947A04" w:rsidRPr="0076542F" w:rsidRDefault="00947A04" w:rsidP="00947A04">
      <w:pPr>
        <w:spacing w:before="240" w:after="240"/>
        <w:jc w:val="both"/>
        <w:rPr>
          <w:bCs/>
        </w:rPr>
      </w:pPr>
      <w:r w:rsidRPr="0076542F">
        <w:rPr>
          <w:bCs/>
        </w:rPr>
        <w:t>After the WP</w:t>
      </w:r>
      <w:r w:rsidR="003E49AD">
        <w:rPr>
          <w:bCs/>
        </w:rPr>
        <w:t> </w:t>
      </w:r>
      <w:r w:rsidRPr="0076542F">
        <w:rPr>
          <w:bCs/>
        </w:rPr>
        <w:t xml:space="preserve">5D meeting in June 2021, WWRF approached </w:t>
      </w:r>
      <w:proofErr w:type="spellStart"/>
      <w:r w:rsidRPr="0076542F">
        <w:rPr>
          <w:bCs/>
        </w:rPr>
        <w:t>Nufront</w:t>
      </w:r>
      <w:proofErr w:type="spellEnd"/>
      <w:r w:rsidRPr="0076542F">
        <w:rPr>
          <w:bCs/>
        </w:rPr>
        <w:t xml:space="preserve"> to clarify the antennae configurations used in URLLC Urban Macro Scenario for Configuration A. </w:t>
      </w:r>
      <w:proofErr w:type="spellStart"/>
      <w:r w:rsidRPr="0076542F">
        <w:rPr>
          <w:bCs/>
        </w:rPr>
        <w:t>Nufront</w:t>
      </w:r>
      <w:proofErr w:type="spellEnd"/>
      <w:r w:rsidRPr="0076542F">
        <w:rPr>
          <w:bCs/>
        </w:rPr>
        <w:t xml:space="preserve"> responded with reference to EUHT specification document and ITU-R M. 2412.</w:t>
      </w:r>
    </w:p>
    <w:p w:rsidR="00947A04" w:rsidRDefault="00947A04" w:rsidP="00947A04">
      <w:pPr>
        <w:spacing w:before="240" w:after="240"/>
        <w:jc w:val="both"/>
        <w:rPr>
          <w:bCs/>
        </w:rPr>
      </w:pPr>
      <w:r w:rsidRPr="0076542F">
        <w:rPr>
          <w:bCs/>
        </w:rPr>
        <w:t>Based on this clarification, WWRF has provided the updated results and several observations in the previous section and the preliminary results from previous report are available in Appendix A-I.</w:t>
      </w:r>
    </w:p>
    <w:p w:rsidR="00947A04" w:rsidRPr="00205DAC" w:rsidRDefault="00947A04" w:rsidP="00947A04">
      <w:pPr>
        <w:pStyle w:val="Heading2"/>
        <w:rPr>
          <w:szCs w:val="24"/>
        </w:rPr>
      </w:pPr>
      <w:r w:rsidRPr="0001792D">
        <w:rPr>
          <w:szCs w:val="24"/>
        </w:rPr>
        <w:t>II-</w:t>
      </w:r>
      <w:r>
        <w:rPr>
          <w:szCs w:val="24"/>
        </w:rPr>
        <w:t>C</w:t>
      </w:r>
      <w:r w:rsidRPr="0001792D">
        <w:rPr>
          <w:szCs w:val="24"/>
        </w:rPr>
        <w:t>-</w:t>
      </w:r>
      <w:r>
        <w:rPr>
          <w:szCs w:val="24"/>
        </w:rPr>
        <w:t>6</w:t>
      </w:r>
      <w:r w:rsidRPr="0001792D">
        <w:rPr>
          <w:szCs w:val="24"/>
        </w:rPr>
        <w:tab/>
      </w:r>
      <w:r>
        <w:rPr>
          <w:szCs w:val="24"/>
        </w:rPr>
        <w:t>Overall summary of results for EUHT technology</w:t>
      </w:r>
    </w:p>
    <w:p w:rsidR="00947A04" w:rsidRDefault="00947A04" w:rsidP="00947A04">
      <w:pPr>
        <w:spacing w:before="240" w:after="240"/>
        <w:jc w:val="both"/>
        <w:rPr>
          <w:bCs/>
        </w:rPr>
      </w:pPr>
      <w:r>
        <w:rPr>
          <w:bCs/>
        </w:rPr>
        <w:t xml:space="preserve">In this section, the IEG has provided a summary of all the results to date, including submitted reports from last year’s round of evaluations. It can be observed that the RIT does not meet the requirements for reliability in Urban-macro-URLLC scenario, based on WWRF’s last year’s conclusion. The IEG continued to develop its link and system level simulators by further refining the results based on EUHT self-evaluation report and technical specifications. Based on two rounds of simulation-based analysis, the EUHT technology does not meet the reliability requirements from [1]. </w:t>
      </w:r>
    </w:p>
    <w:p w:rsidR="00947A04" w:rsidRPr="00BE16F0" w:rsidRDefault="00947A04" w:rsidP="00947A04">
      <w:pPr>
        <w:spacing w:before="240" w:after="240"/>
        <w:jc w:val="both"/>
        <w:rPr>
          <w:bCs/>
        </w:rPr>
      </w:pPr>
      <w:r>
        <w:rPr>
          <w:bCs/>
        </w:rPr>
        <w:t>Whereas, in case of mobility in rural-</w:t>
      </w:r>
      <w:proofErr w:type="spellStart"/>
      <w:r>
        <w:rPr>
          <w:bCs/>
        </w:rPr>
        <w:t>eMBB</w:t>
      </w:r>
      <w:proofErr w:type="spellEnd"/>
      <w:r>
        <w:rPr>
          <w:bCs/>
        </w:rPr>
        <w:t xml:space="preserve"> scenario, the RIT passes the ITU requirements (as seen in the table below) which was presented in last year’s submission. The IEG was satisfied with the information provided for Mobility evaluation in Rural-</w:t>
      </w:r>
      <w:proofErr w:type="spellStart"/>
      <w:r>
        <w:rPr>
          <w:bCs/>
        </w:rPr>
        <w:t>eMBB</w:t>
      </w:r>
      <w:proofErr w:type="spellEnd"/>
      <w:r>
        <w:rPr>
          <w:bCs/>
        </w:rPr>
        <w:t xml:space="preserve"> scenario, to have correct and meaningful simulations. Therefore, the IEG would like to keep the evaluation results for Mobility (rural-</w:t>
      </w:r>
      <w:proofErr w:type="spellStart"/>
      <w:r>
        <w:rPr>
          <w:bCs/>
        </w:rPr>
        <w:t>eMBB</w:t>
      </w:r>
      <w:proofErr w:type="spellEnd"/>
      <w:r>
        <w:rPr>
          <w:bCs/>
        </w:rPr>
        <w:t xml:space="preserve"> scenario) as they are, by concluding that EUHT technology meets the requirements.</w:t>
      </w:r>
    </w:p>
    <w:p w:rsidR="00D81171" w:rsidRDefault="00947A04" w:rsidP="00D81171">
      <w:pPr>
        <w:pStyle w:val="TableNo"/>
      </w:pPr>
      <w:r w:rsidRPr="0001792D">
        <w:t xml:space="preserve">Table </w:t>
      </w:r>
      <w:r>
        <w:t>4</w:t>
      </w:r>
    </w:p>
    <w:p w:rsidR="00947A04" w:rsidRDefault="00947A04" w:rsidP="00D81171">
      <w:pPr>
        <w:pStyle w:val="Tabletitle"/>
      </w:pPr>
      <w:r>
        <w:t>Overall Results for EUHT technology (Reliability &amp; Mobility)</w:t>
      </w:r>
    </w:p>
    <w:tbl>
      <w:tblPr>
        <w:tblW w:w="9606" w:type="dxa"/>
        <w:tblBorders>
          <w:top w:val="single" w:sz="4" w:space="0" w:color="auto"/>
          <w:bottom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78"/>
        <w:gridCol w:w="1177"/>
        <w:gridCol w:w="819"/>
        <w:gridCol w:w="937"/>
        <w:gridCol w:w="952"/>
        <w:gridCol w:w="824"/>
        <w:gridCol w:w="917"/>
        <w:gridCol w:w="734"/>
        <w:gridCol w:w="2068"/>
      </w:tblGrid>
      <w:tr w:rsidR="00947A04" w:rsidRPr="0001792D" w:rsidTr="00426FBD">
        <w:trPr>
          <w:cantSplit/>
          <w:trHeight w:val="369"/>
          <w:tblHeader/>
        </w:trPr>
        <w:tc>
          <w:tcPr>
            <w:tcW w:w="1178" w:type="dxa"/>
            <w:vMerge w:val="restart"/>
            <w:shd w:val="clear" w:color="auto" w:fill="FFFFFF"/>
            <w:vAlign w:val="center"/>
          </w:tcPr>
          <w:p w:rsidR="00947A04" w:rsidRPr="001B1570" w:rsidRDefault="00947A04" w:rsidP="00426FBD">
            <w:pPr>
              <w:pStyle w:val="Tablehead"/>
            </w:pPr>
            <w:r>
              <w:t>Date (Report submitted)</w:t>
            </w:r>
          </w:p>
        </w:tc>
        <w:tc>
          <w:tcPr>
            <w:tcW w:w="1177" w:type="dxa"/>
            <w:vMerge w:val="restart"/>
            <w:shd w:val="clear" w:color="auto" w:fill="FFFFFF"/>
            <w:vAlign w:val="center"/>
            <w:hideMark/>
          </w:tcPr>
          <w:p w:rsidR="00947A04" w:rsidRPr="001B1570" w:rsidRDefault="00947A04" w:rsidP="00426FBD">
            <w:pPr>
              <w:pStyle w:val="Tablehead"/>
            </w:pPr>
            <w:r w:rsidRPr="001B1570">
              <w:t>Minimum technical performance requirements (ITU-R M.2410)</w:t>
            </w:r>
          </w:p>
        </w:tc>
        <w:tc>
          <w:tcPr>
            <w:tcW w:w="2708" w:type="dxa"/>
            <w:gridSpan w:val="3"/>
            <w:shd w:val="clear" w:color="auto" w:fill="FFFFFF"/>
            <w:vAlign w:val="center"/>
            <w:hideMark/>
          </w:tcPr>
          <w:p w:rsidR="00947A04" w:rsidRPr="001B1570" w:rsidRDefault="00947A04" w:rsidP="00426FBD">
            <w:pPr>
              <w:pStyle w:val="Tablehead"/>
            </w:pPr>
            <w:r w:rsidRPr="001B1570">
              <w:t>Category</w:t>
            </w:r>
          </w:p>
        </w:tc>
        <w:tc>
          <w:tcPr>
            <w:tcW w:w="824" w:type="dxa"/>
            <w:vMerge w:val="restart"/>
            <w:shd w:val="clear" w:color="auto" w:fill="FFFFFF"/>
            <w:vAlign w:val="center"/>
          </w:tcPr>
          <w:p w:rsidR="00947A04" w:rsidRPr="001B1570" w:rsidRDefault="00947A04" w:rsidP="00426FBD">
            <w:pPr>
              <w:pStyle w:val="Tablehead"/>
            </w:pPr>
            <w:r w:rsidRPr="001B1570">
              <w:t>Required value</w:t>
            </w:r>
          </w:p>
        </w:tc>
        <w:tc>
          <w:tcPr>
            <w:tcW w:w="917" w:type="dxa"/>
            <w:vMerge w:val="restart"/>
            <w:shd w:val="clear" w:color="auto" w:fill="FFFFFF"/>
            <w:vAlign w:val="center"/>
          </w:tcPr>
          <w:p w:rsidR="00947A04" w:rsidRPr="001B1570" w:rsidRDefault="00947A04" w:rsidP="00426FBD">
            <w:pPr>
              <w:pStyle w:val="Tablehead"/>
            </w:pPr>
            <w:r w:rsidRPr="001B1570">
              <w:t>Value</w:t>
            </w:r>
          </w:p>
        </w:tc>
        <w:tc>
          <w:tcPr>
            <w:tcW w:w="734" w:type="dxa"/>
            <w:vMerge w:val="restart"/>
            <w:shd w:val="clear" w:color="auto" w:fill="FFFFFF"/>
            <w:vAlign w:val="center"/>
          </w:tcPr>
          <w:p w:rsidR="00947A04" w:rsidRPr="001B1570" w:rsidRDefault="00947A04" w:rsidP="00426FBD">
            <w:pPr>
              <w:pStyle w:val="Tablehead"/>
            </w:pPr>
            <w:r w:rsidRPr="001B1570">
              <w:t>Meets the Requirement?</w:t>
            </w:r>
          </w:p>
        </w:tc>
        <w:tc>
          <w:tcPr>
            <w:tcW w:w="2068" w:type="dxa"/>
            <w:shd w:val="clear" w:color="auto" w:fill="FFFFFF"/>
            <w:vAlign w:val="center"/>
            <w:hideMark/>
          </w:tcPr>
          <w:p w:rsidR="00947A04" w:rsidRPr="001B1570" w:rsidRDefault="00947A04" w:rsidP="00426FBD">
            <w:pPr>
              <w:pStyle w:val="Tablehead"/>
            </w:pPr>
            <w:r w:rsidRPr="001B1570">
              <w:t>Remarks</w:t>
            </w:r>
          </w:p>
        </w:tc>
      </w:tr>
      <w:tr w:rsidR="00947A04" w:rsidRPr="001B1570" w:rsidTr="003E49AD">
        <w:trPr>
          <w:cantSplit/>
          <w:trHeight w:val="846"/>
          <w:tblHeader/>
        </w:trPr>
        <w:tc>
          <w:tcPr>
            <w:tcW w:w="1178" w:type="dxa"/>
            <w:vMerge/>
            <w:shd w:val="clear" w:color="auto" w:fill="FFFFFF"/>
            <w:vAlign w:val="center"/>
          </w:tcPr>
          <w:p w:rsidR="00947A04" w:rsidRPr="001B1570" w:rsidRDefault="00947A04" w:rsidP="00426FBD">
            <w:pPr>
              <w:pStyle w:val="Tablehead"/>
            </w:pPr>
          </w:p>
        </w:tc>
        <w:tc>
          <w:tcPr>
            <w:tcW w:w="1177" w:type="dxa"/>
            <w:vMerge/>
            <w:shd w:val="clear" w:color="auto" w:fill="FFFFFF"/>
            <w:vAlign w:val="center"/>
            <w:hideMark/>
          </w:tcPr>
          <w:p w:rsidR="00947A04" w:rsidRPr="001B1570" w:rsidRDefault="00947A04" w:rsidP="00426FBD">
            <w:pPr>
              <w:pStyle w:val="Tablehead"/>
            </w:pPr>
          </w:p>
        </w:tc>
        <w:tc>
          <w:tcPr>
            <w:tcW w:w="819" w:type="dxa"/>
            <w:shd w:val="clear" w:color="auto" w:fill="FFFFFF"/>
            <w:vAlign w:val="center"/>
            <w:hideMark/>
          </w:tcPr>
          <w:p w:rsidR="00947A04" w:rsidRPr="001B1570" w:rsidRDefault="00947A04" w:rsidP="00426FBD">
            <w:pPr>
              <w:pStyle w:val="Tablehead"/>
            </w:pPr>
            <w:r w:rsidRPr="001B1570">
              <w:t>Usage scenario</w:t>
            </w:r>
          </w:p>
        </w:tc>
        <w:tc>
          <w:tcPr>
            <w:tcW w:w="937" w:type="dxa"/>
            <w:shd w:val="clear" w:color="auto" w:fill="FFFFFF"/>
            <w:vAlign w:val="center"/>
            <w:hideMark/>
          </w:tcPr>
          <w:p w:rsidR="00947A04" w:rsidRPr="001B1570" w:rsidRDefault="00947A04" w:rsidP="00426FBD">
            <w:pPr>
              <w:pStyle w:val="Tablehead"/>
            </w:pPr>
            <w:r w:rsidRPr="001B1570">
              <w:t>Test environment</w:t>
            </w:r>
          </w:p>
        </w:tc>
        <w:tc>
          <w:tcPr>
            <w:tcW w:w="952" w:type="dxa"/>
            <w:shd w:val="clear" w:color="auto" w:fill="FFFFFF"/>
            <w:vAlign w:val="center"/>
            <w:hideMark/>
          </w:tcPr>
          <w:p w:rsidR="00947A04" w:rsidRPr="001B1570" w:rsidRDefault="00947A04" w:rsidP="00426FBD">
            <w:pPr>
              <w:pStyle w:val="Tablehead"/>
            </w:pPr>
            <w:r w:rsidRPr="001B1570">
              <w:t>Downlink or Uplink</w:t>
            </w:r>
          </w:p>
        </w:tc>
        <w:tc>
          <w:tcPr>
            <w:tcW w:w="824" w:type="dxa"/>
            <w:vMerge/>
            <w:shd w:val="clear" w:color="auto" w:fill="FFFFFF"/>
            <w:vAlign w:val="center"/>
          </w:tcPr>
          <w:p w:rsidR="00947A04" w:rsidRPr="001B1570" w:rsidRDefault="00947A04" w:rsidP="00426FBD">
            <w:pPr>
              <w:pStyle w:val="Tablehead"/>
            </w:pPr>
          </w:p>
        </w:tc>
        <w:tc>
          <w:tcPr>
            <w:tcW w:w="917" w:type="dxa"/>
            <w:vMerge/>
            <w:shd w:val="clear" w:color="auto" w:fill="FFFFFF"/>
            <w:vAlign w:val="center"/>
          </w:tcPr>
          <w:p w:rsidR="00947A04" w:rsidRPr="001B1570" w:rsidRDefault="00947A04" w:rsidP="00426FBD">
            <w:pPr>
              <w:pStyle w:val="Tablehead"/>
            </w:pPr>
          </w:p>
        </w:tc>
        <w:tc>
          <w:tcPr>
            <w:tcW w:w="734" w:type="dxa"/>
            <w:vMerge/>
            <w:shd w:val="clear" w:color="auto" w:fill="FFFFFF"/>
            <w:vAlign w:val="center"/>
          </w:tcPr>
          <w:p w:rsidR="00947A04" w:rsidRPr="001B1570" w:rsidRDefault="00947A04" w:rsidP="00426FBD">
            <w:pPr>
              <w:pStyle w:val="Tablehead"/>
            </w:pPr>
          </w:p>
        </w:tc>
        <w:tc>
          <w:tcPr>
            <w:tcW w:w="2068" w:type="dxa"/>
            <w:shd w:val="clear" w:color="auto" w:fill="FFFFFF"/>
            <w:vAlign w:val="center"/>
          </w:tcPr>
          <w:p w:rsidR="00947A04" w:rsidRPr="001B1570" w:rsidRDefault="00947A04" w:rsidP="00426FBD">
            <w:pPr>
              <w:pStyle w:val="Tablehead"/>
            </w:pPr>
          </w:p>
        </w:tc>
      </w:tr>
      <w:tr w:rsidR="00947A04" w:rsidRPr="0001792D" w:rsidTr="003F072E">
        <w:trPr>
          <w:cantSplit/>
          <w:trHeight w:val="988"/>
          <w:tblHeader/>
        </w:trPr>
        <w:tc>
          <w:tcPr>
            <w:tcW w:w="1178" w:type="dxa"/>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August 2021</w:t>
            </w:r>
          </w:p>
          <w:p w:rsidR="00947A04" w:rsidRPr="00426FBD" w:rsidRDefault="00947A04" w:rsidP="00C01B2B">
            <w:pPr>
              <w:tabs>
                <w:tab w:val="left" w:pos="794"/>
                <w:tab w:val="left" w:pos="1191"/>
                <w:tab w:val="left" w:pos="1588"/>
                <w:tab w:val="left" w:pos="1985"/>
              </w:tabs>
              <w:jc w:val="both"/>
              <w:rPr>
                <w:b/>
                <w:sz w:val="20"/>
              </w:rPr>
            </w:pPr>
            <w:r w:rsidRPr="00426FBD">
              <w:rPr>
                <w:b/>
                <w:sz w:val="20"/>
              </w:rPr>
              <w:t>(Current)</w:t>
            </w:r>
          </w:p>
        </w:tc>
        <w:tc>
          <w:tcPr>
            <w:tcW w:w="1177" w:type="dxa"/>
            <w:vMerge w:val="restart"/>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Reliability</w:t>
            </w:r>
          </w:p>
        </w:tc>
        <w:tc>
          <w:tcPr>
            <w:tcW w:w="819"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URLLC</w:t>
            </w:r>
          </w:p>
        </w:tc>
        <w:tc>
          <w:tcPr>
            <w:tcW w:w="937"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Urban macro-URLLC</w:t>
            </w:r>
          </w:p>
        </w:tc>
        <w:tc>
          <w:tcPr>
            <w:tcW w:w="952"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Downlink</w:t>
            </w:r>
          </w:p>
        </w:tc>
        <w:tc>
          <w:tcPr>
            <w:tcW w:w="824"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sz w:val="20"/>
              </w:rPr>
              <w:t>99.999%</w:t>
            </w:r>
          </w:p>
        </w:tc>
        <w:tc>
          <w:tcPr>
            <w:tcW w:w="917" w:type="dxa"/>
            <w:shd w:val="clear" w:color="auto" w:fill="FBFCD0"/>
            <w:vAlign w:val="center"/>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right="-76"/>
              <w:jc w:val="center"/>
              <w:rPr>
                <w:bCs/>
                <w:color w:val="FF0000"/>
                <w:sz w:val="20"/>
              </w:rPr>
            </w:pPr>
            <w:r w:rsidRPr="00426FBD">
              <w:rPr>
                <w:bCs/>
                <w:color w:val="FF0000"/>
                <w:sz w:val="20"/>
              </w:rPr>
              <w:t>99.955%</w:t>
            </w:r>
          </w:p>
        </w:tc>
        <w:tc>
          <w:tcPr>
            <w:tcW w:w="734" w:type="dxa"/>
            <w:vMerge w:val="restart"/>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r w:rsidRPr="00426FBD">
              <w:rPr>
                <w:bCs/>
                <w:color w:val="FF0000"/>
                <w:sz w:val="20"/>
              </w:rPr>
              <w:t>No</w:t>
            </w:r>
          </w:p>
        </w:tc>
        <w:tc>
          <w:tcPr>
            <w:tcW w:w="2068" w:type="dxa"/>
            <w:shd w:val="clear" w:color="auto" w:fill="FBFCD0"/>
            <w:vAlign w:val="center"/>
          </w:tcPr>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The IEG concludes that candidate under evaluation does not meet the reliability criteria.</w:t>
            </w:r>
          </w:p>
        </w:tc>
      </w:tr>
      <w:tr w:rsidR="00947A04" w:rsidRPr="0001792D" w:rsidTr="003F072E">
        <w:trPr>
          <w:cantSplit/>
          <w:trHeight w:val="369"/>
          <w:tblHeader/>
        </w:trPr>
        <w:tc>
          <w:tcPr>
            <w:tcW w:w="1178" w:type="dxa"/>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June 2021</w:t>
            </w:r>
          </w:p>
        </w:tc>
        <w:tc>
          <w:tcPr>
            <w:tcW w:w="1177"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819"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37"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52"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824"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p>
        </w:tc>
        <w:tc>
          <w:tcPr>
            <w:tcW w:w="917" w:type="dxa"/>
            <w:shd w:val="clear" w:color="auto" w:fill="FBFCD0"/>
            <w:vAlign w:val="center"/>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right="-76"/>
              <w:jc w:val="center"/>
              <w:rPr>
                <w:bCs/>
                <w:color w:val="FF0000"/>
                <w:sz w:val="20"/>
              </w:rPr>
            </w:pPr>
            <w:r w:rsidRPr="00426FBD">
              <w:rPr>
                <w:bCs/>
                <w:color w:val="FF0000"/>
                <w:sz w:val="20"/>
              </w:rPr>
              <w:t>99.875%</w:t>
            </w:r>
          </w:p>
        </w:tc>
        <w:tc>
          <w:tcPr>
            <w:tcW w:w="734" w:type="dxa"/>
            <w:vMerge/>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p>
        </w:tc>
        <w:tc>
          <w:tcPr>
            <w:tcW w:w="2068" w:type="dxa"/>
            <w:shd w:val="clear" w:color="auto" w:fill="FBFCD0"/>
            <w:vAlign w:val="center"/>
          </w:tcPr>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 xml:space="preserve">The IEG requested further information from </w:t>
            </w:r>
            <w:proofErr w:type="spellStart"/>
            <w:r w:rsidRPr="00426FBD">
              <w:rPr>
                <w:bCs/>
                <w:i/>
                <w:iCs/>
                <w:color w:val="FF0000"/>
                <w:sz w:val="20"/>
              </w:rPr>
              <w:t>Nufront</w:t>
            </w:r>
            <w:proofErr w:type="spellEnd"/>
            <w:r w:rsidRPr="00426FBD">
              <w:rPr>
                <w:bCs/>
                <w:i/>
                <w:iCs/>
                <w:color w:val="FF0000"/>
                <w:sz w:val="20"/>
              </w:rPr>
              <w:t xml:space="preserve"> for EUHT’s receiver design.</w:t>
            </w:r>
          </w:p>
        </w:tc>
      </w:tr>
      <w:tr w:rsidR="00947A04" w:rsidRPr="0001792D" w:rsidTr="003F072E">
        <w:trPr>
          <w:cantSplit/>
          <w:trHeight w:val="360"/>
          <w:tblHeader/>
        </w:trPr>
        <w:tc>
          <w:tcPr>
            <w:tcW w:w="1178" w:type="dxa"/>
            <w:vMerge w:val="restart"/>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Feb 2020</w:t>
            </w:r>
          </w:p>
        </w:tc>
        <w:tc>
          <w:tcPr>
            <w:tcW w:w="1177"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819"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37"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52"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824"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p>
        </w:tc>
        <w:tc>
          <w:tcPr>
            <w:tcW w:w="917" w:type="dxa"/>
            <w:shd w:val="clear" w:color="auto" w:fill="FBFCD0"/>
            <w:vAlign w:val="center"/>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left="-48" w:right="-76"/>
              <w:jc w:val="center"/>
              <w:rPr>
                <w:bCs/>
                <w:color w:val="FF0000"/>
                <w:sz w:val="20"/>
              </w:rPr>
            </w:pPr>
            <w:r w:rsidRPr="00426FBD">
              <w:rPr>
                <w:color w:val="FF0000"/>
                <w:sz w:val="20"/>
              </w:rPr>
              <w:t>99.9942%</w:t>
            </w:r>
          </w:p>
        </w:tc>
        <w:tc>
          <w:tcPr>
            <w:tcW w:w="734" w:type="dxa"/>
            <w:vMerge/>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p>
        </w:tc>
        <w:tc>
          <w:tcPr>
            <w:tcW w:w="2068" w:type="dxa"/>
            <w:shd w:val="clear" w:color="auto" w:fill="FBFCD0"/>
            <w:vAlign w:val="center"/>
          </w:tcPr>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 xml:space="preserve">The IEG concluded that candidate under evaluation does not meet the reliability criteria. </w:t>
            </w:r>
          </w:p>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*System level simulations needed further investigation.</w:t>
            </w:r>
          </w:p>
        </w:tc>
      </w:tr>
      <w:tr w:rsidR="00947A04" w:rsidRPr="0001792D" w:rsidTr="003F072E">
        <w:trPr>
          <w:cantSplit/>
          <w:trHeight w:val="360"/>
          <w:tblHeader/>
        </w:trPr>
        <w:tc>
          <w:tcPr>
            <w:tcW w:w="1178"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1177" w:type="dxa"/>
            <w:vMerge w:val="restart"/>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Mobility</w:t>
            </w:r>
          </w:p>
          <w:p w:rsidR="00947A04" w:rsidRPr="00426FBD" w:rsidRDefault="00947A04" w:rsidP="00C01B2B">
            <w:pPr>
              <w:tabs>
                <w:tab w:val="left" w:pos="794"/>
                <w:tab w:val="left" w:pos="1191"/>
                <w:tab w:val="left" w:pos="1588"/>
                <w:tab w:val="left" w:pos="1985"/>
              </w:tabs>
              <w:jc w:val="both"/>
              <w:rPr>
                <w:b/>
                <w:sz w:val="20"/>
              </w:rPr>
            </w:pPr>
          </w:p>
          <w:p w:rsidR="00947A04" w:rsidRPr="00426FBD" w:rsidRDefault="00947A04" w:rsidP="00C01B2B">
            <w:pPr>
              <w:tabs>
                <w:tab w:val="left" w:pos="794"/>
                <w:tab w:val="left" w:pos="1191"/>
                <w:tab w:val="left" w:pos="1588"/>
                <w:tab w:val="left" w:pos="1985"/>
              </w:tabs>
              <w:jc w:val="both"/>
              <w:rPr>
                <w:bCs/>
                <w:sz w:val="20"/>
              </w:rPr>
            </w:pPr>
            <w:r w:rsidRPr="00426FBD">
              <w:rPr>
                <w:bCs/>
                <w:sz w:val="20"/>
              </w:rPr>
              <w:t>(Pedestrian, Vehicular, High speed vehicular)</w:t>
            </w:r>
          </w:p>
        </w:tc>
        <w:tc>
          <w:tcPr>
            <w:tcW w:w="819"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0"/>
              </w:rPr>
            </w:pPr>
            <w:proofErr w:type="spellStart"/>
            <w:r w:rsidRPr="00426FBD">
              <w:rPr>
                <w:bCs/>
                <w:sz w:val="20"/>
              </w:rPr>
              <w:t>eMBB</w:t>
            </w:r>
            <w:proofErr w:type="spellEnd"/>
          </w:p>
        </w:tc>
        <w:tc>
          <w:tcPr>
            <w:tcW w:w="937"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Rural</w:t>
            </w:r>
          </w:p>
        </w:tc>
        <w:tc>
          <w:tcPr>
            <w:tcW w:w="952"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Uplink</w:t>
            </w:r>
          </w:p>
        </w:tc>
        <w:tc>
          <w:tcPr>
            <w:tcW w:w="824" w:type="dxa"/>
            <w:vMerge w:val="restart"/>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r w:rsidRPr="00426FBD">
              <w:rPr>
                <w:sz w:val="20"/>
              </w:rPr>
              <w:t>0.45 bits/s/Hz</w:t>
            </w:r>
          </w:p>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r w:rsidRPr="00426FBD">
              <w:rPr>
                <w:sz w:val="20"/>
              </w:rPr>
              <w:t>@ 500 Km/h</w:t>
            </w:r>
          </w:p>
        </w:tc>
        <w:tc>
          <w:tcPr>
            <w:tcW w:w="917" w:type="dxa"/>
            <w:shd w:val="clear" w:color="auto" w:fill="FBFCD0"/>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right="-76"/>
              <w:jc w:val="center"/>
              <w:rPr>
                <w:color w:val="FF0000"/>
                <w:sz w:val="20"/>
              </w:rPr>
            </w:pPr>
            <w:r w:rsidRPr="00426FBD">
              <w:rPr>
                <w:color w:val="FF0000"/>
                <w:sz w:val="20"/>
              </w:rPr>
              <w:t>0.16 bit/s/Hz</w:t>
            </w:r>
          </w:p>
        </w:tc>
        <w:tc>
          <w:tcPr>
            <w:tcW w:w="734" w:type="dxa"/>
            <w:vMerge w:val="restart"/>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r w:rsidRPr="00426FBD">
              <w:rPr>
                <w:bCs/>
                <w:color w:val="FF0000"/>
                <w:sz w:val="20"/>
              </w:rPr>
              <w:t>No</w:t>
            </w:r>
          </w:p>
        </w:tc>
        <w:tc>
          <w:tcPr>
            <w:tcW w:w="2068" w:type="dxa"/>
            <w:shd w:val="clear" w:color="auto" w:fill="FBFCD0"/>
            <w:vAlign w:val="center"/>
          </w:tcPr>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 xml:space="preserve">This simulation result is based on a </w:t>
            </w:r>
            <w:r w:rsidRPr="00426FBD">
              <w:rPr>
                <w:b/>
                <w:i/>
                <w:iCs/>
                <w:color w:val="FF0000"/>
                <w:sz w:val="20"/>
              </w:rPr>
              <w:t>single stream</w:t>
            </w:r>
            <w:r w:rsidRPr="00426FBD">
              <w:rPr>
                <w:bCs/>
                <w:i/>
                <w:iCs/>
                <w:color w:val="FF0000"/>
                <w:sz w:val="20"/>
              </w:rPr>
              <w:t xml:space="preserve">. </w:t>
            </w:r>
          </w:p>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ITU Requirements achieved only 1% of simulation time.</w:t>
            </w:r>
          </w:p>
        </w:tc>
      </w:tr>
      <w:tr w:rsidR="00947A04" w:rsidRPr="0001792D" w:rsidTr="003F072E">
        <w:trPr>
          <w:cantSplit/>
          <w:trHeight w:val="360"/>
          <w:tblHeader/>
        </w:trPr>
        <w:tc>
          <w:tcPr>
            <w:tcW w:w="1178"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1177"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819"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37"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52"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824"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p>
        </w:tc>
        <w:tc>
          <w:tcPr>
            <w:tcW w:w="917" w:type="dxa"/>
            <w:shd w:val="clear" w:color="auto" w:fill="FBFCD0"/>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right="-76"/>
              <w:jc w:val="center"/>
              <w:rPr>
                <w:color w:val="FF0000"/>
                <w:sz w:val="20"/>
              </w:rPr>
            </w:pPr>
            <w:r w:rsidRPr="00426FBD">
              <w:rPr>
                <w:color w:val="FF0000"/>
                <w:sz w:val="20"/>
              </w:rPr>
              <w:t>0.29 bit/s/Hz</w:t>
            </w:r>
          </w:p>
        </w:tc>
        <w:tc>
          <w:tcPr>
            <w:tcW w:w="734" w:type="dxa"/>
            <w:vMerge/>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p>
        </w:tc>
        <w:tc>
          <w:tcPr>
            <w:tcW w:w="2068" w:type="dxa"/>
            <w:shd w:val="clear" w:color="auto" w:fill="FBFCD0"/>
            <w:vAlign w:val="center"/>
          </w:tcPr>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 xml:space="preserve">This simulation result is based on </w:t>
            </w:r>
            <w:r w:rsidRPr="00426FBD">
              <w:rPr>
                <w:b/>
                <w:i/>
                <w:iCs/>
                <w:color w:val="FF0000"/>
                <w:sz w:val="20"/>
              </w:rPr>
              <w:t>two streams</w:t>
            </w:r>
            <w:r w:rsidRPr="00426FBD">
              <w:rPr>
                <w:bCs/>
                <w:i/>
                <w:iCs/>
                <w:color w:val="FF0000"/>
                <w:sz w:val="20"/>
              </w:rPr>
              <w:t>.</w:t>
            </w:r>
          </w:p>
          <w:p w:rsidR="00947A04" w:rsidRPr="00426FBD"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58"/>
              <w:rPr>
                <w:bCs/>
                <w:i/>
                <w:iCs/>
                <w:color w:val="FF0000"/>
                <w:sz w:val="20"/>
              </w:rPr>
            </w:pPr>
            <w:r w:rsidRPr="00426FBD">
              <w:rPr>
                <w:bCs/>
                <w:i/>
                <w:iCs/>
                <w:color w:val="FF0000"/>
                <w:sz w:val="20"/>
              </w:rPr>
              <w:t>ITU Requirements achieved only 10% of simulation time.</w:t>
            </w:r>
          </w:p>
        </w:tc>
      </w:tr>
      <w:tr w:rsidR="00947A04" w:rsidRPr="0001792D" w:rsidTr="003F072E">
        <w:trPr>
          <w:cantSplit/>
          <w:trHeight w:val="360"/>
          <w:tblHeader/>
        </w:trPr>
        <w:tc>
          <w:tcPr>
            <w:tcW w:w="1178"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1177"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819"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37"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952"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
        </w:tc>
        <w:tc>
          <w:tcPr>
            <w:tcW w:w="824" w:type="dxa"/>
            <w:vMerge/>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p>
        </w:tc>
        <w:tc>
          <w:tcPr>
            <w:tcW w:w="917" w:type="dxa"/>
            <w:shd w:val="clear" w:color="auto" w:fill="FBFCD0"/>
          </w:tcPr>
          <w:p w:rsidR="00947A04" w:rsidRPr="00426FBD" w:rsidRDefault="00947A04" w:rsidP="003F072E">
            <w:pPr>
              <w:keepNext/>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80" w:after="80"/>
              <w:ind w:right="-76"/>
              <w:jc w:val="center"/>
              <w:rPr>
                <w:color w:val="FF0000"/>
                <w:sz w:val="20"/>
              </w:rPr>
            </w:pPr>
            <w:r w:rsidRPr="00426FBD">
              <w:rPr>
                <w:color w:val="FF0000"/>
                <w:sz w:val="20"/>
              </w:rPr>
              <w:t>0.42 bit/s/Hz</w:t>
            </w:r>
          </w:p>
        </w:tc>
        <w:tc>
          <w:tcPr>
            <w:tcW w:w="734" w:type="dxa"/>
            <w:vMerge/>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p>
        </w:tc>
        <w:tc>
          <w:tcPr>
            <w:tcW w:w="2068" w:type="dxa"/>
            <w:shd w:val="clear" w:color="auto" w:fill="FBFCD0"/>
            <w:vAlign w:val="center"/>
          </w:tcPr>
          <w:p w:rsidR="00947A04" w:rsidRPr="00426FBD" w:rsidRDefault="00947A04" w:rsidP="00426F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i/>
                <w:iCs/>
                <w:color w:val="FF0000"/>
                <w:sz w:val="20"/>
              </w:rPr>
            </w:pPr>
            <w:r w:rsidRPr="00426FBD">
              <w:rPr>
                <w:bCs/>
                <w:i/>
                <w:iCs/>
                <w:color w:val="FF0000"/>
                <w:sz w:val="20"/>
              </w:rPr>
              <w:t xml:space="preserve">This simulation result is based on </w:t>
            </w:r>
            <w:r w:rsidRPr="00426FBD">
              <w:rPr>
                <w:b/>
                <w:i/>
                <w:iCs/>
                <w:color w:val="FF0000"/>
                <w:sz w:val="20"/>
              </w:rPr>
              <w:t>three streams</w:t>
            </w:r>
            <w:r w:rsidRPr="00426FBD">
              <w:rPr>
                <w:bCs/>
                <w:i/>
                <w:iCs/>
                <w:color w:val="FF0000"/>
                <w:sz w:val="20"/>
              </w:rPr>
              <w:t>.</w:t>
            </w:r>
          </w:p>
          <w:p w:rsidR="00947A04" w:rsidRPr="00426FBD" w:rsidRDefault="00947A04" w:rsidP="00426F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i/>
                <w:iCs/>
                <w:color w:val="FF0000"/>
                <w:sz w:val="20"/>
              </w:rPr>
            </w:pPr>
            <w:r w:rsidRPr="00426FBD">
              <w:rPr>
                <w:bCs/>
                <w:i/>
                <w:iCs/>
                <w:color w:val="FF0000"/>
                <w:sz w:val="20"/>
              </w:rPr>
              <w:t>ITU Requirements achieved only 45% of simulation time.</w:t>
            </w:r>
          </w:p>
        </w:tc>
      </w:tr>
      <w:tr w:rsidR="00947A04" w:rsidRPr="0001792D" w:rsidTr="00426FBD">
        <w:trPr>
          <w:cantSplit/>
          <w:trHeight w:val="360"/>
          <w:tblHeader/>
        </w:trPr>
        <w:tc>
          <w:tcPr>
            <w:tcW w:w="1178"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1177" w:type="dxa"/>
            <w:vMerge/>
            <w:shd w:val="clear" w:color="auto" w:fill="FFFFFF"/>
            <w:vAlign w:val="center"/>
          </w:tcPr>
          <w:p w:rsidR="00947A04" w:rsidRPr="00426FBD" w:rsidRDefault="00947A04" w:rsidP="00C01B2B">
            <w:pPr>
              <w:tabs>
                <w:tab w:val="left" w:pos="794"/>
                <w:tab w:val="left" w:pos="1191"/>
                <w:tab w:val="left" w:pos="1588"/>
                <w:tab w:val="left" w:pos="1985"/>
              </w:tabs>
              <w:jc w:val="both"/>
              <w:rPr>
                <w:b/>
                <w:sz w:val="20"/>
              </w:rPr>
            </w:pPr>
          </w:p>
        </w:tc>
        <w:tc>
          <w:tcPr>
            <w:tcW w:w="819" w:type="dxa"/>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proofErr w:type="spellStart"/>
            <w:r w:rsidRPr="00426FBD">
              <w:rPr>
                <w:bCs/>
                <w:sz w:val="20"/>
              </w:rPr>
              <w:t>eMBB</w:t>
            </w:r>
            <w:proofErr w:type="spellEnd"/>
          </w:p>
        </w:tc>
        <w:tc>
          <w:tcPr>
            <w:tcW w:w="937" w:type="dxa"/>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Rural</w:t>
            </w:r>
          </w:p>
        </w:tc>
        <w:tc>
          <w:tcPr>
            <w:tcW w:w="952" w:type="dxa"/>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Uplink</w:t>
            </w:r>
          </w:p>
        </w:tc>
        <w:tc>
          <w:tcPr>
            <w:tcW w:w="824" w:type="dxa"/>
            <w:shd w:val="clear" w:color="auto" w:fill="FFFFFF"/>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r w:rsidRPr="00426FBD">
              <w:rPr>
                <w:sz w:val="20"/>
              </w:rPr>
              <w:t>0.45 bits/s/Hz</w:t>
            </w:r>
          </w:p>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20"/>
              </w:rPr>
            </w:pPr>
            <w:r w:rsidRPr="00426FBD">
              <w:rPr>
                <w:sz w:val="20"/>
              </w:rPr>
              <w:t>@ 500 Km/h</w:t>
            </w:r>
          </w:p>
        </w:tc>
        <w:tc>
          <w:tcPr>
            <w:tcW w:w="917" w:type="dxa"/>
            <w:shd w:val="clear" w:color="auto" w:fill="DAEEF3" w:themeFill="accent5" w:themeFillTint="33"/>
            <w:vAlign w:val="center"/>
          </w:tcPr>
          <w:p w:rsidR="00947A04" w:rsidRPr="005A0C5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4DB531"/>
                <w:sz w:val="20"/>
              </w:rPr>
            </w:pPr>
            <w:r w:rsidRPr="005A0C54">
              <w:rPr>
                <w:color w:val="4DB531"/>
                <w:sz w:val="20"/>
              </w:rPr>
              <w:t>0.56 bit/s/Hz</w:t>
            </w:r>
          </w:p>
        </w:tc>
        <w:tc>
          <w:tcPr>
            <w:tcW w:w="734" w:type="dxa"/>
            <w:shd w:val="clear" w:color="auto" w:fill="DAEEF3" w:themeFill="accent5" w:themeFillTint="33"/>
            <w:vAlign w:val="center"/>
          </w:tcPr>
          <w:p w:rsidR="00947A04" w:rsidRPr="005A0C5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4DB531"/>
                <w:sz w:val="20"/>
              </w:rPr>
            </w:pPr>
            <w:r w:rsidRPr="005A0C54">
              <w:rPr>
                <w:b/>
                <w:color w:val="4DB531"/>
                <w:sz w:val="20"/>
              </w:rPr>
              <w:t>Yes</w:t>
            </w:r>
          </w:p>
        </w:tc>
        <w:tc>
          <w:tcPr>
            <w:tcW w:w="2068" w:type="dxa"/>
            <w:shd w:val="clear" w:color="auto" w:fill="DAEEF3" w:themeFill="accent5" w:themeFillTint="33"/>
            <w:vAlign w:val="center"/>
          </w:tcPr>
          <w:p w:rsidR="00947A04" w:rsidRPr="005A0C54"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107"/>
              <w:rPr>
                <w:bCs/>
                <w:i/>
                <w:iCs/>
                <w:color w:val="4DB531"/>
                <w:sz w:val="20"/>
              </w:rPr>
            </w:pPr>
            <w:r w:rsidRPr="005A0C54">
              <w:rPr>
                <w:bCs/>
                <w:i/>
                <w:iCs/>
                <w:color w:val="4DB531"/>
                <w:sz w:val="20"/>
              </w:rPr>
              <w:t xml:space="preserve">Only the iteration </w:t>
            </w:r>
            <w:r w:rsidRPr="005A0C54">
              <w:rPr>
                <w:b/>
                <w:i/>
                <w:iCs/>
                <w:color w:val="4DB531"/>
                <w:sz w:val="20"/>
              </w:rPr>
              <w:t>with 4 streams</w:t>
            </w:r>
            <w:r w:rsidRPr="005A0C54">
              <w:rPr>
                <w:bCs/>
                <w:i/>
                <w:iCs/>
                <w:color w:val="4DB531"/>
                <w:sz w:val="20"/>
              </w:rPr>
              <w:t xml:space="preserve"> (0.58 bit/s/Hz) can achieve ITU requirements (0.45 bit/s/Hz as defined in Report ITU-R M.2410 TABLE 4).</w:t>
            </w:r>
          </w:p>
          <w:p w:rsidR="00947A04" w:rsidRPr="005A0C54" w:rsidRDefault="00947A04" w:rsidP="00426FBD">
            <w:pPr>
              <w:keepNext/>
              <w:tabs>
                <w:tab w:val="clear" w:pos="1871"/>
                <w:tab w:val="left" w:pos="284"/>
                <w:tab w:val="left" w:pos="567"/>
                <w:tab w:val="left" w:pos="851"/>
                <w:tab w:val="left" w:pos="1418"/>
                <w:tab w:val="left" w:pos="2552"/>
                <w:tab w:val="left" w:pos="2835"/>
                <w:tab w:val="left" w:pos="3119"/>
                <w:tab w:val="left" w:pos="3402"/>
                <w:tab w:val="left" w:pos="3686"/>
                <w:tab w:val="left" w:pos="3969"/>
              </w:tabs>
              <w:spacing w:before="80" w:after="80"/>
              <w:ind w:right="-107"/>
              <w:rPr>
                <w:bCs/>
                <w:i/>
                <w:iCs/>
                <w:color w:val="4DB531"/>
                <w:sz w:val="20"/>
              </w:rPr>
            </w:pPr>
            <w:r w:rsidRPr="005A0C54">
              <w:rPr>
                <w:bCs/>
                <w:i/>
                <w:iCs/>
                <w:color w:val="4DB531"/>
                <w:sz w:val="20"/>
              </w:rPr>
              <w:t xml:space="preserve">ITU Requirements achieved </w:t>
            </w:r>
            <w:r w:rsidRPr="005A0C54">
              <w:rPr>
                <w:b/>
                <w:i/>
                <w:iCs/>
                <w:color w:val="4DB531"/>
                <w:sz w:val="20"/>
              </w:rPr>
              <w:t>77%</w:t>
            </w:r>
            <w:r w:rsidRPr="005A0C54">
              <w:rPr>
                <w:bCs/>
                <w:i/>
                <w:iCs/>
                <w:color w:val="4DB531"/>
                <w:sz w:val="20"/>
              </w:rPr>
              <w:t xml:space="preserve"> of simulation time.</w:t>
            </w:r>
          </w:p>
        </w:tc>
      </w:tr>
    </w:tbl>
    <w:p w:rsidR="00D81171" w:rsidRDefault="00D81171" w:rsidP="00D81171">
      <w:pPr>
        <w:pStyle w:val="Tablefin"/>
      </w:pPr>
    </w:p>
    <w:p w:rsidR="00947A04" w:rsidRPr="0001792D" w:rsidRDefault="00947A04" w:rsidP="00C758AC">
      <w:pPr>
        <w:pStyle w:val="Heading1"/>
      </w:pPr>
      <w:r w:rsidRPr="0001792D">
        <w:t xml:space="preserve">II-E </w:t>
      </w:r>
      <w:r w:rsidR="00C758AC">
        <w:tab/>
      </w:r>
      <w:r w:rsidRPr="0001792D">
        <w:t>Verification as per Report ITU-R M.2411 of the compliance templates and the self-evaluation for each candidate technology as indicated in A)</w:t>
      </w:r>
    </w:p>
    <w:p w:rsidR="00947A04" w:rsidRPr="0001792D" w:rsidRDefault="00947A04" w:rsidP="00947A04">
      <w:pPr>
        <w:spacing w:before="240" w:after="240"/>
        <w:jc w:val="both"/>
      </w:pPr>
      <w:r w:rsidRPr="0001792D">
        <w:t>The verification of compliance templates and the self-evaluation is considered as per ITU-R M.</w:t>
      </w:r>
      <w:r>
        <w:t xml:space="preserve"> </w:t>
      </w:r>
      <w:r w:rsidRPr="0001792D">
        <w:t>2411.</w:t>
      </w:r>
    </w:p>
    <w:p w:rsidR="00947A04" w:rsidRPr="0001792D" w:rsidRDefault="00947A04" w:rsidP="00C758AC">
      <w:pPr>
        <w:pStyle w:val="Heading1"/>
      </w:pPr>
      <w:r w:rsidRPr="0001792D">
        <w:t>II-F</w:t>
      </w:r>
      <w:r w:rsidR="00C758AC">
        <w:tab/>
      </w:r>
      <w:r w:rsidRPr="0001792D">
        <w:t>Assessment as per Reports ITU-R M.</w:t>
      </w:r>
      <w:r>
        <w:t xml:space="preserve"> </w:t>
      </w:r>
      <w:r w:rsidRPr="0001792D">
        <w:t>2410, ITU-R M.</w:t>
      </w:r>
      <w:r>
        <w:t xml:space="preserve"> </w:t>
      </w:r>
      <w:r w:rsidRPr="0001792D">
        <w:t>2411 and ITU-R M.</w:t>
      </w:r>
      <w:r>
        <w:t xml:space="preserve"> </w:t>
      </w:r>
      <w:r w:rsidRPr="0001792D">
        <w:t>2412 for each candidate technology as indicated in A)</w:t>
      </w:r>
    </w:p>
    <w:p w:rsidR="00947A04" w:rsidRPr="0001792D" w:rsidRDefault="00947A04" w:rsidP="00947A04">
      <w:pPr>
        <w:spacing w:before="240" w:after="240"/>
      </w:pPr>
      <w:r w:rsidRPr="0001792D">
        <w:t>The assessment has been carried out as per ITU-R M.</w:t>
      </w:r>
      <w:r>
        <w:t xml:space="preserve"> </w:t>
      </w:r>
      <w:r w:rsidRPr="0001792D">
        <w:t>2410, M.</w:t>
      </w:r>
      <w:r>
        <w:t xml:space="preserve"> </w:t>
      </w:r>
      <w:r w:rsidRPr="0001792D">
        <w:t>2411, and M.</w:t>
      </w:r>
      <w:r>
        <w:t xml:space="preserve"> </w:t>
      </w:r>
      <w:r w:rsidRPr="0001792D">
        <w:t>2412.</w:t>
      </w:r>
    </w:p>
    <w:p w:rsidR="00947A04" w:rsidRPr="0001792D" w:rsidRDefault="00947A04" w:rsidP="00C758AC">
      <w:pPr>
        <w:pStyle w:val="Heading1"/>
      </w:pPr>
      <w:r w:rsidRPr="0001792D">
        <w:t>II-G</w:t>
      </w:r>
      <w:r w:rsidR="00C758AC">
        <w:tab/>
      </w:r>
      <w:r w:rsidRPr="0001792D">
        <w:t>Questions and feedback to WP 5D and/or the proponents or other IEGs</w:t>
      </w:r>
    </w:p>
    <w:p w:rsidR="00947A04" w:rsidRPr="0001792D" w:rsidRDefault="00947A04" w:rsidP="00947A04">
      <w:pPr>
        <w:spacing w:before="240" w:after="240"/>
        <w:jc w:val="both"/>
      </w:pPr>
      <w:r w:rsidRPr="0001792D">
        <w:t>This IEG has referred to the self-evaluation report provided by the EUHT and utilized the parameters used by the EUHT self-evaluation to cross verify the findings.</w:t>
      </w:r>
      <w:r>
        <w:t xml:space="preserve"> Also, the IEG formally contacted </w:t>
      </w:r>
      <w:proofErr w:type="spellStart"/>
      <w:r>
        <w:t>Nufront</w:t>
      </w:r>
      <w:proofErr w:type="spellEnd"/>
      <w:r>
        <w:t xml:space="preserve"> for clarification on some parameters in the receiver design.</w:t>
      </w:r>
    </w:p>
    <w:p w:rsidR="00947A04" w:rsidRPr="0001792D" w:rsidRDefault="00947A04" w:rsidP="0097494F">
      <w:pPr>
        <w:pStyle w:val="Heading1"/>
        <w:rPr>
          <w:sz w:val="24"/>
          <w:szCs w:val="24"/>
        </w:rPr>
      </w:pPr>
      <w:r w:rsidRPr="0001792D">
        <w:t>II-H</w:t>
      </w:r>
      <w:r w:rsidR="0097494F">
        <w:tab/>
      </w:r>
      <w:r w:rsidRPr="0001792D">
        <w:t>Proposed next steps</w:t>
      </w:r>
    </w:p>
    <w:p w:rsidR="00947A04" w:rsidRPr="00B47C2A" w:rsidRDefault="00947A04" w:rsidP="00947A04">
      <w:pPr>
        <w:spacing w:after="240"/>
        <w:jc w:val="both"/>
      </w:pPr>
      <w:r>
        <w:t>The IEG aims to assess the EUHT technology for Mobility Interruption Time (by inspection).</w:t>
      </w:r>
    </w:p>
    <w:p w:rsidR="0097494F" w:rsidRDefault="0097494F">
      <w:pPr>
        <w:tabs>
          <w:tab w:val="clear" w:pos="1134"/>
          <w:tab w:val="clear" w:pos="1871"/>
          <w:tab w:val="clear" w:pos="2268"/>
        </w:tabs>
        <w:overflowPunct/>
        <w:autoSpaceDE/>
        <w:autoSpaceDN/>
        <w:adjustRightInd/>
        <w:spacing w:before="0"/>
        <w:textAlignment w:val="auto"/>
        <w:rPr>
          <w:b/>
          <w:color w:val="000000"/>
          <w:sz w:val="28"/>
          <w:szCs w:val="28"/>
        </w:rPr>
      </w:pPr>
    </w:p>
    <w:p w:rsidR="00947A04" w:rsidRPr="0001792D" w:rsidRDefault="00947A04" w:rsidP="0097494F">
      <w:pPr>
        <w:pStyle w:val="PartNo"/>
      </w:pPr>
      <w:r w:rsidRPr="0001792D">
        <w:t>Part III: Conclusions</w:t>
      </w:r>
    </w:p>
    <w:p w:rsidR="00947A04" w:rsidRDefault="00947A04" w:rsidP="00947A04">
      <w:pPr>
        <w:spacing w:before="240" w:after="240"/>
        <w:ind w:hanging="360"/>
        <w:jc w:val="both"/>
        <w:rPr>
          <w:rFonts w:eastAsia="Arial"/>
        </w:rPr>
      </w:pPr>
      <w:r w:rsidRPr="0001792D">
        <w:t xml:space="preserve">      </w:t>
      </w:r>
      <w:r w:rsidRPr="0001792D">
        <w:rPr>
          <w:rFonts w:eastAsia="Arial"/>
        </w:rPr>
        <w:t xml:space="preserve">In this report, we present the methodology </w:t>
      </w:r>
      <w:r>
        <w:rPr>
          <w:rFonts w:eastAsia="Arial"/>
        </w:rPr>
        <w:t xml:space="preserve">that we have used </w:t>
      </w:r>
      <w:r w:rsidRPr="0001792D">
        <w:rPr>
          <w:rFonts w:eastAsia="Arial"/>
        </w:rPr>
        <w:t xml:space="preserve">for evaluating the RIT for urban macro URLLC scenario. </w:t>
      </w:r>
      <w:r>
        <w:rPr>
          <w:rFonts w:eastAsia="Arial"/>
        </w:rPr>
        <w:t>We have detailed the</w:t>
      </w:r>
      <w:r w:rsidRPr="0001792D">
        <w:rPr>
          <w:rFonts w:eastAsia="Arial"/>
        </w:rPr>
        <w:t xml:space="preserve"> </w:t>
      </w:r>
      <w:r>
        <w:rPr>
          <w:rFonts w:eastAsia="Arial"/>
        </w:rPr>
        <w:t xml:space="preserve">system and </w:t>
      </w:r>
      <w:r w:rsidRPr="0001792D">
        <w:rPr>
          <w:rFonts w:eastAsia="Arial"/>
        </w:rPr>
        <w:t>link-level simulation</w:t>
      </w:r>
      <w:r>
        <w:rPr>
          <w:rFonts w:eastAsia="Arial"/>
        </w:rPr>
        <w:t xml:space="preserve"> parameters, technical assumptions, and the network layout. Based on our simulation results, we conclude that EUHT technology does not pass the reliability criteria for Urban-Macro URLLC. Several observations were made and they are detailed in the previous sections.</w:t>
      </w:r>
    </w:p>
    <w:p w:rsidR="00947A04" w:rsidRPr="00F63F6B" w:rsidRDefault="00947A04" w:rsidP="000B3287">
      <w:pPr>
        <w:pStyle w:val="Headingb"/>
      </w:pPr>
      <w:r w:rsidRPr="000E20B9">
        <w:t>References &amp; Additional Material</w:t>
      </w:r>
    </w:p>
    <w:p w:rsidR="00947A04" w:rsidRPr="000E20B9" w:rsidRDefault="000B3287" w:rsidP="000B3287">
      <w:pPr>
        <w:pStyle w:val="Reftext"/>
      </w:pPr>
      <w:bookmarkStart w:id="9" w:name="_heading=h.3znysh7" w:colFirst="0" w:colLast="0"/>
      <w:bookmarkEnd w:id="9"/>
      <w:r>
        <w:t>[1]</w:t>
      </w:r>
      <w:r>
        <w:tab/>
      </w:r>
      <w:r w:rsidR="00947A04" w:rsidRPr="000E20B9">
        <w:t>ITU-R: Minimum requirements related to technical performance for IMT-2020 radio interface(s). Report ITU-R M.2410-0, (11/2017).</w:t>
      </w:r>
    </w:p>
    <w:p w:rsidR="00947A04" w:rsidRPr="000E20B9" w:rsidRDefault="000B3287" w:rsidP="000B3287">
      <w:pPr>
        <w:pStyle w:val="Reftext"/>
      </w:pPr>
      <w:bookmarkStart w:id="10" w:name="_heading=h.2et92p0" w:colFirst="0" w:colLast="0"/>
      <w:bookmarkEnd w:id="10"/>
      <w:r>
        <w:t>[2]</w:t>
      </w:r>
      <w:r>
        <w:tab/>
      </w:r>
      <w:r w:rsidR="00947A04" w:rsidRPr="000E20B9">
        <w:t>ITU-R: Requirements, evaluation criteria and submission templates for the development of IMT-2020. Report ITU-R M.2411-0, (11/2017).</w:t>
      </w:r>
    </w:p>
    <w:p w:rsidR="00947A04" w:rsidRPr="000E20B9" w:rsidRDefault="000B3287" w:rsidP="000B3287">
      <w:pPr>
        <w:pStyle w:val="Reftext"/>
      </w:pPr>
      <w:bookmarkStart w:id="11" w:name="_heading=h.tyjcwt" w:colFirst="0" w:colLast="0"/>
      <w:bookmarkEnd w:id="11"/>
      <w:r>
        <w:t>[3]</w:t>
      </w:r>
      <w:r>
        <w:tab/>
      </w:r>
      <w:r w:rsidR="00947A04" w:rsidRPr="000E20B9">
        <w:t>ITU-R: Guidelines for evaluation of radio interface technologies for IMT-2020. Report ITU-R M.2412-0, (10/2017).</w:t>
      </w:r>
    </w:p>
    <w:p w:rsidR="00947A04" w:rsidRDefault="00947A04" w:rsidP="00947A04">
      <w:pPr>
        <w:pStyle w:val="Heading1"/>
        <w:jc w:val="both"/>
        <w:rPr>
          <w:b w:val="0"/>
          <w:color w:val="000000"/>
          <w:szCs w:val="28"/>
        </w:rPr>
      </w:pPr>
    </w:p>
    <w:p w:rsidR="00D81171" w:rsidRDefault="00D81171">
      <w:pPr>
        <w:tabs>
          <w:tab w:val="clear" w:pos="1134"/>
          <w:tab w:val="clear" w:pos="1871"/>
          <w:tab w:val="clear" w:pos="2268"/>
        </w:tabs>
        <w:overflowPunct/>
        <w:autoSpaceDE/>
        <w:autoSpaceDN/>
        <w:adjustRightInd/>
        <w:spacing w:before="0"/>
        <w:textAlignment w:val="auto"/>
        <w:rPr>
          <w:b/>
          <w:color w:val="000000"/>
          <w:sz w:val="28"/>
          <w:szCs w:val="28"/>
        </w:rPr>
      </w:pPr>
      <w:r>
        <w:rPr>
          <w:color w:val="000000"/>
          <w:szCs w:val="28"/>
        </w:rPr>
        <w:br w:type="page"/>
      </w:r>
    </w:p>
    <w:p w:rsidR="00947A04" w:rsidRDefault="00947A04" w:rsidP="000B3287">
      <w:pPr>
        <w:pStyle w:val="AppArtNo"/>
      </w:pPr>
      <w:r>
        <w:t>Appendix A</w:t>
      </w:r>
    </w:p>
    <w:p w:rsidR="00947A04" w:rsidRDefault="00947A04" w:rsidP="00C758AC">
      <w:pPr>
        <w:pStyle w:val="Heading1"/>
      </w:pPr>
      <w:r>
        <w:t>A</w:t>
      </w:r>
      <w:r w:rsidRPr="0001792D">
        <w:t>-</w:t>
      </w:r>
      <w:r>
        <w:t>I</w:t>
      </w:r>
      <w:r w:rsidRPr="0001792D">
        <w:tab/>
      </w:r>
      <w:r>
        <w:t>Previous Results</w:t>
      </w:r>
    </w:p>
    <w:p w:rsidR="00947A04" w:rsidRPr="001B1570" w:rsidRDefault="00947A04" w:rsidP="005A0C54">
      <w:pPr>
        <w:rPr>
          <w:b/>
          <w:bCs/>
        </w:rPr>
      </w:pPr>
      <w:r w:rsidRPr="001B1570">
        <w:t>These results follow an antennae configuration of 8x2 i.e., 8 Tx and 2 Rx antennae elements.</w:t>
      </w:r>
      <w:r>
        <w:t xml:space="preserve"> For this antennae configuration the RIT does not meet the reliability criteria, however, even after increasing the number of Rx antenna elements, the RIT does not meet the reliability criteria as shown in Section II-C-4 of this report.</w:t>
      </w:r>
    </w:p>
    <w:p w:rsidR="00D81171" w:rsidRDefault="00947A04" w:rsidP="00D81171">
      <w:pPr>
        <w:pStyle w:val="TableNo"/>
      </w:pPr>
      <w:r w:rsidRPr="0001792D">
        <w:t xml:space="preserve">Table </w:t>
      </w:r>
      <w:r>
        <w:t>4</w:t>
      </w:r>
    </w:p>
    <w:p w:rsidR="00947A04" w:rsidRPr="00A15194" w:rsidRDefault="00947A04" w:rsidP="00D81171">
      <w:pPr>
        <w:pStyle w:val="Tabletitle"/>
      </w:pPr>
      <w:r>
        <w:t>Previous results (Antennae Config 8×2)</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271"/>
        <w:gridCol w:w="992"/>
        <w:gridCol w:w="992"/>
        <w:gridCol w:w="993"/>
        <w:gridCol w:w="1422"/>
        <w:gridCol w:w="1559"/>
      </w:tblGrid>
      <w:tr w:rsidR="00947A04" w:rsidRPr="0001792D" w:rsidTr="00C01B2B">
        <w:trPr>
          <w:cantSplit/>
          <w:tblHeader/>
          <w:jc w:val="center"/>
        </w:trPr>
        <w:tc>
          <w:tcPr>
            <w:tcW w:w="1418" w:type="dxa"/>
            <w:vMerge w:val="restart"/>
            <w:shd w:val="clear" w:color="auto" w:fill="auto"/>
            <w:vAlign w:val="center"/>
            <w:hideMark/>
          </w:tcPr>
          <w:p w:rsidR="00947A04" w:rsidRPr="00A15194" w:rsidRDefault="00947A04" w:rsidP="00426FBD">
            <w:pPr>
              <w:pStyle w:val="Tablehead"/>
            </w:pPr>
            <w:r w:rsidRPr="00A15194">
              <w:t>Minimum technical performance requirements (ITU-R M.2410)</w:t>
            </w:r>
          </w:p>
        </w:tc>
        <w:tc>
          <w:tcPr>
            <w:tcW w:w="3255" w:type="dxa"/>
            <w:gridSpan w:val="3"/>
            <w:shd w:val="clear" w:color="auto" w:fill="auto"/>
            <w:vAlign w:val="center"/>
            <w:hideMark/>
          </w:tcPr>
          <w:p w:rsidR="00947A04" w:rsidRPr="00A15194" w:rsidRDefault="00947A04" w:rsidP="00426FBD">
            <w:pPr>
              <w:pStyle w:val="Tablehead"/>
            </w:pPr>
            <w:r w:rsidRPr="00A15194">
              <w:t>Category</w:t>
            </w:r>
          </w:p>
        </w:tc>
        <w:tc>
          <w:tcPr>
            <w:tcW w:w="992" w:type="dxa"/>
            <w:vMerge w:val="restart"/>
            <w:shd w:val="clear" w:color="auto" w:fill="auto"/>
            <w:vAlign w:val="center"/>
          </w:tcPr>
          <w:p w:rsidR="00947A04" w:rsidRPr="00A15194" w:rsidRDefault="00947A04" w:rsidP="00426FBD">
            <w:pPr>
              <w:pStyle w:val="Tablehead"/>
            </w:pPr>
            <w:r w:rsidRPr="00A15194">
              <w:t>Required value</w:t>
            </w:r>
          </w:p>
        </w:tc>
        <w:tc>
          <w:tcPr>
            <w:tcW w:w="993" w:type="dxa"/>
            <w:vMerge w:val="restart"/>
            <w:shd w:val="clear" w:color="auto" w:fill="auto"/>
            <w:vAlign w:val="center"/>
          </w:tcPr>
          <w:p w:rsidR="00947A04" w:rsidRPr="00A15194" w:rsidRDefault="00947A04" w:rsidP="00426FBD">
            <w:pPr>
              <w:pStyle w:val="Tablehead"/>
            </w:pPr>
            <w:r w:rsidRPr="00A15194">
              <w:t>Value</w:t>
            </w:r>
          </w:p>
        </w:tc>
        <w:tc>
          <w:tcPr>
            <w:tcW w:w="1422" w:type="dxa"/>
            <w:vMerge w:val="restart"/>
            <w:shd w:val="clear" w:color="auto" w:fill="auto"/>
            <w:vAlign w:val="center"/>
          </w:tcPr>
          <w:p w:rsidR="00947A04" w:rsidRPr="00A15194" w:rsidRDefault="00947A04" w:rsidP="00426FBD">
            <w:pPr>
              <w:pStyle w:val="Tablehead"/>
            </w:pPr>
            <w:r w:rsidRPr="00A15194">
              <w:t>Meets the Requirement?</w:t>
            </w:r>
          </w:p>
        </w:tc>
        <w:tc>
          <w:tcPr>
            <w:tcW w:w="1559" w:type="dxa"/>
            <w:vMerge w:val="restart"/>
            <w:shd w:val="clear" w:color="auto" w:fill="auto"/>
            <w:vAlign w:val="center"/>
            <w:hideMark/>
          </w:tcPr>
          <w:p w:rsidR="00947A04" w:rsidRPr="00A15194" w:rsidRDefault="00947A04" w:rsidP="00426FBD">
            <w:pPr>
              <w:pStyle w:val="Tablehead"/>
            </w:pPr>
            <w:r w:rsidRPr="00A15194">
              <w:t>Remarks</w:t>
            </w:r>
          </w:p>
        </w:tc>
      </w:tr>
      <w:tr w:rsidR="00947A04" w:rsidRPr="0001792D" w:rsidTr="00C01B2B">
        <w:trPr>
          <w:cantSplit/>
          <w:tblHeader/>
          <w:jc w:val="center"/>
        </w:trPr>
        <w:tc>
          <w:tcPr>
            <w:tcW w:w="1418" w:type="dxa"/>
            <w:vMerge/>
            <w:shd w:val="clear" w:color="auto" w:fill="auto"/>
            <w:vAlign w:val="center"/>
            <w:hideMark/>
          </w:tcPr>
          <w:p w:rsidR="00947A04" w:rsidRPr="00A15194" w:rsidRDefault="00947A04" w:rsidP="00C01B2B">
            <w:pPr>
              <w:tabs>
                <w:tab w:val="left" w:pos="794"/>
                <w:tab w:val="left" w:pos="1191"/>
                <w:tab w:val="left" w:pos="1588"/>
                <w:tab w:val="left" w:pos="1985"/>
              </w:tabs>
              <w:jc w:val="both"/>
              <w:rPr>
                <w:b/>
                <w:sz w:val="18"/>
                <w:szCs w:val="18"/>
              </w:rPr>
            </w:pPr>
          </w:p>
        </w:tc>
        <w:tc>
          <w:tcPr>
            <w:tcW w:w="992" w:type="dxa"/>
            <w:shd w:val="clear" w:color="auto" w:fill="auto"/>
            <w:vAlign w:val="center"/>
            <w:hideMark/>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15194">
              <w:rPr>
                <w:b/>
                <w:sz w:val="18"/>
                <w:szCs w:val="18"/>
              </w:rPr>
              <w:t>Usage scenario</w:t>
            </w:r>
          </w:p>
        </w:tc>
        <w:tc>
          <w:tcPr>
            <w:tcW w:w="1271" w:type="dxa"/>
            <w:shd w:val="clear" w:color="auto" w:fill="auto"/>
            <w:vAlign w:val="center"/>
            <w:hideMark/>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15194">
              <w:rPr>
                <w:b/>
                <w:sz w:val="18"/>
                <w:szCs w:val="18"/>
              </w:rPr>
              <w:t>Test environment</w:t>
            </w:r>
          </w:p>
        </w:tc>
        <w:tc>
          <w:tcPr>
            <w:tcW w:w="992" w:type="dxa"/>
            <w:shd w:val="clear" w:color="auto" w:fill="auto"/>
            <w:vAlign w:val="center"/>
            <w:hideMark/>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15194">
              <w:rPr>
                <w:b/>
                <w:sz w:val="18"/>
                <w:szCs w:val="18"/>
              </w:rPr>
              <w:t>Downlink or Uplink</w:t>
            </w:r>
          </w:p>
        </w:tc>
        <w:tc>
          <w:tcPr>
            <w:tcW w:w="992"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993"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1422"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c>
          <w:tcPr>
            <w:tcW w:w="1559" w:type="dxa"/>
            <w:vMerge/>
            <w:shd w:val="clear" w:color="auto" w:fill="auto"/>
            <w:vAlign w:val="center"/>
          </w:tcPr>
          <w:p w:rsidR="00947A04" w:rsidRPr="00A15194"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p>
        </w:tc>
      </w:tr>
      <w:tr w:rsidR="00947A04" w:rsidRPr="0001792D" w:rsidTr="004C7011">
        <w:trPr>
          <w:cantSplit/>
          <w:tblHeader/>
          <w:jc w:val="center"/>
        </w:trPr>
        <w:tc>
          <w:tcPr>
            <w:tcW w:w="1418" w:type="dxa"/>
            <w:shd w:val="clear" w:color="auto" w:fill="auto"/>
            <w:vAlign w:val="center"/>
          </w:tcPr>
          <w:p w:rsidR="00947A04" w:rsidRPr="00426FBD" w:rsidRDefault="00947A04" w:rsidP="00C01B2B">
            <w:pPr>
              <w:tabs>
                <w:tab w:val="left" w:pos="794"/>
                <w:tab w:val="left" w:pos="1191"/>
                <w:tab w:val="left" w:pos="1588"/>
                <w:tab w:val="left" w:pos="1985"/>
              </w:tabs>
              <w:jc w:val="both"/>
              <w:rPr>
                <w:b/>
                <w:sz w:val="20"/>
              </w:rPr>
            </w:pPr>
            <w:r w:rsidRPr="00426FBD">
              <w:rPr>
                <w:b/>
                <w:sz w:val="20"/>
              </w:rPr>
              <w:t>Reliability</w:t>
            </w:r>
          </w:p>
        </w:tc>
        <w:tc>
          <w:tcPr>
            <w:tcW w:w="992" w:type="dxa"/>
            <w:shd w:val="clear" w:color="auto" w:fill="auto"/>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URLLC</w:t>
            </w:r>
          </w:p>
        </w:tc>
        <w:tc>
          <w:tcPr>
            <w:tcW w:w="1271" w:type="dxa"/>
            <w:shd w:val="clear" w:color="auto" w:fill="auto"/>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Urban macro-URLLC</w:t>
            </w:r>
          </w:p>
        </w:tc>
        <w:tc>
          <w:tcPr>
            <w:tcW w:w="992" w:type="dxa"/>
            <w:shd w:val="clear" w:color="auto" w:fill="auto"/>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bCs/>
                <w:sz w:val="20"/>
              </w:rPr>
              <w:t>Downlink</w:t>
            </w:r>
          </w:p>
        </w:tc>
        <w:tc>
          <w:tcPr>
            <w:tcW w:w="992" w:type="dxa"/>
            <w:shd w:val="clear" w:color="auto" w:fill="auto"/>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20"/>
              </w:rPr>
            </w:pPr>
            <w:r w:rsidRPr="00426FBD">
              <w:rPr>
                <w:sz w:val="20"/>
              </w:rPr>
              <w:t>99.999%</w:t>
            </w:r>
          </w:p>
        </w:tc>
        <w:tc>
          <w:tcPr>
            <w:tcW w:w="993" w:type="dxa"/>
            <w:shd w:val="clear" w:color="auto" w:fill="auto"/>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r w:rsidRPr="00426FBD">
              <w:rPr>
                <w:bCs/>
                <w:color w:val="FF0000"/>
                <w:sz w:val="20"/>
              </w:rPr>
              <w:t>99.875%</w:t>
            </w:r>
          </w:p>
        </w:tc>
        <w:tc>
          <w:tcPr>
            <w:tcW w:w="1422" w:type="dxa"/>
            <w:shd w:val="clear" w:color="auto" w:fill="FBFCD0"/>
            <w:vAlign w:val="center"/>
          </w:tcPr>
          <w:p w:rsidR="00947A04" w:rsidRPr="00426FBD" w:rsidRDefault="00947A04" w:rsidP="00C01B2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color w:val="FF0000"/>
                <w:sz w:val="20"/>
              </w:rPr>
            </w:pPr>
            <w:r w:rsidRPr="00426FBD">
              <w:rPr>
                <w:bCs/>
                <w:color w:val="FF0000"/>
                <w:sz w:val="20"/>
              </w:rPr>
              <w:t>No</w:t>
            </w:r>
          </w:p>
        </w:tc>
        <w:tc>
          <w:tcPr>
            <w:tcW w:w="1559" w:type="dxa"/>
            <w:shd w:val="clear" w:color="auto" w:fill="FBFCD0"/>
            <w:vAlign w:val="center"/>
          </w:tcPr>
          <w:p w:rsidR="00947A04" w:rsidRPr="00426FBD" w:rsidRDefault="00947A04" w:rsidP="00426F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i/>
                <w:iCs/>
                <w:color w:val="FF0000"/>
                <w:sz w:val="20"/>
              </w:rPr>
            </w:pPr>
            <w:r w:rsidRPr="00426FBD">
              <w:rPr>
                <w:bCs/>
                <w:i/>
                <w:iCs/>
                <w:color w:val="FF0000"/>
                <w:sz w:val="20"/>
              </w:rPr>
              <w:t>The candidate under evaluation does not meet the reliability criteria due to the provided antenna configuration.</w:t>
            </w:r>
          </w:p>
          <w:p w:rsidR="00947A04" w:rsidRPr="00426FBD" w:rsidRDefault="00947A04" w:rsidP="00426F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i/>
                <w:iCs/>
                <w:color w:val="FF0000"/>
                <w:sz w:val="20"/>
              </w:rPr>
            </w:pPr>
          </w:p>
          <w:p w:rsidR="00947A04" w:rsidRPr="00426FBD" w:rsidRDefault="00947A04" w:rsidP="00426F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i/>
                <w:iCs/>
                <w:color w:val="FF0000"/>
                <w:sz w:val="20"/>
              </w:rPr>
            </w:pPr>
            <w:r w:rsidRPr="00426FBD">
              <w:rPr>
                <w:bCs/>
                <w:i/>
                <w:iCs/>
                <w:color w:val="FF0000"/>
                <w:sz w:val="20"/>
              </w:rPr>
              <w:t>*Increasing the number of receiver antenna elements may result in better reliability as Diversity increases.</w:t>
            </w:r>
          </w:p>
        </w:tc>
      </w:tr>
    </w:tbl>
    <w:p w:rsidR="00947A04" w:rsidRPr="001B1570" w:rsidRDefault="00947A04" w:rsidP="00D81171">
      <w:pPr>
        <w:pStyle w:val="Tablefin"/>
      </w:pPr>
    </w:p>
    <w:p w:rsidR="00D81171" w:rsidRDefault="00D81171">
      <w:pPr>
        <w:tabs>
          <w:tab w:val="clear" w:pos="1134"/>
          <w:tab w:val="clear" w:pos="1871"/>
          <w:tab w:val="clear" w:pos="2268"/>
        </w:tabs>
        <w:overflowPunct/>
        <w:autoSpaceDE/>
        <w:autoSpaceDN/>
        <w:adjustRightInd/>
        <w:spacing w:before="0"/>
        <w:textAlignment w:val="auto"/>
        <w:rPr>
          <w:lang w:eastAsia="zh-CN"/>
        </w:rPr>
      </w:pPr>
    </w:p>
    <w:p w:rsidR="000069D4" w:rsidRPr="00947A04" w:rsidRDefault="00D81171" w:rsidP="00D81171">
      <w:pPr>
        <w:jc w:val="center"/>
        <w:rPr>
          <w:lang w:eastAsia="zh-CN"/>
        </w:rPr>
      </w:pPr>
      <w:r>
        <w:t>______________</w:t>
      </w:r>
    </w:p>
    <w:sectPr w:rsidR="000069D4" w:rsidRPr="00947A04" w:rsidSect="00E31124">
      <w:headerReference w:type="default" r:id="rId22"/>
      <w:footerReference w:type="default" r:id="rId23"/>
      <w:footerReference w:type="first" r:id="rId2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9F" w:rsidRDefault="00EB289F">
      <w:r>
        <w:separator/>
      </w:r>
    </w:p>
  </w:endnote>
  <w:endnote w:type="continuationSeparator" w:id="0">
    <w:p w:rsidR="00EB289F" w:rsidRDefault="00EB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EB289F">
    <w:pPr>
      <w:pStyle w:val="Footer"/>
      <w:rPr>
        <w:lang w:val="en-US"/>
      </w:rPr>
    </w:pPr>
    <w:r>
      <w:fldChar w:fldCharType="begin"/>
    </w:r>
    <w:r>
      <w:instrText xml:space="preserve"> FILENAME \p \* MERGEFORMAT </w:instrText>
    </w:r>
    <w:r>
      <w:fldChar w:fldCharType="separate"/>
    </w:r>
    <w:r w:rsidR="00947A04" w:rsidRPr="00947A04">
      <w:rPr>
        <w:lang w:val="en-US"/>
      </w:rPr>
      <w:t>M</w:t>
    </w:r>
    <w:r w:rsidR="00947A04">
      <w:t>:\BRSGD\TEXT2019\SG05\WP5D\700\743e.docx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F1266">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3552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EB289F" w:rsidP="00E6257C">
    <w:pPr>
      <w:pStyle w:val="Footer"/>
      <w:rPr>
        <w:lang w:val="en-US"/>
      </w:rPr>
    </w:pPr>
    <w:r>
      <w:fldChar w:fldCharType="begin"/>
    </w:r>
    <w:r>
      <w:instrText xml:space="preserve"> FILENAME \p \* MERGEFORMAT </w:instrText>
    </w:r>
    <w:r>
      <w:fldChar w:fldCharType="separate"/>
    </w:r>
    <w:r w:rsidR="00947A04" w:rsidRPr="00947A04">
      <w:rPr>
        <w:lang w:val="en-US"/>
      </w:rPr>
      <w:t>M</w:t>
    </w:r>
    <w:r w:rsidR="00947A04">
      <w:t>:\BRSGD\TEXT2019\SG05\WP5D\700\743e.docx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F1266">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3552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9F" w:rsidRDefault="00EB289F">
      <w:r>
        <w:t>____________________</w:t>
      </w:r>
    </w:p>
  </w:footnote>
  <w:footnote w:type="continuationSeparator" w:id="0">
    <w:p w:rsidR="00EB289F" w:rsidRDefault="00EB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F1266">
      <w:rPr>
        <w:rStyle w:val="PageNumber"/>
        <w:noProof/>
      </w:rPr>
      <w:t>2</w:t>
    </w:r>
    <w:r w:rsidR="00D02712">
      <w:rPr>
        <w:rStyle w:val="PageNumber"/>
      </w:rPr>
      <w:fldChar w:fldCharType="end"/>
    </w:r>
    <w:r>
      <w:rPr>
        <w:rStyle w:val="PageNumber"/>
      </w:rPr>
      <w:t xml:space="preserve"> -</w:t>
    </w:r>
  </w:p>
  <w:p w:rsidR="00FA124A" w:rsidRDefault="00E35520">
    <w:pPr>
      <w:pStyle w:val="Header"/>
      <w:rPr>
        <w:lang w:val="en-US"/>
      </w:rPr>
    </w:pPr>
    <w:r>
      <w:rPr>
        <w:lang w:val="en-US"/>
      </w:rPr>
      <w:t>5D/743-E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8D6"/>
    <w:multiLevelType w:val="hybridMultilevel"/>
    <w:tmpl w:val="E27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1A78"/>
    <w:multiLevelType w:val="multilevel"/>
    <w:tmpl w:val="5EB0E1A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9750A0"/>
    <w:multiLevelType w:val="hybridMultilevel"/>
    <w:tmpl w:val="865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2489A"/>
    <w:multiLevelType w:val="hybridMultilevel"/>
    <w:tmpl w:val="F60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2139A"/>
    <w:multiLevelType w:val="multilevel"/>
    <w:tmpl w:val="8440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154615"/>
    <w:multiLevelType w:val="multilevel"/>
    <w:tmpl w:val="B23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A572C"/>
    <w:multiLevelType w:val="hybridMultilevel"/>
    <w:tmpl w:val="0CD23B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1F36618"/>
    <w:multiLevelType w:val="hybridMultilevel"/>
    <w:tmpl w:val="E068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47D35"/>
    <w:multiLevelType w:val="multilevel"/>
    <w:tmpl w:val="7E32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4"/>
  </w:num>
  <w:num w:numId="4">
    <w:abstractNumId w:val="6"/>
  </w:num>
  <w:num w:numId="5">
    <w:abstractNumId w:val="5"/>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20"/>
    <w:rsid w:val="000069D4"/>
    <w:rsid w:val="000174AD"/>
    <w:rsid w:val="00047A1D"/>
    <w:rsid w:val="000604B9"/>
    <w:rsid w:val="000834BF"/>
    <w:rsid w:val="000A7D55"/>
    <w:rsid w:val="000B3287"/>
    <w:rsid w:val="000C12C8"/>
    <w:rsid w:val="000C2E8E"/>
    <w:rsid w:val="000E0E7C"/>
    <w:rsid w:val="000F1B4B"/>
    <w:rsid w:val="0012744F"/>
    <w:rsid w:val="00131178"/>
    <w:rsid w:val="00156F66"/>
    <w:rsid w:val="00163271"/>
    <w:rsid w:val="00172122"/>
    <w:rsid w:val="00182528"/>
    <w:rsid w:val="0018500B"/>
    <w:rsid w:val="00196A19"/>
    <w:rsid w:val="001F1266"/>
    <w:rsid w:val="001F29FF"/>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49AD"/>
    <w:rsid w:val="003E7CEF"/>
    <w:rsid w:val="003F072E"/>
    <w:rsid w:val="00426FBD"/>
    <w:rsid w:val="00461B73"/>
    <w:rsid w:val="004820DC"/>
    <w:rsid w:val="004B1EF7"/>
    <w:rsid w:val="004B3FAD"/>
    <w:rsid w:val="004C5749"/>
    <w:rsid w:val="004C7011"/>
    <w:rsid w:val="00501DCA"/>
    <w:rsid w:val="00513A47"/>
    <w:rsid w:val="005408DF"/>
    <w:rsid w:val="00573344"/>
    <w:rsid w:val="00583F9B"/>
    <w:rsid w:val="005A0C54"/>
    <w:rsid w:val="005B0D29"/>
    <w:rsid w:val="005E5C10"/>
    <w:rsid w:val="005F2C78"/>
    <w:rsid w:val="006144E4"/>
    <w:rsid w:val="00645E44"/>
    <w:rsid w:val="00650299"/>
    <w:rsid w:val="00655FC5"/>
    <w:rsid w:val="0080538C"/>
    <w:rsid w:val="00814E0A"/>
    <w:rsid w:val="00822581"/>
    <w:rsid w:val="008309DD"/>
    <w:rsid w:val="0083227A"/>
    <w:rsid w:val="00866900"/>
    <w:rsid w:val="00876A8A"/>
    <w:rsid w:val="00881BA1"/>
    <w:rsid w:val="008B36D0"/>
    <w:rsid w:val="008C2302"/>
    <w:rsid w:val="008C26B8"/>
    <w:rsid w:val="008F208F"/>
    <w:rsid w:val="00947A04"/>
    <w:rsid w:val="0097494F"/>
    <w:rsid w:val="00982084"/>
    <w:rsid w:val="00995963"/>
    <w:rsid w:val="009B61EB"/>
    <w:rsid w:val="009C185B"/>
    <w:rsid w:val="009C2064"/>
    <w:rsid w:val="009D1697"/>
    <w:rsid w:val="009F3A46"/>
    <w:rsid w:val="009F6520"/>
    <w:rsid w:val="00A014F8"/>
    <w:rsid w:val="00A35CBF"/>
    <w:rsid w:val="00A5173C"/>
    <w:rsid w:val="00A61AEF"/>
    <w:rsid w:val="00AA25FD"/>
    <w:rsid w:val="00AD2345"/>
    <w:rsid w:val="00AF173A"/>
    <w:rsid w:val="00B066A4"/>
    <w:rsid w:val="00B07A13"/>
    <w:rsid w:val="00B4279B"/>
    <w:rsid w:val="00B45FC9"/>
    <w:rsid w:val="00B76F35"/>
    <w:rsid w:val="00B81138"/>
    <w:rsid w:val="00BC7CCF"/>
    <w:rsid w:val="00BE470B"/>
    <w:rsid w:val="00C57A91"/>
    <w:rsid w:val="00C6633A"/>
    <w:rsid w:val="00C758AC"/>
    <w:rsid w:val="00CC01C2"/>
    <w:rsid w:val="00CF21F2"/>
    <w:rsid w:val="00CF7A66"/>
    <w:rsid w:val="00D02712"/>
    <w:rsid w:val="00D046A7"/>
    <w:rsid w:val="00D10AB6"/>
    <w:rsid w:val="00D214D0"/>
    <w:rsid w:val="00D41C9B"/>
    <w:rsid w:val="00D6546B"/>
    <w:rsid w:val="00D81171"/>
    <w:rsid w:val="00D8670B"/>
    <w:rsid w:val="00DB178B"/>
    <w:rsid w:val="00DC17D3"/>
    <w:rsid w:val="00DD4BED"/>
    <w:rsid w:val="00DE39F0"/>
    <w:rsid w:val="00DF0AF3"/>
    <w:rsid w:val="00DF7E9F"/>
    <w:rsid w:val="00E27D7E"/>
    <w:rsid w:val="00E31124"/>
    <w:rsid w:val="00E35520"/>
    <w:rsid w:val="00E42E13"/>
    <w:rsid w:val="00E56D5C"/>
    <w:rsid w:val="00E6257C"/>
    <w:rsid w:val="00E63C59"/>
    <w:rsid w:val="00E97D2B"/>
    <w:rsid w:val="00EB289F"/>
    <w:rsid w:val="00EE104D"/>
    <w:rsid w:val="00F25662"/>
    <w:rsid w:val="00F54FF0"/>
    <w:rsid w:val="00FA124A"/>
    <w:rsid w:val="00FC08DD"/>
    <w:rsid w:val="00FC2316"/>
    <w:rsid w:val="00FC2CFD"/>
    <w:rsid w:val="00FD15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B15D1"/>
  <w15:docId w15:val="{9974E985-3E85-4D0B-BCE7-FE290995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9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rsid w:val="00947A04"/>
    <w:rPr>
      <w:rFonts w:ascii="Times New Roman" w:hAnsi="Times New Roman"/>
      <w:b/>
      <w:sz w:val="24"/>
      <w:lang w:val="en-GB" w:eastAsia="en-US"/>
    </w:rPr>
  </w:style>
  <w:style w:type="paragraph" w:styleId="NormalWeb">
    <w:name w:val="Normal (Web)"/>
    <w:basedOn w:val="Normal"/>
    <w:uiPriority w:val="99"/>
    <w:unhideWhenUsed/>
    <w:rsid w:val="00947A04"/>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Heading1Char">
    <w:name w:val="Heading 1 Char"/>
    <w:basedOn w:val="DefaultParagraphFont"/>
    <w:link w:val="Heading1"/>
    <w:uiPriority w:val="9"/>
    <w:rsid w:val="00947A04"/>
    <w:rPr>
      <w:rFonts w:ascii="Times New Roman" w:hAnsi="Times New Roman"/>
      <w:b/>
      <w:sz w:val="28"/>
      <w:lang w:val="en-GB" w:eastAsia="en-US"/>
    </w:rPr>
  </w:style>
  <w:style w:type="table" w:styleId="PlainTable2">
    <w:name w:val="Plain Table 2"/>
    <w:basedOn w:val="TableNormal"/>
    <w:uiPriority w:val="42"/>
    <w:rsid w:val="00947A04"/>
    <w:rPr>
      <w:rFonts w:ascii="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nhideWhenUsed/>
    <w:rsid w:val="00C6633A"/>
    <w:rPr>
      <w:color w:val="0000FF" w:themeColor="hyperlink"/>
      <w:u w:val="single"/>
    </w:rPr>
  </w:style>
  <w:style w:type="character" w:customStyle="1" w:styleId="UnresolvedMention">
    <w:name w:val="Unresolved Mention"/>
    <w:basedOn w:val="DefaultParagraphFont"/>
    <w:uiPriority w:val="99"/>
    <w:semiHidden/>
    <w:unhideWhenUsed/>
    <w:rsid w:val="00C6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kan.batikhan@turkcell.com.tr"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xxxx@xxx.xx" TargetMode="External"/><Relationship Id="rId17" Type="http://schemas.openxmlformats.org/officeDocument/2006/relationships/hyperlink" Target="mailto:nuwan.weerasinghe@kingston.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man@kingston.ac.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1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afay.ansari@northumbria.ac.uk" TargetMode="External"/><Relationship Id="rId23" Type="http://schemas.openxmlformats.org/officeDocument/2006/relationships/footer" Target="footer1.xml"/><Relationship Id="rId10" Type="http://schemas.openxmlformats.org/officeDocument/2006/relationships/hyperlink" Target="https://www.itu.int/pub/R-REP-M.241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pub/R-REP-M.2410" TargetMode="External"/><Relationship Id="rId14" Type="http://schemas.openxmlformats.org/officeDocument/2006/relationships/hyperlink" Target="mailto:c.politis@kingston.ac.u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A2D2-F106-4BF2-96AA-9693C204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Norton Viard, Emma</cp:lastModifiedBy>
  <cp:revision>1</cp:revision>
  <cp:lastPrinted>2008-02-21T14:04:00Z</cp:lastPrinted>
  <dcterms:created xsi:type="dcterms:W3CDTF">2021-11-09T09:41:00Z</dcterms:created>
  <dcterms:modified xsi:type="dcterms:W3CDTF">2021-11-09T09:41:00Z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