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7914A08" w14:textId="77777777" w:rsidTr="00876A8A">
        <w:trPr>
          <w:cantSplit/>
        </w:trPr>
        <w:tc>
          <w:tcPr>
            <w:tcW w:w="6487" w:type="dxa"/>
            <w:vAlign w:val="center"/>
          </w:tcPr>
          <w:p w14:paraId="25077CA5"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B4595D1" w14:textId="77777777" w:rsidR="009F6520" w:rsidRDefault="0013189F" w:rsidP="0013189F">
            <w:pPr>
              <w:shd w:val="solid" w:color="FFFFFF" w:fill="FFFFFF"/>
              <w:spacing w:before="0" w:line="240" w:lineRule="atLeast"/>
            </w:pPr>
            <w:bookmarkStart w:id="0" w:name="ditulogo"/>
            <w:bookmarkEnd w:id="0"/>
            <w:r>
              <w:rPr>
                <w:noProof/>
                <w:lang w:val="en-US" w:eastAsia="zh-CN"/>
              </w:rPr>
              <w:drawing>
                <wp:inline distT="0" distB="0" distL="0" distR="0" wp14:anchorId="71C5F1E6" wp14:editId="51DE0AC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5D276C07" w14:textId="77777777" w:rsidTr="00876A8A">
        <w:trPr>
          <w:cantSplit/>
        </w:trPr>
        <w:tc>
          <w:tcPr>
            <w:tcW w:w="6487" w:type="dxa"/>
            <w:tcBorders>
              <w:bottom w:val="single" w:sz="12" w:space="0" w:color="auto"/>
            </w:tcBorders>
          </w:tcPr>
          <w:p w14:paraId="0BD1E199"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DC86DC2"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CC2D1B0" w14:textId="77777777" w:rsidTr="00876A8A">
        <w:trPr>
          <w:cantSplit/>
        </w:trPr>
        <w:tc>
          <w:tcPr>
            <w:tcW w:w="6487" w:type="dxa"/>
            <w:tcBorders>
              <w:top w:val="single" w:sz="12" w:space="0" w:color="auto"/>
            </w:tcBorders>
          </w:tcPr>
          <w:p w14:paraId="4C6821BF"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E36C69" w14:textId="77777777" w:rsidR="000069D4" w:rsidRPr="00710D66" w:rsidRDefault="000069D4" w:rsidP="00A5173C">
            <w:pPr>
              <w:shd w:val="solid" w:color="FFFFFF" w:fill="FFFFFF"/>
              <w:spacing w:before="0" w:after="48" w:line="240" w:lineRule="atLeast"/>
              <w:rPr>
                <w:lang w:val="en-US"/>
              </w:rPr>
            </w:pPr>
          </w:p>
        </w:tc>
      </w:tr>
      <w:tr w:rsidR="000069D4" w14:paraId="40DDA3D4" w14:textId="77777777" w:rsidTr="00876A8A">
        <w:trPr>
          <w:cantSplit/>
        </w:trPr>
        <w:tc>
          <w:tcPr>
            <w:tcW w:w="6487" w:type="dxa"/>
            <w:vMerge w:val="restart"/>
          </w:tcPr>
          <w:p w14:paraId="78F302BC" w14:textId="77777777" w:rsidR="000069D4" w:rsidRDefault="0013189F" w:rsidP="0013189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EB486C">
              <w:rPr>
                <w:rFonts w:ascii="Verdana" w:hAnsi="Verdana"/>
                <w:sz w:val="20"/>
              </w:rPr>
              <w:t>6 June</w:t>
            </w:r>
            <w:r>
              <w:rPr>
                <w:rFonts w:ascii="Verdana" w:hAnsi="Verdana"/>
                <w:sz w:val="20"/>
              </w:rPr>
              <w:t xml:space="preserve"> 2022</w:t>
            </w:r>
          </w:p>
          <w:p w14:paraId="1DBCD02C" w14:textId="77777777" w:rsidR="0013189F" w:rsidRPr="00982084" w:rsidRDefault="00EB486C" w:rsidP="0013189F">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Source</w:t>
            </w:r>
            <w:r w:rsidR="0013189F">
              <w:rPr>
                <w:rFonts w:ascii="Verdana" w:hAnsi="Verdana"/>
                <w:sz w:val="20"/>
              </w:rPr>
              <w:t>:</w:t>
            </w:r>
            <w:r w:rsidR="0013189F">
              <w:rPr>
                <w:rFonts w:ascii="Verdana" w:hAnsi="Verdana"/>
                <w:sz w:val="20"/>
              </w:rPr>
              <w:tab/>
            </w:r>
            <w:r w:rsidRPr="00EB486C">
              <w:rPr>
                <w:rFonts w:ascii="Verdana" w:eastAsia="Verdana" w:hAnsi="Verdana" w:cs="Verdana"/>
                <w:sz w:val="20"/>
              </w:rPr>
              <w:t>Wireless World Research Forum</w:t>
            </w:r>
          </w:p>
        </w:tc>
        <w:tc>
          <w:tcPr>
            <w:tcW w:w="3402" w:type="dxa"/>
          </w:tcPr>
          <w:p w14:paraId="6F8AF4C9" w14:textId="77777777" w:rsidR="000069D4" w:rsidRPr="0013189F" w:rsidRDefault="0013189F"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5D/1283-E</w:t>
            </w:r>
          </w:p>
        </w:tc>
      </w:tr>
      <w:tr w:rsidR="000069D4" w14:paraId="091A4EC2" w14:textId="77777777" w:rsidTr="00876A8A">
        <w:trPr>
          <w:cantSplit/>
        </w:trPr>
        <w:tc>
          <w:tcPr>
            <w:tcW w:w="6487" w:type="dxa"/>
            <w:vMerge/>
          </w:tcPr>
          <w:p w14:paraId="11E2C992"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445B9971" w14:textId="77777777" w:rsidR="000069D4" w:rsidRPr="0013189F" w:rsidRDefault="0013189F" w:rsidP="00A5173C">
            <w:pPr>
              <w:shd w:val="solid" w:color="FFFFFF" w:fill="FFFFFF"/>
              <w:spacing w:before="0" w:line="240" w:lineRule="atLeast"/>
              <w:rPr>
                <w:rFonts w:ascii="Verdana" w:hAnsi="Verdana"/>
                <w:sz w:val="20"/>
                <w:lang w:eastAsia="zh-CN"/>
              </w:rPr>
            </w:pPr>
            <w:r>
              <w:rPr>
                <w:rFonts w:ascii="Verdana" w:hAnsi="Verdana"/>
                <w:b/>
                <w:sz w:val="20"/>
                <w:lang w:eastAsia="zh-CN"/>
              </w:rPr>
              <w:t>7 June 2022</w:t>
            </w:r>
          </w:p>
        </w:tc>
      </w:tr>
      <w:tr w:rsidR="000069D4" w14:paraId="3C0545B9" w14:textId="77777777" w:rsidTr="00876A8A">
        <w:trPr>
          <w:cantSplit/>
        </w:trPr>
        <w:tc>
          <w:tcPr>
            <w:tcW w:w="6487" w:type="dxa"/>
            <w:vMerge/>
          </w:tcPr>
          <w:p w14:paraId="514C1FA0"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70660AF9" w14:textId="77777777" w:rsidR="000069D4" w:rsidRDefault="0013189F"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14:paraId="15BFE819" w14:textId="77777777" w:rsidR="00EB486C" w:rsidRDefault="00EB486C" w:rsidP="00A5173C">
            <w:pPr>
              <w:shd w:val="solid" w:color="FFFFFF" w:fill="FFFFFF"/>
              <w:spacing w:before="0" w:line="240" w:lineRule="atLeast"/>
              <w:rPr>
                <w:rFonts w:ascii="Verdana" w:eastAsia="SimSun" w:hAnsi="Verdana"/>
                <w:b/>
                <w:sz w:val="20"/>
                <w:lang w:eastAsia="zh-CN"/>
              </w:rPr>
            </w:pPr>
          </w:p>
          <w:p w14:paraId="7E37C173" w14:textId="77777777" w:rsidR="00EB486C" w:rsidRPr="0013189F" w:rsidRDefault="00EB486C" w:rsidP="00A5173C">
            <w:pPr>
              <w:shd w:val="solid" w:color="FFFFFF" w:fill="FFFFFF"/>
              <w:spacing w:before="0" w:line="240" w:lineRule="atLeast"/>
              <w:rPr>
                <w:rFonts w:ascii="Verdana" w:eastAsia="SimSun" w:hAnsi="Verdana"/>
                <w:sz w:val="20"/>
                <w:lang w:eastAsia="zh-CN"/>
              </w:rPr>
            </w:pPr>
            <w:r w:rsidRPr="000E20B9">
              <w:rPr>
                <w:rFonts w:ascii="Verdana" w:eastAsia="Verdana" w:hAnsi="Verdana" w:cs="Verdana"/>
                <w:b/>
                <w:sz w:val="20"/>
              </w:rPr>
              <w:t>TECHNOLOGY ASPECTS</w:t>
            </w:r>
          </w:p>
        </w:tc>
      </w:tr>
      <w:tr w:rsidR="000069D4" w14:paraId="7E532AC9" w14:textId="77777777" w:rsidTr="00D046A7">
        <w:trPr>
          <w:cantSplit/>
        </w:trPr>
        <w:tc>
          <w:tcPr>
            <w:tcW w:w="9889" w:type="dxa"/>
            <w:gridSpan w:val="2"/>
          </w:tcPr>
          <w:p w14:paraId="3150A83E" w14:textId="77777777" w:rsidR="000069D4" w:rsidRDefault="00EB486C" w:rsidP="0013189F">
            <w:pPr>
              <w:pStyle w:val="Source"/>
              <w:rPr>
                <w:lang w:eastAsia="zh-CN"/>
              </w:rPr>
            </w:pPr>
            <w:bookmarkStart w:id="5" w:name="dsource" w:colFirst="0" w:colLast="0"/>
            <w:bookmarkEnd w:id="4"/>
            <w:r w:rsidRPr="000E20B9">
              <w:rPr>
                <w:color w:val="000000"/>
                <w:szCs w:val="28"/>
              </w:rPr>
              <w:t>Wireless World Research Forum</w:t>
            </w:r>
          </w:p>
        </w:tc>
      </w:tr>
      <w:tr w:rsidR="000069D4" w14:paraId="4B7F5B44" w14:textId="77777777" w:rsidTr="00D046A7">
        <w:trPr>
          <w:cantSplit/>
        </w:trPr>
        <w:tc>
          <w:tcPr>
            <w:tcW w:w="9889" w:type="dxa"/>
            <w:gridSpan w:val="2"/>
          </w:tcPr>
          <w:p w14:paraId="579D602C" w14:textId="77777777" w:rsidR="000069D4" w:rsidRDefault="00EB486C" w:rsidP="00A5173C">
            <w:pPr>
              <w:pStyle w:val="Title1"/>
              <w:rPr>
                <w:lang w:eastAsia="zh-CN"/>
              </w:rPr>
            </w:pPr>
            <w:bookmarkStart w:id="6" w:name="drec" w:colFirst="0" w:colLast="0"/>
            <w:bookmarkEnd w:id="5"/>
            <w:r w:rsidRPr="000E20B9">
              <w:rPr>
                <w:smallCaps/>
                <w:color w:val="000000"/>
                <w:szCs w:val="28"/>
              </w:rPr>
              <w:t xml:space="preserve">Interim Evaluation Report </w:t>
            </w:r>
            <w:r>
              <w:rPr>
                <w:smallCaps/>
                <w:color w:val="000000"/>
                <w:szCs w:val="28"/>
              </w:rPr>
              <w:t xml:space="preserve">For The Candidate IMT-2020 RIT “EUHT-5G” Submitted by Nufront For M.2150 </w:t>
            </w:r>
            <w:r>
              <w:rPr>
                <w:smallCaps/>
                <w:color w:val="000000"/>
                <w:szCs w:val="28"/>
              </w:rPr>
              <w:br/>
              <w:t>“Revision After Year 2021”</w:t>
            </w:r>
          </w:p>
        </w:tc>
      </w:tr>
      <w:tr w:rsidR="000069D4" w14:paraId="0E49B0C5" w14:textId="77777777" w:rsidTr="00D046A7">
        <w:trPr>
          <w:cantSplit/>
        </w:trPr>
        <w:tc>
          <w:tcPr>
            <w:tcW w:w="9889" w:type="dxa"/>
            <w:gridSpan w:val="2"/>
          </w:tcPr>
          <w:p w14:paraId="6FDD0D07" w14:textId="77777777" w:rsidR="000069D4" w:rsidRDefault="000069D4" w:rsidP="00A5173C">
            <w:pPr>
              <w:pStyle w:val="Title1"/>
              <w:rPr>
                <w:lang w:eastAsia="zh-CN"/>
              </w:rPr>
            </w:pPr>
            <w:bookmarkStart w:id="7" w:name="dtitle1" w:colFirst="0" w:colLast="0"/>
            <w:bookmarkEnd w:id="6"/>
          </w:p>
        </w:tc>
      </w:tr>
    </w:tbl>
    <w:p w14:paraId="3C0F2658" w14:textId="77777777" w:rsidR="00EB486C" w:rsidRDefault="00EB486C" w:rsidP="00EB486C">
      <w:pPr>
        <w:spacing w:before="360"/>
      </w:pPr>
      <w:bookmarkStart w:id="8" w:name="dbreak"/>
      <w:bookmarkStart w:id="9" w:name="_Hlk104375421"/>
      <w:bookmarkEnd w:id="7"/>
      <w:bookmarkEnd w:id="8"/>
      <w:r>
        <w:t xml:space="preserve">This contribution </w:t>
      </w:r>
      <w:r w:rsidRPr="009C2B94">
        <w:t xml:space="preserve">contains the interim evaluation report from the Independent Evaluation Group </w:t>
      </w:r>
      <w:r w:rsidRPr="00EB486C">
        <w:rPr>
          <w:spacing w:val="-2"/>
        </w:rPr>
        <w:t>Wireless World Research Forum (WWRF) for the candidate IMT-2020 radio interface(s) ‘EUHT-5G’</w:t>
      </w:r>
      <w:r w:rsidRPr="0083400B">
        <w:t xml:space="preserve"> submitted by Proponent ‘Nufront’</w:t>
      </w:r>
      <w:r>
        <w:t xml:space="preserve"> in WP5D #40 as part of</w:t>
      </w:r>
      <w:r w:rsidRPr="0083400B">
        <w:t xml:space="preserve"> the M.2150 “Revision after Year 2021”</w:t>
      </w:r>
      <w:r>
        <w:t>.</w:t>
      </w:r>
    </w:p>
    <w:bookmarkEnd w:id="9"/>
    <w:p w14:paraId="2C3EE153" w14:textId="77777777" w:rsidR="00EB486C" w:rsidRPr="000E20B9" w:rsidRDefault="00EB486C" w:rsidP="00EB486C">
      <w:r w:rsidRPr="000E20B9">
        <w:t>The evaluation</w:t>
      </w:r>
      <w:r>
        <w:t xml:space="preserve"> which is based on the new EUHT-5G specifications,</w:t>
      </w:r>
      <w:r w:rsidRPr="000E20B9">
        <w:t xml:space="preserve"> </w:t>
      </w:r>
      <w:r>
        <w:t>follows</w:t>
      </w:r>
      <w:r w:rsidRPr="000E20B9">
        <w:t xml:space="preserve"> the </w:t>
      </w:r>
      <w:r>
        <w:t>characteristics</w:t>
      </w:r>
      <w:r w:rsidRPr="000E20B9">
        <w:t xml:space="preserve"> defined in ITU-R Reports M.2410-0, M.2411-0 and M.2412-0 [1] – [3] using a methodology described in Report ITU-R M.2412-0 [3].</w:t>
      </w:r>
    </w:p>
    <w:p w14:paraId="03570173" w14:textId="77777777" w:rsidR="00EB486C" w:rsidRPr="000E20B9" w:rsidRDefault="00EB486C" w:rsidP="00EB486C">
      <w:r w:rsidRPr="00A13095">
        <w:t>The interim evaluation report reflects the structure of the final report which is planned to be submitted to WP 5D #42 meeting (</w:t>
      </w:r>
      <w:r>
        <w:t>October</w:t>
      </w:r>
      <w:r w:rsidRPr="00A13095">
        <w:t xml:space="preserve"> 202</w:t>
      </w:r>
      <w:r>
        <w:t>2</w:t>
      </w:r>
      <w:r w:rsidRPr="00A13095">
        <w:t>).</w:t>
      </w:r>
      <w:r w:rsidRPr="000E20B9">
        <w:t xml:space="preserve"> </w:t>
      </w:r>
    </w:p>
    <w:p w14:paraId="3BDF5984" w14:textId="77777777" w:rsidR="00EB486C" w:rsidRPr="000E20B9" w:rsidRDefault="00EB486C" w:rsidP="00EB486C">
      <w:pPr>
        <w:rPr>
          <w:rFonts w:eastAsia="Arial"/>
          <w:color w:val="000000"/>
        </w:rPr>
      </w:pPr>
      <w:r w:rsidRPr="000E20B9">
        <w:rPr>
          <w:rFonts w:eastAsia="Arial"/>
          <w:color w:val="000000"/>
        </w:rPr>
        <w:t>•</w:t>
      </w:r>
      <w:r w:rsidRPr="000E20B9">
        <w:rPr>
          <w:rFonts w:eastAsia="Arial"/>
          <w:color w:val="000000"/>
        </w:rPr>
        <w:tab/>
        <w:t>Part I: Administrative Aspects of the WWRF</w:t>
      </w:r>
    </w:p>
    <w:p w14:paraId="0279F466" w14:textId="77777777" w:rsidR="00EB486C" w:rsidRPr="000E20B9" w:rsidRDefault="00EB486C" w:rsidP="00EB486C">
      <w:pPr>
        <w:rPr>
          <w:rFonts w:eastAsia="Arial"/>
          <w:color w:val="000000"/>
        </w:rPr>
      </w:pPr>
      <w:r w:rsidRPr="000E20B9">
        <w:rPr>
          <w:rFonts w:eastAsia="Arial"/>
          <w:color w:val="000000"/>
        </w:rPr>
        <w:t>•</w:t>
      </w:r>
      <w:r w:rsidRPr="000E20B9">
        <w:rPr>
          <w:rFonts w:eastAsia="Arial"/>
          <w:color w:val="000000"/>
        </w:rPr>
        <w:tab/>
        <w:t>Part II: Technical Aspects of the work of WWRF</w:t>
      </w:r>
    </w:p>
    <w:p w14:paraId="1BA19F8F" w14:textId="77777777" w:rsidR="00EB486C" w:rsidRPr="000E20B9" w:rsidRDefault="00EB486C" w:rsidP="00EB486C">
      <w:pPr>
        <w:rPr>
          <w:rFonts w:eastAsia="Arial"/>
          <w:color w:val="000000"/>
        </w:rPr>
      </w:pPr>
      <w:r w:rsidRPr="000E20B9">
        <w:rPr>
          <w:rFonts w:eastAsia="Arial"/>
          <w:color w:val="000000"/>
        </w:rPr>
        <w:t>•</w:t>
      </w:r>
      <w:r w:rsidRPr="000E20B9">
        <w:rPr>
          <w:rFonts w:eastAsia="Arial"/>
          <w:color w:val="000000"/>
        </w:rPr>
        <w:tab/>
        <w:t>Part III: Conclusions</w:t>
      </w:r>
    </w:p>
    <w:p w14:paraId="2272F4C4" w14:textId="77777777" w:rsidR="00EB486C" w:rsidRDefault="00EB486C" w:rsidP="00EB486C">
      <w:pPr>
        <w:spacing w:before="480"/>
        <w:rPr>
          <w:lang w:eastAsia="zh-CN"/>
        </w:rPr>
      </w:pPr>
      <w:r w:rsidRPr="000E50D2">
        <w:rPr>
          <w:b/>
          <w:bCs/>
          <w:lang w:eastAsia="zh-CN"/>
        </w:rPr>
        <w:t>Attachment</w:t>
      </w:r>
      <w:r>
        <w:rPr>
          <w:lang w:eastAsia="zh-CN"/>
        </w:rPr>
        <w:t>:</w:t>
      </w:r>
      <w:r>
        <w:rPr>
          <w:lang w:eastAsia="zh-CN"/>
        </w:rPr>
        <w:tab/>
        <w:t>1</w:t>
      </w:r>
    </w:p>
    <w:p w14:paraId="2F24B615" w14:textId="77777777" w:rsidR="00EB486C" w:rsidRDefault="00EB486C">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sdt>
      <w:sdtPr>
        <w:tag w:val="goog_rdk_0"/>
        <w:id w:val="1198359315"/>
      </w:sdtPr>
      <w:sdtEndPr/>
      <w:sdtContent>
        <w:p w14:paraId="2E6A03EB" w14:textId="77777777" w:rsidR="00EB486C" w:rsidRPr="000E20B9" w:rsidRDefault="00EB486C" w:rsidP="00EB486C">
          <w:pPr>
            <w:pStyle w:val="Part1"/>
          </w:pPr>
          <w:r w:rsidRPr="000E20B9">
            <w:t>Part I</w:t>
          </w:r>
          <w:r>
            <w:br/>
          </w:r>
          <w:r>
            <w:br/>
          </w:r>
          <w:r w:rsidRPr="000E20B9">
            <w:t>Administrative aspects of the Independent Evaluation Group</w:t>
          </w:r>
        </w:p>
      </w:sdtContent>
    </w:sdt>
    <w:p w14:paraId="3425225E" w14:textId="77777777" w:rsidR="00EB486C" w:rsidRPr="000E20B9" w:rsidRDefault="00EB486C" w:rsidP="00EB486C">
      <w:pPr>
        <w:pStyle w:val="Heading1"/>
        <w:rPr>
          <w:b w:val="0"/>
        </w:rPr>
      </w:pPr>
      <w:r w:rsidRPr="000E20B9">
        <w:t>I-1</w:t>
      </w:r>
      <w:r w:rsidRPr="000E20B9">
        <w:tab/>
        <w:t>Name of the Independent Evaluation Group (IEG)</w:t>
      </w:r>
    </w:p>
    <w:p w14:paraId="0FA43B61" w14:textId="77777777" w:rsidR="00EB486C" w:rsidRPr="000E20B9" w:rsidRDefault="00EB486C" w:rsidP="00EB486C">
      <w:r w:rsidRPr="000E20B9">
        <w:t>Wireless World Research Forum (WWRF).</w:t>
      </w:r>
    </w:p>
    <w:p w14:paraId="2A86B9CD" w14:textId="77777777" w:rsidR="00EB486C" w:rsidRPr="000E20B9" w:rsidRDefault="00EB486C" w:rsidP="00EB486C">
      <w:pPr>
        <w:pStyle w:val="Heading1"/>
        <w:rPr>
          <w:b w:val="0"/>
          <w:color w:val="000000"/>
          <w:szCs w:val="28"/>
        </w:rPr>
      </w:pPr>
      <w:r w:rsidRPr="000E20B9">
        <w:rPr>
          <w:color w:val="000000"/>
          <w:szCs w:val="28"/>
        </w:rPr>
        <w:t>I-2</w:t>
      </w:r>
      <w:r w:rsidRPr="000E20B9">
        <w:rPr>
          <w:color w:val="000000"/>
          <w:szCs w:val="28"/>
        </w:rPr>
        <w:tab/>
        <w:t>Introduction and background of the Independent Evaluation Group</w:t>
      </w:r>
    </w:p>
    <w:p w14:paraId="0D92C4D8" w14:textId="77777777" w:rsidR="00EB486C" w:rsidRPr="000E20B9" w:rsidRDefault="00EB486C" w:rsidP="00EB486C">
      <w:r w:rsidRPr="000E20B9">
        <w:t>WWRF’s goal is to encourage research that will achieve unbounded communications to address key societal challenges for the future. The term “Wireless World” is used in this broad sense to address the support of innovation and business, the social inclusion, and the infrastructural challenges. This will be achieved by creating a range of new technological capabilities from wide-area networks to short-range communications, machine-to-machine communications, sensor networks, wireless broadband access technologies and optical networking, along with increasing intelligence and virtualization in networks. This will support a dependable future Internet of people, knowledge and things and the development of a service universe. WWRF is the unique forum where the wireless community can tackle the key research challenges. By searching out the issues, flagging them up to opinion leaders, and then working with liaison partners to deal with them, WWRF drives the development of the Wireless World. WWRF organizes two major events each year combining inputs from industry and academic experts, the exchange of ideas and the evolution of the research agenda and technology roadmaps. WWRF’s has a strong publication programme, working with partners such as IEEE and Wiley, makes the key messages and results available to the wireless research sector. To ease standardization, WWRF disseminates and harmonizes views, and together with our major liaison partners, we initiate collaborative research, and develop the global vision.</w:t>
      </w:r>
    </w:p>
    <w:p w14:paraId="52963E00" w14:textId="77777777" w:rsidR="00EB486C" w:rsidRDefault="00EB486C" w:rsidP="00EB486C">
      <w:r w:rsidRPr="00FA0BB3">
        <w:t xml:space="preserve">Over the last ten years, WWRF has championed several activities focused on the wireless evolution to and beyond 5G, including workshops and special sessions, presentations, white papers and journal special issues. WWRF has been very supportive of the ITU’s evaluation process for IMT-2020 and participates as an independent evaluation group (IEG). </w:t>
      </w:r>
    </w:p>
    <w:p w14:paraId="68D5744B" w14:textId="77777777" w:rsidR="00EB486C" w:rsidRPr="00A40313" w:rsidRDefault="00EB486C" w:rsidP="00EB486C">
      <w:pPr>
        <w:jc w:val="both"/>
      </w:pPr>
      <w:r w:rsidRPr="00FA0BB3">
        <w:t>For the last three years, beginning 2019, the IEG has been fully engaged in the WP5D IMT-2020 process for evaluation of IMT-2020 candidate technologies.</w:t>
      </w:r>
      <w:r>
        <w:t xml:space="preserve"> </w:t>
      </w:r>
      <w:r w:rsidRPr="00A40313">
        <w:t>The group has participated in the evaluation of 3 candidate radio interface technologies (RITs) as of today. These activities were performed:</w:t>
      </w:r>
    </w:p>
    <w:p w14:paraId="5FDB4978" w14:textId="77777777" w:rsidR="00EB486C" w:rsidRPr="00A40313" w:rsidRDefault="00EB486C" w:rsidP="00EB486C">
      <w:pPr>
        <w:pStyle w:val="enumlev1"/>
      </w:pPr>
      <w:r>
        <w:t>•</w:t>
      </w:r>
      <w:r>
        <w:tab/>
      </w:r>
      <w:r w:rsidRPr="00A40313">
        <w:t xml:space="preserve">initially in the context of Step 4 which was open for all submitted RITs and </w:t>
      </w:r>
    </w:p>
    <w:p w14:paraId="7A9E73D5" w14:textId="77777777" w:rsidR="00EB486C" w:rsidRPr="00A40313" w:rsidRDefault="00EB486C" w:rsidP="00EB486C">
      <w:pPr>
        <w:pStyle w:val="enumlev1"/>
      </w:pPr>
      <w:r>
        <w:t>•</w:t>
      </w:r>
      <w:r>
        <w:tab/>
      </w:r>
      <w:r w:rsidRPr="00A40313">
        <w:t xml:space="preserve">subsequently in the re-engagement of the evaluation (Option 2) for two specific RITs that did not receive a complete evaluation. </w:t>
      </w:r>
    </w:p>
    <w:p w14:paraId="2BCE9A28" w14:textId="77777777" w:rsidR="00EB486C" w:rsidRPr="00A40313" w:rsidRDefault="00EB486C" w:rsidP="00EB486C">
      <w:pPr>
        <w:jc w:val="both"/>
      </w:pPr>
      <w:r w:rsidRPr="00A40313">
        <w:t>The evaluated technologies are listed below:</w:t>
      </w:r>
    </w:p>
    <w:p w14:paraId="2FFCBA0A" w14:textId="77777777" w:rsidR="00EB486C" w:rsidRPr="00A40313" w:rsidRDefault="00EB486C" w:rsidP="00EB486C">
      <w:pPr>
        <w:pStyle w:val="enumlev1"/>
      </w:pPr>
      <w:r>
        <w:t>•</w:t>
      </w:r>
      <w:r>
        <w:tab/>
      </w:r>
      <w:r w:rsidRPr="00A40313">
        <w:t>TSDSI (IMT-2020/19)</w:t>
      </w:r>
    </w:p>
    <w:p w14:paraId="0D79CC61" w14:textId="77777777" w:rsidR="00EB486C" w:rsidRPr="00A40313" w:rsidRDefault="00EB486C" w:rsidP="00EB486C">
      <w:pPr>
        <w:pStyle w:val="enumlev1"/>
      </w:pPr>
      <w:r>
        <w:t>•</w:t>
      </w:r>
      <w:r>
        <w:tab/>
      </w:r>
      <w:r w:rsidRPr="00A40313">
        <w:t>NUFRONT (IMT-2020/18 and IMT-2020/18(Rev1))</w:t>
      </w:r>
    </w:p>
    <w:p w14:paraId="14A2684D" w14:textId="77777777" w:rsidR="00EB486C" w:rsidRPr="00A40313" w:rsidRDefault="00EB486C" w:rsidP="00EB486C">
      <w:pPr>
        <w:pStyle w:val="enumlev1"/>
      </w:pPr>
      <w:r>
        <w:t>•</w:t>
      </w:r>
      <w:r>
        <w:tab/>
      </w:r>
      <w:r w:rsidRPr="00A40313">
        <w:t>ETSI (TC DECT) and DECT Forum (IMT-2020/17 and IMT-2020/17(Rev1))</w:t>
      </w:r>
    </w:p>
    <w:p w14:paraId="35881B41" w14:textId="77777777" w:rsidR="00EB486C" w:rsidRPr="00A40313" w:rsidRDefault="00EB486C" w:rsidP="00EB486C">
      <w:pPr>
        <w:spacing w:after="120"/>
      </w:pPr>
      <w:r w:rsidRPr="00A40313">
        <w:t>The contributed material to the respective WP 5D meetings is summarized in the following Table:</w:t>
      </w:r>
    </w:p>
    <w:tbl>
      <w:tblPr>
        <w:tblStyle w:val="TableGrid"/>
        <w:tblW w:w="9639" w:type="dxa"/>
        <w:jc w:val="center"/>
        <w:tblLayout w:type="fixed"/>
        <w:tblLook w:val="04A0" w:firstRow="1" w:lastRow="0" w:firstColumn="1" w:lastColumn="0" w:noHBand="0" w:noVBand="1"/>
      </w:tblPr>
      <w:tblGrid>
        <w:gridCol w:w="2004"/>
        <w:gridCol w:w="1527"/>
        <w:gridCol w:w="6108"/>
      </w:tblGrid>
      <w:tr w:rsidR="00EB486C" w:rsidRPr="00A40313" w14:paraId="4746D709" w14:textId="77777777" w:rsidTr="00EB486C">
        <w:trPr>
          <w:trHeight w:val="559"/>
          <w:tblHeader/>
          <w:jc w:val="center"/>
        </w:trPr>
        <w:tc>
          <w:tcPr>
            <w:tcW w:w="1890" w:type="dxa"/>
            <w:shd w:val="clear" w:color="auto" w:fill="D9D9D9" w:themeFill="background1" w:themeFillShade="D9"/>
            <w:vAlign w:val="center"/>
          </w:tcPr>
          <w:p w14:paraId="418A58D1" w14:textId="77777777" w:rsidR="00EB486C" w:rsidRPr="00A40313" w:rsidRDefault="00EB486C" w:rsidP="00EB486C">
            <w:pPr>
              <w:pStyle w:val="Tablehead"/>
              <w:spacing w:before="0" w:after="0"/>
              <w:rPr>
                <w:rFonts w:ascii="Times New Roman" w:hAnsi="Times New Roman" w:cs="Times New Roman"/>
                <w:sz w:val="22"/>
                <w:szCs w:val="22"/>
                <w:lang w:eastAsia="zh-CN"/>
              </w:rPr>
            </w:pPr>
            <w:r w:rsidRPr="00A40313">
              <w:rPr>
                <w:rFonts w:ascii="Times New Roman" w:hAnsi="Times New Roman" w:cs="Times New Roman"/>
                <w:sz w:val="22"/>
                <w:szCs w:val="22"/>
                <w:lang w:eastAsia="zh-CN"/>
              </w:rPr>
              <w:t>Meeting</w:t>
            </w:r>
          </w:p>
        </w:tc>
        <w:tc>
          <w:tcPr>
            <w:tcW w:w="1440" w:type="dxa"/>
            <w:shd w:val="clear" w:color="auto" w:fill="D9D9D9" w:themeFill="background1" w:themeFillShade="D9"/>
            <w:vAlign w:val="center"/>
          </w:tcPr>
          <w:p w14:paraId="737E1959" w14:textId="77777777" w:rsidR="00EB486C" w:rsidRPr="00A40313" w:rsidRDefault="00EB486C" w:rsidP="00EB486C">
            <w:pPr>
              <w:pStyle w:val="Tablehead"/>
              <w:spacing w:before="0" w:after="0"/>
              <w:rPr>
                <w:rFonts w:ascii="Times New Roman" w:hAnsi="Times New Roman" w:cs="Times New Roman"/>
                <w:sz w:val="22"/>
                <w:szCs w:val="22"/>
                <w:lang w:eastAsia="zh-CN"/>
              </w:rPr>
            </w:pPr>
            <w:r w:rsidRPr="00A40313">
              <w:rPr>
                <w:rFonts w:ascii="Times New Roman" w:hAnsi="Times New Roman" w:cs="Times New Roman"/>
                <w:sz w:val="22"/>
                <w:szCs w:val="22"/>
                <w:lang w:eastAsia="zh-CN"/>
              </w:rPr>
              <w:t>Document</w:t>
            </w:r>
          </w:p>
        </w:tc>
        <w:tc>
          <w:tcPr>
            <w:tcW w:w="5760" w:type="dxa"/>
            <w:shd w:val="clear" w:color="auto" w:fill="D9D9D9" w:themeFill="background1" w:themeFillShade="D9"/>
            <w:vAlign w:val="center"/>
          </w:tcPr>
          <w:p w14:paraId="479F59DA" w14:textId="77777777" w:rsidR="00EB486C" w:rsidRPr="00A40313" w:rsidRDefault="00EB486C" w:rsidP="00EB486C">
            <w:pPr>
              <w:pStyle w:val="Tablehead"/>
              <w:spacing w:before="0" w:after="0"/>
              <w:rPr>
                <w:rFonts w:ascii="Times New Roman" w:hAnsi="Times New Roman" w:cs="Times New Roman"/>
                <w:sz w:val="22"/>
                <w:szCs w:val="22"/>
                <w:lang w:eastAsia="zh-CN"/>
              </w:rPr>
            </w:pPr>
            <w:r w:rsidRPr="00A40313">
              <w:rPr>
                <w:rFonts w:ascii="Times New Roman" w:hAnsi="Times New Roman" w:cs="Times New Roman"/>
                <w:sz w:val="22"/>
                <w:szCs w:val="22"/>
                <w:lang w:eastAsia="zh-CN"/>
              </w:rPr>
              <w:t>Remarks</w:t>
            </w:r>
          </w:p>
        </w:tc>
      </w:tr>
      <w:tr w:rsidR="00EB486C" w:rsidRPr="00A40313" w14:paraId="0D35F715" w14:textId="77777777" w:rsidTr="00EB486C">
        <w:trPr>
          <w:trHeight w:val="958"/>
          <w:jc w:val="center"/>
        </w:trPr>
        <w:tc>
          <w:tcPr>
            <w:tcW w:w="1890" w:type="dxa"/>
            <w:vAlign w:val="center"/>
          </w:tcPr>
          <w:p w14:paraId="03B4621E" w14:textId="77777777" w:rsidR="00EB486C" w:rsidRPr="00C3488F" w:rsidRDefault="00EB486C" w:rsidP="00EB486C">
            <w:pPr>
              <w:pStyle w:val="Tabletext"/>
              <w:spacing w:before="0" w:after="0"/>
              <w:jc w:val="center"/>
              <w:rPr>
                <w:sz w:val="22"/>
                <w:szCs w:val="22"/>
                <w:lang w:eastAsia="zh-CN"/>
              </w:rPr>
            </w:pPr>
            <w:r w:rsidRPr="00C3488F">
              <w:rPr>
                <w:sz w:val="22"/>
                <w:szCs w:val="22"/>
                <w:lang w:eastAsia="zh-CN"/>
              </w:rPr>
              <w:t>WP5D #34</w:t>
            </w:r>
          </w:p>
          <w:p w14:paraId="3A24D750" w14:textId="77777777" w:rsidR="00EB486C" w:rsidRPr="00C3488F" w:rsidRDefault="00EB486C" w:rsidP="00EB486C">
            <w:pPr>
              <w:pStyle w:val="Tabletext"/>
              <w:spacing w:before="0" w:after="0"/>
              <w:jc w:val="center"/>
              <w:rPr>
                <w:sz w:val="22"/>
                <w:szCs w:val="22"/>
                <w:lang w:eastAsia="zh-CN"/>
              </w:rPr>
            </w:pPr>
            <w:r w:rsidRPr="00C3488F">
              <w:rPr>
                <w:sz w:val="22"/>
                <w:szCs w:val="22"/>
                <w:lang w:eastAsia="zh-CN"/>
              </w:rPr>
              <w:t>(02-2020)</w:t>
            </w:r>
          </w:p>
        </w:tc>
        <w:tc>
          <w:tcPr>
            <w:tcW w:w="1440" w:type="dxa"/>
            <w:vAlign w:val="center"/>
          </w:tcPr>
          <w:p w14:paraId="3264FDAB" w14:textId="77777777" w:rsidR="00EB486C" w:rsidRPr="00C3488F" w:rsidRDefault="00EB486C" w:rsidP="00EB486C">
            <w:pPr>
              <w:pStyle w:val="Tabletext"/>
              <w:spacing w:before="0" w:after="0"/>
              <w:jc w:val="center"/>
              <w:rPr>
                <w:bCs/>
                <w:sz w:val="22"/>
                <w:szCs w:val="22"/>
                <w:lang w:eastAsia="zh-CN"/>
              </w:rPr>
            </w:pPr>
            <w:r w:rsidRPr="00C3488F">
              <w:rPr>
                <w:bCs/>
                <w:sz w:val="22"/>
                <w:szCs w:val="22"/>
                <w:lang w:eastAsia="zh-CN"/>
              </w:rPr>
              <w:t>5D/120-E</w:t>
            </w:r>
          </w:p>
        </w:tc>
        <w:tc>
          <w:tcPr>
            <w:tcW w:w="5760" w:type="dxa"/>
            <w:vAlign w:val="center"/>
          </w:tcPr>
          <w:p w14:paraId="67644849" w14:textId="77777777" w:rsidR="00EB486C" w:rsidRPr="00C3488F" w:rsidRDefault="00EB486C" w:rsidP="00EB486C">
            <w:pPr>
              <w:pStyle w:val="Tabletext"/>
              <w:spacing w:before="0" w:after="0"/>
              <w:rPr>
                <w:color w:val="000000" w:themeColor="text1"/>
                <w:sz w:val="22"/>
                <w:szCs w:val="22"/>
                <w:lang w:eastAsia="zh-CN"/>
              </w:rPr>
            </w:pPr>
            <w:r w:rsidRPr="00C3488F">
              <w:rPr>
                <w:color w:val="000000" w:themeColor="text1"/>
                <w:sz w:val="22"/>
                <w:szCs w:val="22"/>
                <w:lang w:eastAsia="zh-CN"/>
              </w:rPr>
              <w:t>Final evaluation report for RIT submissions From TSDSI (IMT</w:t>
            </w:r>
            <w:r>
              <w:rPr>
                <w:color w:val="000000" w:themeColor="text1"/>
                <w:sz w:val="22"/>
                <w:szCs w:val="22"/>
                <w:lang w:eastAsia="zh-CN"/>
              </w:rPr>
              <w:noBreakHyphen/>
            </w:r>
            <w:r w:rsidRPr="00C3488F">
              <w:rPr>
                <w:color w:val="000000" w:themeColor="text1"/>
                <w:sz w:val="22"/>
                <w:szCs w:val="22"/>
                <w:lang w:eastAsia="zh-CN"/>
              </w:rPr>
              <w:t>2020/19) and NUFRONT (IMT-2020/18)</w:t>
            </w:r>
          </w:p>
        </w:tc>
      </w:tr>
      <w:tr w:rsidR="00EB486C" w:rsidRPr="00A40313" w14:paraId="1DFB5B49" w14:textId="77777777" w:rsidTr="00EB486C">
        <w:trPr>
          <w:trHeight w:val="958"/>
          <w:jc w:val="center"/>
        </w:trPr>
        <w:tc>
          <w:tcPr>
            <w:tcW w:w="1890" w:type="dxa"/>
            <w:vAlign w:val="center"/>
          </w:tcPr>
          <w:p w14:paraId="6A549CF2" w14:textId="77777777" w:rsidR="00EB486C" w:rsidRPr="00C3488F" w:rsidRDefault="00EB486C" w:rsidP="00EB486C">
            <w:pPr>
              <w:pStyle w:val="Tabletext"/>
              <w:widowControl w:val="0"/>
              <w:spacing w:before="0" w:after="0"/>
              <w:jc w:val="center"/>
              <w:rPr>
                <w:sz w:val="22"/>
                <w:szCs w:val="22"/>
                <w:lang w:eastAsia="zh-CN"/>
              </w:rPr>
            </w:pPr>
            <w:r w:rsidRPr="00C3488F">
              <w:rPr>
                <w:sz w:val="22"/>
                <w:szCs w:val="22"/>
                <w:lang w:eastAsia="zh-CN"/>
              </w:rPr>
              <w:lastRenderedPageBreak/>
              <w:t>WP5D #37</w:t>
            </w:r>
          </w:p>
          <w:p w14:paraId="4B15D238" w14:textId="77777777" w:rsidR="00EB486C" w:rsidRPr="00C3488F" w:rsidRDefault="00EB486C" w:rsidP="00EB486C">
            <w:pPr>
              <w:pStyle w:val="Tabletext"/>
              <w:spacing w:before="0" w:after="0"/>
              <w:jc w:val="center"/>
              <w:rPr>
                <w:sz w:val="22"/>
                <w:szCs w:val="22"/>
                <w:lang w:eastAsia="zh-CN"/>
              </w:rPr>
            </w:pPr>
            <w:r w:rsidRPr="00C3488F">
              <w:rPr>
                <w:sz w:val="22"/>
                <w:szCs w:val="22"/>
                <w:lang w:eastAsia="zh-CN"/>
              </w:rPr>
              <w:t>(02-2021)</w:t>
            </w:r>
          </w:p>
        </w:tc>
        <w:tc>
          <w:tcPr>
            <w:tcW w:w="1440" w:type="dxa"/>
            <w:vAlign w:val="center"/>
          </w:tcPr>
          <w:p w14:paraId="1F2E942C" w14:textId="77777777" w:rsidR="00EB486C" w:rsidRPr="00C3488F" w:rsidRDefault="00EB486C" w:rsidP="00EB486C">
            <w:pPr>
              <w:pStyle w:val="Tabletext"/>
              <w:spacing w:before="0" w:after="0"/>
              <w:jc w:val="center"/>
              <w:rPr>
                <w:sz w:val="22"/>
                <w:szCs w:val="22"/>
                <w:lang w:eastAsia="zh-CN"/>
              </w:rPr>
            </w:pPr>
            <w:r w:rsidRPr="00C3488F">
              <w:rPr>
                <w:sz w:val="22"/>
                <w:szCs w:val="22"/>
                <w:lang w:eastAsia="zh-CN"/>
              </w:rPr>
              <w:t>5D/476</w:t>
            </w:r>
          </w:p>
        </w:tc>
        <w:tc>
          <w:tcPr>
            <w:tcW w:w="5760" w:type="dxa"/>
            <w:vAlign w:val="center"/>
          </w:tcPr>
          <w:p w14:paraId="58F7300D" w14:textId="77777777" w:rsidR="00EB486C" w:rsidRPr="00C3488F" w:rsidRDefault="00EB486C" w:rsidP="00EB486C">
            <w:pPr>
              <w:pStyle w:val="Tabletext"/>
              <w:spacing w:before="0" w:after="0"/>
              <w:rPr>
                <w:color w:val="000000" w:themeColor="text1"/>
                <w:sz w:val="22"/>
                <w:szCs w:val="22"/>
                <w:lang w:eastAsia="zh-CN"/>
              </w:rPr>
            </w:pPr>
            <w:r w:rsidRPr="00C3488F">
              <w:rPr>
                <w:color w:val="000000" w:themeColor="text1"/>
                <w:sz w:val="22"/>
                <w:szCs w:val="22"/>
                <w:lang w:eastAsia="zh-CN"/>
              </w:rPr>
              <w:t xml:space="preserve">Interim evaluation report on the Candidate Technology Submission for </w:t>
            </w:r>
            <w:r w:rsidRPr="00C3488F">
              <w:rPr>
                <w:sz w:val="22"/>
                <w:szCs w:val="22"/>
                <w:lang w:val="en-CA"/>
              </w:rPr>
              <w:t xml:space="preserve">FOR </w:t>
            </w:r>
            <w:bookmarkStart w:id="10" w:name="_Hlk83345019"/>
            <w:r w:rsidRPr="00C3488F">
              <w:rPr>
                <w:sz w:val="22"/>
                <w:szCs w:val="22"/>
                <w:lang w:val="en-CA"/>
              </w:rPr>
              <w:t>IMT-2020 “</w:t>
            </w:r>
            <w:r w:rsidRPr="00C3488F">
              <w:rPr>
                <w:sz w:val="22"/>
                <w:szCs w:val="22"/>
              </w:rPr>
              <w:t xml:space="preserve">ETSI (TC DECT) and DECT Forum Proponent” </w:t>
            </w:r>
            <w:bookmarkEnd w:id="10"/>
            <w:r w:rsidRPr="00C3488F">
              <w:rPr>
                <w:sz w:val="22"/>
                <w:szCs w:val="22"/>
              </w:rPr>
              <w:t>As Part of the Re-engagement in Step 4 Evaluation</w:t>
            </w:r>
            <w:r w:rsidRPr="00C3488F">
              <w:rPr>
                <w:sz w:val="22"/>
                <w:szCs w:val="22"/>
                <w:lang w:eastAsia="zh-CN"/>
              </w:rPr>
              <w:t xml:space="preserve"> (</w:t>
            </w:r>
            <w:r w:rsidRPr="00C3488F">
              <w:rPr>
                <w:sz w:val="22"/>
                <w:szCs w:val="22"/>
              </w:rPr>
              <w:t>Report with Provisional Results</w:t>
            </w:r>
            <w:r w:rsidRPr="00C3488F">
              <w:rPr>
                <w:sz w:val="22"/>
                <w:szCs w:val="22"/>
                <w:lang w:eastAsia="zh-CN"/>
              </w:rPr>
              <w:t>).</w:t>
            </w:r>
          </w:p>
        </w:tc>
      </w:tr>
      <w:tr w:rsidR="00EB486C" w:rsidRPr="00A40313" w14:paraId="4D19ADB3" w14:textId="77777777" w:rsidTr="00EB486C">
        <w:trPr>
          <w:trHeight w:val="958"/>
          <w:jc w:val="center"/>
        </w:trPr>
        <w:tc>
          <w:tcPr>
            <w:tcW w:w="1890" w:type="dxa"/>
          </w:tcPr>
          <w:p w14:paraId="4EE9BCF6" w14:textId="77777777" w:rsidR="00EB486C" w:rsidRPr="00C3488F" w:rsidRDefault="00EB486C" w:rsidP="00EB486C">
            <w:pPr>
              <w:pStyle w:val="Tabletext"/>
              <w:widowControl w:val="0"/>
              <w:spacing w:before="0" w:after="0"/>
              <w:jc w:val="center"/>
              <w:rPr>
                <w:sz w:val="22"/>
                <w:szCs w:val="22"/>
                <w:lang w:eastAsia="zh-CN"/>
              </w:rPr>
            </w:pPr>
            <w:r w:rsidRPr="00C3488F">
              <w:rPr>
                <w:sz w:val="22"/>
                <w:szCs w:val="22"/>
                <w:lang w:eastAsia="zh-CN"/>
              </w:rPr>
              <w:t>WP5D #37</w:t>
            </w:r>
          </w:p>
          <w:p w14:paraId="7803011B" w14:textId="77777777" w:rsidR="00EB486C" w:rsidRPr="00C3488F" w:rsidRDefault="00EB486C" w:rsidP="00EB486C">
            <w:pPr>
              <w:pStyle w:val="Tabletext"/>
              <w:widowControl w:val="0"/>
              <w:spacing w:before="0" w:after="0"/>
              <w:jc w:val="center"/>
              <w:rPr>
                <w:sz w:val="22"/>
                <w:szCs w:val="22"/>
                <w:lang w:eastAsia="zh-CN"/>
              </w:rPr>
            </w:pPr>
            <w:r w:rsidRPr="00C3488F">
              <w:rPr>
                <w:sz w:val="22"/>
                <w:szCs w:val="22"/>
                <w:lang w:eastAsia="zh-CN"/>
              </w:rPr>
              <w:t>(FEB-2021)</w:t>
            </w:r>
          </w:p>
        </w:tc>
        <w:tc>
          <w:tcPr>
            <w:tcW w:w="1440" w:type="dxa"/>
          </w:tcPr>
          <w:p w14:paraId="264E5D8C" w14:textId="77777777" w:rsidR="00EB486C" w:rsidRPr="00C3488F" w:rsidRDefault="00EB486C" w:rsidP="00EB486C">
            <w:pPr>
              <w:pStyle w:val="Tabletext"/>
              <w:widowControl w:val="0"/>
              <w:spacing w:before="0" w:after="0"/>
              <w:jc w:val="center"/>
              <w:rPr>
                <w:sz w:val="22"/>
                <w:szCs w:val="22"/>
                <w:lang w:eastAsia="zh-CN"/>
              </w:rPr>
            </w:pPr>
            <w:r w:rsidRPr="00C3488F">
              <w:rPr>
                <w:sz w:val="22"/>
                <w:szCs w:val="22"/>
                <w:lang w:eastAsia="zh-CN"/>
              </w:rPr>
              <w:t>5D/475</w:t>
            </w:r>
          </w:p>
        </w:tc>
        <w:tc>
          <w:tcPr>
            <w:tcW w:w="5760" w:type="dxa"/>
          </w:tcPr>
          <w:p w14:paraId="27679DB3" w14:textId="77777777" w:rsidR="00EB486C" w:rsidRPr="00C3488F" w:rsidRDefault="00EB486C" w:rsidP="00EB486C">
            <w:pPr>
              <w:pStyle w:val="Tabletext"/>
              <w:widowControl w:val="0"/>
              <w:spacing w:before="0" w:after="0"/>
              <w:rPr>
                <w:sz w:val="22"/>
                <w:szCs w:val="22"/>
                <w:lang w:eastAsia="zh-CN"/>
              </w:rPr>
            </w:pPr>
            <w:r w:rsidRPr="00C3488F">
              <w:rPr>
                <w:sz w:val="22"/>
                <w:szCs w:val="22"/>
                <w:lang w:eastAsia="zh-CN"/>
              </w:rPr>
              <w:t>Interim evaluation report on the Candidate Technology Submission for IMT-2020 “EUHT” as part of the re-engagement in Step 4 Evaluation.</w:t>
            </w:r>
          </w:p>
        </w:tc>
      </w:tr>
      <w:tr w:rsidR="00EB486C" w:rsidRPr="00A40313" w14:paraId="01E0C3FC" w14:textId="77777777" w:rsidTr="00EB486C">
        <w:trPr>
          <w:trHeight w:val="831"/>
          <w:jc w:val="center"/>
        </w:trPr>
        <w:tc>
          <w:tcPr>
            <w:tcW w:w="1890" w:type="dxa"/>
            <w:vAlign w:val="center"/>
          </w:tcPr>
          <w:p w14:paraId="6D29856A" w14:textId="77777777" w:rsidR="00EB486C" w:rsidRPr="00C3488F" w:rsidRDefault="00EB486C" w:rsidP="00EB486C">
            <w:pPr>
              <w:pStyle w:val="Tabletext"/>
              <w:spacing w:before="0" w:after="0"/>
              <w:jc w:val="center"/>
              <w:rPr>
                <w:sz w:val="22"/>
                <w:szCs w:val="22"/>
                <w:lang w:eastAsia="zh-CN"/>
              </w:rPr>
            </w:pPr>
            <w:r w:rsidRPr="00C3488F">
              <w:rPr>
                <w:sz w:val="22"/>
                <w:szCs w:val="22"/>
                <w:lang w:eastAsia="zh-CN"/>
              </w:rPr>
              <w:t>WP5D #38</w:t>
            </w:r>
          </w:p>
          <w:p w14:paraId="6CF02818" w14:textId="77777777" w:rsidR="00EB486C" w:rsidRPr="00C3488F" w:rsidRDefault="00EB486C" w:rsidP="00EB486C">
            <w:pPr>
              <w:pStyle w:val="Tabletext"/>
              <w:spacing w:before="0" w:after="0"/>
              <w:jc w:val="center"/>
              <w:rPr>
                <w:sz w:val="22"/>
                <w:szCs w:val="22"/>
                <w:lang w:eastAsia="zh-CN"/>
              </w:rPr>
            </w:pPr>
            <w:r w:rsidRPr="00C3488F">
              <w:rPr>
                <w:sz w:val="22"/>
                <w:szCs w:val="22"/>
                <w:lang w:eastAsia="zh-CN"/>
              </w:rPr>
              <w:t>(06-2021)</w:t>
            </w:r>
          </w:p>
        </w:tc>
        <w:tc>
          <w:tcPr>
            <w:tcW w:w="1440" w:type="dxa"/>
            <w:vAlign w:val="center"/>
          </w:tcPr>
          <w:p w14:paraId="543F12D5" w14:textId="77777777" w:rsidR="00EB486C" w:rsidRPr="00C3488F" w:rsidRDefault="00EB486C" w:rsidP="00EB486C">
            <w:pPr>
              <w:pStyle w:val="Tabletext"/>
              <w:spacing w:before="0" w:after="0"/>
              <w:jc w:val="center"/>
              <w:rPr>
                <w:sz w:val="22"/>
                <w:szCs w:val="22"/>
                <w:lang w:eastAsia="zh-CN"/>
              </w:rPr>
            </w:pPr>
            <w:r w:rsidRPr="00C3488F">
              <w:rPr>
                <w:sz w:val="22"/>
                <w:szCs w:val="22"/>
                <w:lang w:eastAsia="zh-CN"/>
              </w:rPr>
              <w:t>5D/658</w:t>
            </w:r>
          </w:p>
          <w:p w14:paraId="12C267CC" w14:textId="77777777" w:rsidR="00EB486C" w:rsidRPr="00C3488F" w:rsidRDefault="00EB486C" w:rsidP="00EB486C">
            <w:pPr>
              <w:pStyle w:val="Tabletext"/>
              <w:spacing w:before="0" w:after="0"/>
              <w:jc w:val="center"/>
              <w:rPr>
                <w:sz w:val="22"/>
                <w:szCs w:val="22"/>
                <w:lang w:eastAsia="zh-CN"/>
              </w:rPr>
            </w:pPr>
            <w:bookmarkStart w:id="11" w:name="_MON_1684165471"/>
            <w:bookmarkStart w:id="12" w:name="_MON_1684165637"/>
            <w:bookmarkEnd w:id="11"/>
            <w:bookmarkEnd w:id="12"/>
          </w:p>
        </w:tc>
        <w:tc>
          <w:tcPr>
            <w:tcW w:w="5760" w:type="dxa"/>
            <w:vAlign w:val="center"/>
          </w:tcPr>
          <w:p w14:paraId="4714BE99" w14:textId="77777777" w:rsidR="00EB486C" w:rsidRPr="00C3488F" w:rsidRDefault="00EB486C" w:rsidP="00EB486C">
            <w:pPr>
              <w:pStyle w:val="Tabletext"/>
              <w:spacing w:before="0" w:after="0"/>
              <w:rPr>
                <w:color w:val="000000" w:themeColor="text1"/>
                <w:sz w:val="22"/>
                <w:szCs w:val="22"/>
                <w:lang w:eastAsia="zh-CN"/>
              </w:rPr>
            </w:pPr>
            <w:r w:rsidRPr="00C3488F">
              <w:rPr>
                <w:sz w:val="22"/>
                <w:szCs w:val="22"/>
              </w:rPr>
              <w:t>Evaluation report on the Candidate Technology Submission for IMT-2020 “ETSI (TC DECT) and DECT Forum Proponent” as part of the re-engagement in Step 4 evaluation.</w:t>
            </w:r>
          </w:p>
        </w:tc>
      </w:tr>
      <w:tr w:rsidR="00EB486C" w:rsidRPr="00A40313" w14:paraId="2B187295" w14:textId="77777777" w:rsidTr="00EB486C">
        <w:trPr>
          <w:trHeight w:val="831"/>
          <w:jc w:val="center"/>
        </w:trPr>
        <w:tc>
          <w:tcPr>
            <w:tcW w:w="1890" w:type="dxa"/>
          </w:tcPr>
          <w:p w14:paraId="26CB4A34" w14:textId="77777777" w:rsidR="00EB486C" w:rsidRPr="00C3488F" w:rsidRDefault="00EB486C" w:rsidP="00EB486C">
            <w:pPr>
              <w:jc w:val="center"/>
              <w:rPr>
                <w:sz w:val="22"/>
                <w:szCs w:val="22"/>
              </w:rPr>
            </w:pPr>
            <w:r w:rsidRPr="00C3488F">
              <w:rPr>
                <w:sz w:val="22"/>
                <w:szCs w:val="22"/>
              </w:rPr>
              <w:t>WP5D #38</w:t>
            </w:r>
          </w:p>
          <w:p w14:paraId="5FEA7473" w14:textId="77777777" w:rsidR="00EB486C" w:rsidRPr="00C3488F" w:rsidRDefault="00EB486C" w:rsidP="00EB486C">
            <w:pPr>
              <w:pStyle w:val="Tabletext"/>
              <w:spacing w:before="0" w:after="0"/>
              <w:jc w:val="center"/>
              <w:rPr>
                <w:sz w:val="22"/>
                <w:szCs w:val="22"/>
                <w:lang w:eastAsia="zh-CN"/>
              </w:rPr>
            </w:pPr>
            <w:r w:rsidRPr="00C3488F">
              <w:rPr>
                <w:sz w:val="22"/>
                <w:szCs w:val="22"/>
                <w:lang w:eastAsia="zh-CN"/>
              </w:rPr>
              <w:t>(JUNE-2021)</w:t>
            </w:r>
          </w:p>
        </w:tc>
        <w:tc>
          <w:tcPr>
            <w:tcW w:w="1440" w:type="dxa"/>
          </w:tcPr>
          <w:p w14:paraId="40823C2A" w14:textId="77777777" w:rsidR="00EB486C" w:rsidRPr="00C3488F" w:rsidRDefault="00EB486C" w:rsidP="00EB486C">
            <w:pPr>
              <w:jc w:val="center"/>
              <w:rPr>
                <w:sz w:val="22"/>
                <w:szCs w:val="22"/>
              </w:rPr>
            </w:pPr>
            <w:r w:rsidRPr="00C3488F">
              <w:rPr>
                <w:sz w:val="22"/>
                <w:szCs w:val="22"/>
              </w:rPr>
              <w:t>5D/659</w:t>
            </w:r>
          </w:p>
          <w:p w14:paraId="5F4AEFAC" w14:textId="77777777" w:rsidR="00EB486C" w:rsidRPr="00C3488F" w:rsidRDefault="00EB486C" w:rsidP="00EB486C">
            <w:pPr>
              <w:pStyle w:val="Tabletext"/>
              <w:spacing w:before="0" w:after="0"/>
              <w:jc w:val="center"/>
              <w:rPr>
                <w:sz w:val="22"/>
                <w:szCs w:val="22"/>
                <w:lang w:eastAsia="zh-CN"/>
              </w:rPr>
            </w:pPr>
          </w:p>
        </w:tc>
        <w:tc>
          <w:tcPr>
            <w:tcW w:w="5760" w:type="dxa"/>
          </w:tcPr>
          <w:p w14:paraId="58D98036" w14:textId="77777777" w:rsidR="00EB486C" w:rsidRPr="00C3488F" w:rsidRDefault="00EB486C" w:rsidP="00EB486C">
            <w:pPr>
              <w:pStyle w:val="Tabletext"/>
              <w:spacing w:before="0" w:after="0"/>
              <w:rPr>
                <w:sz w:val="22"/>
                <w:szCs w:val="22"/>
              </w:rPr>
            </w:pPr>
            <w:r w:rsidRPr="00C3488F">
              <w:rPr>
                <w:sz w:val="22"/>
                <w:szCs w:val="22"/>
              </w:rPr>
              <w:t>Evaluation report on the Candidate Technology Submission for IMT-2020 “EUHT” as part of the re-engagement in Step 4 Evaluation</w:t>
            </w:r>
          </w:p>
        </w:tc>
      </w:tr>
      <w:tr w:rsidR="00EB486C" w:rsidRPr="00A40313" w14:paraId="216B2EBB" w14:textId="77777777" w:rsidTr="00EB486C">
        <w:trPr>
          <w:trHeight w:val="998"/>
          <w:jc w:val="center"/>
        </w:trPr>
        <w:tc>
          <w:tcPr>
            <w:tcW w:w="1890" w:type="dxa"/>
            <w:vAlign w:val="center"/>
          </w:tcPr>
          <w:p w14:paraId="63F0853C" w14:textId="77777777" w:rsidR="00EB486C" w:rsidRPr="00C3488F" w:rsidRDefault="00EB486C" w:rsidP="00EB486C">
            <w:pPr>
              <w:jc w:val="center"/>
              <w:rPr>
                <w:rFonts w:eastAsiaTheme="minorEastAsia"/>
                <w:sz w:val="22"/>
                <w:szCs w:val="22"/>
              </w:rPr>
            </w:pPr>
            <w:r w:rsidRPr="00C3488F">
              <w:rPr>
                <w:rFonts w:eastAsiaTheme="minorEastAsia"/>
                <w:sz w:val="22"/>
                <w:szCs w:val="22"/>
              </w:rPr>
              <w:t>WG Technology Aspects Interim Meeting</w:t>
            </w:r>
          </w:p>
          <w:p w14:paraId="1D343719" w14:textId="77777777" w:rsidR="00EB486C" w:rsidRPr="00C3488F" w:rsidRDefault="00EB486C" w:rsidP="00EB486C">
            <w:pPr>
              <w:jc w:val="center"/>
              <w:rPr>
                <w:sz w:val="22"/>
                <w:szCs w:val="22"/>
              </w:rPr>
            </w:pPr>
            <w:r w:rsidRPr="00C3488F">
              <w:rPr>
                <w:rFonts w:eastAsiaTheme="minorEastAsia"/>
                <w:sz w:val="22"/>
                <w:szCs w:val="22"/>
              </w:rPr>
              <w:t>(08-2021)</w:t>
            </w:r>
          </w:p>
        </w:tc>
        <w:tc>
          <w:tcPr>
            <w:tcW w:w="1440" w:type="dxa"/>
            <w:vAlign w:val="center"/>
          </w:tcPr>
          <w:p w14:paraId="77328DEC" w14:textId="77777777" w:rsidR="00EB486C" w:rsidRPr="00C3488F" w:rsidRDefault="00EB486C" w:rsidP="00EB486C">
            <w:pPr>
              <w:pStyle w:val="Tabletext"/>
              <w:keepNext/>
              <w:keepLines/>
              <w:spacing w:before="0" w:after="0"/>
              <w:jc w:val="center"/>
              <w:rPr>
                <w:sz w:val="22"/>
                <w:szCs w:val="22"/>
                <w:lang w:eastAsia="zh-CN"/>
              </w:rPr>
            </w:pPr>
            <w:r w:rsidRPr="00C3488F">
              <w:rPr>
                <w:sz w:val="22"/>
                <w:szCs w:val="22"/>
                <w:lang w:eastAsia="zh-CN"/>
              </w:rPr>
              <w:t>5D/736</w:t>
            </w:r>
          </w:p>
          <w:p w14:paraId="697BA0C0" w14:textId="77777777" w:rsidR="00EB486C" w:rsidRPr="00C3488F" w:rsidRDefault="00EB486C" w:rsidP="00EB486C">
            <w:pPr>
              <w:pStyle w:val="Tabletext"/>
              <w:keepNext/>
              <w:keepLines/>
              <w:spacing w:before="0" w:after="0"/>
              <w:jc w:val="center"/>
              <w:rPr>
                <w:sz w:val="22"/>
                <w:szCs w:val="22"/>
                <w:lang w:eastAsia="zh-CN"/>
              </w:rPr>
            </w:pPr>
          </w:p>
        </w:tc>
        <w:tc>
          <w:tcPr>
            <w:tcW w:w="5760" w:type="dxa"/>
            <w:vAlign w:val="center"/>
          </w:tcPr>
          <w:p w14:paraId="46D2D611" w14:textId="77777777" w:rsidR="00EB486C" w:rsidRPr="00C3488F" w:rsidRDefault="00EB486C" w:rsidP="00EB486C">
            <w:pPr>
              <w:pStyle w:val="Tabletext"/>
              <w:keepNext/>
              <w:keepLines/>
              <w:spacing w:before="0" w:after="0"/>
              <w:rPr>
                <w:color w:val="000000" w:themeColor="text1"/>
                <w:sz w:val="22"/>
                <w:szCs w:val="22"/>
                <w:lang w:eastAsia="zh-CN"/>
              </w:rPr>
            </w:pPr>
            <w:r w:rsidRPr="00C3488F">
              <w:rPr>
                <w:color w:val="000000" w:themeColor="text1"/>
                <w:sz w:val="22"/>
                <w:szCs w:val="22"/>
                <w:lang w:eastAsia="zh-CN"/>
              </w:rPr>
              <w:t>Updated final evaluation report on the Candidate Technology Submission for IMT-2020 “ETSI (TC DECT) and DECT Forum Proponent” as part of the re-engagement in step 4 evaluation.</w:t>
            </w:r>
          </w:p>
        </w:tc>
      </w:tr>
      <w:tr w:rsidR="00EB486C" w:rsidRPr="00A40313" w14:paraId="233822BA" w14:textId="77777777" w:rsidTr="00EB486C">
        <w:trPr>
          <w:trHeight w:val="998"/>
          <w:jc w:val="center"/>
        </w:trPr>
        <w:tc>
          <w:tcPr>
            <w:tcW w:w="1890" w:type="dxa"/>
          </w:tcPr>
          <w:p w14:paraId="27EC8CA2" w14:textId="77777777" w:rsidR="00EB486C" w:rsidRPr="00C3488F" w:rsidRDefault="00EB486C" w:rsidP="00EB486C">
            <w:pPr>
              <w:jc w:val="center"/>
              <w:rPr>
                <w:rFonts w:eastAsiaTheme="minorEastAsia"/>
                <w:sz w:val="22"/>
                <w:szCs w:val="22"/>
              </w:rPr>
            </w:pPr>
            <w:r w:rsidRPr="00C3488F">
              <w:rPr>
                <w:rFonts w:eastAsiaTheme="minorEastAsia"/>
                <w:sz w:val="22"/>
                <w:szCs w:val="22"/>
              </w:rPr>
              <w:t>WG Technology Aspects Interim Meeting</w:t>
            </w:r>
          </w:p>
          <w:p w14:paraId="38DBEE61" w14:textId="77777777" w:rsidR="00EB486C" w:rsidRPr="00C3488F" w:rsidRDefault="00EB486C" w:rsidP="00EB486C">
            <w:pPr>
              <w:jc w:val="center"/>
              <w:rPr>
                <w:rFonts w:eastAsiaTheme="minorEastAsia"/>
                <w:sz w:val="22"/>
                <w:szCs w:val="22"/>
              </w:rPr>
            </w:pPr>
            <w:r w:rsidRPr="00C3488F">
              <w:rPr>
                <w:rFonts w:eastAsiaTheme="minorEastAsia"/>
                <w:sz w:val="22"/>
                <w:szCs w:val="22"/>
              </w:rPr>
              <w:t>(AUG-2021)</w:t>
            </w:r>
          </w:p>
        </w:tc>
        <w:tc>
          <w:tcPr>
            <w:tcW w:w="1440" w:type="dxa"/>
          </w:tcPr>
          <w:p w14:paraId="6854DCAC" w14:textId="77777777" w:rsidR="00EB486C" w:rsidRPr="00C3488F" w:rsidRDefault="00EB486C" w:rsidP="00EB486C">
            <w:pPr>
              <w:keepNext/>
              <w:keepLines/>
              <w:jc w:val="center"/>
              <w:rPr>
                <w:sz w:val="22"/>
                <w:szCs w:val="22"/>
              </w:rPr>
            </w:pPr>
            <w:r w:rsidRPr="00C3488F">
              <w:rPr>
                <w:sz w:val="22"/>
                <w:szCs w:val="22"/>
              </w:rPr>
              <w:t>5D/743</w:t>
            </w:r>
          </w:p>
          <w:p w14:paraId="1AA29FBC" w14:textId="77777777" w:rsidR="00EB486C" w:rsidRPr="00C3488F" w:rsidRDefault="00EB486C" w:rsidP="00EB486C">
            <w:pPr>
              <w:pStyle w:val="Tabletext"/>
              <w:keepNext/>
              <w:keepLines/>
              <w:spacing w:before="0" w:after="0"/>
              <w:jc w:val="center"/>
              <w:rPr>
                <w:sz w:val="22"/>
                <w:szCs w:val="22"/>
                <w:lang w:eastAsia="zh-CN"/>
              </w:rPr>
            </w:pPr>
          </w:p>
        </w:tc>
        <w:tc>
          <w:tcPr>
            <w:tcW w:w="5760" w:type="dxa"/>
          </w:tcPr>
          <w:p w14:paraId="6BD69C54" w14:textId="77777777" w:rsidR="00EB486C" w:rsidRPr="00C3488F" w:rsidRDefault="00EB486C" w:rsidP="00EB486C">
            <w:pPr>
              <w:pStyle w:val="Tabletext"/>
              <w:keepNext/>
              <w:keepLines/>
              <w:spacing w:before="0" w:after="0"/>
              <w:rPr>
                <w:color w:val="000000" w:themeColor="text1"/>
                <w:sz w:val="22"/>
                <w:szCs w:val="22"/>
                <w:lang w:eastAsia="zh-CN"/>
              </w:rPr>
            </w:pPr>
            <w:r w:rsidRPr="00C3488F">
              <w:rPr>
                <w:color w:val="000000" w:themeColor="text1"/>
                <w:sz w:val="22"/>
                <w:szCs w:val="22"/>
                <w:lang w:eastAsia="zh-CN"/>
              </w:rPr>
              <w:t xml:space="preserve">Interim report based on further evaluations on the Candidate Technology Submission for IMT-2020 “EUHT technology” as part of the re-engagement in step 4 evaluation. (Final results were included subject to minor clarification from the Nufront proponent) </w:t>
            </w:r>
          </w:p>
        </w:tc>
      </w:tr>
      <w:tr w:rsidR="00EB486C" w:rsidRPr="00A40313" w14:paraId="17F2202C" w14:textId="77777777" w:rsidTr="00EB486C">
        <w:trPr>
          <w:trHeight w:val="998"/>
          <w:jc w:val="center"/>
        </w:trPr>
        <w:tc>
          <w:tcPr>
            <w:tcW w:w="1890" w:type="dxa"/>
          </w:tcPr>
          <w:p w14:paraId="3B98F5BD" w14:textId="77777777" w:rsidR="00EB486C" w:rsidRPr="00C3488F" w:rsidRDefault="00EB486C" w:rsidP="00EB486C">
            <w:pPr>
              <w:jc w:val="center"/>
              <w:rPr>
                <w:sz w:val="22"/>
                <w:szCs w:val="22"/>
              </w:rPr>
            </w:pPr>
            <w:r w:rsidRPr="00C3488F">
              <w:rPr>
                <w:sz w:val="22"/>
                <w:szCs w:val="22"/>
              </w:rPr>
              <w:t>WP5D #39</w:t>
            </w:r>
          </w:p>
          <w:p w14:paraId="76182807" w14:textId="77777777" w:rsidR="00EB486C" w:rsidRPr="00675844" w:rsidRDefault="00EB486C" w:rsidP="00EB486C">
            <w:pPr>
              <w:jc w:val="center"/>
              <w:rPr>
                <w:sz w:val="22"/>
                <w:szCs w:val="22"/>
              </w:rPr>
            </w:pPr>
            <w:r w:rsidRPr="00C3488F">
              <w:rPr>
                <w:sz w:val="22"/>
                <w:szCs w:val="22"/>
              </w:rPr>
              <w:t>(OCT-2021)</w:t>
            </w:r>
          </w:p>
        </w:tc>
        <w:tc>
          <w:tcPr>
            <w:tcW w:w="1440" w:type="dxa"/>
          </w:tcPr>
          <w:p w14:paraId="17C4829E" w14:textId="77777777" w:rsidR="00EB486C" w:rsidRPr="00C3488F" w:rsidRDefault="00EB486C" w:rsidP="00EB486C">
            <w:pPr>
              <w:keepNext/>
              <w:keepLines/>
              <w:jc w:val="center"/>
              <w:rPr>
                <w:sz w:val="22"/>
                <w:szCs w:val="22"/>
              </w:rPr>
            </w:pPr>
            <w:r w:rsidRPr="00C3488F">
              <w:rPr>
                <w:sz w:val="22"/>
                <w:szCs w:val="22"/>
              </w:rPr>
              <w:t>5D/760</w:t>
            </w:r>
          </w:p>
        </w:tc>
        <w:tc>
          <w:tcPr>
            <w:tcW w:w="5760" w:type="dxa"/>
          </w:tcPr>
          <w:p w14:paraId="68D3946E" w14:textId="77777777" w:rsidR="00EB486C" w:rsidRPr="00C3488F" w:rsidRDefault="00EB486C" w:rsidP="00EB486C">
            <w:pPr>
              <w:pStyle w:val="Tabletext"/>
              <w:keepNext/>
              <w:keepLines/>
              <w:spacing w:before="0" w:after="0"/>
              <w:rPr>
                <w:color w:val="000000" w:themeColor="text1"/>
                <w:sz w:val="22"/>
                <w:szCs w:val="22"/>
                <w:lang w:eastAsia="zh-CN"/>
              </w:rPr>
            </w:pPr>
            <w:r w:rsidRPr="00C3488F">
              <w:rPr>
                <w:color w:val="000000" w:themeColor="text1"/>
                <w:sz w:val="22"/>
                <w:szCs w:val="22"/>
                <w:lang w:eastAsia="zh-CN"/>
              </w:rPr>
              <w:t>Final report including re-evaluation of the final results for the Candidate Technology Submission for IMT-2020 “EUHT technology” as part of the re-engagement in step 4 evaluation.</w:t>
            </w:r>
          </w:p>
        </w:tc>
      </w:tr>
    </w:tbl>
    <w:p w14:paraId="3EC8F427" w14:textId="77777777" w:rsidR="00EB486C" w:rsidRDefault="00EB486C" w:rsidP="00EB486C">
      <w:pPr>
        <w:pStyle w:val="Tablefin"/>
      </w:pPr>
    </w:p>
    <w:p w14:paraId="3E4B508A" w14:textId="77777777" w:rsidR="00EB486C" w:rsidRPr="000E20B9" w:rsidRDefault="00EB486C" w:rsidP="00EB486C">
      <w:pPr>
        <w:pStyle w:val="Heading1"/>
      </w:pPr>
      <w:r w:rsidRPr="000E20B9">
        <w:t>I-3</w:t>
      </w:r>
      <w:r w:rsidRPr="000E20B9">
        <w:tab/>
        <w:t>Method of work</w:t>
      </w:r>
    </w:p>
    <w:p w14:paraId="6A5D85D6" w14:textId="77777777" w:rsidR="00EB486C" w:rsidRPr="000E20B9" w:rsidRDefault="00EB486C" w:rsidP="00EB486C">
      <w:pPr>
        <w:pStyle w:val="Heading2"/>
      </w:pPr>
      <w:r w:rsidRPr="000E20B9">
        <w:t>I-3-1</w:t>
      </w:r>
      <w:r w:rsidRPr="000E20B9">
        <w:tab/>
        <w:t>Background</w:t>
      </w:r>
    </w:p>
    <w:p w14:paraId="20E45C6E" w14:textId="77777777" w:rsidR="00EB486C" w:rsidRPr="00A13095" w:rsidRDefault="00EB486C" w:rsidP="00EB486C">
      <w:pPr>
        <w:tabs>
          <w:tab w:val="left" w:pos="794"/>
          <w:tab w:val="left" w:pos="1191"/>
          <w:tab w:val="left" w:pos="1588"/>
          <w:tab w:val="left" w:pos="1985"/>
        </w:tabs>
        <w:spacing w:before="160" w:line="280" w:lineRule="exact"/>
        <w:jc w:val="both"/>
        <w:rPr>
          <w:rFonts w:eastAsia="Arial"/>
          <w:color w:val="000000" w:themeColor="text1"/>
          <w:lang w:val="en-US"/>
        </w:rPr>
      </w:pPr>
      <w:r w:rsidRPr="004B69F6">
        <w:t xml:space="preserve">ITU-R announced in June 2021, with Circular Letter </w:t>
      </w:r>
      <w:r>
        <w:fldChar w:fldCharType="begin"/>
      </w:r>
      <w:r>
        <w:instrText xml:space="preserve"> REF _Ref104375518 \w \h </w:instrText>
      </w:r>
      <w:r>
        <w:fldChar w:fldCharType="separate"/>
      </w:r>
      <w:r>
        <w:t>[6]</w:t>
      </w:r>
      <w:r>
        <w:fldChar w:fldCharType="end"/>
      </w:r>
      <w:r w:rsidRPr="004B69F6">
        <w:t xml:space="preserve">, the initiation of the update cycle for the revision ‘after year 2021’ of Recommendation ITU-R M.2150 for those radio interface technologies that would currently be included in the published Recommendation having the status of “in force” as of approximately March 2022. In addition, it invited the submission of new proposals for candidate radio interface technologies (RITs) or a set of RITs (SRITs) for the terrestrial components of IMT 2020. The letter </w:t>
      </w:r>
      <w:r w:rsidRPr="004B69F6">
        <w:rPr>
          <w:rFonts w:eastAsia="Malgun Gothic"/>
          <w:lang w:val="en-US"/>
        </w:rPr>
        <w:t>also initiate</w:t>
      </w:r>
      <w:r w:rsidRPr="004B69F6">
        <w:rPr>
          <w:rFonts w:eastAsia="Malgun Gothic"/>
        </w:rPr>
        <w:t>d</w:t>
      </w:r>
      <w:r w:rsidRPr="004B69F6">
        <w:rPr>
          <w:rFonts w:eastAsia="Malgun Gothic"/>
          <w:lang w:val="en-US"/>
        </w:rPr>
        <w:t>, for any new candidate technology submissions, the process to evaluate the candidate R</w:t>
      </w:r>
      <w:r w:rsidRPr="004B69F6">
        <w:rPr>
          <w:rFonts w:eastAsia="Malgun Gothic"/>
          <w:lang w:val="en-US" w:eastAsia="ja-JP"/>
        </w:rPr>
        <w:t>I</w:t>
      </w:r>
      <w:r w:rsidRPr="004B69F6">
        <w:rPr>
          <w:rFonts w:eastAsia="Malgun Gothic"/>
          <w:lang w:val="en-US"/>
        </w:rPr>
        <w:t>Ts or SRITs for IMT</w:t>
      </w:r>
      <w:r w:rsidRPr="004B69F6">
        <w:rPr>
          <w:rFonts w:eastAsia="Malgun Gothic"/>
          <w:lang w:val="en-US"/>
        </w:rPr>
        <w:noBreakHyphen/>
      </w:r>
      <w:r w:rsidRPr="004B69F6">
        <w:rPr>
          <w:rFonts w:eastAsia="Malgun Gothic"/>
          <w:lang w:val="en-US" w:eastAsia="ko-KR"/>
        </w:rPr>
        <w:t>2020</w:t>
      </w:r>
      <w:r w:rsidRPr="004B69F6">
        <w:rPr>
          <w:rFonts w:eastAsia="Malgun Gothic"/>
          <w:lang w:val="en-US"/>
        </w:rPr>
        <w:t xml:space="preserve"> and invite</w:t>
      </w:r>
      <w:r>
        <w:rPr>
          <w:rFonts w:eastAsia="Malgun Gothic"/>
        </w:rPr>
        <w:t>d</w:t>
      </w:r>
      <w:r w:rsidRPr="004B69F6">
        <w:rPr>
          <w:rFonts w:eastAsia="Malgun Gothic"/>
          <w:lang w:val="en-US"/>
        </w:rPr>
        <w:t xml:space="preserve"> the formation of Independent Evaluation Groups (IEGs) and the subsequent submission of evaluation reports on these new candidate R</w:t>
      </w:r>
      <w:r w:rsidRPr="004B69F6">
        <w:rPr>
          <w:rFonts w:eastAsia="Malgun Gothic"/>
          <w:lang w:val="en-US" w:eastAsia="ja-JP"/>
        </w:rPr>
        <w:t>I</w:t>
      </w:r>
      <w:r w:rsidRPr="004B69F6">
        <w:rPr>
          <w:rFonts w:eastAsia="Malgun Gothic"/>
          <w:lang w:val="en-US"/>
        </w:rPr>
        <w:t xml:space="preserve">Ts </w:t>
      </w:r>
      <w:r w:rsidRPr="004B69F6">
        <w:rPr>
          <w:rFonts w:eastAsia="Malgun Gothic"/>
          <w:lang w:val="en-US" w:eastAsia="ja-JP"/>
        </w:rPr>
        <w:t>or SRITs according to the established detailed timeline</w:t>
      </w:r>
      <w:r w:rsidRPr="004B69F6">
        <w:rPr>
          <w:rFonts w:eastAsia="Malgun Gothic"/>
          <w:lang w:val="en-US"/>
        </w:rPr>
        <w:t>.</w:t>
      </w:r>
      <w:r>
        <w:rPr>
          <w:rFonts w:eastAsia="Malgun Gothic"/>
        </w:rPr>
        <w:t xml:space="preserve"> With the amendment 1 of the Circular Letter in March 2022 </w:t>
      </w:r>
      <w:r>
        <w:rPr>
          <w:rFonts w:eastAsia="Malgun Gothic"/>
        </w:rPr>
        <w:fldChar w:fldCharType="begin"/>
      </w:r>
      <w:r>
        <w:rPr>
          <w:rFonts w:eastAsia="Malgun Gothic"/>
        </w:rPr>
        <w:instrText xml:space="preserve"> REF _Ref104375525 \w \h </w:instrText>
      </w:r>
      <w:r>
        <w:rPr>
          <w:rFonts w:eastAsia="Malgun Gothic"/>
        </w:rPr>
      </w:r>
      <w:r>
        <w:rPr>
          <w:rFonts w:eastAsia="Malgun Gothic"/>
        </w:rPr>
        <w:fldChar w:fldCharType="separate"/>
      </w:r>
      <w:r>
        <w:rPr>
          <w:rFonts w:eastAsia="Malgun Gothic"/>
        </w:rPr>
        <w:t>[7]</w:t>
      </w:r>
      <w:r>
        <w:rPr>
          <w:rFonts w:eastAsia="Malgun Gothic"/>
        </w:rPr>
        <w:fldChar w:fldCharType="end"/>
      </w:r>
      <w:r>
        <w:rPr>
          <w:rFonts w:eastAsia="Malgun Gothic"/>
        </w:rPr>
        <w:t xml:space="preserve">, ITU-R announced the acknowledgement of </w:t>
      </w:r>
      <w:r w:rsidRPr="00AC072D">
        <w:rPr>
          <w:rFonts w:eastAsia="Malgun Gothic"/>
        </w:rPr>
        <w:t>candidate submission from Nufront under Step 3 of the IMT-2020 process</w:t>
      </w:r>
      <w:r>
        <w:rPr>
          <w:rFonts w:eastAsia="Malgun Gothic"/>
        </w:rPr>
        <w:t xml:space="preserve"> in WP 5D #40. </w:t>
      </w:r>
      <w:r w:rsidRPr="00761849">
        <w:rPr>
          <w:rFonts w:eastAsia="Malgun Gothic"/>
        </w:rPr>
        <w:t>The candidate IMT-2020 radio interface(s) submitted by Proponent ‘Nufront’ include</w:t>
      </w:r>
      <w:r>
        <w:rPr>
          <w:rFonts w:eastAsia="Malgun Gothic"/>
        </w:rPr>
        <w:t>d</w:t>
      </w:r>
      <w:r w:rsidRPr="00761849">
        <w:rPr>
          <w:rFonts w:eastAsia="Malgun Gothic"/>
        </w:rPr>
        <w:t xml:space="preserve"> an RIT.</w:t>
      </w:r>
      <w:r>
        <w:rPr>
          <w:rFonts w:eastAsia="Malgun Gothic"/>
        </w:rPr>
        <w:t xml:space="preserve"> The</w:t>
      </w:r>
      <w:r w:rsidRPr="00AC072D">
        <w:rPr>
          <w:rFonts w:eastAsia="Malgun Gothic"/>
        </w:rPr>
        <w:t xml:space="preserve"> submitted proposal is referenced in Document IMT-2020/75</w:t>
      </w:r>
      <w:r>
        <w:rPr>
          <w:rFonts w:eastAsia="Malgun Gothic"/>
        </w:rPr>
        <w:t xml:space="preserve"> </w:t>
      </w:r>
      <w:r>
        <w:rPr>
          <w:rFonts w:eastAsia="Malgun Gothic"/>
        </w:rPr>
        <w:fldChar w:fldCharType="begin"/>
      </w:r>
      <w:r>
        <w:rPr>
          <w:rFonts w:eastAsia="Malgun Gothic"/>
        </w:rPr>
        <w:instrText xml:space="preserve"> REF _Ref104375534 \w \h </w:instrText>
      </w:r>
      <w:r>
        <w:rPr>
          <w:rFonts w:eastAsia="Malgun Gothic"/>
        </w:rPr>
      </w:r>
      <w:r>
        <w:rPr>
          <w:rFonts w:eastAsia="Malgun Gothic"/>
        </w:rPr>
        <w:fldChar w:fldCharType="separate"/>
      </w:r>
      <w:r>
        <w:rPr>
          <w:rFonts w:eastAsia="Malgun Gothic"/>
        </w:rPr>
        <w:t>[8]</w:t>
      </w:r>
      <w:r>
        <w:rPr>
          <w:rFonts w:eastAsia="Malgun Gothic"/>
        </w:rPr>
        <w:fldChar w:fldCharType="end"/>
      </w:r>
      <w:r>
        <w:rPr>
          <w:rFonts w:eastAsia="Malgun Gothic"/>
        </w:rPr>
        <w:t xml:space="preserve">. WWRF IEG informed by April 2022 ITU-R WP5D about its intention to participate in the evaluation of the new EUHT-5G technology submission. </w:t>
      </w:r>
    </w:p>
    <w:p w14:paraId="73BA9AD6" w14:textId="77777777" w:rsidR="00EB486C" w:rsidRPr="000E20B9" w:rsidRDefault="00EB486C" w:rsidP="00EB486C">
      <w:pPr>
        <w:pStyle w:val="Heading2"/>
      </w:pPr>
      <w:r w:rsidRPr="000E20B9">
        <w:lastRenderedPageBreak/>
        <w:t>I-3-2</w:t>
      </w:r>
      <w:r w:rsidRPr="000E20B9">
        <w:tab/>
        <w:t>Organizational Issues</w:t>
      </w:r>
    </w:p>
    <w:p w14:paraId="58D2EA65" w14:textId="77777777" w:rsidR="00EB486C" w:rsidRPr="000E20B9" w:rsidRDefault="00EB486C" w:rsidP="00EB486C">
      <w:r w:rsidRPr="000E20B9">
        <w:t>The work was organized using the following channels:</w:t>
      </w:r>
    </w:p>
    <w:p w14:paraId="2E76F8D6" w14:textId="77777777" w:rsidR="00EB486C" w:rsidRDefault="00EB486C" w:rsidP="00EB486C">
      <w:pPr>
        <w:numPr>
          <w:ilvl w:val="0"/>
          <w:numId w:val="2"/>
        </w:numPr>
        <w:pBdr>
          <w:top w:val="nil"/>
          <w:left w:val="nil"/>
          <w:bottom w:val="nil"/>
          <w:right w:val="nil"/>
          <w:between w:val="nil"/>
        </w:pBdr>
        <w:tabs>
          <w:tab w:val="clear" w:pos="2268"/>
          <w:tab w:val="left" w:pos="2608"/>
          <w:tab w:val="left" w:pos="3345"/>
        </w:tabs>
        <w:overflowPunct/>
        <w:autoSpaceDE/>
        <w:autoSpaceDN/>
        <w:adjustRightInd/>
        <w:spacing w:before="80"/>
        <w:textAlignment w:val="auto"/>
        <w:rPr>
          <w:color w:val="000000"/>
          <w:szCs w:val="24"/>
        </w:rPr>
      </w:pPr>
      <w:r w:rsidRPr="000E20B9">
        <w:rPr>
          <w:color w:val="000000"/>
          <w:szCs w:val="24"/>
        </w:rPr>
        <w:t>Regular online meetings of the steering board</w:t>
      </w:r>
      <w:r>
        <w:rPr>
          <w:color w:val="000000"/>
          <w:szCs w:val="24"/>
        </w:rPr>
        <w:t xml:space="preserve"> (SB)</w:t>
      </w:r>
    </w:p>
    <w:p w14:paraId="253502E9" w14:textId="77777777" w:rsidR="00EB486C" w:rsidRPr="000E20B9" w:rsidRDefault="00EB486C" w:rsidP="00EB486C">
      <w:pPr>
        <w:numPr>
          <w:ilvl w:val="0"/>
          <w:numId w:val="2"/>
        </w:numPr>
        <w:pBdr>
          <w:top w:val="nil"/>
          <w:left w:val="nil"/>
          <w:bottom w:val="nil"/>
          <w:right w:val="nil"/>
          <w:between w:val="nil"/>
        </w:pBdr>
        <w:tabs>
          <w:tab w:val="clear" w:pos="2268"/>
          <w:tab w:val="left" w:pos="2608"/>
          <w:tab w:val="left" w:pos="3345"/>
        </w:tabs>
        <w:overflowPunct/>
        <w:autoSpaceDE/>
        <w:autoSpaceDN/>
        <w:adjustRightInd/>
        <w:spacing w:before="80"/>
        <w:textAlignment w:val="auto"/>
        <w:rPr>
          <w:color w:val="000000"/>
          <w:szCs w:val="24"/>
        </w:rPr>
      </w:pPr>
      <w:r>
        <w:rPr>
          <w:color w:val="000000"/>
          <w:szCs w:val="24"/>
        </w:rPr>
        <w:t>Nufront’s Workshop for their new Technical Specifications for EUHT-5G</w:t>
      </w:r>
    </w:p>
    <w:p w14:paraId="7DBD5DF6" w14:textId="77777777" w:rsidR="00EB486C" w:rsidRPr="000E20B9" w:rsidRDefault="00EB486C" w:rsidP="00EB486C">
      <w:pPr>
        <w:numPr>
          <w:ilvl w:val="0"/>
          <w:numId w:val="2"/>
        </w:numPr>
        <w:pBdr>
          <w:top w:val="nil"/>
          <w:left w:val="nil"/>
          <w:bottom w:val="nil"/>
          <w:right w:val="nil"/>
          <w:between w:val="nil"/>
        </w:pBdr>
        <w:tabs>
          <w:tab w:val="clear" w:pos="2268"/>
          <w:tab w:val="left" w:pos="2608"/>
          <w:tab w:val="left" w:pos="3345"/>
        </w:tabs>
        <w:overflowPunct/>
        <w:autoSpaceDE/>
        <w:autoSpaceDN/>
        <w:adjustRightInd/>
        <w:spacing w:before="80"/>
        <w:textAlignment w:val="auto"/>
        <w:rPr>
          <w:color w:val="000000"/>
          <w:szCs w:val="24"/>
        </w:rPr>
      </w:pPr>
      <w:r w:rsidRPr="000E20B9">
        <w:rPr>
          <w:color w:val="000000"/>
          <w:szCs w:val="24"/>
        </w:rPr>
        <w:t>Weekly meetings of the technical team</w:t>
      </w:r>
      <w:r>
        <w:rPr>
          <w:color w:val="000000"/>
          <w:szCs w:val="24"/>
        </w:rPr>
        <w:t>s</w:t>
      </w:r>
    </w:p>
    <w:p w14:paraId="64CAA4D8" w14:textId="77777777" w:rsidR="00EB486C" w:rsidRPr="000E20B9" w:rsidRDefault="00EB486C" w:rsidP="00EB486C">
      <w:pPr>
        <w:numPr>
          <w:ilvl w:val="0"/>
          <w:numId w:val="2"/>
        </w:numPr>
        <w:pBdr>
          <w:top w:val="nil"/>
          <w:left w:val="nil"/>
          <w:bottom w:val="nil"/>
          <w:right w:val="nil"/>
          <w:between w:val="nil"/>
        </w:pBdr>
        <w:tabs>
          <w:tab w:val="clear" w:pos="2268"/>
          <w:tab w:val="left" w:pos="2608"/>
          <w:tab w:val="left" w:pos="3345"/>
        </w:tabs>
        <w:overflowPunct/>
        <w:autoSpaceDE/>
        <w:autoSpaceDN/>
        <w:adjustRightInd/>
        <w:spacing w:before="80"/>
        <w:textAlignment w:val="auto"/>
        <w:rPr>
          <w:color w:val="000000"/>
          <w:szCs w:val="24"/>
        </w:rPr>
      </w:pPr>
      <w:r w:rsidRPr="000E20B9">
        <w:rPr>
          <w:color w:val="000000"/>
          <w:szCs w:val="24"/>
        </w:rPr>
        <w:t>File sharing through secure shared space</w:t>
      </w:r>
    </w:p>
    <w:p w14:paraId="4D22E3AF" w14:textId="77777777" w:rsidR="00EB486C" w:rsidRPr="000E20B9" w:rsidRDefault="00EB486C" w:rsidP="00EB486C">
      <w:pPr>
        <w:numPr>
          <w:ilvl w:val="0"/>
          <w:numId w:val="2"/>
        </w:numPr>
        <w:pBdr>
          <w:top w:val="nil"/>
          <w:left w:val="nil"/>
          <w:bottom w:val="nil"/>
          <w:right w:val="nil"/>
          <w:between w:val="nil"/>
        </w:pBdr>
        <w:tabs>
          <w:tab w:val="clear" w:pos="2268"/>
          <w:tab w:val="left" w:pos="2608"/>
          <w:tab w:val="left" w:pos="3345"/>
        </w:tabs>
        <w:overflowPunct/>
        <w:autoSpaceDE/>
        <w:autoSpaceDN/>
        <w:adjustRightInd/>
        <w:spacing w:before="80"/>
        <w:textAlignment w:val="auto"/>
        <w:rPr>
          <w:color w:val="000000"/>
          <w:szCs w:val="24"/>
        </w:rPr>
      </w:pPr>
      <w:r w:rsidRPr="000E20B9">
        <w:rPr>
          <w:color w:val="000000"/>
          <w:szCs w:val="24"/>
        </w:rPr>
        <w:t>Workshops/Seminars organised by the WWRF</w:t>
      </w:r>
    </w:p>
    <w:p w14:paraId="4E859C05" w14:textId="77777777" w:rsidR="00EB486C" w:rsidRPr="00FA0BB3" w:rsidRDefault="00EB486C" w:rsidP="00EB486C">
      <w:pPr>
        <w:numPr>
          <w:ilvl w:val="0"/>
          <w:numId w:val="2"/>
        </w:numPr>
        <w:pBdr>
          <w:top w:val="nil"/>
          <w:left w:val="nil"/>
          <w:bottom w:val="nil"/>
          <w:right w:val="nil"/>
          <w:between w:val="nil"/>
        </w:pBdr>
        <w:tabs>
          <w:tab w:val="clear" w:pos="2268"/>
          <w:tab w:val="left" w:pos="2608"/>
          <w:tab w:val="left" w:pos="3345"/>
        </w:tabs>
        <w:overflowPunct/>
        <w:autoSpaceDE/>
        <w:autoSpaceDN/>
        <w:adjustRightInd/>
        <w:spacing w:before="80"/>
        <w:textAlignment w:val="auto"/>
        <w:rPr>
          <w:color w:val="000000"/>
          <w:szCs w:val="24"/>
        </w:rPr>
      </w:pPr>
      <w:r w:rsidRPr="000E20B9">
        <w:rPr>
          <w:color w:val="000000"/>
          <w:szCs w:val="24"/>
        </w:rPr>
        <w:t>Monitoring of the ITU Discussion Forum</w:t>
      </w:r>
    </w:p>
    <w:p w14:paraId="76BF57C9" w14:textId="77777777" w:rsidR="00EB486C" w:rsidRPr="000E20B9" w:rsidRDefault="00EB486C" w:rsidP="00EB486C">
      <w:pPr>
        <w:pStyle w:val="Heading1"/>
      </w:pPr>
      <w:r w:rsidRPr="000E20B9">
        <w:t>I-4</w:t>
      </w:r>
      <w:r w:rsidRPr="000E20B9">
        <w:tab/>
        <w:t>Administrative contact details</w:t>
      </w:r>
    </w:p>
    <w:p w14:paraId="2597B068" w14:textId="77777777" w:rsidR="00EB486C" w:rsidRPr="000E20B9" w:rsidRDefault="00EB486C" w:rsidP="00EB486C">
      <w:r w:rsidRPr="000E20B9">
        <w:rPr>
          <w:b/>
          <w:bCs/>
        </w:rPr>
        <w:t>Name &amp; Affiliation:</w:t>
      </w:r>
      <w:r w:rsidRPr="000E20B9">
        <w:t xml:space="preserve"> Dr Nigel Jefferies, WWRF Chairman.</w:t>
      </w:r>
    </w:p>
    <w:p w14:paraId="47575F52" w14:textId="77777777" w:rsidR="00EB486C" w:rsidRPr="000E20B9" w:rsidRDefault="00EB486C" w:rsidP="00EB486C">
      <w:r w:rsidRPr="000E20B9">
        <w:rPr>
          <w:b/>
          <w:bCs/>
        </w:rPr>
        <w:t>Email:</w:t>
      </w:r>
      <w:r w:rsidRPr="000E20B9">
        <w:t xml:space="preserve"> </w:t>
      </w:r>
      <w:hyperlink r:id="rId8" w:history="1">
        <w:r w:rsidRPr="00562A34">
          <w:rPr>
            <w:rStyle w:val="Hyperlink"/>
          </w:rPr>
          <w:t>nigel.jefferies@wwrf.ch</w:t>
        </w:r>
      </w:hyperlink>
    </w:p>
    <w:p w14:paraId="7DF0A8F3" w14:textId="77777777" w:rsidR="00EB486C" w:rsidRPr="000E20B9" w:rsidRDefault="00EB486C" w:rsidP="00EB486C">
      <w:pPr>
        <w:pStyle w:val="Heading1"/>
      </w:pPr>
      <w:r w:rsidRPr="000E20B9">
        <w:t>I-5</w:t>
      </w:r>
      <w:r w:rsidRPr="000E20B9">
        <w:tab/>
        <w:t>Technical contact details</w:t>
      </w:r>
    </w:p>
    <w:tbl>
      <w:tblPr>
        <w:tblStyle w:val="PlainTable21"/>
        <w:tblW w:w="9399" w:type="dxa"/>
        <w:tblBorders>
          <w:top w:val="none" w:sz="0" w:space="0" w:color="auto"/>
          <w:bottom w:val="none" w:sz="0" w:space="0" w:color="auto"/>
        </w:tblBorders>
        <w:tblLayout w:type="fixed"/>
        <w:tblLook w:val="0400" w:firstRow="0" w:lastRow="0" w:firstColumn="0" w:lastColumn="0" w:noHBand="0" w:noVBand="1"/>
      </w:tblPr>
      <w:tblGrid>
        <w:gridCol w:w="2798"/>
        <w:gridCol w:w="3156"/>
        <w:gridCol w:w="3445"/>
      </w:tblGrid>
      <w:tr w:rsidR="00EB486C" w:rsidRPr="000E20B9" w14:paraId="3D379D78" w14:textId="77777777" w:rsidTr="00EB486C">
        <w:trPr>
          <w:cnfStyle w:val="000000100000" w:firstRow="0" w:lastRow="0" w:firstColumn="0" w:lastColumn="0" w:oddVBand="0" w:evenVBand="0" w:oddHBand="1" w:evenHBand="0" w:firstRowFirstColumn="0" w:firstRowLastColumn="0" w:lastRowFirstColumn="0" w:lastRowLastColumn="0"/>
          <w:trHeight w:val="428"/>
        </w:trPr>
        <w:tc>
          <w:tcPr>
            <w:tcW w:w="2798" w:type="dxa"/>
          </w:tcPr>
          <w:p w14:paraId="148E5C27" w14:textId="77777777" w:rsidR="00EB486C" w:rsidRPr="0021779C" w:rsidRDefault="00C20B6A" w:rsidP="00EB486C">
            <w:pPr>
              <w:ind w:right="95"/>
              <w:rPr>
                <w:rFonts w:cs="Times New Roman"/>
                <w:b/>
                <w:bCs/>
              </w:rPr>
            </w:pPr>
            <w:hyperlink r:id="rId9">
              <w:r w:rsidR="00EB486C" w:rsidRPr="0021779C">
                <w:rPr>
                  <w:rFonts w:cs="Times New Roman"/>
                  <w:b/>
                  <w:bCs/>
                  <w:color w:val="000000"/>
                </w:rPr>
                <w:t>Name</w:t>
              </w:r>
            </w:hyperlink>
          </w:p>
        </w:tc>
        <w:tc>
          <w:tcPr>
            <w:tcW w:w="3156" w:type="dxa"/>
          </w:tcPr>
          <w:p w14:paraId="347210F8" w14:textId="77777777" w:rsidR="00EB486C" w:rsidRPr="0021779C" w:rsidRDefault="00EB486C" w:rsidP="00EB486C">
            <w:pPr>
              <w:ind w:right="95"/>
              <w:rPr>
                <w:rFonts w:cs="Times New Roman"/>
                <w:b/>
                <w:bCs/>
                <w:color w:val="000000"/>
              </w:rPr>
            </w:pPr>
            <w:r w:rsidRPr="0021779C">
              <w:rPr>
                <w:rFonts w:cs="Times New Roman"/>
                <w:b/>
                <w:bCs/>
                <w:color w:val="000000"/>
              </w:rPr>
              <w:t>Affiliation</w:t>
            </w:r>
          </w:p>
        </w:tc>
        <w:tc>
          <w:tcPr>
            <w:tcW w:w="3445" w:type="dxa"/>
          </w:tcPr>
          <w:p w14:paraId="1701DAE7" w14:textId="77777777" w:rsidR="00EB486C" w:rsidRPr="0021779C" w:rsidRDefault="00EB486C" w:rsidP="00EB486C">
            <w:pPr>
              <w:ind w:right="95"/>
              <w:rPr>
                <w:rFonts w:cs="Times New Roman"/>
                <w:b/>
                <w:bCs/>
                <w:color w:val="000000"/>
              </w:rPr>
            </w:pPr>
            <w:r w:rsidRPr="0021779C">
              <w:rPr>
                <w:rFonts w:cs="Times New Roman"/>
                <w:b/>
                <w:bCs/>
                <w:color w:val="000000"/>
              </w:rPr>
              <w:t>e-mail</w:t>
            </w:r>
          </w:p>
        </w:tc>
      </w:tr>
      <w:tr w:rsidR="00EB486C" w:rsidRPr="000E20B9" w14:paraId="0A48FB92" w14:textId="77777777" w:rsidTr="00EB486C">
        <w:trPr>
          <w:trHeight w:val="416"/>
        </w:trPr>
        <w:tc>
          <w:tcPr>
            <w:tcW w:w="2798" w:type="dxa"/>
          </w:tcPr>
          <w:p w14:paraId="19A0DE5C" w14:textId="77777777" w:rsidR="00EB486C" w:rsidRPr="001F539E" w:rsidRDefault="00EB486C" w:rsidP="00EB486C">
            <w:pPr>
              <w:ind w:right="95"/>
              <w:rPr>
                <w:rFonts w:cs="Times New Roman"/>
              </w:rPr>
            </w:pPr>
            <w:r w:rsidRPr="001F539E">
              <w:rPr>
                <w:rFonts w:cs="Times New Roman"/>
              </w:rPr>
              <w:t>Prof. Christos Politis</w:t>
            </w:r>
          </w:p>
        </w:tc>
        <w:tc>
          <w:tcPr>
            <w:tcW w:w="3156" w:type="dxa"/>
          </w:tcPr>
          <w:p w14:paraId="4B7F3A20" w14:textId="77777777" w:rsidR="00EB486C" w:rsidRPr="001F539E" w:rsidRDefault="00EB486C" w:rsidP="00EB486C">
            <w:pPr>
              <w:ind w:right="95"/>
              <w:rPr>
                <w:rFonts w:cs="Times New Roman"/>
                <w:color w:val="000000"/>
                <w:u w:val="single"/>
              </w:rPr>
            </w:pPr>
            <w:r w:rsidRPr="001F539E">
              <w:rPr>
                <w:rFonts w:cs="Times New Roman"/>
                <w:color w:val="000000"/>
                <w:u w:val="single"/>
              </w:rPr>
              <w:t>Kingston University, UK</w:t>
            </w:r>
          </w:p>
        </w:tc>
        <w:tc>
          <w:tcPr>
            <w:tcW w:w="3445" w:type="dxa"/>
          </w:tcPr>
          <w:p w14:paraId="6AE5BB22" w14:textId="77777777" w:rsidR="00EB486C" w:rsidRPr="001F539E" w:rsidRDefault="00C20B6A" w:rsidP="00EB486C">
            <w:pPr>
              <w:ind w:right="95"/>
              <w:rPr>
                <w:rFonts w:cs="Times New Roman"/>
              </w:rPr>
            </w:pPr>
            <w:hyperlink r:id="rId10">
              <w:r w:rsidR="00EB486C" w:rsidRPr="001F539E">
                <w:rPr>
                  <w:rFonts w:cs="Times New Roman"/>
                  <w:color w:val="1155CC"/>
                  <w:u w:val="single"/>
                </w:rPr>
                <w:t>c.politis@kingston.ac.uk</w:t>
              </w:r>
            </w:hyperlink>
          </w:p>
        </w:tc>
      </w:tr>
      <w:tr w:rsidR="00EB486C" w:rsidRPr="000E20B9" w14:paraId="4F8350CA" w14:textId="77777777" w:rsidTr="00EB486C">
        <w:trPr>
          <w:cnfStyle w:val="000000100000" w:firstRow="0" w:lastRow="0" w:firstColumn="0" w:lastColumn="0" w:oddVBand="0" w:evenVBand="0" w:oddHBand="1" w:evenHBand="0" w:firstRowFirstColumn="0" w:firstRowLastColumn="0" w:lastRowFirstColumn="0" w:lastRowLastColumn="0"/>
          <w:trHeight w:val="428"/>
        </w:trPr>
        <w:tc>
          <w:tcPr>
            <w:tcW w:w="2798" w:type="dxa"/>
          </w:tcPr>
          <w:p w14:paraId="2CE7B907" w14:textId="77777777" w:rsidR="00EB486C" w:rsidRPr="001F539E" w:rsidRDefault="00EB486C" w:rsidP="00EB486C">
            <w:pPr>
              <w:ind w:right="95"/>
              <w:rPr>
                <w:rFonts w:cs="Times New Roman"/>
              </w:rPr>
            </w:pPr>
            <w:r w:rsidRPr="001F539E">
              <w:rPr>
                <w:rFonts w:cs="Times New Roman"/>
              </w:rPr>
              <w:t>Dr Rafay Ansari</w:t>
            </w:r>
          </w:p>
        </w:tc>
        <w:tc>
          <w:tcPr>
            <w:tcW w:w="3156" w:type="dxa"/>
          </w:tcPr>
          <w:p w14:paraId="50B202BB" w14:textId="77777777" w:rsidR="00EB486C" w:rsidRPr="001F539E" w:rsidRDefault="00EB486C" w:rsidP="00EB486C">
            <w:pPr>
              <w:ind w:right="95"/>
              <w:rPr>
                <w:rFonts w:cs="Times New Roman"/>
                <w:color w:val="000000"/>
                <w:u w:val="single"/>
              </w:rPr>
            </w:pPr>
            <w:r w:rsidRPr="001F539E">
              <w:rPr>
                <w:rFonts w:cs="Times New Roman"/>
                <w:u w:val="single"/>
              </w:rPr>
              <w:t>Kingston University, UK</w:t>
            </w:r>
          </w:p>
        </w:tc>
        <w:tc>
          <w:tcPr>
            <w:tcW w:w="3445" w:type="dxa"/>
          </w:tcPr>
          <w:p w14:paraId="581F9AD2" w14:textId="77777777" w:rsidR="00EB486C" w:rsidRPr="001F539E" w:rsidRDefault="00C20B6A" w:rsidP="00EB486C">
            <w:pPr>
              <w:ind w:right="95"/>
              <w:rPr>
                <w:rFonts w:cs="Times New Roman"/>
                <w:highlight w:val="yellow"/>
              </w:rPr>
            </w:pPr>
            <w:hyperlink r:id="rId11">
              <w:r w:rsidR="00EB486C" w:rsidRPr="001F539E">
                <w:rPr>
                  <w:rFonts w:cs="Times New Roman"/>
                  <w:color w:val="1155CC"/>
                  <w:u w:val="single"/>
                </w:rPr>
                <w:t>rafay.ansari@kingston.ac.uk</w:t>
              </w:r>
            </w:hyperlink>
            <w:r w:rsidR="00EB486C" w:rsidRPr="001F539E">
              <w:rPr>
                <w:rFonts w:cs="Times New Roman"/>
              </w:rPr>
              <w:t xml:space="preserve"> </w:t>
            </w:r>
          </w:p>
        </w:tc>
      </w:tr>
      <w:tr w:rsidR="00EB486C" w:rsidRPr="000E20B9" w14:paraId="67BC21D0" w14:textId="77777777" w:rsidTr="00EB486C">
        <w:trPr>
          <w:trHeight w:val="416"/>
        </w:trPr>
        <w:tc>
          <w:tcPr>
            <w:tcW w:w="2798" w:type="dxa"/>
          </w:tcPr>
          <w:p w14:paraId="7BBF41CD" w14:textId="77777777" w:rsidR="00EB486C" w:rsidRPr="001F539E" w:rsidRDefault="00EB486C" w:rsidP="00EB486C">
            <w:pPr>
              <w:ind w:right="95"/>
              <w:rPr>
                <w:rFonts w:cs="Times New Roman"/>
              </w:rPr>
            </w:pPr>
            <w:r w:rsidRPr="001F539E">
              <w:rPr>
                <w:rFonts w:cs="Times New Roman"/>
              </w:rPr>
              <w:t>Dr M Arslan Usman</w:t>
            </w:r>
          </w:p>
        </w:tc>
        <w:tc>
          <w:tcPr>
            <w:tcW w:w="3156" w:type="dxa"/>
          </w:tcPr>
          <w:p w14:paraId="734C4F4E" w14:textId="77777777" w:rsidR="00EB486C" w:rsidRPr="001F539E" w:rsidRDefault="00EB486C" w:rsidP="00EB486C">
            <w:pPr>
              <w:ind w:right="95"/>
              <w:rPr>
                <w:rFonts w:cs="Times New Roman"/>
                <w:color w:val="000000"/>
                <w:u w:val="single"/>
              </w:rPr>
            </w:pPr>
            <w:r w:rsidRPr="001F539E">
              <w:rPr>
                <w:rFonts w:cs="Times New Roman"/>
                <w:color w:val="000000"/>
                <w:u w:val="single"/>
              </w:rPr>
              <w:t>Kingston University, UK</w:t>
            </w:r>
          </w:p>
        </w:tc>
        <w:tc>
          <w:tcPr>
            <w:tcW w:w="3445" w:type="dxa"/>
          </w:tcPr>
          <w:p w14:paraId="518B4AA9" w14:textId="77777777" w:rsidR="00EB486C" w:rsidRPr="001F539E" w:rsidRDefault="00C20B6A" w:rsidP="00EB486C">
            <w:pPr>
              <w:ind w:right="95"/>
              <w:rPr>
                <w:rFonts w:cs="Times New Roman"/>
              </w:rPr>
            </w:pPr>
            <w:hyperlink r:id="rId12">
              <w:r w:rsidR="00EB486C" w:rsidRPr="001F539E">
                <w:rPr>
                  <w:rFonts w:cs="Times New Roman"/>
                  <w:color w:val="0000FF"/>
                  <w:u w:val="single"/>
                </w:rPr>
                <w:t>m.usman@kingston.ac.uk</w:t>
              </w:r>
            </w:hyperlink>
          </w:p>
        </w:tc>
      </w:tr>
      <w:tr w:rsidR="00EB486C" w:rsidRPr="000E20B9" w14:paraId="0C4E8632" w14:textId="77777777" w:rsidTr="00EB486C">
        <w:trPr>
          <w:cnfStyle w:val="000000100000" w:firstRow="0" w:lastRow="0" w:firstColumn="0" w:lastColumn="0" w:oddVBand="0" w:evenVBand="0" w:oddHBand="1" w:evenHBand="0" w:firstRowFirstColumn="0" w:firstRowLastColumn="0" w:lastRowFirstColumn="0" w:lastRowLastColumn="0"/>
          <w:trHeight w:val="428"/>
        </w:trPr>
        <w:tc>
          <w:tcPr>
            <w:tcW w:w="2798" w:type="dxa"/>
          </w:tcPr>
          <w:p w14:paraId="376A2266" w14:textId="77777777" w:rsidR="00EB486C" w:rsidRPr="001F539E" w:rsidRDefault="00EB486C" w:rsidP="00EB486C">
            <w:pPr>
              <w:ind w:right="95"/>
              <w:rPr>
                <w:rFonts w:cs="Times New Roman"/>
              </w:rPr>
            </w:pPr>
            <w:r w:rsidRPr="001F539E">
              <w:rPr>
                <w:rFonts w:cs="Times New Roman"/>
              </w:rPr>
              <w:t>Mr. Nuwan Weerasinghe</w:t>
            </w:r>
          </w:p>
        </w:tc>
        <w:tc>
          <w:tcPr>
            <w:tcW w:w="3156" w:type="dxa"/>
          </w:tcPr>
          <w:p w14:paraId="7DB663DD" w14:textId="77777777" w:rsidR="00EB486C" w:rsidRPr="001F539E" w:rsidRDefault="00EB486C" w:rsidP="00EB486C">
            <w:pPr>
              <w:ind w:right="95"/>
              <w:rPr>
                <w:rFonts w:cs="Times New Roman"/>
                <w:color w:val="000000"/>
                <w:u w:val="single"/>
              </w:rPr>
            </w:pPr>
            <w:r w:rsidRPr="001F539E">
              <w:rPr>
                <w:rFonts w:cs="Times New Roman"/>
                <w:color w:val="000000"/>
                <w:u w:val="single"/>
              </w:rPr>
              <w:t>Kingston University, UK</w:t>
            </w:r>
          </w:p>
        </w:tc>
        <w:tc>
          <w:tcPr>
            <w:tcW w:w="3445" w:type="dxa"/>
          </w:tcPr>
          <w:p w14:paraId="59221A0F" w14:textId="77777777" w:rsidR="00EB486C" w:rsidRPr="001F539E" w:rsidRDefault="00C20B6A" w:rsidP="00EB486C">
            <w:pPr>
              <w:ind w:right="95"/>
              <w:rPr>
                <w:rFonts w:cs="Times New Roman"/>
              </w:rPr>
            </w:pPr>
            <w:hyperlink r:id="rId13">
              <w:r w:rsidR="00EB486C" w:rsidRPr="001F539E">
                <w:rPr>
                  <w:rFonts w:cs="Times New Roman"/>
                  <w:color w:val="1155CC"/>
                  <w:u w:val="single"/>
                </w:rPr>
                <w:t>nuwan.weerasinghe@kingston.ac.uk</w:t>
              </w:r>
            </w:hyperlink>
            <w:r w:rsidR="00EB486C" w:rsidRPr="001F539E">
              <w:rPr>
                <w:rFonts w:cs="Times New Roman"/>
              </w:rPr>
              <w:t xml:space="preserve"> </w:t>
            </w:r>
          </w:p>
        </w:tc>
      </w:tr>
      <w:tr w:rsidR="00EB486C" w:rsidRPr="000E20B9" w14:paraId="02059706" w14:textId="77777777" w:rsidTr="00EB486C">
        <w:trPr>
          <w:trHeight w:val="428"/>
        </w:trPr>
        <w:tc>
          <w:tcPr>
            <w:tcW w:w="2798" w:type="dxa"/>
          </w:tcPr>
          <w:p w14:paraId="3B7EF059" w14:textId="77777777" w:rsidR="00EB486C" w:rsidRPr="001F539E" w:rsidRDefault="00EB486C" w:rsidP="00EB486C">
            <w:pPr>
              <w:ind w:right="95"/>
              <w:rPr>
                <w:rFonts w:cs="Times New Roman"/>
              </w:rPr>
            </w:pPr>
            <w:r w:rsidRPr="001F539E">
              <w:rPr>
                <w:rFonts w:cs="Times New Roman"/>
              </w:rPr>
              <w:t>Prof. Angeliki Alexiou</w:t>
            </w:r>
          </w:p>
        </w:tc>
        <w:tc>
          <w:tcPr>
            <w:tcW w:w="3156" w:type="dxa"/>
          </w:tcPr>
          <w:p w14:paraId="0FD76B6A" w14:textId="77777777" w:rsidR="00EB486C" w:rsidRPr="001F539E" w:rsidRDefault="00EB486C" w:rsidP="00EB486C">
            <w:pPr>
              <w:ind w:right="95"/>
              <w:rPr>
                <w:rFonts w:cs="Times New Roman"/>
                <w:color w:val="000000"/>
                <w:u w:val="single"/>
              </w:rPr>
            </w:pPr>
            <w:r w:rsidRPr="001F539E">
              <w:rPr>
                <w:rFonts w:cs="Times New Roman"/>
                <w:color w:val="000000"/>
                <w:u w:val="single"/>
              </w:rPr>
              <w:t>University of Piraeus, Greece</w:t>
            </w:r>
          </w:p>
        </w:tc>
        <w:tc>
          <w:tcPr>
            <w:tcW w:w="3445" w:type="dxa"/>
          </w:tcPr>
          <w:p w14:paraId="56407642" w14:textId="77777777" w:rsidR="00EB486C" w:rsidRPr="001F539E" w:rsidRDefault="00C20B6A" w:rsidP="00EB486C">
            <w:pPr>
              <w:ind w:right="95"/>
              <w:rPr>
                <w:rFonts w:cs="Times New Roman"/>
              </w:rPr>
            </w:pPr>
            <w:hyperlink r:id="rId14" w:history="1">
              <w:r w:rsidR="00EB486C" w:rsidRPr="001F539E">
                <w:rPr>
                  <w:rStyle w:val="Hyperlink"/>
                  <w:rFonts w:cs="Times New Roman"/>
                </w:rPr>
                <w:t>aalexiou@ieee.org</w:t>
              </w:r>
            </w:hyperlink>
            <w:r w:rsidR="00EB486C" w:rsidRPr="001F539E">
              <w:rPr>
                <w:rFonts w:cs="Times New Roman"/>
              </w:rPr>
              <w:t xml:space="preserve"> </w:t>
            </w:r>
          </w:p>
        </w:tc>
      </w:tr>
      <w:tr w:rsidR="00EB486C" w:rsidRPr="000E20B9" w14:paraId="5E763C02" w14:textId="77777777" w:rsidTr="00EB486C">
        <w:trPr>
          <w:cnfStyle w:val="000000100000" w:firstRow="0" w:lastRow="0" w:firstColumn="0" w:lastColumn="0" w:oddVBand="0" w:evenVBand="0" w:oddHBand="1" w:evenHBand="0" w:firstRowFirstColumn="0" w:firstRowLastColumn="0" w:lastRowFirstColumn="0" w:lastRowLastColumn="0"/>
          <w:trHeight w:val="428"/>
        </w:trPr>
        <w:tc>
          <w:tcPr>
            <w:tcW w:w="2798" w:type="dxa"/>
          </w:tcPr>
          <w:p w14:paraId="2B7F7AE0" w14:textId="77777777" w:rsidR="00EB486C" w:rsidRPr="001F539E" w:rsidRDefault="00EB486C" w:rsidP="00EB486C">
            <w:pPr>
              <w:ind w:right="95"/>
              <w:rPr>
                <w:rFonts w:cs="Times New Roman"/>
              </w:rPr>
            </w:pPr>
            <w:r w:rsidRPr="001F539E">
              <w:rPr>
                <w:rFonts w:cs="Times New Roman"/>
              </w:rPr>
              <w:t>Dr Antonis Gotsis</w:t>
            </w:r>
          </w:p>
        </w:tc>
        <w:tc>
          <w:tcPr>
            <w:tcW w:w="3156" w:type="dxa"/>
          </w:tcPr>
          <w:p w14:paraId="5499B7F8" w14:textId="77777777" w:rsidR="00EB486C" w:rsidRPr="001F539E" w:rsidRDefault="00EB486C" w:rsidP="00EB486C">
            <w:pPr>
              <w:ind w:right="95"/>
              <w:rPr>
                <w:rFonts w:cs="Times New Roman"/>
                <w:color w:val="000000"/>
                <w:u w:val="single"/>
              </w:rPr>
            </w:pPr>
            <w:r w:rsidRPr="001F539E">
              <w:rPr>
                <w:rFonts w:cs="Times New Roman"/>
                <w:color w:val="000000"/>
                <w:u w:val="single"/>
              </w:rPr>
              <w:t>University of Piraeus, Greece</w:t>
            </w:r>
          </w:p>
        </w:tc>
        <w:tc>
          <w:tcPr>
            <w:tcW w:w="3445" w:type="dxa"/>
          </w:tcPr>
          <w:p w14:paraId="283398B6" w14:textId="77777777" w:rsidR="00EB486C" w:rsidRPr="001F539E" w:rsidRDefault="00C20B6A" w:rsidP="00EB486C">
            <w:pPr>
              <w:ind w:right="95"/>
              <w:rPr>
                <w:rFonts w:cs="Times New Roman"/>
              </w:rPr>
            </w:pPr>
            <w:hyperlink r:id="rId15" w:history="1">
              <w:r w:rsidR="00EB486C" w:rsidRPr="001F539E">
                <w:rPr>
                  <w:rStyle w:val="Hyperlink"/>
                  <w:rFonts w:cs="Times New Roman"/>
                </w:rPr>
                <w:t>antonis.gotsis@feron-tech.com</w:t>
              </w:r>
            </w:hyperlink>
            <w:r w:rsidR="00EB486C" w:rsidRPr="001F539E">
              <w:rPr>
                <w:rFonts w:cs="Times New Roman"/>
              </w:rPr>
              <w:t xml:space="preserve"> </w:t>
            </w:r>
          </w:p>
        </w:tc>
      </w:tr>
      <w:tr w:rsidR="00EB486C" w:rsidRPr="000E20B9" w14:paraId="251BE415" w14:textId="77777777" w:rsidTr="00EB486C">
        <w:trPr>
          <w:trHeight w:val="428"/>
        </w:trPr>
        <w:tc>
          <w:tcPr>
            <w:tcW w:w="2798" w:type="dxa"/>
          </w:tcPr>
          <w:p w14:paraId="78E8F3E9" w14:textId="77777777" w:rsidR="00EB486C" w:rsidRPr="001F539E" w:rsidRDefault="00EB486C" w:rsidP="00EB486C">
            <w:pPr>
              <w:ind w:right="95"/>
              <w:rPr>
                <w:rFonts w:cs="Times New Roman"/>
              </w:rPr>
            </w:pPr>
            <w:r w:rsidRPr="001F539E">
              <w:rPr>
                <w:rFonts w:cs="Times New Roman"/>
              </w:rPr>
              <w:t>Dr Konstantinos Maliatsos</w:t>
            </w:r>
          </w:p>
        </w:tc>
        <w:tc>
          <w:tcPr>
            <w:tcW w:w="3156" w:type="dxa"/>
          </w:tcPr>
          <w:p w14:paraId="1BE23406" w14:textId="77777777" w:rsidR="00EB486C" w:rsidRPr="001F539E" w:rsidRDefault="00EB486C" w:rsidP="00EB486C">
            <w:pPr>
              <w:ind w:right="95"/>
              <w:rPr>
                <w:rFonts w:cs="Times New Roman"/>
                <w:color w:val="000000"/>
                <w:u w:val="single"/>
              </w:rPr>
            </w:pPr>
            <w:r w:rsidRPr="001F539E">
              <w:rPr>
                <w:rFonts w:cs="Times New Roman"/>
                <w:color w:val="000000"/>
                <w:u w:val="single"/>
              </w:rPr>
              <w:t>University of Piraeus, Greece</w:t>
            </w:r>
          </w:p>
        </w:tc>
        <w:tc>
          <w:tcPr>
            <w:tcW w:w="3445" w:type="dxa"/>
          </w:tcPr>
          <w:p w14:paraId="4FF27FC1" w14:textId="77777777" w:rsidR="00EB486C" w:rsidRPr="001F539E" w:rsidRDefault="00C20B6A" w:rsidP="00EB486C">
            <w:pPr>
              <w:ind w:right="95"/>
              <w:rPr>
                <w:rFonts w:cs="Times New Roman"/>
              </w:rPr>
            </w:pPr>
            <w:hyperlink r:id="rId16" w:history="1">
              <w:r w:rsidR="00EB486C" w:rsidRPr="0031361F">
                <w:rPr>
                  <w:rStyle w:val="Hyperlink"/>
                  <w:rFonts w:cs="Times New Roman"/>
                </w:rPr>
                <w:t>konstantinos.maliatsos@feron-tech.com</w:t>
              </w:r>
            </w:hyperlink>
            <w:r w:rsidR="00EB486C">
              <w:rPr>
                <w:rFonts w:cs="Times New Roman"/>
              </w:rPr>
              <w:t xml:space="preserve"> </w:t>
            </w:r>
          </w:p>
        </w:tc>
      </w:tr>
    </w:tbl>
    <w:p w14:paraId="3A09D2B8" w14:textId="77777777" w:rsidR="00EB486C" w:rsidRDefault="00EB486C" w:rsidP="00EB486C">
      <w:pPr>
        <w:pStyle w:val="Heading1"/>
        <w:jc w:val="both"/>
        <w:rPr>
          <w:color w:val="000000"/>
          <w:szCs w:val="28"/>
        </w:rPr>
      </w:pPr>
    </w:p>
    <w:p w14:paraId="25E5B590" w14:textId="77777777" w:rsidR="00EB486C" w:rsidRDefault="00EB486C">
      <w:pPr>
        <w:tabs>
          <w:tab w:val="clear" w:pos="1134"/>
          <w:tab w:val="clear" w:pos="1871"/>
          <w:tab w:val="clear" w:pos="2268"/>
        </w:tabs>
        <w:overflowPunct/>
        <w:autoSpaceDE/>
        <w:autoSpaceDN/>
        <w:adjustRightInd/>
        <w:spacing w:before="0"/>
        <w:textAlignment w:val="auto"/>
        <w:rPr>
          <w:b/>
          <w:color w:val="000000"/>
          <w:sz w:val="28"/>
          <w:szCs w:val="28"/>
        </w:rPr>
      </w:pPr>
      <w:r>
        <w:rPr>
          <w:b/>
          <w:color w:val="000000"/>
          <w:sz w:val="28"/>
          <w:szCs w:val="28"/>
        </w:rPr>
        <w:br w:type="page"/>
      </w:r>
    </w:p>
    <w:p w14:paraId="78730B2F" w14:textId="77777777" w:rsidR="00EB486C" w:rsidRPr="000E20B9" w:rsidRDefault="00EB486C" w:rsidP="00EB486C">
      <w:pPr>
        <w:pStyle w:val="Part1"/>
        <w:rPr>
          <w:rFonts w:ascii="Arial" w:eastAsia="Arial" w:hAnsi="Arial" w:cs="Arial"/>
        </w:rPr>
      </w:pPr>
      <w:r w:rsidRPr="000E20B9">
        <w:lastRenderedPageBreak/>
        <w:t>Part II</w:t>
      </w:r>
      <w:r>
        <w:br/>
      </w:r>
      <w:r>
        <w:br/>
      </w:r>
      <w:r w:rsidRPr="000E20B9">
        <w:t xml:space="preserve"> Technical aspects of the work of the Independent Evaluation Group</w:t>
      </w:r>
    </w:p>
    <w:p w14:paraId="7080FAEA" w14:textId="77777777" w:rsidR="00EB486C" w:rsidRPr="000E20B9" w:rsidRDefault="00EB486C" w:rsidP="00EB486C">
      <w:pPr>
        <w:pStyle w:val="Heading1"/>
        <w:rPr>
          <w:b w:val="0"/>
        </w:rPr>
      </w:pPr>
      <w:r w:rsidRPr="000E20B9">
        <w:t>II-A</w:t>
      </w:r>
      <w:r w:rsidRPr="000E20B9">
        <w:tab/>
        <w:t>What candidate technologies or portions of the candidate technologies this IEG is or might anticipate evaluating?</w:t>
      </w:r>
    </w:p>
    <w:p w14:paraId="1F26D221" w14:textId="77777777" w:rsidR="00EB486C" w:rsidRPr="00A13095" w:rsidRDefault="00EB486C" w:rsidP="00EB486C">
      <w:pPr>
        <w:spacing w:before="240" w:after="240"/>
        <w:rPr>
          <w:rFonts w:eastAsia="Arial"/>
          <w:color w:val="000000"/>
        </w:rPr>
      </w:pPr>
      <w:bookmarkStart w:id="13" w:name="_Hlk104375050"/>
      <w:r w:rsidRPr="00A13095">
        <w:rPr>
          <w:rFonts w:eastAsia="Arial"/>
          <w:color w:val="000000"/>
        </w:rPr>
        <w:t>The WWRF IEG will evaluate a portion of the candidate RIT, based on the following submitted material:</w:t>
      </w:r>
    </w:p>
    <w:tbl>
      <w:tblPr>
        <w:tblStyle w:val="TableGrid"/>
        <w:tblW w:w="9639" w:type="dxa"/>
        <w:jc w:val="center"/>
        <w:tblLayout w:type="fixed"/>
        <w:tblLook w:val="04A0" w:firstRow="1" w:lastRow="0" w:firstColumn="1" w:lastColumn="0" w:noHBand="0" w:noVBand="1"/>
      </w:tblPr>
      <w:tblGrid>
        <w:gridCol w:w="1479"/>
        <w:gridCol w:w="4489"/>
        <w:gridCol w:w="3671"/>
      </w:tblGrid>
      <w:tr w:rsidR="00EB486C" w:rsidRPr="00761849" w14:paraId="624B07DB" w14:textId="77777777" w:rsidTr="00EB486C">
        <w:trPr>
          <w:trHeight w:val="559"/>
          <w:jc w:val="center"/>
        </w:trPr>
        <w:tc>
          <w:tcPr>
            <w:tcW w:w="1413" w:type="dxa"/>
            <w:shd w:val="clear" w:color="auto" w:fill="D9D9D9" w:themeFill="background1" w:themeFillShade="D9"/>
            <w:vAlign w:val="center"/>
          </w:tcPr>
          <w:p w14:paraId="2F57FDDA" w14:textId="77777777" w:rsidR="00EB486C" w:rsidRPr="00A13095" w:rsidRDefault="00EB486C" w:rsidP="00EB486C">
            <w:pPr>
              <w:pStyle w:val="Tablehead"/>
              <w:rPr>
                <w:rFonts w:ascii="Times New Roman" w:hAnsi="Times New Roman" w:cs="Times New Roman"/>
                <w:sz w:val="22"/>
                <w:szCs w:val="22"/>
                <w:lang w:eastAsia="zh-CN"/>
              </w:rPr>
            </w:pPr>
            <w:r w:rsidRPr="00A13095">
              <w:rPr>
                <w:rFonts w:ascii="Times New Roman" w:hAnsi="Times New Roman" w:cs="Times New Roman"/>
                <w:sz w:val="22"/>
                <w:szCs w:val="22"/>
                <w:lang w:eastAsia="zh-CN"/>
              </w:rPr>
              <w:t>Meeting number</w:t>
            </w:r>
          </w:p>
        </w:tc>
        <w:tc>
          <w:tcPr>
            <w:tcW w:w="4289" w:type="dxa"/>
            <w:shd w:val="clear" w:color="auto" w:fill="D9D9D9" w:themeFill="background1" w:themeFillShade="D9"/>
            <w:vAlign w:val="center"/>
          </w:tcPr>
          <w:p w14:paraId="5DB26112" w14:textId="77777777" w:rsidR="00EB486C" w:rsidRPr="00A13095" w:rsidRDefault="00EB486C" w:rsidP="00EB486C">
            <w:pPr>
              <w:pStyle w:val="Tablehead"/>
              <w:rPr>
                <w:rFonts w:ascii="Times New Roman" w:hAnsi="Times New Roman" w:cs="Times New Roman"/>
                <w:sz w:val="22"/>
                <w:szCs w:val="22"/>
                <w:lang w:eastAsia="zh-CN"/>
              </w:rPr>
            </w:pPr>
            <w:r w:rsidRPr="00A13095">
              <w:rPr>
                <w:rFonts w:ascii="Times New Roman" w:hAnsi="Times New Roman" w:cs="Times New Roman"/>
                <w:sz w:val="22"/>
                <w:szCs w:val="22"/>
                <w:lang w:eastAsia="zh-CN"/>
              </w:rPr>
              <w:t>Input contributions</w:t>
            </w:r>
          </w:p>
        </w:tc>
        <w:tc>
          <w:tcPr>
            <w:tcW w:w="3507" w:type="dxa"/>
            <w:shd w:val="clear" w:color="auto" w:fill="D9D9D9" w:themeFill="background1" w:themeFillShade="D9"/>
            <w:vAlign w:val="center"/>
          </w:tcPr>
          <w:p w14:paraId="1F42D751" w14:textId="77777777" w:rsidR="00EB486C" w:rsidRPr="00A13095" w:rsidRDefault="00EB486C" w:rsidP="00EB486C">
            <w:pPr>
              <w:pStyle w:val="Tablehead"/>
              <w:rPr>
                <w:rFonts w:ascii="Times New Roman" w:hAnsi="Times New Roman" w:cs="Times New Roman"/>
                <w:sz w:val="22"/>
                <w:szCs w:val="22"/>
                <w:lang w:eastAsia="zh-CN"/>
              </w:rPr>
            </w:pPr>
            <w:r w:rsidRPr="00A13095">
              <w:rPr>
                <w:rFonts w:ascii="Times New Roman" w:hAnsi="Times New Roman" w:cs="Times New Roman"/>
                <w:sz w:val="22"/>
                <w:szCs w:val="22"/>
                <w:lang w:eastAsia="zh-CN"/>
              </w:rPr>
              <w:t>Remarks</w:t>
            </w:r>
          </w:p>
        </w:tc>
      </w:tr>
      <w:tr w:rsidR="00EB486C" w:rsidRPr="00761849" w14:paraId="30FE1079" w14:textId="77777777" w:rsidTr="00EB486C">
        <w:trPr>
          <w:jc w:val="center"/>
        </w:trPr>
        <w:tc>
          <w:tcPr>
            <w:tcW w:w="1413" w:type="dxa"/>
            <w:vAlign w:val="center"/>
          </w:tcPr>
          <w:p w14:paraId="737936B2" w14:textId="77777777" w:rsidR="00EB486C" w:rsidRPr="00A13095" w:rsidRDefault="00EB486C" w:rsidP="00EB486C">
            <w:pPr>
              <w:pStyle w:val="Tabletext"/>
              <w:jc w:val="center"/>
              <w:rPr>
                <w:sz w:val="22"/>
                <w:szCs w:val="22"/>
                <w:lang w:eastAsia="zh-CN"/>
              </w:rPr>
            </w:pPr>
            <w:r w:rsidRPr="00A13095">
              <w:rPr>
                <w:sz w:val="22"/>
                <w:szCs w:val="22"/>
                <w:lang w:eastAsia="zh-CN"/>
              </w:rPr>
              <w:t>WP 5D #40</w:t>
            </w:r>
          </w:p>
        </w:tc>
        <w:tc>
          <w:tcPr>
            <w:tcW w:w="4289" w:type="dxa"/>
            <w:vAlign w:val="center"/>
          </w:tcPr>
          <w:p w14:paraId="0C343836" w14:textId="77777777" w:rsidR="00EB486C" w:rsidRPr="00E04193" w:rsidRDefault="00EB486C" w:rsidP="00EB486C">
            <w:pPr>
              <w:pStyle w:val="Tabletext"/>
              <w:jc w:val="center"/>
              <w:rPr>
                <w:color w:val="0000FF" w:themeColor="hyperlink"/>
                <w:sz w:val="22"/>
                <w:szCs w:val="22"/>
                <w:u w:val="single"/>
                <w:lang w:eastAsia="zh-CN"/>
              </w:rPr>
            </w:pPr>
            <w:r w:rsidRPr="00E04193">
              <w:rPr>
                <w:sz w:val="22"/>
                <w:szCs w:val="22"/>
                <w:lang w:eastAsia="zh-CN"/>
              </w:rPr>
              <w:t>5D/</w:t>
            </w:r>
            <w:hyperlink r:id="rId17" w:history="1">
              <w:r w:rsidRPr="00E04193">
                <w:rPr>
                  <w:color w:val="0000FF" w:themeColor="hyperlink"/>
                  <w:sz w:val="22"/>
                  <w:szCs w:val="22"/>
                  <w:u w:val="single"/>
                  <w:lang w:eastAsia="zh-CN"/>
                </w:rPr>
                <w:t>979</w:t>
              </w:r>
            </w:hyperlink>
          </w:p>
          <w:p w14:paraId="4A5D38AC" w14:textId="77777777" w:rsidR="00EB486C" w:rsidRPr="00E04193" w:rsidRDefault="00EB486C" w:rsidP="00EB486C">
            <w:pPr>
              <w:pStyle w:val="Tabletext"/>
              <w:jc w:val="center"/>
              <w:rPr>
                <w:sz w:val="22"/>
                <w:szCs w:val="22"/>
                <w:lang w:eastAsia="zh-CN"/>
              </w:rPr>
            </w:pPr>
            <w:r w:rsidRPr="00E04193">
              <w:rPr>
                <w:sz w:val="22"/>
                <w:szCs w:val="22"/>
                <w:lang w:eastAsia="zh-CN"/>
              </w:rPr>
              <w:t>(</w:t>
            </w:r>
            <w:r w:rsidRPr="00D01E24">
              <w:rPr>
                <w:sz w:val="22"/>
                <w:szCs w:val="22"/>
                <w:lang w:eastAsia="zh-CN"/>
              </w:rPr>
              <w:t>Attachment</w:t>
            </w:r>
            <w:r w:rsidRPr="00E04193">
              <w:rPr>
                <w:sz w:val="22"/>
                <w:szCs w:val="22"/>
                <w:lang w:eastAsia="zh-CN"/>
              </w:rPr>
              <w:t xml:space="preserve"> Part 1: 5D/</w:t>
            </w:r>
            <w:hyperlink r:id="rId18" w:history="1">
              <w:r w:rsidRPr="00E04193">
                <w:rPr>
                  <w:color w:val="0000FF" w:themeColor="hyperlink"/>
                  <w:sz w:val="22"/>
                  <w:szCs w:val="22"/>
                  <w:u w:val="single"/>
                  <w:lang w:eastAsia="zh-CN"/>
                </w:rPr>
                <w:t>979!P1</w:t>
              </w:r>
            </w:hyperlink>
            <w:r w:rsidRPr="00E04193">
              <w:rPr>
                <w:sz w:val="22"/>
                <w:szCs w:val="22"/>
                <w:lang w:eastAsia="zh-CN"/>
              </w:rPr>
              <w:t>;</w:t>
            </w:r>
          </w:p>
          <w:p w14:paraId="7553FC24" w14:textId="77777777" w:rsidR="00EB486C" w:rsidRPr="00E04193" w:rsidRDefault="00EB486C" w:rsidP="00EB486C">
            <w:pPr>
              <w:pStyle w:val="Tabletext"/>
              <w:jc w:val="center"/>
              <w:rPr>
                <w:sz w:val="22"/>
                <w:szCs w:val="22"/>
                <w:lang w:eastAsia="zh-CN"/>
              </w:rPr>
            </w:pPr>
            <w:r w:rsidRPr="00D01E24">
              <w:rPr>
                <w:sz w:val="22"/>
                <w:szCs w:val="22"/>
                <w:lang w:eastAsia="zh-CN"/>
              </w:rPr>
              <w:t>Attachment</w:t>
            </w:r>
            <w:r w:rsidRPr="00E04193">
              <w:rPr>
                <w:sz w:val="22"/>
                <w:szCs w:val="22"/>
                <w:lang w:eastAsia="zh-CN"/>
              </w:rPr>
              <w:t xml:space="preserve"> Part 2: 5D/</w:t>
            </w:r>
            <w:hyperlink r:id="rId19" w:history="1">
              <w:r w:rsidRPr="00E04193">
                <w:rPr>
                  <w:color w:val="0000FF" w:themeColor="hyperlink"/>
                  <w:sz w:val="22"/>
                  <w:szCs w:val="22"/>
                  <w:u w:val="single"/>
                  <w:lang w:eastAsia="zh-CN"/>
                </w:rPr>
                <w:t>979!P2</w:t>
              </w:r>
            </w:hyperlink>
            <w:r w:rsidRPr="00E04193">
              <w:rPr>
                <w:sz w:val="22"/>
                <w:szCs w:val="22"/>
                <w:lang w:eastAsia="zh-CN"/>
              </w:rPr>
              <w:t>;</w:t>
            </w:r>
          </w:p>
          <w:p w14:paraId="31FCF33B" w14:textId="77777777" w:rsidR="00EB486C" w:rsidRPr="00E04193" w:rsidRDefault="00EB486C" w:rsidP="00EB486C">
            <w:pPr>
              <w:pStyle w:val="Tabletext"/>
              <w:jc w:val="center"/>
              <w:rPr>
                <w:sz w:val="22"/>
                <w:szCs w:val="22"/>
                <w:lang w:eastAsia="zh-CN"/>
              </w:rPr>
            </w:pPr>
            <w:r w:rsidRPr="00A82F62">
              <w:rPr>
                <w:sz w:val="22"/>
                <w:szCs w:val="22"/>
                <w:lang w:eastAsia="zh-CN"/>
              </w:rPr>
              <w:t>Attachment</w:t>
            </w:r>
            <w:r w:rsidRPr="00E04193">
              <w:rPr>
                <w:sz w:val="22"/>
                <w:szCs w:val="22"/>
                <w:lang w:eastAsia="zh-CN"/>
              </w:rPr>
              <w:t xml:space="preserve"> Part 3: 5D/</w:t>
            </w:r>
            <w:hyperlink r:id="rId20" w:history="1">
              <w:r w:rsidRPr="00E04193">
                <w:rPr>
                  <w:color w:val="0000FF" w:themeColor="hyperlink"/>
                  <w:sz w:val="22"/>
                  <w:szCs w:val="22"/>
                  <w:u w:val="single"/>
                  <w:lang w:eastAsia="zh-CN"/>
                </w:rPr>
                <w:t>979!P3</w:t>
              </w:r>
            </w:hyperlink>
            <w:r w:rsidRPr="00E04193">
              <w:rPr>
                <w:sz w:val="22"/>
                <w:szCs w:val="22"/>
                <w:lang w:eastAsia="zh-CN"/>
              </w:rPr>
              <w:t>;</w:t>
            </w:r>
          </w:p>
          <w:p w14:paraId="500BE58A" w14:textId="77777777" w:rsidR="00EB486C" w:rsidRPr="00E04193" w:rsidRDefault="00EB486C" w:rsidP="00EB486C">
            <w:pPr>
              <w:pStyle w:val="Tabletext"/>
              <w:jc w:val="center"/>
              <w:rPr>
                <w:color w:val="0000FF" w:themeColor="hyperlink"/>
                <w:sz w:val="22"/>
                <w:szCs w:val="22"/>
                <w:u w:val="single"/>
                <w:lang w:eastAsia="zh-CN"/>
              </w:rPr>
            </w:pPr>
            <w:r w:rsidRPr="00A82F62">
              <w:rPr>
                <w:sz w:val="22"/>
                <w:szCs w:val="22"/>
                <w:lang w:eastAsia="zh-CN"/>
              </w:rPr>
              <w:t>Attachment</w:t>
            </w:r>
            <w:r w:rsidRPr="00E04193">
              <w:rPr>
                <w:sz w:val="22"/>
                <w:szCs w:val="22"/>
                <w:lang w:eastAsia="zh-CN"/>
              </w:rPr>
              <w:t xml:space="preserve"> Part 4: 5D/</w:t>
            </w:r>
            <w:hyperlink r:id="rId21" w:history="1">
              <w:r w:rsidRPr="00E04193">
                <w:rPr>
                  <w:color w:val="0000FF" w:themeColor="hyperlink"/>
                  <w:sz w:val="22"/>
                  <w:szCs w:val="22"/>
                  <w:u w:val="single"/>
                  <w:lang w:eastAsia="zh-CN"/>
                </w:rPr>
                <w:t>979!P4</w:t>
              </w:r>
            </w:hyperlink>
            <w:r w:rsidRPr="00E04193">
              <w:rPr>
                <w:sz w:val="22"/>
                <w:szCs w:val="22"/>
                <w:lang w:eastAsia="zh-CN"/>
              </w:rPr>
              <w:t>;</w:t>
            </w:r>
          </w:p>
          <w:p w14:paraId="7371C76E" w14:textId="77777777" w:rsidR="00EB486C" w:rsidRPr="00E04193" w:rsidRDefault="00EB486C" w:rsidP="00EB486C">
            <w:pPr>
              <w:pStyle w:val="Tabletext"/>
              <w:jc w:val="center"/>
              <w:rPr>
                <w:sz w:val="22"/>
                <w:szCs w:val="22"/>
                <w:lang w:eastAsia="zh-CN"/>
              </w:rPr>
            </w:pPr>
            <w:r w:rsidRPr="00A82F62">
              <w:rPr>
                <w:sz w:val="22"/>
                <w:szCs w:val="22"/>
                <w:lang w:eastAsia="zh-CN"/>
              </w:rPr>
              <w:t>Attachment</w:t>
            </w:r>
            <w:r w:rsidRPr="00E04193">
              <w:rPr>
                <w:sz w:val="22"/>
                <w:szCs w:val="22"/>
                <w:lang w:eastAsia="zh-CN"/>
              </w:rPr>
              <w:t xml:space="preserve"> Part 5: 5D/</w:t>
            </w:r>
            <w:hyperlink r:id="rId22" w:history="1">
              <w:r w:rsidRPr="00E04193">
                <w:rPr>
                  <w:color w:val="0000FF" w:themeColor="hyperlink"/>
                  <w:sz w:val="22"/>
                  <w:szCs w:val="22"/>
                  <w:u w:val="single"/>
                  <w:lang w:eastAsia="zh-CN"/>
                </w:rPr>
                <w:t>979!P5</w:t>
              </w:r>
            </w:hyperlink>
            <w:r w:rsidRPr="00E04193">
              <w:rPr>
                <w:sz w:val="22"/>
                <w:szCs w:val="22"/>
                <w:lang w:eastAsia="zh-CN"/>
              </w:rPr>
              <w:t>)</w:t>
            </w:r>
          </w:p>
        </w:tc>
        <w:tc>
          <w:tcPr>
            <w:tcW w:w="3507" w:type="dxa"/>
            <w:vAlign w:val="center"/>
          </w:tcPr>
          <w:p w14:paraId="6EFCC12B" w14:textId="77777777" w:rsidR="00EB486C" w:rsidRPr="00A13095" w:rsidRDefault="00EB486C" w:rsidP="00EB486C">
            <w:pPr>
              <w:pStyle w:val="Tabletext"/>
              <w:rPr>
                <w:sz w:val="22"/>
                <w:szCs w:val="22"/>
                <w:lang w:eastAsia="zh-CN"/>
              </w:rPr>
            </w:pPr>
            <w:r w:rsidRPr="00A13095">
              <w:rPr>
                <w:sz w:val="22"/>
                <w:szCs w:val="22"/>
                <w:lang w:eastAsia="zh-CN"/>
              </w:rPr>
              <w:t>Final submission</w:t>
            </w:r>
          </w:p>
          <w:p w14:paraId="718B7259" w14:textId="77777777" w:rsidR="00EB486C" w:rsidRPr="00A13095" w:rsidRDefault="00EB486C" w:rsidP="00EB486C">
            <w:pPr>
              <w:pStyle w:val="Tabletext"/>
              <w:rPr>
                <w:sz w:val="22"/>
                <w:szCs w:val="22"/>
                <w:lang w:eastAsia="zh-CN"/>
              </w:rPr>
            </w:pPr>
            <w:r w:rsidRPr="00A13095">
              <w:rPr>
                <w:sz w:val="22"/>
                <w:szCs w:val="22"/>
                <w:lang w:eastAsia="zh-CN"/>
              </w:rPr>
              <w:t>•</w:t>
            </w:r>
            <w:r w:rsidRPr="00A13095">
              <w:rPr>
                <w:sz w:val="22"/>
                <w:szCs w:val="22"/>
                <w:lang w:eastAsia="zh-CN"/>
              </w:rPr>
              <w:tab/>
              <w:t>Characteristics template</w:t>
            </w:r>
          </w:p>
          <w:p w14:paraId="0DAEB78C" w14:textId="77777777" w:rsidR="00EB486C" w:rsidRPr="00A13095" w:rsidRDefault="00EB486C" w:rsidP="00EB486C">
            <w:pPr>
              <w:pStyle w:val="Tabletext"/>
              <w:rPr>
                <w:sz w:val="22"/>
                <w:szCs w:val="22"/>
                <w:lang w:eastAsia="zh-CN"/>
              </w:rPr>
            </w:pPr>
            <w:r w:rsidRPr="00A13095">
              <w:rPr>
                <w:sz w:val="22"/>
                <w:szCs w:val="22"/>
                <w:lang w:eastAsia="zh-CN"/>
              </w:rPr>
              <w:t>•</w:t>
            </w:r>
            <w:r w:rsidRPr="00A13095">
              <w:rPr>
                <w:sz w:val="22"/>
                <w:szCs w:val="22"/>
                <w:lang w:eastAsia="zh-CN"/>
              </w:rPr>
              <w:tab/>
              <w:t>Compliance template</w:t>
            </w:r>
          </w:p>
          <w:p w14:paraId="02C4290A" w14:textId="77777777" w:rsidR="00EB486C" w:rsidRPr="00A13095" w:rsidRDefault="00EB486C" w:rsidP="00EB486C">
            <w:pPr>
              <w:pStyle w:val="Tabletext"/>
              <w:rPr>
                <w:sz w:val="22"/>
                <w:szCs w:val="22"/>
                <w:lang w:eastAsia="zh-CN"/>
              </w:rPr>
            </w:pPr>
            <w:r w:rsidRPr="00A13095">
              <w:rPr>
                <w:sz w:val="22"/>
                <w:szCs w:val="22"/>
                <w:lang w:eastAsia="zh-CN"/>
              </w:rPr>
              <w:t>•</w:t>
            </w:r>
            <w:r w:rsidRPr="00A13095">
              <w:rPr>
                <w:sz w:val="22"/>
                <w:szCs w:val="22"/>
                <w:lang w:eastAsia="zh-CN"/>
              </w:rPr>
              <w:tab/>
              <w:t>Link budget template</w:t>
            </w:r>
          </w:p>
          <w:p w14:paraId="3A671A6F" w14:textId="77777777" w:rsidR="00EB486C" w:rsidRPr="00A13095" w:rsidRDefault="00EB486C" w:rsidP="00EB486C">
            <w:pPr>
              <w:pStyle w:val="Tabletext"/>
              <w:rPr>
                <w:sz w:val="22"/>
                <w:szCs w:val="22"/>
                <w:lang w:eastAsia="zh-CN"/>
              </w:rPr>
            </w:pPr>
            <w:r w:rsidRPr="00A13095">
              <w:rPr>
                <w:sz w:val="22"/>
                <w:szCs w:val="22"/>
                <w:lang w:eastAsia="zh-CN"/>
              </w:rPr>
              <w:t>•</w:t>
            </w:r>
            <w:r w:rsidRPr="00A13095">
              <w:rPr>
                <w:sz w:val="22"/>
                <w:szCs w:val="22"/>
                <w:lang w:eastAsia="zh-CN"/>
              </w:rPr>
              <w:tab/>
              <w:t>Self-evaluation report</w:t>
            </w:r>
          </w:p>
          <w:p w14:paraId="206DD7D7" w14:textId="77777777" w:rsidR="00EB486C" w:rsidRPr="00A13095" w:rsidRDefault="00EB486C" w:rsidP="00EB486C">
            <w:pPr>
              <w:pStyle w:val="Tabletext"/>
              <w:rPr>
                <w:sz w:val="22"/>
                <w:szCs w:val="22"/>
                <w:lang w:eastAsia="zh-CN"/>
              </w:rPr>
            </w:pPr>
            <w:r w:rsidRPr="00A13095">
              <w:rPr>
                <w:sz w:val="22"/>
                <w:szCs w:val="22"/>
                <w:lang w:eastAsia="zh-CN"/>
              </w:rPr>
              <w:t>•</w:t>
            </w:r>
            <w:r w:rsidRPr="00A13095">
              <w:rPr>
                <w:sz w:val="22"/>
                <w:szCs w:val="22"/>
                <w:lang w:eastAsia="zh-CN"/>
              </w:rPr>
              <w:tab/>
              <w:t>EUHT-5G specification</w:t>
            </w:r>
          </w:p>
        </w:tc>
      </w:tr>
    </w:tbl>
    <w:p w14:paraId="1DCAC2BB" w14:textId="77777777" w:rsidR="00EB486C" w:rsidRPr="00A13095" w:rsidRDefault="00EB486C" w:rsidP="00EB486C">
      <w:pPr>
        <w:pStyle w:val="Tablefin"/>
      </w:pPr>
    </w:p>
    <w:p w14:paraId="069D526F" w14:textId="77777777" w:rsidR="00EB486C" w:rsidRPr="00214740" w:rsidRDefault="00EB486C" w:rsidP="00EB486C">
      <w:pPr>
        <w:spacing w:after="120"/>
        <w:jc w:val="both"/>
      </w:pPr>
      <w:r w:rsidRPr="00A13095">
        <w:t xml:space="preserve">The technical performance requirements listed in </w:t>
      </w:r>
      <w:r>
        <w:rPr>
          <w:lang w:val="en-US"/>
        </w:rPr>
        <w:t xml:space="preserve">the table below </w:t>
      </w:r>
      <w:r w:rsidRPr="00A13095">
        <w:t>will be assessed (Ref: Report ITU-R M.2412-0). In this Table we list for each addressed characteristic the assessment method used (based on ITU evaluation methodology), references to the requirements and exact methodology steps from corresponding ITU documents M.2410-0 and M.2412-0.</w:t>
      </w:r>
    </w:p>
    <w:tbl>
      <w:tblPr>
        <w:tblOverlap w:val="neve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2" w:type="dxa"/>
          <w:bottom w:w="28" w:type="dxa"/>
          <w:right w:w="102" w:type="dxa"/>
        </w:tblCellMar>
        <w:tblLook w:val="04A0" w:firstRow="1" w:lastRow="0" w:firstColumn="1" w:lastColumn="0" w:noHBand="0" w:noVBand="1"/>
      </w:tblPr>
      <w:tblGrid>
        <w:gridCol w:w="3119"/>
        <w:gridCol w:w="1781"/>
        <w:gridCol w:w="2393"/>
        <w:gridCol w:w="2346"/>
      </w:tblGrid>
      <w:tr w:rsidR="00EB486C" w:rsidRPr="00761849" w14:paraId="1E63DC7B" w14:textId="77777777" w:rsidTr="00EB486C">
        <w:trPr>
          <w:trHeight w:val="20"/>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5C701F46" w14:textId="77777777" w:rsidR="00EB486C" w:rsidRPr="00A13095" w:rsidRDefault="00EB486C" w:rsidP="00EB486C">
            <w:pPr>
              <w:pStyle w:val="Tablehead"/>
              <w:spacing w:before="0" w:after="0"/>
              <w:rPr>
                <w:rFonts w:ascii="Times New Roman" w:eastAsia="TimesNewRoman" w:hAnsi="Times New Roman" w:cs="Times New Roman"/>
                <w:bCs/>
                <w:color w:val="000000" w:themeColor="text1"/>
                <w:sz w:val="22"/>
                <w:szCs w:val="22"/>
                <w:lang w:eastAsia="zh-CN"/>
              </w:rPr>
            </w:pPr>
            <w:r w:rsidRPr="00A13095">
              <w:rPr>
                <w:rFonts w:ascii="Times New Roman" w:eastAsia="TimesNewRoman" w:hAnsi="Times New Roman" w:cs="Times New Roman"/>
                <w:color w:val="000000" w:themeColor="text1"/>
                <w:sz w:val="22"/>
                <w:szCs w:val="22"/>
                <w:lang w:eastAsia="zh-CN"/>
              </w:rPr>
              <w:t>Characteristic for evaluation (test-environment)</w:t>
            </w:r>
          </w:p>
        </w:tc>
        <w:tc>
          <w:tcPr>
            <w:tcW w:w="1781" w:type="dxa"/>
            <w:tcBorders>
              <w:top w:val="single" w:sz="4" w:space="0" w:color="auto"/>
              <w:left w:val="single" w:sz="4" w:space="0" w:color="auto"/>
              <w:bottom w:val="single" w:sz="4" w:space="0" w:color="auto"/>
              <w:right w:val="single" w:sz="4" w:space="0" w:color="auto"/>
            </w:tcBorders>
            <w:vAlign w:val="center"/>
            <w:hideMark/>
          </w:tcPr>
          <w:p w14:paraId="546CAE0D" w14:textId="77777777" w:rsidR="00EB486C" w:rsidRPr="00A13095" w:rsidRDefault="00EB486C" w:rsidP="00EB486C">
            <w:pPr>
              <w:pStyle w:val="Tablehead"/>
              <w:spacing w:before="0" w:after="0"/>
              <w:rPr>
                <w:rFonts w:ascii="Times New Roman" w:eastAsia="SimSun" w:hAnsi="Times New Roman" w:cs="Times New Roman"/>
                <w:color w:val="000000" w:themeColor="text1"/>
                <w:sz w:val="22"/>
                <w:szCs w:val="22"/>
              </w:rPr>
            </w:pPr>
            <w:r w:rsidRPr="00A13095">
              <w:rPr>
                <w:rFonts w:ascii="Times New Roman" w:eastAsia="SimSun" w:hAnsi="Times New Roman" w:cs="Times New Roman" w:hint="eastAsia"/>
                <w:color w:val="000000" w:themeColor="text1"/>
                <w:sz w:val="22"/>
                <w:szCs w:val="22"/>
              </w:rPr>
              <w:t xml:space="preserve">High-level assessment </w:t>
            </w:r>
            <w:r w:rsidRPr="00A13095">
              <w:rPr>
                <w:rFonts w:ascii="Times New Roman" w:hAnsi="Times New Roman" w:cs="Times New Roman"/>
                <w:color w:val="000000" w:themeColor="text1"/>
                <w:sz w:val="22"/>
                <w:szCs w:val="22"/>
                <w:lang w:eastAsia="zh-CN"/>
              </w:rPr>
              <w:t>m</w:t>
            </w:r>
            <w:r w:rsidRPr="00A13095">
              <w:rPr>
                <w:rFonts w:ascii="Times New Roman" w:eastAsia="SimSun" w:hAnsi="Times New Roman" w:cs="Times New Roman" w:hint="eastAsia"/>
                <w:color w:val="000000" w:themeColor="text1"/>
                <w:sz w:val="22"/>
                <w:szCs w:val="22"/>
              </w:rPr>
              <w:t>ethod</w:t>
            </w:r>
          </w:p>
        </w:tc>
        <w:tc>
          <w:tcPr>
            <w:tcW w:w="2393" w:type="dxa"/>
            <w:tcBorders>
              <w:top w:val="single" w:sz="4" w:space="0" w:color="auto"/>
              <w:left w:val="single" w:sz="4" w:space="0" w:color="auto"/>
              <w:bottom w:val="single" w:sz="4" w:space="0" w:color="auto"/>
              <w:right w:val="single" w:sz="4" w:space="0" w:color="auto"/>
            </w:tcBorders>
            <w:vAlign w:val="center"/>
            <w:hideMark/>
          </w:tcPr>
          <w:p w14:paraId="685DF898" w14:textId="77777777" w:rsidR="00EB486C" w:rsidRPr="00A13095" w:rsidRDefault="00EB486C" w:rsidP="00EB486C">
            <w:pPr>
              <w:pStyle w:val="Tablehead"/>
              <w:spacing w:before="0" w:after="0"/>
              <w:rPr>
                <w:rFonts w:ascii="Times New Roman" w:eastAsia="SimSun" w:hAnsi="Times New Roman" w:cs="Times New Roman"/>
                <w:color w:val="000000" w:themeColor="text1"/>
                <w:sz w:val="22"/>
                <w:szCs w:val="22"/>
              </w:rPr>
            </w:pPr>
            <w:r w:rsidRPr="00A13095">
              <w:rPr>
                <w:rFonts w:ascii="Times New Roman" w:eastAsia="SimSun" w:hAnsi="Times New Roman" w:cs="Times New Roman" w:hint="eastAsia"/>
                <w:color w:val="000000" w:themeColor="text1"/>
                <w:sz w:val="22"/>
                <w:szCs w:val="22"/>
              </w:rPr>
              <w:t>Reference to M.2410-0 Requirements Document</w:t>
            </w:r>
          </w:p>
        </w:tc>
        <w:tc>
          <w:tcPr>
            <w:tcW w:w="2346" w:type="dxa"/>
            <w:tcBorders>
              <w:top w:val="single" w:sz="4" w:space="0" w:color="auto"/>
              <w:left w:val="single" w:sz="4" w:space="0" w:color="auto"/>
              <w:bottom w:val="single" w:sz="4" w:space="0" w:color="auto"/>
              <w:right w:val="single" w:sz="4" w:space="0" w:color="auto"/>
            </w:tcBorders>
            <w:vAlign w:val="center"/>
          </w:tcPr>
          <w:p w14:paraId="7816D12E" w14:textId="77777777" w:rsidR="00EB486C" w:rsidRPr="00A13095" w:rsidRDefault="00EB486C" w:rsidP="00EB486C">
            <w:pPr>
              <w:pStyle w:val="Tablehead"/>
              <w:spacing w:before="0" w:after="0"/>
              <w:rPr>
                <w:rFonts w:ascii="Times New Roman" w:eastAsia="SimSun" w:hAnsi="Times New Roman" w:cs="Times New Roman"/>
                <w:color w:val="000000" w:themeColor="text1"/>
                <w:sz w:val="22"/>
                <w:szCs w:val="22"/>
              </w:rPr>
            </w:pPr>
            <w:r w:rsidRPr="00A13095">
              <w:rPr>
                <w:rFonts w:ascii="Times New Roman" w:eastAsia="SimSun" w:hAnsi="Times New Roman" w:cs="Times New Roman" w:hint="eastAsia"/>
                <w:color w:val="000000" w:themeColor="text1"/>
                <w:sz w:val="22"/>
                <w:szCs w:val="22"/>
              </w:rPr>
              <w:t>Reference to M.2412-0 Evaluation Document</w:t>
            </w:r>
          </w:p>
        </w:tc>
      </w:tr>
      <w:tr w:rsidR="00EB486C" w:rsidRPr="00761849" w14:paraId="21D8D03B" w14:textId="77777777" w:rsidTr="00EB486C">
        <w:trPr>
          <w:trHeight w:val="20"/>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780E1D71" w14:textId="77777777" w:rsidR="00EB486C" w:rsidRPr="00761849" w:rsidRDefault="00EB486C" w:rsidP="00EB486C">
            <w:pPr>
              <w:pStyle w:val="Tabletext"/>
              <w:spacing w:before="0" w:after="0"/>
              <w:jc w:val="center"/>
              <w:rPr>
                <w:rFonts w:eastAsia="TimesNewRoman"/>
                <w:color w:val="000000" w:themeColor="text1"/>
                <w:sz w:val="22"/>
                <w:szCs w:val="22"/>
                <w:lang w:eastAsia="zh-CN"/>
              </w:rPr>
            </w:pPr>
            <w:bookmarkStart w:id="14" w:name="_Hlk64265553"/>
            <w:r w:rsidRPr="00761849">
              <w:rPr>
                <w:rFonts w:eastAsia="TimesNewRoman"/>
                <w:color w:val="000000" w:themeColor="text1"/>
                <w:sz w:val="22"/>
                <w:szCs w:val="22"/>
                <w:lang w:eastAsia="zh-CN"/>
              </w:rPr>
              <w:t>Reliability (URLLC)</w:t>
            </w:r>
          </w:p>
        </w:tc>
        <w:tc>
          <w:tcPr>
            <w:tcW w:w="1781" w:type="dxa"/>
            <w:tcBorders>
              <w:top w:val="single" w:sz="4" w:space="0" w:color="auto"/>
              <w:left w:val="single" w:sz="4" w:space="0" w:color="auto"/>
              <w:bottom w:val="single" w:sz="4" w:space="0" w:color="auto"/>
              <w:right w:val="single" w:sz="4" w:space="0" w:color="auto"/>
            </w:tcBorders>
            <w:vAlign w:val="center"/>
            <w:hideMark/>
          </w:tcPr>
          <w:p w14:paraId="508C722F" w14:textId="77777777" w:rsidR="00EB486C" w:rsidRPr="00761849" w:rsidRDefault="00EB486C" w:rsidP="00EB486C">
            <w:pPr>
              <w:pStyle w:val="Tabletext"/>
              <w:spacing w:before="0" w:after="0"/>
              <w:jc w:val="center"/>
              <w:rPr>
                <w:rFonts w:eastAsia="TimesNewRoman"/>
                <w:sz w:val="22"/>
                <w:szCs w:val="22"/>
                <w:lang w:eastAsia="zh-CN"/>
              </w:rPr>
            </w:pPr>
            <w:r w:rsidRPr="00761849">
              <w:rPr>
                <w:rFonts w:eastAsia="TimesNewRoman"/>
                <w:sz w:val="22"/>
                <w:szCs w:val="22"/>
                <w:lang w:eastAsia="zh-CN"/>
              </w:rPr>
              <w:t>Simulation</w:t>
            </w:r>
          </w:p>
        </w:tc>
        <w:tc>
          <w:tcPr>
            <w:tcW w:w="2393" w:type="dxa"/>
            <w:tcBorders>
              <w:top w:val="single" w:sz="4" w:space="0" w:color="auto"/>
              <w:left w:val="single" w:sz="4" w:space="0" w:color="auto"/>
              <w:bottom w:val="single" w:sz="4" w:space="0" w:color="auto"/>
              <w:right w:val="single" w:sz="4" w:space="0" w:color="auto"/>
            </w:tcBorders>
            <w:vAlign w:val="center"/>
            <w:hideMark/>
          </w:tcPr>
          <w:p w14:paraId="370551E9" w14:textId="77777777" w:rsidR="00EB486C" w:rsidRPr="00761849" w:rsidRDefault="00EB486C" w:rsidP="00EB486C">
            <w:pPr>
              <w:pStyle w:val="Tabletext"/>
              <w:spacing w:before="0" w:after="0"/>
              <w:jc w:val="center"/>
              <w:rPr>
                <w:sz w:val="22"/>
                <w:szCs w:val="22"/>
                <w:lang w:eastAsia="ko-KR"/>
              </w:rPr>
            </w:pPr>
            <w:r w:rsidRPr="00761849">
              <w:rPr>
                <w:rFonts w:eastAsia="SimSun"/>
                <w:sz w:val="22"/>
                <w:szCs w:val="22"/>
              </w:rPr>
              <w:t>§ 4.10</w:t>
            </w:r>
          </w:p>
        </w:tc>
        <w:tc>
          <w:tcPr>
            <w:tcW w:w="2346" w:type="dxa"/>
            <w:tcBorders>
              <w:top w:val="single" w:sz="4" w:space="0" w:color="auto"/>
              <w:left w:val="single" w:sz="4" w:space="0" w:color="auto"/>
              <w:bottom w:val="single" w:sz="4" w:space="0" w:color="auto"/>
              <w:right w:val="single" w:sz="4" w:space="0" w:color="auto"/>
            </w:tcBorders>
            <w:vAlign w:val="center"/>
          </w:tcPr>
          <w:p w14:paraId="62243381" w14:textId="77777777" w:rsidR="00EB486C" w:rsidRPr="00761849" w:rsidRDefault="00EB486C" w:rsidP="00EB486C">
            <w:pPr>
              <w:pStyle w:val="Tabletext"/>
              <w:spacing w:before="0" w:after="0"/>
              <w:jc w:val="center"/>
              <w:rPr>
                <w:rFonts w:eastAsia="SimSun"/>
                <w:sz w:val="22"/>
                <w:szCs w:val="22"/>
              </w:rPr>
            </w:pPr>
            <w:r w:rsidRPr="00761849">
              <w:rPr>
                <w:rFonts w:eastAsia="SimSun"/>
                <w:sz w:val="22"/>
                <w:szCs w:val="22"/>
              </w:rPr>
              <w:t>§ 7.1.5</w:t>
            </w:r>
          </w:p>
        </w:tc>
      </w:tr>
      <w:tr w:rsidR="00EB486C" w:rsidRPr="00761849" w14:paraId="2A32A145" w14:textId="77777777" w:rsidTr="00EB486C">
        <w:trPr>
          <w:trHeight w:val="20"/>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15B91E49" w14:textId="77777777" w:rsidR="00EB486C" w:rsidRPr="00761849" w:rsidRDefault="00EB486C" w:rsidP="00EB486C">
            <w:pPr>
              <w:pStyle w:val="Tabletext"/>
              <w:spacing w:before="0" w:after="0"/>
              <w:jc w:val="center"/>
              <w:rPr>
                <w:rFonts w:eastAsia="TimesNewRoman"/>
                <w:color w:val="000000" w:themeColor="text1"/>
                <w:sz w:val="22"/>
                <w:szCs w:val="22"/>
                <w:lang w:eastAsia="zh-CN"/>
              </w:rPr>
            </w:pPr>
            <w:r w:rsidRPr="00761849">
              <w:rPr>
                <w:rFonts w:eastAsia="TimesNewRoman"/>
                <w:color w:val="000000" w:themeColor="text1"/>
                <w:sz w:val="22"/>
                <w:szCs w:val="22"/>
                <w:lang w:eastAsia="zh-CN"/>
              </w:rPr>
              <w:t>Connection density (mMTC)</w:t>
            </w:r>
          </w:p>
        </w:tc>
        <w:tc>
          <w:tcPr>
            <w:tcW w:w="1781" w:type="dxa"/>
            <w:tcBorders>
              <w:top w:val="single" w:sz="4" w:space="0" w:color="auto"/>
              <w:left w:val="single" w:sz="4" w:space="0" w:color="auto"/>
              <w:bottom w:val="single" w:sz="4" w:space="0" w:color="auto"/>
              <w:right w:val="single" w:sz="4" w:space="0" w:color="auto"/>
            </w:tcBorders>
            <w:vAlign w:val="center"/>
            <w:hideMark/>
          </w:tcPr>
          <w:p w14:paraId="79CB887E" w14:textId="77777777" w:rsidR="00EB486C" w:rsidRPr="00761849" w:rsidRDefault="00EB486C" w:rsidP="00EB486C">
            <w:pPr>
              <w:pStyle w:val="Tabletext"/>
              <w:spacing w:before="0" w:after="0"/>
              <w:jc w:val="center"/>
              <w:rPr>
                <w:rFonts w:eastAsia="TimesNewRoman"/>
                <w:sz w:val="22"/>
                <w:szCs w:val="22"/>
                <w:lang w:eastAsia="ko-KR"/>
              </w:rPr>
            </w:pPr>
            <w:r w:rsidRPr="00761849">
              <w:rPr>
                <w:sz w:val="22"/>
                <w:szCs w:val="22"/>
                <w:lang w:eastAsia="zh-CN"/>
              </w:rPr>
              <w:t>Simulation</w:t>
            </w:r>
          </w:p>
        </w:tc>
        <w:tc>
          <w:tcPr>
            <w:tcW w:w="2393" w:type="dxa"/>
            <w:tcBorders>
              <w:top w:val="single" w:sz="4" w:space="0" w:color="auto"/>
              <w:left w:val="single" w:sz="4" w:space="0" w:color="auto"/>
              <w:bottom w:val="single" w:sz="4" w:space="0" w:color="auto"/>
              <w:right w:val="single" w:sz="4" w:space="0" w:color="auto"/>
            </w:tcBorders>
            <w:vAlign w:val="center"/>
            <w:hideMark/>
          </w:tcPr>
          <w:p w14:paraId="10404FE6" w14:textId="77777777" w:rsidR="00EB486C" w:rsidRPr="00761849" w:rsidRDefault="00EB486C" w:rsidP="00EB486C">
            <w:pPr>
              <w:pStyle w:val="Tabletext"/>
              <w:spacing w:before="0" w:after="0"/>
              <w:jc w:val="center"/>
              <w:rPr>
                <w:rFonts w:eastAsia="Malgun Gothic"/>
                <w:sz w:val="22"/>
                <w:szCs w:val="22"/>
                <w:lang w:eastAsia="ko-KR"/>
              </w:rPr>
            </w:pPr>
            <w:r w:rsidRPr="00761849">
              <w:rPr>
                <w:rFonts w:eastAsia="SimSun"/>
                <w:sz w:val="22"/>
                <w:szCs w:val="22"/>
              </w:rPr>
              <w:t>§ 4.8</w:t>
            </w:r>
          </w:p>
        </w:tc>
        <w:tc>
          <w:tcPr>
            <w:tcW w:w="2346" w:type="dxa"/>
            <w:tcBorders>
              <w:top w:val="single" w:sz="4" w:space="0" w:color="auto"/>
              <w:left w:val="single" w:sz="4" w:space="0" w:color="auto"/>
              <w:bottom w:val="single" w:sz="4" w:space="0" w:color="auto"/>
              <w:right w:val="single" w:sz="4" w:space="0" w:color="auto"/>
            </w:tcBorders>
            <w:vAlign w:val="center"/>
          </w:tcPr>
          <w:p w14:paraId="0E45E36E" w14:textId="77777777" w:rsidR="00EB486C" w:rsidRPr="00761849" w:rsidRDefault="00EB486C" w:rsidP="00EB486C">
            <w:pPr>
              <w:pStyle w:val="Tabletext"/>
              <w:spacing w:before="0" w:after="0"/>
              <w:jc w:val="center"/>
              <w:rPr>
                <w:rFonts w:eastAsia="SimSun"/>
                <w:sz w:val="22"/>
                <w:szCs w:val="22"/>
              </w:rPr>
            </w:pPr>
            <w:r w:rsidRPr="00761849">
              <w:rPr>
                <w:rFonts w:eastAsia="SimSun"/>
                <w:sz w:val="22"/>
                <w:szCs w:val="22"/>
              </w:rPr>
              <w:t>§ 7.1.3</w:t>
            </w:r>
          </w:p>
        </w:tc>
      </w:tr>
      <w:tr w:rsidR="00EB486C" w:rsidRPr="00761849" w14:paraId="2D0A4D9D" w14:textId="77777777" w:rsidTr="00EB486C">
        <w:trPr>
          <w:trHeight w:val="20"/>
          <w:jc w:val="center"/>
        </w:trPr>
        <w:tc>
          <w:tcPr>
            <w:tcW w:w="3119" w:type="dxa"/>
            <w:tcBorders>
              <w:top w:val="single" w:sz="4" w:space="0" w:color="auto"/>
              <w:left w:val="single" w:sz="4" w:space="0" w:color="auto"/>
              <w:bottom w:val="single" w:sz="4" w:space="0" w:color="auto"/>
              <w:right w:val="single" w:sz="4" w:space="0" w:color="auto"/>
            </w:tcBorders>
            <w:vAlign w:val="center"/>
          </w:tcPr>
          <w:p w14:paraId="73619148" w14:textId="77777777" w:rsidR="00EB486C" w:rsidRPr="00761849" w:rsidRDefault="00EB486C" w:rsidP="00EB486C">
            <w:pPr>
              <w:pStyle w:val="Tabletext"/>
              <w:spacing w:before="0" w:after="0"/>
              <w:jc w:val="center"/>
              <w:rPr>
                <w:rFonts w:eastAsia="TimesNewRoman"/>
                <w:color w:val="000000" w:themeColor="text1"/>
                <w:sz w:val="22"/>
                <w:szCs w:val="22"/>
                <w:lang w:eastAsia="zh-CN"/>
              </w:rPr>
            </w:pPr>
            <w:r>
              <w:rPr>
                <w:rFonts w:eastAsia="TimesNewRoman"/>
                <w:color w:val="000000" w:themeColor="text1"/>
                <w:sz w:val="22"/>
                <w:szCs w:val="22"/>
                <w:lang w:eastAsia="zh-CN"/>
              </w:rPr>
              <w:t>Bandwidth</w:t>
            </w:r>
          </w:p>
        </w:tc>
        <w:tc>
          <w:tcPr>
            <w:tcW w:w="1781" w:type="dxa"/>
            <w:tcBorders>
              <w:top w:val="single" w:sz="4" w:space="0" w:color="auto"/>
              <w:left w:val="single" w:sz="4" w:space="0" w:color="auto"/>
              <w:bottom w:val="single" w:sz="4" w:space="0" w:color="auto"/>
              <w:right w:val="single" w:sz="4" w:space="0" w:color="auto"/>
            </w:tcBorders>
            <w:vAlign w:val="center"/>
          </w:tcPr>
          <w:p w14:paraId="010F605C" w14:textId="77777777" w:rsidR="00EB486C" w:rsidRPr="00761849" w:rsidRDefault="00EB486C" w:rsidP="00EB486C">
            <w:pPr>
              <w:pStyle w:val="Tabletext"/>
              <w:spacing w:before="0" w:after="0"/>
              <w:jc w:val="center"/>
              <w:rPr>
                <w:sz w:val="22"/>
                <w:szCs w:val="22"/>
                <w:lang w:eastAsia="zh-CN"/>
              </w:rPr>
            </w:pPr>
            <w:r>
              <w:rPr>
                <w:sz w:val="22"/>
                <w:szCs w:val="22"/>
                <w:lang w:eastAsia="zh-CN"/>
              </w:rPr>
              <w:t>Inspection</w:t>
            </w:r>
          </w:p>
        </w:tc>
        <w:tc>
          <w:tcPr>
            <w:tcW w:w="2393" w:type="dxa"/>
            <w:tcBorders>
              <w:top w:val="single" w:sz="4" w:space="0" w:color="auto"/>
              <w:left w:val="single" w:sz="4" w:space="0" w:color="auto"/>
              <w:bottom w:val="single" w:sz="4" w:space="0" w:color="auto"/>
              <w:right w:val="single" w:sz="4" w:space="0" w:color="auto"/>
            </w:tcBorders>
            <w:vAlign w:val="center"/>
          </w:tcPr>
          <w:p w14:paraId="45F05DCC" w14:textId="77777777" w:rsidR="00EB486C" w:rsidRPr="00761849" w:rsidRDefault="00EB486C" w:rsidP="00EB486C">
            <w:pPr>
              <w:pStyle w:val="Tabletext"/>
              <w:spacing w:before="0" w:after="0"/>
              <w:jc w:val="center"/>
              <w:rPr>
                <w:rFonts w:eastAsia="SimSun"/>
                <w:sz w:val="22"/>
                <w:szCs w:val="22"/>
              </w:rPr>
            </w:pPr>
            <w:r w:rsidRPr="00761849">
              <w:rPr>
                <w:rFonts w:eastAsia="SimSun"/>
                <w:sz w:val="22"/>
                <w:szCs w:val="22"/>
              </w:rPr>
              <w:t>§ 4.13</w:t>
            </w:r>
          </w:p>
        </w:tc>
        <w:tc>
          <w:tcPr>
            <w:tcW w:w="2346" w:type="dxa"/>
            <w:tcBorders>
              <w:top w:val="single" w:sz="4" w:space="0" w:color="auto"/>
              <w:left w:val="single" w:sz="4" w:space="0" w:color="auto"/>
              <w:bottom w:val="single" w:sz="4" w:space="0" w:color="auto"/>
              <w:right w:val="single" w:sz="4" w:space="0" w:color="auto"/>
            </w:tcBorders>
            <w:vAlign w:val="center"/>
          </w:tcPr>
          <w:p w14:paraId="314B33AD" w14:textId="77777777" w:rsidR="00EB486C" w:rsidRPr="00761849" w:rsidRDefault="00EB486C" w:rsidP="00EB486C">
            <w:pPr>
              <w:pStyle w:val="Tabletext"/>
              <w:spacing w:before="0" w:after="0"/>
              <w:jc w:val="center"/>
              <w:rPr>
                <w:rFonts w:eastAsia="SimSun"/>
                <w:sz w:val="22"/>
                <w:szCs w:val="22"/>
              </w:rPr>
            </w:pPr>
            <w:r w:rsidRPr="00761849">
              <w:rPr>
                <w:rFonts w:eastAsia="SimSun"/>
                <w:sz w:val="22"/>
                <w:szCs w:val="22"/>
              </w:rPr>
              <w:t>§ 7.3.1</w:t>
            </w:r>
          </w:p>
        </w:tc>
      </w:tr>
      <w:bookmarkEnd w:id="14"/>
    </w:tbl>
    <w:p w14:paraId="7F504ABC" w14:textId="77777777" w:rsidR="00EB486C" w:rsidRPr="00214740" w:rsidRDefault="00EB486C" w:rsidP="00EB486C">
      <w:pPr>
        <w:jc w:val="both"/>
      </w:pPr>
    </w:p>
    <w:p w14:paraId="4650122C" w14:textId="77777777" w:rsidR="00EB486C" w:rsidRPr="00214740" w:rsidRDefault="00EB486C" w:rsidP="00EB486C">
      <w:pPr>
        <w:jc w:val="both"/>
      </w:pPr>
      <w:r w:rsidRPr="00A13095">
        <w:t xml:space="preserve">For the </w:t>
      </w:r>
      <w:r w:rsidRPr="00214740">
        <w:t>simulation-based</w:t>
      </w:r>
      <w:r w:rsidRPr="00A13095">
        <w:t xml:space="preserve"> characteristics (Reliability and Connection Density) both UL and DL and Configurations A &amp; B will be investigated. </w:t>
      </w:r>
    </w:p>
    <w:bookmarkEnd w:id="13"/>
    <w:p w14:paraId="08D5EFD7" w14:textId="77777777" w:rsidR="00EB486C" w:rsidRPr="000E20B9" w:rsidRDefault="00EB486C" w:rsidP="00EB486C">
      <w:pPr>
        <w:pStyle w:val="Heading1"/>
      </w:pPr>
      <w:r w:rsidRPr="000E20B9">
        <w:t>II-B</w:t>
      </w:r>
      <w:r>
        <w:tab/>
      </w:r>
      <w:r w:rsidRPr="000E20B9">
        <w:t>Confirmation of utilization of the ITU-R evaluation guidelines in Report ITU-R M.2412</w:t>
      </w:r>
    </w:p>
    <w:p w14:paraId="125EB405" w14:textId="77777777" w:rsidR="00EB486C" w:rsidRPr="000E20B9" w:rsidRDefault="00EB486C" w:rsidP="00EB486C">
      <w:pPr>
        <w:spacing w:before="240" w:after="240"/>
        <w:jc w:val="both"/>
      </w:pPr>
      <w:r w:rsidRPr="000E20B9">
        <w:t>The IEG is cognisant of the ITU-R evaluation guidelines and the evaluation plan is developed under the light of those guidelines.</w:t>
      </w:r>
    </w:p>
    <w:p w14:paraId="562CDE09" w14:textId="77777777" w:rsidR="00EB486C" w:rsidRPr="000E20B9" w:rsidRDefault="00EB486C" w:rsidP="00EB486C">
      <w:pPr>
        <w:pStyle w:val="Heading1"/>
      </w:pPr>
      <w:r w:rsidRPr="000E20B9">
        <w:lastRenderedPageBreak/>
        <w:t>II-C</w:t>
      </w:r>
      <w:r>
        <w:tab/>
      </w:r>
      <w:r w:rsidRPr="000E20B9">
        <w:t>Documentation of any additional evaluation methodologies that are or might be developed by the Independent Evaluation Group to complement the evaluation guidelines</w:t>
      </w:r>
    </w:p>
    <w:p w14:paraId="124EDE48" w14:textId="77777777" w:rsidR="00EB486C" w:rsidRPr="000E20B9" w:rsidRDefault="00EB486C" w:rsidP="00EB486C">
      <w:pPr>
        <w:pStyle w:val="Heading2"/>
        <w:rPr>
          <w:szCs w:val="24"/>
        </w:rPr>
      </w:pPr>
      <w:r w:rsidRPr="000E20B9">
        <w:rPr>
          <w:szCs w:val="24"/>
        </w:rPr>
        <w:t>II-C-1</w:t>
      </w:r>
      <w:r w:rsidRPr="000E20B9">
        <w:rPr>
          <w:szCs w:val="24"/>
        </w:rPr>
        <w:tab/>
        <w:t xml:space="preserve">Performance Evaluation (Scenario: </w:t>
      </w:r>
      <w:r>
        <w:rPr>
          <w:szCs w:val="24"/>
        </w:rPr>
        <w:t xml:space="preserve">DL &amp; UL for </w:t>
      </w:r>
      <w:r w:rsidRPr="000E20B9">
        <w:rPr>
          <w:szCs w:val="24"/>
        </w:rPr>
        <w:t>Urban-macro URLLC)</w:t>
      </w:r>
    </w:p>
    <w:p w14:paraId="76B22FEB" w14:textId="77777777" w:rsidR="00EB486C" w:rsidRPr="000E20B9" w:rsidRDefault="00EB486C" w:rsidP="00EB486C">
      <w:pPr>
        <w:pStyle w:val="Heading3"/>
      </w:pPr>
      <w:r w:rsidRPr="00A13095">
        <w:t>II-C-1A</w:t>
      </w:r>
      <w:r w:rsidRPr="00A13095">
        <w:tab/>
        <w:t>Link Level Parameters for EUHT-PHY layer</w:t>
      </w:r>
    </w:p>
    <w:p w14:paraId="2CE53A51" w14:textId="77777777" w:rsidR="00EB486C" w:rsidRPr="000E20B9" w:rsidRDefault="00EB486C" w:rsidP="00EB486C">
      <w:pPr>
        <w:rPr>
          <w:rFonts w:eastAsia="Arial"/>
        </w:rPr>
      </w:pPr>
      <w:r w:rsidRPr="000E20B9">
        <w:rPr>
          <w:rFonts w:eastAsia="Arial"/>
        </w:rPr>
        <w:t xml:space="preserve">The range of Link level simulation parameters for EUHT-PHY layer are taken from the system specifications provided by </w:t>
      </w:r>
      <w:r w:rsidRPr="000E20B9">
        <w:rPr>
          <w:rFonts w:eastAsia="Arial"/>
          <w:i/>
          <w:iCs/>
        </w:rPr>
        <w:t>NuFront</w:t>
      </w:r>
      <w:r w:rsidRPr="000E20B9">
        <w:rPr>
          <w:rFonts w:eastAsia="Arial"/>
        </w:rPr>
        <w:t xml:space="preserve"> for </w:t>
      </w:r>
      <w:r w:rsidRPr="00AD19AE">
        <w:rPr>
          <w:rFonts w:eastAsia="Arial"/>
        </w:rPr>
        <w:t>EUHT and are summarised as follows. In our current link level simulation design, we are considering</w:t>
      </w:r>
      <w:r>
        <w:rPr>
          <w:rFonts w:eastAsia="Arial"/>
        </w:rPr>
        <w:t xml:space="preserve"> both,</w:t>
      </w:r>
      <w:r w:rsidRPr="00AD19AE">
        <w:rPr>
          <w:rFonts w:eastAsia="Arial"/>
        </w:rPr>
        <w:t xml:space="preserve"> the Downlink and </w:t>
      </w:r>
      <w:r>
        <w:rPr>
          <w:rFonts w:eastAsia="Arial"/>
        </w:rPr>
        <w:t xml:space="preserve">the </w:t>
      </w:r>
      <w:r w:rsidRPr="00AD19AE">
        <w:rPr>
          <w:rFonts w:eastAsia="Arial"/>
        </w:rPr>
        <w:t>Uplink.</w:t>
      </w:r>
    </w:p>
    <w:p w14:paraId="70FAF749" w14:textId="77777777" w:rsidR="00EB486C" w:rsidRDefault="00EB486C" w:rsidP="00EB486C">
      <w:pPr>
        <w:pStyle w:val="TableNo"/>
      </w:pPr>
      <w:r w:rsidRPr="00A13095">
        <w:t>Table 1</w:t>
      </w:r>
    </w:p>
    <w:p w14:paraId="66ED9EC2" w14:textId="77777777" w:rsidR="00EB486C" w:rsidRPr="00F95FD6" w:rsidRDefault="00EB486C" w:rsidP="00EB486C">
      <w:pPr>
        <w:pStyle w:val="Tabletitle"/>
      </w:pPr>
      <w:r w:rsidRPr="00A13095">
        <w:t xml:space="preserve"> Range of simulation parameters for link level EUHT-PHY layer</w:t>
      </w:r>
    </w:p>
    <w:tbl>
      <w:tblPr>
        <w:tblStyle w:val="PlainTable21"/>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10"/>
        <w:gridCol w:w="5245"/>
      </w:tblGrid>
      <w:tr w:rsidR="00EB486C" w:rsidRPr="00F95FD6" w14:paraId="5E6FBEEA" w14:textId="77777777" w:rsidTr="00B14C07">
        <w:trPr>
          <w:trHeight w:val="384"/>
          <w:jc w:val="center"/>
        </w:trPr>
        <w:tc>
          <w:tcPr>
            <w:tcW w:w="2410" w:type="dxa"/>
            <w:hideMark/>
          </w:tcPr>
          <w:p w14:paraId="44F06067" w14:textId="77777777" w:rsidR="00EB486C" w:rsidRPr="00EB486C" w:rsidRDefault="00EB486C" w:rsidP="00EB486C">
            <w:pPr>
              <w:pStyle w:val="Tabletext"/>
              <w:rPr>
                <w:b/>
                <w:bCs/>
              </w:rPr>
            </w:pPr>
            <w:r w:rsidRPr="00EB486C">
              <w:rPr>
                <w:b/>
                <w:bCs/>
              </w:rPr>
              <w:t>Scenario</w:t>
            </w:r>
          </w:p>
        </w:tc>
        <w:tc>
          <w:tcPr>
            <w:tcW w:w="5245" w:type="dxa"/>
            <w:hideMark/>
          </w:tcPr>
          <w:p w14:paraId="54AF26C9" w14:textId="77777777" w:rsidR="00EB486C" w:rsidRPr="00F95FD6" w:rsidRDefault="00EB486C" w:rsidP="00EB486C">
            <w:pPr>
              <w:pStyle w:val="Tabletext"/>
            </w:pPr>
            <w:r w:rsidRPr="00F95FD6">
              <w:t>Dense Urban</w:t>
            </w:r>
          </w:p>
        </w:tc>
      </w:tr>
      <w:tr w:rsidR="00EB486C" w:rsidRPr="00F95FD6" w14:paraId="5B72C87A" w14:textId="77777777" w:rsidTr="00B14C07">
        <w:trPr>
          <w:trHeight w:val="384"/>
          <w:jc w:val="center"/>
        </w:trPr>
        <w:tc>
          <w:tcPr>
            <w:tcW w:w="2410" w:type="dxa"/>
            <w:hideMark/>
          </w:tcPr>
          <w:p w14:paraId="7FFC054C" w14:textId="77777777" w:rsidR="00EB486C" w:rsidRPr="00EB486C" w:rsidRDefault="00EB486C" w:rsidP="00EB486C">
            <w:pPr>
              <w:pStyle w:val="Tabletext"/>
              <w:rPr>
                <w:b/>
                <w:bCs/>
              </w:rPr>
            </w:pPr>
            <w:r w:rsidRPr="00EB486C">
              <w:rPr>
                <w:b/>
                <w:bCs/>
              </w:rPr>
              <w:t>Carrier Frequency</w:t>
            </w:r>
          </w:p>
        </w:tc>
        <w:tc>
          <w:tcPr>
            <w:tcW w:w="5245" w:type="dxa"/>
            <w:hideMark/>
          </w:tcPr>
          <w:p w14:paraId="02644334" w14:textId="77777777" w:rsidR="00EB486C" w:rsidRPr="00A13095" w:rsidRDefault="00EB486C" w:rsidP="00EB486C">
            <w:pPr>
              <w:pStyle w:val="Tabletext"/>
            </w:pPr>
            <w:r w:rsidRPr="00A13095">
              <w:t>4 GHz, 700 MHz (Sub 6 GHz Bands)</w:t>
            </w:r>
          </w:p>
        </w:tc>
      </w:tr>
      <w:tr w:rsidR="00EB486C" w:rsidRPr="00F95FD6" w14:paraId="66C36BDB" w14:textId="77777777" w:rsidTr="00B14C07">
        <w:trPr>
          <w:trHeight w:val="509"/>
          <w:jc w:val="center"/>
        </w:trPr>
        <w:tc>
          <w:tcPr>
            <w:tcW w:w="2410" w:type="dxa"/>
            <w:hideMark/>
          </w:tcPr>
          <w:p w14:paraId="5D81DF11" w14:textId="77777777" w:rsidR="00EB486C" w:rsidRPr="00EB486C" w:rsidRDefault="00EB486C" w:rsidP="00EB486C">
            <w:pPr>
              <w:pStyle w:val="Tabletext"/>
              <w:rPr>
                <w:b/>
                <w:bCs/>
              </w:rPr>
            </w:pPr>
            <w:r w:rsidRPr="00EB486C">
              <w:rPr>
                <w:b/>
                <w:bCs/>
              </w:rPr>
              <w:t>Bandwidth</w:t>
            </w:r>
          </w:p>
        </w:tc>
        <w:tc>
          <w:tcPr>
            <w:tcW w:w="5245" w:type="dxa"/>
            <w:hideMark/>
          </w:tcPr>
          <w:p w14:paraId="5A576B7C" w14:textId="77777777" w:rsidR="00EB486C" w:rsidRPr="00A13095" w:rsidRDefault="00EB486C" w:rsidP="00EB486C">
            <w:pPr>
              <w:pStyle w:val="Tabletext"/>
            </w:pPr>
            <w:r>
              <w:t xml:space="preserve">Configuration A; </w:t>
            </w:r>
            <w:r w:rsidRPr="00A13095">
              <w:t xml:space="preserve">5, 10, 15, 20, 25, 30, 40 </w:t>
            </w:r>
            <w:r>
              <w:t>… 100</w:t>
            </w:r>
            <w:r w:rsidRPr="00A13095">
              <w:t xml:space="preserve"> MHz</w:t>
            </w:r>
            <w:r>
              <w:t>, Configuration B; 40 MHz</w:t>
            </w:r>
          </w:p>
        </w:tc>
      </w:tr>
      <w:tr w:rsidR="00EB486C" w:rsidRPr="00F95FD6" w14:paraId="6A2D6A37" w14:textId="77777777" w:rsidTr="00B14C07">
        <w:trPr>
          <w:trHeight w:val="419"/>
          <w:jc w:val="center"/>
        </w:trPr>
        <w:tc>
          <w:tcPr>
            <w:tcW w:w="2410" w:type="dxa"/>
            <w:hideMark/>
          </w:tcPr>
          <w:p w14:paraId="720D9B67" w14:textId="77777777" w:rsidR="00EB486C" w:rsidRPr="00EB486C" w:rsidRDefault="00EB486C" w:rsidP="00EB486C">
            <w:pPr>
              <w:pStyle w:val="Tabletext"/>
              <w:rPr>
                <w:b/>
                <w:bCs/>
              </w:rPr>
            </w:pPr>
            <w:r w:rsidRPr="00EB486C">
              <w:rPr>
                <w:b/>
                <w:bCs/>
              </w:rPr>
              <w:t>Signalling Waveform</w:t>
            </w:r>
          </w:p>
        </w:tc>
        <w:tc>
          <w:tcPr>
            <w:tcW w:w="5245" w:type="dxa"/>
            <w:hideMark/>
          </w:tcPr>
          <w:p w14:paraId="0F0FBF5F" w14:textId="77777777" w:rsidR="00EB486C" w:rsidRPr="00F95FD6" w:rsidRDefault="00EB486C" w:rsidP="00EB486C">
            <w:pPr>
              <w:pStyle w:val="Tabletext"/>
            </w:pPr>
            <w:r w:rsidRPr="00F95FD6">
              <w:t>CP-OFDM (SU-MIMO)</w:t>
            </w:r>
          </w:p>
        </w:tc>
      </w:tr>
      <w:tr w:rsidR="00EB486C" w:rsidRPr="00F95FD6" w14:paraId="12D5A17A" w14:textId="77777777" w:rsidTr="00B14C07">
        <w:trPr>
          <w:trHeight w:val="413"/>
          <w:jc w:val="center"/>
        </w:trPr>
        <w:tc>
          <w:tcPr>
            <w:tcW w:w="2410" w:type="dxa"/>
            <w:hideMark/>
          </w:tcPr>
          <w:p w14:paraId="6B509D7D" w14:textId="77777777" w:rsidR="00EB486C" w:rsidRPr="00EB486C" w:rsidRDefault="00EB486C" w:rsidP="00EB486C">
            <w:pPr>
              <w:pStyle w:val="Tabletext"/>
              <w:rPr>
                <w:b/>
                <w:bCs/>
              </w:rPr>
            </w:pPr>
            <w:r w:rsidRPr="00EB486C">
              <w:rPr>
                <w:b/>
                <w:bCs/>
              </w:rPr>
              <w:t>Subcarrier Spacing</w:t>
            </w:r>
          </w:p>
        </w:tc>
        <w:tc>
          <w:tcPr>
            <w:tcW w:w="5245" w:type="dxa"/>
            <w:hideMark/>
          </w:tcPr>
          <w:p w14:paraId="0EB6B8A1" w14:textId="77777777" w:rsidR="00EB486C" w:rsidRPr="00F95FD6" w:rsidRDefault="00EB486C" w:rsidP="00EB486C">
            <w:pPr>
              <w:pStyle w:val="Tabletext"/>
            </w:pPr>
            <w:r w:rsidRPr="00F95FD6">
              <w:t>19.53 KHz, 39.0625 KHz &amp; 78.125 KHz</w:t>
            </w:r>
            <w:r>
              <w:t xml:space="preserve"> (Practical)</w:t>
            </w:r>
          </w:p>
        </w:tc>
      </w:tr>
      <w:tr w:rsidR="00EB486C" w:rsidRPr="00F95FD6" w14:paraId="258BB30A" w14:textId="77777777" w:rsidTr="00B14C07">
        <w:trPr>
          <w:trHeight w:val="384"/>
          <w:jc w:val="center"/>
        </w:trPr>
        <w:tc>
          <w:tcPr>
            <w:tcW w:w="2410" w:type="dxa"/>
          </w:tcPr>
          <w:p w14:paraId="28A08682" w14:textId="77777777" w:rsidR="00EB486C" w:rsidRPr="00EB486C" w:rsidRDefault="00EB486C" w:rsidP="00EB486C">
            <w:pPr>
              <w:pStyle w:val="Tabletext"/>
              <w:rPr>
                <w:b/>
                <w:bCs/>
              </w:rPr>
            </w:pPr>
            <w:r w:rsidRPr="00EB486C">
              <w:rPr>
                <w:b/>
                <w:bCs/>
              </w:rPr>
              <w:t>FFT</w:t>
            </w:r>
          </w:p>
        </w:tc>
        <w:tc>
          <w:tcPr>
            <w:tcW w:w="5245" w:type="dxa"/>
          </w:tcPr>
          <w:p w14:paraId="3155041E" w14:textId="77777777" w:rsidR="00EB486C" w:rsidRPr="00F95FD6" w:rsidRDefault="00EB486C" w:rsidP="00EB486C">
            <w:pPr>
              <w:pStyle w:val="Tabletext"/>
            </w:pPr>
            <w:r w:rsidRPr="00A13095">
              <w:t>256, 512, 768, 1024, 1280, 1536, 2048, 2560</w:t>
            </w:r>
          </w:p>
        </w:tc>
      </w:tr>
      <w:tr w:rsidR="00EB486C" w:rsidRPr="000E20B9" w14:paraId="7A636DE4" w14:textId="77777777" w:rsidTr="00B14C07">
        <w:trPr>
          <w:trHeight w:val="384"/>
          <w:jc w:val="center"/>
        </w:trPr>
        <w:tc>
          <w:tcPr>
            <w:tcW w:w="2410" w:type="dxa"/>
            <w:hideMark/>
          </w:tcPr>
          <w:p w14:paraId="7B604CB0" w14:textId="77777777" w:rsidR="00EB486C" w:rsidRPr="00EB486C" w:rsidRDefault="00EB486C" w:rsidP="00EB486C">
            <w:pPr>
              <w:pStyle w:val="Tabletext"/>
              <w:rPr>
                <w:b/>
                <w:bCs/>
              </w:rPr>
            </w:pPr>
            <w:r w:rsidRPr="00EB486C">
              <w:rPr>
                <w:b/>
                <w:bCs/>
              </w:rPr>
              <w:t>Cyclic Prefix</w:t>
            </w:r>
          </w:p>
        </w:tc>
        <w:tc>
          <w:tcPr>
            <w:tcW w:w="5245" w:type="dxa"/>
            <w:hideMark/>
          </w:tcPr>
          <w:p w14:paraId="386AF5C6" w14:textId="77777777" w:rsidR="00EB486C" w:rsidRPr="000E20B9" w:rsidRDefault="00EB486C" w:rsidP="00EB486C">
            <w:pPr>
              <w:pStyle w:val="Tabletext"/>
            </w:pPr>
            <w:r w:rsidRPr="00A13095">
              <w:t>FFT/8 (Short CP) or FFT/4 (Normal CP)</w:t>
            </w:r>
          </w:p>
        </w:tc>
      </w:tr>
      <w:tr w:rsidR="00EB486C" w:rsidRPr="000E20B9" w14:paraId="04D581E0" w14:textId="77777777" w:rsidTr="00B14C07">
        <w:trPr>
          <w:trHeight w:val="384"/>
          <w:jc w:val="center"/>
        </w:trPr>
        <w:tc>
          <w:tcPr>
            <w:tcW w:w="2410" w:type="dxa"/>
            <w:hideMark/>
          </w:tcPr>
          <w:p w14:paraId="537BB02C" w14:textId="77777777" w:rsidR="00EB486C" w:rsidRPr="00EB486C" w:rsidRDefault="00EB486C" w:rsidP="00EB486C">
            <w:pPr>
              <w:pStyle w:val="Tabletext"/>
              <w:rPr>
                <w:b/>
                <w:bCs/>
              </w:rPr>
            </w:pPr>
            <w:r w:rsidRPr="00EB486C">
              <w:rPr>
                <w:b/>
                <w:bCs/>
              </w:rPr>
              <w:t>Guard Band</w:t>
            </w:r>
          </w:p>
        </w:tc>
        <w:tc>
          <w:tcPr>
            <w:tcW w:w="5245" w:type="dxa"/>
            <w:hideMark/>
          </w:tcPr>
          <w:p w14:paraId="4B227B00" w14:textId="77777777" w:rsidR="00EB486C" w:rsidRPr="000E20B9" w:rsidRDefault="00EB486C" w:rsidP="00EB486C">
            <w:pPr>
              <w:pStyle w:val="Tabletext"/>
            </w:pPr>
            <w:r w:rsidRPr="000E20B9">
              <w:t>True</w:t>
            </w:r>
          </w:p>
        </w:tc>
      </w:tr>
      <w:tr w:rsidR="00EB486C" w:rsidRPr="000E20B9" w14:paraId="6BBCBCF1" w14:textId="77777777" w:rsidTr="00B14C07">
        <w:trPr>
          <w:trHeight w:val="426"/>
          <w:jc w:val="center"/>
        </w:trPr>
        <w:tc>
          <w:tcPr>
            <w:tcW w:w="2410" w:type="dxa"/>
            <w:hideMark/>
          </w:tcPr>
          <w:p w14:paraId="0DE41DCF" w14:textId="77777777" w:rsidR="00EB486C" w:rsidRPr="00EB486C" w:rsidRDefault="00EB486C" w:rsidP="00EB486C">
            <w:pPr>
              <w:pStyle w:val="Tabletext"/>
              <w:rPr>
                <w:b/>
                <w:bCs/>
              </w:rPr>
            </w:pPr>
            <w:r w:rsidRPr="00EB486C">
              <w:rPr>
                <w:b/>
                <w:bCs/>
              </w:rPr>
              <w:t>Propagation Channel</w:t>
            </w:r>
          </w:p>
        </w:tc>
        <w:tc>
          <w:tcPr>
            <w:tcW w:w="5245" w:type="dxa"/>
            <w:hideMark/>
          </w:tcPr>
          <w:p w14:paraId="035840DB" w14:textId="77777777" w:rsidR="00EB486C" w:rsidRPr="000E20B9" w:rsidRDefault="00EB486C" w:rsidP="00EB486C">
            <w:pPr>
              <w:pStyle w:val="Tabletext"/>
            </w:pPr>
            <w:r w:rsidRPr="000E20B9">
              <w:t>Tap Delay Line</w:t>
            </w:r>
          </w:p>
        </w:tc>
      </w:tr>
      <w:tr w:rsidR="00EB486C" w:rsidRPr="000E20B9" w14:paraId="590B069E" w14:textId="77777777" w:rsidTr="00B14C07">
        <w:trPr>
          <w:trHeight w:val="384"/>
          <w:jc w:val="center"/>
        </w:trPr>
        <w:tc>
          <w:tcPr>
            <w:tcW w:w="2410" w:type="dxa"/>
            <w:hideMark/>
          </w:tcPr>
          <w:p w14:paraId="42A949E9" w14:textId="77777777" w:rsidR="00EB486C" w:rsidRPr="00EB486C" w:rsidRDefault="00EB486C" w:rsidP="00EB486C">
            <w:pPr>
              <w:pStyle w:val="Tabletext"/>
              <w:rPr>
                <w:b/>
                <w:bCs/>
              </w:rPr>
            </w:pPr>
            <w:r w:rsidRPr="00EB486C">
              <w:rPr>
                <w:b/>
                <w:bCs/>
              </w:rPr>
              <w:t>Mobility</w:t>
            </w:r>
          </w:p>
        </w:tc>
        <w:tc>
          <w:tcPr>
            <w:tcW w:w="5245" w:type="dxa"/>
            <w:hideMark/>
          </w:tcPr>
          <w:p w14:paraId="738539E5" w14:textId="77777777" w:rsidR="00EB486C" w:rsidRPr="000E20B9" w:rsidRDefault="00EB486C" w:rsidP="00EB486C">
            <w:pPr>
              <w:pStyle w:val="Tabletext"/>
            </w:pPr>
            <w:r w:rsidRPr="000E20B9">
              <w:t>True</w:t>
            </w:r>
          </w:p>
        </w:tc>
      </w:tr>
      <w:tr w:rsidR="00EB486C" w:rsidRPr="000E20B9" w14:paraId="181407F7" w14:textId="77777777" w:rsidTr="00B14C07">
        <w:trPr>
          <w:trHeight w:val="654"/>
          <w:jc w:val="center"/>
        </w:trPr>
        <w:tc>
          <w:tcPr>
            <w:tcW w:w="2410" w:type="dxa"/>
            <w:hideMark/>
          </w:tcPr>
          <w:p w14:paraId="1709C221" w14:textId="77777777" w:rsidR="00EB486C" w:rsidRPr="00EB486C" w:rsidRDefault="00EB486C" w:rsidP="00EB486C">
            <w:pPr>
              <w:pStyle w:val="Tabletext"/>
              <w:rPr>
                <w:b/>
                <w:bCs/>
              </w:rPr>
            </w:pPr>
            <w:r w:rsidRPr="00EB486C">
              <w:rPr>
                <w:b/>
                <w:bCs/>
              </w:rPr>
              <w:t>Errors Considered</w:t>
            </w:r>
          </w:p>
        </w:tc>
        <w:tc>
          <w:tcPr>
            <w:tcW w:w="5245" w:type="dxa"/>
            <w:hideMark/>
          </w:tcPr>
          <w:p w14:paraId="6C692096" w14:textId="77777777" w:rsidR="00EB486C" w:rsidRPr="000E20B9" w:rsidRDefault="00EB486C" w:rsidP="00EB486C">
            <w:pPr>
              <w:pStyle w:val="Tabletext"/>
            </w:pPr>
            <w:r>
              <w:t>Block Error Rate (BLER)</w:t>
            </w:r>
          </w:p>
        </w:tc>
      </w:tr>
      <w:tr w:rsidR="00EB486C" w:rsidRPr="000E20B9" w14:paraId="11E2E847" w14:textId="77777777" w:rsidTr="00B14C07">
        <w:trPr>
          <w:trHeight w:val="628"/>
          <w:jc w:val="center"/>
        </w:trPr>
        <w:tc>
          <w:tcPr>
            <w:tcW w:w="2410" w:type="dxa"/>
            <w:hideMark/>
          </w:tcPr>
          <w:p w14:paraId="538250BE" w14:textId="77777777" w:rsidR="00EB486C" w:rsidRPr="00EB486C" w:rsidRDefault="00EB486C" w:rsidP="00EB486C">
            <w:pPr>
              <w:pStyle w:val="Tabletext"/>
              <w:rPr>
                <w:b/>
                <w:bCs/>
              </w:rPr>
            </w:pPr>
            <w:r w:rsidRPr="00EB486C">
              <w:rPr>
                <w:b/>
                <w:bCs/>
              </w:rPr>
              <w:t>Channel Coding</w:t>
            </w:r>
          </w:p>
        </w:tc>
        <w:tc>
          <w:tcPr>
            <w:tcW w:w="5245" w:type="dxa"/>
            <w:hideMark/>
          </w:tcPr>
          <w:p w14:paraId="496063D6" w14:textId="77777777" w:rsidR="00EB486C" w:rsidRPr="00A13095" w:rsidRDefault="00EB486C" w:rsidP="00EB486C">
            <w:pPr>
              <w:pStyle w:val="Tabletext"/>
            </w:pPr>
            <w:r w:rsidRPr="00A13095">
              <w:t>Low Density Parity Check (LDPC)</w:t>
            </w:r>
          </w:p>
        </w:tc>
      </w:tr>
      <w:tr w:rsidR="00EB486C" w:rsidRPr="000E20B9" w14:paraId="2816DFEC" w14:textId="77777777" w:rsidTr="00B14C07">
        <w:trPr>
          <w:trHeight w:val="645"/>
          <w:jc w:val="center"/>
        </w:trPr>
        <w:tc>
          <w:tcPr>
            <w:tcW w:w="2410" w:type="dxa"/>
            <w:hideMark/>
          </w:tcPr>
          <w:p w14:paraId="48F5B5F9" w14:textId="77777777" w:rsidR="00EB486C" w:rsidRPr="00EB486C" w:rsidRDefault="00EB486C" w:rsidP="00EB486C">
            <w:pPr>
              <w:pStyle w:val="Tabletext"/>
              <w:rPr>
                <w:b/>
                <w:bCs/>
              </w:rPr>
            </w:pPr>
            <w:r w:rsidRPr="00EB486C">
              <w:rPr>
                <w:b/>
                <w:bCs/>
              </w:rPr>
              <w:t>Modulation</w:t>
            </w:r>
          </w:p>
        </w:tc>
        <w:tc>
          <w:tcPr>
            <w:tcW w:w="5245" w:type="dxa"/>
            <w:hideMark/>
          </w:tcPr>
          <w:p w14:paraId="1552E48E" w14:textId="77777777" w:rsidR="00EB486C" w:rsidRPr="00A13095" w:rsidRDefault="00EB486C" w:rsidP="00EB486C">
            <w:pPr>
              <w:pStyle w:val="Tabletext"/>
            </w:pPr>
            <w:r w:rsidRPr="00A13095">
              <w:t>BPSK, QPSK, 16-QAM, 64-QAM, 256-QAM &amp; 1024-QAM</w:t>
            </w:r>
          </w:p>
        </w:tc>
      </w:tr>
      <w:tr w:rsidR="00EB486C" w:rsidRPr="000E20B9" w14:paraId="40A64489" w14:textId="77777777" w:rsidTr="00B14C07">
        <w:trPr>
          <w:trHeight w:val="384"/>
          <w:jc w:val="center"/>
        </w:trPr>
        <w:tc>
          <w:tcPr>
            <w:tcW w:w="2410" w:type="dxa"/>
            <w:hideMark/>
          </w:tcPr>
          <w:p w14:paraId="10992D64" w14:textId="77777777" w:rsidR="00EB486C" w:rsidRPr="00EB486C" w:rsidRDefault="00EB486C" w:rsidP="00EB486C">
            <w:pPr>
              <w:pStyle w:val="Tabletext"/>
              <w:rPr>
                <w:b/>
                <w:bCs/>
              </w:rPr>
            </w:pPr>
            <w:r w:rsidRPr="00EB486C">
              <w:rPr>
                <w:b/>
                <w:bCs/>
              </w:rPr>
              <w:t>Channel Estimation</w:t>
            </w:r>
          </w:p>
        </w:tc>
        <w:tc>
          <w:tcPr>
            <w:tcW w:w="5245" w:type="dxa"/>
            <w:hideMark/>
          </w:tcPr>
          <w:p w14:paraId="5F6F01D5" w14:textId="77777777" w:rsidR="00EB486C" w:rsidRPr="00A13095" w:rsidRDefault="00EB486C" w:rsidP="00EB486C">
            <w:pPr>
              <w:pStyle w:val="Tabletext"/>
            </w:pPr>
            <w:r w:rsidRPr="00A13095">
              <w:t>Imperfect, Non-Ideal</w:t>
            </w:r>
          </w:p>
        </w:tc>
      </w:tr>
    </w:tbl>
    <w:p w14:paraId="45A014C9" w14:textId="77777777" w:rsidR="00EB486C" w:rsidRPr="0050332F" w:rsidRDefault="00EB486C" w:rsidP="00B14C07">
      <w:pPr>
        <w:pStyle w:val="Tablefin"/>
      </w:pPr>
    </w:p>
    <w:p w14:paraId="294A34C5" w14:textId="77777777" w:rsidR="00B14C07" w:rsidRDefault="00EB486C" w:rsidP="00B14C07">
      <w:pPr>
        <w:pStyle w:val="TableNo"/>
        <w:spacing w:before="480"/>
      </w:pPr>
      <w:r w:rsidRPr="00A13095">
        <w:t>Table 2</w:t>
      </w:r>
    </w:p>
    <w:p w14:paraId="1ED72390" w14:textId="77777777" w:rsidR="00EB486C" w:rsidRPr="00A13095" w:rsidRDefault="00EB486C" w:rsidP="00B14C07">
      <w:pPr>
        <w:pStyle w:val="Tabletitle"/>
      </w:pPr>
      <w:r w:rsidRPr="00A13095">
        <w:t xml:space="preserve"> Different configurations for Antennae support in EUHT-5G</w:t>
      </w:r>
    </w:p>
    <w:tbl>
      <w:tblPr>
        <w:tblStyle w:val="PlainTable21"/>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97"/>
        <w:gridCol w:w="2135"/>
        <w:gridCol w:w="1744"/>
        <w:gridCol w:w="1595"/>
      </w:tblGrid>
      <w:tr w:rsidR="00EB486C" w:rsidRPr="00C81CC9" w14:paraId="0710A90D" w14:textId="77777777" w:rsidTr="00B14C07">
        <w:trPr>
          <w:trHeight w:val="409"/>
          <w:jc w:val="center"/>
        </w:trPr>
        <w:tc>
          <w:tcPr>
            <w:tcW w:w="2067" w:type="dxa"/>
          </w:tcPr>
          <w:p w14:paraId="3E7C156B" w14:textId="77777777" w:rsidR="00EB486C" w:rsidRPr="00B14C07" w:rsidRDefault="00EB486C" w:rsidP="00B14C07">
            <w:pPr>
              <w:pStyle w:val="Tablehead"/>
            </w:pPr>
            <w:r w:rsidRPr="00B14C07">
              <w:t>Configurations</w:t>
            </w:r>
          </w:p>
        </w:tc>
        <w:tc>
          <w:tcPr>
            <w:tcW w:w="2640" w:type="dxa"/>
          </w:tcPr>
          <w:p w14:paraId="394E7600" w14:textId="77777777" w:rsidR="00EB486C" w:rsidRPr="00A65404" w:rsidRDefault="00EB486C" w:rsidP="00B14C07">
            <w:pPr>
              <w:pStyle w:val="Tablehead"/>
            </w:pPr>
          </w:p>
        </w:tc>
        <w:tc>
          <w:tcPr>
            <w:tcW w:w="2046" w:type="dxa"/>
          </w:tcPr>
          <w:p w14:paraId="1211A675" w14:textId="77777777" w:rsidR="00EB486C" w:rsidRPr="00A65404" w:rsidRDefault="00EB486C" w:rsidP="00B14C07">
            <w:pPr>
              <w:pStyle w:val="Tablehead"/>
            </w:pPr>
            <w:r w:rsidRPr="00A65404">
              <w:t>Downlink</w:t>
            </w:r>
          </w:p>
        </w:tc>
        <w:tc>
          <w:tcPr>
            <w:tcW w:w="1938" w:type="dxa"/>
          </w:tcPr>
          <w:p w14:paraId="4A2BA2C8" w14:textId="77777777" w:rsidR="00EB486C" w:rsidRPr="00A65404" w:rsidRDefault="00EB486C" w:rsidP="00B14C07">
            <w:pPr>
              <w:pStyle w:val="Tablehead"/>
            </w:pPr>
            <w:r w:rsidRPr="00A65404">
              <w:t>Uplink</w:t>
            </w:r>
          </w:p>
        </w:tc>
      </w:tr>
      <w:tr w:rsidR="00EB486C" w:rsidRPr="00C81CC9" w14:paraId="216AE4E3" w14:textId="77777777" w:rsidTr="00B14C07">
        <w:trPr>
          <w:trHeight w:val="344"/>
          <w:jc w:val="center"/>
        </w:trPr>
        <w:tc>
          <w:tcPr>
            <w:tcW w:w="2067" w:type="dxa"/>
            <w:vMerge w:val="restart"/>
          </w:tcPr>
          <w:p w14:paraId="25321BC2" w14:textId="77777777" w:rsidR="00EB486C" w:rsidRPr="00B14C07" w:rsidRDefault="00EB486C" w:rsidP="00B14C07">
            <w:pPr>
              <w:pStyle w:val="Tabletext"/>
              <w:rPr>
                <w:b/>
                <w:bCs/>
              </w:rPr>
            </w:pPr>
            <w:r w:rsidRPr="00B14C07">
              <w:rPr>
                <w:b/>
                <w:bCs/>
              </w:rPr>
              <w:t>Configuration A</w:t>
            </w:r>
          </w:p>
        </w:tc>
        <w:tc>
          <w:tcPr>
            <w:tcW w:w="2640" w:type="dxa"/>
          </w:tcPr>
          <w:p w14:paraId="0E5FB89F" w14:textId="77777777" w:rsidR="00EB486C" w:rsidRPr="00A65404" w:rsidRDefault="00EB486C" w:rsidP="00B14C07">
            <w:pPr>
              <w:pStyle w:val="Tabletext"/>
            </w:pPr>
            <w:r w:rsidRPr="00A65404">
              <w:t xml:space="preserve">Transmit Antennas </w:t>
            </w:r>
          </w:p>
        </w:tc>
        <w:tc>
          <w:tcPr>
            <w:tcW w:w="2046" w:type="dxa"/>
          </w:tcPr>
          <w:p w14:paraId="093A68C2" w14:textId="77777777" w:rsidR="00EB486C" w:rsidRPr="00A65404" w:rsidRDefault="00EB486C" w:rsidP="00B14C07">
            <w:pPr>
              <w:pStyle w:val="Tabletext"/>
              <w:jc w:val="center"/>
            </w:pPr>
            <w:r w:rsidRPr="00A65404">
              <w:t>16</w:t>
            </w:r>
          </w:p>
        </w:tc>
        <w:tc>
          <w:tcPr>
            <w:tcW w:w="1938" w:type="dxa"/>
          </w:tcPr>
          <w:p w14:paraId="20D18869" w14:textId="77777777" w:rsidR="00EB486C" w:rsidRPr="00A65404" w:rsidRDefault="00EB486C" w:rsidP="00B14C07">
            <w:pPr>
              <w:pStyle w:val="Tabletext"/>
              <w:jc w:val="center"/>
            </w:pPr>
            <w:r w:rsidRPr="00A65404">
              <w:t>8</w:t>
            </w:r>
          </w:p>
        </w:tc>
      </w:tr>
      <w:tr w:rsidR="00EB486C" w14:paraId="3F6499A5" w14:textId="77777777" w:rsidTr="00B14C07">
        <w:trPr>
          <w:trHeight w:val="344"/>
          <w:jc w:val="center"/>
        </w:trPr>
        <w:tc>
          <w:tcPr>
            <w:tcW w:w="2067" w:type="dxa"/>
            <w:vMerge/>
          </w:tcPr>
          <w:p w14:paraId="1CDB898C" w14:textId="77777777" w:rsidR="00EB486C" w:rsidRPr="00B14C07" w:rsidRDefault="00EB486C" w:rsidP="00B14C07">
            <w:pPr>
              <w:pStyle w:val="Tabletext"/>
              <w:rPr>
                <w:b/>
                <w:bCs/>
              </w:rPr>
            </w:pPr>
          </w:p>
        </w:tc>
        <w:tc>
          <w:tcPr>
            <w:tcW w:w="2640" w:type="dxa"/>
          </w:tcPr>
          <w:p w14:paraId="2D38725D" w14:textId="77777777" w:rsidR="00EB486C" w:rsidRPr="00A65404" w:rsidRDefault="00EB486C" w:rsidP="00B14C07">
            <w:pPr>
              <w:pStyle w:val="Tabletext"/>
            </w:pPr>
            <w:r w:rsidRPr="00A65404">
              <w:t xml:space="preserve">Receiver Antennas </w:t>
            </w:r>
          </w:p>
        </w:tc>
        <w:tc>
          <w:tcPr>
            <w:tcW w:w="2046" w:type="dxa"/>
          </w:tcPr>
          <w:p w14:paraId="69881D98" w14:textId="77777777" w:rsidR="00EB486C" w:rsidRPr="00A65404" w:rsidRDefault="00EB486C" w:rsidP="00B14C07">
            <w:pPr>
              <w:pStyle w:val="Tabletext"/>
              <w:jc w:val="center"/>
            </w:pPr>
            <w:r w:rsidRPr="00A65404">
              <w:t>8</w:t>
            </w:r>
          </w:p>
        </w:tc>
        <w:tc>
          <w:tcPr>
            <w:tcW w:w="1938" w:type="dxa"/>
          </w:tcPr>
          <w:p w14:paraId="25E438D2" w14:textId="77777777" w:rsidR="00EB486C" w:rsidRPr="00A65404" w:rsidRDefault="00EB486C" w:rsidP="00B14C07">
            <w:pPr>
              <w:pStyle w:val="Tabletext"/>
              <w:jc w:val="center"/>
            </w:pPr>
            <w:r w:rsidRPr="00A65404">
              <w:t>2, 4, 8, 16</w:t>
            </w:r>
          </w:p>
        </w:tc>
      </w:tr>
      <w:tr w:rsidR="00EB486C" w14:paraId="460A3223" w14:textId="77777777" w:rsidTr="00B14C07">
        <w:trPr>
          <w:trHeight w:val="344"/>
          <w:jc w:val="center"/>
        </w:trPr>
        <w:tc>
          <w:tcPr>
            <w:tcW w:w="2067" w:type="dxa"/>
            <w:vMerge w:val="restart"/>
          </w:tcPr>
          <w:p w14:paraId="1167221D" w14:textId="77777777" w:rsidR="00EB486C" w:rsidRPr="00B14C07" w:rsidRDefault="00EB486C" w:rsidP="00B14C07">
            <w:pPr>
              <w:pStyle w:val="Tabletext"/>
              <w:rPr>
                <w:b/>
                <w:bCs/>
              </w:rPr>
            </w:pPr>
            <w:r w:rsidRPr="00B14C07">
              <w:rPr>
                <w:b/>
                <w:bCs/>
              </w:rPr>
              <w:t>Configuration B</w:t>
            </w:r>
          </w:p>
        </w:tc>
        <w:tc>
          <w:tcPr>
            <w:tcW w:w="2640" w:type="dxa"/>
          </w:tcPr>
          <w:p w14:paraId="3C947DD7" w14:textId="77777777" w:rsidR="00EB486C" w:rsidRPr="00A65404" w:rsidRDefault="00EB486C" w:rsidP="00B14C07">
            <w:pPr>
              <w:pStyle w:val="Tabletext"/>
            </w:pPr>
            <w:r w:rsidRPr="00A65404">
              <w:t>Transmit Antennas</w:t>
            </w:r>
          </w:p>
        </w:tc>
        <w:tc>
          <w:tcPr>
            <w:tcW w:w="2046" w:type="dxa"/>
          </w:tcPr>
          <w:p w14:paraId="27AC69A3" w14:textId="77777777" w:rsidR="00EB486C" w:rsidRPr="00A65404" w:rsidRDefault="00EB486C" w:rsidP="00B14C07">
            <w:pPr>
              <w:pStyle w:val="Tabletext"/>
              <w:jc w:val="center"/>
            </w:pPr>
            <w:r w:rsidRPr="00A65404">
              <w:t>16</w:t>
            </w:r>
          </w:p>
        </w:tc>
        <w:tc>
          <w:tcPr>
            <w:tcW w:w="1938" w:type="dxa"/>
          </w:tcPr>
          <w:p w14:paraId="1C5D6576" w14:textId="77777777" w:rsidR="00EB486C" w:rsidRPr="00A65404" w:rsidRDefault="00EB486C" w:rsidP="00B14C07">
            <w:pPr>
              <w:pStyle w:val="Tabletext"/>
              <w:jc w:val="center"/>
            </w:pPr>
            <w:r w:rsidRPr="00A65404">
              <w:t>4</w:t>
            </w:r>
          </w:p>
        </w:tc>
      </w:tr>
      <w:tr w:rsidR="00EB486C" w14:paraId="54E4C7F7" w14:textId="77777777" w:rsidTr="00B14C07">
        <w:trPr>
          <w:trHeight w:val="344"/>
          <w:jc w:val="center"/>
        </w:trPr>
        <w:tc>
          <w:tcPr>
            <w:tcW w:w="2067" w:type="dxa"/>
            <w:vMerge/>
          </w:tcPr>
          <w:p w14:paraId="1032537E" w14:textId="77777777" w:rsidR="00EB486C" w:rsidRPr="00A65404" w:rsidRDefault="00EB486C" w:rsidP="00B14C07">
            <w:pPr>
              <w:pStyle w:val="Tabletext"/>
            </w:pPr>
          </w:p>
        </w:tc>
        <w:tc>
          <w:tcPr>
            <w:tcW w:w="2640" w:type="dxa"/>
          </w:tcPr>
          <w:p w14:paraId="75B9B607" w14:textId="77777777" w:rsidR="00EB486C" w:rsidRPr="00A65404" w:rsidRDefault="00EB486C" w:rsidP="00B14C07">
            <w:pPr>
              <w:pStyle w:val="Tabletext"/>
            </w:pPr>
            <w:r w:rsidRPr="00A65404">
              <w:t xml:space="preserve">Receiver Antennas </w:t>
            </w:r>
          </w:p>
        </w:tc>
        <w:tc>
          <w:tcPr>
            <w:tcW w:w="2046" w:type="dxa"/>
          </w:tcPr>
          <w:p w14:paraId="70891FA7" w14:textId="77777777" w:rsidR="00EB486C" w:rsidRPr="00A65404" w:rsidRDefault="00EB486C" w:rsidP="00B14C07">
            <w:pPr>
              <w:pStyle w:val="Tabletext"/>
              <w:jc w:val="center"/>
            </w:pPr>
            <w:r w:rsidRPr="00A65404">
              <w:t>4</w:t>
            </w:r>
          </w:p>
        </w:tc>
        <w:tc>
          <w:tcPr>
            <w:tcW w:w="1938" w:type="dxa"/>
          </w:tcPr>
          <w:p w14:paraId="57904646" w14:textId="77777777" w:rsidR="00EB486C" w:rsidRPr="00A65404" w:rsidRDefault="00EB486C" w:rsidP="00B14C07">
            <w:pPr>
              <w:pStyle w:val="Tabletext"/>
              <w:jc w:val="center"/>
            </w:pPr>
            <w:r w:rsidRPr="00A65404">
              <w:t>2, 4, 8, 16</w:t>
            </w:r>
          </w:p>
        </w:tc>
      </w:tr>
    </w:tbl>
    <w:p w14:paraId="67D83515" w14:textId="77777777" w:rsidR="00EB486C" w:rsidRPr="000E20B9" w:rsidRDefault="00EB486C" w:rsidP="00B14C07">
      <w:pPr>
        <w:pStyle w:val="Heading3"/>
      </w:pPr>
      <w:r w:rsidRPr="000E20B9">
        <w:lastRenderedPageBreak/>
        <w:t>II-C-1B</w:t>
      </w:r>
      <w:r w:rsidRPr="000E20B9">
        <w:tab/>
      </w:r>
      <w:r w:rsidRPr="00A13095">
        <w:t>Description of simulation parameters</w:t>
      </w:r>
    </w:p>
    <w:p w14:paraId="6C79451C" w14:textId="77777777" w:rsidR="00EB486C" w:rsidRPr="000E20B9" w:rsidRDefault="00EB486C" w:rsidP="00B14C07">
      <w:pPr>
        <w:rPr>
          <w:szCs w:val="24"/>
        </w:rPr>
      </w:pPr>
      <w:r w:rsidRPr="000E20B9">
        <w:rPr>
          <w:rFonts w:eastAsia="Arial"/>
        </w:rPr>
        <w:t xml:space="preserve">According to Nufront’s system specifications, different bandwidths are associated with different FFT sizes for example, for a bandwidth of 20 MHz an FFT size of 1024 should be used. Cyclic prefix (CP) can be used in two different forms i.e., short and normal form. For an FFT size of 256, </w:t>
      </w:r>
      <w:r w:rsidRPr="00B14C07">
        <w:rPr>
          <w:rFonts w:eastAsia="Arial"/>
          <w:spacing w:val="-2"/>
        </w:rPr>
        <w:t xml:space="preserve">the CP size will be 32 and 64 for short and normal form respectively. Sub-carrier spacing </w:t>
      </w:r>
      <w:r w:rsidRPr="00B14C07">
        <w:rPr>
          <w:rFonts w:eastAsia="Arial"/>
          <w:b/>
          <w:spacing w:val="-2"/>
        </w:rPr>
        <w:t>19.53 KHz,</w:t>
      </w:r>
      <w:r w:rsidRPr="000E20B9">
        <w:rPr>
          <w:rFonts w:eastAsia="Arial"/>
          <w:b/>
        </w:rPr>
        <w:t xml:space="preserve"> 39.0625 KHz </w:t>
      </w:r>
      <w:r w:rsidRPr="000E20B9">
        <w:rPr>
          <w:rFonts w:eastAsia="Arial"/>
        </w:rPr>
        <w:t>are optional for actual product</w:t>
      </w:r>
      <w:r>
        <w:rPr>
          <w:rFonts w:eastAsia="Arial"/>
        </w:rPr>
        <w:t>.</w:t>
      </w:r>
    </w:p>
    <w:p w14:paraId="035D4540" w14:textId="77777777" w:rsidR="00EB486C" w:rsidRDefault="00EB486C" w:rsidP="00B14C07">
      <w:pPr>
        <w:rPr>
          <w:rFonts w:eastAsia="Arial"/>
        </w:rPr>
      </w:pPr>
      <w:r w:rsidRPr="000E20B9">
        <w:rPr>
          <w:rFonts w:eastAsia="Arial"/>
        </w:rPr>
        <w:t>There are two types of channel coding techniques that are specified in EUHT specifications, these include convolutional channel coding and low-density parity check (LDPC) channel coding. There is a vast range of different code rates that are specified, and we aim to consider them in our simulation design.</w:t>
      </w:r>
    </w:p>
    <w:p w14:paraId="2C366851" w14:textId="77777777" w:rsidR="00EB486C" w:rsidRPr="000E20B9" w:rsidRDefault="00EB486C" w:rsidP="00B14C07">
      <w:pPr>
        <w:pStyle w:val="Heading3"/>
      </w:pPr>
      <w:r w:rsidRPr="000E20B9">
        <w:t>II-C-1C</w:t>
      </w:r>
      <w:r w:rsidRPr="000E20B9">
        <w:tab/>
      </w:r>
      <w:r w:rsidRPr="00A13095">
        <w:t>Channel Modelling</w:t>
      </w:r>
    </w:p>
    <w:p w14:paraId="3E4CAA84" w14:textId="77777777" w:rsidR="00EB486C" w:rsidRDefault="00EB486C" w:rsidP="00B14C07">
      <w:r>
        <w:t>The applicable channel model is based on the Channel Model Configuration A (UMa_A) and Configuration B (UMa_B) [</w:t>
      </w:r>
      <w:r w:rsidRPr="00F8378E">
        <w:t>5D/736</w:t>
      </w:r>
      <w:r>
        <w:t>], respectively, for the test environment Urban Macro-URLLC. The configuration parameters will be taken from the Annex 1 of R</w:t>
      </w:r>
      <w:r w:rsidR="00B14C07">
        <w:t xml:space="preserve">eport ITU-R </w:t>
      </w:r>
      <w:r>
        <w:t>M.2412</w:t>
      </w:r>
      <w:r w:rsidR="00B14C07">
        <w:t xml:space="preserve"> (</w:t>
      </w:r>
      <w:r>
        <w:t>2017</w:t>
      </w:r>
      <w:r w:rsidR="00B14C07">
        <w:t>)</w:t>
      </w:r>
      <w:r>
        <w:t>. As</w:t>
      </w:r>
      <w:r w:rsidR="00B14C07">
        <w:t> </w:t>
      </w:r>
      <w:r>
        <w:t>some parameters are defined in the terms of ranges, our aim is to model evaluations in a manner that a number of values in the range are considered as the technical performance requirement might not depend on the highest/lowest value 1.</w:t>
      </w:r>
    </w:p>
    <w:p w14:paraId="1E36618C" w14:textId="77777777" w:rsidR="00EB486C" w:rsidRDefault="00EB486C" w:rsidP="00B14C07">
      <w:r>
        <w:t>The simulation model will consider the 4</w:t>
      </w:r>
      <w:r w:rsidR="00B14C07">
        <w:t xml:space="preserve"> </w:t>
      </w:r>
      <w:r>
        <w:t>GHz and 700 MHz carrier frequency for evaluation of Config. A and Config. B, respectively. An important aspect that impacts the evaluation is the service profile, which in our case will be the ‘full buffer best effort’. The simulation bandwidth can be up to 100 MHz for 4</w:t>
      </w:r>
      <w:r w:rsidR="00DC5042">
        <w:t xml:space="preserve"> </w:t>
      </w:r>
      <w:r>
        <w:t xml:space="preserve">GHz of carrier frequency and 40 MHz for 700 MHz carrier frequency, according to the evaluation criteria. Based on the parameters provided for EUHT-5G, a subcarrier spacing of 78.125 kHz is considered. The evaluation will be based on two channel conditions: non-line-of sight (NLoS) and line-of-sight (LoS). Making a distinction between the two cases is important as the tapped delay line (TDL) model for both cases is different. The previously submitted self-evaluation provided by Nufront considers NLoS scenario for URLLC, hence our simulation model will consider the same. The fading distribution for the TDL is Rayleigh, with the tap delays and normalised power provided in </w:t>
      </w:r>
      <w:r w:rsidR="00B14C07">
        <w:t xml:space="preserve">Table </w:t>
      </w:r>
      <w:r>
        <w:t xml:space="preserve">A1-41 [3]. The delay spread and angular spread will be taken from the Table A4-9 (UMa) in Annex 1 [3]. The path loss and shadow fading model are provided in </w:t>
      </w:r>
      <w:r w:rsidR="00B14C07">
        <w:t xml:space="preserve">Table </w:t>
      </w:r>
      <w:r>
        <w:t>A1-3 [3] for both LoS and NLoS scenarios. Finally, the baseline for the channel coefficient generation procedure will be the figure A1-2 [3] ‘Channel coefficient generation main procedure’, starting from assigning the general parameters, then moving towards small scale parameters, which results in channel coefficient generation.</w:t>
      </w:r>
    </w:p>
    <w:p w14:paraId="2748F84D" w14:textId="77777777" w:rsidR="00B14C07" w:rsidRDefault="00B14C07" w:rsidP="00DC5042">
      <w:pPr>
        <w:pStyle w:val="FigureNo"/>
        <w:spacing w:before="360"/>
      </w:pPr>
      <w:r>
        <w:t>Figure 1</w:t>
      </w:r>
    </w:p>
    <w:p w14:paraId="356A5D8B" w14:textId="77777777" w:rsidR="00B14C07" w:rsidRDefault="00B14C07" w:rsidP="00B14C07">
      <w:pPr>
        <w:pStyle w:val="Figuretitle"/>
      </w:pPr>
      <w:r>
        <w:t>Channel coefficient generation procedure</w:t>
      </w:r>
    </w:p>
    <w:p w14:paraId="4C93607B" w14:textId="77777777" w:rsidR="00EB486C" w:rsidRDefault="00EB486C" w:rsidP="00B14C07">
      <w:pPr>
        <w:pStyle w:val="Figure"/>
        <w:rPr>
          <w:szCs w:val="24"/>
        </w:rPr>
      </w:pPr>
      <w:r>
        <w:rPr>
          <w:lang w:val="en-US"/>
        </w:rPr>
        <w:drawing>
          <wp:inline distT="0" distB="0" distL="0" distR="0" wp14:anchorId="4E4F4DE0" wp14:editId="536B7A51">
            <wp:extent cx="5131469" cy="1985211"/>
            <wp:effectExtent l="0" t="0" r="0" b="0"/>
            <wp:docPr id="26" name="image4.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Diagram&#10;&#10;Description automatically generated"/>
                    <pic:cNvPicPr preferRelativeResize="0"/>
                  </pic:nvPicPr>
                  <pic:blipFill>
                    <a:blip r:embed="rId23"/>
                    <a:srcRect/>
                    <a:stretch>
                      <a:fillRect/>
                    </a:stretch>
                  </pic:blipFill>
                  <pic:spPr>
                    <a:xfrm>
                      <a:off x="0" y="0"/>
                      <a:ext cx="5166616" cy="1998808"/>
                    </a:xfrm>
                    <a:prstGeom prst="rect">
                      <a:avLst/>
                    </a:prstGeom>
                    <a:ln/>
                  </pic:spPr>
                </pic:pic>
              </a:graphicData>
            </a:graphic>
          </wp:inline>
        </w:drawing>
      </w:r>
    </w:p>
    <w:p w14:paraId="4CE9375C" w14:textId="77777777" w:rsidR="00EB486C" w:rsidRPr="000E20B9" w:rsidRDefault="00EB486C" w:rsidP="00EB486C">
      <w:pPr>
        <w:pStyle w:val="Heading2"/>
        <w:rPr>
          <w:szCs w:val="24"/>
        </w:rPr>
      </w:pPr>
      <w:r w:rsidRPr="000E20B9">
        <w:rPr>
          <w:szCs w:val="24"/>
        </w:rPr>
        <w:lastRenderedPageBreak/>
        <w:t>II-C-2</w:t>
      </w:r>
      <w:r w:rsidRPr="000E20B9">
        <w:rPr>
          <w:szCs w:val="24"/>
        </w:rPr>
        <w:tab/>
        <w:t>Implementation Plan</w:t>
      </w:r>
    </w:p>
    <w:p w14:paraId="29FD94BF" w14:textId="77777777" w:rsidR="00EB486C" w:rsidRPr="004D406C" w:rsidRDefault="00EB486C" w:rsidP="00EB486C">
      <w:r w:rsidRPr="0050332F">
        <w:tab/>
      </w:r>
      <w:r w:rsidRPr="004D406C">
        <w:t>A stepwise implementation plan is provided as follows.</w:t>
      </w:r>
    </w:p>
    <w:p w14:paraId="00403271" w14:textId="77777777" w:rsidR="00EB486C" w:rsidRPr="000E20B9" w:rsidRDefault="00EB486C" w:rsidP="00DC5042">
      <w:pPr>
        <w:pStyle w:val="Heading3"/>
      </w:pPr>
      <w:r w:rsidRPr="000E20B9">
        <w:t>II-C-2A</w:t>
      </w:r>
      <w:r w:rsidRPr="000E20B9">
        <w:tab/>
      </w:r>
      <w:r w:rsidRPr="001726A7">
        <w:t>Link Level Simulations</w:t>
      </w:r>
    </w:p>
    <w:p w14:paraId="39DBBE5E" w14:textId="77777777" w:rsidR="00EB486C" w:rsidRDefault="00EB486C" w:rsidP="00DC5042">
      <w:pPr>
        <w:rPr>
          <w:rFonts w:eastAsia="Arial"/>
        </w:rPr>
      </w:pPr>
      <w:r>
        <w:rPr>
          <w:rFonts w:eastAsia="Arial"/>
        </w:rPr>
        <w:t>The simulation design for evaluation of Reliability for EUHT-5G consists of two major steps including link level simulations, followed by system level simulations. Figure 2 explains the two steps that will be followed for the evaluation of EUHT-5G.</w:t>
      </w:r>
    </w:p>
    <w:p w14:paraId="3E22E129" w14:textId="77777777" w:rsidR="00DC5042" w:rsidRDefault="00DC5042" w:rsidP="00DC5042">
      <w:pPr>
        <w:pStyle w:val="FigureNo"/>
      </w:pPr>
      <w:bookmarkStart w:id="15" w:name="_Toc88843206"/>
      <w:r w:rsidRPr="00493B3A">
        <w:t>Figure 2</w:t>
      </w:r>
    </w:p>
    <w:p w14:paraId="5B24AEEB" w14:textId="77777777" w:rsidR="00DC5042" w:rsidRPr="00493B3A" w:rsidRDefault="00DC5042" w:rsidP="00DC5042">
      <w:pPr>
        <w:pStyle w:val="Figuretitle"/>
        <w:rPr>
          <w:rFonts w:eastAsia="Arial"/>
        </w:rPr>
      </w:pPr>
      <w:r w:rsidRPr="00493B3A">
        <w:t>Breakdown of the EUHT-5G Simulation tool</w:t>
      </w:r>
      <w:bookmarkEnd w:id="15"/>
    </w:p>
    <w:p w14:paraId="29576316" w14:textId="77777777" w:rsidR="00EB486C" w:rsidRDefault="00EB486C" w:rsidP="00DC5042">
      <w:pPr>
        <w:pStyle w:val="Figure"/>
      </w:pPr>
      <w:r w:rsidRPr="00373B83">
        <w:rPr>
          <w:lang w:val="en-US"/>
        </w:rPr>
        <w:drawing>
          <wp:inline distT="0" distB="0" distL="0" distR="0" wp14:anchorId="5D405D80" wp14:editId="094FDCCF">
            <wp:extent cx="5294953" cy="1845839"/>
            <wp:effectExtent l="38100" t="0" r="20320" b="21590"/>
            <wp:docPr id="240" name="Diagram 240">
              <a:extLst xmlns:a="http://schemas.openxmlformats.org/drawingml/2006/main">
                <a:ext uri="{FF2B5EF4-FFF2-40B4-BE49-F238E27FC236}">
                  <a16:creationId xmlns:a16="http://schemas.microsoft.com/office/drawing/2014/main" id="{AAF61DBC-E582-4390-A634-FE41013AC78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881042F" w14:textId="77777777" w:rsidR="00EB486C" w:rsidRPr="000E20B9" w:rsidRDefault="00EB486C" w:rsidP="00EB486C">
      <w:pPr>
        <w:pStyle w:val="Heading2"/>
        <w:rPr>
          <w:szCs w:val="24"/>
        </w:rPr>
      </w:pPr>
      <w:r w:rsidRPr="000E20B9">
        <w:rPr>
          <w:szCs w:val="24"/>
        </w:rPr>
        <w:t>II-C-</w:t>
      </w:r>
      <w:r>
        <w:rPr>
          <w:szCs w:val="24"/>
        </w:rPr>
        <w:t>3</w:t>
      </w:r>
      <w:r w:rsidRPr="000E20B9">
        <w:rPr>
          <w:szCs w:val="24"/>
        </w:rPr>
        <w:tab/>
      </w:r>
      <w:r>
        <w:rPr>
          <w:szCs w:val="24"/>
        </w:rPr>
        <w:t>Connection Density Evaluation for Urban Macro mMTC</w:t>
      </w:r>
    </w:p>
    <w:p w14:paraId="288A339A" w14:textId="77777777" w:rsidR="00EB486C" w:rsidRPr="00426961" w:rsidRDefault="00EB486C" w:rsidP="00DC5042">
      <w:pPr>
        <w:rPr>
          <w:lang w:val="en-US"/>
        </w:rPr>
      </w:pPr>
      <w:r w:rsidRPr="00426961">
        <w:rPr>
          <w:lang w:val="en-US"/>
        </w:rPr>
        <w:t xml:space="preserve">The performance analysis will determine if </w:t>
      </w:r>
      <w:r>
        <w:rPr>
          <w:lang w:val="en-US"/>
        </w:rPr>
        <w:t>‘</w:t>
      </w:r>
      <w:r w:rsidRPr="00426961">
        <w:rPr>
          <w:lang w:val="en-US"/>
        </w:rPr>
        <w:t>EUHT</w:t>
      </w:r>
      <w:r>
        <w:rPr>
          <w:lang w:val="en-US"/>
        </w:rPr>
        <w:t>-5G’</w:t>
      </w:r>
      <w:r w:rsidRPr="00426961">
        <w:rPr>
          <w:lang w:val="en-US"/>
        </w:rPr>
        <w:t xml:space="preserve"> can support a certain total number of devices per unit area (km</w:t>
      </w:r>
      <w:r w:rsidRPr="00426961">
        <w:rPr>
          <w:vertAlign w:val="superscript"/>
          <w:lang w:val="en-US"/>
        </w:rPr>
        <w:t>2</w:t>
      </w:r>
      <w:r w:rsidRPr="00426961">
        <w:rPr>
          <w:lang w:val="en-US"/>
        </w:rPr>
        <w:t xml:space="preserve">) with a specific quality of service, specified in </w:t>
      </w:r>
      <w:r w:rsidR="00DC5042">
        <w:rPr>
          <w:lang w:val="en-US"/>
        </w:rPr>
        <w:t xml:space="preserve">Report </w:t>
      </w:r>
      <w:r w:rsidRPr="00426961">
        <w:rPr>
          <w:lang w:val="en-US"/>
        </w:rPr>
        <w:t>ITU-R M.2410-0 § 4.8, for mMTC test environment.</w:t>
      </w:r>
    </w:p>
    <w:p w14:paraId="58EA5B15" w14:textId="77777777" w:rsidR="00EB486C" w:rsidRPr="00F95AF3" w:rsidRDefault="00EB486C" w:rsidP="00DC5042">
      <w:pPr>
        <w:rPr>
          <w:lang w:val="en-US"/>
        </w:rPr>
      </w:pPr>
      <w:r w:rsidRPr="00426961">
        <w:rPr>
          <w:lang w:val="el-GR"/>
        </w:rPr>
        <w:t>Α</w:t>
      </w:r>
      <w:r w:rsidRPr="00426961">
        <w:rPr>
          <w:lang w:val="en-US"/>
        </w:rPr>
        <w:t xml:space="preserve"> two-level simulation methodology </w:t>
      </w:r>
      <w:r w:rsidRPr="00F95AF3">
        <w:rPr>
          <w:lang w:val="en-US"/>
        </w:rPr>
        <w:t xml:space="preserve">is </w:t>
      </w:r>
      <w:r w:rsidRPr="00426961">
        <w:rPr>
          <w:lang w:val="en-US"/>
        </w:rPr>
        <w:t xml:space="preserve">used specified in </w:t>
      </w:r>
      <w:r w:rsidR="00DC5042">
        <w:rPr>
          <w:lang w:val="en-US"/>
        </w:rPr>
        <w:t xml:space="preserve">Report </w:t>
      </w:r>
      <w:r w:rsidRPr="00426961">
        <w:rPr>
          <w:lang w:val="en-US"/>
        </w:rPr>
        <w:t xml:space="preserve">ITU-R M.2412-§ 7.1.3. This includes system-level simulation </w:t>
      </w:r>
      <w:r>
        <w:rPr>
          <w:lang w:val="en-US"/>
        </w:rPr>
        <w:t>combined with</w:t>
      </w:r>
      <w:r w:rsidRPr="00426961">
        <w:rPr>
          <w:lang w:val="en-US"/>
        </w:rPr>
        <w:t xml:space="preserve"> link-level simulations. Hence, both a system-level and a link-level simulator, along with proper interfacing mechanisms should be developed for assessing the achievable connection density in Urban Macro-mMTC regarding UL and DL. </w:t>
      </w:r>
    </w:p>
    <w:p w14:paraId="31B5210D" w14:textId="77777777" w:rsidR="00EB486C" w:rsidRPr="00426961" w:rsidRDefault="00EB486C" w:rsidP="00DC5042">
      <w:pPr>
        <w:rPr>
          <w:lang w:val="en-US"/>
        </w:rPr>
      </w:pPr>
      <w:r w:rsidRPr="00F95AF3">
        <w:rPr>
          <w:lang w:val="en-US"/>
        </w:rPr>
        <w:t>During this period, we have performed t</w:t>
      </w:r>
      <w:r w:rsidRPr="00426961">
        <w:rPr>
          <w:lang w:val="en-US"/>
        </w:rPr>
        <w:t>he following activities:</w:t>
      </w:r>
    </w:p>
    <w:p w14:paraId="0CC1C332" w14:textId="77777777" w:rsidR="00EB486C" w:rsidRPr="00F95AF3" w:rsidRDefault="00DC5042" w:rsidP="00DC5042">
      <w:pPr>
        <w:pStyle w:val="enumlev1"/>
      </w:pPr>
      <w:r>
        <w:t>–</w:t>
      </w:r>
      <w:r>
        <w:tab/>
      </w:r>
      <w:r w:rsidR="00EB486C" w:rsidRPr="00426961">
        <w:t>Review</w:t>
      </w:r>
      <w:r w:rsidR="00EB486C" w:rsidRPr="00F95AF3">
        <w:t>ed</w:t>
      </w:r>
      <w:r w:rsidR="00EB486C" w:rsidRPr="00426961">
        <w:t xml:space="preserve"> the updated EUHT technology submission</w:t>
      </w:r>
      <w:r>
        <w:t>.</w:t>
      </w:r>
    </w:p>
    <w:p w14:paraId="006A15FB" w14:textId="77777777" w:rsidR="00EB486C" w:rsidRDefault="00DC5042" w:rsidP="00DC5042">
      <w:pPr>
        <w:pStyle w:val="enumlev1"/>
      </w:pPr>
      <w:r>
        <w:t>–</w:t>
      </w:r>
      <w:r>
        <w:tab/>
      </w:r>
      <w:r w:rsidR="00EB486C" w:rsidRPr="00F95AF3">
        <w:t xml:space="preserve">Defined the structure of </w:t>
      </w:r>
      <w:r w:rsidR="00EB486C" w:rsidRPr="00426961">
        <w:t>the link- and system-level software simulation platform</w:t>
      </w:r>
      <w:r>
        <w:t>.</w:t>
      </w:r>
    </w:p>
    <w:p w14:paraId="00D9F63C" w14:textId="77777777" w:rsidR="00EB486C" w:rsidRPr="00AA5680" w:rsidRDefault="00EB486C" w:rsidP="00DC5042">
      <w:r w:rsidRPr="00AA5680">
        <w:t>The system level simulator will be configured according to the two Configurations for Urban Macro</w:t>
      </w:r>
      <w:r w:rsidR="00DC5042">
        <w:t>-</w:t>
      </w:r>
      <w:r w:rsidRPr="00AA5680">
        <w:t xml:space="preserve">mMTC described in the </w:t>
      </w:r>
      <w:r w:rsidR="00DC5042" w:rsidRPr="00AA5680">
        <w:t xml:space="preserve">Report </w:t>
      </w:r>
      <w:r w:rsidRPr="00AA5680">
        <w:t xml:space="preserve">ITU-R M.2412-0. The selection of parameters will be made according to the parameter set of the EUHT submission that best fits the configurations without violating any constraint. </w:t>
      </w:r>
    </w:p>
    <w:p w14:paraId="44C80A2E" w14:textId="77777777" w:rsidR="00EB486C" w:rsidRPr="00AA5680" w:rsidRDefault="00EB486C" w:rsidP="00DC5042">
      <w:pPr>
        <w:rPr>
          <w:lang w:val="en-US"/>
        </w:rPr>
      </w:pPr>
      <w:r w:rsidRPr="00AA5680">
        <w:t xml:space="preserve">The event-based simulator that will be used for the evaluation of the Connection Density configurations is implemented in MATLAB </w:t>
      </w:r>
      <w:r>
        <w:t>utilizing the</w:t>
      </w:r>
      <w:r w:rsidRPr="00AA5680">
        <w:t xml:space="preserve"> link-level simulator results that can be used for reliability evaluation. </w:t>
      </w:r>
      <w:r w:rsidRPr="00AA5680">
        <w:rPr>
          <w:lang w:val="en-US"/>
        </w:rPr>
        <w:t xml:space="preserve">The connection density evaluation methodology is implemented </w:t>
      </w:r>
      <w:r>
        <w:rPr>
          <w:lang w:val="en-US"/>
        </w:rPr>
        <w:t>in</w:t>
      </w:r>
      <w:r w:rsidRPr="00AA5680">
        <w:rPr>
          <w:lang w:val="en-US"/>
        </w:rPr>
        <w:t xml:space="preserve"> the following steps:</w:t>
      </w:r>
    </w:p>
    <w:p w14:paraId="493B5665" w14:textId="77777777" w:rsidR="00EB486C" w:rsidRPr="00AA5680" w:rsidRDefault="00EB486C" w:rsidP="00DC5042">
      <w:r w:rsidRPr="00AA5680">
        <w:rPr>
          <w:i/>
          <w:iCs/>
          <w:u w:val="single"/>
        </w:rPr>
        <w:t>Step 1</w:t>
      </w:r>
      <w:r w:rsidRPr="00AA5680">
        <w:t>:  A frequency reuse scheme is defined based on the available number of channels. Depending on the configuration defined by the ITU-R guidelines and assuming the minimum supporting bandwidth, frequency reuse factors may b</w:t>
      </w:r>
      <w:r>
        <w:t>e</w:t>
      </w:r>
      <w:r w:rsidRPr="00AA5680">
        <w:t xml:space="preserve"> 1/1, 1/3 and 1/7. Given the fact that OFDMA is also supported, subchannels may remain unused depending on the scheduling policy, even when 1/1 reuse is assumed.</w:t>
      </w:r>
    </w:p>
    <w:p w14:paraId="046E3D75" w14:textId="77777777" w:rsidR="00EB486C" w:rsidRPr="00AA5680" w:rsidRDefault="00EB486C" w:rsidP="00DC5042">
      <w:r w:rsidRPr="00AA5680">
        <w:rPr>
          <w:i/>
          <w:iCs/>
          <w:u w:val="single"/>
        </w:rPr>
        <w:lastRenderedPageBreak/>
        <w:t>Step2</w:t>
      </w:r>
      <w:r w:rsidRPr="00AA5680">
        <w:t xml:space="preserve">: System Level simulation using the Configuration A and the Configuration B parameters is implemented in a network layout similar with the one described for the </w:t>
      </w:r>
      <w:r>
        <w:t>e</w:t>
      </w:r>
      <w:r w:rsidRPr="00AA5680">
        <w:t>valuation of “</w:t>
      </w:r>
      <w:r>
        <w:t>r</w:t>
      </w:r>
      <w:r w:rsidRPr="00AA5680">
        <w:t xml:space="preserve">eliability”. The frequency reuse factor is set to the one specified in Step 1 and a full-buffer traffic model is considered in order to create a simulation scenario where all available resources may be occupied (depending on the selected scheduling).  As a result, the SINR Cumulative Density Function (CDF) distribution is extracted. Since, for the Connection Density evaluations, high congestion of users is expected, the CDF can be used in order to statistically generate the SINR for each user, when performing mMTC system-level simulations. </w:t>
      </w:r>
    </w:p>
    <w:p w14:paraId="1438600A" w14:textId="77777777" w:rsidR="00EB486C" w:rsidRPr="00AA5680" w:rsidRDefault="00EB486C" w:rsidP="00DC5042">
      <w:r w:rsidRPr="00AA5680">
        <w:rPr>
          <w:i/>
          <w:iCs/>
          <w:u w:val="single"/>
        </w:rPr>
        <w:t>Step 3</w:t>
      </w:r>
      <w:r w:rsidRPr="00AA5680">
        <w:t>: Link Level simulation will be performed for the specified PHY configuration</w:t>
      </w:r>
      <w:r>
        <w:t xml:space="preserve"> using</w:t>
      </w:r>
      <w:r w:rsidRPr="00AA5680">
        <w:t xml:space="preserve"> the channel model setups described in </w:t>
      </w:r>
      <w:r>
        <w:t>Table 3</w:t>
      </w:r>
      <w:r w:rsidRPr="00AA5680">
        <w:t xml:space="preserve"> for a wide- range of SINRs. The packet error rate curves are calculated. </w:t>
      </w:r>
    </w:p>
    <w:p w14:paraId="51C90B64" w14:textId="77777777" w:rsidR="00EB486C" w:rsidRPr="00AA5680" w:rsidRDefault="00EB486C" w:rsidP="00DC5042">
      <w:r w:rsidRPr="00AA5680">
        <w:rPr>
          <w:i/>
          <w:iCs/>
          <w:u w:val="single"/>
        </w:rPr>
        <w:t>Step 4</w:t>
      </w:r>
      <w:r w:rsidRPr="00AA5680">
        <w:t>: The following investigation focuses on the procedures that take place in one site hosting three TRxPs. A large number of users is dropped into the cell. More specifically, for Configuration A, 120,000 users are uniformly generated for each sector. (Note: In order to fulfil the connection density requirement for Configuration A, complete transmission by approximately 70,000 users is required. However, due to the stochastic generation of traffic, some users may attempt more than one transmission in the time period of interest, while other users remain silent. Through test and trial, it can be found that for 120,000 generated users, the probability that at least 72,000 will attempt transmission approaches the unity. It is noted that the connection density requirement for Configuration A per sector is 73,000. In case of Configuration B, the connection density requirement per sector is 866,000. In this case 1.1M users were uniformly dropped for each sector.</w:t>
      </w:r>
    </w:p>
    <w:p w14:paraId="28C6D82B" w14:textId="77777777" w:rsidR="00EB486C" w:rsidRPr="00AA5680" w:rsidRDefault="00EB486C" w:rsidP="00DC5042">
      <w:r w:rsidRPr="00AA5680">
        <w:rPr>
          <w:i/>
          <w:iCs/>
          <w:u w:val="single"/>
        </w:rPr>
        <w:t>Step 5</w:t>
      </w:r>
      <w:r w:rsidRPr="00AA5680">
        <w:t>: Through the Poisson point process, the packets are generated for all users. More specifically, 32 bytes for each are considered, and the output of the process is the time when the packet is available at the UT for transmission. In the following analysis, the smaller EUHT</w:t>
      </w:r>
      <w:r>
        <w:t>-5G</w:t>
      </w:r>
      <w:r w:rsidRPr="00AA5680">
        <w:t xml:space="preserve"> slot/frame is considered (0.5ms) as the sampling period/time granular for the simulator. Thus, new events are taken into account at a slot-by-slot basis. The transmission times are “translated” to slot indexes, that indicate when each UT is ready to transmit. The traffic generation process is described in</w:t>
      </w:r>
      <w:r>
        <w:t xml:space="preserve"> Figure 3</w:t>
      </w:r>
      <w:r w:rsidRPr="00AA5680">
        <w:t xml:space="preserve"> (upper left flow diagram).</w:t>
      </w:r>
    </w:p>
    <w:p w14:paraId="6F5F9F1E" w14:textId="77777777" w:rsidR="00EB486C" w:rsidRPr="00AA5680" w:rsidRDefault="00EB486C" w:rsidP="00DC5042">
      <w:r w:rsidRPr="00AA5680">
        <w:rPr>
          <w:i/>
          <w:iCs/>
          <w:u w:val="single"/>
        </w:rPr>
        <w:t>Step 6</w:t>
      </w:r>
      <w:r w:rsidRPr="00AA5680">
        <w:rPr>
          <w:i/>
          <w:iCs/>
        </w:rPr>
        <w:t xml:space="preserve">: </w:t>
      </w:r>
      <w:r w:rsidRPr="00AA5680">
        <w:t>A simple but efficient scheduler is defined. A FIFO queue is implemented at the scheduler. When a UT has data available for transmission, it requests the first available uplink slot (the UT enters the queue). All packets have the same priority. A specific number of slots is defined available for uplink transmission in a TDD duplex mode. Actually, the minimum necessary slots are allocated for downlink, that carry the reference signals (e.g., DL-preamble, DL-DRS, CCH, DL-TCH), as well as the required scheduling information, and acknowledgments.</w:t>
      </w:r>
    </w:p>
    <w:p w14:paraId="42683643" w14:textId="77777777" w:rsidR="00EB486C" w:rsidRPr="00AA5680" w:rsidRDefault="00EB486C" w:rsidP="00DC5042">
      <w:pPr>
        <w:rPr>
          <w:lang w:val="en-US"/>
        </w:rPr>
      </w:pPr>
      <w:r w:rsidRPr="00AA5680">
        <w:rPr>
          <w:i/>
          <w:iCs/>
          <w:u w:val="single"/>
        </w:rPr>
        <w:t xml:space="preserve">Step </w:t>
      </w:r>
      <w:r w:rsidRPr="00AA5680">
        <w:rPr>
          <w:i/>
          <w:iCs/>
          <w:u w:val="single"/>
          <w:lang w:val="en-US"/>
        </w:rPr>
        <w:t>7</w:t>
      </w:r>
      <w:r w:rsidRPr="00AA5680">
        <w:t>:</w:t>
      </w:r>
      <w:r w:rsidRPr="00AA5680">
        <w:rPr>
          <w:lang w:val="en-US"/>
        </w:rPr>
        <w:t xml:space="preserve"> Based on the defined setup and with the PHY and multiplexing parameterization, we define the minimum block of resources that can be allocated to a user (consisting of 16 consecutive OFDM subcarriers during the time slot) and, then specify a block that can be used to carry the 32 bytes of message per modulation and coding scheme. The scheduler can monitor simultaneously the complete cluster of neighboring TRxPs in order to be able to perform interference mitigation and control. All UTs are assumed to have 2 antennas using codebook precoders or Maximal Ratio Transmission towards the associated TRxP. Assuming block fading, beamforming is performed </w:t>
      </w:r>
      <w:r>
        <w:rPr>
          <w:lang w:val="en-US"/>
        </w:rPr>
        <w:t>exploiting</w:t>
      </w:r>
      <w:r w:rsidRPr="00AA5680">
        <w:rPr>
          <w:lang w:val="en-US"/>
        </w:rPr>
        <w:t xml:space="preserve"> channel reciprocity in TDD.</w:t>
      </w:r>
    </w:p>
    <w:p w14:paraId="32F685A0" w14:textId="77777777" w:rsidR="00EB486C" w:rsidRPr="00AA5680" w:rsidRDefault="00EB486C" w:rsidP="00DC5042">
      <w:r w:rsidRPr="00AA5680">
        <w:rPr>
          <w:i/>
          <w:iCs/>
          <w:u w:val="single"/>
        </w:rPr>
        <w:t>Step 8</w:t>
      </w:r>
      <w:r w:rsidRPr="00AA5680">
        <w:t>: For all UTs, the SINR for the TRxP link is generated from the SINR CDF that was extracted in Step 2 of this process</w:t>
      </w:r>
      <w:r>
        <w:t>.</w:t>
      </w:r>
    </w:p>
    <w:p w14:paraId="36712A6F" w14:textId="77777777" w:rsidR="00EB486C" w:rsidRPr="00AA5680" w:rsidRDefault="00EB486C" w:rsidP="00DC5042">
      <w:pPr>
        <w:keepNext/>
      </w:pPr>
      <w:r w:rsidRPr="00AA5680">
        <w:rPr>
          <w:i/>
          <w:iCs/>
          <w:u w:val="single"/>
        </w:rPr>
        <w:lastRenderedPageBreak/>
        <w:t>Step 9</w:t>
      </w:r>
      <w:r w:rsidRPr="00AA5680">
        <w:t>: Evaluation is performed with increasing complexity. If the requirement is not met, then we move to a more complicated setup, that can possibly deal with the imposed challenges.</w:t>
      </w:r>
    </w:p>
    <w:p w14:paraId="2E75BFF7" w14:textId="77777777" w:rsidR="00EB486C" w:rsidRPr="00AA5680" w:rsidRDefault="00DC5042" w:rsidP="00DC5042">
      <w:pPr>
        <w:pStyle w:val="enumlev1"/>
      </w:pPr>
      <w:r>
        <w:t>–</w:t>
      </w:r>
      <w:r>
        <w:tab/>
      </w:r>
      <w:r w:rsidR="00EB486C" w:rsidRPr="00AA5680">
        <w:t xml:space="preserve">TRxPs are initially assumed with 2 antennas. If evaluation is not </w:t>
      </w:r>
      <w:r w:rsidR="00EB486C">
        <w:t>successful</w:t>
      </w:r>
      <w:r w:rsidR="00EB486C" w:rsidRPr="00AA5680">
        <w:t xml:space="preserve">, then 4 antennas in rectangular panel formation </w:t>
      </w:r>
      <w:r w:rsidR="00EB486C">
        <w:t>are</w:t>
      </w:r>
      <w:r w:rsidR="00EB486C" w:rsidRPr="00AA5680">
        <w:t xml:space="preserve"> considered. In case of another failure, 8 antennas are </w:t>
      </w:r>
      <w:r w:rsidR="00EB486C">
        <w:t>assumed</w:t>
      </w:r>
      <w:r w:rsidR="00EB486C" w:rsidRPr="00AA5680">
        <w:t xml:space="preserve"> (as one panel of 8 elements, or two panels of 4 elements), and so on. The search for an antenna configuration that produces satisfactory performance continues until </w:t>
      </w:r>
      <w:r w:rsidR="00EB486C">
        <w:t xml:space="preserve">the number of </w:t>
      </w:r>
      <w:r w:rsidR="00EB486C" w:rsidRPr="00AA5680">
        <w:t>64 antenna elements (maximum defined in the scenario configurations)</w:t>
      </w:r>
      <w:r w:rsidR="00EB486C">
        <w:t xml:space="preserve"> is reached</w:t>
      </w:r>
      <w:r w:rsidR="00EB486C" w:rsidRPr="00AA5680">
        <w:t>.</w:t>
      </w:r>
    </w:p>
    <w:p w14:paraId="76521FD3" w14:textId="77777777" w:rsidR="00EB486C" w:rsidRPr="00AA5680" w:rsidRDefault="00DC5042" w:rsidP="00DC5042">
      <w:pPr>
        <w:pStyle w:val="enumlev1"/>
      </w:pPr>
      <w:r>
        <w:t>–</w:t>
      </w:r>
      <w:r>
        <w:tab/>
      </w:r>
      <w:r w:rsidR="00EB486C" w:rsidRPr="00AA5680">
        <w:t xml:space="preserve">Transmission in the uplink is assumed with </w:t>
      </w:r>
      <w:r w:rsidR="00EB486C" w:rsidRPr="00AA5680">
        <w:rPr>
          <w:lang w:val="en-US"/>
        </w:rPr>
        <w:t>QPSK and convolutional ½ coding. In order to increase bandwidth efficiency, adaptivity in modulation and coding will be introduced in case there is a failure in satisfying the requirements (using radio channel quality as decision metrics).</w:t>
      </w:r>
    </w:p>
    <w:p w14:paraId="479BCB3A" w14:textId="77777777" w:rsidR="00EB486C" w:rsidRPr="00AA5680" w:rsidRDefault="00EB486C" w:rsidP="00DC5042">
      <w:r w:rsidRPr="00AA5680">
        <w:rPr>
          <w:i/>
          <w:iCs/>
          <w:u w:val="single"/>
        </w:rPr>
        <w:t>Step 10</w:t>
      </w:r>
      <w:r w:rsidRPr="00AA5680">
        <w:t xml:space="preserve">: At this point, the main loop of the simulation engine can be executed. The logical flow is presented in </w:t>
      </w:r>
      <w:r>
        <w:t xml:space="preserve">Figure 3. </w:t>
      </w:r>
      <w:r w:rsidRPr="00AA5680">
        <w:t>The loop simulates the time succession of slots and frames during the time period of interest. More specifically,</w:t>
      </w:r>
    </w:p>
    <w:p w14:paraId="3ED0475D" w14:textId="77777777" w:rsidR="00EB486C" w:rsidRPr="00AA5680" w:rsidRDefault="00DC5042" w:rsidP="00DC5042">
      <w:pPr>
        <w:pStyle w:val="enumlev1"/>
      </w:pPr>
      <w:r>
        <w:t>–</w:t>
      </w:r>
      <w:r>
        <w:tab/>
      </w:r>
      <w:r w:rsidR="00EB486C" w:rsidRPr="00AA5680">
        <w:t xml:space="preserve">At the beginning of each frame all new UTs that have available data for transmission are inserted into the FIFO queue. </w:t>
      </w:r>
    </w:p>
    <w:p w14:paraId="574E85B6" w14:textId="77777777" w:rsidR="00EB486C" w:rsidRPr="00AA5680" w:rsidRDefault="00DC5042" w:rsidP="00DC5042">
      <w:pPr>
        <w:pStyle w:val="enumlev1"/>
      </w:pPr>
      <w:r>
        <w:t>–</w:t>
      </w:r>
      <w:r>
        <w:tab/>
      </w:r>
      <w:r w:rsidR="00EB486C" w:rsidRPr="00AA5680">
        <w:t xml:space="preserve">The scheduler assigns sequentially the available resources to the UTs. </w:t>
      </w:r>
      <w:r w:rsidR="00EB486C" w:rsidRPr="00AA5680">
        <w:rPr>
          <w:lang w:val="en-US"/>
        </w:rPr>
        <w:t>Allocation is performed in a first-come-first served basis. Information for the Channel State Information is utilized in case of prior channel knowledge targeting resources with estimated 8dB SINR.</w:t>
      </w:r>
    </w:p>
    <w:p w14:paraId="7A6C8988" w14:textId="77777777" w:rsidR="00EB486C" w:rsidRPr="00AA5680" w:rsidRDefault="00DC5042" w:rsidP="00DC5042">
      <w:pPr>
        <w:pStyle w:val="enumlev1"/>
      </w:pPr>
      <w:r>
        <w:t>–</w:t>
      </w:r>
      <w:r>
        <w:tab/>
      </w:r>
      <w:r w:rsidR="00EB486C" w:rsidRPr="00AA5680">
        <w:t>At each slot, the allocated UT attempts transmission.</w:t>
      </w:r>
    </w:p>
    <w:p w14:paraId="30E50E42" w14:textId="77777777" w:rsidR="00EB486C" w:rsidRPr="00AA5680" w:rsidRDefault="00DC5042" w:rsidP="00DC5042">
      <w:pPr>
        <w:pStyle w:val="enumlev2"/>
      </w:pPr>
      <w:r>
        <w:t>•</w:t>
      </w:r>
      <w:r>
        <w:tab/>
      </w:r>
      <w:r w:rsidR="00EB486C" w:rsidRPr="00AA5680">
        <w:t xml:space="preserve">If this is the first attempted transmission, the number of transmissions is zeroed. </w:t>
      </w:r>
    </w:p>
    <w:p w14:paraId="5E60CA86" w14:textId="77777777" w:rsidR="00EB486C" w:rsidRPr="00AA5680" w:rsidRDefault="00DC5042" w:rsidP="00DC5042">
      <w:pPr>
        <w:pStyle w:val="enumlev2"/>
      </w:pPr>
      <w:r>
        <w:t>•</w:t>
      </w:r>
      <w:r>
        <w:tab/>
      </w:r>
      <w:r w:rsidR="00EB486C" w:rsidRPr="00AA5680">
        <w:t xml:space="preserve">For the given SINR, the probability of Packet Error is calculated by the link-level simulation curves, and with the use of a random variable, it is decided </w:t>
      </w:r>
      <w:r w:rsidR="00EB486C">
        <w:t>whether</w:t>
      </w:r>
      <w:r w:rsidR="00EB486C" w:rsidRPr="00AA5680">
        <w:t xml:space="preserve"> the transmission is successful or not.</w:t>
      </w:r>
    </w:p>
    <w:p w14:paraId="42465AA2" w14:textId="77777777" w:rsidR="00EB486C" w:rsidRPr="00AA5680" w:rsidRDefault="00DC5042" w:rsidP="00DC5042">
      <w:pPr>
        <w:pStyle w:val="enumlev2"/>
      </w:pPr>
      <w:r>
        <w:t>•</w:t>
      </w:r>
      <w:r>
        <w:tab/>
      </w:r>
      <w:r w:rsidR="00EB486C" w:rsidRPr="00AA5680">
        <w:t>If the maximum number of re-transmissions is reached, then the transmission failure is recorded.</w:t>
      </w:r>
    </w:p>
    <w:p w14:paraId="200FDE88" w14:textId="77777777" w:rsidR="00EB486C" w:rsidRPr="00AA5680" w:rsidRDefault="00DC5042" w:rsidP="00DC5042">
      <w:pPr>
        <w:pStyle w:val="enumlev2"/>
      </w:pPr>
      <w:r>
        <w:t>•</w:t>
      </w:r>
      <w:r>
        <w:tab/>
      </w:r>
      <w:r w:rsidR="00EB486C" w:rsidRPr="00AA5680">
        <w:t xml:space="preserve">If the transmission is successful, the latency from the packet generation instance is calculated and if it is under 10 seconds, the transmission has succeeded. Otherwise, it is considered a failure. </w:t>
      </w:r>
    </w:p>
    <w:p w14:paraId="1BD8CD8B" w14:textId="77777777" w:rsidR="00EB486C" w:rsidRPr="00AA5680" w:rsidRDefault="00DC5042" w:rsidP="00DC5042">
      <w:pPr>
        <w:pStyle w:val="enumlev2"/>
      </w:pPr>
      <w:r>
        <w:t>•</w:t>
      </w:r>
      <w:r>
        <w:tab/>
      </w:r>
      <w:r w:rsidR="00EB486C" w:rsidRPr="00AA5680">
        <w:t>In case of re-transmission, the scheduler re-evaluates the resource allocation based on the channel quality feedback received from the previous attempt.</w:t>
      </w:r>
    </w:p>
    <w:p w14:paraId="67520192" w14:textId="77777777" w:rsidR="00EB486C" w:rsidRPr="00AA5680" w:rsidRDefault="00DC5042" w:rsidP="00DC5042">
      <w:pPr>
        <w:pStyle w:val="enumlev2"/>
      </w:pPr>
      <w:r>
        <w:t>•</w:t>
      </w:r>
      <w:r>
        <w:tab/>
      </w:r>
      <w:r w:rsidR="00EB486C" w:rsidRPr="00AA5680">
        <w:t>The loop completes after simulating a timeline of 2h or 24h according to the specifications, or when a TRxP is able to serve more than 80,000 UTs (the requirement is approximately 70,000 UTs).</w:t>
      </w:r>
    </w:p>
    <w:p w14:paraId="50132118" w14:textId="77777777" w:rsidR="00EB486C" w:rsidRPr="00AA5680" w:rsidRDefault="00DC5042" w:rsidP="00DC5042">
      <w:pPr>
        <w:pStyle w:val="enumlev1"/>
        <w:rPr>
          <w:sz w:val="22"/>
          <w:szCs w:val="22"/>
        </w:rPr>
      </w:pPr>
      <w:r>
        <w:rPr>
          <w:sz w:val="22"/>
          <w:szCs w:val="22"/>
        </w:rPr>
        <w:t>–</w:t>
      </w:r>
      <w:r>
        <w:rPr>
          <w:sz w:val="22"/>
          <w:szCs w:val="22"/>
        </w:rPr>
        <w:tab/>
      </w:r>
      <w:r w:rsidR="00EB486C" w:rsidRPr="00AA5680">
        <w:rPr>
          <w:sz w:val="22"/>
          <w:szCs w:val="22"/>
        </w:rPr>
        <w:t>The simulation is executed several times in order to ensure that requirement satisfaction is not just a random stochastic event.</w:t>
      </w:r>
    </w:p>
    <w:p w14:paraId="08E97482" w14:textId="77777777" w:rsidR="00DC5042" w:rsidRDefault="00EB486C" w:rsidP="00DC5042">
      <w:pPr>
        <w:pStyle w:val="TableNo"/>
        <w:rPr>
          <w:noProof/>
        </w:rPr>
      </w:pPr>
      <w:r w:rsidRPr="004D07AB">
        <w:rPr>
          <w:noProof/>
        </w:rPr>
        <w:lastRenderedPageBreak/>
        <w:t>Table 3</w:t>
      </w:r>
    </w:p>
    <w:p w14:paraId="7F274A15" w14:textId="77777777" w:rsidR="00EB486C" w:rsidRPr="004D07AB" w:rsidRDefault="00EB486C" w:rsidP="00DC5042">
      <w:pPr>
        <w:pStyle w:val="Tabletitle"/>
      </w:pPr>
      <w:r w:rsidRPr="004D07AB">
        <w:rPr>
          <w:noProof/>
        </w:rPr>
        <w:t>Channel model parameters for Connection Density</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35"/>
        <w:gridCol w:w="3756"/>
        <w:gridCol w:w="3827"/>
      </w:tblGrid>
      <w:tr w:rsidR="00EB486C" w:rsidRPr="00094D63" w14:paraId="2DAEE16E" w14:textId="77777777" w:rsidTr="00EB486C">
        <w:trPr>
          <w:cantSplit/>
          <w:tblHeader/>
          <w:jc w:val="center"/>
        </w:trPr>
        <w:tc>
          <w:tcPr>
            <w:tcW w:w="2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5203F0" w14:textId="77777777" w:rsidR="00EB486C" w:rsidRPr="00AA5680" w:rsidRDefault="00EB486C" w:rsidP="00EB486C">
            <w:pPr>
              <w:pStyle w:val="Tablehead"/>
              <w:rPr>
                <w:rFonts w:ascii="Times New Roman" w:hAnsi="Times New Roman" w:cs="Times New Roman"/>
                <w:sz w:val="18"/>
                <w:szCs w:val="18"/>
              </w:rPr>
            </w:pPr>
            <w:r w:rsidRPr="00AA5680">
              <w:rPr>
                <w:rFonts w:ascii="Times New Roman" w:hAnsi="Times New Roman" w:cs="Times New Roman"/>
                <w:sz w:val="18"/>
                <w:szCs w:val="18"/>
              </w:rPr>
              <w:t>Parameters</w:t>
            </w:r>
          </w:p>
        </w:tc>
        <w:tc>
          <w:tcPr>
            <w:tcW w:w="3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6DCED9" w14:textId="77777777" w:rsidR="00EB486C" w:rsidRPr="00AA5680" w:rsidRDefault="00EB486C" w:rsidP="00EB486C">
            <w:pPr>
              <w:pStyle w:val="Tablehead"/>
              <w:rPr>
                <w:rFonts w:ascii="Times New Roman" w:hAnsi="Times New Roman" w:cs="Times New Roman"/>
                <w:sz w:val="18"/>
                <w:szCs w:val="18"/>
              </w:rPr>
            </w:pPr>
            <w:r w:rsidRPr="00AA5680">
              <w:rPr>
                <w:rFonts w:ascii="Times New Roman" w:hAnsi="Times New Roman" w:cs="Times New Roman"/>
                <w:sz w:val="18"/>
                <w:szCs w:val="18"/>
              </w:rPr>
              <w:t>Urban Macro–mMTC</w:t>
            </w:r>
          </w:p>
          <w:p w14:paraId="29A551AC" w14:textId="77777777" w:rsidR="00EB486C" w:rsidRPr="00AA5680" w:rsidRDefault="00EB486C" w:rsidP="00EB486C">
            <w:pPr>
              <w:pStyle w:val="Tablehead"/>
              <w:rPr>
                <w:rFonts w:ascii="Times New Roman" w:hAnsi="Times New Roman" w:cs="Times New Roman"/>
                <w:sz w:val="18"/>
                <w:szCs w:val="18"/>
              </w:rPr>
            </w:pPr>
            <w:r w:rsidRPr="00AA5680">
              <w:rPr>
                <w:rFonts w:ascii="Times New Roman" w:hAnsi="Times New Roman" w:cs="Times New Roman"/>
                <w:sz w:val="18"/>
                <w:szCs w:val="18"/>
              </w:rPr>
              <w:t>(for Connection density)</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3AEA1B" w14:textId="77777777" w:rsidR="00EB486C" w:rsidRPr="00AA5680" w:rsidRDefault="00EB486C" w:rsidP="00EB486C">
            <w:pPr>
              <w:pStyle w:val="Tablehead"/>
              <w:rPr>
                <w:rFonts w:ascii="Times New Roman" w:hAnsi="Times New Roman" w:cs="Times New Roman"/>
                <w:sz w:val="18"/>
                <w:szCs w:val="18"/>
              </w:rPr>
            </w:pPr>
            <w:r w:rsidRPr="00AA5680">
              <w:rPr>
                <w:rFonts w:ascii="Times New Roman" w:hAnsi="Times New Roman" w:cs="Times New Roman"/>
                <w:sz w:val="18"/>
                <w:szCs w:val="18"/>
              </w:rPr>
              <w:t>Urban Macro–URLLC</w:t>
            </w:r>
          </w:p>
          <w:p w14:paraId="5D33F79B" w14:textId="77777777" w:rsidR="00EB486C" w:rsidRPr="00AA5680" w:rsidRDefault="00EB486C" w:rsidP="00EB486C">
            <w:pPr>
              <w:pStyle w:val="Tablehead"/>
              <w:rPr>
                <w:rFonts w:ascii="Times New Roman" w:hAnsi="Times New Roman" w:cs="Times New Roman"/>
                <w:sz w:val="18"/>
                <w:szCs w:val="18"/>
              </w:rPr>
            </w:pPr>
            <w:r w:rsidRPr="00AA5680">
              <w:rPr>
                <w:rFonts w:ascii="Times New Roman" w:hAnsi="Times New Roman" w:cs="Times New Roman"/>
                <w:sz w:val="18"/>
                <w:szCs w:val="18"/>
              </w:rPr>
              <w:t>(for Reliability)</w:t>
            </w:r>
          </w:p>
        </w:tc>
      </w:tr>
      <w:tr w:rsidR="00EB486C" w:rsidRPr="00094D63" w14:paraId="60BC2883" w14:textId="77777777" w:rsidTr="00EB486C">
        <w:trPr>
          <w:cantSplit/>
          <w:jc w:val="center"/>
        </w:trPr>
        <w:tc>
          <w:tcPr>
            <w:tcW w:w="2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0B16EC" w14:textId="77777777" w:rsidR="00EB486C" w:rsidRPr="00AA5680" w:rsidRDefault="00EB486C" w:rsidP="00EB486C">
            <w:pPr>
              <w:pStyle w:val="Tabletext"/>
              <w:rPr>
                <w:sz w:val="18"/>
                <w:szCs w:val="18"/>
              </w:rPr>
            </w:pPr>
            <w:r w:rsidRPr="00AA5680">
              <w:rPr>
                <w:sz w:val="18"/>
                <w:szCs w:val="18"/>
              </w:rPr>
              <w:t>Link</w:t>
            </w:r>
            <w:r w:rsidRPr="00AA5680">
              <w:rPr>
                <w:rFonts w:eastAsia="MS Mincho"/>
                <w:sz w:val="18"/>
                <w:szCs w:val="18"/>
                <w:lang w:eastAsia="ja-JP"/>
              </w:rPr>
              <w:t>-</w:t>
            </w:r>
            <w:r w:rsidRPr="00AA5680">
              <w:rPr>
                <w:sz w:val="18"/>
                <w:szCs w:val="18"/>
              </w:rPr>
              <w:t>level Channel model</w:t>
            </w:r>
          </w:p>
        </w:tc>
        <w:tc>
          <w:tcPr>
            <w:tcW w:w="3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7B2D09" w14:textId="77777777" w:rsidR="00EB486C" w:rsidRPr="00AA5680" w:rsidRDefault="00EB486C" w:rsidP="00EB486C">
            <w:pPr>
              <w:pStyle w:val="Tabletext"/>
              <w:jc w:val="center"/>
              <w:rPr>
                <w:sz w:val="18"/>
                <w:szCs w:val="18"/>
                <w:lang w:val="en-US"/>
              </w:rPr>
            </w:pPr>
            <w:r w:rsidRPr="00AA5680">
              <w:rPr>
                <w:sz w:val="18"/>
                <w:szCs w:val="18"/>
                <w:lang w:val="en-US"/>
              </w:rPr>
              <w:t>NLOS: TDL-iii and CDL-iii</w:t>
            </w:r>
          </w:p>
          <w:p w14:paraId="757B68D0" w14:textId="77777777" w:rsidR="00EB486C" w:rsidRPr="00AA5680" w:rsidRDefault="00EB486C" w:rsidP="00EB486C">
            <w:pPr>
              <w:pStyle w:val="Tabletext"/>
              <w:jc w:val="center"/>
              <w:rPr>
                <w:sz w:val="18"/>
                <w:szCs w:val="18"/>
                <w:lang w:val="es-ES_tradnl"/>
              </w:rPr>
            </w:pPr>
            <w:r w:rsidRPr="00AA5680">
              <w:rPr>
                <w:sz w:val="18"/>
                <w:szCs w:val="18"/>
                <w:lang w:val="es-ES_tradnl"/>
              </w:rPr>
              <w:t>LOS: TDL-v and CDL-iii</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70FCC2" w14:textId="77777777" w:rsidR="00EB486C" w:rsidRPr="00AA5680" w:rsidRDefault="00EB486C" w:rsidP="00EB486C">
            <w:pPr>
              <w:pStyle w:val="Tabletext"/>
              <w:jc w:val="center"/>
              <w:rPr>
                <w:sz w:val="18"/>
                <w:szCs w:val="18"/>
                <w:lang w:val="en-US"/>
              </w:rPr>
            </w:pPr>
            <w:r w:rsidRPr="00AA5680">
              <w:rPr>
                <w:sz w:val="18"/>
                <w:szCs w:val="18"/>
                <w:lang w:val="en-US"/>
              </w:rPr>
              <w:t>NLOS: TDL-iii and CDL-iii</w:t>
            </w:r>
          </w:p>
          <w:p w14:paraId="7B9D686D" w14:textId="77777777" w:rsidR="00EB486C" w:rsidRPr="00AA5680" w:rsidRDefault="00EB486C" w:rsidP="00EB486C">
            <w:pPr>
              <w:pStyle w:val="Tabletext"/>
              <w:jc w:val="center"/>
              <w:rPr>
                <w:sz w:val="18"/>
                <w:szCs w:val="18"/>
                <w:lang w:val="es-ES_tradnl"/>
              </w:rPr>
            </w:pPr>
            <w:r w:rsidRPr="00AA5680">
              <w:rPr>
                <w:sz w:val="18"/>
                <w:szCs w:val="18"/>
                <w:lang w:val="es-ES_tradnl"/>
              </w:rPr>
              <w:t>LOS: TDL-v and CDL-iii</w:t>
            </w:r>
          </w:p>
        </w:tc>
      </w:tr>
      <w:tr w:rsidR="00EB486C" w:rsidRPr="00094D63" w14:paraId="5C770C3C" w14:textId="77777777" w:rsidTr="00EB486C">
        <w:trPr>
          <w:cantSplit/>
          <w:jc w:val="center"/>
        </w:trPr>
        <w:tc>
          <w:tcPr>
            <w:tcW w:w="2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6B20CD" w14:textId="77777777" w:rsidR="00EB486C" w:rsidRPr="006C5F3C" w:rsidRDefault="00EB486C" w:rsidP="00EB486C">
            <w:pPr>
              <w:pStyle w:val="Tabletext"/>
              <w:rPr>
                <w:sz w:val="18"/>
                <w:szCs w:val="18"/>
              </w:rPr>
            </w:pPr>
            <w:r w:rsidRPr="006C5F3C">
              <w:rPr>
                <w:sz w:val="18"/>
                <w:szCs w:val="18"/>
              </w:rPr>
              <w:t>Delay spread scaling parameter</w:t>
            </w:r>
            <w:r>
              <w:rPr>
                <w:noProof/>
                <w:sz w:val="18"/>
                <w:szCs w:val="18"/>
                <w:lang w:val="en-US" w:eastAsia="zh-CN"/>
              </w:rPr>
              <w:drawing>
                <wp:inline distT="0" distB="0" distL="0" distR="0" wp14:anchorId="57D6947D" wp14:editId="5E0B6E74">
                  <wp:extent cx="302260" cy="151130"/>
                  <wp:effectExtent l="0" t="0" r="254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2260" cy="151130"/>
                          </a:xfrm>
                          <a:prstGeom prst="rect">
                            <a:avLst/>
                          </a:prstGeom>
                          <a:noFill/>
                          <a:ln>
                            <a:noFill/>
                          </a:ln>
                        </pic:spPr>
                      </pic:pic>
                    </a:graphicData>
                  </a:graphic>
                </wp:inline>
              </w:drawing>
            </w:r>
            <w:r w:rsidRPr="006C5F3C">
              <w:rPr>
                <w:sz w:val="18"/>
                <w:szCs w:val="18"/>
              </w:rPr>
              <w:t xml:space="preserve"> (s)</w:t>
            </w:r>
          </w:p>
        </w:tc>
        <w:tc>
          <w:tcPr>
            <w:tcW w:w="3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D631F1" w14:textId="77777777" w:rsidR="00EB486C" w:rsidRPr="006C5F3C" w:rsidRDefault="00EB486C" w:rsidP="00EB486C">
            <w:pPr>
              <w:pStyle w:val="Tabletext"/>
              <w:jc w:val="center"/>
              <w:rPr>
                <w:sz w:val="18"/>
                <w:szCs w:val="18"/>
              </w:rPr>
            </w:pPr>
            <w:r w:rsidRPr="006C5F3C">
              <w:rPr>
                <w:sz w:val="18"/>
                <w:szCs w:val="18"/>
              </w:rPr>
              <w:t>Log10(</w:t>
            </w:r>
            <w:r>
              <w:rPr>
                <w:noProof/>
                <w:sz w:val="18"/>
                <w:szCs w:val="18"/>
                <w:lang w:val="en-US" w:eastAsia="zh-CN"/>
              </w:rPr>
              <w:drawing>
                <wp:inline distT="0" distB="0" distL="0" distR="0" wp14:anchorId="77993952" wp14:editId="4C38EF2E">
                  <wp:extent cx="302260" cy="151130"/>
                  <wp:effectExtent l="0" t="0" r="254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2260" cy="151130"/>
                          </a:xfrm>
                          <a:prstGeom prst="rect">
                            <a:avLst/>
                          </a:prstGeom>
                          <a:noFill/>
                          <a:ln>
                            <a:noFill/>
                          </a:ln>
                        </pic:spPr>
                      </pic:pic>
                    </a:graphicData>
                  </a:graphic>
                </wp:inline>
              </w:drawing>
            </w:r>
            <w:r w:rsidRPr="006C5F3C">
              <w:rPr>
                <w:sz w:val="18"/>
                <w:szCs w:val="18"/>
              </w:rPr>
              <w:t>) =</w:t>
            </w:r>
            <w:r w:rsidRPr="00902CDB">
              <w:rPr>
                <w:rFonts w:ascii="Symbol" w:eastAsia="SimSun" w:hAnsi="Symbol" w:cstheme="majorBidi"/>
                <w:iCs/>
                <w:sz w:val="18"/>
                <w:szCs w:val="18"/>
              </w:rPr>
              <w:t></w:t>
            </w:r>
            <w:r w:rsidRPr="006C5F3C">
              <w:rPr>
                <w:rFonts w:asciiTheme="majorBidi" w:eastAsia="SimSun" w:hAnsiTheme="majorBidi" w:cstheme="majorBidi"/>
                <w:sz w:val="18"/>
                <w:szCs w:val="18"/>
                <w:vertAlign w:val="subscript"/>
              </w:rPr>
              <w:t>lgDS</w:t>
            </w:r>
            <w:r w:rsidRPr="006C5F3C">
              <w:rPr>
                <w:sz w:val="18"/>
                <w:szCs w:val="18"/>
              </w:rPr>
              <w:t xml:space="preserve"> in </w:t>
            </w:r>
            <w:r w:rsidRPr="006C5F3C">
              <w:rPr>
                <w:sz w:val="18"/>
                <w:szCs w:val="18"/>
              </w:rPr>
              <w:br/>
              <w:t>Table A4-9 (UMa) in Annex 1</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469962" w14:textId="77777777" w:rsidR="00EB486C" w:rsidRPr="006C5F3C" w:rsidRDefault="00EB486C" w:rsidP="00EB486C">
            <w:pPr>
              <w:pStyle w:val="Tabletext"/>
              <w:jc w:val="center"/>
              <w:rPr>
                <w:sz w:val="18"/>
                <w:szCs w:val="18"/>
              </w:rPr>
            </w:pPr>
            <w:r w:rsidRPr="006C5F3C">
              <w:rPr>
                <w:sz w:val="18"/>
                <w:szCs w:val="18"/>
              </w:rPr>
              <w:t>Log10(</w:t>
            </w:r>
            <w:r>
              <w:rPr>
                <w:noProof/>
                <w:sz w:val="18"/>
                <w:szCs w:val="18"/>
                <w:lang w:val="en-US" w:eastAsia="zh-CN"/>
              </w:rPr>
              <w:drawing>
                <wp:inline distT="0" distB="0" distL="0" distR="0" wp14:anchorId="3F3CA33C" wp14:editId="144F0160">
                  <wp:extent cx="302260" cy="151130"/>
                  <wp:effectExtent l="0" t="0" r="254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2260" cy="151130"/>
                          </a:xfrm>
                          <a:prstGeom prst="rect">
                            <a:avLst/>
                          </a:prstGeom>
                          <a:noFill/>
                          <a:ln>
                            <a:noFill/>
                          </a:ln>
                        </pic:spPr>
                      </pic:pic>
                    </a:graphicData>
                  </a:graphic>
                </wp:inline>
              </w:drawing>
            </w:r>
            <w:r w:rsidRPr="006C5F3C">
              <w:rPr>
                <w:sz w:val="18"/>
                <w:szCs w:val="18"/>
              </w:rPr>
              <w:t>) =</w:t>
            </w:r>
            <w:r w:rsidRPr="00902CDB">
              <w:rPr>
                <w:rFonts w:ascii="Symbol" w:eastAsia="SimSun" w:hAnsi="Symbol" w:cstheme="majorBidi"/>
                <w:iCs/>
                <w:sz w:val="18"/>
                <w:szCs w:val="18"/>
              </w:rPr>
              <w:t></w:t>
            </w:r>
            <w:r w:rsidRPr="006C5F3C">
              <w:rPr>
                <w:rFonts w:asciiTheme="majorBidi" w:eastAsia="SimSun" w:hAnsiTheme="majorBidi" w:cstheme="majorBidi"/>
                <w:sz w:val="18"/>
                <w:szCs w:val="18"/>
                <w:vertAlign w:val="subscript"/>
              </w:rPr>
              <w:t>lgDS</w:t>
            </w:r>
            <w:r w:rsidRPr="006C5F3C">
              <w:rPr>
                <w:sz w:val="18"/>
                <w:szCs w:val="18"/>
              </w:rPr>
              <w:t xml:space="preserve"> in </w:t>
            </w:r>
            <w:r w:rsidRPr="006C5F3C">
              <w:rPr>
                <w:sz w:val="18"/>
                <w:szCs w:val="18"/>
              </w:rPr>
              <w:br/>
              <w:t>Table A4-9 (UMa) in Annex 1</w:t>
            </w:r>
          </w:p>
        </w:tc>
      </w:tr>
      <w:tr w:rsidR="00EB486C" w:rsidRPr="00094D63" w14:paraId="534B5F89" w14:textId="77777777" w:rsidTr="00EB486C">
        <w:trPr>
          <w:cantSplit/>
          <w:jc w:val="center"/>
        </w:trPr>
        <w:tc>
          <w:tcPr>
            <w:tcW w:w="2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1D3D26" w14:textId="77777777" w:rsidR="00EB486C" w:rsidRPr="006C5F3C" w:rsidRDefault="00EB486C" w:rsidP="00EB486C">
            <w:pPr>
              <w:pStyle w:val="Tabletext"/>
              <w:rPr>
                <w:sz w:val="18"/>
                <w:szCs w:val="18"/>
              </w:rPr>
            </w:pPr>
            <w:r w:rsidRPr="006C5F3C">
              <w:rPr>
                <w:sz w:val="18"/>
                <w:szCs w:val="18"/>
              </w:rPr>
              <w:t xml:space="preserve">AoA, AoD, ZoA angular spreads scaling parameter </w:t>
            </w:r>
            <w:r>
              <w:rPr>
                <w:noProof/>
                <w:sz w:val="18"/>
                <w:szCs w:val="18"/>
                <w:lang w:val="en-US" w:eastAsia="zh-CN"/>
              </w:rPr>
              <w:drawing>
                <wp:inline distT="0" distB="0" distL="0" distR="0" wp14:anchorId="35F48BC7" wp14:editId="01A32B36">
                  <wp:extent cx="334010" cy="17462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4010" cy="174625"/>
                          </a:xfrm>
                          <a:prstGeom prst="rect">
                            <a:avLst/>
                          </a:prstGeom>
                          <a:noFill/>
                          <a:ln>
                            <a:noFill/>
                          </a:ln>
                        </pic:spPr>
                      </pic:pic>
                    </a:graphicData>
                  </a:graphic>
                </wp:inline>
              </w:drawing>
            </w:r>
            <w:r w:rsidRPr="006C5F3C">
              <w:rPr>
                <w:sz w:val="18"/>
                <w:szCs w:val="18"/>
              </w:rPr>
              <w:t> </w:t>
            </w:r>
            <w:r w:rsidRPr="006C5F3C">
              <w:rPr>
                <w:sz w:val="18"/>
                <w:szCs w:val="18"/>
              </w:rPr>
              <w:br/>
              <w:t>(degree)</w:t>
            </w:r>
          </w:p>
        </w:tc>
        <w:tc>
          <w:tcPr>
            <w:tcW w:w="3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BFD577" w14:textId="77777777" w:rsidR="00EB486C" w:rsidRPr="006C5F3C" w:rsidRDefault="00EB486C" w:rsidP="00EB486C">
            <w:pPr>
              <w:pStyle w:val="Tabletext"/>
              <w:jc w:val="center"/>
              <w:rPr>
                <w:sz w:val="18"/>
                <w:szCs w:val="18"/>
              </w:rPr>
            </w:pPr>
            <w:r w:rsidRPr="006C5F3C">
              <w:rPr>
                <w:sz w:val="18"/>
                <w:szCs w:val="18"/>
              </w:rPr>
              <w:t>Log10(</w:t>
            </w:r>
            <w:r>
              <w:rPr>
                <w:noProof/>
                <w:sz w:val="18"/>
                <w:szCs w:val="18"/>
                <w:lang w:val="en-US" w:eastAsia="zh-CN"/>
              </w:rPr>
              <w:drawing>
                <wp:inline distT="0" distB="0" distL="0" distR="0" wp14:anchorId="6BBD68E4" wp14:editId="5C6DEE76">
                  <wp:extent cx="334010" cy="174625"/>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4010" cy="174625"/>
                          </a:xfrm>
                          <a:prstGeom prst="rect">
                            <a:avLst/>
                          </a:prstGeom>
                          <a:noFill/>
                          <a:ln>
                            <a:noFill/>
                          </a:ln>
                        </pic:spPr>
                      </pic:pic>
                    </a:graphicData>
                  </a:graphic>
                </wp:inline>
              </w:drawing>
            </w:r>
            <w:r w:rsidRPr="006C5F3C">
              <w:rPr>
                <w:sz w:val="18"/>
                <w:szCs w:val="18"/>
              </w:rPr>
              <w:t>) =</w:t>
            </w:r>
            <w:r w:rsidRPr="00902CDB">
              <w:rPr>
                <w:rFonts w:ascii="Symbol" w:eastAsia="SimSun" w:hAnsi="Symbol" w:cstheme="majorBidi"/>
                <w:iCs/>
                <w:sz w:val="18"/>
                <w:szCs w:val="18"/>
              </w:rPr>
              <w:t></w:t>
            </w:r>
            <w:r w:rsidRPr="006C5F3C">
              <w:rPr>
                <w:rFonts w:asciiTheme="majorBidi" w:eastAsia="SimSun" w:hAnsiTheme="majorBidi" w:cstheme="majorBidi"/>
                <w:sz w:val="18"/>
                <w:szCs w:val="18"/>
                <w:vertAlign w:val="subscript"/>
              </w:rPr>
              <w:t>lgASA</w:t>
            </w:r>
            <w:r w:rsidRPr="006C5F3C">
              <w:rPr>
                <w:sz w:val="18"/>
                <w:szCs w:val="18"/>
              </w:rPr>
              <w:t xml:space="preserve"> /</w:t>
            </w:r>
            <w:r w:rsidRPr="00902CDB">
              <w:rPr>
                <w:rFonts w:ascii="Symbol" w:eastAsia="SimSun" w:hAnsi="Symbol" w:cstheme="majorBidi"/>
                <w:iCs/>
                <w:sz w:val="18"/>
                <w:szCs w:val="18"/>
              </w:rPr>
              <w:t></w:t>
            </w:r>
            <w:r w:rsidRPr="006C5F3C">
              <w:rPr>
                <w:rFonts w:asciiTheme="majorBidi" w:eastAsia="SimSun" w:hAnsiTheme="majorBidi" w:cstheme="majorBidi"/>
                <w:sz w:val="18"/>
                <w:szCs w:val="18"/>
                <w:vertAlign w:val="subscript"/>
              </w:rPr>
              <w:t>lgASD</w:t>
            </w:r>
            <w:r w:rsidRPr="006C5F3C">
              <w:rPr>
                <w:sz w:val="18"/>
                <w:szCs w:val="18"/>
              </w:rPr>
              <w:t xml:space="preserve"> /</w:t>
            </w:r>
            <w:r w:rsidRPr="00902CDB">
              <w:rPr>
                <w:rFonts w:ascii="Symbol" w:eastAsia="SimSun" w:hAnsi="Symbol" w:cstheme="majorBidi"/>
                <w:iCs/>
                <w:sz w:val="18"/>
                <w:szCs w:val="18"/>
              </w:rPr>
              <w:t></w:t>
            </w:r>
            <w:r w:rsidRPr="006C5F3C">
              <w:rPr>
                <w:rFonts w:asciiTheme="majorBidi" w:eastAsia="SimSun" w:hAnsiTheme="majorBidi" w:cstheme="majorBidi"/>
                <w:sz w:val="18"/>
                <w:szCs w:val="18"/>
                <w:vertAlign w:val="subscript"/>
              </w:rPr>
              <w:t>lgZSA</w:t>
            </w:r>
            <w:r w:rsidRPr="006C5F3C">
              <w:rPr>
                <w:sz w:val="18"/>
                <w:szCs w:val="18"/>
              </w:rPr>
              <w:t xml:space="preserve"> in Table A4</w:t>
            </w:r>
            <w:r>
              <w:rPr>
                <w:sz w:val="18"/>
                <w:szCs w:val="18"/>
              </w:rPr>
              <w:noBreakHyphen/>
            </w:r>
            <w:r w:rsidRPr="006C5F3C">
              <w:rPr>
                <w:sz w:val="18"/>
                <w:szCs w:val="18"/>
              </w:rPr>
              <w:t>9 (UMa) in Annex 1</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6CF6F8" w14:textId="77777777" w:rsidR="00EB486C" w:rsidRPr="006C5F3C" w:rsidRDefault="00EB486C" w:rsidP="00EB486C">
            <w:pPr>
              <w:pStyle w:val="Tabletext"/>
              <w:jc w:val="center"/>
              <w:rPr>
                <w:sz w:val="18"/>
                <w:szCs w:val="18"/>
              </w:rPr>
            </w:pPr>
            <w:r w:rsidRPr="006C5F3C">
              <w:rPr>
                <w:sz w:val="18"/>
                <w:szCs w:val="18"/>
              </w:rPr>
              <w:t>Log10(</w:t>
            </w:r>
            <w:r>
              <w:rPr>
                <w:noProof/>
                <w:sz w:val="18"/>
                <w:szCs w:val="18"/>
                <w:lang w:val="en-US" w:eastAsia="zh-CN"/>
              </w:rPr>
              <w:drawing>
                <wp:inline distT="0" distB="0" distL="0" distR="0" wp14:anchorId="0061FF03" wp14:editId="4A80B6E8">
                  <wp:extent cx="334010" cy="174625"/>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4010" cy="174625"/>
                          </a:xfrm>
                          <a:prstGeom prst="rect">
                            <a:avLst/>
                          </a:prstGeom>
                          <a:noFill/>
                          <a:ln>
                            <a:noFill/>
                          </a:ln>
                        </pic:spPr>
                      </pic:pic>
                    </a:graphicData>
                  </a:graphic>
                </wp:inline>
              </w:drawing>
            </w:r>
            <w:r w:rsidRPr="006C5F3C">
              <w:rPr>
                <w:sz w:val="18"/>
                <w:szCs w:val="18"/>
              </w:rPr>
              <w:t>) =</w:t>
            </w:r>
            <w:r w:rsidRPr="00902CDB">
              <w:rPr>
                <w:rFonts w:ascii="Symbol" w:eastAsia="SimSun" w:hAnsi="Symbol" w:cstheme="majorBidi"/>
                <w:iCs/>
                <w:sz w:val="18"/>
                <w:szCs w:val="18"/>
              </w:rPr>
              <w:t></w:t>
            </w:r>
            <w:r w:rsidRPr="006C5F3C">
              <w:rPr>
                <w:rFonts w:asciiTheme="majorBidi" w:eastAsia="SimSun" w:hAnsiTheme="majorBidi" w:cstheme="majorBidi"/>
                <w:sz w:val="18"/>
                <w:szCs w:val="18"/>
                <w:vertAlign w:val="subscript"/>
              </w:rPr>
              <w:t>lgASA</w:t>
            </w:r>
            <w:r w:rsidRPr="006C5F3C">
              <w:rPr>
                <w:sz w:val="18"/>
                <w:szCs w:val="18"/>
              </w:rPr>
              <w:t xml:space="preserve"> /</w:t>
            </w:r>
            <w:r w:rsidRPr="00902CDB">
              <w:rPr>
                <w:rFonts w:ascii="Symbol" w:eastAsia="SimSun" w:hAnsi="Symbol" w:cstheme="majorBidi"/>
                <w:iCs/>
                <w:sz w:val="18"/>
                <w:szCs w:val="18"/>
              </w:rPr>
              <w:t></w:t>
            </w:r>
            <w:r w:rsidRPr="006C5F3C">
              <w:rPr>
                <w:rFonts w:asciiTheme="majorBidi" w:eastAsia="SimSun" w:hAnsiTheme="majorBidi" w:cstheme="majorBidi"/>
                <w:sz w:val="18"/>
                <w:szCs w:val="18"/>
                <w:vertAlign w:val="subscript"/>
              </w:rPr>
              <w:t>lgASD</w:t>
            </w:r>
            <w:r w:rsidRPr="006C5F3C">
              <w:rPr>
                <w:sz w:val="18"/>
                <w:szCs w:val="18"/>
              </w:rPr>
              <w:t xml:space="preserve"> /</w:t>
            </w:r>
            <w:r w:rsidRPr="00902CDB">
              <w:rPr>
                <w:rFonts w:ascii="Symbol" w:eastAsia="SimSun" w:hAnsi="Symbol" w:cstheme="majorBidi"/>
                <w:iCs/>
                <w:sz w:val="18"/>
                <w:szCs w:val="18"/>
              </w:rPr>
              <w:t></w:t>
            </w:r>
            <w:r w:rsidRPr="006C5F3C">
              <w:rPr>
                <w:rFonts w:asciiTheme="majorBidi" w:eastAsia="SimSun" w:hAnsiTheme="majorBidi" w:cstheme="majorBidi"/>
                <w:sz w:val="18"/>
                <w:szCs w:val="18"/>
                <w:vertAlign w:val="subscript"/>
              </w:rPr>
              <w:t>lgZSA</w:t>
            </w:r>
            <w:r w:rsidRPr="006C5F3C">
              <w:rPr>
                <w:sz w:val="18"/>
                <w:szCs w:val="18"/>
              </w:rPr>
              <w:t xml:space="preserve"> in Table A4</w:t>
            </w:r>
            <w:r>
              <w:rPr>
                <w:sz w:val="18"/>
                <w:szCs w:val="18"/>
              </w:rPr>
              <w:noBreakHyphen/>
            </w:r>
            <w:r w:rsidRPr="006C5F3C">
              <w:rPr>
                <w:sz w:val="18"/>
                <w:szCs w:val="18"/>
              </w:rPr>
              <w:t>9 (UMa) in Annex 1</w:t>
            </w:r>
          </w:p>
        </w:tc>
      </w:tr>
      <w:tr w:rsidR="00EB486C" w:rsidRPr="00094D63" w14:paraId="3E8B8003" w14:textId="77777777" w:rsidTr="00EB486C">
        <w:trPr>
          <w:cantSplit/>
          <w:jc w:val="center"/>
        </w:trPr>
        <w:tc>
          <w:tcPr>
            <w:tcW w:w="2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9CE3A3" w14:textId="77777777" w:rsidR="00EB486C" w:rsidRPr="006C5F3C" w:rsidRDefault="00EB486C" w:rsidP="00EB486C">
            <w:pPr>
              <w:pStyle w:val="Tabletext"/>
              <w:rPr>
                <w:sz w:val="18"/>
                <w:szCs w:val="18"/>
              </w:rPr>
            </w:pPr>
            <w:r w:rsidRPr="006C5F3C">
              <w:rPr>
                <w:sz w:val="18"/>
                <w:szCs w:val="18"/>
              </w:rPr>
              <w:t xml:space="preserve">ZoD angular spreads scaling parameter </w:t>
            </w:r>
            <w:r>
              <w:rPr>
                <w:noProof/>
                <w:sz w:val="18"/>
                <w:szCs w:val="18"/>
                <w:lang w:val="en-US" w:eastAsia="zh-CN"/>
              </w:rPr>
              <w:drawing>
                <wp:inline distT="0" distB="0" distL="0" distR="0" wp14:anchorId="46F5D18D" wp14:editId="5F74EC55">
                  <wp:extent cx="334010" cy="174625"/>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4010" cy="174625"/>
                          </a:xfrm>
                          <a:prstGeom prst="rect">
                            <a:avLst/>
                          </a:prstGeom>
                          <a:noFill/>
                          <a:ln>
                            <a:noFill/>
                          </a:ln>
                        </pic:spPr>
                      </pic:pic>
                    </a:graphicData>
                  </a:graphic>
                </wp:inline>
              </w:drawing>
            </w:r>
            <w:r w:rsidRPr="006C5F3C">
              <w:rPr>
                <w:sz w:val="18"/>
                <w:szCs w:val="18"/>
              </w:rPr>
              <w:t> </w:t>
            </w:r>
            <w:r w:rsidRPr="006C5F3C">
              <w:rPr>
                <w:sz w:val="18"/>
                <w:szCs w:val="18"/>
              </w:rPr>
              <w:br/>
              <w:t>(degree)</w:t>
            </w:r>
          </w:p>
        </w:tc>
        <w:tc>
          <w:tcPr>
            <w:tcW w:w="3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D5A806" w14:textId="77777777" w:rsidR="00EB486C" w:rsidRPr="006C5F3C" w:rsidRDefault="00EB486C" w:rsidP="00EB486C">
            <w:pPr>
              <w:pStyle w:val="Tabletext"/>
              <w:jc w:val="center"/>
              <w:rPr>
                <w:sz w:val="18"/>
                <w:szCs w:val="18"/>
              </w:rPr>
            </w:pPr>
            <w:r w:rsidRPr="006C5F3C">
              <w:rPr>
                <w:sz w:val="18"/>
                <w:szCs w:val="18"/>
              </w:rPr>
              <w:t>Log10(</w:t>
            </w:r>
            <w:r>
              <w:rPr>
                <w:noProof/>
                <w:sz w:val="18"/>
                <w:szCs w:val="18"/>
                <w:lang w:val="en-US" w:eastAsia="zh-CN"/>
              </w:rPr>
              <w:drawing>
                <wp:inline distT="0" distB="0" distL="0" distR="0" wp14:anchorId="239B581D" wp14:editId="19902535">
                  <wp:extent cx="334010" cy="17462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4010" cy="174625"/>
                          </a:xfrm>
                          <a:prstGeom prst="rect">
                            <a:avLst/>
                          </a:prstGeom>
                          <a:noFill/>
                          <a:ln>
                            <a:noFill/>
                          </a:ln>
                        </pic:spPr>
                      </pic:pic>
                    </a:graphicData>
                  </a:graphic>
                </wp:inline>
              </w:drawing>
            </w:r>
            <w:r w:rsidRPr="006C5F3C">
              <w:rPr>
                <w:sz w:val="18"/>
                <w:szCs w:val="18"/>
              </w:rPr>
              <w:t>) =</w:t>
            </w:r>
            <w:r w:rsidRPr="00902CDB">
              <w:rPr>
                <w:rFonts w:ascii="Symbol" w:eastAsia="SimSun" w:hAnsi="Symbol" w:cstheme="majorBidi"/>
                <w:iCs/>
                <w:sz w:val="18"/>
                <w:szCs w:val="18"/>
              </w:rPr>
              <w:t></w:t>
            </w:r>
            <w:r w:rsidRPr="006C5F3C">
              <w:rPr>
                <w:rFonts w:asciiTheme="majorBidi" w:eastAsia="SimSun" w:hAnsiTheme="majorBidi" w:cstheme="majorBidi"/>
                <w:sz w:val="18"/>
                <w:szCs w:val="18"/>
                <w:vertAlign w:val="subscript"/>
              </w:rPr>
              <w:t>lgZSD</w:t>
            </w:r>
            <w:r w:rsidRPr="006C5F3C">
              <w:rPr>
                <w:sz w:val="18"/>
                <w:szCs w:val="18"/>
              </w:rPr>
              <w:t xml:space="preserve"> in Table A4</w:t>
            </w:r>
            <w:r w:rsidRPr="006C5F3C">
              <w:rPr>
                <w:sz w:val="18"/>
                <w:szCs w:val="18"/>
              </w:rPr>
              <w:noBreakHyphen/>
              <w:t>10 (UMa) in Annex 1</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9BD6C7" w14:textId="77777777" w:rsidR="00EB486C" w:rsidRPr="006C5F3C" w:rsidRDefault="00EB486C" w:rsidP="00EB486C">
            <w:pPr>
              <w:pStyle w:val="Tabletext"/>
              <w:jc w:val="center"/>
              <w:rPr>
                <w:sz w:val="18"/>
                <w:szCs w:val="18"/>
              </w:rPr>
            </w:pPr>
            <w:r w:rsidRPr="006C5F3C">
              <w:rPr>
                <w:sz w:val="18"/>
                <w:szCs w:val="18"/>
              </w:rPr>
              <w:t>Log10(</w:t>
            </w:r>
            <w:r>
              <w:rPr>
                <w:noProof/>
                <w:sz w:val="18"/>
                <w:szCs w:val="18"/>
                <w:lang w:val="en-US" w:eastAsia="zh-CN"/>
              </w:rPr>
              <w:drawing>
                <wp:inline distT="0" distB="0" distL="0" distR="0" wp14:anchorId="49F01F78" wp14:editId="1BF427CC">
                  <wp:extent cx="334010" cy="17462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4010" cy="174625"/>
                          </a:xfrm>
                          <a:prstGeom prst="rect">
                            <a:avLst/>
                          </a:prstGeom>
                          <a:noFill/>
                          <a:ln>
                            <a:noFill/>
                          </a:ln>
                        </pic:spPr>
                      </pic:pic>
                    </a:graphicData>
                  </a:graphic>
                </wp:inline>
              </w:drawing>
            </w:r>
            <w:r w:rsidRPr="006C5F3C">
              <w:rPr>
                <w:sz w:val="18"/>
                <w:szCs w:val="18"/>
              </w:rPr>
              <w:t>) =</w:t>
            </w:r>
            <w:r w:rsidRPr="00902CDB">
              <w:rPr>
                <w:rFonts w:ascii="Symbol" w:eastAsia="SimSun" w:hAnsi="Symbol" w:cstheme="majorBidi"/>
                <w:iCs/>
                <w:sz w:val="18"/>
                <w:szCs w:val="18"/>
              </w:rPr>
              <w:t></w:t>
            </w:r>
            <w:r w:rsidRPr="006C5F3C">
              <w:rPr>
                <w:rFonts w:asciiTheme="majorBidi" w:eastAsia="SimSun" w:hAnsiTheme="majorBidi" w:cstheme="majorBidi"/>
                <w:sz w:val="18"/>
                <w:szCs w:val="18"/>
                <w:vertAlign w:val="subscript"/>
              </w:rPr>
              <w:t>lgZSD</w:t>
            </w:r>
            <w:r w:rsidRPr="006C5F3C">
              <w:rPr>
                <w:sz w:val="18"/>
                <w:szCs w:val="18"/>
              </w:rPr>
              <w:t xml:space="preserve"> in Table A4</w:t>
            </w:r>
            <w:r w:rsidRPr="006C5F3C">
              <w:rPr>
                <w:sz w:val="18"/>
                <w:szCs w:val="18"/>
              </w:rPr>
              <w:noBreakHyphen/>
              <w:t>10 (UMa) in Annex 1</w:t>
            </w:r>
          </w:p>
        </w:tc>
      </w:tr>
    </w:tbl>
    <w:p w14:paraId="08BAC644" w14:textId="77777777" w:rsidR="00EB486C" w:rsidRDefault="00EB486C" w:rsidP="00DC5042">
      <w:pPr>
        <w:pStyle w:val="Tablefin"/>
      </w:pPr>
    </w:p>
    <w:p w14:paraId="0054C3A6" w14:textId="77777777" w:rsidR="00DC5042" w:rsidRDefault="00DC5042" w:rsidP="00DC5042">
      <w:pPr>
        <w:pStyle w:val="FigureNo"/>
      </w:pPr>
      <w:r w:rsidRPr="00493B3A">
        <w:t xml:space="preserve">Figure </w:t>
      </w:r>
      <w:r>
        <w:t>3</w:t>
      </w:r>
    </w:p>
    <w:p w14:paraId="4EE25979" w14:textId="77777777" w:rsidR="00DC5042" w:rsidRPr="00C21083" w:rsidRDefault="00DC5042" w:rsidP="00DC5042">
      <w:pPr>
        <w:pStyle w:val="Figuretitle"/>
        <w:rPr>
          <w:rFonts w:eastAsia="Arial"/>
        </w:rPr>
      </w:pPr>
      <w:r w:rsidRPr="00C21083">
        <w:t>Connection Density Simulation Methodology</w:t>
      </w:r>
    </w:p>
    <w:p w14:paraId="5C8F4A34" w14:textId="77777777" w:rsidR="00EB486C" w:rsidRPr="00DC5042" w:rsidRDefault="00EB486C" w:rsidP="00DC5042">
      <w:pPr>
        <w:pStyle w:val="Figure"/>
      </w:pPr>
      <w:r w:rsidRPr="00DC5042">
        <w:rPr>
          <w:lang w:val="en-US"/>
        </w:rPr>
        <w:drawing>
          <wp:inline distT="0" distB="0" distL="0" distR="0" wp14:anchorId="00A7717D" wp14:editId="32B97A9D">
            <wp:extent cx="6436155" cy="4207726"/>
            <wp:effectExtent l="0" t="0" r="3175" b="2540"/>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48644" cy="4215891"/>
                    </a:xfrm>
                    <a:prstGeom prst="rect">
                      <a:avLst/>
                    </a:prstGeom>
                    <a:noFill/>
                    <a:ln>
                      <a:noFill/>
                    </a:ln>
                  </pic:spPr>
                </pic:pic>
              </a:graphicData>
            </a:graphic>
          </wp:inline>
        </w:drawing>
      </w:r>
    </w:p>
    <w:p w14:paraId="001E8D8D" w14:textId="77777777" w:rsidR="00EB486C" w:rsidRPr="00DC5042" w:rsidRDefault="00EB486C" w:rsidP="00DC5042">
      <w:pPr>
        <w:pStyle w:val="Heading1"/>
        <w:rPr>
          <w:rFonts w:ascii="Times New Roman Bold" w:hAnsi="Times New Roman Bold"/>
          <w:spacing w:val="-2"/>
        </w:rPr>
      </w:pPr>
      <w:r w:rsidRPr="000E20B9">
        <w:lastRenderedPageBreak/>
        <w:t>II-D</w:t>
      </w:r>
      <w:r w:rsidR="00DC5042">
        <w:tab/>
      </w:r>
      <w:r w:rsidRPr="000E20B9">
        <w:t xml:space="preserve">Verification as per Report ITU-R M.2411 of the compliance templates </w:t>
      </w:r>
      <w:r w:rsidRPr="00DC5042">
        <w:rPr>
          <w:rFonts w:ascii="Times New Roman Bold" w:hAnsi="Times New Roman Bold"/>
          <w:spacing w:val="-2"/>
        </w:rPr>
        <w:t>and the self-evaluation for each candidate technology as indicated in A)</w:t>
      </w:r>
    </w:p>
    <w:p w14:paraId="2F2919D7" w14:textId="77777777" w:rsidR="00EB486C" w:rsidRPr="000E20B9" w:rsidRDefault="00EB486C" w:rsidP="00EB486C">
      <w:pPr>
        <w:spacing w:before="240" w:after="240"/>
        <w:jc w:val="both"/>
      </w:pPr>
      <w:r w:rsidRPr="000E20B9">
        <w:t>This is an interim report</w:t>
      </w:r>
      <w:r>
        <w:t>,</w:t>
      </w:r>
      <w:r w:rsidRPr="000E20B9">
        <w:t xml:space="preserve"> and the verification of compliance templates and the self-evaluation will be conducted in the final report.</w:t>
      </w:r>
    </w:p>
    <w:p w14:paraId="56D108C0" w14:textId="77777777" w:rsidR="00EB486C" w:rsidRPr="00DC5042" w:rsidRDefault="00EB486C" w:rsidP="00DC5042">
      <w:pPr>
        <w:pStyle w:val="Heading1"/>
      </w:pPr>
      <w:r w:rsidRPr="00DC5042">
        <w:t>II-E</w:t>
      </w:r>
      <w:r w:rsidR="00DC5042" w:rsidRPr="00DC5042">
        <w:tab/>
      </w:r>
      <w:r w:rsidRPr="00DC5042">
        <w:t>Assessment as per Reports ITU-R M.2410, ITU-R M.2411 and ITU</w:t>
      </w:r>
      <w:r w:rsidR="00DC5042">
        <w:noBreakHyphen/>
      </w:r>
      <w:r w:rsidRPr="00DC5042">
        <w:t>R</w:t>
      </w:r>
      <w:r w:rsidR="00DC5042">
        <w:t> </w:t>
      </w:r>
      <w:r w:rsidRPr="00DC5042">
        <w:t>M.2412 for each candidate technology as indicated in A)</w:t>
      </w:r>
    </w:p>
    <w:p w14:paraId="2C498618" w14:textId="77777777" w:rsidR="00EB486C" w:rsidRPr="000E20B9" w:rsidRDefault="00EB486C" w:rsidP="00EB486C">
      <w:pPr>
        <w:spacing w:before="240" w:after="240"/>
      </w:pPr>
      <w:r w:rsidRPr="000E20B9">
        <w:t>This is an interim report, and the final assessment on a system level scale will be conducted in the midterm and final report.</w:t>
      </w:r>
    </w:p>
    <w:p w14:paraId="1BAA001E" w14:textId="77777777" w:rsidR="00EB486C" w:rsidRPr="000E20B9" w:rsidRDefault="00EB486C" w:rsidP="00DC5042">
      <w:pPr>
        <w:pStyle w:val="Heading1"/>
      </w:pPr>
      <w:r w:rsidRPr="000E20B9">
        <w:t>II-F</w:t>
      </w:r>
      <w:r w:rsidR="00DC5042">
        <w:tab/>
      </w:r>
      <w:r w:rsidRPr="000E20B9">
        <w:t>Questions and feedback to WP 5D and/or the proponents or other IEGs</w:t>
      </w:r>
    </w:p>
    <w:p w14:paraId="63D3379E" w14:textId="77777777" w:rsidR="00EB486C" w:rsidRDefault="00EB486C" w:rsidP="00EB486C">
      <w:pPr>
        <w:spacing w:before="240" w:after="240"/>
        <w:jc w:val="both"/>
      </w:pPr>
      <w:r w:rsidRPr="000E20B9">
        <w:t xml:space="preserve">This IEG has referred to the </w:t>
      </w:r>
      <w:r>
        <w:t xml:space="preserve">previously submitted </w:t>
      </w:r>
      <w:r w:rsidRPr="000E20B9">
        <w:t>self-evaluation report</w:t>
      </w:r>
      <w:r>
        <w:t xml:space="preserve"> (SER)</w:t>
      </w:r>
      <w:r w:rsidRPr="000E20B9">
        <w:t xml:space="preserve"> provided by the </w:t>
      </w:r>
      <w:r>
        <w:t>Nufront</w:t>
      </w:r>
      <w:r w:rsidRPr="000E20B9">
        <w:t xml:space="preserve"> and plans to use the parameters used by the EUHT</w:t>
      </w:r>
      <w:r>
        <w:t>-5G</w:t>
      </w:r>
      <w:r w:rsidRPr="000E20B9">
        <w:t xml:space="preserve"> self-evaluation to cross verify the findings.</w:t>
      </w:r>
    </w:p>
    <w:p w14:paraId="3909957F" w14:textId="77777777" w:rsidR="00EB486C" w:rsidRPr="000E20B9" w:rsidRDefault="00EB486C" w:rsidP="00DC5042">
      <w:pPr>
        <w:pStyle w:val="Heading1"/>
        <w:rPr>
          <w:szCs w:val="24"/>
        </w:rPr>
      </w:pPr>
      <w:r w:rsidRPr="000E20B9">
        <w:t>II-G</w:t>
      </w:r>
      <w:r w:rsidR="00DC5042">
        <w:tab/>
      </w:r>
      <w:r w:rsidRPr="000E20B9">
        <w:t>Proposed next steps towards the final report</w:t>
      </w:r>
    </w:p>
    <w:p w14:paraId="3FB8EE98" w14:textId="77777777" w:rsidR="00EB486C" w:rsidRPr="000E20B9" w:rsidRDefault="00C20B6A" w:rsidP="00EB486C">
      <w:pPr>
        <w:pStyle w:val="Heading2"/>
        <w:rPr>
          <w:szCs w:val="24"/>
        </w:rPr>
      </w:pPr>
      <w:sdt>
        <w:sdtPr>
          <w:tag w:val="goog_rdk_2"/>
          <w:id w:val="-336539677"/>
        </w:sdtPr>
        <w:sdtEndPr/>
        <w:sdtContent/>
      </w:sdt>
      <w:r w:rsidR="00EB486C" w:rsidRPr="000E20B9">
        <w:rPr>
          <w:szCs w:val="24"/>
        </w:rPr>
        <w:t>II-G-2A</w:t>
      </w:r>
      <w:r w:rsidR="00EB486C" w:rsidRPr="000E20B9">
        <w:rPr>
          <w:szCs w:val="24"/>
        </w:rPr>
        <w:tab/>
        <w:t>Results for the</w:t>
      </w:r>
      <w:r w:rsidR="00EB486C">
        <w:rPr>
          <w:szCs w:val="24"/>
        </w:rPr>
        <w:t xml:space="preserve"> URLLC</w:t>
      </w:r>
      <w:r w:rsidR="00EB486C" w:rsidRPr="000E20B9">
        <w:rPr>
          <w:szCs w:val="24"/>
        </w:rPr>
        <w:t xml:space="preserve"> Link Level Simulator</w:t>
      </w:r>
    </w:p>
    <w:p w14:paraId="34A625AB" w14:textId="77777777" w:rsidR="00EB486C" w:rsidRPr="000E20B9" w:rsidRDefault="00EB486C" w:rsidP="00DC5042">
      <w:r w:rsidRPr="000E20B9">
        <w:t>The system level simulator design shown in Section II-C is work in progress and the next reports will include EUHT</w:t>
      </w:r>
      <w:r>
        <w:t>-5G</w:t>
      </w:r>
      <w:r w:rsidRPr="000E20B9">
        <w:t xml:space="preserve"> evaluation results for Link Level simulations.</w:t>
      </w:r>
    </w:p>
    <w:p w14:paraId="64FFF2E7" w14:textId="77777777" w:rsidR="00EB486C" w:rsidRDefault="00EB486C" w:rsidP="00EB486C">
      <w:pPr>
        <w:pStyle w:val="Heading2"/>
        <w:spacing w:before="280" w:after="280"/>
        <w:rPr>
          <w:szCs w:val="24"/>
        </w:rPr>
      </w:pPr>
      <w:r>
        <w:rPr>
          <w:szCs w:val="24"/>
        </w:rPr>
        <w:t>II-G-2B</w:t>
      </w:r>
      <w:r>
        <w:rPr>
          <w:szCs w:val="24"/>
        </w:rPr>
        <w:tab/>
        <w:t>System Level Simulation design</w:t>
      </w:r>
    </w:p>
    <w:p w14:paraId="4A166355" w14:textId="77777777" w:rsidR="00EB486C" w:rsidRDefault="00EB486C" w:rsidP="00DC5042">
      <w:r>
        <w:t xml:space="preserve">The EUHT system-level simulator will be developed according to the ITU specifications. The simulator will include a 19-cell two-tier scenario as shown in Figure 4. </w:t>
      </w:r>
    </w:p>
    <w:p w14:paraId="57ED7E6E" w14:textId="77777777" w:rsidR="00DC5042" w:rsidRDefault="00DC5042" w:rsidP="00DC5042">
      <w:pPr>
        <w:pStyle w:val="FigureNo"/>
      </w:pPr>
      <w:r>
        <w:t>Figure 4</w:t>
      </w:r>
    </w:p>
    <w:p w14:paraId="4D1837E6" w14:textId="77777777" w:rsidR="00DC5042" w:rsidRDefault="00DC5042" w:rsidP="00DC5042">
      <w:pPr>
        <w:pStyle w:val="Figuretitle"/>
      </w:pPr>
      <w:r>
        <w:t>System Level Simulation Plan: 19-Cell Scenario with Two Tiers</w:t>
      </w:r>
    </w:p>
    <w:p w14:paraId="352548A6" w14:textId="77777777" w:rsidR="00EB486C" w:rsidRDefault="00EB486C" w:rsidP="00DC5042">
      <w:pPr>
        <w:pStyle w:val="Figure"/>
      </w:pPr>
      <w:r>
        <w:rPr>
          <w:lang w:val="en-US"/>
        </w:rPr>
        <w:drawing>
          <wp:inline distT="0" distB="0" distL="0" distR="0" wp14:anchorId="10A1A757" wp14:editId="249D6C77">
            <wp:extent cx="2371060" cy="2121195"/>
            <wp:effectExtent l="0" t="0" r="4445" b="0"/>
            <wp:docPr id="27" name="image1.png" descr="A close - up of a keyboar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close - up of a keyboard&#10;&#10;Description automatically generated with low confidence"/>
                    <pic:cNvPicPr preferRelativeResize="0"/>
                  </pic:nvPicPr>
                  <pic:blipFill>
                    <a:blip r:embed="rId32"/>
                    <a:srcRect/>
                    <a:stretch>
                      <a:fillRect/>
                    </a:stretch>
                  </pic:blipFill>
                  <pic:spPr>
                    <a:xfrm>
                      <a:off x="0" y="0"/>
                      <a:ext cx="2383923" cy="2132703"/>
                    </a:xfrm>
                    <a:prstGeom prst="rect">
                      <a:avLst/>
                    </a:prstGeom>
                    <a:ln/>
                  </pic:spPr>
                </pic:pic>
              </a:graphicData>
            </a:graphic>
          </wp:inline>
        </w:drawing>
      </w:r>
    </w:p>
    <w:p w14:paraId="7260D6D4" w14:textId="77777777" w:rsidR="00EB486C" w:rsidRPr="00D83BA5" w:rsidRDefault="00EB486C" w:rsidP="00DC5042">
      <w:pPr>
        <w:pStyle w:val="Normalaftertitle"/>
        <w:keepLines/>
        <w:rPr>
          <w:color w:val="000000" w:themeColor="text1"/>
        </w:rPr>
      </w:pPr>
      <w:r>
        <w:lastRenderedPageBreak/>
        <w:t xml:space="preserve">The system-level simulator will solely focus on evaluating the reliability of the EUHT-5G technology.  ITU-R guideline on system-level simulation requirements for evaluating reliability defined in Report ITU-R M.2410-0 [1], section 4.10 [1] and Report ITU-R M.2412-0, section 7.1.5 [3].  The system-level simulation will run downlink and uplink full buffer system-level simulations of EUHT-5G using the evaluation parameters of the Urban Macro-URLLC test environment defined in Report ITU-R M.2412-0, section 8.4.1 [3] and summarised in </w:t>
      </w:r>
      <w:r w:rsidRPr="00D83BA5">
        <w:rPr>
          <w:color w:val="000000" w:themeColor="text1"/>
        </w:rPr>
        <w:t xml:space="preserve">Table </w:t>
      </w:r>
      <w:r>
        <w:rPr>
          <w:color w:val="000000" w:themeColor="text1"/>
        </w:rPr>
        <w:t xml:space="preserve">4 </w:t>
      </w:r>
      <w:r w:rsidRPr="00D83BA5">
        <w:rPr>
          <w:color w:val="000000" w:themeColor="text1"/>
        </w:rPr>
        <w:t>and collect overall statistics for downlink and uplink SINR values, and construct CDF over these values.  Then use the CDF for the Urban Macro-URLLC test environment to save the respective 5th percentile downlink and uplink SINR value.  The simulation will be repeated for Configuration A and Configuration B.</w:t>
      </w:r>
    </w:p>
    <w:p w14:paraId="081E6AA5" w14:textId="77777777" w:rsidR="00DC5042" w:rsidRDefault="00EB486C" w:rsidP="00DC5042">
      <w:pPr>
        <w:pStyle w:val="TableNo"/>
      </w:pPr>
      <w:r w:rsidRPr="00D83BA5">
        <w:t xml:space="preserve">Table </w:t>
      </w:r>
      <w:r>
        <w:t>4</w:t>
      </w:r>
    </w:p>
    <w:p w14:paraId="11EDF783" w14:textId="77777777" w:rsidR="00EB486C" w:rsidRPr="00D83BA5" w:rsidRDefault="00EB486C" w:rsidP="00DC5042">
      <w:pPr>
        <w:pStyle w:val="Tabletitle"/>
      </w:pPr>
      <w:r w:rsidRPr="00D83BA5">
        <w:t>System configuration</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1"/>
        <w:gridCol w:w="2806"/>
      </w:tblGrid>
      <w:tr w:rsidR="00EB486C" w14:paraId="504156AA" w14:textId="77777777" w:rsidTr="00087E33">
        <w:trPr>
          <w:cantSplit/>
          <w:trHeight w:val="284"/>
          <w:jc w:val="center"/>
        </w:trPr>
        <w:tc>
          <w:tcPr>
            <w:tcW w:w="3119" w:type="dxa"/>
            <w:tcMar>
              <w:top w:w="100" w:type="dxa"/>
              <w:left w:w="100" w:type="dxa"/>
              <w:bottom w:w="100" w:type="dxa"/>
              <w:right w:w="100" w:type="dxa"/>
            </w:tcMar>
          </w:tcPr>
          <w:p w14:paraId="713D1F93" w14:textId="77777777" w:rsidR="00EB486C" w:rsidRPr="00DC5042" w:rsidRDefault="00EB486C" w:rsidP="00DC5042">
            <w:pPr>
              <w:pStyle w:val="Tablehead"/>
              <w:rPr>
                <w:b w:val="0"/>
                <w:bCs/>
              </w:rPr>
            </w:pPr>
            <w:r w:rsidRPr="00DC5042">
              <w:rPr>
                <w:b w:val="0"/>
                <w:bCs/>
              </w:rPr>
              <w:t>Parameter</w:t>
            </w:r>
          </w:p>
        </w:tc>
        <w:tc>
          <w:tcPr>
            <w:tcW w:w="2551" w:type="dxa"/>
            <w:tcMar>
              <w:top w:w="100" w:type="dxa"/>
              <w:left w:w="100" w:type="dxa"/>
              <w:bottom w:w="100" w:type="dxa"/>
              <w:right w:w="100" w:type="dxa"/>
            </w:tcMar>
          </w:tcPr>
          <w:p w14:paraId="50F13314" w14:textId="77777777" w:rsidR="00EB486C" w:rsidRDefault="00EB486C" w:rsidP="00DC5042">
            <w:pPr>
              <w:pStyle w:val="Tablehead"/>
            </w:pPr>
            <w:r>
              <w:t>Value</w:t>
            </w:r>
          </w:p>
        </w:tc>
      </w:tr>
      <w:tr w:rsidR="00EB486C" w14:paraId="553ABAA7" w14:textId="77777777" w:rsidTr="00087E33">
        <w:trPr>
          <w:cantSplit/>
          <w:trHeight w:val="284"/>
          <w:jc w:val="center"/>
        </w:trPr>
        <w:tc>
          <w:tcPr>
            <w:tcW w:w="3119" w:type="dxa"/>
            <w:tcMar>
              <w:top w:w="100" w:type="dxa"/>
              <w:left w:w="100" w:type="dxa"/>
              <w:bottom w:w="100" w:type="dxa"/>
              <w:right w:w="100" w:type="dxa"/>
            </w:tcMar>
          </w:tcPr>
          <w:p w14:paraId="75A68DC6" w14:textId="77777777" w:rsidR="00EB486C" w:rsidRPr="00DC5042" w:rsidRDefault="00EB486C" w:rsidP="00DC5042">
            <w:pPr>
              <w:pStyle w:val="Tabletext"/>
              <w:rPr>
                <w:bCs/>
              </w:rPr>
            </w:pPr>
            <w:r w:rsidRPr="00DC5042">
              <w:rPr>
                <w:bCs/>
              </w:rPr>
              <w:t>Number of sites</w:t>
            </w:r>
          </w:p>
        </w:tc>
        <w:tc>
          <w:tcPr>
            <w:tcW w:w="2551" w:type="dxa"/>
            <w:tcMar>
              <w:top w:w="100" w:type="dxa"/>
              <w:left w:w="100" w:type="dxa"/>
              <w:bottom w:w="100" w:type="dxa"/>
              <w:right w:w="100" w:type="dxa"/>
            </w:tcMar>
          </w:tcPr>
          <w:p w14:paraId="1199D2DA" w14:textId="77777777" w:rsidR="00EB486C" w:rsidRDefault="00EB486C" w:rsidP="00DC5042">
            <w:pPr>
              <w:pStyle w:val="Tabletext"/>
              <w:jc w:val="center"/>
            </w:pPr>
            <w:r>
              <w:t>19</w:t>
            </w:r>
          </w:p>
        </w:tc>
      </w:tr>
      <w:tr w:rsidR="00EB486C" w14:paraId="016817A1" w14:textId="77777777" w:rsidTr="00087E33">
        <w:trPr>
          <w:cantSplit/>
          <w:trHeight w:val="284"/>
          <w:jc w:val="center"/>
        </w:trPr>
        <w:tc>
          <w:tcPr>
            <w:tcW w:w="3119" w:type="dxa"/>
            <w:tcMar>
              <w:top w:w="100" w:type="dxa"/>
              <w:left w:w="100" w:type="dxa"/>
              <w:bottom w:w="100" w:type="dxa"/>
              <w:right w:w="100" w:type="dxa"/>
            </w:tcMar>
          </w:tcPr>
          <w:p w14:paraId="4917811E" w14:textId="77777777" w:rsidR="00EB486C" w:rsidRPr="00DC5042" w:rsidRDefault="00EB486C" w:rsidP="00DC5042">
            <w:pPr>
              <w:pStyle w:val="Tabletext"/>
              <w:rPr>
                <w:bCs/>
              </w:rPr>
            </w:pPr>
            <w:r w:rsidRPr="00DC5042">
              <w:rPr>
                <w:bCs/>
              </w:rPr>
              <w:t>Number of sectors per site</w:t>
            </w:r>
          </w:p>
        </w:tc>
        <w:tc>
          <w:tcPr>
            <w:tcW w:w="2551" w:type="dxa"/>
            <w:tcMar>
              <w:top w:w="100" w:type="dxa"/>
              <w:left w:w="100" w:type="dxa"/>
              <w:bottom w:w="100" w:type="dxa"/>
              <w:right w:w="100" w:type="dxa"/>
            </w:tcMar>
          </w:tcPr>
          <w:p w14:paraId="25C13DAF" w14:textId="77777777" w:rsidR="00EB486C" w:rsidRDefault="00EB486C" w:rsidP="00DC5042">
            <w:pPr>
              <w:pStyle w:val="Tabletext"/>
              <w:jc w:val="center"/>
            </w:pPr>
            <w:r>
              <w:t>3</w:t>
            </w:r>
          </w:p>
        </w:tc>
      </w:tr>
      <w:tr w:rsidR="00EB486C" w14:paraId="3C69719D" w14:textId="77777777" w:rsidTr="00087E33">
        <w:trPr>
          <w:cantSplit/>
          <w:trHeight w:val="284"/>
          <w:jc w:val="center"/>
        </w:trPr>
        <w:tc>
          <w:tcPr>
            <w:tcW w:w="3119" w:type="dxa"/>
            <w:tcMar>
              <w:top w:w="100" w:type="dxa"/>
              <w:left w:w="100" w:type="dxa"/>
              <w:bottom w:w="100" w:type="dxa"/>
              <w:right w:w="100" w:type="dxa"/>
            </w:tcMar>
          </w:tcPr>
          <w:p w14:paraId="115F1FAF" w14:textId="77777777" w:rsidR="00EB486C" w:rsidRPr="00DC5042" w:rsidRDefault="00EB486C" w:rsidP="00DC5042">
            <w:pPr>
              <w:pStyle w:val="Tabletext"/>
              <w:rPr>
                <w:bCs/>
              </w:rPr>
            </w:pPr>
            <w:r w:rsidRPr="00DC5042">
              <w:rPr>
                <w:bCs/>
              </w:rPr>
              <w:t>Frequency reuse factor</w:t>
            </w:r>
          </w:p>
        </w:tc>
        <w:tc>
          <w:tcPr>
            <w:tcW w:w="2551" w:type="dxa"/>
            <w:tcMar>
              <w:top w:w="100" w:type="dxa"/>
              <w:left w:w="100" w:type="dxa"/>
              <w:bottom w:w="100" w:type="dxa"/>
              <w:right w:w="100" w:type="dxa"/>
            </w:tcMar>
          </w:tcPr>
          <w:p w14:paraId="094F25CA" w14:textId="77777777" w:rsidR="00EB486C" w:rsidRDefault="00EB486C" w:rsidP="00DC5042">
            <w:pPr>
              <w:pStyle w:val="Tabletext"/>
              <w:jc w:val="center"/>
            </w:pPr>
            <w:r>
              <w:t>3</w:t>
            </w:r>
          </w:p>
        </w:tc>
      </w:tr>
      <w:tr w:rsidR="00EB486C" w14:paraId="049D29F4" w14:textId="77777777" w:rsidTr="00087E33">
        <w:trPr>
          <w:cantSplit/>
          <w:trHeight w:val="284"/>
          <w:jc w:val="center"/>
        </w:trPr>
        <w:tc>
          <w:tcPr>
            <w:tcW w:w="3119" w:type="dxa"/>
            <w:tcMar>
              <w:top w:w="100" w:type="dxa"/>
              <w:left w:w="100" w:type="dxa"/>
              <w:bottom w:w="100" w:type="dxa"/>
              <w:right w:w="100" w:type="dxa"/>
            </w:tcMar>
          </w:tcPr>
          <w:p w14:paraId="34387136" w14:textId="77777777" w:rsidR="00EB486C" w:rsidRPr="00DC5042" w:rsidRDefault="00EB486C" w:rsidP="00DC5042">
            <w:pPr>
              <w:pStyle w:val="Tabletext"/>
              <w:rPr>
                <w:bCs/>
              </w:rPr>
            </w:pPr>
            <w:r w:rsidRPr="00DC5042">
              <w:rPr>
                <w:bCs/>
              </w:rPr>
              <w:t>Total number of cells</w:t>
            </w:r>
          </w:p>
        </w:tc>
        <w:tc>
          <w:tcPr>
            <w:tcW w:w="2551" w:type="dxa"/>
            <w:tcMar>
              <w:top w:w="100" w:type="dxa"/>
              <w:left w:w="100" w:type="dxa"/>
              <w:bottom w:w="100" w:type="dxa"/>
              <w:right w:w="100" w:type="dxa"/>
            </w:tcMar>
          </w:tcPr>
          <w:p w14:paraId="745BE640" w14:textId="77777777" w:rsidR="00EB486C" w:rsidRDefault="00EB486C" w:rsidP="00DC5042">
            <w:pPr>
              <w:pStyle w:val="Tabletext"/>
              <w:jc w:val="center"/>
            </w:pPr>
            <w:r>
              <w:t>19 × 3 = 57</w:t>
            </w:r>
          </w:p>
        </w:tc>
      </w:tr>
      <w:tr w:rsidR="00EB486C" w14:paraId="3546CCEC" w14:textId="77777777" w:rsidTr="00087E33">
        <w:trPr>
          <w:cantSplit/>
          <w:trHeight w:val="284"/>
          <w:jc w:val="center"/>
        </w:trPr>
        <w:tc>
          <w:tcPr>
            <w:tcW w:w="3119" w:type="dxa"/>
            <w:tcMar>
              <w:top w:w="100" w:type="dxa"/>
              <w:left w:w="100" w:type="dxa"/>
              <w:bottom w:w="100" w:type="dxa"/>
              <w:right w:w="100" w:type="dxa"/>
            </w:tcMar>
          </w:tcPr>
          <w:p w14:paraId="1C5F1D21" w14:textId="77777777" w:rsidR="00EB486C" w:rsidRPr="00DC5042" w:rsidRDefault="00EB486C" w:rsidP="00DC5042">
            <w:pPr>
              <w:pStyle w:val="Tabletext"/>
              <w:rPr>
                <w:bCs/>
              </w:rPr>
            </w:pPr>
            <w:r w:rsidRPr="00DC5042">
              <w:rPr>
                <w:bCs/>
              </w:rPr>
              <w:t>Number of STA devices per cell</w:t>
            </w:r>
          </w:p>
        </w:tc>
        <w:tc>
          <w:tcPr>
            <w:tcW w:w="2551" w:type="dxa"/>
            <w:tcMar>
              <w:top w:w="100" w:type="dxa"/>
              <w:left w:w="100" w:type="dxa"/>
              <w:bottom w:w="100" w:type="dxa"/>
              <w:right w:w="100" w:type="dxa"/>
            </w:tcMar>
          </w:tcPr>
          <w:p w14:paraId="07ED4A44" w14:textId="77777777" w:rsidR="00EB486C" w:rsidRDefault="00EB486C" w:rsidP="00DC5042">
            <w:pPr>
              <w:pStyle w:val="Tabletext"/>
              <w:jc w:val="center"/>
            </w:pPr>
            <w:r>
              <w:t>10</w:t>
            </w:r>
          </w:p>
        </w:tc>
      </w:tr>
      <w:tr w:rsidR="00EB486C" w14:paraId="54213CD2" w14:textId="77777777" w:rsidTr="00087E33">
        <w:trPr>
          <w:cantSplit/>
          <w:trHeight w:val="284"/>
          <w:jc w:val="center"/>
        </w:trPr>
        <w:tc>
          <w:tcPr>
            <w:tcW w:w="3119" w:type="dxa"/>
            <w:tcMar>
              <w:top w:w="100" w:type="dxa"/>
              <w:left w:w="100" w:type="dxa"/>
              <w:bottom w:w="100" w:type="dxa"/>
              <w:right w:w="100" w:type="dxa"/>
            </w:tcMar>
          </w:tcPr>
          <w:p w14:paraId="783058BE" w14:textId="77777777" w:rsidR="00EB486C" w:rsidRPr="00DC5042" w:rsidRDefault="00EB486C" w:rsidP="00DC5042">
            <w:pPr>
              <w:pStyle w:val="Tabletext"/>
              <w:rPr>
                <w:bCs/>
              </w:rPr>
            </w:pPr>
            <w:r w:rsidRPr="00DC5042">
              <w:rPr>
                <w:bCs/>
              </w:rPr>
              <w:t>Total STA devices</w:t>
            </w:r>
          </w:p>
        </w:tc>
        <w:tc>
          <w:tcPr>
            <w:tcW w:w="2551" w:type="dxa"/>
            <w:tcMar>
              <w:top w:w="100" w:type="dxa"/>
              <w:left w:w="100" w:type="dxa"/>
              <w:bottom w:w="100" w:type="dxa"/>
              <w:right w:w="100" w:type="dxa"/>
            </w:tcMar>
          </w:tcPr>
          <w:p w14:paraId="71C95726" w14:textId="77777777" w:rsidR="00EB486C" w:rsidRDefault="00EB486C" w:rsidP="00DC5042">
            <w:pPr>
              <w:pStyle w:val="Tabletext"/>
              <w:jc w:val="center"/>
            </w:pPr>
            <w:r>
              <w:t>57 × 10 = 570</w:t>
            </w:r>
          </w:p>
        </w:tc>
      </w:tr>
      <w:tr w:rsidR="00EB486C" w14:paraId="35860ABC" w14:textId="77777777" w:rsidTr="00087E33">
        <w:trPr>
          <w:cantSplit/>
          <w:trHeight w:val="284"/>
          <w:jc w:val="center"/>
        </w:trPr>
        <w:tc>
          <w:tcPr>
            <w:tcW w:w="3119" w:type="dxa"/>
            <w:tcMar>
              <w:top w:w="100" w:type="dxa"/>
              <w:left w:w="100" w:type="dxa"/>
              <w:bottom w:w="100" w:type="dxa"/>
              <w:right w:w="100" w:type="dxa"/>
            </w:tcMar>
          </w:tcPr>
          <w:p w14:paraId="1A273369" w14:textId="77777777" w:rsidR="00EB486C" w:rsidRPr="00DC5042" w:rsidRDefault="00EB486C" w:rsidP="00DC5042">
            <w:pPr>
              <w:pStyle w:val="Tabletext"/>
              <w:rPr>
                <w:bCs/>
              </w:rPr>
            </w:pPr>
            <w:r w:rsidRPr="00DC5042">
              <w:rPr>
                <w:bCs/>
              </w:rPr>
              <w:t>STA antenna height</w:t>
            </w:r>
          </w:p>
        </w:tc>
        <w:tc>
          <w:tcPr>
            <w:tcW w:w="2551" w:type="dxa"/>
            <w:tcMar>
              <w:top w:w="100" w:type="dxa"/>
              <w:left w:w="100" w:type="dxa"/>
              <w:bottom w:w="100" w:type="dxa"/>
              <w:right w:w="100" w:type="dxa"/>
            </w:tcMar>
          </w:tcPr>
          <w:p w14:paraId="6CEC04EE" w14:textId="77777777" w:rsidR="00EB486C" w:rsidRDefault="00EB486C" w:rsidP="00DC5042">
            <w:pPr>
              <w:pStyle w:val="Tabletext"/>
              <w:jc w:val="center"/>
            </w:pPr>
            <w:r>
              <w:t>1.5 m</w:t>
            </w:r>
          </w:p>
        </w:tc>
      </w:tr>
      <w:tr w:rsidR="00EB486C" w14:paraId="68D9B8E0" w14:textId="77777777" w:rsidTr="00087E33">
        <w:trPr>
          <w:cantSplit/>
          <w:trHeight w:val="284"/>
          <w:jc w:val="center"/>
        </w:trPr>
        <w:tc>
          <w:tcPr>
            <w:tcW w:w="3119" w:type="dxa"/>
            <w:tcMar>
              <w:top w:w="100" w:type="dxa"/>
              <w:left w:w="100" w:type="dxa"/>
              <w:bottom w:w="100" w:type="dxa"/>
              <w:right w:w="100" w:type="dxa"/>
            </w:tcMar>
          </w:tcPr>
          <w:p w14:paraId="725693E7" w14:textId="77777777" w:rsidR="00EB486C" w:rsidRPr="00DC5042" w:rsidRDefault="00EB486C" w:rsidP="00DC5042">
            <w:pPr>
              <w:pStyle w:val="Tabletext"/>
              <w:rPr>
                <w:bCs/>
              </w:rPr>
            </w:pPr>
            <w:r w:rsidRPr="00DC5042">
              <w:rPr>
                <w:bCs/>
              </w:rPr>
              <w:t>CAP antenna height</w:t>
            </w:r>
          </w:p>
        </w:tc>
        <w:tc>
          <w:tcPr>
            <w:tcW w:w="2551" w:type="dxa"/>
            <w:tcMar>
              <w:top w:w="100" w:type="dxa"/>
              <w:left w:w="100" w:type="dxa"/>
              <w:bottom w:w="100" w:type="dxa"/>
              <w:right w:w="100" w:type="dxa"/>
            </w:tcMar>
          </w:tcPr>
          <w:p w14:paraId="7E74FB4D" w14:textId="77777777" w:rsidR="00EB486C" w:rsidRDefault="00EB486C" w:rsidP="00DC5042">
            <w:pPr>
              <w:pStyle w:val="Tabletext"/>
              <w:jc w:val="center"/>
            </w:pPr>
            <w:r>
              <w:t>25 m</w:t>
            </w:r>
          </w:p>
        </w:tc>
      </w:tr>
      <w:tr w:rsidR="00EB486C" w14:paraId="18452A90" w14:textId="77777777" w:rsidTr="00087E33">
        <w:trPr>
          <w:cantSplit/>
          <w:trHeight w:val="284"/>
          <w:jc w:val="center"/>
        </w:trPr>
        <w:tc>
          <w:tcPr>
            <w:tcW w:w="3119" w:type="dxa"/>
            <w:tcMar>
              <w:top w:w="100" w:type="dxa"/>
              <w:left w:w="100" w:type="dxa"/>
              <w:bottom w:w="100" w:type="dxa"/>
              <w:right w:w="100" w:type="dxa"/>
            </w:tcMar>
          </w:tcPr>
          <w:p w14:paraId="0396459E" w14:textId="77777777" w:rsidR="00EB486C" w:rsidRPr="00DC5042" w:rsidRDefault="00EB486C" w:rsidP="00DC5042">
            <w:pPr>
              <w:pStyle w:val="Tabletext"/>
              <w:rPr>
                <w:bCs/>
              </w:rPr>
            </w:pPr>
            <w:r w:rsidRPr="00DC5042">
              <w:rPr>
                <w:bCs/>
              </w:rPr>
              <w:t>Inter-site distance</w:t>
            </w:r>
          </w:p>
        </w:tc>
        <w:tc>
          <w:tcPr>
            <w:tcW w:w="2551" w:type="dxa"/>
            <w:tcMar>
              <w:top w:w="100" w:type="dxa"/>
              <w:left w:w="100" w:type="dxa"/>
              <w:bottom w:w="100" w:type="dxa"/>
              <w:right w:w="100" w:type="dxa"/>
            </w:tcMar>
          </w:tcPr>
          <w:p w14:paraId="36F96284" w14:textId="77777777" w:rsidR="00EB486C" w:rsidRDefault="00EB486C" w:rsidP="00DC5042">
            <w:pPr>
              <w:pStyle w:val="Tabletext"/>
              <w:jc w:val="center"/>
            </w:pPr>
            <w:r>
              <w:t>500 m</w:t>
            </w:r>
          </w:p>
        </w:tc>
      </w:tr>
    </w:tbl>
    <w:p w14:paraId="307E8A2A" w14:textId="77777777" w:rsidR="00EB486C" w:rsidRDefault="00EB486C" w:rsidP="00DC5042">
      <w:pPr>
        <w:pStyle w:val="Tablefin"/>
      </w:pPr>
    </w:p>
    <w:p w14:paraId="01873B6A" w14:textId="77777777" w:rsidR="00DC5042" w:rsidRDefault="00EB486C" w:rsidP="00DC5042">
      <w:pPr>
        <w:pStyle w:val="TableNo"/>
      </w:pPr>
      <w:r w:rsidRPr="00D83BA5">
        <w:t xml:space="preserve">Table </w:t>
      </w:r>
      <w:r>
        <w:t>5</w:t>
      </w:r>
    </w:p>
    <w:p w14:paraId="3BFEEFEE" w14:textId="77777777" w:rsidR="00EB486C" w:rsidRPr="00D83BA5" w:rsidRDefault="00EB486C" w:rsidP="00DC5042">
      <w:pPr>
        <w:pStyle w:val="Tabletitle"/>
      </w:pPr>
      <w:r w:rsidRPr="00D83BA5">
        <w:t>Common System level technical assumptions &amp; parameters (downlink and uplink)</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66"/>
        <w:gridCol w:w="2771"/>
      </w:tblGrid>
      <w:tr w:rsidR="00EB486C" w14:paraId="0CB4F7C3" w14:textId="77777777" w:rsidTr="00087E33">
        <w:trPr>
          <w:trHeight w:val="284"/>
          <w:tblHeader/>
          <w:jc w:val="center"/>
        </w:trPr>
        <w:tc>
          <w:tcPr>
            <w:tcW w:w="5027" w:type="dxa"/>
            <w:tcMar>
              <w:top w:w="100" w:type="dxa"/>
              <w:left w:w="100" w:type="dxa"/>
              <w:bottom w:w="100" w:type="dxa"/>
              <w:right w:w="100" w:type="dxa"/>
            </w:tcMar>
          </w:tcPr>
          <w:p w14:paraId="3E474D90" w14:textId="77777777" w:rsidR="00EB486C" w:rsidRPr="00DC5042" w:rsidRDefault="00EB486C" w:rsidP="00DC5042">
            <w:pPr>
              <w:pStyle w:val="Tablehead"/>
            </w:pPr>
            <w:r w:rsidRPr="00DC5042">
              <w:t>Parameter</w:t>
            </w:r>
          </w:p>
        </w:tc>
        <w:tc>
          <w:tcPr>
            <w:tcW w:w="3998" w:type="dxa"/>
            <w:tcMar>
              <w:top w:w="100" w:type="dxa"/>
              <w:left w:w="100" w:type="dxa"/>
              <w:bottom w:w="100" w:type="dxa"/>
              <w:right w:w="100" w:type="dxa"/>
            </w:tcMar>
          </w:tcPr>
          <w:p w14:paraId="507752EC" w14:textId="77777777" w:rsidR="00EB486C" w:rsidRDefault="00EB486C" w:rsidP="00DC5042">
            <w:pPr>
              <w:pStyle w:val="Tablehead"/>
            </w:pPr>
            <w:r>
              <w:t>Value</w:t>
            </w:r>
          </w:p>
        </w:tc>
      </w:tr>
      <w:tr w:rsidR="00EB486C" w14:paraId="7F0D10E8" w14:textId="77777777" w:rsidTr="00087E33">
        <w:trPr>
          <w:trHeight w:val="284"/>
          <w:jc w:val="center"/>
        </w:trPr>
        <w:tc>
          <w:tcPr>
            <w:tcW w:w="5027" w:type="dxa"/>
            <w:tcMar>
              <w:top w:w="100" w:type="dxa"/>
              <w:left w:w="100" w:type="dxa"/>
              <w:bottom w:w="100" w:type="dxa"/>
              <w:right w:w="100" w:type="dxa"/>
            </w:tcMar>
          </w:tcPr>
          <w:p w14:paraId="1591A705" w14:textId="77777777" w:rsidR="00EB486C" w:rsidRPr="00DC5042" w:rsidRDefault="00EB486C" w:rsidP="00DC5042">
            <w:pPr>
              <w:pStyle w:val="Tabletext"/>
            </w:pPr>
            <w:r w:rsidRPr="00DC5042">
              <w:t>Base station noise figure</w:t>
            </w:r>
          </w:p>
        </w:tc>
        <w:tc>
          <w:tcPr>
            <w:tcW w:w="3998" w:type="dxa"/>
            <w:tcMar>
              <w:top w:w="100" w:type="dxa"/>
              <w:left w:w="100" w:type="dxa"/>
              <w:bottom w:w="100" w:type="dxa"/>
              <w:right w:w="100" w:type="dxa"/>
            </w:tcMar>
          </w:tcPr>
          <w:p w14:paraId="0FC1209E" w14:textId="77777777" w:rsidR="00EB486C" w:rsidRDefault="00EB486C" w:rsidP="00DC5042">
            <w:pPr>
              <w:pStyle w:val="Tabletext"/>
              <w:jc w:val="center"/>
            </w:pPr>
            <w:r>
              <w:t>5 dB</w:t>
            </w:r>
          </w:p>
        </w:tc>
      </w:tr>
      <w:tr w:rsidR="00EB486C" w14:paraId="74884B5D" w14:textId="77777777" w:rsidTr="00087E33">
        <w:trPr>
          <w:trHeight w:val="284"/>
          <w:jc w:val="center"/>
        </w:trPr>
        <w:tc>
          <w:tcPr>
            <w:tcW w:w="5027" w:type="dxa"/>
            <w:tcMar>
              <w:top w:w="100" w:type="dxa"/>
              <w:left w:w="100" w:type="dxa"/>
              <w:bottom w:w="100" w:type="dxa"/>
              <w:right w:w="100" w:type="dxa"/>
            </w:tcMar>
          </w:tcPr>
          <w:p w14:paraId="334E875F" w14:textId="77777777" w:rsidR="00EB486C" w:rsidRPr="00DC5042" w:rsidRDefault="00EB486C" w:rsidP="00DC5042">
            <w:pPr>
              <w:pStyle w:val="Tabletext"/>
            </w:pPr>
            <w:r w:rsidRPr="00DC5042">
              <w:t>STA noise figure</w:t>
            </w:r>
          </w:p>
        </w:tc>
        <w:tc>
          <w:tcPr>
            <w:tcW w:w="3998" w:type="dxa"/>
            <w:tcMar>
              <w:top w:w="100" w:type="dxa"/>
              <w:left w:w="100" w:type="dxa"/>
              <w:bottom w:w="100" w:type="dxa"/>
              <w:right w:w="100" w:type="dxa"/>
            </w:tcMar>
          </w:tcPr>
          <w:p w14:paraId="66AC2159" w14:textId="77777777" w:rsidR="00EB486C" w:rsidRDefault="00EB486C" w:rsidP="00DC5042">
            <w:pPr>
              <w:pStyle w:val="Tabletext"/>
              <w:jc w:val="center"/>
            </w:pPr>
            <w:r>
              <w:t>7 dB</w:t>
            </w:r>
          </w:p>
        </w:tc>
      </w:tr>
      <w:tr w:rsidR="00EB486C" w14:paraId="7C899F0B" w14:textId="77777777" w:rsidTr="00087E33">
        <w:trPr>
          <w:trHeight w:val="284"/>
          <w:jc w:val="center"/>
        </w:trPr>
        <w:tc>
          <w:tcPr>
            <w:tcW w:w="5027" w:type="dxa"/>
            <w:tcMar>
              <w:top w:w="100" w:type="dxa"/>
              <w:left w:w="100" w:type="dxa"/>
              <w:bottom w:w="100" w:type="dxa"/>
              <w:right w:w="100" w:type="dxa"/>
            </w:tcMar>
          </w:tcPr>
          <w:p w14:paraId="2BC02E8A" w14:textId="77777777" w:rsidR="00EB486C" w:rsidRPr="00DC5042" w:rsidRDefault="00EB486C" w:rsidP="00DC5042">
            <w:pPr>
              <w:pStyle w:val="Tabletext"/>
            </w:pPr>
            <w:r w:rsidRPr="00DC5042">
              <w:t>CAP antenna element gain</w:t>
            </w:r>
          </w:p>
        </w:tc>
        <w:tc>
          <w:tcPr>
            <w:tcW w:w="3998" w:type="dxa"/>
            <w:tcMar>
              <w:top w:w="100" w:type="dxa"/>
              <w:left w:w="100" w:type="dxa"/>
              <w:bottom w:w="100" w:type="dxa"/>
              <w:right w:w="100" w:type="dxa"/>
            </w:tcMar>
          </w:tcPr>
          <w:p w14:paraId="06C63270" w14:textId="77777777" w:rsidR="00EB486C" w:rsidRDefault="00EB486C" w:rsidP="00DC5042">
            <w:pPr>
              <w:pStyle w:val="Tabletext"/>
              <w:jc w:val="center"/>
            </w:pPr>
            <w:r>
              <w:t>8 dBi</w:t>
            </w:r>
          </w:p>
        </w:tc>
      </w:tr>
      <w:tr w:rsidR="00EB486C" w14:paraId="01FD6708" w14:textId="77777777" w:rsidTr="00087E33">
        <w:trPr>
          <w:trHeight w:val="284"/>
          <w:jc w:val="center"/>
        </w:trPr>
        <w:tc>
          <w:tcPr>
            <w:tcW w:w="5027" w:type="dxa"/>
            <w:tcMar>
              <w:top w:w="100" w:type="dxa"/>
              <w:left w:w="100" w:type="dxa"/>
              <w:bottom w:w="100" w:type="dxa"/>
              <w:right w:w="100" w:type="dxa"/>
            </w:tcMar>
          </w:tcPr>
          <w:p w14:paraId="46A75737" w14:textId="77777777" w:rsidR="00EB486C" w:rsidRPr="00DC5042" w:rsidRDefault="00EB486C" w:rsidP="00DC5042">
            <w:pPr>
              <w:pStyle w:val="Tabletext"/>
            </w:pPr>
            <w:r w:rsidRPr="00DC5042">
              <w:t>STA antenna element gain</w:t>
            </w:r>
          </w:p>
        </w:tc>
        <w:tc>
          <w:tcPr>
            <w:tcW w:w="3998" w:type="dxa"/>
            <w:tcMar>
              <w:top w:w="100" w:type="dxa"/>
              <w:left w:w="100" w:type="dxa"/>
              <w:bottom w:w="100" w:type="dxa"/>
              <w:right w:w="100" w:type="dxa"/>
            </w:tcMar>
          </w:tcPr>
          <w:p w14:paraId="1CC9BA51" w14:textId="77777777" w:rsidR="00EB486C" w:rsidRDefault="00EB486C" w:rsidP="00DC5042">
            <w:pPr>
              <w:pStyle w:val="Tabletext"/>
              <w:jc w:val="center"/>
            </w:pPr>
            <w:r>
              <w:t>0 dBi</w:t>
            </w:r>
          </w:p>
        </w:tc>
      </w:tr>
      <w:tr w:rsidR="00EB486C" w14:paraId="5206021F" w14:textId="77777777" w:rsidTr="00087E33">
        <w:trPr>
          <w:trHeight w:val="284"/>
          <w:jc w:val="center"/>
        </w:trPr>
        <w:tc>
          <w:tcPr>
            <w:tcW w:w="5027" w:type="dxa"/>
            <w:tcMar>
              <w:top w:w="100" w:type="dxa"/>
              <w:left w:w="100" w:type="dxa"/>
              <w:bottom w:w="100" w:type="dxa"/>
              <w:right w:w="100" w:type="dxa"/>
            </w:tcMar>
          </w:tcPr>
          <w:p w14:paraId="71665AD2" w14:textId="77777777" w:rsidR="00EB486C" w:rsidRPr="00DC5042" w:rsidRDefault="00EB486C" w:rsidP="00DC5042">
            <w:pPr>
              <w:pStyle w:val="Tabletext"/>
            </w:pPr>
            <w:r w:rsidRPr="00DC5042">
              <w:t>STA power class</w:t>
            </w:r>
          </w:p>
        </w:tc>
        <w:tc>
          <w:tcPr>
            <w:tcW w:w="3998" w:type="dxa"/>
            <w:tcMar>
              <w:top w:w="100" w:type="dxa"/>
              <w:left w:w="100" w:type="dxa"/>
              <w:bottom w:w="100" w:type="dxa"/>
              <w:right w:w="100" w:type="dxa"/>
            </w:tcMar>
          </w:tcPr>
          <w:p w14:paraId="7EB71DFA" w14:textId="77777777" w:rsidR="00EB486C" w:rsidRDefault="00EB486C" w:rsidP="00DC5042">
            <w:pPr>
              <w:pStyle w:val="Tabletext"/>
              <w:jc w:val="center"/>
            </w:pPr>
            <w:r>
              <w:t>23 dBm</w:t>
            </w:r>
          </w:p>
        </w:tc>
      </w:tr>
      <w:tr w:rsidR="00EB486C" w14:paraId="37E11B49" w14:textId="77777777" w:rsidTr="00087E33">
        <w:trPr>
          <w:trHeight w:val="284"/>
          <w:jc w:val="center"/>
        </w:trPr>
        <w:tc>
          <w:tcPr>
            <w:tcW w:w="5027" w:type="dxa"/>
            <w:tcMar>
              <w:top w:w="100" w:type="dxa"/>
              <w:left w:w="100" w:type="dxa"/>
              <w:bottom w:w="100" w:type="dxa"/>
              <w:right w:w="100" w:type="dxa"/>
            </w:tcMar>
          </w:tcPr>
          <w:p w14:paraId="4B8C344E" w14:textId="77777777" w:rsidR="00EB486C" w:rsidRPr="00DC5042" w:rsidRDefault="00EB486C" w:rsidP="00DC5042">
            <w:pPr>
              <w:pStyle w:val="Tabletext"/>
            </w:pPr>
            <w:r w:rsidRPr="00DC5042">
              <w:lastRenderedPageBreak/>
              <w:t>Thermal noise level</w:t>
            </w:r>
          </w:p>
        </w:tc>
        <w:tc>
          <w:tcPr>
            <w:tcW w:w="3998" w:type="dxa"/>
            <w:tcMar>
              <w:top w:w="100" w:type="dxa"/>
              <w:left w:w="100" w:type="dxa"/>
              <w:bottom w:w="100" w:type="dxa"/>
              <w:right w:w="100" w:type="dxa"/>
            </w:tcMar>
          </w:tcPr>
          <w:p w14:paraId="5CBF7465" w14:textId="77777777" w:rsidR="00EB486C" w:rsidRDefault="00EB486C" w:rsidP="00DC5042">
            <w:pPr>
              <w:pStyle w:val="Tabletext"/>
              <w:jc w:val="center"/>
            </w:pPr>
            <w:r>
              <w:t>‒174 dBm/Hz</w:t>
            </w:r>
          </w:p>
        </w:tc>
      </w:tr>
      <w:tr w:rsidR="00EB486C" w14:paraId="18373011" w14:textId="77777777" w:rsidTr="00087E33">
        <w:trPr>
          <w:trHeight w:val="284"/>
          <w:jc w:val="center"/>
        </w:trPr>
        <w:tc>
          <w:tcPr>
            <w:tcW w:w="5027" w:type="dxa"/>
            <w:tcMar>
              <w:top w:w="100" w:type="dxa"/>
              <w:left w:w="100" w:type="dxa"/>
              <w:bottom w:w="100" w:type="dxa"/>
              <w:right w:w="100" w:type="dxa"/>
            </w:tcMar>
          </w:tcPr>
          <w:p w14:paraId="51E09C21" w14:textId="77777777" w:rsidR="00EB486C" w:rsidRPr="00DC5042" w:rsidRDefault="00EB486C" w:rsidP="00DC5042">
            <w:pPr>
              <w:pStyle w:val="Tabletext"/>
            </w:pPr>
            <w:r w:rsidRPr="00DC5042">
              <w:t>Traffic model</w:t>
            </w:r>
          </w:p>
        </w:tc>
        <w:tc>
          <w:tcPr>
            <w:tcW w:w="3998" w:type="dxa"/>
            <w:tcMar>
              <w:top w:w="100" w:type="dxa"/>
              <w:left w:w="100" w:type="dxa"/>
              <w:bottom w:w="100" w:type="dxa"/>
              <w:right w:w="100" w:type="dxa"/>
            </w:tcMar>
          </w:tcPr>
          <w:p w14:paraId="30D28B4F" w14:textId="77777777" w:rsidR="00EB486C" w:rsidRDefault="00EB486C" w:rsidP="00DC5042">
            <w:pPr>
              <w:pStyle w:val="Tabletext"/>
              <w:jc w:val="center"/>
            </w:pPr>
            <w:r>
              <w:t>Full buffer</w:t>
            </w:r>
          </w:p>
        </w:tc>
      </w:tr>
      <w:tr w:rsidR="00EB486C" w14:paraId="2A392AB7" w14:textId="77777777" w:rsidTr="00087E33">
        <w:trPr>
          <w:trHeight w:val="284"/>
          <w:jc w:val="center"/>
        </w:trPr>
        <w:tc>
          <w:tcPr>
            <w:tcW w:w="5027" w:type="dxa"/>
            <w:tcMar>
              <w:top w:w="100" w:type="dxa"/>
              <w:left w:w="100" w:type="dxa"/>
              <w:bottom w:w="100" w:type="dxa"/>
              <w:right w:w="100" w:type="dxa"/>
            </w:tcMar>
          </w:tcPr>
          <w:p w14:paraId="183BB1E7" w14:textId="77777777" w:rsidR="00EB486C" w:rsidRPr="00DC5042" w:rsidRDefault="00EB486C" w:rsidP="00DC5042">
            <w:pPr>
              <w:pStyle w:val="Tabletext"/>
            </w:pPr>
            <w:r w:rsidRPr="00DC5042">
              <w:t>Simulation bandwidth</w:t>
            </w:r>
          </w:p>
        </w:tc>
        <w:tc>
          <w:tcPr>
            <w:tcW w:w="3998" w:type="dxa"/>
            <w:tcMar>
              <w:top w:w="100" w:type="dxa"/>
              <w:left w:w="100" w:type="dxa"/>
              <w:bottom w:w="100" w:type="dxa"/>
              <w:right w:w="100" w:type="dxa"/>
            </w:tcMar>
          </w:tcPr>
          <w:p w14:paraId="4524A776" w14:textId="77777777" w:rsidR="00EB486C" w:rsidRDefault="00EB486C" w:rsidP="00DC5042">
            <w:pPr>
              <w:pStyle w:val="Tabletext"/>
              <w:jc w:val="center"/>
            </w:pPr>
            <w:r>
              <w:t>20 MHz</w:t>
            </w:r>
          </w:p>
        </w:tc>
      </w:tr>
      <w:tr w:rsidR="00EB486C" w14:paraId="681A0DE0" w14:textId="77777777" w:rsidTr="00087E33">
        <w:trPr>
          <w:trHeight w:val="284"/>
          <w:jc w:val="center"/>
        </w:trPr>
        <w:tc>
          <w:tcPr>
            <w:tcW w:w="5027" w:type="dxa"/>
            <w:tcMar>
              <w:top w:w="100" w:type="dxa"/>
              <w:left w:w="100" w:type="dxa"/>
              <w:bottom w:w="100" w:type="dxa"/>
              <w:right w:w="100" w:type="dxa"/>
            </w:tcMar>
          </w:tcPr>
          <w:p w14:paraId="6E2887F1" w14:textId="77777777" w:rsidR="00EB486C" w:rsidRPr="00DC5042" w:rsidRDefault="00EB486C" w:rsidP="00DC5042">
            <w:pPr>
              <w:pStyle w:val="Tabletext"/>
            </w:pPr>
            <w:r w:rsidRPr="00DC5042">
              <w:t>Percentage of high loss and low loss building type</w:t>
            </w:r>
          </w:p>
        </w:tc>
        <w:tc>
          <w:tcPr>
            <w:tcW w:w="3998" w:type="dxa"/>
            <w:tcMar>
              <w:top w:w="100" w:type="dxa"/>
              <w:left w:w="100" w:type="dxa"/>
              <w:bottom w:w="100" w:type="dxa"/>
              <w:right w:w="100" w:type="dxa"/>
            </w:tcMar>
          </w:tcPr>
          <w:p w14:paraId="23F4241C" w14:textId="77777777" w:rsidR="00EB486C" w:rsidRDefault="00EB486C" w:rsidP="00DC5042">
            <w:pPr>
              <w:pStyle w:val="Tabletext"/>
              <w:jc w:val="center"/>
            </w:pPr>
            <w:r>
              <w:t>100% low loss</w:t>
            </w:r>
          </w:p>
        </w:tc>
      </w:tr>
      <w:tr w:rsidR="00EB486C" w14:paraId="30076297" w14:textId="77777777" w:rsidTr="00087E33">
        <w:trPr>
          <w:trHeight w:val="284"/>
          <w:jc w:val="center"/>
        </w:trPr>
        <w:tc>
          <w:tcPr>
            <w:tcW w:w="5027" w:type="dxa"/>
            <w:tcMar>
              <w:top w:w="100" w:type="dxa"/>
              <w:left w:w="100" w:type="dxa"/>
              <w:bottom w:w="100" w:type="dxa"/>
              <w:right w:w="100" w:type="dxa"/>
            </w:tcMar>
          </w:tcPr>
          <w:p w14:paraId="4A93440F" w14:textId="77777777" w:rsidR="00EB486C" w:rsidRPr="00DC5042" w:rsidRDefault="00EB486C" w:rsidP="00DC5042">
            <w:pPr>
              <w:pStyle w:val="Tabletext"/>
            </w:pPr>
            <w:r w:rsidRPr="00DC5042">
              <w:t>Mechanic tilt</w:t>
            </w:r>
          </w:p>
        </w:tc>
        <w:tc>
          <w:tcPr>
            <w:tcW w:w="3998" w:type="dxa"/>
            <w:tcMar>
              <w:top w:w="100" w:type="dxa"/>
              <w:left w:w="100" w:type="dxa"/>
              <w:bottom w:w="100" w:type="dxa"/>
              <w:right w:w="100" w:type="dxa"/>
            </w:tcMar>
          </w:tcPr>
          <w:p w14:paraId="0EA6CCB1" w14:textId="77777777" w:rsidR="00EB486C" w:rsidRDefault="00EB486C" w:rsidP="00DC5042">
            <w:pPr>
              <w:pStyle w:val="Tabletext"/>
              <w:jc w:val="center"/>
            </w:pPr>
            <w:r>
              <w:t>90° in GCS</w:t>
            </w:r>
          </w:p>
        </w:tc>
      </w:tr>
      <w:tr w:rsidR="00EB486C" w14:paraId="3C53F329" w14:textId="77777777" w:rsidTr="00087E33">
        <w:trPr>
          <w:trHeight w:val="284"/>
          <w:jc w:val="center"/>
        </w:trPr>
        <w:tc>
          <w:tcPr>
            <w:tcW w:w="5027" w:type="dxa"/>
            <w:tcMar>
              <w:top w:w="100" w:type="dxa"/>
              <w:left w:w="100" w:type="dxa"/>
              <w:bottom w:w="100" w:type="dxa"/>
              <w:right w:w="100" w:type="dxa"/>
            </w:tcMar>
          </w:tcPr>
          <w:p w14:paraId="265E0EDA" w14:textId="77777777" w:rsidR="00EB486C" w:rsidRPr="00DC5042" w:rsidRDefault="00EB486C" w:rsidP="00DC5042">
            <w:pPr>
              <w:pStyle w:val="Tabletext"/>
            </w:pPr>
            <w:r w:rsidRPr="00DC5042">
              <w:t>Electronic tilt</w:t>
            </w:r>
          </w:p>
        </w:tc>
        <w:tc>
          <w:tcPr>
            <w:tcW w:w="3998" w:type="dxa"/>
            <w:tcMar>
              <w:top w:w="100" w:type="dxa"/>
              <w:left w:w="100" w:type="dxa"/>
              <w:bottom w:w="100" w:type="dxa"/>
              <w:right w:w="100" w:type="dxa"/>
            </w:tcMar>
          </w:tcPr>
          <w:p w14:paraId="016C8C6D" w14:textId="77777777" w:rsidR="00EB486C" w:rsidRDefault="00EB486C" w:rsidP="00DC5042">
            <w:pPr>
              <w:pStyle w:val="Tabletext"/>
              <w:jc w:val="center"/>
            </w:pPr>
            <w:r>
              <w:t>99° in LCS</w:t>
            </w:r>
          </w:p>
        </w:tc>
      </w:tr>
      <w:tr w:rsidR="00EB486C" w14:paraId="2F333F75" w14:textId="77777777" w:rsidTr="00087E33">
        <w:trPr>
          <w:trHeight w:val="284"/>
          <w:jc w:val="center"/>
        </w:trPr>
        <w:tc>
          <w:tcPr>
            <w:tcW w:w="5027" w:type="dxa"/>
            <w:tcMar>
              <w:top w:w="100" w:type="dxa"/>
              <w:left w:w="100" w:type="dxa"/>
              <w:bottom w:w="100" w:type="dxa"/>
              <w:right w:w="100" w:type="dxa"/>
            </w:tcMar>
          </w:tcPr>
          <w:p w14:paraId="7BA44342" w14:textId="77777777" w:rsidR="00EB486C" w:rsidRPr="00DC5042" w:rsidRDefault="00EB486C" w:rsidP="00DC5042">
            <w:pPr>
              <w:pStyle w:val="Tabletext"/>
            </w:pPr>
            <w:r w:rsidRPr="00DC5042">
              <w:t>STA mobility model</w:t>
            </w:r>
          </w:p>
        </w:tc>
        <w:tc>
          <w:tcPr>
            <w:tcW w:w="3998" w:type="dxa"/>
            <w:tcMar>
              <w:top w:w="100" w:type="dxa"/>
              <w:left w:w="100" w:type="dxa"/>
              <w:bottom w:w="100" w:type="dxa"/>
              <w:right w:w="100" w:type="dxa"/>
            </w:tcMar>
          </w:tcPr>
          <w:p w14:paraId="67B53EB3" w14:textId="77777777" w:rsidR="00EB486C" w:rsidRDefault="00EB486C" w:rsidP="00087E33">
            <w:pPr>
              <w:pStyle w:val="Tabletext"/>
            </w:pPr>
            <w:r>
              <w:t>Fixed and identical speed |v| of all UEs, randomly and uniformly distributed direction</w:t>
            </w:r>
          </w:p>
        </w:tc>
      </w:tr>
      <w:tr w:rsidR="00EB486C" w14:paraId="40F94C00" w14:textId="77777777" w:rsidTr="00087E33">
        <w:trPr>
          <w:trHeight w:val="284"/>
          <w:jc w:val="center"/>
        </w:trPr>
        <w:tc>
          <w:tcPr>
            <w:tcW w:w="5027" w:type="dxa"/>
            <w:tcMar>
              <w:top w:w="100" w:type="dxa"/>
              <w:left w:w="100" w:type="dxa"/>
              <w:bottom w:w="100" w:type="dxa"/>
              <w:right w:w="100" w:type="dxa"/>
            </w:tcMar>
          </w:tcPr>
          <w:p w14:paraId="5C162A98" w14:textId="77777777" w:rsidR="00EB486C" w:rsidRPr="00DC5042" w:rsidRDefault="00EB486C" w:rsidP="00DC5042">
            <w:pPr>
              <w:pStyle w:val="Tabletext"/>
            </w:pPr>
            <w:r w:rsidRPr="00DC5042">
              <w:t>STA speeds of interest</w:t>
            </w:r>
          </w:p>
        </w:tc>
        <w:tc>
          <w:tcPr>
            <w:tcW w:w="3998" w:type="dxa"/>
            <w:tcMar>
              <w:top w:w="100" w:type="dxa"/>
              <w:left w:w="100" w:type="dxa"/>
              <w:bottom w:w="100" w:type="dxa"/>
              <w:right w:w="100" w:type="dxa"/>
            </w:tcMar>
          </w:tcPr>
          <w:p w14:paraId="596CE0CF" w14:textId="77777777" w:rsidR="00EB486C" w:rsidRDefault="00EB486C" w:rsidP="00DC5042">
            <w:pPr>
              <w:pStyle w:val="Tabletext"/>
              <w:jc w:val="center"/>
            </w:pPr>
            <w:r>
              <w:t>3 km/h</w:t>
            </w:r>
          </w:p>
        </w:tc>
      </w:tr>
    </w:tbl>
    <w:p w14:paraId="36E57DEF" w14:textId="77777777" w:rsidR="00EB486C" w:rsidRDefault="00EB486C" w:rsidP="00DC5042">
      <w:pPr>
        <w:pStyle w:val="Tablefin"/>
      </w:pPr>
      <w:r>
        <w:t xml:space="preserve"> </w:t>
      </w:r>
    </w:p>
    <w:p w14:paraId="1D1CFCD0" w14:textId="77777777" w:rsidR="00DC5042" w:rsidRDefault="00EB486C" w:rsidP="00DC5042">
      <w:pPr>
        <w:pStyle w:val="TableNo"/>
        <w:rPr>
          <w:color w:val="000000" w:themeColor="text1"/>
        </w:rPr>
      </w:pPr>
      <w:r>
        <w:t xml:space="preserve"> Table </w:t>
      </w:r>
      <w:r>
        <w:rPr>
          <w:color w:val="000000" w:themeColor="text1"/>
        </w:rPr>
        <w:t>6</w:t>
      </w:r>
    </w:p>
    <w:p w14:paraId="7C1B79DF" w14:textId="77777777" w:rsidR="00EB486C" w:rsidRDefault="00EB486C" w:rsidP="00DC5042">
      <w:pPr>
        <w:pStyle w:val="Tabletitle"/>
      </w:pPr>
      <w:r>
        <w:t>Configuration based System level technical assumptions &amp; parameters</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3"/>
        <w:gridCol w:w="1735"/>
        <w:gridCol w:w="1666"/>
      </w:tblGrid>
      <w:tr w:rsidR="00EB486C" w14:paraId="716E4AEC" w14:textId="77777777" w:rsidTr="00A97429">
        <w:trPr>
          <w:trHeight w:val="284"/>
          <w:jc w:val="center"/>
        </w:trPr>
        <w:tc>
          <w:tcPr>
            <w:tcW w:w="3403" w:type="dxa"/>
            <w:tcMar>
              <w:top w:w="100" w:type="dxa"/>
              <w:left w:w="100" w:type="dxa"/>
              <w:bottom w:w="100" w:type="dxa"/>
              <w:right w:w="100" w:type="dxa"/>
            </w:tcMar>
          </w:tcPr>
          <w:p w14:paraId="451F56B3" w14:textId="77777777" w:rsidR="00EB486C" w:rsidRDefault="00EB486C" w:rsidP="00DC5042">
            <w:pPr>
              <w:pStyle w:val="Tablehead"/>
            </w:pPr>
            <w:r>
              <w:t>Parameter</w:t>
            </w:r>
          </w:p>
        </w:tc>
        <w:tc>
          <w:tcPr>
            <w:tcW w:w="1735" w:type="dxa"/>
            <w:tcMar>
              <w:top w:w="100" w:type="dxa"/>
              <w:left w:w="100" w:type="dxa"/>
              <w:bottom w:w="100" w:type="dxa"/>
              <w:right w:w="100" w:type="dxa"/>
            </w:tcMar>
          </w:tcPr>
          <w:p w14:paraId="5E4DE013" w14:textId="77777777" w:rsidR="00EB486C" w:rsidRDefault="00EB486C" w:rsidP="00DC5042">
            <w:pPr>
              <w:pStyle w:val="Tablehead"/>
            </w:pPr>
            <w:r>
              <w:t>Configuration A</w:t>
            </w:r>
          </w:p>
        </w:tc>
        <w:tc>
          <w:tcPr>
            <w:tcW w:w="1666" w:type="dxa"/>
            <w:tcMar>
              <w:top w:w="100" w:type="dxa"/>
              <w:left w:w="100" w:type="dxa"/>
              <w:bottom w:w="100" w:type="dxa"/>
              <w:right w:w="100" w:type="dxa"/>
            </w:tcMar>
          </w:tcPr>
          <w:p w14:paraId="6C9A2AF1" w14:textId="77777777" w:rsidR="00EB486C" w:rsidRDefault="00EB486C" w:rsidP="00DC5042">
            <w:pPr>
              <w:pStyle w:val="Tablehead"/>
            </w:pPr>
            <w:r>
              <w:t>Configuration B</w:t>
            </w:r>
          </w:p>
        </w:tc>
      </w:tr>
      <w:tr w:rsidR="00EB486C" w14:paraId="537FFBC7" w14:textId="77777777" w:rsidTr="00A97429">
        <w:trPr>
          <w:trHeight w:val="284"/>
          <w:jc w:val="center"/>
        </w:trPr>
        <w:tc>
          <w:tcPr>
            <w:tcW w:w="3403" w:type="dxa"/>
            <w:tcMar>
              <w:top w:w="100" w:type="dxa"/>
              <w:left w:w="100" w:type="dxa"/>
              <w:bottom w:w="100" w:type="dxa"/>
              <w:right w:w="100" w:type="dxa"/>
            </w:tcMar>
            <w:vAlign w:val="center"/>
          </w:tcPr>
          <w:p w14:paraId="2F3D24D0" w14:textId="77777777" w:rsidR="00EB486C" w:rsidRDefault="00EB486C" w:rsidP="00DC5042">
            <w:pPr>
              <w:pStyle w:val="Tabletext"/>
            </w:pPr>
            <w:r>
              <w:t>Number of antenna elements per TRxP</w:t>
            </w:r>
          </w:p>
        </w:tc>
        <w:tc>
          <w:tcPr>
            <w:tcW w:w="1735" w:type="dxa"/>
            <w:tcMar>
              <w:top w:w="100" w:type="dxa"/>
              <w:left w:w="100" w:type="dxa"/>
              <w:bottom w:w="100" w:type="dxa"/>
              <w:right w:w="100" w:type="dxa"/>
            </w:tcMar>
            <w:vAlign w:val="center"/>
          </w:tcPr>
          <w:p w14:paraId="57BA1AC0" w14:textId="77777777" w:rsidR="00EB486C" w:rsidRDefault="00EB486C" w:rsidP="00DC5042">
            <w:pPr>
              <w:pStyle w:val="Tabletext"/>
              <w:jc w:val="center"/>
            </w:pPr>
            <w:r>
              <w:t>16</w:t>
            </w:r>
          </w:p>
        </w:tc>
        <w:tc>
          <w:tcPr>
            <w:tcW w:w="1666" w:type="dxa"/>
            <w:tcMar>
              <w:top w:w="100" w:type="dxa"/>
              <w:left w:w="100" w:type="dxa"/>
              <w:bottom w:w="100" w:type="dxa"/>
              <w:right w:w="100" w:type="dxa"/>
            </w:tcMar>
            <w:vAlign w:val="center"/>
          </w:tcPr>
          <w:p w14:paraId="19A113C4" w14:textId="77777777" w:rsidR="00EB486C" w:rsidRDefault="00EB486C" w:rsidP="00DC5042">
            <w:pPr>
              <w:pStyle w:val="Tabletext"/>
              <w:jc w:val="center"/>
            </w:pPr>
            <w:r>
              <w:t>16</w:t>
            </w:r>
          </w:p>
        </w:tc>
      </w:tr>
      <w:tr w:rsidR="00EB486C" w14:paraId="5F9E95F4" w14:textId="77777777" w:rsidTr="00A97429">
        <w:trPr>
          <w:trHeight w:val="284"/>
          <w:jc w:val="center"/>
        </w:trPr>
        <w:tc>
          <w:tcPr>
            <w:tcW w:w="3403" w:type="dxa"/>
            <w:tcMar>
              <w:top w:w="100" w:type="dxa"/>
              <w:left w:w="100" w:type="dxa"/>
              <w:bottom w:w="100" w:type="dxa"/>
              <w:right w:w="100" w:type="dxa"/>
            </w:tcMar>
            <w:vAlign w:val="center"/>
          </w:tcPr>
          <w:p w14:paraId="6FEAD642" w14:textId="77777777" w:rsidR="00EB486C" w:rsidRDefault="00EB486C" w:rsidP="00DC5042">
            <w:pPr>
              <w:pStyle w:val="Tabletext"/>
            </w:pPr>
            <w:r>
              <w:t>Number of STA antenna elements</w:t>
            </w:r>
          </w:p>
        </w:tc>
        <w:tc>
          <w:tcPr>
            <w:tcW w:w="1735" w:type="dxa"/>
            <w:tcMar>
              <w:top w:w="100" w:type="dxa"/>
              <w:left w:w="100" w:type="dxa"/>
              <w:bottom w:w="100" w:type="dxa"/>
              <w:right w:w="100" w:type="dxa"/>
            </w:tcMar>
            <w:vAlign w:val="center"/>
          </w:tcPr>
          <w:p w14:paraId="1F2AA16F" w14:textId="77777777" w:rsidR="00EB486C" w:rsidRDefault="00EB486C" w:rsidP="00DC5042">
            <w:pPr>
              <w:pStyle w:val="Tabletext"/>
              <w:jc w:val="center"/>
            </w:pPr>
            <w:r>
              <w:t>8</w:t>
            </w:r>
          </w:p>
        </w:tc>
        <w:tc>
          <w:tcPr>
            <w:tcW w:w="1666" w:type="dxa"/>
            <w:tcMar>
              <w:top w:w="100" w:type="dxa"/>
              <w:left w:w="100" w:type="dxa"/>
              <w:bottom w:w="100" w:type="dxa"/>
              <w:right w:w="100" w:type="dxa"/>
            </w:tcMar>
            <w:vAlign w:val="center"/>
          </w:tcPr>
          <w:p w14:paraId="417FD1C0" w14:textId="77777777" w:rsidR="00EB486C" w:rsidRDefault="00EB486C" w:rsidP="00DC5042">
            <w:pPr>
              <w:pStyle w:val="Tabletext"/>
              <w:jc w:val="center"/>
            </w:pPr>
            <w:r>
              <w:t>4</w:t>
            </w:r>
          </w:p>
        </w:tc>
      </w:tr>
      <w:tr w:rsidR="00EB486C" w14:paraId="3E3F001A" w14:textId="77777777" w:rsidTr="00A97429">
        <w:trPr>
          <w:trHeight w:val="284"/>
          <w:jc w:val="center"/>
        </w:trPr>
        <w:tc>
          <w:tcPr>
            <w:tcW w:w="3403" w:type="dxa"/>
            <w:tcMar>
              <w:top w:w="100" w:type="dxa"/>
              <w:left w:w="100" w:type="dxa"/>
              <w:bottom w:w="100" w:type="dxa"/>
              <w:right w:w="100" w:type="dxa"/>
            </w:tcMar>
            <w:vAlign w:val="center"/>
          </w:tcPr>
          <w:p w14:paraId="61EB9E5C" w14:textId="77777777" w:rsidR="00EB486C" w:rsidRDefault="00EB486C" w:rsidP="00DC5042">
            <w:pPr>
              <w:pStyle w:val="Tabletext"/>
            </w:pPr>
            <w:r>
              <w:t>Carrier frequency for evaluation</w:t>
            </w:r>
          </w:p>
        </w:tc>
        <w:tc>
          <w:tcPr>
            <w:tcW w:w="1735" w:type="dxa"/>
            <w:tcMar>
              <w:top w:w="100" w:type="dxa"/>
              <w:left w:w="100" w:type="dxa"/>
              <w:bottom w:w="100" w:type="dxa"/>
              <w:right w:w="100" w:type="dxa"/>
            </w:tcMar>
            <w:vAlign w:val="center"/>
          </w:tcPr>
          <w:p w14:paraId="27271EC4" w14:textId="77777777" w:rsidR="00EB486C" w:rsidRDefault="00EB486C" w:rsidP="00DC5042">
            <w:pPr>
              <w:pStyle w:val="Tabletext"/>
              <w:jc w:val="center"/>
            </w:pPr>
            <w:r>
              <w:t>4 GHz</w:t>
            </w:r>
          </w:p>
        </w:tc>
        <w:tc>
          <w:tcPr>
            <w:tcW w:w="1666" w:type="dxa"/>
            <w:tcMar>
              <w:top w:w="100" w:type="dxa"/>
              <w:left w:w="100" w:type="dxa"/>
              <w:bottom w:w="100" w:type="dxa"/>
              <w:right w:w="100" w:type="dxa"/>
            </w:tcMar>
            <w:vAlign w:val="center"/>
          </w:tcPr>
          <w:p w14:paraId="22D41BE6" w14:textId="77777777" w:rsidR="00EB486C" w:rsidRDefault="00EB486C" w:rsidP="00DC5042">
            <w:pPr>
              <w:pStyle w:val="Tabletext"/>
              <w:jc w:val="center"/>
            </w:pPr>
            <w:r>
              <w:t>700 MHz</w:t>
            </w:r>
          </w:p>
        </w:tc>
      </w:tr>
    </w:tbl>
    <w:p w14:paraId="11F3AC1B" w14:textId="77777777" w:rsidR="00EB486C" w:rsidRDefault="00EB486C" w:rsidP="00A97429">
      <w:pPr>
        <w:pStyle w:val="Tablefin"/>
      </w:pPr>
      <w:r w:rsidRPr="00A97429">
        <w:t xml:space="preserve"> </w:t>
      </w:r>
    </w:p>
    <w:p w14:paraId="4C1E464C" w14:textId="77777777" w:rsidR="00EB486C" w:rsidRDefault="00EB486C" w:rsidP="00A97429">
      <w:r>
        <w:t>Following details stepwise implementation plan for the system level simulator.</w:t>
      </w:r>
    </w:p>
    <w:p w14:paraId="407BBE2E" w14:textId="77777777" w:rsidR="00EB486C" w:rsidRDefault="00EB486C" w:rsidP="00A97429">
      <w:pPr>
        <w:pStyle w:val="Headingb"/>
      </w:pPr>
      <w:r>
        <w:t>Downlink (DL) Steps:</w:t>
      </w:r>
    </w:p>
    <w:p w14:paraId="663BCC1E" w14:textId="77777777" w:rsidR="00EB486C" w:rsidRPr="00493B3A" w:rsidRDefault="00A97429" w:rsidP="00A97429">
      <w:pPr>
        <w:pStyle w:val="enumlev1"/>
      </w:pPr>
      <w:r>
        <w:t>–</w:t>
      </w:r>
      <w:r>
        <w:tab/>
      </w:r>
      <w:r w:rsidR="00EB486C" w:rsidRPr="00493B3A">
        <w:t xml:space="preserve">Step 1: Setup 57 Cells and randomly assign 10 </w:t>
      </w:r>
      <w:r w:rsidR="00EB486C">
        <w:t>STAs</w:t>
      </w:r>
      <w:r w:rsidR="00EB486C" w:rsidRPr="00493B3A">
        <w:t xml:space="preserve"> per Cell</w:t>
      </w:r>
    </w:p>
    <w:p w14:paraId="1F1279D6" w14:textId="77777777" w:rsidR="00EB486C" w:rsidRPr="00493B3A" w:rsidRDefault="00A97429" w:rsidP="00A97429">
      <w:pPr>
        <w:pStyle w:val="enumlev1"/>
      </w:pPr>
      <w:r>
        <w:t>–</w:t>
      </w:r>
      <w:r>
        <w:tab/>
      </w:r>
      <w:r w:rsidR="00EB486C" w:rsidRPr="00493B3A">
        <w:t xml:space="preserve">Step 2: Each </w:t>
      </w:r>
      <w:r w:rsidR="00EB486C">
        <w:t>STA</w:t>
      </w:r>
      <w:r w:rsidR="00EB486C" w:rsidRPr="00493B3A">
        <w:t>, calculate receiving power from assigned Cell and noise from all other 56 Cells</w:t>
      </w:r>
    </w:p>
    <w:p w14:paraId="22D8BF8A" w14:textId="77777777" w:rsidR="00EB486C" w:rsidRPr="00493B3A" w:rsidRDefault="00A97429" w:rsidP="00A97429">
      <w:pPr>
        <w:pStyle w:val="enumlev1"/>
      </w:pPr>
      <w:r>
        <w:t>–</w:t>
      </w:r>
      <w:r>
        <w:tab/>
      </w:r>
      <w:r w:rsidR="00EB486C" w:rsidRPr="00493B3A">
        <w:t xml:space="preserve">Step 3: Store calculated SINR value for all </w:t>
      </w:r>
      <w:r w:rsidR="00EB486C">
        <w:t>STAs</w:t>
      </w:r>
    </w:p>
    <w:p w14:paraId="7038DED5" w14:textId="77777777" w:rsidR="00EB486C" w:rsidRPr="00493B3A" w:rsidRDefault="00A97429" w:rsidP="00A97429">
      <w:pPr>
        <w:pStyle w:val="enumlev1"/>
      </w:pPr>
      <w:r>
        <w:t>–</w:t>
      </w:r>
      <w:r>
        <w:tab/>
      </w:r>
      <w:r w:rsidR="00EB486C" w:rsidRPr="00493B3A">
        <w:t>Step 4: Repeat S</w:t>
      </w:r>
      <w:r w:rsidR="00EB486C">
        <w:t>t</w:t>
      </w:r>
      <w:r w:rsidR="00EB486C" w:rsidRPr="00493B3A">
        <w:t>ep 1 to 3 for 10,000 times.</w:t>
      </w:r>
    </w:p>
    <w:p w14:paraId="50C97914" w14:textId="77777777" w:rsidR="00EB486C" w:rsidRPr="00493B3A" w:rsidRDefault="00A97429" w:rsidP="00A97429">
      <w:pPr>
        <w:pStyle w:val="enumlev1"/>
      </w:pPr>
      <w:r>
        <w:t>–</w:t>
      </w:r>
      <w:r>
        <w:tab/>
      </w:r>
      <w:r w:rsidR="00EB486C" w:rsidRPr="00493B3A">
        <w:t>Step 5: Using all SINR values collected in Step 3 (57 * 10,000) calculate CDF curve</w:t>
      </w:r>
    </w:p>
    <w:p w14:paraId="5C36DD17" w14:textId="77777777" w:rsidR="00EB486C" w:rsidRPr="00493B3A" w:rsidRDefault="00A97429" w:rsidP="00A97429">
      <w:pPr>
        <w:pStyle w:val="enumlev1"/>
      </w:pPr>
      <w:r>
        <w:t>–</w:t>
      </w:r>
      <w:r>
        <w:tab/>
      </w:r>
      <w:r w:rsidR="00EB486C" w:rsidRPr="00493B3A">
        <w:t>Step 6: Use CDF curve to find 5</w:t>
      </w:r>
      <w:r w:rsidR="00EB486C" w:rsidRPr="00D83BA5">
        <w:rPr>
          <w:vertAlign w:val="superscript"/>
        </w:rPr>
        <w:t>th</w:t>
      </w:r>
      <w:r w:rsidR="00EB486C">
        <w:t xml:space="preserve"> </w:t>
      </w:r>
      <w:r w:rsidR="00EB486C" w:rsidRPr="00493B3A">
        <w:t>P</w:t>
      </w:r>
      <w:r w:rsidR="00EB486C">
        <w:t>erc</w:t>
      </w:r>
      <w:r w:rsidR="00EB486C" w:rsidRPr="00493B3A">
        <w:t>entile.</w:t>
      </w:r>
    </w:p>
    <w:p w14:paraId="3FCC999E" w14:textId="77777777" w:rsidR="00EB486C" w:rsidRDefault="00EB486C" w:rsidP="00087E33">
      <w:pPr>
        <w:pStyle w:val="Headingb"/>
      </w:pPr>
      <w:r>
        <w:lastRenderedPageBreak/>
        <w:t>Uplink (UL) Steps:</w:t>
      </w:r>
    </w:p>
    <w:p w14:paraId="272E0935" w14:textId="77777777" w:rsidR="00EB486C" w:rsidRPr="00493B3A" w:rsidRDefault="00A97429" w:rsidP="00087E33">
      <w:pPr>
        <w:pStyle w:val="enumlev1"/>
        <w:keepNext/>
        <w:keepLines/>
      </w:pPr>
      <w:r>
        <w:t>–</w:t>
      </w:r>
      <w:r>
        <w:tab/>
      </w:r>
      <w:r w:rsidR="00EB486C" w:rsidRPr="00493B3A">
        <w:t xml:space="preserve">Step 1: Setup 57 Cells and randomly assign 10 </w:t>
      </w:r>
      <w:r w:rsidR="00EB486C">
        <w:t>STAs</w:t>
      </w:r>
      <w:r w:rsidR="00EB486C" w:rsidRPr="00493B3A">
        <w:t xml:space="preserve"> per Cell</w:t>
      </w:r>
    </w:p>
    <w:p w14:paraId="2C2402AF" w14:textId="77777777" w:rsidR="00EB486C" w:rsidRPr="00493B3A" w:rsidRDefault="00A97429" w:rsidP="00A97429">
      <w:pPr>
        <w:pStyle w:val="enumlev1"/>
      </w:pPr>
      <w:r>
        <w:t>–</w:t>
      </w:r>
      <w:r>
        <w:tab/>
      </w:r>
      <w:r w:rsidR="00EB486C" w:rsidRPr="00493B3A">
        <w:t xml:space="preserve">Step 2: Each </w:t>
      </w:r>
      <w:r w:rsidR="00EB486C">
        <w:t>CAP</w:t>
      </w:r>
      <w:r w:rsidR="00EB486C" w:rsidRPr="00493B3A">
        <w:t xml:space="preserve">, calculate receiving power from assigned </w:t>
      </w:r>
      <w:r w:rsidR="00EB486C">
        <w:t>STAs</w:t>
      </w:r>
      <w:r w:rsidR="00EB486C" w:rsidRPr="00493B3A">
        <w:t xml:space="preserve"> and noise from all other 56 Cells</w:t>
      </w:r>
    </w:p>
    <w:p w14:paraId="7C87B189" w14:textId="77777777" w:rsidR="00EB486C" w:rsidRPr="00493B3A" w:rsidRDefault="00A97429" w:rsidP="00A97429">
      <w:pPr>
        <w:pStyle w:val="enumlev1"/>
      </w:pPr>
      <w:r>
        <w:t>–</w:t>
      </w:r>
      <w:r>
        <w:tab/>
      </w:r>
      <w:r w:rsidR="00EB486C" w:rsidRPr="00493B3A">
        <w:t xml:space="preserve">Step 3: Store calculated SINR value for all </w:t>
      </w:r>
      <w:r w:rsidR="00EB486C">
        <w:t>CAPs</w:t>
      </w:r>
    </w:p>
    <w:p w14:paraId="7CB2DD49" w14:textId="77777777" w:rsidR="00EB486C" w:rsidRPr="00493B3A" w:rsidRDefault="00A97429" w:rsidP="00A97429">
      <w:pPr>
        <w:pStyle w:val="enumlev1"/>
      </w:pPr>
      <w:r>
        <w:t>–</w:t>
      </w:r>
      <w:r>
        <w:tab/>
      </w:r>
      <w:r w:rsidR="00EB486C" w:rsidRPr="00493B3A">
        <w:t>Step 4: Repeat Step 1 to 3 for 10,000 times.</w:t>
      </w:r>
    </w:p>
    <w:p w14:paraId="74E037EC" w14:textId="77777777" w:rsidR="00EB486C" w:rsidRPr="00493B3A" w:rsidRDefault="00A97429" w:rsidP="00A97429">
      <w:pPr>
        <w:pStyle w:val="enumlev1"/>
      </w:pPr>
      <w:r>
        <w:t>–</w:t>
      </w:r>
      <w:r>
        <w:tab/>
      </w:r>
      <w:r w:rsidR="00EB486C" w:rsidRPr="00493B3A">
        <w:t>Step 5: Using all SINR values collected in Step 3 (57 * 10,000) calculate CDF curve</w:t>
      </w:r>
    </w:p>
    <w:p w14:paraId="58CE430E" w14:textId="77777777" w:rsidR="00EB486C" w:rsidRPr="00493B3A" w:rsidRDefault="00A97429" w:rsidP="00A97429">
      <w:pPr>
        <w:pStyle w:val="enumlev1"/>
        <w:rPr>
          <w:sz w:val="28"/>
          <w:szCs w:val="28"/>
        </w:rPr>
      </w:pPr>
      <w:r>
        <w:t>–</w:t>
      </w:r>
      <w:r>
        <w:tab/>
      </w:r>
      <w:r w:rsidR="00EB486C" w:rsidRPr="00493B3A">
        <w:t>Step 6: Use CDF curve to find 5</w:t>
      </w:r>
      <w:r w:rsidR="00EB486C" w:rsidRPr="00D83BA5">
        <w:rPr>
          <w:vertAlign w:val="superscript"/>
        </w:rPr>
        <w:t>th</w:t>
      </w:r>
      <w:r w:rsidR="00EB486C">
        <w:t xml:space="preserve"> </w:t>
      </w:r>
      <w:r w:rsidR="00EB486C" w:rsidRPr="00493B3A">
        <w:t>Percentile.</w:t>
      </w:r>
    </w:p>
    <w:p w14:paraId="7BEF66B2" w14:textId="77777777" w:rsidR="00EB486C" w:rsidRPr="00A13095" w:rsidRDefault="00C20B6A" w:rsidP="00A97429">
      <w:pPr>
        <w:pStyle w:val="Heading3"/>
      </w:pPr>
      <w:sdt>
        <w:sdtPr>
          <w:tag w:val="goog_rdk_2"/>
          <w:id w:val="526458844"/>
        </w:sdtPr>
        <w:sdtEndPr/>
        <w:sdtContent/>
      </w:sdt>
      <w:r w:rsidR="00EB486C" w:rsidRPr="00A13095">
        <w:t>II-G-2D</w:t>
      </w:r>
      <w:r w:rsidR="00EB486C" w:rsidRPr="00A13095">
        <w:tab/>
        <w:t>Connection Density</w:t>
      </w:r>
    </w:p>
    <w:p w14:paraId="2A43A91C" w14:textId="77777777" w:rsidR="00EB486C" w:rsidRPr="00214740" w:rsidRDefault="00EB486C" w:rsidP="00A97429">
      <w:r w:rsidRPr="00A13095">
        <w:t>In the period towards WP 5D Meeting #42 we plan to:</w:t>
      </w:r>
    </w:p>
    <w:p w14:paraId="00BB6720" w14:textId="77777777" w:rsidR="00EB486C" w:rsidRPr="00F95AF3" w:rsidRDefault="00A97429" w:rsidP="00A97429">
      <w:pPr>
        <w:pStyle w:val="enumlev1"/>
      </w:pPr>
      <w:r>
        <w:t>–</w:t>
      </w:r>
      <w:r>
        <w:tab/>
      </w:r>
      <w:r w:rsidR="00EB486C" w:rsidRPr="00F95AF3">
        <w:t>Implement the link- and system-level software simulation platform</w:t>
      </w:r>
    </w:p>
    <w:p w14:paraId="306FE2D5" w14:textId="77777777" w:rsidR="00EB486C" w:rsidRPr="00A13095" w:rsidRDefault="00A97429" w:rsidP="00A97429">
      <w:pPr>
        <w:pStyle w:val="enumlev1"/>
      </w:pPr>
      <w:r>
        <w:t>–</w:t>
      </w:r>
      <w:r>
        <w:tab/>
      </w:r>
      <w:r w:rsidR="00EB486C" w:rsidRPr="00A13095">
        <w:t>Configur</w:t>
      </w:r>
      <w:r w:rsidR="00EB486C" w:rsidRPr="00F95AF3">
        <w:t>e</w:t>
      </w:r>
      <w:r w:rsidR="00EB486C" w:rsidRPr="00A13095">
        <w:t xml:space="preserve"> the exact evaluation scenarios according to ITU-R M.2412</w:t>
      </w:r>
    </w:p>
    <w:p w14:paraId="4F5DE5AA" w14:textId="77777777" w:rsidR="00EB486C" w:rsidRPr="00A13095" w:rsidRDefault="00A97429" w:rsidP="00A97429">
      <w:pPr>
        <w:pStyle w:val="enumlev1"/>
      </w:pPr>
      <w:r>
        <w:t>–</w:t>
      </w:r>
      <w:r>
        <w:tab/>
      </w:r>
      <w:r w:rsidR="00EB486C" w:rsidRPr="00A13095">
        <w:t>Run the simulation scenarios and acquire the performance results</w:t>
      </w:r>
    </w:p>
    <w:p w14:paraId="60407965" w14:textId="77777777" w:rsidR="00EB486C" w:rsidRPr="00C8508C" w:rsidRDefault="00EB486C" w:rsidP="00A97429">
      <w:pPr>
        <w:pStyle w:val="Heading3"/>
      </w:pPr>
      <w:r w:rsidRPr="00C8508C">
        <w:t>II-G-2E</w:t>
      </w:r>
      <w:r w:rsidRPr="00C8508C">
        <w:tab/>
        <w:t>Bandwidth &amp; Spectrum Analysis</w:t>
      </w:r>
    </w:p>
    <w:p w14:paraId="247DF68D" w14:textId="77777777" w:rsidR="00EB486C" w:rsidRPr="00C8508C" w:rsidRDefault="00EB486C" w:rsidP="00A97429">
      <w:r w:rsidRPr="00C8508C">
        <w:t xml:space="preserve">Bandwidth </w:t>
      </w:r>
      <w:r w:rsidRPr="00C8508C">
        <w:rPr>
          <w:bCs/>
        </w:rPr>
        <w:t xml:space="preserve">is </w:t>
      </w:r>
      <w:r w:rsidRPr="00C8508C">
        <w:rPr>
          <w:lang w:eastAsia="ko-KR"/>
        </w:rPr>
        <w:t>the maximum aggregated system bandwidth. As defined in M.2410,</w:t>
      </w:r>
      <w:r w:rsidRPr="00C8508C">
        <w:t xml:space="preserve"> t</w:t>
      </w:r>
      <w:r w:rsidRPr="00C8508C">
        <w:rPr>
          <w:lang w:eastAsia="zh-CN"/>
        </w:rPr>
        <w:t>he</w:t>
      </w:r>
      <w:r w:rsidRPr="00C8508C">
        <w:t xml:space="preserve"> bandwidth may be supported by single or multiple </w:t>
      </w:r>
      <w:r w:rsidRPr="00C8508C">
        <w:rPr>
          <w:lang w:eastAsia="ja-JP"/>
        </w:rPr>
        <w:t>radio frequency (</w:t>
      </w:r>
      <w:r w:rsidRPr="00C8508C">
        <w:rPr>
          <w:lang w:eastAsia="zh-CN"/>
        </w:rPr>
        <w:t>RF</w:t>
      </w:r>
      <w:r w:rsidRPr="00C8508C">
        <w:rPr>
          <w:lang w:eastAsia="ja-JP"/>
        </w:rPr>
        <w:t>)</w:t>
      </w:r>
      <w:r w:rsidRPr="00C8508C">
        <w:t xml:space="preserve"> carriers, with the following requirements: </w:t>
      </w:r>
    </w:p>
    <w:p w14:paraId="0F68576B" w14:textId="77777777" w:rsidR="00EB486C" w:rsidRPr="00C8508C" w:rsidRDefault="00A97429" w:rsidP="00A97429">
      <w:pPr>
        <w:pStyle w:val="enumlev1"/>
      </w:pPr>
      <w:r>
        <w:t>–</w:t>
      </w:r>
      <w:r>
        <w:tab/>
      </w:r>
      <w:r w:rsidR="00EB486C" w:rsidRPr="00C8508C">
        <w:t>Bandwidth of at least 100 MHz should be supported.</w:t>
      </w:r>
    </w:p>
    <w:p w14:paraId="30EE4F55" w14:textId="77777777" w:rsidR="00EB486C" w:rsidRPr="00C8508C" w:rsidRDefault="00A97429" w:rsidP="00A97429">
      <w:pPr>
        <w:pStyle w:val="enumlev1"/>
      </w:pPr>
      <w:r>
        <w:t>–</w:t>
      </w:r>
      <w:r>
        <w:tab/>
      </w:r>
      <w:r w:rsidR="00EB486C" w:rsidRPr="00C8508C">
        <w:t>Bandwidth should be scalable, i.e., multiple different bandwidth values should be supported.</w:t>
      </w:r>
    </w:p>
    <w:p w14:paraId="416630D8" w14:textId="77777777" w:rsidR="00EB486C" w:rsidRPr="00C8508C" w:rsidRDefault="00A97429" w:rsidP="00A97429">
      <w:pPr>
        <w:pStyle w:val="enumlev1"/>
      </w:pPr>
      <w:r>
        <w:t>–</w:t>
      </w:r>
      <w:r>
        <w:tab/>
      </w:r>
      <w:r w:rsidR="00EB486C" w:rsidRPr="00C8508C">
        <w:t>Bandwidths up to 1 GHz for operation in higher frequency bands (e.g., above 6 GHz) should be also supported.</w:t>
      </w:r>
    </w:p>
    <w:p w14:paraId="086C9475" w14:textId="77777777" w:rsidR="00EB486C" w:rsidRPr="00C8508C" w:rsidRDefault="00EB486C" w:rsidP="00A97429">
      <w:r w:rsidRPr="00C8508C">
        <w:t>The assessment is performed through inspection as defined in M.2411 and the outcomes are reflected in the following clauses of the Evaluation Methodology:</w:t>
      </w:r>
    </w:p>
    <w:p w14:paraId="4887F2A4" w14:textId="77777777" w:rsidR="00EB486C" w:rsidRPr="00C8508C" w:rsidRDefault="00A97429" w:rsidP="00A97429">
      <w:pPr>
        <w:pStyle w:val="enumlev1"/>
      </w:pPr>
      <w:r>
        <w:t>–</w:t>
      </w:r>
      <w:r>
        <w:tab/>
      </w:r>
      <w:r w:rsidR="00EB486C" w:rsidRPr="00C8508C">
        <w:t>Compliance Template Spectrum: Higher Frequency range/band(s) (M.2411 - 5.2.4.2.2)</w:t>
      </w:r>
    </w:p>
    <w:p w14:paraId="227468E1" w14:textId="77777777" w:rsidR="00EB486C" w:rsidRPr="00C8508C" w:rsidRDefault="00A97429" w:rsidP="00A97429">
      <w:pPr>
        <w:pStyle w:val="enumlev1"/>
      </w:pPr>
      <w:r>
        <w:t>–</w:t>
      </w:r>
      <w:r>
        <w:tab/>
      </w:r>
      <w:r w:rsidR="00EB486C" w:rsidRPr="00C8508C">
        <w:t>Compliance Template for Technical Performance: Bandwidth &amp; Scalability KPI (M.2411 - 5.2.4.3.15).</w:t>
      </w:r>
    </w:p>
    <w:p w14:paraId="66E83768" w14:textId="77777777" w:rsidR="00EB486C" w:rsidRPr="00EB01B7" w:rsidRDefault="00EB486C" w:rsidP="00EB486C">
      <w:pPr>
        <w:jc w:val="both"/>
      </w:pPr>
      <w:r w:rsidRPr="00A13095">
        <w:rPr>
          <w:lang w:val="en-US"/>
        </w:rPr>
        <w:t xml:space="preserve">During this period, we have performed a thorough reviewed of the updated EUHT 5G specifications and the submission material. </w:t>
      </w:r>
      <w:r w:rsidRPr="00A13095">
        <w:t>In the period towards WP 5D Meeting #42 we plan to complete the bandwidth and spectrum analysis study.</w:t>
      </w:r>
    </w:p>
    <w:p w14:paraId="75A28F68" w14:textId="77777777" w:rsidR="00A97429" w:rsidRDefault="00A97429">
      <w:pPr>
        <w:tabs>
          <w:tab w:val="clear" w:pos="1134"/>
          <w:tab w:val="clear" w:pos="1871"/>
          <w:tab w:val="clear" w:pos="2268"/>
        </w:tabs>
        <w:overflowPunct/>
        <w:autoSpaceDE/>
        <w:autoSpaceDN/>
        <w:adjustRightInd/>
        <w:spacing w:before="0"/>
        <w:textAlignment w:val="auto"/>
        <w:rPr>
          <w:b/>
          <w:color w:val="000000"/>
          <w:sz w:val="28"/>
          <w:szCs w:val="28"/>
        </w:rPr>
      </w:pPr>
      <w:r>
        <w:rPr>
          <w:color w:val="000000"/>
          <w:szCs w:val="28"/>
        </w:rPr>
        <w:br w:type="page"/>
      </w:r>
    </w:p>
    <w:p w14:paraId="786487EE" w14:textId="77777777" w:rsidR="00EB486C" w:rsidRPr="00A97429" w:rsidRDefault="00EB486C" w:rsidP="00A97429">
      <w:pPr>
        <w:pStyle w:val="Part1"/>
      </w:pPr>
      <w:r w:rsidRPr="00EB01B7">
        <w:lastRenderedPageBreak/>
        <w:t>Part III</w:t>
      </w:r>
      <w:r w:rsidR="00A97429">
        <w:br/>
      </w:r>
      <w:r w:rsidR="00A97429">
        <w:br/>
      </w:r>
      <w:r w:rsidRPr="00EB01B7">
        <w:t>Conclusions</w:t>
      </w:r>
    </w:p>
    <w:p w14:paraId="43BFBF1B" w14:textId="77777777" w:rsidR="00EB486C" w:rsidRPr="000E20B9" w:rsidRDefault="00EB486C" w:rsidP="00A97429">
      <w:pPr>
        <w:pStyle w:val="Normalaftertitle"/>
        <w:rPr>
          <w:rFonts w:eastAsia="Arial"/>
        </w:rPr>
      </w:pPr>
      <w:r w:rsidRPr="00EB01B7">
        <w:rPr>
          <w:rFonts w:eastAsia="Arial"/>
        </w:rPr>
        <w:t xml:space="preserve">In this report, we present the methodology that we plan to adopt for evaluating the </w:t>
      </w:r>
      <w:r>
        <w:rPr>
          <w:rFonts w:eastAsia="Arial"/>
        </w:rPr>
        <w:t xml:space="preserve">EUHT-5G </w:t>
      </w:r>
      <w:r w:rsidRPr="00EB01B7">
        <w:rPr>
          <w:rFonts w:eastAsia="Arial"/>
        </w:rPr>
        <w:t>RIT</w:t>
      </w:r>
      <w:r>
        <w:rPr>
          <w:rFonts w:eastAsia="Arial"/>
        </w:rPr>
        <w:t>, in terms of Reliability, Connection Density and Bandwidth characteristics. For reliability we consider the</w:t>
      </w:r>
      <w:r w:rsidRPr="00EB01B7">
        <w:rPr>
          <w:rFonts w:eastAsia="Arial"/>
        </w:rPr>
        <w:t xml:space="preserve"> urban macro URLLC scenario. First, we highlight the implementation plan for the link-level simulations. We identify some important parameters and explain the individual modules and transmitter/receiver design involved in the implementation plan. We also provide an initial discussion on how the link-level simulations will be connected to the system level simulations, as a direction for the next report.</w:t>
      </w:r>
      <w:r w:rsidRPr="000E20B9">
        <w:rPr>
          <w:rFonts w:eastAsia="Arial"/>
        </w:rPr>
        <w:t xml:space="preserve"> </w:t>
      </w:r>
      <w:r>
        <w:rPr>
          <w:rFonts w:eastAsia="Arial"/>
        </w:rPr>
        <w:t>For connection density we describe the step-by-step procedure for link- and system-level simulation as will be applied to the Urban Macro mMTC scenario. Finally, bandwidth will be assessed using inspection.</w:t>
      </w:r>
    </w:p>
    <w:p w14:paraId="2E133C36" w14:textId="77777777" w:rsidR="00EB486C" w:rsidRPr="000E20B9" w:rsidRDefault="00EB486C" w:rsidP="00087E33">
      <w:pPr>
        <w:pStyle w:val="Reftitle"/>
        <w:spacing w:before="600"/>
        <w:rPr>
          <w:b/>
        </w:rPr>
      </w:pPr>
      <w:r w:rsidRPr="000E20B9">
        <w:t>References &amp; Additional Material</w:t>
      </w:r>
    </w:p>
    <w:p w14:paraId="32F9AF72" w14:textId="77777777" w:rsidR="00EB486C" w:rsidRPr="00144799" w:rsidRDefault="00A97429" w:rsidP="00087E33">
      <w:pPr>
        <w:pStyle w:val="Reftext"/>
        <w:spacing w:before="360"/>
      </w:pPr>
      <w:bookmarkStart w:id="16" w:name="_heading=h.3znysh7" w:colFirst="0" w:colLast="0"/>
      <w:bookmarkEnd w:id="16"/>
      <w:r>
        <w:t>[1]</w:t>
      </w:r>
      <w:r>
        <w:tab/>
      </w:r>
      <w:r w:rsidR="00EB486C" w:rsidRPr="00144799">
        <w:t>ITU-R: Minimum requirements related to technical performance for IMT-2020 radio interface(s). Report ITU-R M.2410-0, (11/2017).</w:t>
      </w:r>
    </w:p>
    <w:p w14:paraId="2FCC7B5C" w14:textId="77777777" w:rsidR="00EB486C" w:rsidRPr="00144799" w:rsidRDefault="00A97429" w:rsidP="00A97429">
      <w:pPr>
        <w:pStyle w:val="Reftext"/>
        <w:rPr>
          <w:rFonts w:ascii="Times" w:hAnsi="Times" w:cs="Times"/>
        </w:rPr>
      </w:pPr>
      <w:bookmarkStart w:id="17" w:name="_heading=h.2et92p0" w:colFirst="0" w:colLast="0"/>
      <w:bookmarkEnd w:id="17"/>
      <w:r>
        <w:t>[2]</w:t>
      </w:r>
      <w:r>
        <w:tab/>
      </w:r>
      <w:r w:rsidR="00EB486C" w:rsidRPr="00144799">
        <w:t xml:space="preserve">ITU-R: Requirements, evaluation criteria and submission templates for the development of </w:t>
      </w:r>
      <w:r w:rsidR="00EB486C" w:rsidRPr="00144799">
        <w:rPr>
          <w:rFonts w:ascii="Times" w:hAnsi="Times" w:cs="Times"/>
        </w:rPr>
        <w:t>IMT-2020. Report ITU-R M.2411-0, (11/2017).</w:t>
      </w:r>
    </w:p>
    <w:p w14:paraId="52A5552F" w14:textId="77777777" w:rsidR="00EB486C" w:rsidRPr="00144799" w:rsidRDefault="00A97429" w:rsidP="00A97429">
      <w:pPr>
        <w:pStyle w:val="Reftext"/>
        <w:rPr>
          <w:rFonts w:ascii="Times" w:hAnsi="Times" w:cs="Times"/>
        </w:rPr>
      </w:pPr>
      <w:bookmarkStart w:id="18" w:name="_heading=h.tyjcwt" w:colFirst="0" w:colLast="0"/>
      <w:bookmarkEnd w:id="18"/>
      <w:r>
        <w:t>[3]</w:t>
      </w:r>
      <w:r>
        <w:tab/>
      </w:r>
      <w:r w:rsidR="00EB486C" w:rsidRPr="00144799">
        <w:rPr>
          <w:rFonts w:ascii="Times" w:hAnsi="Times" w:cs="Times"/>
        </w:rPr>
        <w:t>ITU-R: Guidelines for evaluation of radio interface technologies for IMT-2020. Report ITU-R M.2412-0, (10/2017).</w:t>
      </w:r>
    </w:p>
    <w:p w14:paraId="2BC1C0F8" w14:textId="77777777" w:rsidR="00EB486C" w:rsidRPr="00144799" w:rsidRDefault="00A97429" w:rsidP="00A97429">
      <w:pPr>
        <w:pStyle w:val="Reftext"/>
        <w:rPr>
          <w:rFonts w:ascii="Times" w:hAnsi="Times" w:cs="Times"/>
        </w:rPr>
      </w:pPr>
      <w:bookmarkStart w:id="19" w:name="_heading=h.rxzmxgep95wc" w:colFirst="0" w:colLast="0"/>
      <w:bookmarkEnd w:id="19"/>
      <w:r>
        <w:t>[4]</w:t>
      </w:r>
      <w:r>
        <w:tab/>
      </w:r>
      <w:r w:rsidR="00EB486C" w:rsidRPr="00144799">
        <w:rPr>
          <w:rFonts w:ascii="Times" w:hAnsi="Times" w:cs="Times"/>
        </w:rPr>
        <w:t>3GPP. 2018. TR 38.901. Study on channel for frequencies from 0.5 to 100 GHz.  V.15.0.0. (2018-06).</w:t>
      </w:r>
    </w:p>
    <w:p w14:paraId="4314BC37" w14:textId="77777777" w:rsidR="00EB486C" w:rsidRPr="00144799" w:rsidRDefault="00A97429" w:rsidP="00A97429">
      <w:pPr>
        <w:pStyle w:val="Reftext"/>
        <w:rPr>
          <w:rFonts w:ascii="Times" w:hAnsi="Times" w:cs="Times"/>
        </w:rPr>
      </w:pPr>
      <w:bookmarkStart w:id="20" w:name="_heading=h.8xdsssthu8m6" w:colFirst="0" w:colLast="0"/>
      <w:bookmarkEnd w:id="20"/>
      <w:r>
        <w:t>[5]</w:t>
      </w:r>
      <w:r>
        <w:tab/>
      </w:r>
      <w:r w:rsidR="00EB486C" w:rsidRPr="00144799">
        <w:rPr>
          <w:rFonts w:ascii="Times" w:hAnsi="Times" w:cs="Times"/>
        </w:rPr>
        <w:t>Menglei Zhang, Michele Polese, Marco Mezzavilla, Sundeep Rangan, Michele Zorzi. “ns-3 Implementation of the 3GPP MIMO Channel Model for Frequency Spectrum above 6 GHz”. In Proceedings of the Workshop on ns-3 (WNS3 ‘17). 2017.</w:t>
      </w:r>
    </w:p>
    <w:p w14:paraId="0D8566D2" w14:textId="77777777" w:rsidR="00EB486C" w:rsidRPr="00486A2E" w:rsidRDefault="00A97429" w:rsidP="00A97429">
      <w:pPr>
        <w:pStyle w:val="Reftext"/>
        <w:rPr>
          <w:rFonts w:ascii="Times" w:hAnsi="Times" w:cs="Times"/>
        </w:rPr>
      </w:pPr>
      <w:bookmarkStart w:id="21" w:name="_heading=h.l9bq9bbppha7"/>
      <w:bookmarkStart w:id="22" w:name="_heading=h.ysy86y8i49z4"/>
      <w:bookmarkStart w:id="23" w:name="_Ref104375518"/>
      <w:bookmarkEnd w:id="21"/>
      <w:bookmarkEnd w:id="22"/>
      <w:r w:rsidRPr="00486A2E">
        <w:t>[6]</w:t>
      </w:r>
      <w:r w:rsidRPr="00486A2E">
        <w:tab/>
      </w:r>
      <w:r w:rsidR="00EB486C" w:rsidRPr="00486A2E">
        <w:rPr>
          <w:rFonts w:ascii="Times" w:hAnsi="Times" w:cs="Times"/>
        </w:rPr>
        <w:t>ITU Radiocommunication Bureau (BR), Circular Letter, 5/LCCE/94, 28 June 2021</w:t>
      </w:r>
      <w:bookmarkEnd w:id="23"/>
    </w:p>
    <w:p w14:paraId="51C63BC9" w14:textId="77777777" w:rsidR="00EB486C" w:rsidRPr="00144799" w:rsidRDefault="00A97429" w:rsidP="00A97429">
      <w:pPr>
        <w:pStyle w:val="Reftext"/>
        <w:rPr>
          <w:rFonts w:ascii="Times" w:hAnsi="Times" w:cs="Times"/>
        </w:rPr>
      </w:pPr>
      <w:bookmarkStart w:id="24" w:name="_Ref104375525"/>
      <w:r>
        <w:t>[7]</w:t>
      </w:r>
      <w:r>
        <w:tab/>
      </w:r>
      <w:r w:rsidR="00EB486C" w:rsidRPr="00144799">
        <w:rPr>
          <w:rFonts w:ascii="Times" w:hAnsi="Times" w:cs="Times"/>
        </w:rPr>
        <w:t>ITU Radiocommunication Bureau (BR), Addendum 1 to Circular Letter, 5/LCCE/94, 8 March 2022</w:t>
      </w:r>
      <w:bookmarkEnd w:id="24"/>
    </w:p>
    <w:p w14:paraId="3CF08262" w14:textId="77777777" w:rsidR="00EB486C" w:rsidRPr="00144799" w:rsidRDefault="00A97429" w:rsidP="00A97429">
      <w:pPr>
        <w:pStyle w:val="Reftext"/>
        <w:rPr>
          <w:rFonts w:ascii="Times" w:hAnsi="Times" w:cs="Times"/>
        </w:rPr>
      </w:pPr>
      <w:bookmarkStart w:id="25" w:name="_Ref104375534"/>
      <w:r>
        <w:t>[8]</w:t>
      </w:r>
      <w:r>
        <w:tab/>
      </w:r>
      <w:r w:rsidR="00EB486C" w:rsidRPr="00144799">
        <w:rPr>
          <w:rFonts w:ascii="Times" w:eastAsia="Malgun Gothic" w:hAnsi="Times" w:cs="Times"/>
        </w:rPr>
        <w:t xml:space="preserve">IMT-2020/75, ITU-R IMT.2020 Contribution 75, Submission received for proposals of candidate radio interface technologies from proponent 'Nufront' under step 3 of the IMT-2020 process, </w:t>
      </w:r>
      <w:r w:rsidR="00EB486C" w:rsidRPr="00144799">
        <w:rPr>
          <w:rFonts w:ascii="Times" w:hAnsi="Times" w:cs="Times"/>
        </w:rPr>
        <w:t>2022-03-03, https://www.itu.int/md/R15-IMT.2020-C-0075/en</w:t>
      </w:r>
      <w:bookmarkEnd w:id="25"/>
    </w:p>
    <w:p w14:paraId="71C6C6CF" w14:textId="77777777" w:rsidR="000069D4" w:rsidRPr="00EB486C" w:rsidRDefault="00A97429" w:rsidP="00A97429">
      <w:pPr>
        <w:spacing w:before="480"/>
        <w:jc w:val="center"/>
      </w:pPr>
      <w:r>
        <w:t>______________</w:t>
      </w:r>
    </w:p>
    <w:sectPr w:rsidR="000069D4" w:rsidRPr="00EB486C" w:rsidSect="00D02712">
      <w:headerReference w:type="default" r:id="rId33"/>
      <w:footerReference w:type="default" r:id="rId34"/>
      <w:footerReference w:type="first" r:id="rId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D187" w14:textId="77777777" w:rsidR="00282550" w:rsidRDefault="00282550">
      <w:r>
        <w:separator/>
      </w:r>
    </w:p>
  </w:endnote>
  <w:endnote w:type="continuationSeparator" w:id="0">
    <w:p w14:paraId="393CCA72" w14:textId="77777777" w:rsidR="00282550" w:rsidRDefault="0028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0DBF" w14:textId="77777777" w:rsidR="00EB486C" w:rsidRPr="00EB486C" w:rsidRDefault="00C20B6A">
    <w:pPr>
      <w:pStyle w:val="Footer"/>
      <w:rPr>
        <w:lang w:val="en-US"/>
      </w:rPr>
    </w:pPr>
    <w:r>
      <w:fldChar w:fldCharType="begin"/>
    </w:r>
    <w:r>
      <w:instrText xml:space="preserve"> FIL</w:instrText>
    </w:r>
    <w:r>
      <w:instrText xml:space="preserve">ENAME \p \* MERGEFORMAT </w:instrText>
    </w:r>
    <w:r>
      <w:fldChar w:fldCharType="separate"/>
    </w:r>
    <w:r w:rsidR="00EB486C" w:rsidRPr="00EB486C">
      <w:rPr>
        <w:lang w:val="en-US"/>
      </w:rPr>
      <w:t>M</w:t>
    </w:r>
    <w:r w:rsidR="00EB486C">
      <w:t>:\BRSGD\TEXT2019\SG05\WP5D\1200\1283e.docx</w:t>
    </w:r>
    <w:r>
      <w:fldChar w:fldCharType="end"/>
    </w:r>
    <w:r w:rsidR="00EB486C" w:rsidRPr="00622706">
      <w:rPr>
        <w:lang w:val="en-US"/>
      </w:rPr>
      <w:tab/>
    </w:r>
    <w:r w:rsidR="00EB486C">
      <w:rPr>
        <w:lang w:val="en-US"/>
      </w:rPr>
      <w:tab/>
    </w:r>
    <w:r w:rsidR="00EB486C" w:rsidRPr="00622706">
      <w:fldChar w:fldCharType="begin"/>
    </w:r>
    <w:r w:rsidR="00EB486C" w:rsidRPr="00622706">
      <w:instrText xml:space="preserve"> savedate \@ dd.MM.yy </w:instrText>
    </w:r>
    <w:r w:rsidR="00EB486C" w:rsidRPr="00622706">
      <w:fldChar w:fldCharType="separate"/>
    </w:r>
    <w:r>
      <w:t>19.10.22</w:t>
    </w:r>
    <w:r w:rsidR="00EB486C"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CAEF" w14:textId="77777777" w:rsidR="00EB486C" w:rsidRPr="00EB486C" w:rsidRDefault="00C20B6A" w:rsidP="00E6257C">
    <w:pPr>
      <w:pStyle w:val="Footer"/>
      <w:rPr>
        <w:lang w:val="en-US"/>
      </w:rPr>
    </w:pPr>
    <w:r>
      <w:fldChar w:fldCharType="begin"/>
    </w:r>
    <w:r>
      <w:instrText xml:space="preserve"> FILENAME \p \* MERGEFORMAT </w:instrText>
    </w:r>
    <w:r>
      <w:fldChar w:fldCharType="separate"/>
    </w:r>
    <w:r w:rsidR="00EB486C" w:rsidRPr="00EB486C">
      <w:rPr>
        <w:lang w:val="en-US"/>
      </w:rPr>
      <w:t>M</w:t>
    </w:r>
    <w:r w:rsidR="00EB486C">
      <w:t>:\BRSGD\TEXT2019\SG05\WP5D\1200\1283e.docx</w:t>
    </w:r>
    <w:r>
      <w:fldChar w:fldCharType="end"/>
    </w:r>
    <w:r w:rsidR="00EB486C" w:rsidRPr="00622706">
      <w:rPr>
        <w:lang w:val="en-US"/>
      </w:rPr>
      <w:tab/>
    </w:r>
    <w:r w:rsidR="00EB486C">
      <w:rPr>
        <w:lang w:val="en-US"/>
      </w:rPr>
      <w:tab/>
    </w:r>
    <w:r w:rsidR="00EB486C" w:rsidRPr="00622706">
      <w:fldChar w:fldCharType="begin"/>
    </w:r>
    <w:r w:rsidR="00EB486C" w:rsidRPr="00622706">
      <w:instrText xml:space="preserve"> savedate \@ dd.MM.yy </w:instrText>
    </w:r>
    <w:r w:rsidR="00EB486C" w:rsidRPr="00622706">
      <w:fldChar w:fldCharType="separate"/>
    </w:r>
    <w:r>
      <w:t>19.10.22</w:t>
    </w:r>
    <w:r w:rsidR="00EB486C"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E7BC" w14:textId="77777777" w:rsidR="00282550" w:rsidRDefault="00282550">
      <w:r>
        <w:t>____________________</w:t>
      </w:r>
    </w:p>
  </w:footnote>
  <w:footnote w:type="continuationSeparator" w:id="0">
    <w:p w14:paraId="4CCFFFD6" w14:textId="77777777" w:rsidR="00282550" w:rsidRDefault="00282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78A9" w14:textId="77777777" w:rsidR="00EB486C" w:rsidRDefault="00EB486C"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47BA6">
      <w:rPr>
        <w:rStyle w:val="PageNumber"/>
        <w:noProof/>
      </w:rPr>
      <w:t>16</w:t>
    </w:r>
    <w:r>
      <w:rPr>
        <w:rStyle w:val="PageNumber"/>
      </w:rPr>
      <w:fldChar w:fldCharType="end"/>
    </w:r>
    <w:r>
      <w:rPr>
        <w:rStyle w:val="PageNumber"/>
      </w:rPr>
      <w:t xml:space="preserve"> -</w:t>
    </w:r>
  </w:p>
  <w:p w14:paraId="2A2AEB00" w14:textId="77777777" w:rsidR="00EB486C" w:rsidRDefault="00EB486C">
    <w:pPr>
      <w:pStyle w:val="Header"/>
      <w:rPr>
        <w:lang w:val="en-US"/>
      </w:rPr>
    </w:pPr>
    <w:r>
      <w:rPr>
        <w:lang w:val="en-US"/>
      </w:rPr>
      <w:t>5D/1283-E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66E3"/>
    <w:multiLevelType w:val="hybridMultilevel"/>
    <w:tmpl w:val="E156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C5C3C"/>
    <w:multiLevelType w:val="hybridMultilevel"/>
    <w:tmpl w:val="7C8E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E5E8F"/>
    <w:multiLevelType w:val="hybridMultilevel"/>
    <w:tmpl w:val="C70A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A1A78"/>
    <w:multiLevelType w:val="multilevel"/>
    <w:tmpl w:val="5EB0E1AA"/>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77670D"/>
    <w:multiLevelType w:val="hybridMultilevel"/>
    <w:tmpl w:val="58D2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C1287"/>
    <w:multiLevelType w:val="hybridMultilevel"/>
    <w:tmpl w:val="EBC6A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2139A"/>
    <w:multiLevelType w:val="multilevel"/>
    <w:tmpl w:val="84402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DA5F63"/>
    <w:multiLevelType w:val="hybridMultilevel"/>
    <w:tmpl w:val="26A0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256CD4"/>
    <w:multiLevelType w:val="hybridMultilevel"/>
    <w:tmpl w:val="BE4A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424F1"/>
    <w:multiLevelType w:val="hybridMultilevel"/>
    <w:tmpl w:val="E67C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059715">
    <w:abstractNumId w:val="3"/>
  </w:num>
  <w:num w:numId="2" w16cid:durableId="1987278821">
    <w:abstractNumId w:val="6"/>
  </w:num>
  <w:num w:numId="3" w16cid:durableId="107049507">
    <w:abstractNumId w:val="7"/>
  </w:num>
  <w:num w:numId="4" w16cid:durableId="1812746357">
    <w:abstractNumId w:val="1"/>
  </w:num>
  <w:num w:numId="5" w16cid:durableId="545486870">
    <w:abstractNumId w:val="4"/>
  </w:num>
  <w:num w:numId="6" w16cid:durableId="906040722">
    <w:abstractNumId w:val="2"/>
  </w:num>
  <w:num w:numId="7" w16cid:durableId="567494013">
    <w:abstractNumId w:val="8"/>
  </w:num>
  <w:num w:numId="8" w16cid:durableId="1623149417">
    <w:abstractNumId w:val="9"/>
  </w:num>
  <w:num w:numId="9" w16cid:durableId="374699274">
    <w:abstractNumId w:val="5"/>
  </w:num>
  <w:num w:numId="10" w16cid:durableId="114932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9F"/>
    <w:rsid w:val="0000493A"/>
    <w:rsid w:val="000069D4"/>
    <w:rsid w:val="000174AD"/>
    <w:rsid w:val="00047A1D"/>
    <w:rsid w:val="000604B9"/>
    <w:rsid w:val="00087E33"/>
    <w:rsid w:val="000A7D55"/>
    <w:rsid w:val="000C12C8"/>
    <w:rsid w:val="000C2E8E"/>
    <w:rsid w:val="000E0E7C"/>
    <w:rsid w:val="000F1B4B"/>
    <w:rsid w:val="0012744F"/>
    <w:rsid w:val="00131178"/>
    <w:rsid w:val="0013189F"/>
    <w:rsid w:val="00156F66"/>
    <w:rsid w:val="00163271"/>
    <w:rsid w:val="00172122"/>
    <w:rsid w:val="00182528"/>
    <w:rsid w:val="0018500B"/>
    <w:rsid w:val="00196A19"/>
    <w:rsid w:val="00202DC1"/>
    <w:rsid w:val="002116EE"/>
    <w:rsid w:val="002309D8"/>
    <w:rsid w:val="00243A6E"/>
    <w:rsid w:val="00282550"/>
    <w:rsid w:val="002A7FE2"/>
    <w:rsid w:val="002E1B4F"/>
    <w:rsid w:val="002F2E67"/>
    <w:rsid w:val="002F7CB3"/>
    <w:rsid w:val="00315546"/>
    <w:rsid w:val="00330567"/>
    <w:rsid w:val="00373441"/>
    <w:rsid w:val="00386A9D"/>
    <w:rsid w:val="00391081"/>
    <w:rsid w:val="003B2789"/>
    <w:rsid w:val="003C13CE"/>
    <w:rsid w:val="003C697E"/>
    <w:rsid w:val="003E2518"/>
    <w:rsid w:val="003E7CEF"/>
    <w:rsid w:val="00486A2E"/>
    <w:rsid w:val="004B1EF7"/>
    <w:rsid w:val="004B3FAD"/>
    <w:rsid w:val="004C5749"/>
    <w:rsid w:val="00501DCA"/>
    <w:rsid w:val="00513A47"/>
    <w:rsid w:val="0052355D"/>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97429"/>
    <w:rsid w:val="00AD2345"/>
    <w:rsid w:val="00AF173A"/>
    <w:rsid w:val="00B066A4"/>
    <w:rsid w:val="00B07A13"/>
    <w:rsid w:val="00B14C07"/>
    <w:rsid w:val="00B4279B"/>
    <w:rsid w:val="00B45FC9"/>
    <w:rsid w:val="00B47BA6"/>
    <w:rsid w:val="00B76F35"/>
    <w:rsid w:val="00B81138"/>
    <w:rsid w:val="00BC7CCF"/>
    <w:rsid w:val="00BD4135"/>
    <w:rsid w:val="00BE470B"/>
    <w:rsid w:val="00C20B6A"/>
    <w:rsid w:val="00C57A91"/>
    <w:rsid w:val="00C6740F"/>
    <w:rsid w:val="00CC01C2"/>
    <w:rsid w:val="00CF21F2"/>
    <w:rsid w:val="00D02712"/>
    <w:rsid w:val="00D046A7"/>
    <w:rsid w:val="00D214D0"/>
    <w:rsid w:val="00D6546B"/>
    <w:rsid w:val="00DB178B"/>
    <w:rsid w:val="00DC17D3"/>
    <w:rsid w:val="00DC3A77"/>
    <w:rsid w:val="00DC5042"/>
    <w:rsid w:val="00DD4BED"/>
    <w:rsid w:val="00DE39F0"/>
    <w:rsid w:val="00DF0AF3"/>
    <w:rsid w:val="00DF7E9F"/>
    <w:rsid w:val="00E27D7E"/>
    <w:rsid w:val="00E42E13"/>
    <w:rsid w:val="00E56D5C"/>
    <w:rsid w:val="00E6257C"/>
    <w:rsid w:val="00E63C59"/>
    <w:rsid w:val="00EB486C"/>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C3B068"/>
  <w15:docId w15:val="{8EB92866-6EE5-4894-A6D8-6D1C2F00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qFormat/>
    <w:rsid w:val="009C185B"/>
    <w:pPr>
      <w:tabs>
        <w:tab w:val="clear" w:pos="1134"/>
        <w:tab w:val="clear" w:pos="1871"/>
        <w:tab w:val="clear" w:pos="2268"/>
      </w:tabs>
      <w:spacing w:before="0"/>
    </w:pPr>
    <w:rPr>
      <w:sz w:val="20"/>
      <w:lang w:eastAsia="zh-CN"/>
    </w:rPr>
  </w:style>
  <w:style w:type="character" w:customStyle="1" w:styleId="Heading2Char">
    <w:name w:val="Heading 2 Char"/>
    <w:basedOn w:val="DefaultParagraphFont"/>
    <w:link w:val="Heading2"/>
    <w:uiPriority w:val="9"/>
    <w:rsid w:val="00EB486C"/>
    <w:rPr>
      <w:rFonts w:ascii="Times New Roman" w:hAnsi="Times New Roman"/>
      <w:b/>
      <w:sz w:val="24"/>
      <w:lang w:val="en-GB" w:eastAsia="en-US"/>
    </w:rPr>
  </w:style>
  <w:style w:type="paragraph" w:styleId="NormalWeb">
    <w:name w:val="Normal (Web)"/>
    <w:basedOn w:val="Normal"/>
    <w:uiPriority w:val="99"/>
    <w:semiHidden/>
    <w:unhideWhenUsed/>
    <w:rsid w:val="00EB486C"/>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character" w:styleId="Hyperlink">
    <w:name w:val="Hyperlink"/>
    <w:basedOn w:val="DefaultParagraphFont"/>
    <w:uiPriority w:val="99"/>
    <w:unhideWhenUsed/>
    <w:rsid w:val="00EB486C"/>
    <w:rPr>
      <w:color w:val="0000FF"/>
      <w:u w:val="single"/>
    </w:rPr>
  </w:style>
  <w:style w:type="paragraph" w:styleId="ListParagraph">
    <w:name w:val="List Paragraph"/>
    <w:aliases w:val="- Bullets,목록 단락,リスト段落,?? ??,?????,????"/>
    <w:basedOn w:val="Normal"/>
    <w:link w:val="ListParagraphChar"/>
    <w:uiPriority w:val="34"/>
    <w:qFormat/>
    <w:rsid w:val="00EB486C"/>
    <w:pPr>
      <w:ind w:left="720"/>
      <w:contextualSpacing/>
    </w:pPr>
    <w:rPr>
      <w:lang w:eastAsia="en-GB"/>
    </w:rPr>
  </w:style>
  <w:style w:type="character" w:customStyle="1" w:styleId="ListParagraphChar">
    <w:name w:val="List Paragraph Char"/>
    <w:aliases w:val="- Bullets Char,목록 단락 Char,リスト段落 Char,?? ?? Char,????? Char,???? Char"/>
    <w:link w:val="ListParagraph"/>
    <w:uiPriority w:val="34"/>
    <w:qFormat/>
    <w:rsid w:val="00EB486C"/>
    <w:rPr>
      <w:rFonts w:ascii="Times New Roman" w:eastAsiaTheme="minorEastAsia" w:hAnsi="Times New Roman"/>
      <w:sz w:val="24"/>
      <w:lang w:val="en-GB" w:eastAsia="en-GB"/>
    </w:rPr>
  </w:style>
  <w:style w:type="character" w:customStyle="1" w:styleId="Heading1Char">
    <w:name w:val="Heading 1 Char"/>
    <w:basedOn w:val="DefaultParagraphFont"/>
    <w:link w:val="Heading1"/>
    <w:uiPriority w:val="9"/>
    <w:rsid w:val="00EB486C"/>
    <w:rPr>
      <w:rFonts w:ascii="Times New Roman" w:hAnsi="Times New Roman"/>
      <w:b/>
      <w:sz w:val="28"/>
      <w:lang w:val="en-GB" w:eastAsia="en-US"/>
    </w:rPr>
  </w:style>
  <w:style w:type="table" w:styleId="TableGrid">
    <w:name w:val="Table Grid"/>
    <w:basedOn w:val="TableNormal"/>
    <w:qFormat/>
    <w:rsid w:val="00EB486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EB486C"/>
    <w:rPr>
      <w:rFonts w:ascii="Calibri" w:eastAsia="Calibri" w:hAnsi="Calibri" w:cs="Calibri"/>
      <w:sz w:val="22"/>
      <w:szCs w:val="22"/>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EB486C"/>
    <w:pPr>
      <w:widowControl w:val="0"/>
      <w:tabs>
        <w:tab w:val="clear" w:pos="1134"/>
        <w:tab w:val="clear" w:pos="1871"/>
        <w:tab w:val="clear" w:pos="2268"/>
      </w:tabs>
      <w:overflowPunct/>
      <w:autoSpaceDE/>
      <w:autoSpaceDN/>
      <w:adjustRightInd/>
      <w:spacing w:before="0"/>
      <w:ind w:left="100"/>
      <w:textAlignment w:val="auto"/>
    </w:pPr>
    <w:rPr>
      <w:rFonts w:ascii="Arial" w:eastAsia="Arial" w:hAnsi="Arial" w:cstheme="minorBidi"/>
      <w:sz w:val="22"/>
      <w:szCs w:val="22"/>
      <w:lang w:val="en-US"/>
    </w:rPr>
  </w:style>
  <w:style w:type="character" w:customStyle="1" w:styleId="BodyTextChar">
    <w:name w:val="Body Text Char"/>
    <w:basedOn w:val="DefaultParagraphFont"/>
    <w:link w:val="BodyText"/>
    <w:uiPriority w:val="1"/>
    <w:rsid w:val="00EB486C"/>
    <w:rPr>
      <w:rFonts w:ascii="Arial" w:eastAsia="Arial" w:hAnsi="Arial" w:cstheme="minorBidi"/>
      <w:sz w:val="22"/>
      <w:szCs w:val="22"/>
      <w:lang w:eastAsia="en-US"/>
    </w:rPr>
  </w:style>
  <w:style w:type="character" w:customStyle="1" w:styleId="TabletextChar">
    <w:name w:val="Table_text Char"/>
    <w:link w:val="Tabletext"/>
    <w:qFormat/>
    <w:locked/>
    <w:rsid w:val="00EB486C"/>
    <w:rPr>
      <w:rFonts w:ascii="Times New Roman" w:hAnsi="Times New Roman"/>
      <w:lang w:val="en-GB" w:eastAsia="en-US"/>
    </w:rPr>
  </w:style>
  <w:style w:type="character" w:customStyle="1" w:styleId="TableheadChar">
    <w:name w:val="Table_head Char"/>
    <w:basedOn w:val="DefaultParagraphFont"/>
    <w:link w:val="Tablehead"/>
    <w:qFormat/>
    <w:rsid w:val="00EB486C"/>
    <w:rPr>
      <w:rFonts w:ascii="Times New Roman Bold" w:hAnsi="Times New Roman Bold" w:cs="Times New Roman Bold"/>
      <w:b/>
      <w:lang w:val="en-GB" w:eastAsia="en-US"/>
    </w:rPr>
  </w:style>
  <w:style w:type="paragraph" w:styleId="Caption">
    <w:name w:val="caption"/>
    <w:basedOn w:val="Normal"/>
    <w:next w:val="Normal"/>
    <w:uiPriority w:val="35"/>
    <w:unhideWhenUsed/>
    <w:qFormat/>
    <w:rsid w:val="00EB486C"/>
    <w:pPr>
      <w:spacing w:before="0" w:after="200"/>
    </w:pPr>
    <w:rPr>
      <w:i/>
      <w:iCs/>
      <w:color w:val="1F497D" w:themeColor="text2"/>
      <w:sz w:val="18"/>
      <w:szCs w:val="18"/>
    </w:rPr>
  </w:style>
  <w:style w:type="paragraph" w:styleId="BalloonText">
    <w:name w:val="Balloon Text"/>
    <w:basedOn w:val="Normal"/>
    <w:link w:val="BalloonTextChar"/>
    <w:semiHidden/>
    <w:unhideWhenUsed/>
    <w:rsid w:val="00B47BA6"/>
    <w:pPr>
      <w:spacing w:before="0"/>
    </w:pPr>
    <w:rPr>
      <w:sz w:val="18"/>
      <w:szCs w:val="18"/>
    </w:rPr>
  </w:style>
  <w:style w:type="character" w:customStyle="1" w:styleId="BalloonTextChar">
    <w:name w:val="Balloon Text Char"/>
    <w:basedOn w:val="DefaultParagraphFont"/>
    <w:link w:val="BalloonText"/>
    <w:semiHidden/>
    <w:rsid w:val="00B47BA6"/>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gel.jefferies@wwrf.ch" TargetMode="External"/><Relationship Id="rId13" Type="http://schemas.openxmlformats.org/officeDocument/2006/relationships/hyperlink" Target="mailto:nuwan.weerasinghe@kingston.ac.uk" TargetMode="External"/><Relationship Id="rId18" Type="http://schemas.openxmlformats.org/officeDocument/2006/relationships/hyperlink" Target="https://www.itu.int/dms_ties/itu-r/md/19/wp5d/c/R19-WP5D-C-0979!P01!ZIP-E.zip" TargetMode="External"/><Relationship Id="rId26"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hyperlink" Target="https://www.itu.int/dms_ties/itu-r/md/19/wp5d/c/R19-WP5D-C-0979!P04!ZIP-E.zip"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m.usman@kingston.ac.uk" TargetMode="External"/><Relationship Id="rId17" Type="http://schemas.openxmlformats.org/officeDocument/2006/relationships/hyperlink" Target="https://www.itu.int/dms_ties/itu-r/md/19/wp5d/c/R19-WP5D-C-0979!!MSW-E.docx" TargetMode="External"/><Relationship Id="rId25" Type="http://schemas.openxmlformats.org/officeDocument/2006/relationships/diagramLayout" Target="diagrams/layout1.xm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onstantinos.maliatsos@feron-tech.com" TargetMode="External"/><Relationship Id="rId20" Type="http://schemas.openxmlformats.org/officeDocument/2006/relationships/hyperlink" Target="https://www.itu.int/dms_ties/itu-r/md/19/wp5d/c/R19-WP5D-C-0979!P03!ZIP-E.zip" TargetMode="External"/><Relationship Id="rId29"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fay.ansari@northumbria.ac.uk" TargetMode="External"/><Relationship Id="rId24" Type="http://schemas.openxmlformats.org/officeDocument/2006/relationships/diagramData" Target="diagrams/data1.xm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ntonis.gotsis@feron-tech.com" TargetMode="External"/><Relationship Id="rId23" Type="http://schemas.openxmlformats.org/officeDocument/2006/relationships/image" Target="media/image2.png"/><Relationship Id="rId28" Type="http://schemas.microsoft.com/office/2007/relationships/diagramDrawing" Target="diagrams/drawing1.xml"/><Relationship Id="rId36" Type="http://schemas.openxmlformats.org/officeDocument/2006/relationships/fontTable" Target="fontTable.xml"/><Relationship Id="rId10" Type="http://schemas.openxmlformats.org/officeDocument/2006/relationships/hyperlink" Target="mailto:c.politis@kingston.ac.uk" TargetMode="External"/><Relationship Id="rId19" Type="http://schemas.openxmlformats.org/officeDocument/2006/relationships/hyperlink" Target="https://www.itu.int/dms_ties/itu-r/md/19/wp5d/c/R19-WP5D-C-0979!P02!ZIP-E.zip"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hakan.batikhan@turkcell.com.tr" TargetMode="External"/><Relationship Id="rId14" Type="http://schemas.openxmlformats.org/officeDocument/2006/relationships/hyperlink" Target="mailto:aalexiou@ieee.org" TargetMode="External"/><Relationship Id="rId22" Type="http://schemas.openxmlformats.org/officeDocument/2006/relationships/hyperlink" Target="https://www.itu.int/dms_ties/itu-r/md/19/wp5d/c/R19-WP5D-C-0979!P05!ZIP-E.zip" TargetMode="External"/><Relationship Id="rId27" Type="http://schemas.openxmlformats.org/officeDocument/2006/relationships/diagramColors" Target="diagrams/colors1.xml"/><Relationship Id="rId30" Type="http://schemas.openxmlformats.org/officeDocument/2006/relationships/image" Target="media/image4.wmf"/><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C3E246-DA83-4F02-989C-5974DB1ED0BC}" type="doc">
      <dgm:prSet loTypeId="urn:microsoft.com/office/officeart/2005/8/layout/vProcess5" loCatId="process" qsTypeId="urn:microsoft.com/office/officeart/2005/8/quickstyle/simple1" qsCatId="simple" csTypeId="urn:microsoft.com/office/officeart/2005/8/colors/colorful2" csCatId="colorful" phldr="1"/>
      <dgm:spPr/>
      <dgm:t>
        <a:bodyPr/>
        <a:lstStyle/>
        <a:p>
          <a:endParaRPr lang="en-US"/>
        </a:p>
      </dgm:t>
    </dgm:pt>
    <dgm:pt modelId="{BBEFD6A8-5ED0-4CD1-A633-78CB6553543C}">
      <dgm:prSet/>
      <dgm:spPr/>
      <dgm:t>
        <a:bodyPr/>
        <a:lstStyle/>
        <a:p>
          <a:r>
            <a:rPr lang="en-GB" b="1" dirty="0"/>
            <a:t>The link level simulator</a:t>
          </a:r>
        </a:p>
        <a:p>
          <a:r>
            <a:rPr lang="en-GB" dirty="0"/>
            <a:t>Simulating the radio transmission between two network nodes of the system (mainly CAP and STA).</a:t>
          </a:r>
        </a:p>
      </dgm:t>
    </dgm:pt>
    <dgm:pt modelId="{1E1615FB-7E0D-4C8A-BC4B-96EA6B1599C3}" type="parTrans" cxnId="{FC2E2993-A3E5-4982-A407-BF18D10608E6}">
      <dgm:prSet/>
      <dgm:spPr/>
      <dgm:t>
        <a:bodyPr/>
        <a:lstStyle/>
        <a:p>
          <a:endParaRPr lang="en-US"/>
        </a:p>
      </dgm:t>
    </dgm:pt>
    <dgm:pt modelId="{980E888B-DBCC-4DD9-987A-85A586886919}" type="sibTrans" cxnId="{FC2E2993-A3E5-4982-A407-BF18D10608E6}">
      <dgm:prSet/>
      <dgm:spPr/>
      <dgm:t>
        <a:bodyPr/>
        <a:lstStyle/>
        <a:p>
          <a:endParaRPr lang="en-US"/>
        </a:p>
      </dgm:t>
    </dgm:pt>
    <dgm:pt modelId="{19CE3300-1DF9-4D9F-93BE-637DA483675D}">
      <dgm:prSet/>
      <dgm:spPr/>
      <dgm:t>
        <a:bodyPr/>
        <a:lstStyle/>
        <a:p>
          <a:r>
            <a:rPr lang="en-GB" b="1" dirty="0"/>
            <a:t>The system level simulator: </a:t>
          </a:r>
        </a:p>
        <a:p>
          <a:r>
            <a:rPr lang="en-GB" dirty="0"/>
            <a:t>Simulating the radio access network setup according to the specifications of the ITU evaluation guidelines (ITU-R M.2412 § 8.4). A 19-cell scenario was considered.</a:t>
          </a:r>
          <a:endParaRPr lang="en-US" dirty="0"/>
        </a:p>
      </dgm:t>
    </dgm:pt>
    <dgm:pt modelId="{4D81945C-0699-4C78-B234-FF064CD72104}" type="parTrans" cxnId="{6E0190F6-090B-43B2-BE30-9A349D47BD6A}">
      <dgm:prSet/>
      <dgm:spPr/>
      <dgm:t>
        <a:bodyPr/>
        <a:lstStyle/>
        <a:p>
          <a:endParaRPr lang="en-US"/>
        </a:p>
      </dgm:t>
    </dgm:pt>
    <dgm:pt modelId="{14B4DF04-6B6B-46B4-BA09-AEFC789C137A}" type="sibTrans" cxnId="{6E0190F6-090B-43B2-BE30-9A349D47BD6A}">
      <dgm:prSet/>
      <dgm:spPr/>
      <dgm:t>
        <a:bodyPr/>
        <a:lstStyle/>
        <a:p>
          <a:endParaRPr lang="en-US"/>
        </a:p>
      </dgm:t>
    </dgm:pt>
    <dgm:pt modelId="{49339467-4601-294B-8F3C-E103B7239958}" type="pres">
      <dgm:prSet presAssocID="{95C3E246-DA83-4F02-989C-5974DB1ED0BC}" presName="outerComposite" presStyleCnt="0">
        <dgm:presLayoutVars>
          <dgm:chMax val="5"/>
          <dgm:dir/>
          <dgm:resizeHandles val="exact"/>
        </dgm:presLayoutVars>
      </dgm:prSet>
      <dgm:spPr/>
    </dgm:pt>
    <dgm:pt modelId="{23FE0EF5-DBCD-4545-B24A-2E8FC6056C4B}" type="pres">
      <dgm:prSet presAssocID="{95C3E246-DA83-4F02-989C-5974DB1ED0BC}" presName="dummyMaxCanvas" presStyleCnt="0">
        <dgm:presLayoutVars/>
      </dgm:prSet>
      <dgm:spPr/>
    </dgm:pt>
    <dgm:pt modelId="{95699844-2463-B048-9454-72CD7039AF6F}" type="pres">
      <dgm:prSet presAssocID="{95C3E246-DA83-4F02-989C-5974DB1ED0BC}" presName="TwoNodes_1" presStyleLbl="node1" presStyleIdx="0" presStyleCnt="2">
        <dgm:presLayoutVars>
          <dgm:bulletEnabled val="1"/>
        </dgm:presLayoutVars>
      </dgm:prSet>
      <dgm:spPr/>
    </dgm:pt>
    <dgm:pt modelId="{DBB80A3F-7A07-024C-A4FA-D0CAB801FD97}" type="pres">
      <dgm:prSet presAssocID="{95C3E246-DA83-4F02-989C-5974DB1ED0BC}" presName="TwoNodes_2" presStyleLbl="node1" presStyleIdx="1" presStyleCnt="2">
        <dgm:presLayoutVars>
          <dgm:bulletEnabled val="1"/>
        </dgm:presLayoutVars>
      </dgm:prSet>
      <dgm:spPr/>
    </dgm:pt>
    <dgm:pt modelId="{C1C2857C-F18B-9642-92CF-D41FD9FC76FA}" type="pres">
      <dgm:prSet presAssocID="{95C3E246-DA83-4F02-989C-5974DB1ED0BC}" presName="TwoConn_1-2" presStyleLbl="fgAccFollowNode1" presStyleIdx="0" presStyleCnt="1">
        <dgm:presLayoutVars>
          <dgm:bulletEnabled val="1"/>
        </dgm:presLayoutVars>
      </dgm:prSet>
      <dgm:spPr/>
    </dgm:pt>
    <dgm:pt modelId="{368A7AF3-F7E6-FA49-A32E-A24F6EA86F8A}" type="pres">
      <dgm:prSet presAssocID="{95C3E246-DA83-4F02-989C-5974DB1ED0BC}" presName="TwoNodes_1_text" presStyleLbl="node1" presStyleIdx="1" presStyleCnt="2">
        <dgm:presLayoutVars>
          <dgm:bulletEnabled val="1"/>
        </dgm:presLayoutVars>
      </dgm:prSet>
      <dgm:spPr/>
    </dgm:pt>
    <dgm:pt modelId="{BAF4030D-1EC2-674C-8509-FA83453BE125}" type="pres">
      <dgm:prSet presAssocID="{95C3E246-DA83-4F02-989C-5974DB1ED0BC}" presName="TwoNodes_2_text" presStyleLbl="node1" presStyleIdx="1" presStyleCnt="2">
        <dgm:presLayoutVars>
          <dgm:bulletEnabled val="1"/>
        </dgm:presLayoutVars>
      </dgm:prSet>
      <dgm:spPr/>
    </dgm:pt>
  </dgm:ptLst>
  <dgm:cxnLst>
    <dgm:cxn modelId="{8E7EA70A-B5E0-4CF2-9AC8-4DE330E5D561}" type="presOf" srcId="{95C3E246-DA83-4F02-989C-5974DB1ED0BC}" destId="{49339467-4601-294B-8F3C-E103B7239958}" srcOrd="0" destOrd="0" presId="urn:microsoft.com/office/officeart/2005/8/layout/vProcess5"/>
    <dgm:cxn modelId="{17EEFB43-6F85-4CDE-8784-F81471BD3C66}" type="presOf" srcId="{980E888B-DBCC-4DD9-987A-85A586886919}" destId="{C1C2857C-F18B-9642-92CF-D41FD9FC76FA}" srcOrd="0" destOrd="0" presId="urn:microsoft.com/office/officeart/2005/8/layout/vProcess5"/>
    <dgm:cxn modelId="{5DBB594C-5022-4874-A400-C59554CD5F75}" type="presOf" srcId="{BBEFD6A8-5ED0-4CD1-A633-78CB6553543C}" destId="{368A7AF3-F7E6-FA49-A32E-A24F6EA86F8A}" srcOrd="1" destOrd="0" presId="urn:microsoft.com/office/officeart/2005/8/layout/vProcess5"/>
    <dgm:cxn modelId="{9338FF76-8330-4B52-AEFB-15F44384CAC9}" type="presOf" srcId="{BBEFD6A8-5ED0-4CD1-A633-78CB6553543C}" destId="{95699844-2463-B048-9454-72CD7039AF6F}" srcOrd="0" destOrd="0" presId="urn:microsoft.com/office/officeart/2005/8/layout/vProcess5"/>
    <dgm:cxn modelId="{FC2E2993-A3E5-4982-A407-BF18D10608E6}" srcId="{95C3E246-DA83-4F02-989C-5974DB1ED0BC}" destId="{BBEFD6A8-5ED0-4CD1-A633-78CB6553543C}" srcOrd="0" destOrd="0" parTransId="{1E1615FB-7E0D-4C8A-BC4B-96EA6B1599C3}" sibTransId="{980E888B-DBCC-4DD9-987A-85A586886919}"/>
    <dgm:cxn modelId="{AFC65CDB-EC2F-4CEC-B8F3-A67E23F289A0}" type="presOf" srcId="{19CE3300-1DF9-4D9F-93BE-637DA483675D}" destId="{DBB80A3F-7A07-024C-A4FA-D0CAB801FD97}" srcOrd="0" destOrd="0" presId="urn:microsoft.com/office/officeart/2005/8/layout/vProcess5"/>
    <dgm:cxn modelId="{D1779CDD-AE68-49D2-B3E5-5BD39D676846}" type="presOf" srcId="{19CE3300-1DF9-4D9F-93BE-637DA483675D}" destId="{BAF4030D-1EC2-674C-8509-FA83453BE125}" srcOrd="1" destOrd="0" presId="urn:microsoft.com/office/officeart/2005/8/layout/vProcess5"/>
    <dgm:cxn modelId="{6E0190F6-090B-43B2-BE30-9A349D47BD6A}" srcId="{95C3E246-DA83-4F02-989C-5974DB1ED0BC}" destId="{19CE3300-1DF9-4D9F-93BE-637DA483675D}" srcOrd="1" destOrd="0" parTransId="{4D81945C-0699-4C78-B234-FF064CD72104}" sibTransId="{14B4DF04-6B6B-46B4-BA09-AEFC789C137A}"/>
    <dgm:cxn modelId="{FEB08540-BE45-4176-A8AC-F257C0112B31}" type="presParOf" srcId="{49339467-4601-294B-8F3C-E103B7239958}" destId="{23FE0EF5-DBCD-4545-B24A-2E8FC6056C4B}" srcOrd="0" destOrd="0" presId="urn:microsoft.com/office/officeart/2005/8/layout/vProcess5"/>
    <dgm:cxn modelId="{6A085AE5-31EC-4D8C-870F-F0B19E86DB99}" type="presParOf" srcId="{49339467-4601-294B-8F3C-E103B7239958}" destId="{95699844-2463-B048-9454-72CD7039AF6F}" srcOrd="1" destOrd="0" presId="urn:microsoft.com/office/officeart/2005/8/layout/vProcess5"/>
    <dgm:cxn modelId="{1A086A13-4CA9-43EE-B807-907B18608F83}" type="presParOf" srcId="{49339467-4601-294B-8F3C-E103B7239958}" destId="{DBB80A3F-7A07-024C-A4FA-D0CAB801FD97}" srcOrd="2" destOrd="0" presId="urn:microsoft.com/office/officeart/2005/8/layout/vProcess5"/>
    <dgm:cxn modelId="{25835E6D-8C53-47DB-BE56-AF86D59B8D32}" type="presParOf" srcId="{49339467-4601-294B-8F3C-E103B7239958}" destId="{C1C2857C-F18B-9642-92CF-D41FD9FC76FA}" srcOrd="3" destOrd="0" presId="urn:microsoft.com/office/officeart/2005/8/layout/vProcess5"/>
    <dgm:cxn modelId="{61DE23FC-636E-482F-91BA-CA14AD30CD72}" type="presParOf" srcId="{49339467-4601-294B-8F3C-E103B7239958}" destId="{368A7AF3-F7E6-FA49-A32E-A24F6EA86F8A}" srcOrd="4" destOrd="0" presId="urn:microsoft.com/office/officeart/2005/8/layout/vProcess5"/>
    <dgm:cxn modelId="{CD1C7C7B-86C4-471B-9D06-CD0583DC7923}" type="presParOf" srcId="{49339467-4601-294B-8F3C-E103B7239958}" destId="{BAF4030D-1EC2-674C-8509-FA83453BE125}" srcOrd="5" destOrd="0" presId="urn:microsoft.com/office/officeart/2005/8/layout/vProcess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699844-2463-B048-9454-72CD7039AF6F}">
      <dsp:nvSpPr>
        <dsp:cNvPr id="0" name=""/>
        <dsp:cNvSpPr/>
      </dsp:nvSpPr>
      <dsp:spPr>
        <a:xfrm>
          <a:off x="0" y="0"/>
          <a:ext cx="4500710" cy="83062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b="1" kern="1200" dirty="0"/>
            <a:t>The link level simulator</a:t>
          </a:r>
        </a:p>
        <a:p>
          <a:pPr marL="0" lvl="0" indent="0" algn="l" defTabSz="444500">
            <a:lnSpc>
              <a:spcPct val="90000"/>
            </a:lnSpc>
            <a:spcBef>
              <a:spcPct val="0"/>
            </a:spcBef>
            <a:spcAft>
              <a:spcPct val="35000"/>
            </a:spcAft>
            <a:buNone/>
          </a:pPr>
          <a:r>
            <a:rPr lang="en-GB" sz="1000" kern="1200" dirty="0"/>
            <a:t>Simulating the radio transmission between two network nodes of the system (mainly CAP and STA).</a:t>
          </a:r>
        </a:p>
      </dsp:txBody>
      <dsp:txXfrm>
        <a:off x="24328" y="24328"/>
        <a:ext cx="3642192" cy="781971"/>
      </dsp:txXfrm>
    </dsp:sp>
    <dsp:sp modelId="{DBB80A3F-7A07-024C-A4FA-D0CAB801FD97}">
      <dsp:nvSpPr>
        <dsp:cNvPr id="0" name=""/>
        <dsp:cNvSpPr/>
      </dsp:nvSpPr>
      <dsp:spPr>
        <a:xfrm>
          <a:off x="794242" y="1015211"/>
          <a:ext cx="4500710" cy="830627"/>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b="1" kern="1200" dirty="0"/>
            <a:t>The system level simulator: </a:t>
          </a:r>
        </a:p>
        <a:p>
          <a:pPr marL="0" lvl="0" indent="0" algn="l" defTabSz="444500">
            <a:lnSpc>
              <a:spcPct val="90000"/>
            </a:lnSpc>
            <a:spcBef>
              <a:spcPct val="0"/>
            </a:spcBef>
            <a:spcAft>
              <a:spcPct val="35000"/>
            </a:spcAft>
            <a:buNone/>
          </a:pPr>
          <a:r>
            <a:rPr lang="en-GB" sz="1000" kern="1200" dirty="0"/>
            <a:t>Simulating the radio access network setup according to the specifications of the ITU evaluation guidelines (ITU-R M.2412 § 8.4). A 19-cell scenario was considered.</a:t>
          </a:r>
          <a:endParaRPr lang="en-US" sz="1000" kern="1200" dirty="0"/>
        </a:p>
      </dsp:txBody>
      <dsp:txXfrm>
        <a:off x="818570" y="1039539"/>
        <a:ext cx="3117903" cy="781971"/>
      </dsp:txXfrm>
    </dsp:sp>
    <dsp:sp modelId="{C1C2857C-F18B-9642-92CF-D41FD9FC76FA}">
      <dsp:nvSpPr>
        <dsp:cNvPr id="0" name=""/>
        <dsp:cNvSpPr/>
      </dsp:nvSpPr>
      <dsp:spPr>
        <a:xfrm>
          <a:off x="3960802" y="652965"/>
          <a:ext cx="539907" cy="539907"/>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a:off x="4082281" y="652965"/>
        <a:ext cx="296949" cy="40628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16</Pages>
  <Words>4854</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Limousin Catherine</dc:creator>
  <cp:lastModifiedBy>Limousin, Catherine</cp:lastModifiedBy>
  <cp:revision>2</cp:revision>
  <cp:lastPrinted>2008-02-21T14:04:00Z</cp:lastPrinted>
  <dcterms:created xsi:type="dcterms:W3CDTF">2022-10-26T08:51:00Z</dcterms:created>
  <dcterms:modified xsi:type="dcterms:W3CDTF">2022-10-26T08:51:00Z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