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XSpec="right" w:tblpY="721"/>
        <w:bidiVisual/>
        <w:tblW w:w="5017" w:type="pct"/>
        <w:tblLayout w:type="fixed"/>
        <w:tblLook w:val="0000" w:firstRow="0" w:lastRow="0" w:firstColumn="0" w:lastColumn="0" w:noHBand="0" w:noVBand="0"/>
      </w:tblPr>
      <w:tblGrid>
        <w:gridCol w:w="6770"/>
        <w:gridCol w:w="3119"/>
      </w:tblGrid>
      <w:tr w:rsidR="00044D43" w:rsidTr="00044D43">
        <w:trPr>
          <w:cantSplit/>
          <w:trHeight w:val="20"/>
        </w:trPr>
        <w:tc>
          <w:tcPr>
            <w:tcW w:w="6770" w:type="dxa"/>
          </w:tcPr>
          <w:p w:rsidR="00044D43" w:rsidRPr="002A56F4" w:rsidRDefault="00942A37" w:rsidP="00942A37">
            <w:pPr>
              <w:pStyle w:val="LOGO"/>
              <w:framePr w:hSpace="0" w:wrap="auto" w:xAlign="left" w:yAlign="inline"/>
              <w:spacing w:before="400" w:line="192" w:lineRule="auto"/>
              <w:rPr>
                <w:smallCaps/>
                <w:sz w:val="18"/>
                <w:szCs w:val="30"/>
                <w:rtl/>
              </w:rPr>
            </w:pPr>
            <w:r>
              <w:rPr>
                <w:rFonts w:hint="cs"/>
                <w:w w:val="110"/>
                <w:sz w:val="22"/>
                <w:szCs w:val="32"/>
                <w:rtl/>
              </w:rPr>
              <w:t>جمعية الاتصالات الراديوية</w:t>
            </w:r>
            <w:r w:rsidR="00044D43" w:rsidRPr="002A56F4">
              <w:rPr>
                <w:rFonts w:hint="cs"/>
                <w:w w:val="110"/>
                <w:sz w:val="22"/>
                <w:szCs w:val="32"/>
                <w:rtl/>
              </w:rPr>
              <w:t xml:space="preserve"> </w:t>
            </w:r>
            <w:r w:rsidR="00044D43" w:rsidRPr="002A56F4">
              <w:rPr>
                <w:w w:val="110"/>
                <w:sz w:val="22"/>
                <w:szCs w:val="32"/>
              </w:rPr>
              <w:t>(</w:t>
            </w:r>
            <w:r>
              <w:rPr>
                <w:w w:val="110"/>
                <w:sz w:val="22"/>
                <w:szCs w:val="32"/>
              </w:rPr>
              <w:t>RA</w:t>
            </w:r>
            <w:r w:rsidR="00044D43" w:rsidRPr="002A56F4">
              <w:rPr>
                <w:w w:val="110"/>
                <w:sz w:val="22"/>
                <w:szCs w:val="32"/>
              </w:rPr>
              <w:t>-</w:t>
            </w:r>
            <w:r w:rsidR="0056395D" w:rsidRPr="002A56F4">
              <w:rPr>
                <w:w w:val="110"/>
                <w:sz w:val="22"/>
                <w:szCs w:val="32"/>
              </w:rPr>
              <w:t>15</w:t>
            </w:r>
            <w:r w:rsidR="00044D43" w:rsidRPr="002A56F4">
              <w:rPr>
                <w:w w:val="110"/>
                <w:sz w:val="22"/>
                <w:szCs w:val="32"/>
              </w:rPr>
              <w:t>)</w:t>
            </w:r>
            <w:r w:rsidR="002A56F4">
              <w:rPr>
                <w:sz w:val="22"/>
                <w:szCs w:val="32"/>
                <w:rtl/>
              </w:rPr>
              <w:br/>
            </w:r>
            <w:r w:rsidR="00044D43" w:rsidRPr="002A56F4">
              <w:rPr>
                <w:rFonts w:hint="cs"/>
                <w:sz w:val="18"/>
                <w:szCs w:val="28"/>
                <w:rtl/>
              </w:rPr>
              <w:t xml:space="preserve">جنيف، </w:t>
            </w:r>
            <w:r>
              <w:rPr>
                <w:sz w:val="18"/>
                <w:szCs w:val="28"/>
              </w:rPr>
              <w:t>30</w:t>
            </w:r>
            <w:r w:rsidR="0056395D" w:rsidRPr="002A56F4">
              <w:rPr>
                <w:sz w:val="18"/>
                <w:szCs w:val="28"/>
              </w:rPr>
              <w:t>-</w:t>
            </w:r>
            <w:r>
              <w:rPr>
                <w:sz w:val="18"/>
                <w:szCs w:val="28"/>
              </w:rPr>
              <w:t>26</w:t>
            </w:r>
            <w:r w:rsidR="00044D43" w:rsidRPr="002A56F4">
              <w:rPr>
                <w:rFonts w:hint="cs"/>
                <w:sz w:val="18"/>
                <w:szCs w:val="28"/>
                <w:rtl/>
              </w:rPr>
              <w:t xml:space="preserve"> </w:t>
            </w:r>
            <w:r>
              <w:rPr>
                <w:rFonts w:hint="cs"/>
                <w:sz w:val="18"/>
                <w:szCs w:val="28"/>
                <w:rtl/>
              </w:rPr>
              <w:t>أكتوبر</w:t>
            </w:r>
            <w:r w:rsidR="00044D43" w:rsidRPr="002A56F4">
              <w:rPr>
                <w:rFonts w:hint="cs"/>
                <w:sz w:val="18"/>
                <w:szCs w:val="28"/>
                <w:rtl/>
              </w:rPr>
              <w:t xml:space="preserve"> </w:t>
            </w:r>
            <w:r w:rsidR="0056395D" w:rsidRPr="002A56F4">
              <w:rPr>
                <w:sz w:val="18"/>
                <w:szCs w:val="28"/>
              </w:rPr>
              <w:t>2015</w:t>
            </w:r>
          </w:p>
        </w:tc>
        <w:tc>
          <w:tcPr>
            <w:tcW w:w="3119" w:type="dxa"/>
          </w:tcPr>
          <w:p w:rsidR="00044D43" w:rsidRDefault="002A56F4" w:rsidP="002A56F4">
            <w:pPr>
              <w:jc w:val="right"/>
              <w:rPr>
                <w:rtl/>
                <w:lang w:bidi="ar-EG"/>
              </w:rPr>
            </w:pPr>
            <w:bookmarkStart w:id="0" w:name="ditulogo"/>
            <w:bookmarkEnd w:id="0"/>
            <w:r w:rsidRPr="004F51E5">
              <w:rPr>
                <w:noProof/>
                <w:lang w:eastAsia="zh-CN"/>
              </w:rPr>
              <w:drawing>
                <wp:inline distT="0" distB="0" distL="0" distR="0" wp14:anchorId="24882A5D" wp14:editId="16CDF34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44D43" w:rsidTr="00044D43">
        <w:trPr>
          <w:cantSplit/>
          <w:trHeight w:val="20"/>
        </w:trPr>
        <w:tc>
          <w:tcPr>
            <w:tcW w:w="6770" w:type="dxa"/>
            <w:tcBorders>
              <w:bottom w:val="single" w:sz="12" w:space="0" w:color="auto"/>
            </w:tcBorders>
          </w:tcPr>
          <w:p w:rsidR="00044D43" w:rsidRPr="002A56F4" w:rsidRDefault="000873E8" w:rsidP="00044D43">
            <w:pPr>
              <w:rPr>
                <w:rFonts w:ascii="Times New Roman Bold" w:hAnsi="Times New Roman Bold"/>
                <w:b/>
                <w:bCs/>
                <w:w w:val="110"/>
                <w:rtl/>
                <w:lang w:bidi="ar-EG"/>
              </w:rPr>
            </w:pPr>
            <w:r w:rsidRPr="002A56F4">
              <w:rPr>
                <w:rFonts w:ascii="Times New Roman Bold" w:hAnsi="Times New Roman Bold" w:hint="cs"/>
                <w:b/>
                <w:bCs/>
                <w:w w:val="110"/>
                <w:rtl/>
                <w:lang w:bidi="ar-EG"/>
              </w:rPr>
              <w:t>الاتحاد الدولي للاتصالات</w:t>
            </w:r>
          </w:p>
        </w:tc>
        <w:tc>
          <w:tcPr>
            <w:tcW w:w="3119" w:type="dxa"/>
            <w:tcBorders>
              <w:bottom w:val="single" w:sz="12" w:space="0" w:color="auto"/>
            </w:tcBorders>
          </w:tcPr>
          <w:p w:rsidR="00044D43" w:rsidRPr="00A9645C" w:rsidRDefault="00044D43" w:rsidP="00044D43">
            <w:pPr>
              <w:rPr>
                <w:lang w:bidi="ar-EG"/>
              </w:rPr>
            </w:pPr>
          </w:p>
        </w:tc>
      </w:tr>
      <w:tr w:rsidR="00044D43" w:rsidTr="00044D43">
        <w:trPr>
          <w:cantSplit/>
          <w:trHeight w:val="20"/>
        </w:trPr>
        <w:tc>
          <w:tcPr>
            <w:tcW w:w="6770" w:type="dxa"/>
            <w:tcBorders>
              <w:top w:val="single" w:sz="12" w:space="0" w:color="auto"/>
            </w:tcBorders>
          </w:tcPr>
          <w:p w:rsidR="00044D43" w:rsidRPr="00BD6EF3" w:rsidRDefault="00044D43" w:rsidP="00044D43">
            <w:pPr>
              <w:pStyle w:val="Adress"/>
              <w:framePr w:hSpace="0" w:wrap="auto" w:xAlign="left" w:yAlign="inline"/>
              <w:rPr>
                <w:rtl/>
              </w:rPr>
            </w:pPr>
          </w:p>
        </w:tc>
        <w:tc>
          <w:tcPr>
            <w:tcW w:w="3119" w:type="dxa"/>
            <w:tcBorders>
              <w:top w:val="single" w:sz="12" w:space="0" w:color="auto"/>
            </w:tcBorders>
          </w:tcPr>
          <w:p w:rsidR="00044D43" w:rsidRPr="00BD6EF3" w:rsidRDefault="00044D43" w:rsidP="00044D43">
            <w:pPr>
              <w:pStyle w:val="Adress"/>
              <w:framePr w:hSpace="0" w:wrap="auto" w:xAlign="left" w:yAlign="inline"/>
            </w:pPr>
          </w:p>
        </w:tc>
      </w:tr>
      <w:tr w:rsidR="00044D43" w:rsidRPr="002A56F4" w:rsidTr="00044D43">
        <w:trPr>
          <w:cantSplit/>
        </w:trPr>
        <w:tc>
          <w:tcPr>
            <w:tcW w:w="6770" w:type="dxa"/>
          </w:tcPr>
          <w:p w:rsidR="00044D43" w:rsidRPr="002A56F4" w:rsidRDefault="00044D43" w:rsidP="00044D43">
            <w:pPr>
              <w:pStyle w:val="Adress"/>
              <w:framePr w:hSpace="0" w:wrap="auto" w:xAlign="left" w:yAlign="inline"/>
              <w:rPr>
                <w:sz w:val="20"/>
                <w:rtl/>
              </w:rPr>
            </w:pPr>
            <w:r w:rsidRPr="002A56F4">
              <w:rPr>
                <w:rFonts w:hint="cs"/>
                <w:sz w:val="20"/>
                <w:rtl/>
              </w:rPr>
              <w:t>ال</w:t>
            </w:r>
            <w:r w:rsidR="0056395D" w:rsidRPr="002A56F4">
              <w:rPr>
                <w:rFonts w:hint="cs"/>
                <w:sz w:val="20"/>
                <w:rtl/>
              </w:rPr>
              <w:t>‍</w:t>
            </w:r>
            <w:r w:rsidRPr="002A56F4">
              <w:rPr>
                <w:rFonts w:hint="cs"/>
                <w:sz w:val="20"/>
                <w:rtl/>
              </w:rPr>
              <w:t>جلسة العامة</w:t>
            </w:r>
          </w:p>
        </w:tc>
        <w:tc>
          <w:tcPr>
            <w:tcW w:w="3119" w:type="dxa"/>
            <w:vAlign w:val="center"/>
          </w:tcPr>
          <w:p w:rsidR="00044D43" w:rsidRPr="002A56F4" w:rsidRDefault="00044D43" w:rsidP="00312788">
            <w:pPr>
              <w:pStyle w:val="Adress"/>
              <w:framePr w:hSpace="0" w:wrap="auto" w:xAlign="left" w:yAlign="inline"/>
              <w:rPr>
                <w:sz w:val="20"/>
                <w:rtl/>
              </w:rPr>
            </w:pPr>
            <w:r w:rsidRPr="002A56F4">
              <w:rPr>
                <w:sz w:val="20"/>
                <w:rtl/>
              </w:rPr>
              <w:t>ا</w:t>
            </w:r>
            <w:r w:rsidRPr="002A56F4">
              <w:rPr>
                <w:rFonts w:hint="cs"/>
                <w:sz w:val="20"/>
                <w:rtl/>
              </w:rPr>
              <w:t>ل</w:t>
            </w:r>
            <w:r w:rsidRPr="002A56F4">
              <w:rPr>
                <w:sz w:val="20"/>
                <w:rtl/>
              </w:rPr>
              <w:t>و</w:t>
            </w:r>
            <w:r w:rsidRPr="002A56F4">
              <w:rPr>
                <w:rFonts w:hint="cs"/>
                <w:sz w:val="20"/>
                <w:rtl/>
              </w:rPr>
              <w:t xml:space="preserve">ثيقة </w:t>
            </w:r>
            <w:r w:rsidR="00312788">
              <w:rPr>
                <w:sz w:val="20"/>
              </w:rPr>
              <w:t>RA15/PLEN/2</w:t>
            </w:r>
            <w:r w:rsidRPr="002A56F4">
              <w:rPr>
                <w:sz w:val="20"/>
              </w:rPr>
              <w:t>-A</w:t>
            </w:r>
          </w:p>
        </w:tc>
      </w:tr>
      <w:tr w:rsidR="00044D43" w:rsidRPr="002A56F4" w:rsidTr="00044D43">
        <w:trPr>
          <w:cantSplit/>
        </w:trPr>
        <w:tc>
          <w:tcPr>
            <w:tcW w:w="6770" w:type="dxa"/>
          </w:tcPr>
          <w:p w:rsidR="00044D43" w:rsidRPr="002A56F4" w:rsidRDefault="00044D43" w:rsidP="00044D43">
            <w:pPr>
              <w:pStyle w:val="Adress"/>
              <w:framePr w:hSpace="0" w:wrap="auto" w:xAlign="left" w:yAlign="inline"/>
              <w:rPr>
                <w:sz w:val="20"/>
                <w:rtl/>
              </w:rPr>
            </w:pPr>
          </w:p>
        </w:tc>
        <w:tc>
          <w:tcPr>
            <w:tcW w:w="3119" w:type="dxa"/>
            <w:vAlign w:val="center"/>
          </w:tcPr>
          <w:p w:rsidR="00044D43" w:rsidRPr="002A56F4" w:rsidRDefault="00312788" w:rsidP="00312788">
            <w:pPr>
              <w:pStyle w:val="Adress"/>
              <w:framePr w:hSpace="0" w:wrap="auto" w:xAlign="left" w:yAlign="inline"/>
              <w:rPr>
                <w:sz w:val="20"/>
                <w:rtl/>
              </w:rPr>
            </w:pPr>
            <w:r>
              <w:rPr>
                <w:sz w:val="20"/>
              </w:rPr>
              <w:t>23</w:t>
            </w:r>
            <w:r w:rsidR="00044D43" w:rsidRPr="002A56F4">
              <w:rPr>
                <w:rFonts w:hint="cs"/>
                <w:sz w:val="20"/>
                <w:rtl/>
              </w:rPr>
              <w:t xml:space="preserve"> </w:t>
            </w:r>
            <w:r>
              <w:rPr>
                <w:rFonts w:hint="cs"/>
                <w:sz w:val="20"/>
                <w:rtl/>
              </w:rPr>
              <w:t>يوليو</w:t>
            </w:r>
            <w:r w:rsidR="00044D43" w:rsidRPr="002A56F4">
              <w:rPr>
                <w:rFonts w:hint="cs"/>
                <w:sz w:val="20"/>
                <w:rtl/>
              </w:rPr>
              <w:t xml:space="preserve"> </w:t>
            </w:r>
            <w:r w:rsidR="0056395D" w:rsidRPr="002A56F4">
              <w:rPr>
                <w:sz w:val="20"/>
              </w:rPr>
              <w:t>2015</w:t>
            </w:r>
          </w:p>
        </w:tc>
      </w:tr>
      <w:tr w:rsidR="00044D43" w:rsidRPr="002A56F4" w:rsidTr="00044D43">
        <w:trPr>
          <w:cantSplit/>
        </w:trPr>
        <w:tc>
          <w:tcPr>
            <w:tcW w:w="6770" w:type="dxa"/>
          </w:tcPr>
          <w:p w:rsidR="00044D43" w:rsidRPr="002A56F4" w:rsidRDefault="00044D43" w:rsidP="00044D43">
            <w:pPr>
              <w:pStyle w:val="Adress"/>
              <w:framePr w:hSpace="0" w:wrap="auto" w:xAlign="left" w:yAlign="inline"/>
              <w:rPr>
                <w:rFonts w:eastAsia="SimSun" w:hint="eastAsia"/>
                <w:sz w:val="20"/>
                <w:rtl/>
              </w:rPr>
            </w:pPr>
          </w:p>
        </w:tc>
        <w:tc>
          <w:tcPr>
            <w:tcW w:w="3119" w:type="dxa"/>
            <w:vAlign w:val="center"/>
          </w:tcPr>
          <w:p w:rsidR="00044D43" w:rsidRPr="002A56F4" w:rsidRDefault="00044D43" w:rsidP="00312788">
            <w:pPr>
              <w:pStyle w:val="Adress"/>
              <w:framePr w:hSpace="0" w:wrap="auto" w:xAlign="left" w:yAlign="inline"/>
              <w:rPr>
                <w:rFonts w:eastAsia="SimSun" w:hint="cs"/>
                <w:sz w:val="20"/>
                <w:rtl/>
              </w:rPr>
            </w:pPr>
            <w:r w:rsidRPr="002A56F4">
              <w:rPr>
                <w:rFonts w:hint="cs"/>
                <w:sz w:val="20"/>
                <w:rtl/>
              </w:rPr>
              <w:t xml:space="preserve">الأصل: </w:t>
            </w:r>
            <w:r w:rsidR="00312788">
              <w:rPr>
                <w:rFonts w:hint="cs"/>
                <w:sz w:val="20"/>
                <w:rtl/>
              </w:rPr>
              <w:t>بالإنكليزية</w:t>
            </w:r>
          </w:p>
        </w:tc>
      </w:tr>
      <w:tr w:rsidR="00044D43" w:rsidTr="00044D43">
        <w:trPr>
          <w:cantSplit/>
        </w:trPr>
        <w:tc>
          <w:tcPr>
            <w:tcW w:w="9889" w:type="dxa"/>
            <w:gridSpan w:val="2"/>
          </w:tcPr>
          <w:p w:rsidR="00044D43" w:rsidRPr="003562D0" w:rsidRDefault="00101087" w:rsidP="00101087">
            <w:pPr>
              <w:pStyle w:val="Source"/>
              <w:rPr>
                <w:w w:val="120"/>
                <w:rtl/>
              </w:rPr>
            </w:pPr>
            <w:r w:rsidRPr="00101087">
              <w:rPr>
                <w:rFonts w:hint="cs"/>
                <w:snapToGrid/>
                <w:w w:val="120"/>
                <w:rtl/>
                <w:lang w:bidi="ar-SA"/>
              </w:rPr>
              <w:t>رئيس اللجنة الخاصة</w:t>
            </w:r>
          </w:p>
        </w:tc>
      </w:tr>
      <w:tr w:rsidR="00044D43" w:rsidTr="00044D43">
        <w:trPr>
          <w:cantSplit/>
        </w:trPr>
        <w:tc>
          <w:tcPr>
            <w:tcW w:w="9889" w:type="dxa"/>
            <w:gridSpan w:val="2"/>
          </w:tcPr>
          <w:p w:rsidR="00044D43" w:rsidRPr="00E621A3" w:rsidRDefault="00101087" w:rsidP="00101087">
            <w:pPr>
              <w:pStyle w:val="Title1"/>
              <w:spacing w:before="240"/>
              <w:rPr>
                <w:rtl/>
                <w:lang w:bidi="ar-SA"/>
              </w:rPr>
            </w:pPr>
            <w:r w:rsidRPr="00101087">
              <w:rPr>
                <w:rFonts w:hint="cs"/>
                <w:rtl/>
                <w:lang w:bidi="ar-SA"/>
              </w:rPr>
              <w:t>تقرير رئيس اللجنة ال</w:t>
            </w:r>
            <w:r w:rsidR="00D70559">
              <w:rPr>
                <w:rFonts w:hint="cs"/>
                <w:rtl/>
                <w:lang w:bidi="ar-SA"/>
              </w:rPr>
              <w:t>‍</w:t>
            </w:r>
            <w:r w:rsidRPr="00101087">
              <w:rPr>
                <w:rFonts w:hint="cs"/>
                <w:rtl/>
                <w:lang w:bidi="ar-SA"/>
              </w:rPr>
              <w:t>خاصة ال</w:t>
            </w:r>
            <w:r w:rsidR="00D70559">
              <w:rPr>
                <w:rFonts w:hint="cs"/>
                <w:rtl/>
                <w:lang w:bidi="ar-SA"/>
              </w:rPr>
              <w:t>‍</w:t>
            </w:r>
            <w:r w:rsidRPr="00101087">
              <w:rPr>
                <w:rFonts w:hint="cs"/>
                <w:rtl/>
                <w:lang w:bidi="ar-SA"/>
              </w:rPr>
              <w:t>معنية بال</w:t>
            </w:r>
            <w:r w:rsidR="00D70559">
              <w:rPr>
                <w:rFonts w:hint="cs"/>
                <w:rtl/>
                <w:lang w:bidi="ar-SA"/>
              </w:rPr>
              <w:t>‍</w:t>
            </w:r>
            <w:r w:rsidRPr="00101087">
              <w:rPr>
                <w:rFonts w:hint="cs"/>
                <w:rtl/>
                <w:lang w:bidi="ar-SA"/>
              </w:rPr>
              <w:t>مسائل التنظيمية والإجرائية</w:t>
            </w:r>
          </w:p>
        </w:tc>
      </w:tr>
      <w:tr w:rsidR="00044D43" w:rsidTr="00044D43">
        <w:trPr>
          <w:cantSplit/>
        </w:trPr>
        <w:tc>
          <w:tcPr>
            <w:tcW w:w="9889" w:type="dxa"/>
            <w:gridSpan w:val="2"/>
          </w:tcPr>
          <w:p w:rsidR="00044D43" w:rsidRPr="00BD6EF3" w:rsidRDefault="00044D43" w:rsidP="0015617F">
            <w:pPr>
              <w:pStyle w:val="Title2"/>
              <w:rPr>
                <w:rtl/>
              </w:rPr>
            </w:pPr>
          </w:p>
        </w:tc>
      </w:tr>
      <w:tr w:rsidR="00044D43" w:rsidTr="00044D43">
        <w:trPr>
          <w:cantSplit/>
        </w:trPr>
        <w:tc>
          <w:tcPr>
            <w:tcW w:w="9889" w:type="dxa"/>
            <w:gridSpan w:val="2"/>
          </w:tcPr>
          <w:p w:rsidR="00044D43" w:rsidRPr="00BD6EF3" w:rsidRDefault="00044D43" w:rsidP="0015617F">
            <w:pPr>
              <w:pStyle w:val="Title3"/>
              <w:rPr>
                <w:rtl/>
              </w:rPr>
            </w:pPr>
          </w:p>
        </w:tc>
      </w:tr>
    </w:tbl>
    <w:p w:rsidR="00101087" w:rsidRPr="00AE5067" w:rsidRDefault="00101087" w:rsidP="00101087">
      <w:pPr>
        <w:pStyle w:val="Heading1"/>
        <w:rPr>
          <w:rtl/>
        </w:rPr>
      </w:pPr>
      <w:r>
        <w:t>1</w:t>
      </w:r>
      <w:r>
        <w:rPr>
          <w:rtl/>
        </w:rPr>
        <w:tab/>
      </w:r>
      <w:r>
        <w:rPr>
          <w:rFonts w:hint="cs"/>
          <w:rtl/>
        </w:rPr>
        <w:t>مقدمة</w:t>
      </w:r>
    </w:p>
    <w:p w:rsidR="00101087" w:rsidRDefault="00101087" w:rsidP="00101087">
      <w:pPr>
        <w:rPr>
          <w:rtl/>
          <w:lang w:bidi="ar-SY"/>
        </w:rPr>
      </w:pPr>
      <w:r>
        <w:rPr>
          <w:rFonts w:hint="cs"/>
          <w:rtl/>
        </w:rPr>
        <w:t xml:space="preserve">وفقاً لقرار قطاع الاتصالات الراديوية بالاتحاد الدولي للاتصالات </w:t>
      </w:r>
      <w:r>
        <w:t>ITU</w:t>
      </w:r>
      <w:r>
        <w:noBreakHyphen/>
        <w:t>R 38</w:t>
      </w:r>
      <w:r>
        <w:noBreakHyphen/>
        <w:t>4</w:t>
      </w:r>
      <w:r>
        <w:rPr>
          <w:rFonts w:hint="cs"/>
          <w:rtl/>
        </w:rPr>
        <w:t xml:space="preserve">، تقرر خلال </w:t>
      </w:r>
      <w:r>
        <w:rPr>
          <w:color w:val="000000"/>
          <w:rtl/>
        </w:rPr>
        <w:t>الدورة الأولى للاجتماع التحضيري</w:t>
      </w:r>
      <w:r>
        <w:rPr>
          <w:rFonts w:hint="cs"/>
          <w:color w:val="000000"/>
          <w:rtl/>
        </w:rPr>
        <w:t> </w:t>
      </w:r>
      <w:r>
        <w:rPr>
          <w:color w:val="000000"/>
          <w:rtl/>
        </w:rPr>
        <w:t>(</w:t>
      </w:r>
      <w:r>
        <w:rPr>
          <w:color w:val="000000"/>
        </w:rPr>
        <w:t>CPM15-1</w:t>
      </w:r>
      <w:r>
        <w:rPr>
          <w:color w:val="000000"/>
          <w:rtl/>
        </w:rPr>
        <w:t xml:space="preserve">) للمؤتمر العالمي للاتصالات الراديوية لعام </w:t>
      </w:r>
      <w:r>
        <w:rPr>
          <w:color w:val="000000"/>
        </w:rPr>
        <w:t>2015</w:t>
      </w:r>
      <w:r>
        <w:rPr>
          <w:color w:val="000000"/>
          <w:rtl/>
        </w:rPr>
        <w:t xml:space="preserve">، </w:t>
      </w:r>
      <w:r>
        <w:rPr>
          <w:rFonts w:hint="cs"/>
          <w:rtl/>
        </w:rPr>
        <w:t xml:space="preserve">تفعيل دور اللجنة الخاصة المعنية بالمسائل التنظيمية والإجرائية (يطلق عليها اختصاراً اللجنة الخاصة </w:t>
      </w:r>
      <w:r>
        <w:t>(SC)</w:t>
      </w:r>
      <w:r w:rsidRPr="009B7AB1">
        <w:rPr>
          <w:rFonts w:hint="cs"/>
          <w:rtl/>
        </w:rPr>
        <w:t>)</w:t>
      </w:r>
      <w:r>
        <w:rPr>
          <w:rFonts w:hint="cs"/>
          <w:rtl/>
          <w:lang w:bidi="ar-SY"/>
        </w:rPr>
        <w:t xml:space="preserve"> </w:t>
      </w:r>
      <w:r>
        <w:rPr>
          <w:rFonts w:hint="cs"/>
          <w:rtl/>
        </w:rPr>
        <w:t>في عملية التحضير للمؤتمر العالمي للاتصالات الراديوية لعام</w:t>
      </w:r>
      <w:r>
        <w:rPr>
          <w:rFonts w:hint="eastAsia"/>
          <w:rtl/>
        </w:rPr>
        <w:t> </w:t>
      </w:r>
      <w:r>
        <w:t>2015</w:t>
      </w:r>
      <w:r>
        <w:rPr>
          <w:rFonts w:hint="cs"/>
          <w:rtl/>
        </w:rPr>
        <w:t>. وفي</w:t>
      </w:r>
      <w:r>
        <w:rPr>
          <w:rFonts w:hint="eastAsia"/>
          <w:rtl/>
        </w:rPr>
        <w:t> </w:t>
      </w:r>
      <w:r>
        <w:rPr>
          <w:rFonts w:hint="cs"/>
          <w:rtl/>
        </w:rPr>
        <w:t>جمعية الاتصالات الراديوية لعام</w:t>
      </w:r>
      <w:r>
        <w:rPr>
          <w:rFonts w:hint="eastAsia"/>
          <w:rtl/>
        </w:rPr>
        <w:t> </w:t>
      </w:r>
      <w:r>
        <w:t>2012</w:t>
      </w:r>
      <w:r>
        <w:rPr>
          <w:rFonts w:hint="cs"/>
          <w:rtl/>
          <w:lang w:bidi="ar-SY"/>
        </w:rPr>
        <w:t xml:space="preserve">، تم تعيين السيد </w:t>
      </w:r>
      <w:r>
        <w:rPr>
          <w:color w:val="000000"/>
          <w:rtl/>
        </w:rPr>
        <w:t>تقي شافعي</w:t>
      </w:r>
      <w:r>
        <w:rPr>
          <w:rFonts w:hint="cs"/>
          <w:rtl/>
          <w:lang w:bidi="ar-SY"/>
        </w:rPr>
        <w:t xml:space="preserve"> (</w:t>
      </w:r>
      <w:r>
        <w:rPr>
          <w:color w:val="000000"/>
          <w:rtl/>
        </w:rPr>
        <w:t>جمهورية إيران الإسلامية</w:t>
      </w:r>
      <w:r>
        <w:rPr>
          <w:rFonts w:hint="cs"/>
          <w:rtl/>
          <w:lang w:bidi="ar-SY"/>
        </w:rPr>
        <w:t>) رئيساً للجنة الخاصة.</w:t>
      </w:r>
    </w:p>
    <w:p w:rsidR="00101087" w:rsidRDefault="00101087" w:rsidP="00101087">
      <w:pPr>
        <w:rPr>
          <w:rtl/>
          <w:lang w:bidi="ar-SY"/>
        </w:rPr>
      </w:pPr>
      <w:r>
        <w:rPr>
          <w:rFonts w:hint="cs"/>
          <w:rtl/>
        </w:rPr>
        <w:t xml:space="preserve">وأسند الاجتماع التحضيري للمؤتمر، في دورته الأولى لعام </w:t>
      </w:r>
      <w:r>
        <w:t>2015</w:t>
      </w:r>
      <w:r>
        <w:rPr>
          <w:rFonts w:hint="cs"/>
          <w:rtl/>
        </w:rPr>
        <w:t xml:space="preserve"> </w:t>
      </w:r>
      <w:r>
        <w:t>(CPM15</w:t>
      </w:r>
      <w:r>
        <w:noBreakHyphen/>
        <w:t>1)</w:t>
      </w:r>
      <w:r>
        <w:rPr>
          <w:rFonts w:hint="cs"/>
          <w:rtl/>
        </w:rPr>
        <w:t>، إلى اللجنة الخاصة مهمة أن تضطلع بالدراسات التنظيمية/الإجرائية الملائمة بشأن البنود ذات الصلة في جدول أعمال المؤتمر العالمي للاتصالات الراديوية لعام</w:t>
      </w:r>
      <w:r>
        <w:rPr>
          <w:rFonts w:hint="eastAsia"/>
          <w:rtl/>
        </w:rPr>
        <w:t> </w:t>
      </w:r>
      <w:r>
        <w:t>2015</w:t>
      </w:r>
      <w:r>
        <w:rPr>
          <w:rFonts w:hint="cs"/>
          <w:rtl/>
        </w:rPr>
        <w:t>، على أساس المقترحات المقدمة من أعضاء الاتحاد ومن أفرقة العمل المختصة المسؤولة في قطاع الاتصالات الراديوية. (انظر الملاحظة</w:t>
      </w:r>
      <w:r>
        <w:rPr>
          <w:rFonts w:hint="eastAsia"/>
          <w:rtl/>
        </w:rPr>
        <w:t> </w:t>
      </w:r>
      <w:r>
        <w:t>1</w:t>
      </w:r>
      <w:r>
        <w:rPr>
          <w:rFonts w:hint="cs"/>
          <w:rtl/>
          <w:lang w:bidi="ar-SY"/>
        </w:rPr>
        <w:t xml:space="preserve"> في</w:t>
      </w:r>
      <w:r>
        <w:rPr>
          <w:rFonts w:hint="eastAsia"/>
          <w:rtl/>
          <w:lang w:bidi="ar-SY"/>
        </w:rPr>
        <w:t> </w:t>
      </w:r>
      <w:r>
        <w:rPr>
          <w:rFonts w:hint="cs"/>
          <w:rtl/>
          <w:lang w:bidi="ar-SY"/>
        </w:rPr>
        <w:t>الملحق</w:t>
      </w:r>
      <w:r>
        <w:rPr>
          <w:rFonts w:hint="cs"/>
          <w:rtl/>
        </w:rPr>
        <w:t>ين</w:t>
      </w:r>
      <w:r>
        <w:rPr>
          <w:rFonts w:hint="cs"/>
          <w:rtl/>
          <w:lang w:bidi="ar-SY"/>
        </w:rPr>
        <w:t xml:space="preserve"> </w:t>
      </w:r>
      <w:r>
        <w:rPr>
          <w:lang w:bidi="ar-SY"/>
        </w:rPr>
        <w:t>8</w:t>
      </w:r>
      <w:r>
        <w:rPr>
          <w:rFonts w:hint="cs"/>
          <w:rtl/>
        </w:rPr>
        <w:t xml:space="preserve"> و</w:t>
      </w:r>
      <w:r>
        <w:t>9</w:t>
      </w:r>
      <w:r>
        <w:rPr>
          <w:rFonts w:hint="cs"/>
          <w:rtl/>
          <w:lang w:bidi="ar-SY"/>
        </w:rPr>
        <w:t xml:space="preserve"> بالرسالة الإدارية المعممة </w:t>
      </w:r>
      <w:hyperlink r:id="rId9" w:history="1">
        <w:r w:rsidRPr="009F7CC0">
          <w:rPr>
            <w:rStyle w:val="Hyperlink"/>
          </w:rPr>
          <w:t>CA/201</w:t>
        </w:r>
      </w:hyperlink>
      <w:r>
        <w:rPr>
          <w:rFonts w:hint="cs"/>
          <w:rtl/>
        </w:rPr>
        <w:t xml:space="preserve"> </w:t>
      </w:r>
      <w:r>
        <w:rPr>
          <w:rFonts w:hint="cs"/>
          <w:rtl/>
          <w:lang w:bidi="ar-SY"/>
        </w:rPr>
        <w:t xml:space="preserve">بتاريخ </w:t>
      </w:r>
      <w:r>
        <w:rPr>
          <w:lang w:bidi="ar-SY"/>
        </w:rPr>
        <w:t>19</w:t>
      </w:r>
      <w:r>
        <w:rPr>
          <w:rFonts w:hint="cs"/>
          <w:rtl/>
          <w:lang w:bidi="ar-SY"/>
        </w:rPr>
        <w:t xml:space="preserve"> مارس </w:t>
      </w:r>
      <w:r>
        <w:rPr>
          <w:lang w:bidi="ar-SY"/>
        </w:rPr>
        <w:t>2012</w:t>
      </w:r>
      <w:r>
        <w:rPr>
          <w:rFonts w:hint="cs"/>
          <w:rtl/>
          <w:lang w:bidi="ar-SY"/>
        </w:rPr>
        <w:t>).</w:t>
      </w:r>
    </w:p>
    <w:p w:rsidR="00101087" w:rsidRPr="00AE5067" w:rsidRDefault="00101087" w:rsidP="00101087">
      <w:pPr>
        <w:pStyle w:val="Heading1"/>
        <w:rPr>
          <w:rtl/>
        </w:rPr>
      </w:pPr>
      <w:r>
        <w:t>2</w:t>
      </w:r>
      <w:r>
        <w:rPr>
          <w:rFonts w:hint="cs"/>
          <w:rtl/>
        </w:rPr>
        <w:tab/>
        <w:t>تنظيم أنشطة اللجنة الخاصة</w:t>
      </w:r>
    </w:p>
    <w:p w:rsidR="00101087" w:rsidRDefault="00101087" w:rsidP="009F7110">
      <w:pPr>
        <w:rPr>
          <w:rtl/>
        </w:rPr>
      </w:pPr>
      <w:r>
        <w:rPr>
          <w:rFonts w:hint="cs"/>
          <w:rtl/>
        </w:rPr>
        <w:t xml:space="preserve">قرر الاجتماع التحضيري للمؤتمر في دورته الأولى المعقودة عام </w:t>
      </w:r>
      <w:r>
        <w:t>2015</w:t>
      </w:r>
      <w:r>
        <w:rPr>
          <w:rFonts w:hint="cs"/>
          <w:rtl/>
        </w:rPr>
        <w:t>، أثناء عملية التحضير للمؤتمر العالمي للاتصالات الراديوية لعام</w:t>
      </w:r>
      <w:r>
        <w:rPr>
          <w:rFonts w:hint="eastAsia"/>
          <w:rtl/>
        </w:rPr>
        <w:t> </w:t>
      </w:r>
      <w:r>
        <w:t>2015</w:t>
      </w:r>
      <w:r>
        <w:rPr>
          <w:rFonts w:hint="cs"/>
          <w:rtl/>
        </w:rPr>
        <w:t>، وكما حدث في مؤتمرات سابقة، أن يدرج في كل بند من بنود جدول أعمال المؤتمر المذكور في هيكل مشروع تقرير الاجتماع التحضيري للمؤتمر قسماً بعنوان "</w:t>
      </w:r>
      <w:r w:rsidRPr="000870A9">
        <w:rPr>
          <w:rFonts w:hint="cs"/>
          <w:rtl/>
        </w:rPr>
        <w:t>الاعتبارات التنظيمية والإجرائية</w:t>
      </w:r>
      <w:r>
        <w:rPr>
          <w:rFonts w:hint="cs"/>
          <w:rtl/>
        </w:rPr>
        <w:t>". واتبعت هذا النهج الأفرقة المسؤولة في</w:t>
      </w:r>
      <w:r w:rsidR="009F7110">
        <w:rPr>
          <w:rFonts w:hint="eastAsia"/>
          <w:rtl/>
        </w:rPr>
        <w:t> </w:t>
      </w:r>
      <w:r>
        <w:rPr>
          <w:rFonts w:hint="cs"/>
          <w:rtl/>
        </w:rPr>
        <w:t>قطاع الاتصالات الراديوية عن بنود جدول أعمال المؤتمر، وذلك لدى إعدادها لمشاريع نصوص الاجتماع التحضيري للمؤتمر، مما أدى إلى تبسيط النظر في هذه النصوص خلال اجتماع اللجنة الخاصة.</w:t>
      </w:r>
    </w:p>
    <w:p w:rsidR="00101087" w:rsidRDefault="00101087" w:rsidP="007146B2">
      <w:pPr>
        <w:keepNext/>
        <w:keepLines/>
        <w:rPr>
          <w:rtl/>
        </w:rPr>
      </w:pPr>
      <w:r>
        <w:rPr>
          <w:rFonts w:hint="cs"/>
          <w:rtl/>
        </w:rPr>
        <w:lastRenderedPageBreak/>
        <w:t xml:space="preserve">وفي ضوء نجاح اللجنة الخاصة وفعاليتها من حيث التكاليف في التحضير للدورة الثانية للاجتماع التحضيري للمؤتمر العالمي للاتصالات الراديوية لعام </w:t>
      </w:r>
      <w:r>
        <w:t>2007</w:t>
      </w:r>
      <w:r>
        <w:rPr>
          <w:rFonts w:hint="cs"/>
          <w:rtl/>
        </w:rPr>
        <w:t xml:space="preserve"> وللدورة الثانية للاجتماع التحضيري للمؤتمر العالمي للاتصالات الراديوية لعام</w:t>
      </w:r>
      <w:r w:rsidR="007146B2">
        <w:rPr>
          <w:rFonts w:hint="eastAsia"/>
          <w:rtl/>
        </w:rPr>
        <w:t> </w:t>
      </w:r>
      <w:r>
        <w:t>2011</w:t>
      </w:r>
      <w:r>
        <w:rPr>
          <w:rFonts w:hint="cs"/>
          <w:rtl/>
        </w:rPr>
        <w:t>، أخذ الاجتماع التحضيري للمؤتمر في</w:t>
      </w:r>
      <w:r>
        <w:rPr>
          <w:rFonts w:hint="eastAsia"/>
          <w:rtl/>
        </w:rPr>
        <w:t> </w:t>
      </w:r>
      <w:r>
        <w:rPr>
          <w:rFonts w:hint="cs"/>
          <w:rtl/>
        </w:rPr>
        <w:t xml:space="preserve">دورته الأولى </w:t>
      </w:r>
      <w:r>
        <w:t>(CPM15</w:t>
      </w:r>
      <w:r>
        <w:noBreakHyphen/>
        <w:t>1)</w:t>
      </w:r>
      <w:r>
        <w:rPr>
          <w:rFonts w:hint="cs"/>
          <w:rtl/>
        </w:rPr>
        <w:t xml:space="preserve"> العلم بتعيين فرقة عمل تابعة للجنة الخاصة </w:t>
      </w:r>
      <w:r>
        <w:t>(SC</w:t>
      </w:r>
      <w:r>
        <w:noBreakHyphen/>
        <w:t>WP)</w:t>
      </w:r>
      <w:r>
        <w:rPr>
          <w:rFonts w:hint="cs"/>
          <w:rtl/>
        </w:rPr>
        <w:t xml:space="preserve"> برئاسة رئيس اللجنة الخاصة (انظر الملحق </w:t>
      </w:r>
      <w:r>
        <w:t>12</w:t>
      </w:r>
      <w:r>
        <w:rPr>
          <w:rFonts w:hint="cs"/>
          <w:rtl/>
        </w:rPr>
        <w:t xml:space="preserve"> بالرسالة الإدارية المعمّمة </w:t>
      </w:r>
      <w:hyperlink r:id="rId10" w:history="1">
        <w:r w:rsidRPr="009F7CC0">
          <w:rPr>
            <w:rStyle w:val="Hyperlink"/>
          </w:rPr>
          <w:t>CA/201</w:t>
        </w:r>
      </w:hyperlink>
      <w:r>
        <w:rPr>
          <w:rFonts w:hint="cs"/>
          <w:rtl/>
        </w:rPr>
        <w:t xml:space="preserve">). واجتمعت فرقة العمل هذه مرة واحدة (جنيف، من </w:t>
      </w:r>
      <w:r>
        <w:t>6</w:t>
      </w:r>
      <w:r>
        <w:rPr>
          <w:rFonts w:hint="cs"/>
          <w:rtl/>
        </w:rPr>
        <w:t xml:space="preserve"> إلى </w:t>
      </w:r>
      <w:r>
        <w:t>11</w:t>
      </w:r>
      <w:r>
        <w:rPr>
          <w:rFonts w:hint="eastAsia"/>
          <w:rtl/>
        </w:rPr>
        <w:t> </w:t>
      </w:r>
      <w:r>
        <w:rPr>
          <w:rFonts w:hint="cs"/>
          <w:rtl/>
        </w:rPr>
        <w:t>ديسمبر</w:t>
      </w:r>
      <w:r>
        <w:rPr>
          <w:rFonts w:hint="eastAsia"/>
          <w:rtl/>
        </w:rPr>
        <w:t> </w:t>
      </w:r>
      <w:r>
        <w:t>2013</w:t>
      </w:r>
      <w:r>
        <w:rPr>
          <w:rFonts w:hint="cs"/>
          <w:rtl/>
        </w:rPr>
        <w:t>) وقامت</w:t>
      </w:r>
      <w:r>
        <w:rPr>
          <w:rFonts w:hint="eastAsia"/>
          <w:rtl/>
        </w:rPr>
        <w:t> </w:t>
      </w:r>
      <w:r>
        <w:rPr>
          <w:rFonts w:hint="cs"/>
          <w:rtl/>
        </w:rPr>
        <w:t>بتحضير أعمال اللجنة الخاصة بشأن عدة قضايا، وذلك بالتعاون الوثيق مع لجان الدراسات المعنية التابعة لقطاع الاتصالات الراديوية في الاتحاد أو مع فرق العمل المهتمة.</w:t>
      </w:r>
    </w:p>
    <w:p w:rsidR="00101087" w:rsidRDefault="00101087" w:rsidP="00101087">
      <w:pPr>
        <w:rPr>
          <w:rtl/>
        </w:rPr>
      </w:pPr>
      <w:r>
        <w:rPr>
          <w:rFonts w:hint="cs"/>
          <w:rtl/>
        </w:rPr>
        <w:t xml:space="preserve">وعقدت اللجنة الخاصة اجتماعها في الفترة من </w:t>
      </w:r>
      <w:r>
        <w:t>1</w:t>
      </w:r>
      <w:r>
        <w:rPr>
          <w:rFonts w:hint="cs"/>
          <w:rtl/>
          <w:lang w:bidi="ar-SY"/>
        </w:rPr>
        <w:t xml:space="preserve"> إلى </w:t>
      </w:r>
      <w:r>
        <w:rPr>
          <w:lang w:bidi="ar-SY"/>
        </w:rPr>
        <w:t>5</w:t>
      </w:r>
      <w:r>
        <w:rPr>
          <w:rFonts w:hint="cs"/>
          <w:rtl/>
          <w:lang w:bidi="ar-SY"/>
        </w:rPr>
        <w:t xml:space="preserve"> ديسمبر </w:t>
      </w:r>
      <w:r>
        <w:rPr>
          <w:lang w:bidi="ar-SY"/>
        </w:rPr>
        <w:t>2014</w:t>
      </w:r>
      <w:r>
        <w:rPr>
          <w:rFonts w:hint="cs"/>
          <w:rtl/>
        </w:rPr>
        <w:t xml:space="preserve"> في جنيف وتناولت مختلف القضايا التنظيمية والإجرائية المتعلقة بمختلف بنود جدول أعمال المؤتمر العالمي للاتصالات الراديوية لعام </w:t>
      </w:r>
      <w:r>
        <w:t>2015</w:t>
      </w:r>
      <w:r>
        <w:rPr>
          <w:rFonts w:hint="cs"/>
          <w:rtl/>
        </w:rPr>
        <w:t>، استناداً إلى تقرير رئيس فرقة العمل التابعة للجنة الخاصة، وإلى المقتطف من مشروع تقرير الاجتماع التحضيري للمؤتمر، والمقترحات المقدمة من أعضاء الاتحاد، وبيانات الاتصالات الواردة من بعض لجان الدراسات التابعة لقطاع الاتصالات الراديوية أو من فرق العمل.</w:t>
      </w:r>
    </w:p>
    <w:p w:rsidR="00101087" w:rsidRDefault="00101087" w:rsidP="00101087">
      <w:pPr>
        <w:rPr>
          <w:rtl/>
          <w:lang w:bidi="ar-SY"/>
        </w:rPr>
      </w:pPr>
      <w:r>
        <w:rPr>
          <w:rFonts w:hint="cs"/>
          <w:rtl/>
        </w:rPr>
        <w:t xml:space="preserve">وحضر الاجتماع </w:t>
      </w:r>
      <w:r>
        <w:t>145</w:t>
      </w:r>
      <w:r>
        <w:rPr>
          <w:rFonts w:hint="cs"/>
          <w:rtl/>
        </w:rPr>
        <w:t xml:space="preserve"> مشاركاً يمثلون </w:t>
      </w:r>
      <w:r>
        <w:t>34</w:t>
      </w:r>
      <w:r>
        <w:rPr>
          <w:rFonts w:hint="cs"/>
          <w:rtl/>
          <w:lang w:bidi="ar-SY"/>
        </w:rPr>
        <w:t xml:space="preserve"> دولة عضواً و</w:t>
      </w:r>
      <w:r>
        <w:rPr>
          <w:lang w:bidi="ar-SY"/>
        </w:rPr>
        <w:t>11</w:t>
      </w:r>
      <w:r>
        <w:rPr>
          <w:rFonts w:hint="cs"/>
          <w:rtl/>
          <w:lang w:bidi="ar-SY"/>
        </w:rPr>
        <w:t xml:space="preserve"> وكالة تشغيل معتمدة و</w:t>
      </w:r>
      <w:r>
        <w:rPr>
          <w:lang w:bidi="ar-SY"/>
        </w:rPr>
        <w:t>4</w:t>
      </w:r>
      <w:r>
        <w:rPr>
          <w:rFonts w:hint="cs"/>
          <w:rtl/>
          <w:lang w:bidi="ar-SY"/>
        </w:rPr>
        <w:t xml:space="preserve"> منظمات علمية أو صناعية ومنظمتين حكوميتين دوليتين من منظمات تشغيل الأنظمة الساتلية ولجنة لوائح الراديو ومكتب الاتصالات الراديوية.</w:t>
      </w:r>
    </w:p>
    <w:p w:rsidR="00101087" w:rsidRPr="007F1C52" w:rsidRDefault="00101087" w:rsidP="00101087">
      <w:pPr>
        <w:rPr>
          <w:spacing w:val="-2"/>
          <w:rtl/>
        </w:rPr>
      </w:pPr>
      <w:r w:rsidRPr="007F1C52">
        <w:rPr>
          <w:rFonts w:hint="cs"/>
          <w:spacing w:val="-2"/>
          <w:rtl/>
        </w:rPr>
        <w:t>وأنشأت اللجنة الخاصة فريق</w:t>
      </w:r>
      <w:r>
        <w:rPr>
          <w:rFonts w:hint="cs"/>
          <w:spacing w:val="-2"/>
          <w:rtl/>
        </w:rPr>
        <w:t>ي</w:t>
      </w:r>
      <w:r w:rsidRPr="007F1C52">
        <w:rPr>
          <w:rFonts w:hint="cs"/>
          <w:spacing w:val="-2"/>
          <w:rtl/>
        </w:rPr>
        <w:t xml:space="preserve"> عمل </w:t>
      </w:r>
      <w:r>
        <w:rPr>
          <w:rFonts w:hint="cs"/>
          <w:spacing w:val="-2"/>
          <w:rtl/>
        </w:rPr>
        <w:t>لمعالجة أعمالها</w:t>
      </w:r>
      <w:r w:rsidRPr="007F1C52">
        <w:rPr>
          <w:rFonts w:hint="cs"/>
          <w:spacing w:val="-2"/>
          <w:rtl/>
        </w:rPr>
        <w:t xml:space="preserve"> على النحو الوارد في الجدول</w:t>
      </w:r>
      <w:r w:rsidRPr="007F1C52">
        <w:rPr>
          <w:rFonts w:hint="eastAsia"/>
          <w:spacing w:val="-2"/>
          <w:rtl/>
        </w:rPr>
        <w:t> </w:t>
      </w:r>
      <w:r w:rsidRPr="007F1C52">
        <w:rPr>
          <w:spacing w:val="-2"/>
        </w:rPr>
        <w:t>1</w:t>
      </w:r>
      <w:r w:rsidRPr="007F1C52">
        <w:rPr>
          <w:rFonts w:hint="cs"/>
          <w:spacing w:val="-2"/>
          <w:rtl/>
        </w:rPr>
        <w:t xml:space="preserve"> أدناه.</w:t>
      </w:r>
    </w:p>
    <w:p w:rsidR="00101087" w:rsidRDefault="00101087" w:rsidP="00101087">
      <w:pPr>
        <w:pStyle w:val="TableNoBR"/>
        <w:spacing w:before="360"/>
        <w:rPr>
          <w:rtl/>
          <w:lang w:val="en-US" w:bidi="ar-EG"/>
        </w:rPr>
      </w:pPr>
      <w:r>
        <w:rPr>
          <w:rFonts w:hint="cs"/>
          <w:rtl/>
          <w:lang w:val="en-US" w:bidi="ar-EG"/>
        </w:rPr>
        <w:t xml:space="preserve">الجدول </w:t>
      </w:r>
      <w:r>
        <w:rPr>
          <w:lang w:val="en-US" w:bidi="ar-EG"/>
        </w:rPr>
        <w:t>1</w:t>
      </w:r>
    </w:p>
    <w:p w:rsidR="00101087" w:rsidRPr="00AD3323" w:rsidRDefault="00101087" w:rsidP="00101087">
      <w:pPr>
        <w:pStyle w:val="TableNotitle"/>
        <w:spacing w:before="0"/>
        <w:rPr>
          <w:rtl/>
          <w:lang w:bidi="ar-SY"/>
        </w:rPr>
      </w:pPr>
      <w:r>
        <w:rPr>
          <w:rFonts w:hint="cs"/>
          <w:rtl/>
        </w:rPr>
        <w:t xml:space="preserve">هيكل اجتماع اللجنة الخاصة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5466"/>
        <w:gridCol w:w="3047"/>
      </w:tblGrid>
      <w:tr w:rsidR="00101087" w:rsidTr="00B05E7B">
        <w:trPr>
          <w:tblHeader/>
          <w:jc w:val="center"/>
        </w:trPr>
        <w:tc>
          <w:tcPr>
            <w:tcW w:w="647" w:type="pct"/>
            <w:vAlign w:val="center"/>
          </w:tcPr>
          <w:p w:rsidR="00101087" w:rsidRPr="00AE5E1D" w:rsidRDefault="00101087" w:rsidP="00B05E7B">
            <w:pPr>
              <w:pStyle w:val="Tablehead"/>
              <w:rPr>
                <w:b w:val="0"/>
              </w:rPr>
            </w:pPr>
            <w:r>
              <w:rPr>
                <w:rFonts w:hint="cs"/>
                <w:b w:val="0"/>
                <w:rtl/>
              </w:rPr>
              <w:t>فريق العمل</w:t>
            </w:r>
          </w:p>
        </w:tc>
        <w:tc>
          <w:tcPr>
            <w:tcW w:w="2795" w:type="pct"/>
            <w:vAlign w:val="center"/>
          </w:tcPr>
          <w:p w:rsidR="00101087" w:rsidRPr="00AE5E1D" w:rsidRDefault="00101087" w:rsidP="00B05E7B">
            <w:pPr>
              <w:pStyle w:val="Tablehead"/>
              <w:rPr>
                <w:b w:val="0"/>
                <w:rtl/>
                <w:lang w:bidi="ar-SA"/>
              </w:rPr>
            </w:pPr>
            <w:r w:rsidRPr="00AE5E1D">
              <w:rPr>
                <w:rFonts w:hint="cs"/>
                <w:b w:val="0"/>
                <w:rtl/>
              </w:rPr>
              <w:t>الموضوع</w:t>
            </w:r>
          </w:p>
        </w:tc>
        <w:tc>
          <w:tcPr>
            <w:tcW w:w="1558" w:type="pct"/>
            <w:vAlign w:val="center"/>
          </w:tcPr>
          <w:p w:rsidR="00101087" w:rsidRPr="00AE5E1D" w:rsidRDefault="00101087" w:rsidP="00B05E7B">
            <w:pPr>
              <w:pStyle w:val="Tablehead"/>
              <w:rPr>
                <w:b w:val="0"/>
                <w:lang w:val="fr-CH"/>
              </w:rPr>
            </w:pPr>
            <w:r w:rsidRPr="00AE5E1D">
              <w:rPr>
                <w:rFonts w:hint="cs"/>
                <w:b w:val="0"/>
                <w:rtl/>
                <w:lang w:val="fr-CH"/>
              </w:rPr>
              <w:t>الرئيس</w:t>
            </w:r>
          </w:p>
        </w:tc>
      </w:tr>
      <w:tr w:rsidR="00101087" w:rsidTr="00B05E7B">
        <w:trPr>
          <w:jc w:val="center"/>
        </w:trPr>
        <w:tc>
          <w:tcPr>
            <w:tcW w:w="647" w:type="pct"/>
          </w:tcPr>
          <w:p w:rsidR="00101087" w:rsidRDefault="00101087" w:rsidP="00B05E7B">
            <w:pPr>
              <w:pStyle w:val="Tabletext"/>
              <w:spacing w:before="80" w:after="80" w:line="300" w:lineRule="exact"/>
              <w:rPr>
                <w:rtl/>
                <w:lang w:val="en-US"/>
              </w:rPr>
            </w:pPr>
            <w:r>
              <w:rPr>
                <w:rFonts w:hint="cs"/>
                <w:rtl/>
                <w:lang w:val="en-US"/>
              </w:rPr>
              <w:t xml:space="preserve">فريق العمل </w:t>
            </w:r>
            <w:r>
              <w:rPr>
                <w:lang w:val="en-US"/>
              </w:rPr>
              <w:t>1</w:t>
            </w:r>
          </w:p>
        </w:tc>
        <w:tc>
          <w:tcPr>
            <w:tcW w:w="2795" w:type="pct"/>
          </w:tcPr>
          <w:p w:rsidR="00101087" w:rsidRDefault="00101087" w:rsidP="007146B2">
            <w:pPr>
              <w:pStyle w:val="Tabletext"/>
              <w:tabs>
                <w:tab w:val="right" w:pos="5243"/>
              </w:tabs>
              <w:spacing w:before="80" w:after="80" w:line="300" w:lineRule="exact"/>
              <w:jc w:val="both"/>
              <w:rPr>
                <w:lang w:val="en-US"/>
              </w:rPr>
            </w:pPr>
            <w:r>
              <w:rPr>
                <w:color w:val="000000"/>
                <w:rtl/>
              </w:rPr>
              <w:t xml:space="preserve">المسائل التي سيجري تناولها في إطار البند </w:t>
            </w:r>
            <w:r>
              <w:rPr>
                <w:color w:val="000000"/>
              </w:rPr>
              <w:t>7</w:t>
            </w:r>
            <w:r>
              <w:rPr>
                <w:color w:val="000000"/>
                <w:rtl/>
              </w:rPr>
              <w:t xml:space="preserve"> من جدول أعمال المؤتمر العالمي للاتصالات الراديوية لعام </w:t>
            </w:r>
            <w:r>
              <w:rPr>
                <w:color w:val="000000"/>
              </w:rPr>
              <w:t>2015</w:t>
            </w:r>
          </w:p>
        </w:tc>
        <w:tc>
          <w:tcPr>
            <w:tcW w:w="1558" w:type="pct"/>
          </w:tcPr>
          <w:p w:rsidR="00101087" w:rsidRPr="009F3C02" w:rsidRDefault="00101087" w:rsidP="00B05E7B">
            <w:pPr>
              <w:pStyle w:val="Tabletext"/>
              <w:spacing w:before="80" w:after="80" w:line="300" w:lineRule="exact"/>
              <w:rPr>
                <w:lang w:val="en-US" w:bidi="ar-SA"/>
              </w:rPr>
            </w:pPr>
            <w:r>
              <w:rPr>
                <w:color w:val="000000"/>
                <w:rtl/>
              </w:rPr>
              <w:t>السيد جاك فينغرينيوك</w:t>
            </w:r>
            <w:r>
              <w:rPr>
                <w:rFonts w:hint="cs"/>
                <w:rtl/>
                <w:lang w:val="en-US"/>
              </w:rPr>
              <w:t xml:space="preserve"> (</w:t>
            </w:r>
            <w:r>
              <w:rPr>
                <w:rFonts w:hint="cs"/>
                <w:rtl/>
              </w:rPr>
              <w:t>الولايات المتحدة الأمريكية</w:t>
            </w:r>
            <w:r>
              <w:rPr>
                <w:rFonts w:hint="cs"/>
                <w:rtl/>
                <w:lang w:val="en-US"/>
              </w:rPr>
              <w:t>)</w:t>
            </w:r>
          </w:p>
        </w:tc>
      </w:tr>
      <w:tr w:rsidR="00101087" w:rsidTr="00B05E7B">
        <w:trPr>
          <w:jc w:val="center"/>
        </w:trPr>
        <w:tc>
          <w:tcPr>
            <w:tcW w:w="647" w:type="pct"/>
          </w:tcPr>
          <w:p w:rsidR="00101087" w:rsidRDefault="00101087" w:rsidP="00B05E7B">
            <w:pPr>
              <w:pStyle w:val="Tabletext"/>
              <w:spacing w:before="80" w:after="80" w:line="300" w:lineRule="exact"/>
              <w:rPr>
                <w:rtl/>
                <w:lang w:val="en-US" w:bidi="ar-SY"/>
              </w:rPr>
            </w:pPr>
            <w:r>
              <w:rPr>
                <w:rFonts w:hint="cs"/>
                <w:rtl/>
                <w:lang w:val="en-US"/>
              </w:rPr>
              <w:t xml:space="preserve">فريق العمل </w:t>
            </w:r>
            <w:r>
              <w:rPr>
                <w:lang w:val="en-US"/>
              </w:rPr>
              <w:t>2</w:t>
            </w:r>
          </w:p>
        </w:tc>
        <w:tc>
          <w:tcPr>
            <w:tcW w:w="2795" w:type="pct"/>
          </w:tcPr>
          <w:p w:rsidR="00101087" w:rsidRPr="00854D86" w:rsidRDefault="00101087" w:rsidP="007146B2">
            <w:pPr>
              <w:pStyle w:val="Tabletext"/>
              <w:spacing w:before="80" w:after="80" w:line="300" w:lineRule="exact"/>
              <w:jc w:val="both"/>
              <w:rPr>
                <w:rtl/>
                <w:lang w:bidi="ar-SA"/>
              </w:rPr>
            </w:pPr>
            <w:r>
              <w:rPr>
                <w:rFonts w:hint="cs"/>
                <w:rtl/>
                <w:lang w:val="en-US"/>
              </w:rPr>
              <w:t xml:space="preserve">مسائل أخرى سيجري تناولها في جدول </w:t>
            </w:r>
            <w:r>
              <w:rPr>
                <w:color w:val="000000"/>
                <w:rtl/>
              </w:rPr>
              <w:t>أعمال المؤتمر العالمي للاتصالات الراديوية لعام</w:t>
            </w:r>
            <w:r>
              <w:rPr>
                <w:rFonts w:hint="cs"/>
                <w:color w:val="000000"/>
                <w:rtl/>
              </w:rPr>
              <w:t> </w:t>
            </w:r>
            <w:r>
              <w:rPr>
                <w:color w:val="000000"/>
              </w:rPr>
              <w:t>2015</w:t>
            </w:r>
          </w:p>
        </w:tc>
        <w:tc>
          <w:tcPr>
            <w:tcW w:w="1558" w:type="pct"/>
          </w:tcPr>
          <w:p w:rsidR="00101087" w:rsidRDefault="00101087" w:rsidP="00B05E7B">
            <w:pPr>
              <w:pStyle w:val="Tabletext"/>
              <w:spacing w:before="80" w:after="80" w:line="300" w:lineRule="exact"/>
              <w:rPr>
                <w:lang w:val="en-US"/>
              </w:rPr>
            </w:pPr>
            <w:r>
              <w:rPr>
                <w:color w:val="000000"/>
                <w:rtl/>
              </w:rPr>
              <w:t>السيد بير هوفست</w:t>
            </w:r>
            <w:r>
              <w:rPr>
                <w:rFonts w:hint="cs"/>
                <w:color w:val="000000"/>
                <w:rtl/>
              </w:rPr>
              <w:t>اد</w:t>
            </w:r>
            <w:r>
              <w:rPr>
                <w:rtl/>
              </w:rPr>
              <w:br/>
            </w:r>
            <w:r>
              <w:rPr>
                <w:rFonts w:hint="cs"/>
                <w:rtl/>
              </w:rPr>
              <w:t xml:space="preserve">(شركة </w:t>
            </w:r>
            <w:r>
              <w:rPr>
                <w:lang w:val="en-US"/>
              </w:rPr>
              <w:t>AsiaSat</w:t>
            </w:r>
            <w:r>
              <w:rPr>
                <w:rFonts w:hint="cs"/>
                <w:rtl/>
              </w:rPr>
              <w:t>)</w:t>
            </w:r>
          </w:p>
        </w:tc>
      </w:tr>
    </w:tbl>
    <w:p w:rsidR="00101087" w:rsidRDefault="00101087" w:rsidP="0002477A">
      <w:pPr>
        <w:rPr>
          <w:rtl/>
        </w:rPr>
      </w:pPr>
      <w:r>
        <w:rPr>
          <w:rFonts w:hint="cs"/>
          <w:rtl/>
        </w:rPr>
        <w:t>وأُدرجت نتائج المناقشات التي أجرتها اللجنة الخاصة في تقرير اللجنة الخاصة إلى الدورة الثانية للاجتماع التحضيري للمؤتمر</w:t>
      </w:r>
      <w:r w:rsidR="0002477A">
        <w:rPr>
          <w:rFonts w:hint="eastAsia"/>
          <w:rtl/>
        </w:rPr>
        <w:t> </w:t>
      </w:r>
      <w:r>
        <w:t>(CPM15</w:t>
      </w:r>
      <w:r>
        <w:noBreakHyphen/>
        <w:t>2)</w:t>
      </w:r>
      <w:r>
        <w:rPr>
          <w:rFonts w:hint="cs"/>
          <w:rtl/>
        </w:rPr>
        <w:t xml:space="preserve"> (انظر الوثيقة </w:t>
      </w:r>
      <w:hyperlink r:id="rId11" w:history="1">
        <w:r w:rsidRPr="00A474A9">
          <w:rPr>
            <w:rStyle w:val="Hyperlink"/>
          </w:rPr>
          <w:t>CPM</w:t>
        </w:r>
        <w:r>
          <w:rPr>
            <w:rStyle w:val="Hyperlink"/>
          </w:rPr>
          <w:t>15</w:t>
        </w:r>
        <w:r w:rsidRPr="00A474A9">
          <w:rPr>
            <w:rStyle w:val="Hyperlink"/>
          </w:rPr>
          <w:t>-2/2</w:t>
        </w:r>
      </w:hyperlink>
      <w:r>
        <w:rPr>
          <w:rFonts w:hint="cs"/>
          <w:rtl/>
        </w:rPr>
        <w:t>) وفي تقرير رئيس اللجنة الخاصة عن الاجتماع الذي ع</w:t>
      </w:r>
      <w:r w:rsidR="000F2A69">
        <w:rPr>
          <w:rFonts w:hint="cs"/>
          <w:rtl/>
        </w:rPr>
        <w:t>ُ</w:t>
      </w:r>
      <w:r>
        <w:rPr>
          <w:rFonts w:hint="cs"/>
          <w:rtl/>
        </w:rPr>
        <w:t>قد في</w:t>
      </w:r>
      <w:r w:rsidR="0002477A">
        <w:rPr>
          <w:rFonts w:hint="eastAsia"/>
          <w:rtl/>
        </w:rPr>
        <w:t> </w:t>
      </w:r>
      <w:r>
        <w:rPr>
          <w:rFonts w:hint="cs"/>
          <w:rtl/>
        </w:rPr>
        <w:t>ديسمبر</w:t>
      </w:r>
      <w:r w:rsidR="0002477A">
        <w:rPr>
          <w:rFonts w:hint="eastAsia"/>
          <w:rtl/>
        </w:rPr>
        <w:t> </w:t>
      </w:r>
      <w:r>
        <w:t>2014</w:t>
      </w:r>
      <w:r>
        <w:rPr>
          <w:rFonts w:hint="cs"/>
          <w:rtl/>
        </w:rPr>
        <w:t xml:space="preserve"> (انظر الوثيقة</w:t>
      </w:r>
      <w:r>
        <w:rPr>
          <w:rFonts w:hint="eastAsia"/>
          <w:rtl/>
        </w:rPr>
        <w:t> </w:t>
      </w:r>
      <w:hyperlink r:id="rId12" w:history="1">
        <w:r w:rsidRPr="00A5020F">
          <w:rPr>
            <w:rStyle w:val="Hyperlink"/>
          </w:rPr>
          <w:t>SC/42</w:t>
        </w:r>
      </w:hyperlink>
      <w:r>
        <w:rPr>
          <w:rFonts w:hint="cs"/>
          <w:rtl/>
        </w:rPr>
        <w:t>).</w:t>
      </w:r>
    </w:p>
    <w:p w:rsidR="00101087" w:rsidRPr="00AE5E1D" w:rsidRDefault="00101087" w:rsidP="00101087">
      <w:pPr>
        <w:pStyle w:val="Heading1"/>
        <w:rPr>
          <w:rtl/>
        </w:rPr>
      </w:pPr>
      <w:r>
        <w:t>3</w:t>
      </w:r>
      <w:r>
        <w:rPr>
          <w:rtl/>
        </w:rPr>
        <w:tab/>
      </w:r>
      <w:r>
        <w:rPr>
          <w:rFonts w:hint="cs"/>
          <w:rtl/>
        </w:rPr>
        <w:t>أعمال اللجنة الخاصة في المستقبل</w:t>
      </w:r>
    </w:p>
    <w:p w:rsidR="00101087" w:rsidRPr="00992D7F" w:rsidRDefault="00101087" w:rsidP="00F34DFF">
      <w:pPr>
        <w:rPr>
          <w:rtl/>
        </w:rPr>
      </w:pPr>
      <w:r>
        <w:rPr>
          <w:rFonts w:hint="cs"/>
          <w:rtl/>
        </w:rPr>
        <w:t xml:space="preserve">أظهر تنظيم أعمال اللجنة الخاصة الذي اضطلعت به الدورة الأولى للاجتماع التحضيري للمؤتمر </w:t>
      </w:r>
      <w:r>
        <w:t>(CPM15</w:t>
      </w:r>
      <w:r>
        <w:noBreakHyphen/>
        <w:t>1)</w:t>
      </w:r>
      <w:r>
        <w:rPr>
          <w:rFonts w:hint="cs"/>
          <w:rtl/>
        </w:rPr>
        <w:t xml:space="preserve"> كفاءته من حيث عدد القضايا التي عولجت أثناء اجتماع فرقة العمل التابعة للجنة الخاصة وأثناء اجتماع اللجنة الخاصة ذاتها. ولأسباب تتعلق بالاقتصاد في التكاليف، وعلى النحو المتفق عليه في الدورة الأولى للاجتماع التحضيري للمؤتمر، لم تقدم ترجمة فورية إلا في</w:t>
      </w:r>
      <w:r w:rsidR="00F34DFF">
        <w:rPr>
          <w:rFonts w:hint="eastAsia"/>
          <w:rtl/>
        </w:rPr>
        <w:t> </w:t>
      </w:r>
      <w:r>
        <w:rPr>
          <w:rFonts w:hint="cs"/>
          <w:rtl/>
        </w:rPr>
        <w:t xml:space="preserve">نفس اجتماع اللجنة الخاصة. وكنتيجة لهذا العمل التحضيري الجيد، أدرج في تقرير اللجنة الخاصة المرفوع إلى الدورة الثانية للاجتماع التحضيري للمؤتمر مشاريع نصوص </w:t>
      </w:r>
      <w:r>
        <w:rPr>
          <w:rFonts w:hint="cs"/>
          <w:color w:val="000000"/>
          <w:rtl/>
        </w:rPr>
        <w:t xml:space="preserve">للعديد من بنود ومسائل </w:t>
      </w:r>
      <w:r>
        <w:rPr>
          <w:color w:val="000000"/>
          <w:rtl/>
        </w:rPr>
        <w:t xml:space="preserve">جدول أعمال المؤتمر العالمي للاتصالات الراديوية لعام </w:t>
      </w:r>
      <w:r>
        <w:rPr>
          <w:color w:val="000000"/>
        </w:rPr>
        <w:t>2015</w:t>
      </w:r>
      <w:r>
        <w:rPr>
          <w:rFonts w:hint="cs"/>
          <w:color w:val="000000"/>
          <w:rtl/>
        </w:rPr>
        <w:t>.</w:t>
      </w:r>
      <w:bookmarkStart w:id="1" w:name="_GoBack"/>
      <w:bookmarkEnd w:id="1"/>
    </w:p>
    <w:p w:rsidR="00101087" w:rsidRDefault="00101087" w:rsidP="00101087">
      <w:pPr>
        <w:rPr>
          <w:rtl/>
        </w:rPr>
      </w:pPr>
      <w:r>
        <w:rPr>
          <w:rFonts w:hint="cs"/>
          <w:rtl/>
        </w:rPr>
        <w:t xml:space="preserve">وقد تنظر جمعية الاتصالات الراديوية في اجتماعها لعام </w:t>
      </w:r>
      <w:r>
        <w:t>2015</w:t>
      </w:r>
      <w:r>
        <w:rPr>
          <w:rFonts w:hint="cs"/>
          <w:rtl/>
        </w:rPr>
        <w:t xml:space="preserve"> </w:t>
      </w:r>
      <w:r>
        <w:t>(RA</w:t>
      </w:r>
      <w:r>
        <w:noBreakHyphen/>
        <w:t>15)</w:t>
      </w:r>
      <w:r>
        <w:rPr>
          <w:rFonts w:hint="cs"/>
          <w:rtl/>
        </w:rPr>
        <w:t xml:space="preserve"> في هذه العناصر التنظيمية من أجل الإعداد </w:t>
      </w:r>
      <w:r>
        <w:rPr>
          <w:rFonts w:hint="cs"/>
          <w:rtl/>
        </w:rPr>
        <w:t>ل</w:t>
      </w:r>
      <w:r>
        <w:rPr>
          <w:rFonts w:hint="cs"/>
          <w:rtl/>
        </w:rPr>
        <w:t xml:space="preserve">فترة الدراسة التالية استعداداً للمؤتمر العالمي للاتصالات الراديوية لعام </w:t>
      </w:r>
      <w:r>
        <w:t>2019</w:t>
      </w:r>
      <w:r>
        <w:rPr>
          <w:rFonts w:hint="cs"/>
          <w:rtl/>
          <w:lang w:bidi="ar-SY"/>
        </w:rPr>
        <w:t xml:space="preserve"> </w:t>
      </w:r>
      <w:r>
        <w:t>(WRC</w:t>
      </w:r>
      <w:r>
        <w:noBreakHyphen/>
        <w:t>19)</w:t>
      </w:r>
      <w:r>
        <w:rPr>
          <w:rFonts w:hint="cs"/>
          <w:rtl/>
        </w:rPr>
        <w:t xml:space="preserve"> واستعراض القرارين </w:t>
      </w:r>
      <w:r>
        <w:t>ITU-R 2-6</w:t>
      </w:r>
      <w:r>
        <w:rPr>
          <w:rFonts w:hint="cs"/>
          <w:rtl/>
        </w:rPr>
        <w:t xml:space="preserve"> و</w:t>
      </w:r>
      <w:r>
        <w:t>ITU</w:t>
      </w:r>
      <w:r>
        <w:noBreakHyphen/>
        <w:t>R 38-4</w:t>
      </w:r>
      <w:r>
        <w:rPr>
          <w:rFonts w:hint="cs"/>
          <w:rtl/>
        </w:rPr>
        <w:t>، حسب الاقتضاء.</w:t>
      </w:r>
    </w:p>
    <w:p w:rsidR="00101087" w:rsidRPr="002F0404" w:rsidRDefault="00101087" w:rsidP="00101087">
      <w:pPr>
        <w:pStyle w:val="Heading1"/>
        <w:rPr>
          <w:rtl/>
        </w:rPr>
      </w:pPr>
      <w:r>
        <w:lastRenderedPageBreak/>
        <w:t>4</w:t>
      </w:r>
      <w:r>
        <w:rPr>
          <w:rtl/>
        </w:rPr>
        <w:tab/>
      </w:r>
      <w:r>
        <w:rPr>
          <w:rFonts w:hint="cs"/>
          <w:rtl/>
        </w:rPr>
        <w:t>خاتمة</w:t>
      </w:r>
    </w:p>
    <w:p w:rsidR="00101087" w:rsidRPr="00AF4F9F" w:rsidRDefault="00101087" w:rsidP="00101087">
      <w:pPr>
        <w:rPr>
          <w:spacing w:val="-2"/>
        </w:rPr>
      </w:pPr>
      <w:r w:rsidRPr="00A75446">
        <w:rPr>
          <w:rFonts w:hint="cs"/>
          <w:spacing w:val="-2"/>
          <w:rtl/>
        </w:rPr>
        <w:t>أتوجه بالشكر إلى نواب رئيس اللجنة (</w:t>
      </w:r>
      <w:r>
        <w:rPr>
          <w:color w:val="000000"/>
          <w:rtl/>
        </w:rPr>
        <w:t>السيد ناصر بن حماد وألكسندر كون ورام جي سينغ كوشفاها وستانيسلاس أوكوما لخويي وراميرو روبليدو لوبيز وإغور ف. زيلتونوغوف وفرانز زيكي</w:t>
      </w:r>
      <w:r w:rsidRPr="00A75446">
        <w:rPr>
          <w:rFonts w:hint="cs"/>
          <w:spacing w:val="-2"/>
          <w:rtl/>
        </w:rPr>
        <w:t xml:space="preserve">)، </w:t>
      </w:r>
      <w:r>
        <w:rPr>
          <w:color w:val="000000"/>
          <w:rtl/>
        </w:rPr>
        <w:t>ولرئيسَي فريقي العمل التابعين للجنة الخاصة وفرقة العمل التابعة للجنة الخاصة (السيد جاك فينغرينيوك والسيد بير هوفشتاد)، ومدير مكتب الاتصالات الراديوية والخبراء والأخصائيين من مكتب الاتصالات الراديوية ومستشار اللجنة الخاصة (السيد ف. أوبينو) وأعضاء الاتحاد</w:t>
      </w:r>
      <w:r>
        <w:rPr>
          <w:rFonts w:hint="cs"/>
          <w:color w:val="000000"/>
          <w:rtl/>
        </w:rPr>
        <w:t>،</w:t>
      </w:r>
      <w:r>
        <w:rPr>
          <w:color w:val="000000"/>
          <w:rtl/>
        </w:rPr>
        <w:t xml:space="preserve"> على مساهماتهم القيمة.</w:t>
      </w:r>
    </w:p>
    <w:p w:rsidR="00B357E9" w:rsidRPr="002919E1" w:rsidRDefault="00B357E9" w:rsidP="007F7FC3">
      <w:pPr>
        <w:pStyle w:val="Dash"/>
        <w:rPr>
          <w:rtl/>
        </w:rPr>
      </w:pPr>
      <w:r w:rsidRPr="00DF2A6A">
        <w:rPr>
          <w:rtl/>
        </w:rPr>
        <w:t>__________</w:t>
      </w:r>
      <w:r w:rsidR="009004DF">
        <w:rPr>
          <w:rFonts w:hint="cs"/>
          <w:rtl/>
        </w:rPr>
        <w:t>_</w:t>
      </w:r>
    </w:p>
    <w:sectPr w:rsidR="00B357E9" w:rsidRPr="002919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4A" w:rsidRDefault="0080554A" w:rsidP="002919E1">
      <w:r>
        <w:separator/>
      </w:r>
    </w:p>
    <w:p w:rsidR="0080554A" w:rsidRDefault="0080554A" w:rsidP="002919E1"/>
    <w:p w:rsidR="0080554A" w:rsidRDefault="0080554A" w:rsidP="002919E1"/>
    <w:p w:rsidR="0080554A" w:rsidRDefault="0080554A"/>
  </w:endnote>
  <w:endnote w:type="continuationSeparator" w:id="0">
    <w:p w:rsidR="0080554A" w:rsidRDefault="0080554A" w:rsidP="002919E1">
      <w:r>
        <w:continuationSeparator/>
      </w:r>
    </w:p>
    <w:p w:rsidR="0080554A" w:rsidRDefault="0080554A" w:rsidP="002919E1"/>
    <w:p w:rsidR="0080554A" w:rsidRDefault="0080554A" w:rsidP="002919E1"/>
    <w:p w:rsidR="0080554A" w:rsidRDefault="00805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CB4300" w:rsidRDefault="002543C8" w:rsidP="00101087">
    <w:pPr>
      <w:pStyle w:val="Footer"/>
      <w:tabs>
        <w:tab w:val="clear" w:pos="5812"/>
        <w:tab w:val="center" w:pos="5103"/>
      </w:tabs>
      <w:rPr>
        <w:lang w:val="es-ES"/>
      </w:rPr>
    </w:pPr>
    <w:r w:rsidRPr="00CB4300">
      <w:fldChar w:fldCharType="begin"/>
    </w:r>
    <w:r w:rsidRPr="00CB4300">
      <w:rPr>
        <w:lang w:val="es-ES"/>
      </w:rPr>
      <w:instrText xml:space="preserve"> FILENAME \p \* MERGEFORMAT </w:instrText>
    </w:r>
    <w:r w:rsidRPr="00CB4300">
      <w:fldChar w:fldCharType="separate"/>
    </w:r>
    <w:r w:rsidR="00376124">
      <w:rPr>
        <w:noProof/>
        <w:lang w:val="es-ES"/>
      </w:rPr>
      <w:t>P:\ARA\ITU-R\CONF-R\AR15\PLEN\000\002A.docx</w:t>
    </w:r>
    <w:r w:rsidRPr="00CB4300">
      <w:fldChar w:fldCharType="end"/>
    </w:r>
    <w:r w:rsidRPr="00CB4300">
      <w:rPr>
        <w:lang w:val="es-ES"/>
      </w:rPr>
      <w:t xml:space="preserve">  (</w:t>
    </w:r>
    <w:r w:rsidR="00101087">
      <w:rPr>
        <w:lang w:val="es-ES"/>
      </w:rPr>
      <w:t>382949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76124">
      <w:rPr>
        <w:noProof/>
      </w:rPr>
      <w:t>31.07.15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76124">
      <w:rPr>
        <w:noProof/>
      </w:rPr>
      <w:t>29.07.11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CB4300" w:rsidRDefault="002543C8" w:rsidP="00101087">
    <w:pPr>
      <w:pStyle w:val="Footer"/>
      <w:tabs>
        <w:tab w:val="clear" w:pos="794"/>
        <w:tab w:val="clear" w:pos="5812"/>
        <w:tab w:val="center" w:pos="5103"/>
      </w:tabs>
      <w:rPr>
        <w:lang w:val="es-ES"/>
      </w:rPr>
    </w:pPr>
    <w:r>
      <w:fldChar w:fldCharType="begin"/>
    </w:r>
    <w:r w:rsidRPr="00CB4300">
      <w:rPr>
        <w:lang w:val="es-ES"/>
      </w:rPr>
      <w:instrText xml:space="preserve"> FILENAME \p \* MERGEFORMAT </w:instrText>
    </w:r>
    <w:r>
      <w:fldChar w:fldCharType="separate"/>
    </w:r>
    <w:r w:rsidR="00376124">
      <w:rPr>
        <w:noProof/>
        <w:lang w:val="es-ES"/>
      </w:rPr>
      <w:t>P:\ARA\ITU-R\CONF-R\AR15\PLEN\000\002A.docx</w:t>
    </w:r>
    <w:r>
      <w:fldChar w:fldCharType="end"/>
    </w:r>
    <w:r w:rsidRPr="00CB4300">
      <w:rPr>
        <w:lang w:val="es-ES"/>
      </w:rPr>
      <w:t xml:space="preserve">   (</w:t>
    </w:r>
    <w:r w:rsidR="00101087">
      <w:rPr>
        <w:lang w:val="es-ES"/>
      </w:rPr>
      <w:t>382949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76124">
      <w:rPr>
        <w:noProof/>
      </w:rPr>
      <w:t>31.07.15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76124">
      <w:rPr>
        <w:noProof/>
      </w:rPr>
      <w:t>29.07.11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4A" w:rsidRDefault="0080554A" w:rsidP="002919E1">
      <w:r>
        <w:t>___________________</w:t>
      </w:r>
    </w:p>
  </w:footnote>
  <w:footnote w:type="continuationSeparator" w:id="0">
    <w:p w:rsidR="0080554A" w:rsidRDefault="0080554A" w:rsidP="002919E1">
      <w:r>
        <w:continuationSeparator/>
      </w:r>
    </w:p>
    <w:p w:rsidR="0080554A" w:rsidRDefault="0080554A" w:rsidP="002919E1"/>
    <w:p w:rsidR="0080554A" w:rsidRDefault="0080554A" w:rsidP="002919E1"/>
    <w:p w:rsidR="0080554A" w:rsidRDefault="008055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2543C8" w:rsidP="0010108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34DFF">
      <w:rPr>
        <w:rStyle w:val="PageNumber"/>
        <w:noProof/>
      </w:rPr>
      <w:t>3</w:t>
    </w:r>
    <w:r w:rsidRPr="0088384B">
      <w:rPr>
        <w:rStyle w:val="PageNumber"/>
      </w:rPr>
      <w:fldChar w:fldCharType="end"/>
    </w:r>
    <w:r>
      <w:rPr>
        <w:rStyle w:val="PageNumber"/>
        <w:rtl/>
      </w:rPr>
      <w:br/>
    </w:r>
    <w:r w:rsidR="00942A37">
      <w:rPr>
        <w:rStyle w:val="PageNumber"/>
      </w:rPr>
      <w:t>RA15/PLEN</w:t>
    </w:r>
    <w:r w:rsidRPr="0088384B">
      <w:rPr>
        <w:rStyle w:val="PageNumber"/>
      </w:rPr>
      <w:t>/</w:t>
    </w:r>
    <w:r w:rsidR="00101087">
      <w:rPr>
        <w:rStyle w:val="PageNumber"/>
      </w:rPr>
      <w:t>2</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2C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68B7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C03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44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06A9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4A"/>
    <w:rsid w:val="00011021"/>
    <w:rsid w:val="000114EC"/>
    <w:rsid w:val="00011F8C"/>
    <w:rsid w:val="0002477A"/>
    <w:rsid w:val="00040C94"/>
    <w:rsid w:val="000425FC"/>
    <w:rsid w:val="00044D43"/>
    <w:rsid w:val="00051907"/>
    <w:rsid w:val="00075A3F"/>
    <w:rsid w:val="000873E8"/>
    <w:rsid w:val="000A1B16"/>
    <w:rsid w:val="000E2AFC"/>
    <w:rsid w:val="000E6D30"/>
    <w:rsid w:val="000F05F5"/>
    <w:rsid w:val="000F2A69"/>
    <w:rsid w:val="000F518F"/>
    <w:rsid w:val="0010081C"/>
    <w:rsid w:val="00101087"/>
    <w:rsid w:val="001013E3"/>
    <w:rsid w:val="001464F2"/>
    <w:rsid w:val="00155F26"/>
    <w:rsid w:val="0015617F"/>
    <w:rsid w:val="00167364"/>
    <w:rsid w:val="001903B2"/>
    <w:rsid w:val="001A69AC"/>
    <w:rsid w:val="001A7D76"/>
    <w:rsid w:val="001E190C"/>
    <w:rsid w:val="001E54F6"/>
    <w:rsid w:val="001E5A8C"/>
    <w:rsid w:val="00201A0A"/>
    <w:rsid w:val="002075D4"/>
    <w:rsid w:val="00211B2A"/>
    <w:rsid w:val="002333A0"/>
    <w:rsid w:val="002543C8"/>
    <w:rsid w:val="002543CF"/>
    <w:rsid w:val="0026062E"/>
    <w:rsid w:val="00261EF7"/>
    <w:rsid w:val="0027069F"/>
    <w:rsid w:val="00281F5F"/>
    <w:rsid w:val="002843E4"/>
    <w:rsid w:val="002919E1"/>
    <w:rsid w:val="00295917"/>
    <w:rsid w:val="00296071"/>
    <w:rsid w:val="002A4572"/>
    <w:rsid w:val="002A56F4"/>
    <w:rsid w:val="002A7E2E"/>
    <w:rsid w:val="002B16D8"/>
    <w:rsid w:val="002D5F64"/>
    <w:rsid w:val="002D6FBF"/>
    <w:rsid w:val="002E48BF"/>
    <w:rsid w:val="002E61C2"/>
    <w:rsid w:val="00312788"/>
    <w:rsid w:val="003562D0"/>
    <w:rsid w:val="003569E1"/>
    <w:rsid w:val="00376124"/>
    <w:rsid w:val="003815E2"/>
    <w:rsid w:val="00381FAD"/>
    <w:rsid w:val="00387FBB"/>
    <w:rsid w:val="003923B1"/>
    <w:rsid w:val="003965FE"/>
    <w:rsid w:val="003B27AD"/>
    <w:rsid w:val="003B4F23"/>
    <w:rsid w:val="003B7B91"/>
    <w:rsid w:val="003C12F6"/>
    <w:rsid w:val="003C3A13"/>
    <w:rsid w:val="003E02EF"/>
    <w:rsid w:val="003E1D90"/>
    <w:rsid w:val="00400CD4"/>
    <w:rsid w:val="004147B9"/>
    <w:rsid w:val="00422C04"/>
    <w:rsid w:val="00426144"/>
    <w:rsid w:val="004704EC"/>
    <w:rsid w:val="00470CBD"/>
    <w:rsid w:val="00483758"/>
    <w:rsid w:val="004909DD"/>
    <w:rsid w:val="004A05E6"/>
    <w:rsid w:val="004A6C66"/>
    <w:rsid w:val="004C11BC"/>
    <w:rsid w:val="004D4AE6"/>
    <w:rsid w:val="00505FCA"/>
    <w:rsid w:val="005169F4"/>
    <w:rsid w:val="005210D1"/>
    <w:rsid w:val="00523146"/>
    <w:rsid w:val="00523275"/>
    <w:rsid w:val="005350B0"/>
    <w:rsid w:val="00546A99"/>
    <w:rsid w:val="00553411"/>
    <w:rsid w:val="0056395D"/>
    <w:rsid w:val="0056512C"/>
    <w:rsid w:val="00576D0A"/>
    <w:rsid w:val="00584333"/>
    <w:rsid w:val="005953EC"/>
    <w:rsid w:val="005B00A1"/>
    <w:rsid w:val="005C29C8"/>
    <w:rsid w:val="005C5D25"/>
    <w:rsid w:val="005D72A4"/>
    <w:rsid w:val="005F65DE"/>
    <w:rsid w:val="0065562F"/>
    <w:rsid w:val="00680A66"/>
    <w:rsid w:val="00681391"/>
    <w:rsid w:val="006A12AC"/>
    <w:rsid w:val="006A2162"/>
    <w:rsid w:val="006B4B90"/>
    <w:rsid w:val="006D2674"/>
    <w:rsid w:val="006E38D0"/>
    <w:rsid w:val="006E465B"/>
    <w:rsid w:val="006F70BF"/>
    <w:rsid w:val="00700029"/>
    <w:rsid w:val="007146B2"/>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F08CA"/>
    <w:rsid w:val="007F7FC3"/>
    <w:rsid w:val="0080554A"/>
    <w:rsid w:val="00810482"/>
    <w:rsid w:val="0081310E"/>
    <w:rsid w:val="00817568"/>
    <w:rsid w:val="008261C2"/>
    <w:rsid w:val="0085569D"/>
    <w:rsid w:val="00855B59"/>
    <w:rsid w:val="0088384B"/>
    <w:rsid w:val="00886C54"/>
    <w:rsid w:val="00893E53"/>
    <w:rsid w:val="008A1137"/>
    <w:rsid w:val="008A1788"/>
    <w:rsid w:val="008A4185"/>
    <w:rsid w:val="008A6552"/>
    <w:rsid w:val="008B4E93"/>
    <w:rsid w:val="008D7AF0"/>
    <w:rsid w:val="008F4626"/>
    <w:rsid w:val="009004DF"/>
    <w:rsid w:val="00904AA5"/>
    <w:rsid w:val="00942A37"/>
    <w:rsid w:val="00951718"/>
    <w:rsid w:val="00960962"/>
    <w:rsid w:val="00972CE0"/>
    <w:rsid w:val="009A3D30"/>
    <w:rsid w:val="009D6348"/>
    <w:rsid w:val="009E613F"/>
    <w:rsid w:val="009F042B"/>
    <w:rsid w:val="009F7110"/>
    <w:rsid w:val="00A03FD6"/>
    <w:rsid w:val="00A116A8"/>
    <w:rsid w:val="00A22AE9"/>
    <w:rsid w:val="00A24695"/>
    <w:rsid w:val="00A26D0E"/>
    <w:rsid w:val="00A278E9"/>
    <w:rsid w:val="00A3451F"/>
    <w:rsid w:val="00A36268"/>
    <w:rsid w:val="00A40B2C"/>
    <w:rsid w:val="00A66D2B"/>
    <w:rsid w:val="00A9645C"/>
    <w:rsid w:val="00A97326"/>
    <w:rsid w:val="00AC1275"/>
    <w:rsid w:val="00AD690F"/>
    <w:rsid w:val="00AD69DD"/>
    <w:rsid w:val="00AF41D1"/>
    <w:rsid w:val="00B01623"/>
    <w:rsid w:val="00B033DF"/>
    <w:rsid w:val="00B07CEE"/>
    <w:rsid w:val="00B12661"/>
    <w:rsid w:val="00B357E9"/>
    <w:rsid w:val="00B4164D"/>
    <w:rsid w:val="00B606BA"/>
    <w:rsid w:val="00B66817"/>
    <w:rsid w:val="00B71E3B"/>
    <w:rsid w:val="00B721D5"/>
    <w:rsid w:val="00B81CB5"/>
    <w:rsid w:val="00B8351F"/>
    <w:rsid w:val="00B86C44"/>
    <w:rsid w:val="00BA7D44"/>
    <w:rsid w:val="00BD6EF3"/>
    <w:rsid w:val="00BE69C3"/>
    <w:rsid w:val="00C1165E"/>
    <w:rsid w:val="00C3693C"/>
    <w:rsid w:val="00C53F6F"/>
    <w:rsid w:val="00C71759"/>
    <w:rsid w:val="00C8199C"/>
    <w:rsid w:val="00C84112"/>
    <w:rsid w:val="00C841EB"/>
    <w:rsid w:val="00C8665F"/>
    <w:rsid w:val="00C917B5"/>
    <w:rsid w:val="00C94DFA"/>
    <w:rsid w:val="00CA298C"/>
    <w:rsid w:val="00CB2BF9"/>
    <w:rsid w:val="00CB4300"/>
    <w:rsid w:val="00CC030E"/>
    <w:rsid w:val="00CC68C4"/>
    <w:rsid w:val="00CC79A4"/>
    <w:rsid w:val="00CD0FDE"/>
    <w:rsid w:val="00CE0E68"/>
    <w:rsid w:val="00CE5BA4"/>
    <w:rsid w:val="00D25120"/>
    <w:rsid w:val="00D419CB"/>
    <w:rsid w:val="00D44E3F"/>
    <w:rsid w:val="00D525F5"/>
    <w:rsid w:val="00D535D0"/>
    <w:rsid w:val="00D70559"/>
    <w:rsid w:val="00D81703"/>
    <w:rsid w:val="00D82929"/>
    <w:rsid w:val="00DA1AE0"/>
    <w:rsid w:val="00DC29DD"/>
    <w:rsid w:val="00DC7C0E"/>
    <w:rsid w:val="00DF2A6A"/>
    <w:rsid w:val="00DF3B72"/>
    <w:rsid w:val="00E2489D"/>
    <w:rsid w:val="00E26520"/>
    <w:rsid w:val="00E343A3"/>
    <w:rsid w:val="00E51BFA"/>
    <w:rsid w:val="00E621A3"/>
    <w:rsid w:val="00E833BC"/>
    <w:rsid w:val="00E8580E"/>
    <w:rsid w:val="00EA1B76"/>
    <w:rsid w:val="00EA77D7"/>
    <w:rsid w:val="00EC09B9"/>
    <w:rsid w:val="00ED048C"/>
    <w:rsid w:val="00EF38AF"/>
    <w:rsid w:val="00F055F8"/>
    <w:rsid w:val="00F10CB4"/>
    <w:rsid w:val="00F11B3D"/>
    <w:rsid w:val="00F14763"/>
    <w:rsid w:val="00F16212"/>
    <w:rsid w:val="00F25B80"/>
    <w:rsid w:val="00F2685F"/>
    <w:rsid w:val="00F34DFF"/>
    <w:rsid w:val="00F350C8"/>
    <w:rsid w:val="00F8654D"/>
    <w:rsid w:val="00F900C9"/>
    <w:rsid w:val="00F92C96"/>
    <w:rsid w:val="00FA0D4E"/>
    <w:rsid w:val="00FB075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0F191D-E798-4EF6-A2DD-DACA0901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29"/>
    <w:pPr>
      <w:tabs>
        <w:tab w:val="left" w:pos="79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700029"/>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155F26"/>
    <w:pPr>
      <w:spacing w:before="80"/>
      <w:ind w:left="794" w:hanging="794"/>
    </w:pPr>
  </w:style>
  <w:style w:type="character" w:customStyle="1" w:styleId="enumlev1Char">
    <w:name w:val="enumlev1 Char"/>
    <w:basedOn w:val="DefaultParagraphFont"/>
    <w:link w:val="enumlev1"/>
    <w:uiPriority w:val="99"/>
    <w:rsid w:val="00155F26"/>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886C54"/>
  </w:style>
  <w:style w:type="character" w:customStyle="1" w:styleId="ReasonsChar">
    <w:name w:val="Reasons Char"/>
    <w:basedOn w:val="DefaultParagraphFont"/>
    <w:link w:val="Reasons"/>
    <w:rsid w:val="00886C54"/>
    <w:rPr>
      <w:rFonts w:ascii="Times New Roman" w:hAnsi="Times New Roman" w:cs="Traditional Arabic"/>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qFormat/>
    <w:rsid w:val="002543C8"/>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2543C8"/>
    <w:rPr>
      <w:rFonts w:ascii="Times New Roman" w:hAnsi="Times New Roman" w:cs="Traditional Arabic"/>
      <w:szCs w:val="26"/>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qFormat/>
    <w:rsid w:val="002543C8"/>
    <w:pPr>
      <w:spacing w:before="120"/>
    </w:pPr>
    <w:rPr>
      <w:rFonts w:ascii="Calibri" w:hAnsi="Calibri"/>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rFonts w:ascii="Calibri" w:hAnsi="Calibri"/>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700029"/>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character" w:styleId="Hyperlink">
    <w:name w:val="Hyperlink"/>
    <w:basedOn w:val="DefaultParagraphFont"/>
    <w:unhideWhenUsed/>
    <w:rsid w:val="00101087"/>
    <w:rPr>
      <w:color w:val="0000FF" w:themeColor="hyperlink"/>
      <w:u w:val="single"/>
    </w:rPr>
  </w:style>
  <w:style w:type="paragraph" w:customStyle="1" w:styleId="TableNotitle">
    <w:name w:val="Table_No &amp; title"/>
    <w:basedOn w:val="Normal"/>
    <w:next w:val="Tablehead"/>
    <w:rsid w:val="00101087"/>
    <w:pPr>
      <w:keepNext/>
      <w:keepLines/>
      <w:tabs>
        <w:tab w:val="left" w:pos="1191"/>
        <w:tab w:val="left" w:pos="1588"/>
        <w:tab w:val="left" w:pos="1985"/>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101087"/>
    <w:pPr>
      <w:keepNext/>
      <w:tabs>
        <w:tab w:val="left" w:pos="1191"/>
        <w:tab w:val="left" w:pos="1588"/>
        <w:tab w:val="left" w:pos="1985"/>
      </w:tabs>
      <w:overflowPunct w:val="0"/>
      <w:autoSpaceDE w:val="0"/>
      <w:autoSpaceDN w:val="0"/>
      <w:adjustRightInd w:val="0"/>
      <w:spacing w:before="560" w:after="120"/>
      <w:jc w:val="center"/>
      <w:textAlignment w:val="baseline"/>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C-C-004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CPM15.02-C-00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00-CA-CIR-0201/en" TargetMode="External"/><Relationship Id="rId4" Type="http://schemas.openxmlformats.org/officeDocument/2006/relationships/settings" Target="settings.xml"/><Relationship Id="rId9" Type="http://schemas.openxmlformats.org/officeDocument/2006/relationships/hyperlink" Target="http://www.itu.int/md/R00-CA-CIR-0201/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6047D-3BA9-4CD6-A5E2-96555D7D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855</Words>
  <Characters>4347</Characters>
  <Application>Microsoft Office Word</Application>
  <DocSecurity>0</DocSecurity>
  <Lines>289</Lines>
  <Paragraphs>162</Paragraphs>
  <ScaleCrop>false</ScaleCrop>
  <HeadingPairs>
    <vt:vector size="2" baseType="variant">
      <vt:variant>
        <vt:lpstr>Title</vt:lpstr>
      </vt:variant>
      <vt:variant>
        <vt:i4>1</vt:i4>
      </vt:variant>
    </vt:vector>
  </HeadingPairs>
  <TitlesOfParts>
    <vt:vector size="1" baseType="lpstr">
      <vt:lpstr>RA15</vt:lpstr>
    </vt:vector>
  </TitlesOfParts>
  <Manager>General Secretariat - Pool</Manager>
  <Company>International Telecommunication Union (ITU)</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RA15</dc:title>
  <dc:creator>Awad, Samy</dc:creator>
  <cp:keywords>RA-15</cp:keywords>
  <cp:lastModifiedBy>Awad, Samy</cp:lastModifiedBy>
  <cp:revision>11</cp:revision>
  <cp:lastPrinted>2011-07-29T12:30:00Z</cp:lastPrinted>
  <dcterms:created xsi:type="dcterms:W3CDTF">2015-07-31T16:46:00Z</dcterms:created>
  <dcterms:modified xsi:type="dcterms:W3CDTF">2015-07-31T16:57:00Z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