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EG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C517F3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>
              <w:rPr>
                <w:rFonts w:asciiTheme="minorHAnsi" w:hAnsiTheme="minorHAnsi" w:hint="cs"/>
                <w:rtl/>
                <w:lang w:bidi="ar-SY"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C517F3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7E24ED">
              <w:rPr>
                <w:lang w:bidi="ar-SY"/>
              </w:rPr>
              <w:t>RA15/</w:t>
            </w:r>
            <w:r w:rsidR="00C517F3">
              <w:rPr>
                <w:lang w:bidi="ar-SY"/>
              </w:rPr>
              <w:t>PLEN</w:t>
            </w:r>
            <w:r w:rsidR="007E24ED">
              <w:rPr>
                <w:lang w:bidi="ar-SY"/>
              </w:rPr>
              <w:t>/</w:t>
            </w:r>
            <w:r w:rsidR="00C517F3">
              <w:rPr>
                <w:lang w:bidi="ar-SY"/>
              </w:rPr>
              <w:t>11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C517F3" w:rsidP="00C517F3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29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C517F3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517F3" w:rsidP="009378F0">
            <w:pPr>
              <w:pStyle w:val="Source"/>
              <w:spacing w:after="0"/>
              <w:rPr>
                <w:rtl/>
                <w:lang w:bidi="ar-SY"/>
              </w:rPr>
            </w:pPr>
            <w:r w:rsidRPr="00C517F3">
              <w:rPr>
                <w:rFonts w:hint="cs"/>
                <w:rtl/>
                <w:lang w:bidi="ar-SY"/>
              </w:rPr>
              <w:t>لجنة</w:t>
            </w:r>
            <w:r w:rsidR="000963B6">
              <w:rPr>
                <w:rFonts w:hint="cs"/>
                <w:rtl/>
                <w:lang w:bidi="ar-SY"/>
              </w:rPr>
              <w:t xml:space="preserve"> البلدان</w:t>
            </w:r>
            <w:r w:rsidRPr="00C517F3">
              <w:rPr>
                <w:rFonts w:hint="cs"/>
                <w:rtl/>
                <w:lang w:bidi="ar-SY"/>
              </w:rPr>
              <w:t xml:space="preserve"> الأمريكي</w:t>
            </w:r>
            <w:bookmarkStart w:id="1" w:name="_GoBack"/>
            <w:bookmarkEnd w:id="1"/>
            <w:r w:rsidRPr="00C517F3">
              <w:rPr>
                <w:rFonts w:hint="cs"/>
                <w:rtl/>
                <w:lang w:bidi="ar-SY"/>
              </w:rPr>
              <w:t>ة للاتصالات</w:t>
            </w:r>
            <w:r w:rsidRPr="00A06D95">
              <w:rPr>
                <w:rFonts w:asciiTheme="majorBidi" w:hAnsiTheme="majorBidi" w:cstheme="majorBidi"/>
                <w:sz w:val="36"/>
                <w:szCs w:val="36"/>
                <w:vertAlign w:val="superscript"/>
                <w:rtl/>
                <w:lang w:bidi="ar-SY"/>
              </w:rPr>
              <w:footnoteReference w:id="1"/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C517F3" w:rsidP="00A06D95">
            <w:pPr>
              <w:pStyle w:val="Title1"/>
              <w:rPr>
                <w:rtl/>
                <w:lang w:bidi="ar-SY"/>
              </w:rPr>
            </w:pPr>
            <w:r w:rsidRPr="00C517F3">
              <w:rPr>
                <w:rFonts w:hint="cs"/>
                <w:rtl/>
                <w:lang w:bidi="ar-SY"/>
              </w:rPr>
              <w:t>ال</w:t>
            </w:r>
            <w:r w:rsidR="009378F0">
              <w:rPr>
                <w:rFonts w:hint="cs"/>
                <w:rtl/>
                <w:lang w:bidi="ar-SY"/>
              </w:rPr>
              <w:t>‍</w:t>
            </w:r>
            <w:r w:rsidRPr="00C517F3">
              <w:rPr>
                <w:rFonts w:hint="cs"/>
                <w:rtl/>
                <w:lang w:bidi="ar-SY"/>
              </w:rPr>
              <w:t xml:space="preserve">موافقة على مشروع مراجعة التوصية </w:t>
            </w:r>
            <w:r w:rsidRPr="00C517F3">
              <w:rPr>
                <w:lang w:bidi="ar-SY"/>
              </w:rPr>
              <w:t>ITU-R M.1036-4</w:t>
            </w:r>
            <w:r w:rsidR="00A06D95">
              <w:rPr>
                <w:rtl/>
                <w:lang w:bidi="ar-SY"/>
              </w:rPr>
              <w:br/>
            </w:r>
            <w:r w:rsidRPr="00C517F3">
              <w:rPr>
                <w:rFonts w:hint="cs"/>
                <w:rtl/>
                <w:lang w:bidi="ar-SY"/>
              </w:rPr>
              <w:t>"ت</w:t>
            </w:r>
            <w:r w:rsidRPr="00C517F3">
              <w:rPr>
                <w:rtl/>
                <w:lang w:bidi="ar-SY"/>
              </w:rPr>
              <w:t xml:space="preserve">رتيبات الترددات لأغراض تنفيذ </w:t>
            </w:r>
            <w:proofErr w:type="spellStart"/>
            <w:r w:rsidRPr="00C517F3">
              <w:rPr>
                <w:rtl/>
                <w:lang w:bidi="ar-SY"/>
              </w:rPr>
              <w:t>ال</w:t>
            </w:r>
            <w:r w:rsidR="009378F0">
              <w:rPr>
                <w:rFonts w:hint="cs"/>
                <w:rtl/>
                <w:lang w:bidi="ar-SY"/>
              </w:rPr>
              <w:t>‍</w:t>
            </w:r>
            <w:r w:rsidRPr="00C517F3">
              <w:rPr>
                <w:rtl/>
                <w:lang w:bidi="ar-SY"/>
              </w:rPr>
              <w:t>مكون</w:t>
            </w:r>
            <w:proofErr w:type="spellEnd"/>
            <w:r w:rsidRPr="00C517F3">
              <w:rPr>
                <w:rtl/>
                <w:lang w:bidi="ar-SY"/>
              </w:rPr>
              <w:t xml:space="preserve"> الأرضي</w:t>
            </w:r>
            <w:r w:rsidR="00A06D95">
              <w:rPr>
                <w:rtl/>
                <w:lang w:bidi="ar-SY"/>
              </w:rPr>
              <w:br/>
            </w:r>
            <w:r w:rsidRPr="00C517F3">
              <w:rPr>
                <w:rtl/>
                <w:lang w:bidi="ar-SY"/>
              </w:rPr>
              <w:t>للاتصالات ال</w:t>
            </w:r>
            <w:r w:rsidR="009378F0">
              <w:rPr>
                <w:rFonts w:hint="cs"/>
                <w:rtl/>
                <w:lang w:bidi="ar-SY"/>
              </w:rPr>
              <w:t>‍</w:t>
            </w:r>
            <w:r w:rsidRPr="00C517F3">
              <w:rPr>
                <w:rtl/>
                <w:lang w:bidi="ar-SY"/>
              </w:rPr>
              <w:t>متنقلة الدولية</w:t>
            </w:r>
            <w:r w:rsidR="003C4D8E">
              <w:rPr>
                <w:rFonts w:hint="cs"/>
                <w:rtl/>
                <w:lang w:bidi="ar-SY"/>
              </w:rPr>
              <w:t xml:space="preserve"> </w:t>
            </w:r>
            <w:r w:rsidR="003C4D8E">
              <w:rPr>
                <w:lang w:bidi="ar-SY"/>
              </w:rPr>
              <w:t>(IMT)</w:t>
            </w:r>
            <w:r w:rsidRPr="00C517F3">
              <w:rPr>
                <w:rtl/>
                <w:lang w:bidi="ar-SY"/>
              </w:rPr>
              <w:t xml:space="preserve"> في النطاقات ال</w:t>
            </w:r>
            <w:r w:rsidR="009378F0">
              <w:rPr>
                <w:rFonts w:hint="cs"/>
                <w:rtl/>
                <w:lang w:bidi="ar-SY"/>
              </w:rPr>
              <w:t>‍</w:t>
            </w:r>
            <w:r w:rsidRPr="00C517F3">
              <w:rPr>
                <w:rtl/>
                <w:lang w:bidi="ar-SY"/>
              </w:rPr>
              <w:t>محددة لهذه الاتصالات</w:t>
            </w:r>
            <w:r w:rsidR="00A06D95">
              <w:rPr>
                <w:rtl/>
                <w:lang w:bidi="ar-SY"/>
              </w:rPr>
              <w:br/>
            </w:r>
            <w:r w:rsidRPr="00C517F3">
              <w:rPr>
                <w:rtl/>
                <w:lang w:bidi="ar-SY"/>
              </w:rPr>
              <w:t>في لوائح الراديو</w:t>
            </w:r>
            <w:r w:rsidR="003C4D8E">
              <w:rPr>
                <w:rFonts w:hint="cs"/>
                <w:rtl/>
                <w:lang w:bidi="ar-SY"/>
              </w:rPr>
              <w:t xml:space="preserve"> </w:t>
            </w:r>
            <w:r w:rsidR="003C4D8E">
              <w:rPr>
                <w:lang w:bidi="ar-SY"/>
              </w:rPr>
              <w:t>(RR)</w:t>
            </w:r>
            <w:r w:rsidRPr="00C517F3">
              <w:rPr>
                <w:rFonts w:hint="cs"/>
                <w:rtl/>
                <w:lang w:bidi="ar-SY"/>
              </w:rPr>
              <w:t>"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52D2C" w:rsidRDefault="001952E0" w:rsidP="00583FE7">
            <w:pPr>
              <w:pStyle w:val="Title2"/>
            </w:pPr>
          </w:p>
        </w:tc>
      </w:tr>
    </w:tbl>
    <w:p w:rsidR="00C517F3" w:rsidRPr="00C517F3" w:rsidRDefault="00C517F3" w:rsidP="00BC1980">
      <w:pPr>
        <w:pStyle w:val="Heading1"/>
        <w:rPr>
          <w:rtl/>
          <w:lang w:bidi="ar-EG"/>
        </w:rPr>
      </w:pPr>
      <w:r w:rsidRPr="00C517F3">
        <w:rPr>
          <w:lang w:bidi="ar-EG"/>
        </w:rPr>
        <w:t>1</w:t>
      </w:r>
      <w:r w:rsidRPr="00C517F3">
        <w:rPr>
          <w:rtl/>
          <w:lang w:bidi="ar-EG"/>
        </w:rPr>
        <w:tab/>
        <w:t>مقدمة</w:t>
      </w:r>
    </w:p>
    <w:p w:rsidR="00C517F3" w:rsidRPr="00C517F3" w:rsidRDefault="00C517F3" w:rsidP="00A06D95">
      <w:pPr>
        <w:rPr>
          <w:rtl/>
          <w:lang w:bidi="ar-EG"/>
        </w:rPr>
      </w:pPr>
      <w:r w:rsidRPr="00C517F3">
        <w:rPr>
          <w:rFonts w:hint="cs"/>
          <w:rtl/>
          <w:lang w:bidi="ar-EG"/>
        </w:rPr>
        <w:t xml:space="preserve">لم تتمكن لجنة الدراسات </w:t>
      </w:r>
      <w:r w:rsidR="00BC1980">
        <w:rPr>
          <w:lang w:bidi="ar-EG"/>
        </w:rPr>
        <w:t>5</w:t>
      </w:r>
      <w:r w:rsidRPr="00C517F3">
        <w:rPr>
          <w:rFonts w:hint="cs"/>
          <w:rtl/>
          <w:lang w:bidi="ar-EG"/>
        </w:rPr>
        <w:t xml:space="preserve"> التابعة لقطاع الاتصالات الراديوية من التوصل إلى توافق في الآراء بشأن اعتماد مشروع مراجعة التوصية</w:t>
      </w:r>
      <w:r w:rsidR="00A06D95">
        <w:rPr>
          <w:rFonts w:hint="eastAsia"/>
          <w:rtl/>
          <w:lang w:bidi="ar-EG"/>
        </w:rPr>
        <w:t> </w:t>
      </w:r>
      <w:r w:rsidRPr="00C517F3">
        <w:rPr>
          <w:lang w:bidi="ar-EG"/>
        </w:rPr>
        <w:t>ITU-R M.1036-4</w:t>
      </w:r>
      <w:r w:rsidRPr="00C517F3">
        <w:rPr>
          <w:rFonts w:hint="cs"/>
          <w:rtl/>
          <w:lang w:bidi="ar-EG"/>
        </w:rPr>
        <w:t xml:space="preserve"> فقدمته إلى الجمعية لكي تنظر فيه، (</w:t>
      </w:r>
      <w:hyperlink r:id="rId9" w:history="1">
        <w:r w:rsidRPr="00A06D95">
          <w:rPr>
            <w:rStyle w:val="Hyperlink"/>
            <w:rFonts w:hint="cs"/>
            <w:rtl/>
            <w:lang w:bidi="ar-EG"/>
          </w:rPr>
          <w:t xml:space="preserve">الوثيقة </w:t>
        </w:r>
        <w:r w:rsidR="00BC1980" w:rsidRPr="00A06D95">
          <w:rPr>
            <w:rStyle w:val="Hyperlink"/>
            <w:lang w:bidi="ar-EG"/>
          </w:rPr>
          <w:t>5/1008</w:t>
        </w:r>
      </w:hyperlink>
      <w:r w:rsidRPr="00C517F3">
        <w:rPr>
          <w:rFonts w:hint="cs"/>
          <w:rtl/>
          <w:lang w:bidi="ar-EG"/>
        </w:rPr>
        <w:t xml:space="preserve">)، رغم الحاجة الملحة التي أعربت عنها الدول الأعضاء في </w:t>
      </w:r>
      <w:r w:rsidR="000963B6">
        <w:rPr>
          <w:rFonts w:hint="cs"/>
          <w:rtl/>
          <w:lang w:bidi="ar-EG"/>
        </w:rPr>
        <w:t>لجنة البلدان</w:t>
      </w:r>
      <w:r w:rsidRPr="00C517F3">
        <w:rPr>
          <w:rFonts w:hint="cs"/>
          <w:rtl/>
          <w:lang w:bidi="ar-EG"/>
        </w:rPr>
        <w:t xml:space="preserve"> الأمريكية للاتصالات (انظر </w:t>
      </w:r>
      <w:hyperlink r:id="rId10" w:history="1">
        <w:r w:rsidRPr="00A06D95">
          <w:rPr>
            <w:rStyle w:val="Hyperlink"/>
            <w:rFonts w:hint="cs"/>
            <w:rtl/>
            <w:lang w:bidi="ar-EG"/>
          </w:rPr>
          <w:t xml:space="preserve">الوثيقة </w:t>
        </w:r>
        <w:r w:rsidRPr="00A06D95">
          <w:rPr>
            <w:rStyle w:val="Hyperlink"/>
            <w:lang w:bidi="ar-EG"/>
          </w:rPr>
          <w:t>5D/791</w:t>
        </w:r>
      </w:hyperlink>
      <w:r w:rsidRPr="00C517F3">
        <w:rPr>
          <w:rFonts w:hint="cs"/>
          <w:rtl/>
          <w:lang w:bidi="ar-EG"/>
        </w:rPr>
        <w:t xml:space="preserve"> و</w:t>
      </w:r>
      <w:hyperlink r:id="rId11" w:history="1">
        <w:r w:rsidRPr="00A06D95">
          <w:rPr>
            <w:rStyle w:val="Hyperlink"/>
            <w:rFonts w:hint="cs"/>
            <w:rtl/>
            <w:lang w:bidi="ar-EG"/>
          </w:rPr>
          <w:t xml:space="preserve">الوثيقة </w:t>
        </w:r>
        <w:r w:rsidRPr="00A06D95">
          <w:rPr>
            <w:rStyle w:val="Hyperlink"/>
            <w:lang w:bidi="ar-EG"/>
          </w:rPr>
          <w:t>5/241</w:t>
        </w:r>
      </w:hyperlink>
      <w:r w:rsidR="00DF6EE8">
        <w:rPr>
          <w:rFonts w:hint="cs"/>
          <w:rtl/>
          <w:lang w:bidi="ar-EG"/>
        </w:rPr>
        <w:t>).</w:t>
      </w:r>
    </w:p>
    <w:p w:rsidR="00C517F3" w:rsidRPr="00C517F3" w:rsidRDefault="00C517F3" w:rsidP="00BC1980">
      <w:pPr>
        <w:pStyle w:val="Heading1"/>
        <w:rPr>
          <w:rtl/>
          <w:lang w:bidi="ar-SY"/>
        </w:rPr>
      </w:pPr>
      <w:r w:rsidRPr="00C517F3">
        <w:rPr>
          <w:lang w:bidi="ar-EG"/>
        </w:rPr>
        <w:t>2</w:t>
      </w:r>
      <w:r w:rsidRPr="00C517F3">
        <w:rPr>
          <w:rtl/>
          <w:lang w:bidi="ar-SY"/>
        </w:rPr>
        <w:tab/>
      </w:r>
      <w:r w:rsidRPr="00C517F3">
        <w:rPr>
          <w:rFonts w:hint="cs"/>
          <w:rtl/>
        </w:rPr>
        <w:t>المناقشة</w:t>
      </w:r>
    </w:p>
    <w:p w:rsidR="00C517F3" w:rsidRPr="00C517F3" w:rsidRDefault="00C517F3" w:rsidP="00FC3909">
      <w:pPr>
        <w:rPr>
          <w:rtl/>
          <w:lang w:bidi="ar-EG"/>
        </w:rPr>
      </w:pPr>
      <w:r w:rsidRPr="00C517F3">
        <w:rPr>
          <w:rFonts w:hint="cs"/>
          <w:rtl/>
        </w:rPr>
        <w:t xml:space="preserve">تقدم التوصية </w:t>
      </w:r>
      <w:r w:rsidRPr="00C517F3">
        <w:rPr>
          <w:lang w:bidi="ar-EG"/>
        </w:rPr>
        <w:t>ITU-R M.1036</w:t>
      </w:r>
      <w:r w:rsidRPr="00C517F3">
        <w:rPr>
          <w:rFonts w:hint="cs"/>
          <w:rtl/>
          <w:lang w:bidi="ar-EG"/>
        </w:rPr>
        <w:t xml:space="preserve"> ترتيبات الترددات لأغراض </w:t>
      </w:r>
      <w:r w:rsidRPr="00C517F3">
        <w:rPr>
          <w:rtl/>
          <w:lang w:bidi="ar-EG"/>
        </w:rPr>
        <w:t>تنفيذ المكون الأرضي للاتصالات المتنقلة الدولية في</w:t>
      </w:r>
      <w:r w:rsidR="00FC3909">
        <w:rPr>
          <w:rFonts w:hint="cs"/>
          <w:rtl/>
          <w:lang w:bidi="ar-EG"/>
        </w:rPr>
        <w:t> </w:t>
      </w:r>
      <w:r w:rsidRPr="00C517F3">
        <w:rPr>
          <w:rtl/>
          <w:lang w:bidi="ar-EG"/>
        </w:rPr>
        <w:t>النطاقات المحددة لهذه الاتصالات في لوائح الراديو</w:t>
      </w:r>
      <w:r w:rsidR="003C4D8E">
        <w:rPr>
          <w:rFonts w:hint="cs"/>
          <w:rtl/>
          <w:lang w:bidi="ar-EG"/>
        </w:rPr>
        <w:t xml:space="preserve"> </w:t>
      </w:r>
      <w:r w:rsidR="003C4D8E">
        <w:rPr>
          <w:lang w:bidi="ar-EG"/>
        </w:rPr>
        <w:t>(RR)</w:t>
      </w:r>
      <w:r w:rsidRPr="00C517F3">
        <w:rPr>
          <w:rFonts w:hint="cs"/>
          <w:rtl/>
          <w:lang w:bidi="ar-EG"/>
        </w:rPr>
        <w:t xml:space="preserve">. ومن الضروري إتاحة </w:t>
      </w:r>
      <w:r w:rsidR="000963B6">
        <w:rPr>
          <w:rFonts w:hint="cs"/>
          <w:rtl/>
          <w:lang w:bidi="ar-EG"/>
        </w:rPr>
        <w:t>هذه ال</w:t>
      </w:r>
      <w:r w:rsidRPr="00C517F3">
        <w:rPr>
          <w:rFonts w:hint="cs"/>
          <w:rtl/>
          <w:lang w:bidi="ar-EG"/>
        </w:rPr>
        <w:t xml:space="preserve">ترتيبات في الوقت المناسب من أجل وضع </w:t>
      </w:r>
      <w:r w:rsidR="00650CC4">
        <w:rPr>
          <w:rFonts w:hint="cs"/>
          <w:rtl/>
          <w:lang w:bidi="ar-EG"/>
        </w:rPr>
        <w:t>مواصفات</w:t>
      </w:r>
      <w:r w:rsidRPr="00C517F3">
        <w:rPr>
          <w:rFonts w:hint="cs"/>
          <w:rtl/>
          <w:lang w:bidi="ar-EG"/>
        </w:rPr>
        <w:t xml:space="preserve"> الاتصالات المتنقلة الدولية ومعاييرها ولكي تنظر الإدارات </w:t>
      </w:r>
      <w:r w:rsidR="00650CC4">
        <w:rPr>
          <w:rFonts w:hint="cs"/>
          <w:rtl/>
          <w:lang w:bidi="ar-EG"/>
        </w:rPr>
        <w:t>والأفرقة</w:t>
      </w:r>
      <w:r w:rsidRPr="00C517F3">
        <w:rPr>
          <w:rFonts w:hint="cs"/>
          <w:rtl/>
          <w:lang w:bidi="ar-EG"/>
        </w:rPr>
        <w:t xml:space="preserve"> الإقليمية في وقت مبكر في ترتيبات الترددات الملائمة لكل بلد أو</w:t>
      </w:r>
      <w:r w:rsidR="00FC3909">
        <w:rPr>
          <w:rFonts w:hint="eastAsia"/>
          <w:rtl/>
          <w:lang w:bidi="ar-EG"/>
        </w:rPr>
        <w:t> </w:t>
      </w:r>
      <w:r w:rsidRPr="00C517F3">
        <w:rPr>
          <w:rFonts w:hint="cs"/>
          <w:rtl/>
          <w:lang w:bidi="ar-EG"/>
        </w:rPr>
        <w:t xml:space="preserve">إقليم. وبالفعل، تقدم التوصية </w:t>
      </w:r>
      <w:r w:rsidRPr="00C517F3">
        <w:rPr>
          <w:lang w:bidi="ar-EG"/>
        </w:rPr>
        <w:t>ITU-R M.1036</w:t>
      </w:r>
      <w:r w:rsidRPr="00C517F3">
        <w:rPr>
          <w:rFonts w:hint="cs"/>
          <w:rtl/>
          <w:lang w:bidi="ar-EG"/>
        </w:rPr>
        <w:t xml:space="preserve"> بدائل للنشر حسب الظروف المحلية/الإقليمية. ولا</w:t>
      </w:r>
      <w:r w:rsidR="00FC3909">
        <w:rPr>
          <w:rFonts w:hint="eastAsia"/>
          <w:rtl/>
          <w:lang w:bidi="ar-EG"/>
        </w:rPr>
        <w:t> </w:t>
      </w:r>
      <w:r w:rsidRPr="00C517F3">
        <w:rPr>
          <w:rFonts w:hint="cs"/>
          <w:rtl/>
          <w:lang w:bidi="ar-EG"/>
        </w:rPr>
        <w:t xml:space="preserve">تتوافق بعض ترتيبات الترددات </w:t>
      </w:r>
      <w:r w:rsidR="00650CC4">
        <w:rPr>
          <w:rFonts w:hint="cs"/>
          <w:rtl/>
          <w:lang w:bidi="ar-EG"/>
        </w:rPr>
        <w:t>فيما</w:t>
      </w:r>
      <w:r w:rsidR="00FC3909">
        <w:rPr>
          <w:rFonts w:hint="eastAsia"/>
          <w:rtl/>
          <w:lang w:bidi="ar-EG"/>
        </w:rPr>
        <w:t> </w:t>
      </w:r>
      <w:r w:rsidR="00650CC4">
        <w:rPr>
          <w:rFonts w:hint="cs"/>
          <w:rtl/>
          <w:lang w:bidi="ar-EG"/>
        </w:rPr>
        <w:t>بينها</w:t>
      </w:r>
      <w:r w:rsidRPr="00C517F3">
        <w:rPr>
          <w:rFonts w:hint="cs"/>
          <w:rtl/>
          <w:lang w:bidi="ar-EG"/>
        </w:rPr>
        <w:t xml:space="preserve">، ناهيك عن الخدمات الأخرى في النطاق، ولكنها تقدَّم من أجل مرونة استيعاب مختلف </w:t>
      </w:r>
      <w:r w:rsidR="00DF6EE8">
        <w:rPr>
          <w:rFonts w:hint="cs"/>
          <w:rtl/>
          <w:lang w:bidi="ar-EG"/>
        </w:rPr>
        <w:t>هذه الظروف المحلية/الإقليمية.</w:t>
      </w:r>
    </w:p>
    <w:p w:rsidR="00C517F3" w:rsidRPr="00C517F3" w:rsidRDefault="00C517F3" w:rsidP="009378F0">
      <w:pPr>
        <w:rPr>
          <w:bCs/>
          <w:rtl/>
        </w:rPr>
      </w:pPr>
      <w:r w:rsidRPr="00C517F3">
        <w:rPr>
          <w:rFonts w:hint="cs"/>
          <w:rtl/>
          <w:lang w:bidi="ar-EG"/>
        </w:rPr>
        <w:t xml:space="preserve">ووافقت الدول الأعضاء في </w:t>
      </w:r>
      <w:r w:rsidR="0074657D">
        <w:rPr>
          <w:rFonts w:hint="cs"/>
          <w:rtl/>
          <w:lang w:bidi="ar-EG"/>
        </w:rPr>
        <w:t>لجنة البلدان</w:t>
      </w:r>
      <w:r w:rsidRPr="00C517F3">
        <w:rPr>
          <w:rFonts w:hint="cs"/>
          <w:rtl/>
          <w:lang w:bidi="ar-EG"/>
        </w:rPr>
        <w:t xml:space="preserve"> الأمريكية للاتصالات في الإقليم </w:t>
      </w:r>
      <w:r w:rsidRPr="00C517F3">
        <w:rPr>
          <w:lang w:bidi="ar-EG"/>
        </w:rPr>
        <w:t>2</w:t>
      </w:r>
      <w:r w:rsidRPr="00C517F3">
        <w:rPr>
          <w:rFonts w:hint="cs"/>
          <w:rtl/>
          <w:lang w:bidi="ar-EG"/>
        </w:rPr>
        <w:t xml:space="preserve"> على </w:t>
      </w:r>
      <w:hyperlink r:id="rId12" w:history="1">
        <w:r w:rsidRPr="009B010C">
          <w:rPr>
            <w:rStyle w:val="Hyperlink"/>
            <w:rFonts w:hint="cs"/>
            <w:rtl/>
            <w:lang w:bidi="ar-EG"/>
          </w:rPr>
          <w:t xml:space="preserve">التوصية </w:t>
        </w:r>
        <w:r w:rsidRPr="009B010C">
          <w:rPr>
            <w:rStyle w:val="Hyperlink"/>
            <w:lang w:bidi="ar-EG"/>
          </w:rPr>
          <w:t>PCC.II/REC.</w:t>
        </w:r>
        <w:r w:rsidR="004A2D97">
          <w:rPr>
            <w:rStyle w:val="Hyperlink"/>
            <w:lang w:bidi="ar-EG"/>
          </w:rPr>
          <w:t> </w:t>
        </w:r>
        <w:r w:rsidRPr="009B010C">
          <w:rPr>
            <w:rStyle w:val="Hyperlink"/>
            <w:lang w:bidi="ar-EG"/>
          </w:rPr>
          <w:t>034 (XX</w:t>
        </w:r>
        <w:r w:rsidR="004A2D97">
          <w:rPr>
            <w:rStyle w:val="Hyperlink"/>
            <w:lang w:bidi="ar-EG"/>
          </w:rPr>
          <w:noBreakHyphen/>
        </w:r>
        <w:r w:rsidRPr="009B010C">
          <w:rPr>
            <w:rStyle w:val="Hyperlink"/>
            <w:lang w:bidi="ar-EG"/>
          </w:rPr>
          <w:t>2012)</w:t>
        </w:r>
      </w:hyperlink>
      <w:r w:rsidRPr="00C517F3">
        <w:rPr>
          <w:rFonts w:hint="cs"/>
          <w:rtl/>
          <w:lang w:bidi="ar-EG"/>
        </w:rPr>
        <w:t xml:space="preserve"> "ترتيبات الترددات المتوافقة للأنظمة المتنقلة </w:t>
      </w:r>
      <w:r w:rsidR="0074657D">
        <w:rPr>
          <w:rFonts w:hint="cs"/>
          <w:rtl/>
          <w:lang w:bidi="ar-EG"/>
        </w:rPr>
        <w:t>للأرض</w:t>
      </w:r>
      <w:r w:rsidRPr="00C517F3">
        <w:rPr>
          <w:rFonts w:hint="cs"/>
          <w:rtl/>
          <w:lang w:bidi="ar-EG"/>
        </w:rPr>
        <w:t xml:space="preserve"> العاملة في النطاقين </w:t>
      </w:r>
      <w:r w:rsidR="004A2D97">
        <w:rPr>
          <w:lang w:bidi="ar-EG"/>
        </w:rPr>
        <w:t>MHz 2 025</w:t>
      </w:r>
      <w:r w:rsidR="004A2D97">
        <w:rPr>
          <w:lang w:bidi="ar-EG"/>
        </w:rPr>
        <w:noBreakHyphen/>
      </w:r>
      <w:r w:rsidRPr="00C517F3">
        <w:rPr>
          <w:lang w:bidi="ar-EG"/>
        </w:rPr>
        <w:t>1</w:t>
      </w:r>
      <w:r w:rsidR="004A2D97">
        <w:rPr>
          <w:lang w:bidi="ar-EG"/>
        </w:rPr>
        <w:t> </w:t>
      </w:r>
      <w:r w:rsidRPr="00C517F3">
        <w:rPr>
          <w:lang w:bidi="ar-EG"/>
        </w:rPr>
        <w:t>710</w:t>
      </w:r>
      <w:r w:rsidRPr="00C517F3">
        <w:rPr>
          <w:rFonts w:hint="cs"/>
          <w:rtl/>
          <w:lang w:bidi="ar-EG"/>
        </w:rPr>
        <w:t xml:space="preserve"> و</w:t>
      </w:r>
      <w:r w:rsidRPr="00C517F3">
        <w:rPr>
          <w:lang w:bidi="ar-EG"/>
        </w:rPr>
        <w:t>MHz</w:t>
      </w:r>
      <w:r w:rsidR="004A2D97">
        <w:rPr>
          <w:lang w:bidi="ar-EG"/>
        </w:rPr>
        <w:t> 2 200</w:t>
      </w:r>
      <w:r w:rsidR="004A2D97">
        <w:rPr>
          <w:lang w:bidi="ar-EG"/>
        </w:rPr>
        <w:noBreakHyphen/>
        <w:t>2 110</w:t>
      </w:r>
      <w:r w:rsidRPr="00C517F3">
        <w:rPr>
          <w:rFonts w:hint="cs"/>
          <w:rtl/>
          <w:lang w:bidi="ar-EG"/>
        </w:rPr>
        <w:t xml:space="preserve">"، حيث أُدرجت بعض المجموعات الفرعية من التوصية </w:t>
      </w:r>
      <w:r w:rsidRPr="00C517F3">
        <w:rPr>
          <w:lang w:bidi="ar-EG"/>
        </w:rPr>
        <w:t>ITU-R</w:t>
      </w:r>
      <w:r w:rsidR="004A2D97">
        <w:rPr>
          <w:lang w:bidi="ar-EG"/>
        </w:rPr>
        <w:t> </w:t>
      </w:r>
      <w:r w:rsidRPr="00C517F3">
        <w:rPr>
          <w:lang w:bidi="ar-EG"/>
        </w:rPr>
        <w:t>M.1036</w:t>
      </w:r>
      <w:r w:rsidRPr="00C517F3">
        <w:rPr>
          <w:rFonts w:hint="cs"/>
          <w:rtl/>
        </w:rPr>
        <w:t xml:space="preserve">. وعلاوة على ذلك، </w:t>
      </w:r>
      <w:r w:rsidR="0074657D">
        <w:rPr>
          <w:rFonts w:hint="cs"/>
          <w:rtl/>
        </w:rPr>
        <w:t>تعبر</w:t>
      </w:r>
      <w:r w:rsidRPr="00C517F3">
        <w:rPr>
          <w:rFonts w:hint="cs"/>
          <w:rtl/>
        </w:rPr>
        <w:t xml:space="preserve"> توصية </w:t>
      </w:r>
      <w:r w:rsidR="0074657D">
        <w:rPr>
          <w:rFonts w:hint="cs"/>
          <w:rtl/>
        </w:rPr>
        <w:t>لجنة البلدان</w:t>
      </w:r>
      <w:r w:rsidRPr="00C517F3">
        <w:rPr>
          <w:rFonts w:hint="cs"/>
          <w:rtl/>
        </w:rPr>
        <w:t xml:space="preserve"> الأمريكية للاتصالات </w:t>
      </w:r>
      <w:hyperlink r:id="rId13" w:history="1">
        <w:r w:rsidRPr="00C517F3">
          <w:rPr>
            <w:rStyle w:val="Hyperlink"/>
            <w:lang w:val="en-CA" w:bidi="ar-EG"/>
          </w:rPr>
          <w:t>PCC.II/REC.43 (XXIII-14)</w:t>
        </w:r>
      </w:hyperlink>
      <w:r w:rsidRPr="00C517F3">
        <w:rPr>
          <w:rFonts w:hint="cs"/>
          <w:rtl/>
        </w:rPr>
        <w:t xml:space="preserve"> </w:t>
      </w:r>
      <w:r w:rsidRPr="0013512C">
        <w:rPr>
          <w:rFonts w:hint="cs"/>
          <w:spacing w:val="2"/>
          <w:rtl/>
        </w:rPr>
        <w:t xml:space="preserve">"استعمال النطاقين </w:t>
      </w:r>
      <w:r w:rsidRPr="0013512C">
        <w:rPr>
          <w:spacing w:val="2"/>
          <w:lang w:bidi="ar-EG"/>
        </w:rPr>
        <w:t>MHz</w:t>
      </w:r>
      <w:r w:rsidR="004A2D97">
        <w:rPr>
          <w:spacing w:val="2"/>
          <w:lang w:bidi="ar-EG"/>
        </w:rPr>
        <w:t> 2 180</w:t>
      </w:r>
      <w:r w:rsidR="004A2D97">
        <w:rPr>
          <w:spacing w:val="2"/>
          <w:lang w:bidi="ar-EG"/>
        </w:rPr>
        <w:noBreakHyphen/>
        <w:t>2 110/1 780</w:t>
      </w:r>
      <w:r w:rsidR="004A2D97">
        <w:rPr>
          <w:spacing w:val="2"/>
          <w:lang w:bidi="ar-EG"/>
        </w:rPr>
        <w:noBreakHyphen/>
        <w:t>1 710</w:t>
      </w:r>
      <w:r w:rsidRPr="0013512C">
        <w:rPr>
          <w:rFonts w:hint="cs"/>
          <w:spacing w:val="2"/>
          <w:rtl/>
          <w:lang w:bidi="ar-EG"/>
        </w:rPr>
        <w:t xml:space="preserve"> في</w:t>
      </w:r>
      <w:r w:rsidR="004A2D97">
        <w:rPr>
          <w:rFonts w:hint="eastAsia"/>
          <w:spacing w:val="2"/>
          <w:rtl/>
          <w:lang w:bidi="ar-EG"/>
        </w:rPr>
        <w:t> </w:t>
      </w:r>
      <w:r w:rsidRPr="0013512C">
        <w:rPr>
          <w:rFonts w:hint="cs"/>
          <w:spacing w:val="2"/>
          <w:rtl/>
          <w:lang w:bidi="ar-EG"/>
        </w:rPr>
        <w:t xml:space="preserve">الأمريكتين لأغراض الخدمات </w:t>
      </w:r>
      <w:r w:rsidRPr="0013512C">
        <w:rPr>
          <w:rFonts w:hint="cs"/>
          <w:spacing w:val="2"/>
          <w:rtl/>
          <w:lang w:bidi="ar-EG"/>
        </w:rPr>
        <w:lastRenderedPageBreak/>
        <w:t>المتنقلة عريضة النطاق"</w:t>
      </w:r>
      <w:r w:rsidR="00E61AF0">
        <w:rPr>
          <w:rFonts w:hint="cs"/>
          <w:spacing w:val="2"/>
          <w:rtl/>
          <w:lang w:bidi="ar-EG"/>
        </w:rPr>
        <w:t xml:space="preserve"> عن</w:t>
      </w:r>
      <w:r w:rsidRPr="0013512C">
        <w:rPr>
          <w:rFonts w:hint="cs"/>
          <w:spacing w:val="2"/>
          <w:rtl/>
          <w:lang w:bidi="ar-EG"/>
        </w:rPr>
        <w:t xml:space="preserve"> اعتزام بلدان الإقليم </w:t>
      </w:r>
      <w:r w:rsidRPr="0013512C">
        <w:rPr>
          <w:spacing w:val="2"/>
          <w:lang w:bidi="ar-EG"/>
        </w:rPr>
        <w:t>2</w:t>
      </w:r>
      <w:r w:rsidRPr="0013512C">
        <w:rPr>
          <w:rFonts w:hint="cs"/>
          <w:spacing w:val="2"/>
          <w:rtl/>
          <w:lang w:bidi="ar-EG"/>
        </w:rPr>
        <w:t xml:space="preserve"> نشر </w:t>
      </w:r>
      <w:r w:rsidR="00E61AF0">
        <w:rPr>
          <w:rFonts w:hint="cs"/>
          <w:spacing w:val="2"/>
          <w:rtl/>
          <w:lang w:bidi="ar-EG"/>
        </w:rPr>
        <w:t>أنظمة الأرض</w:t>
      </w:r>
      <w:r w:rsidRPr="0013512C">
        <w:rPr>
          <w:rFonts w:hint="cs"/>
          <w:spacing w:val="2"/>
          <w:rtl/>
          <w:lang w:bidi="ar-EG"/>
        </w:rPr>
        <w:t xml:space="preserve"> للاتصالات المتنقلة الدولية في هذين النطاقين. وعلى وجه التحديد، لدى كندا وشيلي وكولومبيا والمكسيك ونيكاراغوا وباراغواي وبيرو والول</w:t>
      </w:r>
      <w:r w:rsidR="00E61AF0">
        <w:rPr>
          <w:rFonts w:hint="cs"/>
          <w:spacing w:val="2"/>
          <w:rtl/>
          <w:lang w:bidi="ar-EG"/>
        </w:rPr>
        <w:t>ايات المتحدة، في</w:t>
      </w:r>
      <w:r w:rsidR="00C0372D">
        <w:rPr>
          <w:rFonts w:hint="eastAsia"/>
          <w:spacing w:val="2"/>
          <w:rtl/>
          <w:lang w:bidi="ar-EG"/>
        </w:rPr>
        <w:t> </w:t>
      </w:r>
      <w:r w:rsidR="00E61AF0">
        <w:rPr>
          <w:rFonts w:hint="cs"/>
          <w:spacing w:val="2"/>
          <w:rtl/>
          <w:lang w:bidi="ar-EG"/>
        </w:rPr>
        <w:t>جملة بلدان</w:t>
      </w:r>
      <w:r w:rsidRPr="0013512C">
        <w:rPr>
          <w:rFonts w:hint="cs"/>
          <w:spacing w:val="2"/>
          <w:rtl/>
          <w:lang w:bidi="ar-EG"/>
        </w:rPr>
        <w:t>، خططٌ لتنفيذ هذه الترددات في بلدانها في المستقبل القريب. ويشير مشر</w:t>
      </w:r>
      <w:r w:rsidR="004A2D97">
        <w:rPr>
          <w:rFonts w:hint="cs"/>
          <w:spacing w:val="2"/>
          <w:rtl/>
          <w:lang w:bidi="ar-EG"/>
        </w:rPr>
        <w:t>وع التوصية إلى أن مزاوجة النطاق</w:t>
      </w:r>
      <w:r w:rsidR="004A2D97">
        <w:rPr>
          <w:rFonts w:hint="eastAsia"/>
          <w:spacing w:val="2"/>
          <w:rtl/>
          <w:lang w:bidi="ar-EG"/>
        </w:rPr>
        <w:t> </w:t>
      </w:r>
      <w:r w:rsidRPr="0013512C">
        <w:rPr>
          <w:spacing w:val="2"/>
          <w:lang w:bidi="ar-EG"/>
        </w:rPr>
        <w:t>MHz</w:t>
      </w:r>
      <w:r w:rsidR="004A2D97">
        <w:rPr>
          <w:spacing w:val="2"/>
          <w:lang w:bidi="ar-EG"/>
        </w:rPr>
        <w:t> 1 780</w:t>
      </w:r>
      <w:r w:rsidR="004A2D97">
        <w:rPr>
          <w:spacing w:val="2"/>
          <w:lang w:bidi="ar-EG"/>
        </w:rPr>
        <w:noBreakHyphen/>
        <w:t>1 770</w:t>
      </w:r>
      <w:r w:rsidRPr="0013512C">
        <w:rPr>
          <w:rFonts w:hint="cs"/>
          <w:spacing w:val="2"/>
          <w:rtl/>
        </w:rPr>
        <w:t xml:space="preserve"> مع</w:t>
      </w:r>
      <w:r w:rsidR="0013512C">
        <w:rPr>
          <w:rFonts w:hint="eastAsia"/>
          <w:spacing w:val="2"/>
          <w:rtl/>
        </w:rPr>
        <w:t> </w:t>
      </w:r>
      <w:r w:rsidRPr="0013512C">
        <w:rPr>
          <w:rFonts w:hint="cs"/>
          <w:spacing w:val="2"/>
          <w:rtl/>
        </w:rPr>
        <w:t>النطاق</w:t>
      </w:r>
      <w:r w:rsidR="009378F0">
        <w:rPr>
          <w:rFonts w:hint="eastAsia"/>
          <w:spacing w:val="2"/>
          <w:rtl/>
        </w:rPr>
        <w:t> </w:t>
      </w:r>
      <w:r w:rsidRPr="0013512C">
        <w:rPr>
          <w:spacing w:val="2"/>
          <w:lang w:bidi="ar-EG"/>
        </w:rPr>
        <w:t>MHz</w:t>
      </w:r>
      <w:r w:rsidR="000608C1">
        <w:rPr>
          <w:spacing w:val="2"/>
          <w:lang w:bidi="ar-EG"/>
        </w:rPr>
        <w:t> 2 180</w:t>
      </w:r>
      <w:r w:rsidR="000608C1">
        <w:rPr>
          <w:spacing w:val="2"/>
          <w:lang w:bidi="ar-EG"/>
        </w:rPr>
        <w:noBreakHyphen/>
        <w:t>2 170</w:t>
      </w:r>
      <w:r w:rsidRPr="0013512C">
        <w:rPr>
          <w:rFonts w:hint="cs"/>
          <w:spacing w:val="2"/>
          <w:rtl/>
          <w:lang w:bidi="ar-EG"/>
        </w:rPr>
        <w:t xml:space="preserve"> تمثل تمديداً متماساً لمزاوجة النطاق </w:t>
      </w:r>
      <w:r w:rsidRPr="0013512C">
        <w:rPr>
          <w:spacing w:val="2"/>
          <w:lang w:bidi="ar-EG"/>
        </w:rPr>
        <w:t>MHz</w:t>
      </w:r>
      <w:r w:rsidR="004A2D97">
        <w:rPr>
          <w:spacing w:val="2"/>
          <w:lang w:bidi="ar-EG"/>
        </w:rPr>
        <w:t> 1 770</w:t>
      </w:r>
      <w:r w:rsidR="004A2D97">
        <w:rPr>
          <w:spacing w:val="2"/>
          <w:lang w:bidi="ar-EG"/>
        </w:rPr>
        <w:noBreakHyphen/>
        <w:t>1 710</w:t>
      </w:r>
      <w:r w:rsidRPr="0013512C">
        <w:rPr>
          <w:rFonts w:hint="cs"/>
          <w:spacing w:val="2"/>
          <w:rtl/>
          <w:lang w:bidi="ar-EG"/>
        </w:rPr>
        <w:t xml:space="preserve"> مع النطاق </w:t>
      </w:r>
      <w:r w:rsidRPr="0013512C">
        <w:rPr>
          <w:spacing w:val="2"/>
          <w:lang w:bidi="ar-EG"/>
        </w:rPr>
        <w:t>MHz</w:t>
      </w:r>
      <w:r w:rsidR="004A2D97">
        <w:rPr>
          <w:spacing w:val="2"/>
          <w:lang w:bidi="ar-EG"/>
        </w:rPr>
        <w:t> 2 170</w:t>
      </w:r>
      <w:r w:rsidR="004A2D97">
        <w:rPr>
          <w:spacing w:val="2"/>
          <w:lang w:bidi="ar-EG"/>
        </w:rPr>
        <w:noBreakHyphen/>
        <w:t>2 110</w:t>
      </w:r>
      <w:r w:rsidRPr="0013512C">
        <w:rPr>
          <w:rFonts w:hint="cs"/>
          <w:spacing w:val="2"/>
          <w:rtl/>
        </w:rPr>
        <w:t>، المشمولين بالترتيب</w:t>
      </w:r>
      <w:r w:rsidR="00C0372D">
        <w:rPr>
          <w:rFonts w:hint="eastAsia"/>
          <w:spacing w:val="2"/>
          <w:rtl/>
        </w:rPr>
        <w:t> </w:t>
      </w:r>
      <w:r w:rsidRPr="0013512C">
        <w:rPr>
          <w:bCs/>
          <w:spacing w:val="2"/>
          <w:lang w:val="en-CA" w:bidi="ar-EG"/>
        </w:rPr>
        <w:t>B5</w:t>
      </w:r>
      <w:r w:rsidRPr="0013512C">
        <w:rPr>
          <w:rFonts w:hint="cs"/>
          <w:bCs/>
          <w:spacing w:val="2"/>
          <w:rtl/>
        </w:rPr>
        <w:t xml:space="preserve"> </w:t>
      </w:r>
      <w:r w:rsidRPr="0013512C">
        <w:rPr>
          <w:rFonts w:hint="cs"/>
          <w:b/>
          <w:spacing w:val="2"/>
          <w:rtl/>
        </w:rPr>
        <w:t xml:space="preserve">الوارد في </w:t>
      </w:r>
      <w:hyperlink r:id="rId14" w:history="1">
        <w:r w:rsidRPr="009B010C">
          <w:rPr>
            <w:rStyle w:val="Hyperlink"/>
            <w:rFonts w:hint="cs"/>
            <w:b/>
            <w:spacing w:val="2"/>
            <w:rtl/>
          </w:rPr>
          <w:t>التوصية</w:t>
        </w:r>
        <w:r w:rsidRPr="009B010C">
          <w:rPr>
            <w:rStyle w:val="Hyperlink"/>
            <w:rFonts w:hint="cs"/>
            <w:bCs/>
            <w:spacing w:val="2"/>
            <w:rtl/>
          </w:rPr>
          <w:t xml:space="preserve"> </w:t>
        </w:r>
        <w:r w:rsidRPr="009B010C">
          <w:rPr>
            <w:rStyle w:val="Hyperlink"/>
            <w:spacing w:val="2"/>
            <w:lang w:bidi="ar-EG"/>
          </w:rPr>
          <w:t>ITU-R M.1036-4</w:t>
        </w:r>
      </w:hyperlink>
      <w:r w:rsidRPr="0013512C">
        <w:rPr>
          <w:rFonts w:hint="cs"/>
          <w:spacing w:val="2"/>
          <w:rtl/>
          <w:lang w:bidi="ar-EG"/>
        </w:rPr>
        <w:t>، والنطاق</w:t>
      </w:r>
      <w:r w:rsidR="00C0372D">
        <w:rPr>
          <w:rFonts w:hint="eastAsia"/>
          <w:spacing w:val="2"/>
          <w:rtl/>
        </w:rPr>
        <w:t> </w:t>
      </w:r>
      <w:r w:rsidRPr="0013512C">
        <w:rPr>
          <w:spacing w:val="2"/>
          <w:lang w:bidi="ar-EG"/>
        </w:rPr>
        <w:t>10</w:t>
      </w:r>
      <w:r w:rsidRPr="0013512C">
        <w:rPr>
          <w:rFonts w:hint="cs"/>
          <w:spacing w:val="2"/>
          <w:rtl/>
          <w:lang w:bidi="ar-EG"/>
        </w:rPr>
        <w:t xml:space="preserve"> لمشروع شراكة الجيل الثالث، والترتيب</w:t>
      </w:r>
      <w:r w:rsidR="00C0372D">
        <w:rPr>
          <w:rFonts w:hint="eastAsia"/>
          <w:spacing w:val="2"/>
          <w:rtl/>
        </w:rPr>
        <w:t> </w:t>
      </w:r>
      <w:r w:rsidRPr="0013512C">
        <w:rPr>
          <w:bCs/>
          <w:spacing w:val="2"/>
          <w:lang w:val="en-CA" w:bidi="ar-EG"/>
        </w:rPr>
        <w:t>5</w:t>
      </w:r>
      <w:r w:rsidRPr="0013512C">
        <w:rPr>
          <w:rFonts w:hint="cs"/>
          <w:bCs/>
          <w:spacing w:val="2"/>
          <w:rtl/>
        </w:rPr>
        <w:t xml:space="preserve"> </w:t>
      </w:r>
      <w:r w:rsidRPr="0013512C">
        <w:rPr>
          <w:rFonts w:hint="cs"/>
          <w:b/>
          <w:spacing w:val="2"/>
          <w:rtl/>
        </w:rPr>
        <w:t>الوارد في</w:t>
      </w:r>
      <w:r w:rsidR="0013512C">
        <w:rPr>
          <w:rFonts w:hint="eastAsia"/>
          <w:b/>
          <w:spacing w:val="2"/>
          <w:rtl/>
        </w:rPr>
        <w:t> </w:t>
      </w:r>
      <w:r w:rsidRPr="0013512C">
        <w:rPr>
          <w:rFonts w:hint="cs"/>
          <w:b/>
          <w:spacing w:val="2"/>
          <w:rtl/>
        </w:rPr>
        <w:t>التوصية</w:t>
      </w:r>
      <w:r w:rsidRPr="00C517F3">
        <w:rPr>
          <w:rFonts w:hint="cs"/>
          <w:b/>
          <w:rtl/>
        </w:rPr>
        <w:t xml:space="preserve"> </w:t>
      </w:r>
      <w:hyperlink r:id="rId15" w:history="1">
        <w:r w:rsidRPr="00C517F3">
          <w:rPr>
            <w:rStyle w:val="Hyperlink"/>
            <w:bCs/>
            <w:lang w:val="en-CA" w:bidi="ar-EG"/>
          </w:rPr>
          <w:t>PCC.II/REC 8 (IV-04)</w:t>
        </w:r>
      </w:hyperlink>
      <w:r w:rsidRPr="00C517F3">
        <w:rPr>
          <w:rFonts w:hint="cs"/>
          <w:bCs/>
          <w:rtl/>
        </w:rPr>
        <w:t>.</w:t>
      </w:r>
    </w:p>
    <w:p w:rsidR="006C0AC7" w:rsidRPr="00BB5C86" w:rsidRDefault="00C517F3" w:rsidP="00BB5C86">
      <w:pPr>
        <w:rPr>
          <w:b/>
          <w:rtl/>
        </w:rPr>
      </w:pPr>
      <w:r w:rsidRPr="00BB5C86">
        <w:rPr>
          <w:rFonts w:hint="cs"/>
          <w:b/>
          <w:rtl/>
        </w:rPr>
        <w:t xml:space="preserve">وتؤيد الدول الأعضاء في </w:t>
      </w:r>
      <w:r w:rsidR="00B830E4" w:rsidRPr="00BB5C86">
        <w:rPr>
          <w:rFonts w:hint="cs"/>
          <w:rtl/>
        </w:rPr>
        <w:t xml:space="preserve">لجنة البلدان </w:t>
      </w:r>
      <w:r w:rsidRPr="00BB5C86">
        <w:rPr>
          <w:rFonts w:hint="cs"/>
          <w:b/>
          <w:rtl/>
        </w:rPr>
        <w:t xml:space="preserve">الأمريكية للاتصالات مبدئياً الرأي القائل إن لجنة الدراسات </w:t>
      </w:r>
      <w:r w:rsidRPr="00BB5C86">
        <w:rPr>
          <w:bCs/>
          <w:lang w:val="en-CA" w:bidi="ar-EG"/>
        </w:rPr>
        <w:t>5</w:t>
      </w:r>
      <w:r w:rsidRPr="00BB5C86">
        <w:rPr>
          <w:rFonts w:hint="cs"/>
          <w:bCs/>
          <w:rtl/>
        </w:rPr>
        <w:t xml:space="preserve"> </w:t>
      </w:r>
      <w:r w:rsidRPr="00BB5C86">
        <w:rPr>
          <w:rFonts w:hint="cs"/>
          <w:b/>
          <w:rtl/>
        </w:rPr>
        <w:t xml:space="preserve">وفرق العمل التابعة لها غير ملزمة بالتشاور مع لجان الدراسات الأخرى عند وضع ترتيبات الترددات لأغراض </w:t>
      </w:r>
      <w:r w:rsidR="00B830E4" w:rsidRPr="00BB5C86">
        <w:rPr>
          <w:rFonts w:hint="cs"/>
          <w:b/>
          <w:rtl/>
        </w:rPr>
        <w:t>خدمات الأرض</w:t>
      </w:r>
      <w:r w:rsidRPr="00BB5C86">
        <w:rPr>
          <w:rFonts w:hint="cs"/>
          <w:b/>
          <w:rtl/>
        </w:rPr>
        <w:t xml:space="preserve"> في النطاقات التي تحظى فيها بتوزيع أولي. وهناك أمثلة عديدة لتوصيات قطاع الاتصالات الراديوية المتعلقة بترتيبات الترددات الجاري </w:t>
      </w:r>
      <w:r w:rsidR="00A75326" w:rsidRPr="00BB5C86">
        <w:rPr>
          <w:rFonts w:hint="cs"/>
          <w:b/>
          <w:rtl/>
        </w:rPr>
        <w:t xml:space="preserve">العمل </w:t>
      </w:r>
      <w:r w:rsidRPr="00BB5C86">
        <w:rPr>
          <w:rFonts w:hint="cs"/>
          <w:b/>
          <w:rtl/>
        </w:rPr>
        <w:t>بها، التي لم</w:t>
      </w:r>
      <w:r w:rsidR="00BB5C86">
        <w:rPr>
          <w:rFonts w:hint="eastAsia"/>
          <w:b/>
          <w:rtl/>
        </w:rPr>
        <w:t> </w:t>
      </w:r>
      <w:r w:rsidRPr="00BB5C86">
        <w:rPr>
          <w:rFonts w:hint="cs"/>
          <w:b/>
          <w:rtl/>
        </w:rPr>
        <w:t xml:space="preserve">تحظ قطّ بموافقة مشتركة من جانب لجان الدراسات الأخرى. </w:t>
      </w:r>
      <w:r w:rsidR="00C0372D" w:rsidRPr="00BB5C86">
        <w:rPr>
          <w:rFonts w:hint="cs"/>
          <w:b/>
          <w:rtl/>
        </w:rPr>
        <w:t>وإضافةً</w:t>
      </w:r>
      <w:r w:rsidRPr="00BB5C86">
        <w:rPr>
          <w:rFonts w:hint="cs"/>
          <w:b/>
          <w:rtl/>
        </w:rPr>
        <w:t xml:space="preserve"> إلى ذلك، لم تكن </w:t>
      </w:r>
      <w:r w:rsidR="00A75326" w:rsidRPr="00BB5C86">
        <w:rPr>
          <w:rFonts w:hint="cs"/>
          <w:b/>
          <w:rtl/>
        </w:rPr>
        <w:t>قط</w:t>
      </w:r>
      <w:r w:rsidRPr="00BB5C86">
        <w:rPr>
          <w:rFonts w:hint="cs"/>
          <w:b/>
          <w:rtl/>
        </w:rPr>
        <w:t xml:space="preserve"> دراسات التقاسم/التعايش شرطاً مسبقاً لوضع ترتيبات </w:t>
      </w:r>
      <w:r w:rsidR="006C0AC7" w:rsidRPr="00BB5C86">
        <w:rPr>
          <w:rFonts w:hint="cs"/>
          <w:b/>
          <w:rtl/>
        </w:rPr>
        <w:t>جديدة</w:t>
      </w:r>
      <w:r w:rsidR="00C0372D" w:rsidRPr="00BB5C86">
        <w:rPr>
          <w:rFonts w:hint="eastAsia"/>
          <w:b/>
          <w:rtl/>
        </w:rPr>
        <w:t> </w:t>
      </w:r>
      <w:r w:rsidR="006C0AC7" w:rsidRPr="00BB5C86">
        <w:rPr>
          <w:rFonts w:hint="cs"/>
          <w:b/>
          <w:rtl/>
        </w:rPr>
        <w:t>للترددات.</w:t>
      </w:r>
    </w:p>
    <w:p w:rsidR="00C517F3" w:rsidRPr="00C517F3" w:rsidRDefault="00C517F3" w:rsidP="00C0372D">
      <w:pPr>
        <w:rPr>
          <w:rtl/>
        </w:rPr>
      </w:pPr>
      <w:r w:rsidRPr="00C517F3">
        <w:rPr>
          <w:rFonts w:hint="cs"/>
          <w:b/>
          <w:rtl/>
        </w:rPr>
        <w:t xml:space="preserve">وتتاح الحاشية المتعلقة بتحديد النطاقين </w:t>
      </w:r>
      <w:r w:rsidRPr="00C517F3">
        <w:rPr>
          <w:lang w:bidi="ar-EG"/>
        </w:rPr>
        <w:t>MHz</w:t>
      </w:r>
      <w:r w:rsidR="00C0372D">
        <w:rPr>
          <w:lang w:bidi="ar-EG"/>
        </w:rPr>
        <w:t> 2 010</w:t>
      </w:r>
      <w:r w:rsidR="00C0372D">
        <w:rPr>
          <w:lang w:bidi="ar-EG"/>
        </w:rPr>
        <w:noBreakHyphen/>
        <w:t>1 980</w:t>
      </w:r>
      <w:r w:rsidRPr="00C517F3">
        <w:rPr>
          <w:rFonts w:hint="cs"/>
          <w:rtl/>
        </w:rPr>
        <w:t xml:space="preserve"> و</w:t>
      </w:r>
      <w:r w:rsidRPr="00C517F3">
        <w:rPr>
          <w:lang w:bidi="ar-EG"/>
        </w:rPr>
        <w:t>MHz</w:t>
      </w:r>
      <w:r w:rsidR="00C0372D">
        <w:rPr>
          <w:lang w:bidi="ar-EG"/>
        </w:rPr>
        <w:t> 2 200</w:t>
      </w:r>
      <w:r w:rsidR="00C0372D">
        <w:rPr>
          <w:lang w:bidi="ar-EG"/>
        </w:rPr>
        <w:noBreakHyphen/>
        <w:t>2 170</w:t>
      </w:r>
      <w:r w:rsidRPr="00C517F3">
        <w:rPr>
          <w:rFonts w:hint="cs"/>
          <w:rtl/>
          <w:lang w:bidi="ar-EG"/>
        </w:rPr>
        <w:t xml:space="preserve"> للاتصالات المتنقلة الدولية في</w:t>
      </w:r>
      <w:r w:rsidR="00C0372D">
        <w:rPr>
          <w:rFonts w:hint="eastAsia"/>
          <w:rtl/>
          <w:lang w:bidi="ar-EG"/>
        </w:rPr>
        <w:t> </w:t>
      </w:r>
      <w:r w:rsidRPr="00C517F3">
        <w:rPr>
          <w:rFonts w:hint="cs"/>
          <w:rtl/>
          <w:lang w:bidi="ar-EG"/>
        </w:rPr>
        <w:t xml:space="preserve">لوائح الراديو للمكونين الساتلي والأرضي كليهما وفقاً للتوزيعات المحددة للخدمة المتنقلة والخدمة المتنقلة الساتلية في لوائح الراديو تأييداً للحجج الواردة في الفقرة الخاصة بالمعلومات الأساسية </w:t>
      </w:r>
      <w:r w:rsidR="006E5CDA">
        <w:rPr>
          <w:rFonts w:hint="cs"/>
          <w:rtl/>
          <w:lang w:bidi="ar-EG"/>
        </w:rPr>
        <w:t>(</w:t>
      </w:r>
      <w:r w:rsidR="00C0372D">
        <w:rPr>
          <w:rFonts w:hint="cs"/>
          <w:rtl/>
          <w:lang w:bidi="ar-EG"/>
        </w:rPr>
        <w:t>في </w:t>
      </w:r>
      <w:r w:rsidR="006E5CDA">
        <w:rPr>
          <w:rFonts w:hint="cs"/>
          <w:rtl/>
          <w:lang w:bidi="ar-EG"/>
        </w:rPr>
        <w:t xml:space="preserve">الرأي </w:t>
      </w:r>
      <w:r w:rsidR="006E5CDA">
        <w:rPr>
          <w:lang w:bidi="ar-EG"/>
        </w:rPr>
        <w:t>2</w:t>
      </w:r>
      <w:r w:rsidR="006E5CDA">
        <w:rPr>
          <w:rFonts w:hint="cs"/>
          <w:rtl/>
          <w:lang w:bidi="ar-EG"/>
        </w:rPr>
        <w:t>)</w:t>
      </w:r>
      <w:r w:rsidRPr="00C517F3">
        <w:rPr>
          <w:rFonts w:hint="cs"/>
          <w:rtl/>
          <w:lang w:bidi="ar-EG"/>
        </w:rPr>
        <w:t xml:space="preserve"> </w:t>
      </w:r>
      <w:r w:rsidR="00C0372D">
        <w:rPr>
          <w:rFonts w:hint="cs"/>
          <w:rtl/>
          <w:lang w:bidi="ar-EG"/>
        </w:rPr>
        <w:t>في </w:t>
      </w:r>
      <w:r w:rsidRPr="00C517F3">
        <w:rPr>
          <w:rFonts w:hint="cs"/>
          <w:rtl/>
          <w:lang w:bidi="ar-EG"/>
        </w:rPr>
        <w:t>الوثيقة</w:t>
      </w:r>
      <w:r w:rsidR="00C0372D">
        <w:rPr>
          <w:rFonts w:hint="eastAsia"/>
          <w:rtl/>
          <w:lang w:bidi="ar-EG"/>
        </w:rPr>
        <w:t> </w:t>
      </w:r>
      <w:hyperlink r:id="rId16" w:history="1">
        <w:r w:rsidRPr="009B010C">
          <w:rPr>
            <w:rStyle w:val="Hyperlink"/>
            <w:lang w:bidi="ar-EG"/>
          </w:rPr>
          <w:t>5/213R1</w:t>
        </w:r>
      </w:hyperlink>
      <w:r w:rsidRPr="00C517F3">
        <w:rPr>
          <w:rFonts w:hint="cs"/>
          <w:rtl/>
          <w:lang w:bidi="ar-EG"/>
        </w:rPr>
        <w:t xml:space="preserve"> وعلى النحو الوارد في</w:t>
      </w:r>
      <w:r w:rsidR="00C0372D">
        <w:rPr>
          <w:rFonts w:hint="eastAsia"/>
          <w:rtl/>
          <w:lang w:bidi="ar-EG"/>
        </w:rPr>
        <w:t> </w:t>
      </w:r>
      <w:r w:rsidRPr="00C517F3">
        <w:rPr>
          <w:rFonts w:hint="cs"/>
          <w:rtl/>
          <w:lang w:bidi="ar-EG"/>
        </w:rPr>
        <w:t xml:space="preserve">فقرتي </w:t>
      </w:r>
      <w:r w:rsidRPr="00C517F3">
        <w:rPr>
          <w:rFonts w:hint="cs"/>
          <w:i/>
          <w:iCs/>
          <w:rtl/>
          <w:lang w:bidi="ar-EG"/>
        </w:rPr>
        <w:t>يلاحظ</w:t>
      </w:r>
      <w:r w:rsidR="00C0372D">
        <w:rPr>
          <w:rFonts w:hint="eastAsia"/>
          <w:i/>
          <w:iCs/>
          <w:rtl/>
          <w:lang w:bidi="ar-EG"/>
        </w:rPr>
        <w:t> </w:t>
      </w:r>
      <w:r w:rsidRPr="00C517F3">
        <w:rPr>
          <w:rFonts w:hint="cs"/>
          <w:i/>
          <w:iCs/>
          <w:rtl/>
          <w:lang w:bidi="ar-EG"/>
        </w:rPr>
        <w:t>أ</w:t>
      </w:r>
      <w:r w:rsidR="00C0372D">
        <w:rPr>
          <w:rFonts w:hint="cs"/>
          <w:i/>
          <w:iCs/>
          <w:rtl/>
          <w:lang w:bidi="ar-EG"/>
        </w:rPr>
        <w:t xml:space="preserve"> </w:t>
      </w:r>
      <w:r w:rsidRPr="00C517F3">
        <w:rPr>
          <w:rFonts w:hint="cs"/>
          <w:i/>
          <w:iCs/>
          <w:rtl/>
          <w:lang w:bidi="ar-EG"/>
        </w:rPr>
        <w:t>) وب)</w:t>
      </w:r>
      <w:r w:rsidRPr="00C517F3">
        <w:rPr>
          <w:rFonts w:hint="cs"/>
          <w:rtl/>
          <w:lang w:bidi="ar-EG"/>
        </w:rPr>
        <w:t xml:space="preserve"> من</w:t>
      </w:r>
      <w:r w:rsidR="006E5CDA">
        <w:rPr>
          <w:rFonts w:hint="eastAsia"/>
          <w:rtl/>
          <w:lang w:bidi="ar-EG"/>
        </w:rPr>
        <w:t> </w:t>
      </w:r>
      <w:r w:rsidRPr="00C517F3">
        <w:rPr>
          <w:rFonts w:hint="cs"/>
          <w:rtl/>
          <w:lang w:bidi="ar-EG"/>
        </w:rPr>
        <w:t>القرار</w:t>
      </w:r>
      <w:r w:rsidR="00C0372D">
        <w:rPr>
          <w:rFonts w:hint="eastAsia"/>
          <w:rtl/>
          <w:lang w:bidi="ar-EG"/>
        </w:rPr>
        <w:t> </w:t>
      </w:r>
      <w:r w:rsidR="00C0372D">
        <w:rPr>
          <w:lang w:bidi="ar-EG"/>
        </w:rPr>
        <w:t>212 </w:t>
      </w:r>
      <w:r w:rsidR="009A2232">
        <w:t>(Rev.WRC-07)</w:t>
      </w:r>
      <w:r w:rsidR="006C0AC7">
        <w:rPr>
          <w:rFonts w:hint="cs"/>
          <w:rtl/>
        </w:rPr>
        <w:t>:</w:t>
      </w:r>
    </w:p>
    <w:p w:rsidR="00C517F3" w:rsidRPr="00C517F3" w:rsidRDefault="00C517F3" w:rsidP="0013512C">
      <w:pPr>
        <w:pStyle w:val="Call"/>
        <w:rPr>
          <w:rtl/>
        </w:rPr>
      </w:pPr>
      <w:r w:rsidRPr="00C517F3">
        <w:rPr>
          <w:rFonts w:hint="cs"/>
          <w:rtl/>
        </w:rPr>
        <w:t>"وإذ يلاحظ</w:t>
      </w:r>
    </w:p>
    <w:p w:rsidR="00C517F3" w:rsidRPr="00C517F3" w:rsidRDefault="007B0229" w:rsidP="00C0372D">
      <w:pPr>
        <w:rPr>
          <w:rtl/>
        </w:rPr>
      </w:pPr>
      <w:r w:rsidRPr="007B0229">
        <w:rPr>
          <w:rFonts w:hint="cs"/>
          <w:i/>
          <w:iCs/>
          <w:rtl/>
          <w:lang w:bidi="ar-EG"/>
        </w:rPr>
        <w:t xml:space="preserve"> </w:t>
      </w:r>
      <w:r w:rsidR="00C517F3" w:rsidRPr="007B0229">
        <w:rPr>
          <w:rFonts w:hint="cs"/>
          <w:i/>
          <w:iCs/>
          <w:rtl/>
        </w:rPr>
        <w:t>أ</w:t>
      </w:r>
      <w:r w:rsidRPr="007B0229">
        <w:rPr>
          <w:rFonts w:hint="cs"/>
          <w:i/>
          <w:iCs/>
          <w:rtl/>
        </w:rPr>
        <w:t xml:space="preserve"> </w:t>
      </w:r>
      <w:r w:rsidR="00C517F3" w:rsidRPr="007B0229">
        <w:rPr>
          <w:rFonts w:hint="cs"/>
          <w:i/>
          <w:iCs/>
          <w:rtl/>
        </w:rPr>
        <w:t>)</w:t>
      </w:r>
      <w:r w:rsidR="00C517F3" w:rsidRPr="00C517F3">
        <w:rPr>
          <w:rFonts w:hint="cs"/>
          <w:rtl/>
        </w:rPr>
        <w:tab/>
      </w:r>
      <w:r w:rsidR="00C517F3" w:rsidRPr="008E0603">
        <w:rPr>
          <w:spacing w:val="-4"/>
          <w:rtl/>
        </w:rPr>
        <w:t>أن المكوّنة الأرضية في الأنظمة</w:t>
      </w:r>
      <w:r w:rsidR="00C0372D">
        <w:rPr>
          <w:rFonts w:hint="cs"/>
          <w:spacing w:val="-4"/>
          <w:rtl/>
        </w:rPr>
        <w:t> </w:t>
      </w:r>
      <w:r w:rsidR="00C517F3" w:rsidRPr="008E0603">
        <w:rPr>
          <w:spacing w:val="-4"/>
          <w:lang w:bidi="ar-EG"/>
        </w:rPr>
        <w:t>IMT</w:t>
      </w:r>
      <w:r w:rsidR="00C517F3" w:rsidRPr="008E0603">
        <w:rPr>
          <w:spacing w:val="-4"/>
          <w:rtl/>
        </w:rPr>
        <w:t xml:space="preserve"> قد نُشرت أو يُنظر في نشرها في النطاقين </w:t>
      </w:r>
      <w:r w:rsidR="00C517F3" w:rsidRPr="008E0603">
        <w:rPr>
          <w:spacing w:val="-4"/>
          <w:lang w:bidi="ar-EG"/>
        </w:rPr>
        <w:t>MHz</w:t>
      </w:r>
      <w:r w:rsidR="00C0372D">
        <w:rPr>
          <w:spacing w:val="-4"/>
          <w:lang w:bidi="ar-EG"/>
        </w:rPr>
        <w:t> 2 025</w:t>
      </w:r>
      <w:r w:rsidR="00C0372D">
        <w:rPr>
          <w:spacing w:val="-4"/>
          <w:lang w:bidi="ar-EG"/>
        </w:rPr>
        <w:noBreakHyphen/>
        <w:t>1 885</w:t>
      </w:r>
      <w:r w:rsidR="00C517F3" w:rsidRPr="008E0603">
        <w:rPr>
          <w:spacing w:val="-4"/>
          <w:rtl/>
        </w:rPr>
        <w:t xml:space="preserve"> و</w:t>
      </w:r>
      <w:r w:rsidR="00C517F3" w:rsidRPr="008E0603">
        <w:rPr>
          <w:spacing w:val="-4"/>
          <w:lang w:bidi="ar-EG"/>
        </w:rPr>
        <w:t>MHz</w:t>
      </w:r>
      <w:r w:rsidR="00C0372D">
        <w:rPr>
          <w:spacing w:val="-4"/>
          <w:lang w:bidi="ar-EG"/>
        </w:rPr>
        <w:t> 2 200</w:t>
      </w:r>
      <w:r w:rsidR="00C0372D">
        <w:rPr>
          <w:spacing w:val="-4"/>
          <w:lang w:bidi="ar-EG"/>
        </w:rPr>
        <w:noBreakHyphen/>
        <w:t>2 110</w:t>
      </w:r>
      <w:r w:rsidR="00C517F3" w:rsidRPr="008E0603">
        <w:rPr>
          <w:spacing w:val="-4"/>
          <w:rtl/>
        </w:rPr>
        <w:t>؛</w:t>
      </w:r>
    </w:p>
    <w:p w:rsidR="00C517F3" w:rsidRPr="00C517F3" w:rsidRDefault="00C517F3" w:rsidP="00AE2F7E">
      <w:pPr>
        <w:rPr>
          <w:rtl/>
        </w:rPr>
      </w:pPr>
      <w:r w:rsidRPr="007B0229">
        <w:rPr>
          <w:rFonts w:hint="cs"/>
          <w:i/>
          <w:iCs/>
          <w:rtl/>
        </w:rPr>
        <w:t>ب)</w:t>
      </w:r>
      <w:r w:rsidRPr="00C517F3">
        <w:rPr>
          <w:rFonts w:hint="cs"/>
          <w:rtl/>
        </w:rPr>
        <w:tab/>
      </w:r>
      <w:r w:rsidRPr="00C517F3">
        <w:rPr>
          <w:rtl/>
        </w:rPr>
        <w:t>أن من شأن تيسر المكوّنة الساتلية في الأنظمة</w:t>
      </w:r>
      <w:r w:rsidR="00C0372D">
        <w:rPr>
          <w:rFonts w:hint="cs"/>
          <w:rtl/>
        </w:rPr>
        <w:t> </w:t>
      </w:r>
      <w:r w:rsidRPr="00C517F3">
        <w:rPr>
          <w:lang w:bidi="ar-EG"/>
        </w:rPr>
        <w:t>IMT</w:t>
      </w:r>
      <w:r w:rsidRPr="00C517F3">
        <w:rPr>
          <w:rtl/>
        </w:rPr>
        <w:t xml:space="preserve"> في النطاقين </w:t>
      </w:r>
      <w:r w:rsidRPr="00C517F3">
        <w:rPr>
          <w:lang w:bidi="ar-EG"/>
        </w:rPr>
        <w:t>MHz 2 010-1 980</w:t>
      </w:r>
      <w:r w:rsidRPr="00C517F3">
        <w:rPr>
          <w:rtl/>
        </w:rPr>
        <w:t xml:space="preserve"> و</w:t>
      </w:r>
      <w:r w:rsidRPr="00C517F3">
        <w:rPr>
          <w:lang w:bidi="ar-EG"/>
        </w:rPr>
        <w:t>MHz</w:t>
      </w:r>
      <w:r w:rsidR="00C0372D">
        <w:rPr>
          <w:lang w:bidi="ar-EG"/>
        </w:rPr>
        <w:t> 2 200</w:t>
      </w:r>
      <w:r w:rsidR="00C0372D">
        <w:rPr>
          <w:lang w:bidi="ar-EG"/>
        </w:rPr>
        <w:noBreakHyphen/>
        <w:t>2 170</w:t>
      </w:r>
      <w:r w:rsidRPr="00C517F3">
        <w:rPr>
          <w:rtl/>
        </w:rPr>
        <w:t xml:space="preserve"> في</w:t>
      </w:r>
      <w:r w:rsidR="00C0372D">
        <w:rPr>
          <w:rFonts w:hint="cs"/>
          <w:rtl/>
        </w:rPr>
        <w:t> </w:t>
      </w:r>
      <w:r w:rsidRPr="00C517F3">
        <w:rPr>
          <w:rtl/>
        </w:rPr>
        <w:t>آن واحد مع المكوّنة الأرضية في الأنظمة</w:t>
      </w:r>
      <w:r w:rsidR="00C0372D">
        <w:rPr>
          <w:rFonts w:hint="cs"/>
          <w:rtl/>
        </w:rPr>
        <w:t> </w:t>
      </w:r>
      <w:r w:rsidRPr="00C517F3">
        <w:rPr>
          <w:lang w:bidi="ar-EG"/>
        </w:rPr>
        <w:t>IMT</w:t>
      </w:r>
      <w:r w:rsidRPr="00C517F3">
        <w:rPr>
          <w:rtl/>
        </w:rPr>
        <w:t xml:space="preserve"> في النطاقين المحددين في الرقم</w:t>
      </w:r>
      <w:r w:rsidR="00C0372D">
        <w:rPr>
          <w:rFonts w:hint="cs"/>
          <w:rtl/>
        </w:rPr>
        <w:t> </w:t>
      </w:r>
      <w:r w:rsidR="0013512C" w:rsidRPr="00DF6EE8">
        <w:rPr>
          <w:b/>
          <w:bCs/>
        </w:rPr>
        <w:t>388.5</w:t>
      </w:r>
      <w:r w:rsidRPr="00C517F3">
        <w:rPr>
          <w:rtl/>
        </w:rPr>
        <w:t xml:space="preserve"> أن يحسّن التطبيق العام للأنظمة</w:t>
      </w:r>
      <w:r w:rsidR="00C0372D">
        <w:rPr>
          <w:rFonts w:hint="cs"/>
          <w:rtl/>
        </w:rPr>
        <w:t> </w:t>
      </w:r>
      <w:r w:rsidRPr="00C517F3">
        <w:rPr>
          <w:lang w:bidi="ar-EG"/>
        </w:rPr>
        <w:t>IMT</w:t>
      </w:r>
      <w:r w:rsidRPr="00C517F3">
        <w:rPr>
          <w:rtl/>
        </w:rPr>
        <w:t xml:space="preserve"> وأن يجعلها أكثر</w:t>
      </w:r>
      <w:r w:rsidR="00C0372D">
        <w:rPr>
          <w:rFonts w:hint="cs"/>
          <w:rtl/>
        </w:rPr>
        <w:t> </w:t>
      </w:r>
      <w:r w:rsidRPr="00C517F3">
        <w:rPr>
          <w:rtl/>
        </w:rPr>
        <w:t>جاذبية</w:t>
      </w:r>
      <w:r w:rsidR="00AE2F7E">
        <w:rPr>
          <w:rFonts w:hint="cs"/>
          <w:rtl/>
          <w:lang w:bidi="ar-EG"/>
        </w:rPr>
        <w:t>،</w:t>
      </w:r>
      <w:r w:rsidRPr="00C517F3">
        <w:rPr>
          <w:rFonts w:hint="cs"/>
          <w:rtl/>
          <w:lang w:bidi="ar-EG"/>
        </w:rPr>
        <w:t>"</w:t>
      </w:r>
    </w:p>
    <w:p w:rsidR="00C517F3" w:rsidRPr="00C517F3" w:rsidRDefault="00C517F3" w:rsidP="00C0372D">
      <w:pPr>
        <w:rPr>
          <w:b/>
          <w:rtl/>
          <w:lang w:bidi="ar-EG"/>
        </w:rPr>
      </w:pPr>
      <w:r w:rsidRPr="00C517F3">
        <w:rPr>
          <w:rFonts w:hint="cs"/>
          <w:b/>
          <w:rtl/>
          <w:lang w:bidi="ar-EG"/>
        </w:rPr>
        <w:t xml:space="preserve">وتدرك الدول الأعضاء في </w:t>
      </w:r>
      <w:r w:rsidR="006E5CDA">
        <w:rPr>
          <w:rFonts w:hint="cs"/>
          <w:b/>
          <w:rtl/>
          <w:lang w:bidi="ar-EG"/>
        </w:rPr>
        <w:t>لجن</w:t>
      </w:r>
      <w:r w:rsidR="0083373C">
        <w:rPr>
          <w:rFonts w:hint="cs"/>
          <w:b/>
          <w:rtl/>
          <w:lang w:bidi="ar-EG"/>
        </w:rPr>
        <w:t>ة</w:t>
      </w:r>
      <w:r w:rsidR="006E5CDA">
        <w:rPr>
          <w:rFonts w:hint="cs"/>
          <w:b/>
          <w:rtl/>
          <w:lang w:bidi="ar-EG"/>
        </w:rPr>
        <w:t xml:space="preserve"> البلدان</w:t>
      </w:r>
      <w:r w:rsidRPr="00C517F3">
        <w:rPr>
          <w:rFonts w:hint="cs"/>
          <w:b/>
          <w:rtl/>
          <w:lang w:bidi="ar-EG"/>
        </w:rPr>
        <w:t xml:space="preserve"> الأمريكية للاتصالات أن مسألة تفسير لوائح الراديو قد طُرحت على مدير مكتب الاتصالات الراديوية. ونحن لا</w:t>
      </w:r>
      <w:r w:rsidR="00C0372D">
        <w:rPr>
          <w:rFonts w:hint="eastAsia"/>
          <w:b/>
          <w:rtl/>
          <w:lang w:bidi="ar-EG"/>
        </w:rPr>
        <w:t> </w:t>
      </w:r>
      <w:r w:rsidRPr="00C517F3">
        <w:rPr>
          <w:rFonts w:hint="cs"/>
          <w:b/>
          <w:rtl/>
          <w:lang w:bidi="ar-EG"/>
        </w:rPr>
        <w:t>نتفق على تعليق العمل على هذه التوصية ريثما تعالج مسألة التفسير. فمن شأن ذلك أن ينشئ سابقة سيئة يمكن استخدامها في المستقبل لتعليق العمل على أنشط</w:t>
      </w:r>
      <w:r w:rsidR="0013512C">
        <w:rPr>
          <w:rFonts w:hint="cs"/>
          <w:b/>
          <w:rtl/>
          <w:lang w:bidi="ar-EG"/>
        </w:rPr>
        <w:t>ة مماثلة بشأن ترتيبات</w:t>
      </w:r>
      <w:r w:rsidR="00C0372D">
        <w:rPr>
          <w:rFonts w:hint="eastAsia"/>
          <w:b/>
          <w:rtl/>
          <w:lang w:bidi="ar-EG"/>
        </w:rPr>
        <w:t> </w:t>
      </w:r>
      <w:r w:rsidR="0013512C">
        <w:rPr>
          <w:rFonts w:hint="cs"/>
          <w:b/>
          <w:rtl/>
          <w:lang w:bidi="ar-EG"/>
        </w:rPr>
        <w:t>الترددات.</w:t>
      </w:r>
    </w:p>
    <w:p w:rsidR="00C517F3" w:rsidRPr="00C517F3" w:rsidRDefault="00C517F3" w:rsidP="00C960FC">
      <w:pPr>
        <w:pStyle w:val="Heading1"/>
        <w:rPr>
          <w:rtl/>
          <w:lang w:bidi="ar-SY"/>
        </w:rPr>
      </w:pPr>
      <w:r w:rsidRPr="00C517F3">
        <w:rPr>
          <w:lang w:bidi="ar-EG"/>
        </w:rPr>
        <w:t>3</w:t>
      </w:r>
      <w:r w:rsidRPr="00C517F3">
        <w:rPr>
          <w:rtl/>
          <w:lang w:bidi="ar-SY"/>
        </w:rPr>
        <w:tab/>
      </w:r>
      <w:r w:rsidRPr="00C517F3">
        <w:rPr>
          <w:rFonts w:hint="cs"/>
          <w:rtl/>
          <w:lang w:bidi="ar-SY"/>
        </w:rPr>
        <w:t>المقترح</w:t>
      </w:r>
    </w:p>
    <w:p w:rsidR="00C517F3" w:rsidRPr="00C517F3" w:rsidRDefault="00C517F3" w:rsidP="0083373C">
      <w:pPr>
        <w:rPr>
          <w:rtl/>
        </w:rPr>
      </w:pPr>
      <w:r w:rsidRPr="00C517F3">
        <w:rPr>
          <w:rFonts w:hint="cs"/>
          <w:rtl/>
        </w:rPr>
        <w:t xml:space="preserve">تحث </w:t>
      </w:r>
      <w:r w:rsidR="0083373C">
        <w:rPr>
          <w:rFonts w:hint="cs"/>
          <w:b/>
          <w:rtl/>
          <w:lang w:bidi="ar-EG"/>
        </w:rPr>
        <w:t>لجنة البلدان</w:t>
      </w:r>
      <w:r w:rsidR="0083373C" w:rsidRPr="00C517F3">
        <w:rPr>
          <w:rFonts w:hint="cs"/>
          <w:b/>
          <w:rtl/>
          <w:lang w:bidi="ar-EG"/>
        </w:rPr>
        <w:t xml:space="preserve"> </w:t>
      </w:r>
      <w:r w:rsidRPr="00C517F3">
        <w:rPr>
          <w:rFonts w:hint="cs"/>
          <w:rtl/>
        </w:rPr>
        <w:t>الأمريكية للاتصالات الجمعية على الموافقة على مشروع</w:t>
      </w:r>
      <w:r w:rsidR="0083373C">
        <w:rPr>
          <w:rFonts w:hint="cs"/>
          <w:rtl/>
        </w:rPr>
        <w:t xml:space="preserve"> مراجعة</w:t>
      </w:r>
      <w:r w:rsidRPr="00C517F3">
        <w:rPr>
          <w:rFonts w:hint="cs"/>
          <w:rtl/>
        </w:rPr>
        <w:t xml:space="preserve"> التوصية </w:t>
      </w:r>
      <w:r w:rsidRPr="00C517F3">
        <w:rPr>
          <w:lang w:val="en-CA" w:bidi="ar-EG"/>
        </w:rPr>
        <w:t>ITU-R M.1036-4</w:t>
      </w:r>
      <w:r w:rsidRPr="00C517F3">
        <w:rPr>
          <w:rFonts w:hint="cs"/>
          <w:rtl/>
        </w:rPr>
        <w:t xml:space="preserve"> دون </w:t>
      </w:r>
      <w:r w:rsidR="00C960FC">
        <w:rPr>
          <w:rFonts w:hint="cs"/>
          <w:rtl/>
        </w:rPr>
        <w:t>الملاحظات الإضافية، بما</w:t>
      </w:r>
      <w:r w:rsidR="00C960FC">
        <w:rPr>
          <w:rFonts w:hint="eastAsia"/>
          <w:rtl/>
        </w:rPr>
        <w:t> </w:t>
      </w:r>
      <w:r w:rsidR="00C960FC">
        <w:rPr>
          <w:rFonts w:hint="cs"/>
          <w:rtl/>
        </w:rPr>
        <w:t>في</w:t>
      </w:r>
      <w:r w:rsidR="00D10BA5">
        <w:rPr>
          <w:rFonts w:hint="eastAsia"/>
          <w:rtl/>
        </w:rPr>
        <w:t> </w:t>
      </w:r>
      <w:r w:rsidR="00C960FC">
        <w:rPr>
          <w:rFonts w:hint="cs"/>
          <w:rtl/>
        </w:rPr>
        <w:t>ذلك:</w:t>
      </w:r>
    </w:p>
    <w:p w:rsidR="00C517F3" w:rsidRPr="00C517F3" w:rsidRDefault="006A2A69" w:rsidP="009378F0">
      <w:pPr>
        <w:pStyle w:val="enumlev1"/>
        <w:rPr>
          <w:rtl/>
        </w:rPr>
      </w:pPr>
      <w:r>
        <w:t>1</w:t>
      </w:r>
      <w:r w:rsidR="00C517F3" w:rsidRPr="00C517F3">
        <w:rPr>
          <w:rFonts w:hint="cs"/>
          <w:rtl/>
        </w:rPr>
        <w:tab/>
        <w:t>إزالة النص المشطوب المظلل باللون الأصفر والوارد في الفقرة</w:t>
      </w:r>
      <w:r w:rsidR="00C0372D">
        <w:rPr>
          <w:rFonts w:hint="eastAsia"/>
          <w:b/>
          <w:rtl/>
          <w:lang w:bidi="ar-EG"/>
        </w:rPr>
        <w:t> </w:t>
      </w:r>
      <w:r w:rsidR="00C960FC">
        <w:t>2</w:t>
      </w:r>
      <w:r w:rsidR="00C517F3" w:rsidRPr="00C517F3">
        <w:rPr>
          <w:rFonts w:hint="cs"/>
          <w:rtl/>
        </w:rPr>
        <w:t xml:space="preserve"> بين </w:t>
      </w:r>
      <w:r w:rsidR="00C517F3" w:rsidRPr="00BB5C86">
        <w:rPr>
          <w:rFonts w:hint="cs"/>
          <w:b/>
          <w:bCs/>
          <w:rtl/>
        </w:rPr>
        <w:t>الملاحظة</w:t>
      </w:r>
      <w:r w:rsidR="00C0372D" w:rsidRPr="00BB5C86">
        <w:rPr>
          <w:rFonts w:hint="eastAsia"/>
          <w:b/>
          <w:bCs/>
          <w:rtl/>
          <w:lang w:bidi="ar-EG"/>
        </w:rPr>
        <w:t> </w:t>
      </w:r>
      <w:r w:rsidR="00C960FC" w:rsidRPr="00BB5C86">
        <w:rPr>
          <w:b/>
          <w:bCs/>
        </w:rPr>
        <w:t>6</w:t>
      </w:r>
      <w:r w:rsidR="00C517F3" w:rsidRPr="00C517F3">
        <w:rPr>
          <w:rFonts w:hint="cs"/>
          <w:rtl/>
        </w:rPr>
        <w:t xml:space="preserve"> و</w:t>
      </w:r>
      <w:r w:rsidR="00C517F3" w:rsidRPr="00BB5C86">
        <w:rPr>
          <w:rFonts w:hint="cs"/>
          <w:b/>
          <w:bCs/>
          <w:rtl/>
        </w:rPr>
        <w:t>الملاحظة</w:t>
      </w:r>
      <w:r w:rsidR="00C0372D" w:rsidRPr="00BB5C86">
        <w:rPr>
          <w:rFonts w:hint="eastAsia"/>
          <w:b/>
          <w:bCs/>
          <w:rtl/>
          <w:lang w:bidi="ar-EG"/>
        </w:rPr>
        <w:t> </w:t>
      </w:r>
      <w:r w:rsidR="00C960FC" w:rsidRPr="00BB5C86">
        <w:rPr>
          <w:b/>
          <w:bCs/>
        </w:rPr>
        <w:t>7</w:t>
      </w:r>
      <w:r w:rsidR="00C517F3" w:rsidRPr="00C517F3">
        <w:rPr>
          <w:rFonts w:hint="cs"/>
          <w:rtl/>
        </w:rPr>
        <w:t xml:space="preserve"> لأن هذا النص لا</w:t>
      </w:r>
      <w:r w:rsidR="009378F0">
        <w:rPr>
          <w:rFonts w:hint="eastAsia"/>
          <w:rtl/>
        </w:rPr>
        <w:t> </w:t>
      </w:r>
      <w:r w:rsidR="00C517F3" w:rsidRPr="00C517F3">
        <w:rPr>
          <w:rFonts w:hint="cs"/>
          <w:rtl/>
        </w:rPr>
        <w:t>يظهر في</w:t>
      </w:r>
      <w:r w:rsidR="00C960FC">
        <w:rPr>
          <w:rFonts w:hint="eastAsia"/>
          <w:rtl/>
        </w:rPr>
        <w:t> </w:t>
      </w:r>
      <w:r w:rsidR="00C517F3" w:rsidRPr="00C517F3">
        <w:rPr>
          <w:rFonts w:hint="cs"/>
          <w:rtl/>
        </w:rPr>
        <w:t xml:space="preserve">التوصية </w:t>
      </w:r>
      <w:r w:rsidR="00C517F3" w:rsidRPr="00C517F3">
        <w:rPr>
          <w:lang w:val="en-CA" w:bidi="ar-EG"/>
        </w:rPr>
        <w:t>ITU-R M.1036-4</w:t>
      </w:r>
      <w:r w:rsidR="00C517F3" w:rsidRPr="00C517F3">
        <w:rPr>
          <w:rFonts w:hint="cs"/>
          <w:rtl/>
        </w:rPr>
        <w:t xml:space="preserve"> الجاري العمل </w:t>
      </w:r>
      <w:r w:rsidR="0083373C" w:rsidRPr="00C517F3">
        <w:rPr>
          <w:rFonts w:hint="cs"/>
          <w:rtl/>
        </w:rPr>
        <w:t xml:space="preserve">بها </w:t>
      </w:r>
      <w:r w:rsidR="00C517F3" w:rsidRPr="00C517F3">
        <w:rPr>
          <w:rFonts w:hint="cs"/>
          <w:rtl/>
        </w:rPr>
        <w:t xml:space="preserve">وليس ضرورياً للمراجعة. </w:t>
      </w:r>
    </w:p>
    <w:p w:rsidR="00C517F3" w:rsidRPr="00C517F3" w:rsidRDefault="006A2A69" w:rsidP="00BB5C86">
      <w:pPr>
        <w:pStyle w:val="enumlev1"/>
        <w:keepNext/>
        <w:keepLines/>
        <w:rPr>
          <w:rtl/>
        </w:rPr>
      </w:pPr>
      <w:r>
        <w:t>2</w:t>
      </w:r>
      <w:r w:rsidR="00C517F3" w:rsidRPr="00C517F3">
        <w:rPr>
          <w:rFonts w:hint="cs"/>
          <w:rtl/>
        </w:rPr>
        <w:tab/>
      </w:r>
      <w:r w:rsidR="00C517F3" w:rsidRPr="00D10BA5">
        <w:rPr>
          <w:rFonts w:hint="cs"/>
          <w:spacing w:val="2"/>
          <w:rtl/>
        </w:rPr>
        <w:t xml:space="preserve">إزالة ملاحظة المحرر المظللة باللون الأصفر والواردة بين قوسين </w:t>
      </w:r>
      <w:r w:rsidR="00BB5C86">
        <w:rPr>
          <w:rFonts w:hint="cs"/>
          <w:spacing w:val="2"/>
          <w:rtl/>
        </w:rPr>
        <w:t>معقوفين</w:t>
      </w:r>
      <w:r w:rsidR="00C517F3" w:rsidRPr="00D10BA5">
        <w:rPr>
          <w:rFonts w:hint="cs"/>
          <w:spacing w:val="2"/>
          <w:rtl/>
        </w:rPr>
        <w:t xml:space="preserve"> مباشرة تحت الجدول</w:t>
      </w:r>
      <w:r w:rsidR="00C0372D">
        <w:rPr>
          <w:rFonts w:hint="eastAsia"/>
          <w:b/>
          <w:rtl/>
          <w:lang w:bidi="ar-EG"/>
        </w:rPr>
        <w:t> </w:t>
      </w:r>
      <w:r w:rsidR="00C960FC" w:rsidRPr="00D10BA5">
        <w:rPr>
          <w:spacing w:val="2"/>
        </w:rPr>
        <w:t>4</w:t>
      </w:r>
      <w:r w:rsidR="00C517F3" w:rsidRPr="00D10BA5">
        <w:rPr>
          <w:rFonts w:hint="cs"/>
          <w:spacing w:val="2"/>
          <w:rtl/>
        </w:rPr>
        <w:t xml:space="preserve"> من الفقرة</w:t>
      </w:r>
      <w:r w:rsidR="00C0372D">
        <w:rPr>
          <w:rFonts w:hint="eastAsia"/>
          <w:b/>
          <w:rtl/>
          <w:lang w:bidi="ar-EG"/>
        </w:rPr>
        <w:t> </w:t>
      </w:r>
      <w:r w:rsidR="00C960FC" w:rsidRPr="00D10BA5">
        <w:rPr>
          <w:spacing w:val="2"/>
        </w:rPr>
        <w:t>3</w:t>
      </w:r>
      <w:r w:rsidR="00C517F3" w:rsidRPr="00D10BA5">
        <w:rPr>
          <w:rFonts w:hint="cs"/>
          <w:spacing w:val="2"/>
          <w:rtl/>
        </w:rPr>
        <w:t xml:space="preserve"> لأن الحجج المقدمة لا تنطبق على نطاق تطبيق التوصية </w:t>
      </w:r>
      <w:r w:rsidR="00C517F3" w:rsidRPr="00D10BA5">
        <w:rPr>
          <w:spacing w:val="2"/>
          <w:lang w:val="en-CA" w:bidi="ar-EG"/>
        </w:rPr>
        <w:t>ITU-R M.1036</w:t>
      </w:r>
      <w:r w:rsidR="00C517F3" w:rsidRPr="00D10BA5">
        <w:rPr>
          <w:rFonts w:hint="cs"/>
          <w:spacing w:val="2"/>
          <w:rtl/>
        </w:rPr>
        <w:t xml:space="preserve"> للأسباب الوارد وصفها في</w:t>
      </w:r>
      <w:r w:rsidR="00C0372D">
        <w:rPr>
          <w:rFonts w:hint="eastAsia"/>
          <w:b/>
          <w:rtl/>
          <w:lang w:bidi="ar-EG"/>
        </w:rPr>
        <w:t> </w:t>
      </w:r>
      <w:r w:rsidR="00C517F3" w:rsidRPr="00D10BA5">
        <w:rPr>
          <w:rFonts w:hint="cs"/>
          <w:spacing w:val="2"/>
          <w:rtl/>
        </w:rPr>
        <w:t>الفقرة الخاصة بالمناقشة</w:t>
      </w:r>
      <w:r w:rsidR="009B010C" w:rsidRPr="00D10BA5">
        <w:rPr>
          <w:rFonts w:hint="eastAsia"/>
          <w:spacing w:val="2"/>
          <w:rtl/>
        </w:rPr>
        <w:t> </w:t>
      </w:r>
      <w:r w:rsidR="00D10BA5" w:rsidRPr="00D10BA5">
        <w:rPr>
          <w:rFonts w:hint="cs"/>
          <w:spacing w:val="2"/>
          <w:rtl/>
        </w:rPr>
        <w:t>أعلاه.</w:t>
      </w:r>
    </w:p>
    <w:p w:rsidR="00C517F3" w:rsidRPr="00C517F3" w:rsidRDefault="00C517F3" w:rsidP="00BB5C86">
      <w:pPr>
        <w:keepNext/>
        <w:keepLines/>
        <w:rPr>
          <w:rtl/>
          <w:lang w:bidi="ar-EG"/>
        </w:rPr>
      </w:pPr>
      <w:r w:rsidRPr="00C960FC">
        <w:rPr>
          <w:rFonts w:hint="cs"/>
          <w:b/>
          <w:bCs/>
          <w:rtl/>
        </w:rPr>
        <w:t>الحالة:</w:t>
      </w:r>
      <w:r w:rsidRPr="00C517F3">
        <w:rPr>
          <w:rFonts w:hint="cs"/>
          <w:rtl/>
        </w:rPr>
        <w:tab/>
      </w:r>
      <w:r w:rsidR="0083373C">
        <w:rPr>
          <w:rFonts w:hint="cs"/>
          <w:rtl/>
          <w:lang w:bidi="ar-EG"/>
        </w:rPr>
        <w:t>لاتخاذ الإجراء اللازم</w:t>
      </w:r>
    </w:p>
    <w:p w:rsidR="00C517F3" w:rsidRPr="00C517F3" w:rsidRDefault="00C517F3" w:rsidP="00BB5C86">
      <w:pPr>
        <w:keepNext/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left" w:pos="5528"/>
        </w:tabs>
        <w:rPr>
          <w:rtl/>
          <w:lang w:bidi="ar-EG"/>
        </w:rPr>
      </w:pPr>
      <w:r w:rsidRPr="00C960FC">
        <w:rPr>
          <w:rFonts w:hint="cs"/>
          <w:b/>
          <w:bCs/>
          <w:rtl/>
        </w:rPr>
        <w:t>جهة الاتصال:</w:t>
      </w:r>
      <w:r w:rsidRPr="00C517F3">
        <w:rPr>
          <w:rFonts w:hint="cs"/>
          <w:rtl/>
        </w:rPr>
        <w:tab/>
      </w:r>
      <w:proofErr w:type="spellStart"/>
      <w:r w:rsidRPr="00C517F3">
        <w:rPr>
          <w:rFonts w:hint="cs"/>
          <w:rtl/>
        </w:rPr>
        <w:t>كاميلو</w:t>
      </w:r>
      <w:proofErr w:type="spellEnd"/>
      <w:r w:rsidRPr="00C517F3">
        <w:rPr>
          <w:rFonts w:hint="cs"/>
          <w:rtl/>
        </w:rPr>
        <w:t xml:space="preserve"> زامورا </w:t>
      </w:r>
      <w:proofErr w:type="spellStart"/>
      <w:r w:rsidRPr="00C517F3">
        <w:rPr>
          <w:rFonts w:hint="cs"/>
          <w:rtl/>
        </w:rPr>
        <w:t>هيريديا</w:t>
      </w:r>
      <w:proofErr w:type="spellEnd"/>
      <w:r w:rsidRPr="00C517F3">
        <w:rPr>
          <w:rFonts w:hint="cs"/>
          <w:rtl/>
        </w:rPr>
        <w:tab/>
      </w:r>
      <w:r w:rsidRPr="00BB5C86">
        <w:rPr>
          <w:rFonts w:hint="cs"/>
          <w:b/>
          <w:bCs/>
          <w:rtl/>
        </w:rPr>
        <w:t>البريد الإلكتروني:</w:t>
      </w:r>
      <w:r w:rsidRPr="00C517F3">
        <w:rPr>
          <w:rFonts w:hint="cs"/>
          <w:rtl/>
        </w:rPr>
        <w:t xml:space="preserve"> </w:t>
      </w:r>
      <w:hyperlink r:id="rId17" w:history="1">
        <w:r w:rsidRPr="00C517F3">
          <w:rPr>
            <w:rStyle w:val="Hyperlink"/>
            <w:lang w:val="pt-BR" w:bidi="ar-EG"/>
          </w:rPr>
          <w:t>camilo.zamora@ane.gov.co</w:t>
        </w:r>
      </w:hyperlink>
    </w:p>
    <w:p w:rsidR="002C116F" w:rsidRPr="00706D7A" w:rsidRDefault="00C517F3" w:rsidP="00760DC2">
      <w:pPr>
        <w:spacing w:before="360"/>
        <w:jc w:val="center"/>
        <w:rPr>
          <w:rtl/>
          <w:lang w:bidi="ar-EG"/>
        </w:rPr>
      </w:pPr>
      <w:r w:rsidRPr="00C517F3">
        <w:rPr>
          <w:rFonts w:hint="cs"/>
          <w:rtl/>
        </w:rPr>
        <w:t>__________</w:t>
      </w:r>
    </w:p>
    <w:sectPr w:rsidR="002C116F" w:rsidRPr="00706D7A" w:rsidSect="006A644C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FA" w:rsidRDefault="001046FA" w:rsidP="00F9134D">
      <w:pPr>
        <w:spacing w:before="0" w:line="240" w:lineRule="auto"/>
      </w:pPr>
      <w:r>
        <w:separator/>
      </w:r>
    </w:p>
  </w:endnote>
  <w:endnote w:type="continuationSeparator" w:id="0">
    <w:p w:rsidR="001046FA" w:rsidRDefault="001046FA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89200F" w:rsidRDefault="006A644C" w:rsidP="0089200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89200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30D2C">
      <w:rPr>
        <w:noProof/>
        <w:sz w:val="16"/>
        <w:szCs w:val="16"/>
        <w:lang w:val="es-ES"/>
      </w:rPr>
      <w:t>P:\ARA\ITU-R\CONF-R\AR15\PLEN\000\011A.docx</w:t>
    </w:r>
    <w:r w:rsidRPr="00F9134D">
      <w:rPr>
        <w:sz w:val="16"/>
        <w:szCs w:val="16"/>
      </w:rPr>
      <w:fldChar w:fldCharType="end"/>
    </w:r>
    <w:r w:rsidRPr="0089200F">
      <w:rPr>
        <w:sz w:val="16"/>
        <w:szCs w:val="16"/>
        <w:lang w:val="es-ES"/>
      </w:rPr>
      <w:t xml:space="preserve">   (</w:t>
    </w:r>
    <w:r w:rsidR="0089200F" w:rsidRPr="0089200F">
      <w:rPr>
        <w:sz w:val="16"/>
        <w:szCs w:val="16"/>
        <w:lang w:val="es-ES"/>
      </w:rPr>
      <w:t>387368</w:t>
    </w:r>
    <w:r w:rsidRPr="0089200F">
      <w:rPr>
        <w:sz w:val="16"/>
        <w:szCs w:val="16"/>
        <w:lang w:val="es-ES"/>
      </w:rPr>
      <w:t>)</w:t>
    </w:r>
    <w:r w:rsidRPr="0089200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230D2C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89200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230D2C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89200F" w:rsidRDefault="006A644C" w:rsidP="0089200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89200F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30D2C">
      <w:rPr>
        <w:noProof/>
        <w:sz w:val="16"/>
        <w:szCs w:val="16"/>
        <w:lang w:val="es-ES"/>
      </w:rPr>
      <w:t>P:\ARA\ITU-R\CONF-R\AR15\PLEN\000\011A.docx</w:t>
    </w:r>
    <w:r w:rsidRPr="00F9134D">
      <w:rPr>
        <w:sz w:val="16"/>
        <w:szCs w:val="16"/>
      </w:rPr>
      <w:fldChar w:fldCharType="end"/>
    </w:r>
    <w:r w:rsidRPr="0089200F">
      <w:rPr>
        <w:sz w:val="16"/>
        <w:szCs w:val="16"/>
        <w:lang w:val="es-ES"/>
      </w:rPr>
      <w:t xml:space="preserve">   (</w:t>
    </w:r>
    <w:r w:rsidR="0089200F" w:rsidRPr="0089200F">
      <w:rPr>
        <w:sz w:val="16"/>
        <w:szCs w:val="16"/>
        <w:lang w:val="es-ES"/>
      </w:rPr>
      <w:t>387368</w:t>
    </w:r>
    <w:r w:rsidRPr="0089200F">
      <w:rPr>
        <w:sz w:val="16"/>
        <w:szCs w:val="16"/>
        <w:lang w:val="es-ES"/>
      </w:rPr>
      <w:t>)</w:t>
    </w:r>
    <w:r w:rsidRPr="0089200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230D2C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89200F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230D2C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FA" w:rsidRDefault="001046FA" w:rsidP="00F9134D">
      <w:pPr>
        <w:spacing w:before="0" w:line="240" w:lineRule="auto"/>
      </w:pPr>
      <w:r>
        <w:separator/>
      </w:r>
    </w:p>
  </w:footnote>
  <w:footnote w:type="continuationSeparator" w:id="0">
    <w:p w:rsidR="001046FA" w:rsidRDefault="001046FA" w:rsidP="00F9134D">
      <w:pPr>
        <w:spacing w:before="0" w:line="240" w:lineRule="auto"/>
      </w:pPr>
      <w:r>
        <w:continuationSeparator/>
      </w:r>
    </w:p>
  </w:footnote>
  <w:footnote w:id="1">
    <w:p w:rsidR="00C517F3" w:rsidRPr="00710CDB" w:rsidRDefault="00BC1980" w:rsidP="004A2D97">
      <w:pPr>
        <w:pStyle w:val="Footnotetexte"/>
      </w:pPr>
      <w:r>
        <w:rPr>
          <w:rStyle w:val="FootnoteReference"/>
          <w:rFonts w:ascii="Times New Roman" w:hAnsi="Times New Roman" w:cs="Traditional Arabic"/>
          <w:position w:val="0"/>
          <w:sz w:val="20"/>
          <w:szCs w:val="26"/>
        </w:rPr>
        <w:t>1</w:t>
      </w:r>
      <w:r w:rsidR="00FC3909">
        <w:rPr>
          <w:rtl/>
        </w:rPr>
        <w:tab/>
      </w:r>
      <w:r w:rsidR="00C517F3" w:rsidRPr="00710CDB">
        <w:rPr>
          <w:rFonts w:hint="cs"/>
          <w:rtl/>
        </w:rPr>
        <w:t>تمت الموافقة على هذه المساهمة في الاجتماع السادس والعشرين للجنة الاستشارية الدائمة الثانية (الاتصالات الراديوية)</w:t>
      </w:r>
      <w:r w:rsidR="004A2D97">
        <w:rPr>
          <w:rFonts w:hint="eastAsia"/>
          <w:rtl/>
          <w:lang w:bidi="ar-EG"/>
        </w:rPr>
        <w:t> </w:t>
      </w:r>
      <w:r w:rsidR="00710CDB">
        <w:rPr>
          <w:lang w:bidi="ar-EG"/>
        </w:rPr>
        <w:t>(PCC.II)</w:t>
      </w:r>
      <w:r w:rsidR="00C517F3" w:rsidRPr="00710CDB">
        <w:rPr>
          <w:rFonts w:hint="cs"/>
          <w:rtl/>
        </w:rPr>
        <w:t xml:space="preserve"> التابعة للجنة الأمريكية للاتصالات</w:t>
      </w:r>
      <w:r w:rsidR="004A2D97">
        <w:rPr>
          <w:rFonts w:hint="eastAsia"/>
          <w:rtl/>
          <w:lang w:bidi="ar-EG"/>
        </w:rPr>
        <w:t> </w:t>
      </w:r>
      <w:r w:rsidR="00710CDB">
        <w:rPr>
          <w:lang w:bidi="ar-EG"/>
        </w:rPr>
        <w:t>(CITEL)</w:t>
      </w:r>
      <w:r w:rsidR="00C517F3" w:rsidRPr="00710CDB">
        <w:rPr>
          <w:rFonts w:hint="cs"/>
          <w:rtl/>
        </w:rPr>
        <w:t xml:space="preserve"> الذي عُقد في</w:t>
      </w:r>
      <w:r w:rsidR="004A2D97">
        <w:rPr>
          <w:rFonts w:hint="eastAsia"/>
          <w:rtl/>
        </w:rPr>
        <w:t> </w:t>
      </w:r>
      <w:r w:rsidR="00710CDB">
        <w:t>17</w:t>
      </w:r>
      <w:r w:rsidR="00710CDB">
        <w:rPr>
          <w:rFonts w:hint="cs"/>
          <w:rtl/>
          <w:lang w:bidi="ar-EG"/>
        </w:rPr>
        <w:t>-</w:t>
      </w:r>
      <w:r w:rsidR="00710CDB">
        <w:rPr>
          <w:lang w:bidi="ar-EG"/>
        </w:rPr>
        <w:t>21</w:t>
      </w:r>
      <w:r w:rsidR="00C517F3" w:rsidRPr="00710CDB">
        <w:rPr>
          <w:rFonts w:hint="cs"/>
          <w:rtl/>
        </w:rPr>
        <w:t xml:space="preserve"> أغسطس</w:t>
      </w:r>
      <w:r w:rsidR="004A2D97">
        <w:rPr>
          <w:rFonts w:hint="eastAsia"/>
          <w:rtl/>
        </w:rPr>
        <w:t> </w:t>
      </w:r>
      <w:r w:rsidR="00710CDB">
        <w:t>2015</w:t>
      </w:r>
      <w:r w:rsidR="00C517F3" w:rsidRPr="00710CDB">
        <w:rPr>
          <w:rFonts w:hint="cs"/>
          <w:rtl/>
        </w:rPr>
        <w:t xml:space="preserve"> في أوتاوا، كندا، بدعمٍ من البلدان التالية: كول</w:t>
      </w:r>
      <w:r w:rsidR="009A2232">
        <w:rPr>
          <w:rFonts w:hint="cs"/>
          <w:rtl/>
        </w:rPr>
        <w:t>ومبيا وكندا وإكوادور</w:t>
      </w:r>
      <w:r w:rsidR="00FC3909">
        <w:rPr>
          <w:rFonts w:hint="eastAsia"/>
          <w:rtl/>
        </w:rPr>
        <w:t> </w:t>
      </w:r>
      <w:r w:rsidR="009A2232">
        <w:rPr>
          <w:rFonts w:hint="cs"/>
          <w:rtl/>
        </w:rPr>
        <w:t>والمكسيك.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046A16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230D2C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7E24ED">
      <w:rPr>
        <w:rFonts w:cs="Times New Roman"/>
        <w:sz w:val="20"/>
        <w:szCs w:val="20"/>
      </w:rPr>
      <w:t>RA15/</w:t>
    </w:r>
    <w:r w:rsidR="0089200F">
      <w:rPr>
        <w:rFonts w:cs="Times New Roman"/>
        <w:sz w:val="20"/>
        <w:szCs w:val="20"/>
      </w:rPr>
      <w:t>PLEN</w:t>
    </w:r>
    <w:r w:rsidRPr="006A644C">
      <w:rPr>
        <w:rFonts w:cs="Times New Roman"/>
        <w:sz w:val="20"/>
        <w:szCs w:val="20"/>
      </w:rPr>
      <w:t>/</w:t>
    </w:r>
    <w:r w:rsidR="0089200F">
      <w:rPr>
        <w:rFonts w:cs="Times New Roman"/>
        <w:sz w:val="20"/>
        <w:szCs w:val="20"/>
      </w:rPr>
      <w:t>11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FA"/>
    <w:rsid w:val="00046A16"/>
    <w:rsid w:val="000608C1"/>
    <w:rsid w:val="00090574"/>
    <w:rsid w:val="000963B6"/>
    <w:rsid w:val="000A7B06"/>
    <w:rsid w:val="001046FA"/>
    <w:rsid w:val="0013512C"/>
    <w:rsid w:val="00160530"/>
    <w:rsid w:val="00173915"/>
    <w:rsid w:val="001952E0"/>
    <w:rsid w:val="001D17A2"/>
    <w:rsid w:val="00230D2C"/>
    <w:rsid w:val="0023283D"/>
    <w:rsid w:val="002978F4"/>
    <w:rsid w:val="002B028D"/>
    <w:rsid w:val="002C116F"/>
    <w:rsid w:val="002E625E"/>
    <w:rsid w:val="002E6541"/>
    <w:rsid w:val="00357185"/>
    <w:rsid w:val="003C4D8E"/>
    <w:rsid w:val="003F678F"/>
    <w:rsid w:val="0042686F"/>
    <w:rsid w:val="00443869"/>
    <w:rsid w:val="004A2D97"/>
    <w:rsid w:val="004E7162"/>
    <w:rsid w:val="00501E0E"/>
    <w:rsid w:val="0055516A"/>
    <w:rsid w:val="00583FE7"/>
    <w:rsid w:val="0060468A"/>
    <w:rsid w:val="00650CC4"/>
    <w:rsid w:val="006A2A69"/>
    <w:rsid w:val="006A644C"/>
    <w:rsid w:val="006B7027"/>
    <w:rsid w:val="006C0AC7"/>
    <w:rsid w:val="006C51D4"/>
    <w:rsid w:val="006E5CDA"/>
    <w:rsid w:val="006F63F7"/>
    <w:rsid w:val="00706D7A"/>
    <w:rsid w:val="00710CDB"/>
    <w:rsid w:val="0074657D"/>
    <w:rsid w:val="00760DC2"/>
    <w:rsid w:val="007B0229"/>
    <w:rsid w:val="007E24ED"/>
    <w:rsid w:val="00803F08"/>
    <w:rsid w:val="008235CD"/>
    <w:rsid w:val="0083373C"/>
    <w:rsid w:val="00850B5D"/>
    <w:rsid w:val="008513CB"/>
    <w:rsid w:val="0089200F"/>
    <w:rsid w:val="008E0603"/>
    <w:rsid w:val="009378F0"/>
    <w:rsid w:val="00951C29"/>
    <w:rsid w:val="00952D2C"/>
    <w:rsid w:val="00982B28"/>
    <w:rsid w:val="009A2232"/>
    <w:rsid w:val="009B010C"/>
    <w:rsid w:val="009B581E"/>
    <w:rsid w:val="00A06D95"/>
    <w:rsid w:val="00A75326"/>
    <w:rsid w:val="00A8197E"/>
    <w:rsid w:val="00A97F94"/>
    <w:rsid w:val="00AE2F7E"/>
    <w:rsid w:val="00B23259"/>
    <w:rsid w:val="00B507B5"/>
    <w:rsid w:val="00B60766"/>
    <w:rsid w:val="00B830E4"/>
    <w:rsid w:val="00BB5C86"/>
    <w:rsid w:val="00BC1980"/>
    <w:rsid w:val="00BE4D71"/>
    <w:rsid w:val="00BF2C38"/>
    <w:rsid w:val="00C0372D"/>
    <w:rsid w:val="00C517F3"/>
    <w:rsid w:val="00C51DAD"/>
    <w:rsid w:val="00C674FE"/>
    <w:rsid w:val="00C75633"/>
    <w:rsid w:val="00C960FC"/>
    <w:rsid w:val="00CE2EE1"/>
    <w:rsid w:val="00CF3FFD"/>
    <w:rsid w:val="00D01BDF"/>
    <w:rsid w:val="00D10BA5"/>
    <w:rsid w:val="00D77D0F"/>
    <w:rsid w:val="00DA1CF0"/>
    <w:rsid w:val="00DC24B4"/>
    <w:rsid w:val="00DC4055"/>
    <w:rsid w:val="00DE7D8E"/>
    <w:rsid w:val="00DF16DC"/>
    <w:rsid w:val="00DF6EE8"/>
    <w:rsid w:val="00E17033"/>
    <w:rsid w:val="00E45211"/>
    <w:rsid w:val="00E606CE"/>
    <w:rsid w:val="00E61AF0"/>
    <w:rsid w:val="00F401D0"/>
    <w:rsid w:val="00F84366"/>
    <w:rsid w:val="00F85089"/>
    <w:rsid w:val="00F9134D"/>
    <w:rsid w:val="00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08FC113-52DD-4CE9-A282-D116E73E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styleId="Hyperlink">
    <w:name w:val="Hyperlink"/>
    <w:basedOn w:val="DefaultParagraphFont"/>
    <w:uiPriority w:val="99"/>
    <w:unhideWhenUsed/>
    <w:rsid w:val="00937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el.oas.org/en/SiteAssets/PCCII/Final-Reports/P2!R-3597r1_i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as.org/citeldocuments/Download.aspx?id=2048" TargetMode="External"/><Relationship Id="rId17" Type="http://schemas.openxmlformats.org/officeDocument/2006/relationships/hyperlink" Target="mailto:camilo.zamora@ane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5-C-0213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-024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as.org/citeldocuments/Download.aspx?id=476" TargetMode="External"/><Relationship Id="rId10" Type="http://schemas.openxmlformats.org/officeDocument/2006/relationships/hyperlink" Target="http://www.itu.int/md/R12-WP5D-C-0791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8/en" TargetMode="External"/><Relationship Id="rId14" Type="http://schemas.openxmlformats.org/officeDocument/2006/relationships/hyperlink" Target="http://www.itu.int/rec/R-REC-M.1036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BF364-5EA9-489C-B842-93CFFEBC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71</TotalTime>
  <Pages>1</Pages>
  <Words>715</Words>
  <Characters>3826</Characters>
  <Application>Microsoft Office Word</Application>
  <DocSecurity>0</DocSecurity>
  <Lines>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35</cp:revision>
  <cp:lastPrinted>2015-10-24T12:49:00Z</cp:lastPrinted>
  <dcterms:created xsi:type="dcterms:W3CDTF">2015-10-23T08:34:00Z</dcterms:created>
  <dcterms:modified xsi:type="dcterms:W3CDTF">2015-10-24T12:49:00Z</dcterms:modified>
</cp:coreProperties>
</file>