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C71F73" w:rsidRPr="00793844" w:rsidTr="00C71F73">
        <w:trPr>
          <w:cantSplit/>
        </w:trPr>
        <w:tc>
          <w:tcPr>
            <w:tcW w:w="6345" w:type="dxa"/>
          </w:tcPr>
          <w:p w:rsidR="00C71F73" w:rsidRPr="00793844" w:rsidRDefault="00C71F73" w:rsidP="00D262CE">
            <w:pPr>
              <w:spacing w:before="400" w:after="48" w:line="240" w:lineRule="atLeast"/>
              <w:rPr>
                <w:rFonts w:ascii="Verdana" w:hAnsi="Verdana"/>
                <w:position w:val="6"/>
                <w:sz w:val="22"/>
                <w:szCs w:val="22"/>
              </w:rPr>
            </w:pPr>
            <w:r w:rsidRPr="00793844">
              <w:rPr>
                <w:rFonts w:ascii="Verdana" w:hAnsi="Verdana"/>
                <w:b/>
                <w:sz w:val="26"/>
                <w:szCs w:val="26"/>
              </w:rPr>
              <w:t>Radiocommunication Assembly (RA-15)</w:t>
            </w:r>
            <w:r w:rsidRPr="00793844">
              <w:rPr>
                <w:rFonts w:ascii="Verdana" w:hAnsi="Verdana"/>
                <w:b/>
                <w:sz w:val="22"/>
                <w:szCs w:val="22"/>
              </w:rPr>
              <w:br/>
            </w:r>
            <w:r w:rsidRPr="00793844">
              <w:rPr>
                <w:rFonts w:ascii="Verdana" w:hAnsi="Verdana"/>
                <w:b/>
                <w:bCs/>
                <w:sz w:val="20"/>
              </w:rPr>
              <w:t>Geneva, 26-30 October 2015</w:t>
            </w:r>
          </w:p>
        </w:tc>
        <w:tc>
          <w:tcPr>
            <w:tcW w:w="3686" w:type="dxa"/>
          </w:tcPr>
          <w:p w:rsidR="00C71F73" w:rsidRPr="00793844" w:rsidRDefault="00C71F73" w:rsidP="00D262CE">
            <w:pPr>
              <w:spacing w:line="240" w:lineRule="atLeast"/>
              <w:jc w:val="right"/>
            </w:pPr>
            <w:bookmarkStart w:id="0" w:name="ditulogo"/>
            <w:bookmarkEnd w:id="0"/>
            <w:r w:rsidRPr="00793844">
              <w:rPr>
                <w:noProof/>
                <w:lang w:val="en-US" w:eastAsia="zh-CN"/>
              </w:rPr>
              <w:drawing>
                <wp:inline distT="0" distB="0" distL="0" distR="0" wp14:anchorId="2BF1BD92" wp14:editId="74024C3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71F73" w:rsidRPr="00793844" w:rsidTr="00C71F73">
        <w:trPr>
          <w:cantSplit/>
        </w:trPr>
        <w:tc>
          <w:tcPr>
            <w:tcW w:w="6345" w:type="dxa"/>
            <w:tcBorders>
              <w:bottom w:val="single" w:sz="12" w:space="0" w:color="auto"/>
            </w:tcBorders>
          </w:tcPr>
          <w:p w:rsidR="00C71F73" w:rsidRPr="00793844" w:rsidRDefault="00BA10B5" w:rsidP="00C71F73">
            <w:pPr>
              <w:spacing w:before="0" w:after="48" w:line="240" w:lineRule="atLeast"/>
              <w:rPr>
                <w:b/>
                <w:smallCaps/>
                <w:szCs w:val="24"/>
              </w:rPr>
            </w:pPr>
            <w:bookmarkStart w:id="1" w:name="dhead"/>
            <w:r w:rsidRPr="00793844">
              <w:rPr>
                <w:rFonts w:ascii="Verdana" w:hAnsi="Verdana"/>
                <w:b/>
                <w:bCs/>
                <w:position w:val="6"/>
                <w:sz w:val="20"/>
              </w:rPr>
              <w:t>INTERNATIONAL TELECOMMUNICATION UNION</w:t>
            </w:r>
          </w:p>
        </w:tc>
        <w:tc>
          <w:tcPr>
            <w:tcW w:w="3686" w:type="dxa"/>
            <w:tcBorders>
              <w:bottom w:val="single" w:sz="12" w:space="0" w:color="auto"/>
            </w:tcBorders>
          </w:tcPr>
          <w:p w:rsidR="00C71F73" w:rsidRPr="00793844" w:rsidRDefault="00C71F73" w:rsidP="00C71F73">
            <w:pPr>
              <w:spacing w:before="0" w:line="240" w:lineRule="atLeast"/>
              <w:rPr>
                <w:rFonts w:ascii="Verdana" w:hAnsi="Verdana"/>
                <w:szCs w:val="24"/>
              </w:rPr>
            </w:pPr>
          </w:p>
        </w:tc>
      </w:tr>
      <w:tr w:rsidR="00C71F73" w:rsidRPr="00793844" w:rsidTr="00C71F73">
        <w:trPr>
          <w:cantSplit/>
        </w:trPr>
        <w:tc>
          <w:tcPr>
            <w:tcW w:w="6345" w:type="dxa"/>
            <w:tcBorders>
              <w:top w:val="single" w:sz="12" w:space="0" w:color="auto"/>
            </w:tcBorders>
          </w:tcPr>
          <w:p w:rsidR="00C71F73" w:rsidRPr="00793844" w:rsidRDefault="00C71F73" w:rsidP="00C71F73">
            <w:pPr>
              <w:spacing w:before="0" w:after="48" w:line="240" w:lineRule="atLeast"/>
              <w:rPr>
                <w:rFonts w:ascii="Verdana" w:hAnsi="Verdana"/>
                <w:b/>
                <w:smallCaps/>
                <w:sz w:val="20"/>
              </w:rPr>
            </w:pPr>
          </w:p>
        </w:tc>
        <w:tc>
          <w:tcPr>
            <w:tcW w:w="3686" w:type="dxa"/>
            <w:tcBorders>
              <w:top w:val="single" w:sz="12" w:space="0" w:color="auto"/>
            </w:tcBorders>
          </w:tcPr>
          <w:p w:rsidR="00C71F73" w:rsidRPr="00793844" w:rsidRDefault="00C71F73" w:rsidP="00C71F73">
            <w:pPr>
              <w:spacing w:before="0" w:line="240" w:lineRule="atLeast"/>
              <w:rPr>
                <w:rFonts w:ascii="Verdana" w:hAnsi="Verdana"/>
                <w:sz w:val="20"/>
              </w:rPr>
            </w:pPr>
          </w:p>
        </w:tc>
      </w:tr>
      <w:tr w:rsidR="00C71F73" w:rsidRPr="00793844" w:rsidTr="00C71F73">
        <w:trPr>
          <w:cantSplit/>
          <w:trHeight w:val="23"/>
        </w:trPr>
        <w:tc>
          <w:tcPr>
            <w:tcW w:w="6345" w:type="dxa"/>
            <w:vMerge w:val="restart"/>
          </w:tcPr>
          <w:p w:rsidR="00C71F73" w:rsidRPr="00793844" w:rsidRDefault="00C71F73" w:rsidP="00C71F73">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793844">
              <w:rPr>
                <w:rFonts w:ascii="Verdana" w:hAnsi="Verdana"/>
                <w:b/>
                <w:sz w:val="20"/>
              </w:rPr>
              <w:t>PLENARY MEETING</w:t>
            </w:r>
          </w:p>
        </w:tc>
        <w:tc>
          <w:tcPr>
            <w:tcW w:w="3686" w:type="dxa"/>
          </w:tcPr>
          <w:p w:rsidR="00C71F73" w:rsidRPr="00793844" w:rsidRDefault="00C71F73" w:rsidP="00CE687E">
            <w:pPr>
              <w:tabs>
                <w:tab w:val="left" w:pos="851"/>
              </w:tabs>
              <w:spacing w:before="0" w:line="240" w:lineRule="atLeast"/>
              <w:rPr>
                <w:rFonts w:ascii="Verdana" w:hAnsi="Verdana"/>
                <w:sz w:val="20"/>
              </w:rPr>
            </w:pPr>
            <w:r w:rsidRPr="00793844">
              <w:rPr>
                <w:rFonts w:ascii="Verdana" w:hAnsi="Verdana"/>
                <w:b/>
                <w:sz w:val="20"/>
              </w:rPr>
              <w:t>Document RA1</w:t>
            </w:r>
            <w:r w:rsidR="00E12FD5" w:rsidRPr="00793844">
              <w:rPr>
                <w:rFonts w:ascii="Verdana" w:hAnsi="Verdana"/>
                <w:b/>
                <w:sz w:val="20"/>
              </w:rPr>
              <w:t>5</w:t>
            </w:r>
            <w:r w:rsidRPr="00793844">
              <w:rPr>
                <w:rFonts w:ascii="Verdana" w:hAnsi="Verdana"/>
                <w:b/>
                <w:sz w:val="20"/>
              </w:rPr>
              <w:t>/PLEN/</w:t>
            </w:r>
            <w:r w:rsidR="00CE687E" w:rsidRPr="00793844">
              <w:rPr>
                <w:rFonts w:ascii="Verdana" w:hAnsi="Verdana"/>
                <w:b/>
                <w:sz w:val="20"/>
              </w:rPr>
              <w:t>13</w:t>
            </w:r>
            <w:r w:rsidRPr="00793844">
              <w:rPr>
                <w:rFonts w:ascii="Verdana" w:hAnsi="Verdana"/>
                <w:b/>
                <w:sz w:val="20"/>
              </w:rPr>
              <w:t>-E</w:t>
            </w:r>
          </w:p>
        </w:tc>
      </w:tr>
      <w:tr w:rsidR="00C71F73" w:rsidRPr="00793844" w:rsidTr="00C71F73">
        <w:trPr>
          <w:cantSplit/>
          <w:trHeight w:val="23"/>
        </w:trPr>
        <w:tc>
          <w:tcPr>
            <w:tcW w:w="6345" w:type="dxa"/>
            <w:vMerge/>
          </w:tcPr>
          <w:p w:rsidR="00C71F73" w:rsidRPr="00793844" w:rsidRDefault="00C71F73">
            <w:pPr>
              <w:tabs>
                <w:tab w:val="left" w:pos="851"/>
              </w:tabs>
              <w:spacing w:line="240" w:lineRule="atLeast"/>
              <w:rPr>
                <w:rFonts w:ascii="Verdana" w:hAnsi="Verdana"/>
                <w:b/>
                <w:sz w:val="20"/>
              </w:rPr>
            </w:pPr>
            <w:bookmarkStart w:id="4" w:name="ddate" w:colFirst="1" w:colLast="1"/>
            <w:bookmarkEnd w:id="2"/>
            <w:bookmarkEnd w:id="3"/>
          </w:p>
        </w:tc>
        <w:tc>
          <w:tcPr>
            <w:tcW w:w="3686" w:type="dxa"/>
          </w:tcPr>
          <w:p w:rsidR="00C71F73" w:rsidRPr="00793844" w:rsidRDefault="00CE687E" w:rsidP="00C71F73">
            <w:pPr>
              <w:tabs>
                <w:tab w:val="left" w:pos="993"/>
              </w:tabs>
              <w:spacing w:before="0"/>
              <w:rPr>
                <w:rFonts w:ascii="Verdana" w:hAnsi="Verdana"/>
                <w:sz w:val="20"/>
              </w:rPr>
            </w:pPr>
            <w:r w:rsidRPr="00793844">
              <w:rPr>
                <w:rFonts w:ascii="Verdana" w:hAnsi="Verdana"/>
                <w:b/>
                <w:sz w:val="20"/>
              </w:rPr>
              <w:t>9 October</w:t>
            </w:r>
            <w:r w:rsidR="00196475" w:rsidRPr="00793844">
              <w:rPr>
                <w:rFonts w:ascii="Verdana" w:hAnsi="Verdana"/>
                <w:b/>
                <w:sz w:val="20"/>
              </w:rPr>
              <w:t xml:space="preserve"> </w:t>
            </w:r>
            <w:r w:rsidR="00C71F73" w:rsidRPr="00793844">
              <w:rPr>
                <w:rFonts w:ascii="Verdana" w:hAnsi="Verdana"/>
                <w:b/>
                <w:sz w:val="20"/>
              </w:rPr>
              <w:t>2015</w:t>
            </w:r>
          </w:p>
        </w:tc>
      </w:tr>
      <w:tr w:rsidR="00C71F73" w:rsidRPr="00793844" w:rsidTr="00C71F73">
        <w:trPr>
          <w:cantSplit/>
          <w:trHeight w:val="23"/>
        </w:trPr>
        <w:tc>
          <w:tcPr>
            <w:tcW w:w="6345" w:type="dxa"/>
            <w:vMerge/>
          </w:tcPr>
          <w:p w:rsidR="00C71F73" w:rsidRPr="00793844" w:rsidRDefault="00C71F73">
            <w:pPr>
              <w:tabs>
                <w:tab w:val="left" w:pos="851"/>
              </w:tabs>
              <w:spacing w:line="240" w:lineRule="atLeast"/>
              <w:rPr>
                <w:rFonts w:ascii="Verdana" w:hAnsi="Verdana"/>
                <w:b/>
                <w:sz w:val="20"/>
              </w:rPr>
            </w:pPr>
            <w:bookmarkStart w:id="5" w:name="dorlang" w:colFirst="1" w:colLast="1"/>
            <w:bookmarkEnd w:id="4"/>
          </w:p>
        </w:tc>
        <w:tc>
          <w:tcPr>
            <w:tcW w:w="3686" w:type="dxa"/>
          </w:tcPr>
          <w:p w:rsidR="00C71F73" w:rsidRPr="00793844" w:rsidRDefault="00C71F73" w:rsidP="00C71F73">
            <w:pPr>
              <w:tabs>
                <w:tab w:val="left" w:pos="993"/>
              </w:tabs>
              <w:spacing w:before="0" w:after="120"/>
              <w:rPr>
                <w:rFonts w:ascii="Verdana" w:hAnsi="Verdana"/>
                <w:sz w:val="20"/>
              </w:rPr>
            </w:pPr>
            <w:r w:rsidRPr="00793844">
              <w:rPr>
                <w:rFonts w:ascii="Verdana" w:hAnsi="Verdana"/>
                <w:b/>
                <w:sz w:val="20"/>
              </w:rPr>
              <w:t>Original: English</w:t>
            </w:r>
          </w:p>
        </w:tc>
      </w:tr>
      <w:tr w:rsidR="00C71F73" w:rsidRPr="00793844" w:rsidTr="00C71F73">
        <w:trPr>
          <w:cantSplit/>
        </w:trPr>
        <w:tc>
          <w:tcPr>
            <w:tcW w:w="10031" w:type="dxa"/>
            <w:gridSpan w:val="2"/>
          </w:tcPr>
          <w:p w:rsidR="00C71F73" w:rsidRPr="00793844" w:rsidRDefault="00D61131" w:rsidP="008A04FB">
            <w:pPr>
              <w:pStyle w:val="Source"/>
              <w:spacing w:before="240"/>
            </w:pPr>
            <w:bookmarkStart w:id="6" w:name="dsource" w:colFirst="0" w:colLast="0"/>
            <w:bookmarkEnd w:id="5"/>
            <w:r w:rsidRPr="00793844">
              <w:t xml:space="preserve">Germany (Federal Republic of), </w:t>
            </w:r>
            <w:r w:rsidR="00482F5D" w:rsidRPr="00793844">
              <w:t xml:space="preserve">Angola (Republic of), </w:t>
            </w:r>
            <w:r w:rsidR="000F066E" w:rsidRPr="00793844">
              <w:t xml:space="preserve">Saudi Arabia (Kingdom of), </w:t>
            </w:r>
            <w:r w:rsidR="00482F5D" w:rsidRPr="00793844">
              <w:t xml:space="preserve">Austria, Bahrain (Kingdom of), Benin (Republic of), Botswana (Republic of), Burkina Faso, Burundi (Republic of), Cameroon (Republic of), Central African Republic, Congo (Republic of the), Côte d'Ivoire (Republic of), Croatia (Republic of), Denmark, Djibouti (Republic of), Egypt (Arab Republic of), </w:t>
            </w:r>
            <w:r w:rsidR="000F066E" w:rsidRPr="00793844">
              <w:t xml:space="preserve">United Arab Emirates, </w:t>
            </w:r>
            <w:r w:rsidR="00BC4FC3" w:rsidRPr="00793844">
              <w:t xml:space="preserve">State of Palestine, </w:t>
            </w:r>
            <w:r w:rsidR="00482F5D" w:rsidRPr="00793844">
              <w:t>Finland, France, Gabon</w:t>
            </w:r>
            <w:r w:rsidR="008A04FB" w:rsidRPr="00793844">
              <w:t>ese Republic</w:t>
            </w:r>
            <w:r w:rsidR="00482F5D" w:rsidRPr="00793844">
              <w:t>, Gambia (Republic of</w:t>
            </w:r>
            <w:r w:rsidR="008B3EBA" w:rsidRPr="00793844">
              <w:t xml:space="preserve"> the</w:t>
            </w:r>
            <w:r w:rsidR="00482F5D" w:rsidRPr="00793844">
              <w:t xml:space="preserve">), Ghana, Guinea (Republic of), Hungary, Jordan (Hashemite Kingdom of), Kenya (Republic of), Kuwait (State of), </w:t>
            </w:r>
            <w:r w:rsidRPr="00793844">
              <w:t xml:space="preserve">Lesotho (Kingdom of), </w:t>
            </w:r>
            <w:r w:rsidR="00482F5D" w:rsidRPr="00793844">
              <w:t xml:space="preserve">Lebanon, Liberia (Republic of), Luxembourg, Madagascar (Republic of), Malawi, Mali (Republic of), Morocco (Kingdom of), </w:t>
            </w:r>
            <w:r w:rsidRPr="00793844">
              <w:t xml:space="preserve">Mauritania (Islamic Republic of), </w:t>
            </w:r>
            <w:r w:rsidR="00482F5D" w:rsidRPr="00793844">
              <w:t>Mozambique (Republic of), Namibia</w:t>
            </w:r>
            <w:r w:rsidR="00081E7C" w:rsidRPr="00793844">
              <w:t xml:space="preserve"> (Republic of)</w:t>
            </w:r>
            <w:r w:rsidR="00482F5D" w:rsidRPr="00793844">
              <w:t>, Niger (Republic of</w:t>
            </w:r>
            <w:r w:rsidR="00081E7C" w:rsidRPr="00793844">
              <w:t xml:space="preserve"> the</w:t>
            </w:r>
            <w:r w:rsidR="00482F5D" w:rsidRPr="00793844">
              <w:t>), Nigeria (Federal Republic of), Norway, Oman (Sultanate of),</w:t>
            </w:r>
            <w:r w:rsidR="000F066E" w:rsidRPr="00793844">
              <w:t xml:space="preserve"> Uganda, </w:t>
            </w:r>
            <w:r w:rsidRPr="00793844">
              <w:t xml:space="preserve">Netherlands (Kingdom of the), </w:t>
            </w:r>
            <w:r w:rsidR="00482F5D" w:rsidRPr="00793844">
              <w:t xml:space="preserve">Poland (Republic of), Portugal, Qatar (State of), </w:t>
            </w:r>
            <w:r w:rsidR="00BC4FC3" w:rsidRPr="00793844">
              <w:t xml:space="preserve">Democratic Republic of the Congo, </w:t>
            </w:r>
            <w:r w:rsidR="000F066E" w:rsidRPr="00793844">
              <w:t xml:space="preserve">Czech Republic, United Kingdom of Great Britain and Northern Ireland, </w:t>
            </w:r>
            <w:r w:rsidR="00482F5D" w:rsidRPr="00793844">
              <w:t xml:space="preserve">Rwanda (Republic of), Senegal (Republic of), </w:t>
            </w:r>
            <w:r w:rsidR="003378CD" w:rsidRPr="00793844">
              <w:t xml:space="preserve">Sudan (Republic of the), </w:t>
            </w:r>
            <w:r w:rsidR="00482F5D" w:rsidRPr="00793844">
              <w:t xml:space="preserve">South Sudan (Republic of), </w:t>
            </w:r>
            <w:r w:rsidR="000F066E" w:rsidRPr="00793844">
              <w:t xml:space="preserve">South Africa (Republic of), Sweden, Switzerland (Confederation of), </w:t>
            </w:r>
            <w:r w:rsidR="00482F5D" w:rsidRPr="00793844">
              <w:t xml:space="preserve">Swaziland (Kingdom of), Tanzania (United Republic of), </w:t>
            </w:r>
            <w:r w:rsidR="000F066E" w:rsidRPr="00793844">
              <w:t xml:space="preserve">Chad (Republic of), </w:t>
            </w:r>
            <w:r w:rsidR="00482F5D" w:rsidRPr="00793844">
              <w:t xml:space="preserve">Tunisia, Turkey, </w:t>
            </w:r>
            <w:r w:rsidR="00B64E3F" w:rsidRPr="00793844">
              <w:t>Zambia (Republic of),</w:t>
            </w:r>
            <w:r w:rsidR="008A04FB" w:rsidRPr="00793844">
              <w:br/>
            </w:r>
            <w:r w:rsidR="00B64E3F" w:rsidRPr="00793844">
              <w:t>Zimbabwe </w:t>
            </w:r>
            <w:r w:rsidR="00482F5D" w:rsidRPr="00793844">
              <w:t>(Republic of)</w:t>
            </w:r>
          </w:p>
        </w:tc>
      </w:tr>
      <w:tr w:rsidR="00C71F73" w:rsidRPr="00793844" w:rsidTr="00C71F73">
        <w:trPr>
          <w:cantSplit/>
        </w:trPr>
        <w:tc>
          <w:tcPr>
            <w:tcW w:w="10031" w:type="dxa"/>
            <w:gridSpan w:val="2"/>
          </w:tcPr>
          <w:p w:rsidR="00C71F73" w:rsidRPr="00793844" w:rsidRDefault="00BF1393" w:rsidP="00196475">
            <w:pPr>
              <w:pStyle w:val="Title1"/>
            </w:pPr>
            <w:bookmarkStart w:id="7" w:name="dtitle1" w:colFirst="0" w:colLast="0"/>
            <w:bookmarkEnd w:id="6"/>
            <w:r w:rsidRPr="00793844">
              <w:t>Approval</w:t>
            </w:r>
            <w:r w:rsidR="00196475" w:rsidRPr="00793844">
              <w:t xml:space="preserve"> OF DRAFT NEW RECOMMENDATION ITU-R M.[BSMS700]</w:t>
            </w:r>
          </w:p>
        </w:tc>
      </w:tr>
      <w:tr w:rsidR="00C71F73" w:rsidRPr="00793844" w:rsidTr="00C71F73">
        <w:trPr>
          <w:cantSplit/>
        </w:trPr>
        <w:tc>
          <w:tcPr>
            <w:tcW w:w="10031" w:type="dxa"/>
            <w:gridSpan w:val="2"/>
          </w:tcPr>
          <w:p w:rsidR="00C71F73" w:rsidRPr="00793844" w:rsidRDefault="00C71F73">
            <w:pPr>
              <w:pStyle w:val="Title3"/>
            </w:pPr>
            <w:bookmarkStart w:id="8" w:name="dtitle3" w:colFirst="0" w:colLast="0"/>
            <w:bookmarkEnd w:id="7"/>
          </w:p>
        </w:tc>
      </w:tr>
    </w:tbl>
    <w:p w:rsidR="00DC7549" w:rsidRPr="00793844" w:rsidRDefault="00DC7549" w:rsidP="00DC7549">
      <w:pPr>
        <w:pStyle w:val="Heading1"/>
        <w:rPr>
          <w:lang w:eastAsia="zh-CN"/>
        </w:rPr>
      </w:pPr>
      <w:bookmarkStart w:id="9" w:name="dbreak"/>
      <w:bookmarkEnd w:id="8"/>
      <w:bookmarkEnd w:id="9"/>
      <w:r w:rsidRPr="00793844">
        <w:rPr>
          <w:lang w:eastAsia="zh-CN"/>
        </w:rPr>
        <w:t>1</w:t>
      </w:r>
      <w:r w:rsidRPr="00793844">
        <w:rPr>
          <w:lang w:eastAsia="zh-CN"/>
        </w:rPr>
        <w:tab/>
      </w:r>
      <w:r w:rsidR="00C11CE7" w:rsidRPr="00793844">
        <w:rPr>
          <w:lang w:eastAsia="zh-CN"/>
        </w:rPr>
        <w:t>Introduction</w:t>
      </w:r>
    </w:p>
    <w:p w:rsidR="00DC7549" w:rsidRPr="00793844" w:rsidRDefault="00FB721F" w:rsidP="00DC7549">
      <w:r w:rsidRPr="00793844">
        <w:t>The Chairman of Study Group 5 sent proposed draft new Recommendation ITU-R M.[BSMS700] (RA</w:t>
      </w:r>
      <w:r w:rsidR="00CE687E" w:rsidRPr="00793844">
        <w:t>-15</w:t>
      </w:r>
      <w:r w:rsidRPr="00793844">
        <w:t xml:space="preserve"> Document </w:t>
      </w:r>
      <w:hyperlink r:id="rId8" w:history="1">
        <w:r w:rsidRPr="00793844">
          <w:rPr>
            <w:rStyle w:val="Hyperlink"/>
          </w:rPr>
          <w:t>5/</w:t>
        </w:r>
        <w:r w:rsidR="00C41CA6" w:rsidRPr="00793844">
          <w:rPr>
            <w:rStyle w:val="Hyperlink"/>
          </w:rPr>
          <w:t>1009</w:t>
        </w:r>
      </w:hyperlink>
      <w:r w:rsidRPr="00793844">
        <w:t xml:space="preserve">) to the Radiocommunication Assembly for approval. This DNR relates to </w:t>
      </w:r>
      <w:r w:rsidR="00DC7549" w:rsidRPr="00793844">
        <w:t>WRC-15 agenda item 1.2</w:t>
      </w:r>
      <w:r w:rsidR="00A04A13" w:rsidRPr="00793844">
        <w:t>, which is to examine</w:t>
      </w:r>
      <w:r w:rsidR="00DC7549" w:rsidRPr="00793844">
        <w:t xml:space="preserve"> the results of ITU R studies, in accordance with Resolution </w:t>
      </w:r>
      <w:r w:rsidR="00DC7549" w:rsidRPr="00793844">
        <w:rPr>
          <w:b/>
        </w:rPr>
        <w:t>232 (WRC-12)</w:t>
      </w:r>
      <w:r w:rsidR="00DC7549" w:rsidRPr="00793844">
        <w:rPr>
          <w:bCs/>
        </w:rPr>
        <w:t>,</w:t>
      </w:r>
      <w:r w:rsidR="00DC7549" w:rsidRPr="00793844">
        <w:t xml:space="preserve"> on the us</w:t>
      </w:r>
      <w:r w:rsidR="00A04A13" w:rsidRPr="00793844">
        <w:t>e of the frequency band 694-790 </w:t>
      </w:r>
      <w:r w:rsidR="00DC7549" w:rsidRPr="00793844">
        <w:t xml:space="preserve">MHz by the mobile, except aeronautical mobile, service in Region 1 and take the appropriate measures. </w:t>
      </w:r>
    </w:p>
    <w:p w:rsidR="00C11CE7" w:rsidRPr="00793844" w:rsidRDefault="00C11CE7" w:rsidP="00C11CE7">
      <w:pPr>
        <w:pStyle w:val="Heading1"/>
        <w:rPr>
          <w:lang w:eastAsia="zh-CN"/>
        </w:rPr>
      </w:pPr>
      <w:r w:rsidRPr="00793844">
        <w:rPr>
          <w:lang w:eastAsia="zh-CN"/>
        </w:rPr>
        <w:t>2</w:t>
      </w:r>
      <w:r w:rsidRPr="00793844">
        <w:rPr>
          <w:lang w:eastAsia="zh-CN"/>
        </w:rPr>
        <w:tab/>
        <w:t>Background</w:t>
      </w:r>
    </w:p>
    <w:p w:rsidR="00DC7549" w:rsidRPr="00793844" w:rsidRDefault="00DC7549" w:rsidP="00DC7549">
      <w:pPr>
        <w:rPr>
          <w:b/>
        </w:rPr>
      </w:pPr>
      <w:r w:rsidRPr="00793844">
        <w:t xml:space="preserve">In response to Resolution </w:t>
      </w:r>
      <w:r w:rsidRPr="00793844">
        <w:rPr>
          <w:b/>
          <w:bCs/>
        </w:rPr>
        <w:t>232 (WRC-12)</w:t>
      </w:r>
      <w:r w:rsidRPr="00793844">
        <w:rPr>
          <w:bCs/>
        </w:rPr>
        <w:t>,</w:t>
      </w:r>
      <w:r w:rsidRPr="00793844">
        <w:t xml:space="preserve"> Joint Task Group 4-5-6-7 (JTG 4-5-6-7) produced the preliminary draft new Recommendation ITU-R M.[BSMS700] on “</w:t>
      </w:r>
      <w:r w:rsidRPr="00793844">
        <w:rPr>
          <w:i/>
        </w:rPr>
        <w:t>Specific out-of-band emission limit of IMT mobile stations operating in the frequency band 694-790 MHz for protection of exis</w:t>
      </w:r>
      <w:bookmarkStart w:id="10" w:name="_GoBack"/>
      <w:bookmarkEnd w:id="10"/>
      <w:r w:rsidRPr="00793844">
        <w:rPr>
          <w:i/>
        </w:rPr>
        <w:t>ting services in Region 1 in the frequency band below 694 MHz</w:t>
      </w:r>
      <w:r w:rsidRPr="00793844">
        <w:t xml:space="preserve">” which was supported by a </w:t>
      </w:r>
      <w:r w:rsidRPr="00793844">
        <w:lastRenderedPageBreak/>
        <w:t xml:space="preserve">huge number of administrations and organizations but did not meet full consensus and therefore could not be adopted with respect to JTG 4-5-6-7 rules. The PDNR </w:t>
      </w:r>
      <w:r w:rsidR="0090795B" w:rsidRPr="00793844">
        <w:t xml:space="preserve">was further considered </w:t>
      </w:r>
      <w:r w:rsidRPr="00793844">
        <w:t xml:space="preserve">by Study Group 5 </w:t>
      </w:r>
      <w:r w:rsidR="0090795B" w:rsidRPr="00793844">
        <w:t xml:space="preserve">in </w:t>
      </w:r>
      <w:r w:rsidRPr="00793844">
        <w:t xml:space="preserve">November 2014 following the JTG 4-5-6-7 Executive Report (Document </w:t>
      </w:r>
      <w:hyperlink r:id="rId9" w:history="1">
        <w:r w:rsidRPr="00793844">
          <w:rPr>
            <w:rStyle w:val="Hyperlink"/>
          </w:rPr>
          <w:t>5/127</w:t>
        </w:r>
      </w:hyperlink>
      <w:r w:rsidRPr="00793844">
        <w:t>) to Study Groups 5 and 6</w:t>
      </w:r>
      <w:r w:rsidR="00F9595A" w:rsidRPr="00793844">
        <w:t>, and was then considered by Working Party 5D</w:t>
      </w:r>
      <w:r w:rsidRPr="00793844">
        <w:t>.</w:t>
      </w:r>
      <w:r w:rsidRPr="00793844">
        <w:rPr>
          <w:b/>
        </w:rPr>
        <w:t xml:space="preserve"> </w:t>
      </w:r>
    </w:p>
    <w:p w:rsidR="00DC7549" w:rsidRPr="00793844" w:rsidRDefault="00DC7549" w:rsidP="00DC7549">
      <w:r w:rsidRPr="00793844">
        <w:t xml:space="preserve">At its June 2015 meeting, WP 5D decided to elevate the PDNR to the status of draft new Recommendation and to submit it to SG 5 for consideration (Document </w:t>
      </w:r>
      <w:hyperlink r:id="rId10" w:history="1">
        <w:r w:rsidRPr="00793844">
          <w:rPr>
            <w:rStyle w:val="Hyperlink"/>
          </w:rPr>
          <w:t>5/214</w:t>
        </w:r>
      </w:hyperlink>
      <w:r w:rsidRPr="00793844">
        <w:t>).</w:t>
      </w:r>
    </w:p>
    <w:p w:rsidR="00DC7549" w:rsidRPr="00793844" w:rsidRDefault="00F9595A" w:rsidP="00F9595A">
      <w:r w:rsidRPr="00793844">
        <w:t xml:space="preserve">The </w:t>
      </w:r>
      <w:r w:rsidR="0090795B" w:rsidRPr="00793844">
        <w:t>ITU-R Study Group 5</w:t>
      </w:r>
      <w:r w:rsidRPr="00793844">
        <w:t xml:space="preserve"> meeting in July 2015</w:t>
      </w:r>
      <w:r w:rsidR="00DC7549" w:rsidRPr="00793844">
        <w:t xml:space="preserve"> considered </w:t>
      </w:r>
      <w:r w:rsidR="0090795B" w:rsidRPr="00793844">
        <w:t xml:space="preserve">adoption of </w:t>
      </w:r>
      <w:r w:rsidR="00DC7549" w:rsidRPr="00793844">
        <w:t>the</w:t>
      </w:r>
      <w:r w:rsidR="0090795B" w:rsidRPr="00793844">
        <w:t xml:space="preserve"> draft new Recommendation </w:t>
      </w:r>
      <w:r w:rsidR="00DC7549" w:rsidRPr="00793844">
        <w:t>based on</w:t>
      </w:r>
      <w:r w:rsidR="0090795B" w:rsidRPr="00793844">
        <w:t xml:space="preserve"> the output from WP 5D and</w:t>
      </w:r>
      <w:r w:rsidR="00DC7549" w:rsidRPr="00793844">
        <w:t xml:space="preserve"> </w:t>
      </w:r>
      <w:r w:rsidR="0090795B" w:rsidRPr="00793844">
        <w:t>other</w:t>
      </w:r>
      <w:r w:rsidR="00DC7549" w:rsidRPr="00793844">
        <w:t xml:space="preserve"> contributions. However, the Study Group meeting did not reach agreement to adopt the draft new Recommendation.</w:t>
      </w:r>
      <w:r w:rsidR="0090795B" w:rsidRPr="00793844">
        <w:t xml:space="preserve"> </w:t>
      </w:r>
      <w:r w:rsidR="00DC7549" w:rsidRPr="00793844">
        <w:t>Therefore, in accordance with the provision 10.2.1.2, item a), of Resolution ITU-R 1-6, the SG 5 meeting decided to forward the texts to the Radiocommunication Assembly.</w:t>
      </w:r>
    </w:p>
    <w:p w:rsidR="00DC7549" w:rsidRPr="00793844" w:rsidRDefault="00C11CE7" w:rsidP="00DC7549">
      <w:pPr>
        <w:pStyle w:val="Heading1"/>
        <w:rPr>
          <w:lang w:eastAsia="zh-CN"/>
        </w:rPr>
      </w:pPr>
      <w:r w:rsidRPr="00793844">
        <w:rPr>
          <w:lang w:eastAsia="zh-CN"/>
        </w:rPr>
        <w:t>3</w:t>
      </w:r>
      <w:r w:rsidR="00DC7549" w:rsidRPr="00793844">
        <w:rPr>
          <w:lang w:eastAsia="zh-CN"/>
        </w:rPr>
        <w:tab/>
      </w:r>
      <w:r w:rsidR="00912BAA" w:rsidRPr="00793844">
        <w:rPr>
          <w:lang w:eastAsia="zh-CN"/>
        </w:rPr>
        <w:t>Benefits of draft new Recommendation ITU-R M.[BSMS700]</w:t>
      </w:r>
    </w:p>
    <w:p w:rsidR="00DC7549" w:rsidRPr="00793844" w:rsidRDefault="00DC7549" w:rsidP="00645608">
      <w:r w:rsidRPr="00793844">
        <w:t>The</w:t>
      </w:r>
      <w:r w:rsidRPr="00793844">
        <w:rPr>
          <w:rFonts w:cs="Angsana New"/>
          <w:color w:val="000000"/>
          <w:szCs w:val="24"/>
          <w:lang w:eastAsia="zh-CN"/>
        </w:rPr>
        <w:t xml:space="preserve"> draft new Recommendation ITU-R M.[BSMS700] </w:t>
      </w:r>
      <w:r w:rsidRPr="00793844">
        <w:t xml:space="preserve">is the result of a substantial work carried out within JTG 4-5-6-7. </w:t>
      </w:r>
      <w:r w:rsidRPr="00793844">
        <w:rPr>
          <w:bCs/>
          <w:szCs w:val="24"/>
        </w:rPr>
        <w:t>Co-signatory administrations</w:t>
      </w:r>
      <w:r w:rsidRPr="00793844">
        <w:t xml:space="preserve"> from</w:t>
      </w:r>
      <w:r w:rsidR="0061407E" w:rsidRPr="00793844">
        <w:t xml:space="preserve"> ASMG</w:t>
      </w:r>
      <w:r w:rsidRPr="00793844">
        <w:t xml:space="preserve">, ATU and </w:t>
      </w:r>
      <w:r w:rsidR="0061407E" w:rsidRPr="00793844">
        <w:t xml:space="preserve">CEPT </w:t>
      </w:r>
      <w:r w:rsidRPr="00793844">
        <w:t>believe that this DNR is mature enough to be</w:t>
      </w:r>
      <w:r w:rsidR="0090795B" w:rsidRPr="00793844">
        <w:t xml:space="preserve"> approved as a new ITU</w:t>
      </w:r>
      <w:r w:rsidR="0090795B" w:rsidRPr="00793844">
        <w:noBreakHyphen/>
        <w:t>R Recommendation</w:t>
      </w:r>
      <w:r w:rsidRPr="00793844">
        <w:t>, given that it addresses the main concerns of mobile and broadcasting stakeholders and is a delicate compromise amongst administrations of various parts of Region 1.</w:t>
      </w:r>
    </w:p>
    <w:p w:rsidR="00DC7549" w:rsidRPr="00793844" w:rsidRDefault="00DC7549" w:rsidP="00645608">
      <w:r w:rsidRPr="00793844">
        <w:t xml:space="preserve">The </w:t>
      </w:r>
      <w:r w:rsidR="0090795B" w:rsidRPr="00793844">
        <w:t xml:space="preserve">approval </w:t>
      </w:r>
      <w:r w:rsidRPr="00793844">
        <w:t>of this Recommendation will help adminis</w:t>
      </w:r>
      <w:r w:rsidR="00C11CE7" w:rsidRPr="00793844">
        <w:t>trations wishing to use the 700 </w:t>
      </w:r>
      <w:r w:rsidRPr="00793844">
        <w:t xml:space="preserve">MHz band for the mobile service in defining the technical conditions for the limitation of the interference to the broadcasting service below 694 MHz. </w:t>
      </w:r>
    </w:p>
    <w:p w:rsidR="00DC7549" w:rsidRPr="00793844" w:rsidRDefault="00C11CE7" w:rsidP="00DC7549">
      <w:pPr>
        <w:pStyle w:val="Heading1"/>
        <w:rPr>
          <w:lang w:eastAsia="zh-CN"/>
        </w:rPr>
      </w:pPr>
      <w:r w:rsidRPr="00793844">
        <w:rPr>
          <w:lang w:eastAsia="zh-CN"/>
        </w:rPr>
        <w:t>4</w:t>
      </w:r>
      <w:r w:rsidR="00DC7549" w:rsidRPr="00793844">
        <w:rPr>
          <w:lang w:eastAsia="zh-CN"/>
        </w:rPr>
        <w:tab/>
        <w:t>Proposal</w:t>
      </w:r>
    </w:p>
    <w:p w:rsidR="00E263B5" w:rsidRPr="00793844" w:rsidRDefault="00DC7549" w:rsidP="00645608">
      <w:r w:rsidRPr="00793844">
        <w:t>The Radiocommunication Assembly is invited to approve the new Recommendation ITU</w:t>
      </w:r>
      <w:r w:rsidR="00645608" w:rsidRPr="00793844">
        <w:noBreakHyphen/>
      </w:r>
      <w:r w:rsidRPr="00793844">
        <w:t>R</w:t>
      </w:r>
      <w:r w:rsidR="00645608" w:rsidRPr="00793844">
        <w:t> </w:t>
      </w:r>
      <w:r w:rsidRPr="00793844">
        <w:t>M.[BSMS700]. The proponents</w:t>
      </w:r>
      <w:r w:rsidR="0090795B" w:rsidRPr="00793844">
        <w:t xml:space="preserve"> of this contribution</w:t>
      </w:r>
      <w:r w:rsidRPr="00793844">
        <w:t xml:space="preserve"> consider that the text reflects the sensitive balance in JTG 4-5-6-7 between the willingness of administrations to protect broadcasting while enabling mass market terminal equipment with limited supplemental cost.</w:t>
      </w:r>
    </w:p>
    <w:p w:rsidR="00E263B5" w:rsidRPr="00793844" w:rsidRDefault="00E263B5" w:rsidP="00645608">
      <w:pPr>
        <w:rPr>
          <w:lang w:eastAsia="zh-CN"/>
        </w:rPr>
      </w:pPr>
      <w:r w:rsidRPr="00793844">
        <w:rPr>
          <w:lang w:eastAsia="zh-CN"/>
        </w:rPr>
        <w:br w:type="page"/>
      </w:r>
    </w:p>
    <w:p w:rsidR="00E263B5" w:rsidRPr="00793844" w:rsidRDefault="00E263B5" w:rsidP="00645608">
      <w:pPr>
        <w:pStyle w:val="RecNo"/>
        <w:rPr>
          <w:lang w:eastAsia="ja-JP"/>
        </w:rPr>
      </w:pPr>
      <w:r w:rsidRPr="00793844">
        <w:lastRenderedPageBreak/>
        <w:t>DRAFT NEW RECOMMENDATION ITU-R M.[BSMS700]</w:t>
      </w:r>
    </w:p>
    <w:p w:rsidR="00E263B5" w:rsidRPr="00793844" w:rsidRDefault="00E263B5" w:rsidP="00645608">
      <w:pPr>
        <w:pStyle w:val="Rectitle"/>
        <w:rPr>
          <w:lang w:eastAsia="ja-JP"/>
        </w:rPr>
      </w:pPr>
      <w:r w:rsidRPr="00793844">
        <w:rPr>
          <w:lang w:eastAsia="ja-JP"/>
        </w:rPr>
        <w:t>Specific out-of-band emission limit of IMT mobile stations operating in the frequency band 694-790</w:t>
      </w:r>
      <w:r w:rsidR="00645608" w:rsidRPr="00793844">
        <w:rPr>
          <w:lang w:eastAsia="ja-JP"/>
        </w:rPr>
        <w:t> </w:t>
      </w:r>
      <w:r w:rsidRPr="00793844">
        <w:rPr>
          <w:lang w:eastAsia="ja-JP"/>
        </w:rPr>
        <w:t xml:space="preserve">MHz for protection of existing services in </w:t>
      </w:r>
      <w:r w:rsidRPr="00793844">
        <w:rPr>
          <w:lang w:eastAsia="ja-JP"/>
        </w:rPr>
        <w:br/>
        <w:t>Region</w:t>
      </w:r>
      <w:r w:rsidR="00645608" w:rsidRPr="00793844">
        <w:rPr>
          <w:lang w:eastAsia="ja-JP"/>
        </w:rPr>
        <w:t> </w:t>
      </w:r>
      <w:r w:rsidRPr="00793844">
        <w:rPr>
          <w:lang w:eastAsia="ja-JP"/>
        </w:rPr>
        <w:t>1 in the frequency band below 694</w:t>
      </w:r>
      <w:r w:rsidR="00645608" w:rsidRPr="00793844">
        <w:rPr>
          <w:lang w:eastAsia="ja-JP"/>
        </w:rPr>
        <w:t> </w:t>
      </w:r>
      <w:r w:rsidRPr="00793844">
        <w:rPr>
          <w:lang w:eastAsia="ja-JP"/>
        </w:rPr>
        <w:t>MHz</w:t>
      </w:r>
    </w:p>
    <w:p w:rsidR="00E263B5" w:rsidRPr="00793844" w:rsidRDefault="00E263B5" w:rsidP="00E263B5">
      <w:pPr>
        <w:rPr>
          <w:lang w:eastAsia="ja-JP"/>
        </w:rPr>
      </w:pPr>
    </w:p>
    <w:p w:rsidR="00E263B5" w:rsidRPr="00793844" w:rsidRDefault="00E263B5" w:rsidP="00E263B5">
      <w:pPr>
        <w:pStyle w:val="Headingb"/>
        <w:rPr>
          <w:sz w:val="22"/>
          <w:szCs w:val="22"/>
          <w:lang w:eastAsia="ja-JP"/>
        </w:rPr>
      </w:pPr>
      <w:r w:rsidRPr="00793844">
        <w:rPr>
          <w:sz w:val="22"/>
          <w:szCs w:val="22"/>
          <w:lang w:eastAsia="ja-JP"/>
        </w:rPr>
        <w:t>Scope</w:t>
      </w:r>
    </w:p>
    <w:p w:rsidR="00E263B5" w:rsidRPr="00793844" w:rsidRDefault="00E263B5" w:rsidP="00645608">
      <w:pPr>
        <w:rPr>
          <w:sz w:val="22"/>
          <w:szCs w:val="22"/>
        </w:rPr>
      </w:pPr>
      <w:r w:rsidRPr="00793844">
        <w:rPr>
          <w:sz w:val="22"/>
          <w:szCs w:val="22"/>
          <w:lang w:eastAsia="ja-JP"/>
        </w:rPr>
        <w:t xml:space="preserve">This Recommendation provides guidance to administrations on </w:t>
      </w:r>
      <w:r w:rsidR="00645608" w:rsidRPr="00793844">
        <w:rPr>
          <w:sz w:val="22"/>
          <w:szCs w:val="22"/>
          <w:lang w:eastAsia="ja-JP"/>
        </w:rPr>
        <w:t xml:space="preserve">the </w:t>
      </w:r>
      <w:r w:rsidRPr="00793844">
        <w:rPr>
          <w:sz w:val="22"/>
          <w:szCs w:val="22"/>
          <w:lang w:eastAsia="ja-JP"/>
        </w:rPr>
        <w:t xml:space="preserve">specific out-of-band emission (OOBE) level of IMT mobile stations operating in the </w:t>
      </w:r>
      <w:r w:rsidRPr="00793844">
        <w:rPr>
          <w:noProof/>
          <w:sz w:val="22"/>
          <w:szCs w:val="22"/>
        </w:rPr>
        <w:t>frequency</w:t>
      </w:r>
      <w:r w:rsidRPr="00793844">
        <w:rPr>
          <w:sz w:val="22"/>
          <w:szCs w:val="22"/>
          <w:lang w:eastAsia="ja-JP"/>
        </w:rPr>
        <w:t xml:space="preserve"> band 694-790</w:t>
      </w:r>
      <w:r w:rsidR="00645608" w:rsidRPr="00793844">
        <w:rPr>
          <w:sz w:val="22"/>
          <w:szCs w:val="22"/>
          <w:lang w:eastAsia="ja-JP"/>
        </w:rPr>
        <w:t> </w:t>
      </w:r>
      <w:r w:rsidRPr="00793844">
        <w:rPr>
          <w:sz w:val="22"/>
          <w:szCs w:val="22"/>
          <w:lang w:eastAsia="ja-JP"/>
        </w:rPr>
        <w:t>MHz for the frequency band below 694 MHz in Region 1 for protection of existing services</w:t>
      </w:r>
      <w:r w:rsidRPr="00793844">
        <w:rPr>
          <w:sz w:val="22"/>
          <w:szCs w:val="22"/>
        </w:rPr>
        <w:t>.</w:t>
      </w:r>
    </w:p>
    <w:p w:rsidR="00E263B5" w:rsidRPr="00793844" w:rsidRDefault="00E263B5" w:rsidP="00645608">
      <w:pPr>
        <w:pStyle w:val="Normalaftertitle0"/>
      </w:pPr>
      <w:r w:rsidRPr="00793844">
        <w:t>The ITU Radiocommunication Assembly,</w:t>
      </w:r>
    </w:p>
    <w:p w:rsidR="00E263B5" w:rsidRPr="00793844" w:rsidRDefault="00E263B5" w:rsidP="00E263B5">
      <w:pPr>
        <w:pStyle w:val="Call"/>
      </w:pPr>
      <w:r w:rsidRPr="00793844">
        <w:t>considering</w:t>
      </w:r>
    </w:p>
    <w:p w:rsidR="00E263B5" w:rsidRPr="00793844" w:rsidRDefault="00E263B5" w:rsidP="00645608">
      <w:r w:rsidRPr="00793844">
        <w:rPr>
          <w:i/>
          <w:iCs/>
        </w:rPr>
        <w:t>a)</w:t>
      </w:r>
      <w:r w:rsidRPr="00793844">
        <w:rPr>
          <w:i/>
          <w:iCs/>
        </w:rPr>
        <w:tab/>
      </w:r>
      <w:r w:rsidRPr="00793844">
        <w:t>that Recommendations ITU</w:t>
      </w:r>
      <w:r w:rsidR="00645608" w:rsidRPr="00793844">
        <w:noBreakHyphen/>
      </w:r>
      <w:r w:rsidRPr="00793844">
        <w:t>R</w:t>
      </w:r>
      <w:r w:rsidR="00645608" w:rsidRPr="00793844">
        <w:t> </w:t>
      </w:r>
      <w:r w:rsidRPr="00793844">
        <w:t xml:space="preserve">M.1581 </w:t>
      </w:r>
      <w:r w:rsidRPr="00793844">
        <w:rPr>
          <w:lang w:eastAsia="ko-KR"/>
        </w:rPr>
        <w:t>and ITU</w:t>
      </w:r>
      <w:r w:rsidR="00645608" w:rsidRPr="00793844">
        <w:rPr>
          <w:lang w:eastAsia="ko-KR"/>
        </w:rPr>
        <w:noBreakHyphen/>
      </w:r>
      <w:r w:rsidRPr="00793844">
        <w:rPr>
          <w:lang w:eastAsia="ko-KR"/>
        </w:rPr>
        <w:t>R</w:t>
      </w:r>
      <w:r w:rsidR="00645608" w:rsidRPr="00793844">
        <w:rPr>
          <w:lang w:eastAsia="ko-KR"/>
        </w:rPr>
        <w:t> </w:t>
      </w:r>
      <w:r w:rsidRPr="00793844">
        <w:rPr>
          <w:lang w:eastAsia="ko-KR"/>
        </w:rPr>
        <w:t>M.[IMT OOBE MS] specify</w:t>
      </w:r>
      <w:r w:rsidRPr="00793844">
        <w:t xml:space="preserve"> the generic unwanted emission characteristics of IMT-2000</w:t>
      </w:r>
      <w:r w:rsidRPr="00793844">
        <w:rPr>
          <w:lang w:eastAsia="ko-KR"/>
        </w:rPr>
        <w:t xml:space="preserve"> and IMT</w:t>
      </w:r>
      <w:r w:rsidR="00645608" w:rsidRPr="00793844">
        <w:rPr>
          <w:lang w:eastAsia="ko-KR"/>
        </w:rPr>
        <w:t>-</w:t>
      </w:r>
      <w:r w:rsidRPr="00793844">
        <w:rPr>
          <w:lang w:eastAsia="ko-KR"/>
        </w:rPr>
        <w:t>Advanced</w:t>
      </w:r>
      <w:r w:rsidRPr="00793844">
        <w:t xml:space="preserve"> mobile stations</w:t>
      </w:r>
      <w:r w:rsidRPr="00793844">
        <w:rPr>
          <w:lang w:eastAsia="ko-KR"/>
        </w:rPr>
        <w:t>, respectively</w:t>
      </w:r>
      <w:r w:rsidRPr="00793844">
        <w:t>;</w:t>
      </w:r>
    </w:p>
    <w:p w:rsidR="00E263B5" w:rsidRPr="00793844" w:rsidRDefault="00E263B5" w:rsidP="00645608">
      <w:r w:rsidRPr="00793844">
        <w:rPr>
          <w:i/>
          <w:iCs/>
        </w:rPr>
        <w:t>b)</w:t>
      </w:r>
      <w:r w:rsidRPr="00793844">
        <w:tab/>
        <w:t>that Recommendation ITU</w:t>
      </w:r>
      <w:r w:rsidR="00645608" w:rsidRPr="00793844">
        <w:noBreakHyphen/>
      </w:r>
      <w:r w:rsidRPr="00793844">
        <w:t>R</w:t>
      </w:r>
      <w:r w:rsidR="00645608" w:rsidRPr="00793844">
        <w:t> </w:t>
      </w:r>
      <w:r w:rsidRPr="00793844">
        <w:t>M.1036 provides the frequency arrangements of IMT networks, including those to be used in the band 694-790</w:t>
      </w:r>
      <w:r w:rsidR="00645608" w:rsidRPr="00793844">
        <w:t> </w:t>
      </w:r>
      <w:r w:rsidRPr="00793844">
        <w:t>MHz;</w:t>
      </w:r>
    </w:p>
    <w:p w:rsidR="00E263B5" w:rsidRPr="00793844" w:rsidRDefault="00E263B5" w:rsidP="00645608">
      <w:r w:rsidRPr="00793844">
        <w:rPr>
          <w:i/>
          <w:iCs/>
        </w:rPr>
        <w:t>c)</w:t>
      </w:r>
      <w:r w:rsidRPr="00793844">
        <w:tab/>
        <w:t xml:space="preserve">that Resolution </w:t>
      </w:r>
      <w:r w:rsidRPr="00793844">
        <w:rPr>
          <w:b/>
          <w:bCs/>
        </w:rPr>
        <w:t>232 (WRC-12)</w:t>
      </w:r>
      <w:r w:rsidRPr="00793844">
        <w:t xml:space="preserve"> has invited ITU</w:t>
      </w:r>
      <w:r w:rsidR="00645608" w:rsidRPr="00793844">
        <w:noBreakHyphen/>
      </w:r>
      <w:r w:rsidRPr="00793844">
        <w:t>R to study the compatibility between the mobile service and other primary services to which the frequency band is allocated, including in adjacent frequency bands;</w:t>
      </w:r>
    </w:p>
    <w:p w:rsidR="00E263B5" w:rsidRPr="00793844" w:rsidRDefault="00E263B5" w:rsidP="00645608">
      <w:r w:rsidRPr="00793844">
        <w:rPr>
          <w:i/>
          <w:iCs/>
        </w:rPr>
        <w:t>d)</w:t>
      </w:r>
      <w:r w:rsidRPr="00793844">
        <w:tab/>
        <w:t>that the out-of-band emissions of IMT mobile stations operating in Region</w:t>
      </w:r>
      <w:r w:rsidR="00645608" w:rsidRPr="00793844">
        <w:t> </w:t>
      </w:r>
      <w:r w:rsidRPr="00793844">
        <w:t>1 in the frequency band 694-790 MHz need to be limited;</w:t>
      </w:r>
    </w:p>
    <w:p w:rsidR="00E263B5" w:rsidRPr="00793844" w:rsidRDefault="00E263B5" w:rsidP="00645608">
      <w:r w:rsidRPr="00793844">
        <w:rPr>
          <w:i/>
          <w:iCs/>
        </w:rPr>
        <w:t>e)</w:t>
      </w:r>
      <w:r w:rsidRPr="00793844">
        <w:tab/>
        <w:t>that too stringent limits may lead to an increase in size, cost or in complexity of IMT radio equipment;</w:t>
      </w:r>
    </w:p>
    <w:p w:rsidR="00E263B5" w:rsidRPr="00793844" w:rsidRDefault="00E263B5" w:rsidP="00645608">
      <w:r w:rsidRPr="00793844">
        <w:rPr>
          <w:i/>
          <w:iCs/>
        </w:rPr>
        <w:t>f)</w:t>
      </w:r>
      <w:r w:rsidRPr="00793844">
        <w:tab/>
        <w:t>the ne</w:t>
      </w:r>
      <w:r w:rsidR="00645608" w:rsidRPr="00793844">
        <w:t>ed to facilitate global harmoniz</w:t>
      </w:r>
      <w:r w:rsidRPr="00793844">
        <w:t>ation and circulation of equipment to ensure roaming and promote economies of scale;</w:t>
      </w:r>
    </w:p>
    <w:p w:rsidR="00E263B5" w:rsidRPr="00793844" w:rsidRDefault="00E263B5" w:rsidP="00645608">
      <w:r w:rsidRPr="00793844">
        <w:rPr>
          <w:i/>
        </w:rPr>
        <w:t>g)</w:t>
      </w:r>
      <w:r w:rsidRPr="00793844">
        <w:rPr>
          <w:i/>
        </w:rPr>
        <w:tab/>
      </w:r>
      <w:r w:rsidRPr="00793844">
        <w:t>that administrations decide on the channel bandwidth which is to be used by the user equipment;</w:t>
      </w:r>
    </w:p>
    <w:p w:rsidR="00E263B5" w:rsidRPr="00793844" w:rsidRDefault="00E263B5" w:rsidP="00645608">
      <w:r w:rsidRPr="00793844">
        <w:rPr>
          <w:i/>
        </w:rPr>
        <w:t>h)</w:t>
      </w:r>
      <w:r w:rsidRPr="00793844">
        <w:tab/>
        <w:t>that in some countries of Region</w:t>
      </w:r>
      <w:r w:rsidR="00645608" w:rsidRPr="00793844">
        <w:t> </w:t>
      </w:r>
      <w:r w:rsidRPr="00793844">
        <w:t>1 the deployment of IMT systems in the 700</w:t>
      </w:r>
      <w:r w:rsidR="00645608" w:rsidRPr="00793844">
        <w:t> </w:t>
      </w:r>
      <w:r w:rsidRPr="00793844">
        <w:t>MHz band is expected to start immediately after WRC</w:t>
      </w:r>
      <w:r w:rsidR="00645608" w:rsidRPr="00793844">
        <w:noBreakHyphen/>
      </w:r>
      <w:r w:rsidRPr="00793844">
        <w:t>15,</w:t>
      </w:r>
    </w:p>
    <w:p w:rsidR="00E263B5" w:rsidRPr="00793844" w:rsidRDefault="00E263B5" w:rsidP="00E263B5">
      <w:pPr>
        <w:pStyle w:val="Call"/>
      </w:pPr>
      <w:r w:rsidRPr="00793844">
        <w:t>recognizing</w:t>
      </w:r>
    </w:p>
    <w:p w:rsidR="00E263B5" w:rsidRPr="00793844" w:rsidRDefault="00E263B5" w:rsidP="00645608">
      <w:r w:rsidRPr="00793844">
        <w:rPr>
          <w:i/>
          <w:iCs/>
        </w:rPr>
        <w:t>a)</w:t>
      </w:r>
      <w:r w:rsidRPr="00793844">
        <w:tab/>
        <w:t>that a limit on the OOBE from IMT mobile stations is one of the factors necessary for the protection of the existing services in the band below 694</w:t>
      </w:r>
      <w:r w:rsidR="00645608" w:rsidRPr="00793844">
        <w:t> </w:t>
      </w:r>
      <w:r w:rsidRPr="00793844">
        <w:t>MHz;</w:t>
      </w:r>
    </w:p>
    <w:p w:rsidR="00E263B5" w:rsidRPr="00793844" w:rsidRDefault="00E263B5" w:rsidP="00645608">
      <w:r w:rsidRPr="00793844">
        <w:rPr>
          <w:i/>
          <w:iCs/>
        </w:rPr>
        <w:t>b)</w:t>
      </w:r>
      <w:r w:rsidRPr="00793844">
        <w:tab/>
        <w:t>that the recommended IMT mobile station OOBE limit should satisfy the following conditions:</w:t>
      </w:r>
    </w:p>
    <w:p w:rsidR="00E263B5" w:rsidRPr="00793844" w:rsidRDefault="00E263B5" w:rsidP="008C5F1E">
      <w:pPr>
        <w:pStyle w:val="enumlev1"/>
      </w:pPr>
      <w:r w:rsidRPr="00793844">
        <w:t>•</w:t>
      </w:r>
      <w:r w:rsidRPr="00793844">
        <w:tab/>
        <w:t>manage the risk of interference from mobile usage;</w:t>
      </w:r>
    </w:p>
    <w:p w:rsidR="00E263B5" w:rsidRPr="00793844" w:rsidRDefault="00E263B5" w:rsidP="008C5F1E">
      <w:pPr>
        <w:pStyle w:val="enumlev1"/>
      </w:pPr>
      <w:r w:rsidRPr="00793844">
        <w:t>•</w:t>
      </w:r>
      <w:r w:rsidRPr="00793844">
        <w:tab/>
        <w:t>being technically feasible from the point of view of practical implementation of IMT mobile stations; and</w:t>
      </w:r>
    </w:p>
    <w:p w:rsidR="00E263B5" w:rsidRPr="00793844" w:rsidRDefault="00E263B5" w:rsidP="00106CB6">
      <w:pPr>
        <w:pStyle w:val="enumlev1"/>
      </w:pPr>
      <w:r w:rsidRPr="00793844">
        <w:t>•</w:t>
      </w:r>
      <w:r w:rsidRPr="00793844">
        <w:tab/>
        <w:t>to achieve global harmoni</w:t>
      </w:r>
      <w:r w:rsidR="00106CB6" w:rsidRPr="00793844">
        <w:t>z</w:t>
      </w:r>
      <w:r w:rsidRPr="00793844">
        <w:t>ation of mobile stations;</w:t>
      </w:r>
    </w:p>
    <w:p w:rsidR="00E263B5" w:rsidRPr="00793844" w:rsidRDefault="00E263B5" w:rsidP="00106CB6">
      <w:r w:rsidRPr="00793844">
        <w:rPr>
          <w:i/>
          <w:iCs/>
        </w:rPr>
        <w:lastRenderedPageBreak/>
        <w:t>c)</w:t>
      </w:r>
      <w:r w:rsidRPr="00793844">
        <w:tab/>
        <w:t>that different OOBE limits for IMT mobile stations operating in the 700</w:t>
      </w:r>
      <w:r w:rsidR="00106CB6" w:rsidRPr="00793844">
        <w:t> </w:t>
      </w:r>
      <w:r w:rsidRPr="00793844">
        <w:t>MHz band have been considered by Region</w:t>
      </w:r>
      <w:r w:rsidR="00106CB6" w:rsidRPr="00793844">
        <w:t> </w:t>
      </w:r>
      <w:r w:rsidRPr="00793844">
        <w:t>1 administrations;</w:t>
      </w:r>
    </w:p>
    <w:p w:rsidR="00E263B5" w:rsidRPr="00793844" w:rsidRDefault="00E263B5" w:rsidP="00106CB6">
      <w:r w:rsidRPr="00793844">
        <w:rPr>
          <w:i/>
          <w:iCs/>
        </w:rPr>
        <w:t>d)</w:t>
      </w:r>
      <w:r w:rsidRPr="00793844">
        <w:tab/>
        <w:t>that ITU</w:t>
      </w:r>
      <w:r w:rsidR="00106CB6" w:rsidRPr="00793844">
        <w:noBreakHyphen/>
      </w:r>
      <w:r w:rsidRPr="00793844">
        <w:t>R studies indicate different OOBE limits into bands below 694</w:t>
      </w:r>
      <w:r w:rsidR="00106CB6" w:rsidRPr="00793844">
        <w:t> </w:t>
      </w:r>
      <w:r w:rsidRPr="00793844">
        <w:t>MHz</w:t>
      </w:r>
      <w:r w:rsidR="00106CB6" w:rsidRPr="00793844">
        <w:t>,</w:t>
      </w:r>
      <w:r w:rsidRPr="00793844">
        <w:t xml:space="preserve"> including:</w:t>
      </w:r>
    </w:p>
    <w:p w:rsidR="00E263B5" w:rsidRPr="00793844" w:rsidRDefault="00E263B5" w:rsidP="00106CB6">
      <w:pPr>
        <w:pStyle w:val="enumlev1"/>
      </w:pPr>
      <w:r w:rsidRPr="00793844">
        <w:t>•</w:t>
      </w:r>
      <w:r w:rsidRPr="00793844">
        <w:tab/>
      </w:r>
      <w:r w:rsidR="00106CB6" w:rsidRPr="00793844">
        <w:t>−</w:t>
      </w:r>
      <w:r w:rsidRPr="00793844">
        <w:t>25</w:t>
      </w:r>
      <w:r w:rsidR="00106CB6" w:rsidRPr="00793844">
        <w:t> </w:t>
      </w:r>
      <w:r w:rsidRPr="00793844">
        <w:t>dBm/8 MHz for up to 20</w:t>
      </w:r>
      <w:r w:rsidR="00106CB6" w:rsidRPr="00793844">
        <w:t> </w:t>
      </w:r>
      <w:r w:rsidRPr="00793844">
        <w:t>MHz IMT channel bandwidth;</w:t>
      </w:r>
    </w:p>
    <w:p w:rsidR="00E263B5" w:rsidRPr="00793844" w:rsidRDefault="00E263B5" w:rsidP="00106CB6">
      <w:pPr>
        <w:pStyle w:val="enumlev1"/>
      </w:pPr>
      <w:r w:rsidRPr="00793844">
        <w:t>•</w:t>
      </w:r>
      <w:r w:rsidRPr="00793844">
        <w:tab/>
      </w:r>
      <w:r w:rsidR="00106CB6" w:rsidRPr="00793844">
        <w:t>−</w:t>
      </w:r>
      <w:r w:rsidRPr="00793844">
        <w:t>42</w:t>
      </w:r>
      <w:r w:rsidR="00106CB6" w:rsidRPr="00793844">
        <w:t> </w:t>
      </w:r>
      <w:r w:rsidRPr="00793844">
        <w:t>dBm/8 MHz for up to 10</w:t>
      </w:r>
      <w:r w:rsidR="00106CB6" w:rsidRPr="00793844">
        <w:t> </w:t>
      </w:r>
      <w:r w:rsidRPr="00793844">
        <w:t>MHz IMT channel bandwidth;</w:t>
      </w:r>
    </w:p>
    <w:p w:rsidR="00E263B5" w:rsidRPr="00793844" w:rsidRDefault="00E263B5" w:rsidP="00106CB6">
      <w:pPr>
        <w:pStyle w:val="enumlev1"/>
      </w:pPr>
      <w:r w:rsidRPr="00793844">
        <w:t>•</w:t>
      </w:r>
      <w:r w:rsidRPr="00793844">
        <w:tab/>
      </w:r>
      <w:r w:rsidR="00106CB6" w:rsidRPr="00793844">
        <w:t>−</w:t>
      </w:r>
      <w:r w:rsidRPr="00793844">
        <w:t>56</w:t>
      </w:r>
      <w:r w:rsidR="00106CB6" w:rsidRPr="00793844">
        <w:t> </w:t>
      </w:r>
      <w:r w:rsidRPr="00793844">
        <w:t>dBm/8 MHz for up to 10</w:t>
      </w:r>
      <w:r w:rsidR="00106CB6" w:rsidRPr="00793844">
        <w:t> </w:t>
      </w:r>
      <w:r w:rsidRPr="00793844">
        <w:t>MHz IMT channel bandwidth,</w:t>
      </w:r>
    </w:p>
    <w:p w:rsidR="00E263B5" w:rsidRPr="00793844" w:rsidRDefault="00E263B5" w:rsidP="00E263B5">
      <w:pPr>
        <w:pStyle w:val="Call"/>
      </w:pPr>
      <w:r w:rsidRPr="00793844">
        <w:t xml:space="preserve">noting </w:t>
      </w:r>
    </w:p>
    <w:p w:rsidR="00E263B5" w:rsidRPr="00793844" w:rsidRDefault="00E263B5" w:rsidP="00106CB6">
      <w:pPr>
        <w:rPr>
          <w:i/>
        </w:rPr>
      </w:pPr>
      <w:r w:rsidRPr="00793844">
        <w:rPr>
          <w:i/>
        </w:rPr>
        <w:t>a)</w:t>
      </w:r>
      <w:r w:rsidRPr="00793844">
        <w:tab/>
        <w:t>that ITU</w:t>
      </w:r>
      <w:r w:rsidR="00106CB6" w:rsidRPr="00793844">
        <w:noBreakHyphen/>
      </w:r>
      <w:r w:rsidRPr="00793844">
        <w:t>R studies were based on the lower duplexer of A5 channelling arrangement in Recommendation ITU</w:t>
      </w:r>
      <w:r w:rsidR="00106CB6" w:rsidRPr="00793844">
        <w:noBreakHyphen/>
      </w:r>
      <w:r w:rsidRPr="00793844">
        <w:t>R</w:t>
      </w:r>
      <w:r w:rsidR="00106CB6" w:rsidRPr="00793844">
        <w:t> </w:t>
      </w:r>
      <w:r w:rsidRPr="00793844">
        <w:t>M.1036 (i.e.</w:t>
      </w:r>
      <w:r w:rsidR="00106CB6" w:rsidRPr="00793844">
        <w:t> </w:t>
      </w:r>
      <w:r w:rsidRPr="00793844">
        <w:t>uplink in 703-733</w:t>
      </w:r>
      <w:r w:rsidR="00106CB6" w:rsidRPr="00793844">
        <w:t> </w:t>
      </w:r>
      <w:r w:rsidRPr="00793844">
        <w:t>MHz) and a maximum output power of 23 dBm;</w:t>
      </w:r>
    </w:p>
    <w:p w:rsidR="00E263B5" w:rsidRPr="00793844" w:rsidRDefault="00E263B5" w:rsidP="00BB50BB">
      <w:r w:rsidRPr="00793844">
        <w:rPr>
          <w:i/>
          <w:iCs/>
        </w:rPr>
        <w:t>b)</w:t>
      </w:r>
      <w:r w:rsidRPr="00793844">
        <w:tab/>
        <w:t xml:space="preserve">that an OOBE limit of </w:t>
      </w:r>
      <w:r w:rsidR="00BB50BB" w:rsidRPr="00793844">
        <w:t>−</w:t>
      </w:r>
      <w:r w:rsidRPr="00793844">
        <w:t>26.2</w:t>
      </w:r>
      <w:r w:rsidR="00BB50BB" w:rsidRPr="00793844">
        <w:t> </w:t>
      </w:r>
      <w:r w:rsidRPr="00793844">
        <w:t>dBm/6</w:t>
      </w:r>
      <w:r w:rsidR="00BB50BB" w:rsidRPr="00793844">
        <w:t> </w:t>
      </w:r>
      <w:r w:rsidRPr="00793844">
        <w:t>MHz for an IMT mobile station using the A5 channelling arrangement is applicable within a regional organi</w:t>
      </w:r>
      <w:r w:rsidR="00BB50BB" w:rsidRPr="00793844">
        <w:t>z</w:t>
      </w:r>
      <w:r w:rsidRPr="00793844">
        <w:t>ation and is included in the relevant 3GPP specification;</w:t>
      </w:r>
    </w:p>
    <w:p w:rsidR="00E263B5" w:rsidRPr="00793844" w:rsidRDefault="00E263B5" w:rsidP="00BB50BB">
      <w:r w:rsidRPr="00793844">
        <w:rPr>
          <w:i/>
          <w:iCs/>
        </w:rPr>
        <w:t>c)</w:t>
      </w:r>
      <w:r w:rsidRPr="00793844">
        <w:tab/>
        <w:t xml:space="preserve">that new relevant 3GPP specifications contain an OOBE limit of </w:t>
      </w:r>
      <w:r w:rsidR="00BB50BB" w:rsidRPr="00793844">
        <w:t>−</w:t>
      </w:r>
      <w:r w:rsidRPr="00793844">
        <w:t>25</w:t>
      </w:r>
      <w:r w:rsidR="00BB50BB" w:rsidRPr="00793844">
        <w:t> </w:t>
      </w:r>
      <w:r w:rsidRPr="00793844">
        <w:t>dBm/8</w:t>
      </w:r>
      <w:r w:rsidR="00BB50BB" w:rsidRPr="00793844">
        <w:t> </w:t>
      </w:r>
      <w:r w:rsidRPr="00793844">
        <w:t>MHz for up to 20</w:t>
      </w:r>
      <w:r w:rsidR="00BB50BB" w:rsidRPr="00793844">
        <w:t> </w:t>
      </w:r>
      <w:r w:rsidRPr="00793844">
        <w:t xml:space="preserve">MHz IMT channel bandwidth and a value of </w:t>
      </w:r>
      <w:r w:rsidR="00BB50BB" w:rsidRPr="00793844">
        <w:t>−</w:t>
      </w:r>
      <w:r w:rsidRPr="00793844">
        <w:t>42</w:t>
      </w:r>
      <w:r w:rsidR="00BB50BB" w:rsidRPr="00793844">
        <w:t> </w:t>
      </w:r>
      <w:r w:rsidRPr="00793844">
        <w:t>dBm/8</w:t>
      </w:r>
      <w:r w:rsidR="00BB50BB" w:rsidRPr="00793844">
        <w:t> </w:t>
      </w:r>
      <w:r w:rsidRPr="00793844">
        <w:t>MHz for 10</w:t>
      </w:r>
      <w:r w:rsidR="00BB50BB" w:rsidRPr="00793844">
        <w:t> </w:t>
      </w:r>
      <w:r w:rsidRPr="00793844">
        <w:t>MHz IMT channel bandwidth;</w:t>
      </w:r>
    </w:p>
    <w:p w:rsidR="00E263B5" w:rsidRPr="00793844" w:rsidRDefault="00E263B5" w:rsidP="00BB50BB">
      <w:r w:rsidRPr="00793844">
        <w:rPr>
          <w:i/>
          <w:iCs/>
        </w:rPr>
        <w:t>d)</w:t>
      </w:r>
      <w:r w:rsidRPr="00793844">
        <w:tab/>
        <w:t xml:space="preserve">that existing mobile devices not complying with the OOBE limit referred to in </w:t>
      </w:r>
      <w:r w:rsidRPr="00793844">
        <w:rPr>
          <w:i/>
        </w:rPr>
        <w:t>recommends</w:t>
      </w:r>
      <w:r w:rsidR="00BB50BB" w:rsidRPr="00793844">
        <w:rPr>
          <w:i/>
        </w:rPr>
        <w:t> </w:t>
      </w:r>
      <w:r w:rsidRPr="00793844">
        <w:rPr>
          <w:iCs/>
        </w:rPr>
        <w:t>2</w:t>
      </w:r>
      <w:r w:rsidRPr="00793844">
        <w:t xml:space="preserve"> might continue to be deployed,</w:t>
      </w:r>
    </w:p>
    <w:p w:rsidR="00E263B5" w:rsidRPr="00793844" w:rsidRDefault="00E263B5" w:rsidP="00E263B5">
      <w:pPr>
        <w:pStyle w:val="Call"/>
      </w:pPr>
      <w:r w:rsidRPr="00793844">
        <w:t>recommends</w:t>
      </w:r>
    </w:p>
    <w:p w:rsidR="00E263B5" w:rsidRPr="00793844" w:rsidRDefault="00E263B5" w:rsidP="00BB50BB">
      <w:pPr>
        <w:rPr>
          <w:szCs w:val="24"/>
        </w:rPr>
      </w:pPr>
      <w:r w:rsidRPr="00793844">
        <w:t>1</w:t>
      </w:r>
      <w:r w:rsidRPr="00793844">
        <w:tab/>
        <w:t>that the out-of-band emissions of an IMT mobile station operating in Region</w:t>
      </w:r>
      <w:r w:rsidR="00BB50BB" w:rsidRPr="00793844">
        <w:t> </w:t>
      </w:r>
      <w:r w:rsidRPr="00793844">
        <w:t>1 in the frequency band 703-733</w:t>
      </w:r>
      <w:r w:rsidR="00BB50BB" w:rsidRPr="00793844">
        <w:t> </w:t>
      </w:r>
      <w:r w:rsidRPr="00793844">
        <w:t xml:space="preserve">MHz </w:t>
      </w:r>
      <w:r w:rsidRPr="00793844">
        <w:rPr>
          <w:szCs w:val="24"/>
        </w:rPr>
        <w:t>with an IMT channel bandwidth greater than 10</w:t>
      </w:r>
      <w:r w:rsidR="00BB50BB" w:rsidRPr="00793844">
        <w:rPr>
          <w:szCs w:val="24"/>
        </w:rPr>
        <w:t> </w:t>
      </w:r>
      <w:r w:rsidRPr="00793844">
        <w:rPr>
          <w:szCs w:val="24"/>
        </w:rPr>
        <w:t xml:space="preserve">MHz </w:t>
      </w:r>
      <w:r w:rsidRPr="00793844">
        <w:t xml:space="preserve">should not exceed </w:t>
      </w:r>
      <w:r w:rsidR="00BB50BB" w:rsidRPr="00793844">
        <w:t>−</w:t>
      </w:r>
      <w:r w:rsidRPr="00793844">
        <w:t>25</w:t>
      </w:r>
      <w:r w:rsidR="00BB50BB" w:rsidRPr="00793844">
        <w:t> </w:t>
      </w:r>
      <w:r w:rsidRPr="00793844">
        <w:t>dBm/8</w:t>
      </w:r>
      <w:r w:rsidR="00BB50BB" w:rsidRPr="00793844">
        <w:t> </w:t>
      </w:r>
      <w:r w:rsidRPr="00793844">
        <w:t>MHz into the frequency band 470-694 MHz;</w:t>
      </w:r>
      <w:r w:rsidRPr="00793844">
        <w:rPr>
          <w:szCs w:val="24"/>
        </w:rPr>
        <w:t xml:space="preserve"> </w:t>
      </w:r>
    </w:p>
    <w:p w:rsidR="00E263B5" w:rsidRPr="00793844" w:rsidRDefault="00E263B5" w:rsidP="00BB50BB">
      <w:pPr>
        <w:rPr>
          <w:szCs w:val="24"/>
        </w:rPr>
      </w:pPr>
      <w:r w:rsidRPr="00793844">
        <w:rPr>
          <w:szCs w:val="24"/>
        </w:rPr>
        <w:t>2</w:t>
      </w:r>
      <w:r w:rsidRPr="00793844">
        <w:rPr>
          <w:szCs w:val="24"/>
        </w:rPr>
        <w:tab/>
        <w:t>that</w:t>
      </w:r>
      <w:r w:rsidRPr="00793844">
        <w:t xml:space="preserve"> </w:t>
      </w:r>
      <w:r w:rsidRPr="00793844">
        <w:rPr>
          <w:szCs w:val="24"/>
        </w:rPr>
        <w:t xml:space="preserve">the </w:t>
      </w:r>
      <w:r w:rsidRPr="00793844">
        <w:t xml:space="preserve">out-of-band </w:t>
      </w:r>
      <w:r w:rsidRPr="00793844">
        <w:rPr>
          <w:szCs w:val="24"/>
        </w:rPr>
        <w:t xml:space="preserve">emission of an IMT mobile station </w:t>
      </w:r>
      <w:r w:rsidRPr="00793844">
        <w:t>operating in Region</w:t>
      </w:r>
      <w:r w:rsidR="00BB50BB" w:rsidRPr="00793844">
        <w:t> </w:t>
      </w:r>
      <w:r w:rsidRPr="00793844">
        <w:t xml:space="preserve">1 </w:t>
      </w:r>
      <w:r w:rsidRPr="00793844">
        <w:rPr>
          <w:szCs w:val="24"/>
        </w:rPr>
        <w:t xml:space="preserve">in the frequency band </w:t>
      </w:r>
      <w:r w:rsidRPr="00793844">
        <w:t>703-733</w:t>
      </w:r>
      <w:r w:rsidR="00BB50BB" w:rsidRPr="00793844">
        <w:t> </w:t>
      </w:r>
      <w:r w:rsidRPr="00793844">
        <w:t>MHz</w:t>
      </w:r>
      <w:r w:rsidRPr="00793844">
        <w:rPr>
          <w:szCs w:val="24"/>
        </w:rPr>
        <w:t xml:space="preserve"> with an IMT channel bandwidth of 10</w:t>
      </w:r>
      <w:r w:rsidR="00BB50BB" w:rsidRPr="00793844">
        <w:rPr>
          <w:szCs w:val="24"/>
        </w:rPr>
        <w:t> </w:t>
      </w:r>
      <w:r w:rsidRPr="00793844">
        <w:rPr>
          <w:szCs w:val="24"/>
        </w:rPr>
        <w:t xml:space="preserve">MHz or less should not exceed </w:t>
      </w:r>
      <w:r w:rsidR="00BB50BB" w:rsidRPr="00793844">
        <w:rPr>
          <w:szCs w:val="24"/>
        </w:rPr>
        <w:t>−</w:t>
      </w:r>
      <w:r w:rsidRPr="00793844">
        <w:rPr>
          <w:szCs w:val="24"/>
        </w:rPr>
        <w:t>42</w:t>
      </w:r>
      <w:r w:rsidR="00BB50BB" w:rsidRPr="00793844">
        <w:rPr>
          <w:szCs w:val="24"/>
        </w:rPr>
        <w:t> </w:t>
      </w:r>
      <w:r w:rsidRPr="00793844">
        <w:rPr>
          <w:szCs w:val="24"/>
        </w:rPr>
        <w:t>dBm/8</w:t>
      </w:r>
      <w:r w:rsidR="00BB50BB" w:rsidRPr="00793844">
        <w:rPr>
          <w:szCs w:val="24"/>
        </w:rPr>
        <w:t> </w:t>
      </w:r>
      <w:r w:rsidRPr="00793844">
        <w:rPr>
          <w:szCs w:val="24"/>
        </w:rPr>
        <w:t>MHz into the frequency band 470-694 MHz;</w:t>
      </w:r>
    </w:p>
    <w:p w:rsidR="00E263B5" w:rsidRPr="00793844" w:rsidRDefault="00E263B5" w:rsidP="00BB50BB">
      <w:pPr>
        <w:rPr>
          <w:lang w:eastAsia="zh-CN"/>
        </w:rPr>
      </w:pPr>
      <w:r w:rsidRPr="00793844">
        <w:t>3</w:t>
      </w:r>
      <w:r w:rsidRPr="00793844">
        <w:tab/>
        <w:t xml:space="preserve">that administrations should, when deciding on the relevant channel bandwidth, take into account </w:t>
      </w:r>
      <w:r w:rsidRPr="00793844">
        <w:rPr>
          <w:i/>
        </w:rPr>
        <w:t>recommends</w:t>
      </w:r>
      <w:r w:rsidR="00BB50BB" w:rsidRPr="00793844">
        <w:rPr>
          <w:i/>
        </w:rPr>
        <w:t> </w:t>
      </w:r>
      <w:r w:rsidRPr="00793844">
        <w:rPr>
          <w:iCs/>
        </w:rPr>
        <w:t>1 and 2</w:t>
      </w:r>
      <w:r w:rsidRPr="00793844">
        <w:t>.</w:t>
      </w:r>
    </w:p>
    <w:p w:rsidR="00E263B5" w:rsidRPr="00793844" w:rsidRDefault="00E263B5" w:rsidP="00E263B5">
      <w:pPr>
        <w:pStyle w:val="Reasons"/>
      </w:pPr>
    </w:p>
    <w:p w:rsidR="00E263B5" w:rsidRPr="00793844" w:rsidRDefault="00E263B5" w:rsidP="00E263B5">
      <w:pPr>
        <w:jc w:val="center"/>
      </w:pPr>
      <w:r w:rsidRPr="00793844">
        <w:t>______________</w:t>
      </w:r>
    </w:p>
    <w:sectPr w:rsidR="00E263B5" w:rsidRPr="00793844" w:rsidSect="009447A3">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E3F" w:rsidRDefault="00B64E3F">
      <w:r>
        <w:separator/>
      </w:r>
    </w:p>
  </w:endnote>
  <w:endnote w:type="continuationSeparator" w:id="0">
    <w:p w:rsidR="00B64E3F" w:rsidRDefault="00B6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3F" w:rsidRPr="009447A3" w:rsidRDefault="00B64E3F">
    <w:pPr>
      <w:rPr>
        <w:lang w:val="es-ES_tradnl"/>
      </w:rPr>
    </w:pPr>
    <w:r>
      <w:fldChar w:fldCharType="begin"/>
    </w:r>
    <w:r w:rsidRPr="009447A3">
      <w:rPr>
        <w:lang w:val="es-ES_tradnl"/>
      </w:rPr>
      <w:instrText xml:space="preserve"> FILENAME \p  \* MERGEFORMAT </w:instrText>
    </w:r>
    <w:r>
      <w:fldChar w:fldCharType="separate"/>
    </w:r>
    <w:r w:rsidR="00267EFF">
      <w:rPr>
        <w:noProof/>
        <w:lang w:val="es-ES_tradnl"/>
      </w:rPr>
      <w:t>P:\ENG\CONVERSI\013E.docx</w:t>
    </w:r>
    <w:r>
      <w:fldChar w:fldCharType="end"/>
    </w:r>
    <w:r w:rsidRPr="009447A3">
      <w:rPr>
        <w:lang w:val="es-ES_tradnl"/>
      </w:rPr>
      <w:tab/>
    </w:r>
    <w:r>
      <w:fldChar w:fldCharType="begin"/>
    </w:r>
    <w:r>
      <w:instrText xml:space="preserve"> SAVEDATE \@ DD.MM.YY </w:instrText>
    </w:r>
    <w:r>
      <w:fldChar w:fldCharType="separate"/>
    </w:r>
    <w:r w:rsidR="00FD6A8F">
      <w:rPr>
        <w:noProof/>
      </w:rPr>
      <w:t>12.10.15</w:t>
    </w:r>
    <w:r>
      <w:fldChar w:fldCharType="end"/>
    </w:r>
    <w:r w:rsidRPr="009447A3">
      <w:rPr>
        <w:lang w:val="es-ES_tradnl"/>
      </w:rPr>
      <w:tab/>
    </w:r>
    <w:r>
      <w:fldChar w:fldCharType="begin"/>
    </w:r>
    <w:r>
      <w:instrText xml:space="preserve"> PRINTDATE \@ DD.MM.YY </w:instrText>
    </w:r>
    <w:r>
      <w:fldChar w:fldCharType="separate"/>
    </w:r>
    <w:r w:rsidR="00267EFF">
      <w:rPr>
        <w:noProof/>
      </w:rPr>
      <w:t>12.10.15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FF" w:rsidRDefault="0013336C">
    <w:pPr>
      <w:pStyle w:val="Footer"/>
    </w:pPr>
    <w:r>
      <w:fldChar w:fldCharType="begin"/>
    </w:r>
    <w:r>
      <w:instrText xml:space="preserve"> FILENAME \p  \* MERGEFORMAT </w:instrText>
    </w:r>
    <w:r>
      <w:fldChar w:fldCharType="separate"/>
    </w:r>
    <w:r>
      <w:t>P:\ENG\ITU-R\CONF-R\AR15\PLEN\000\013E.docx</w:t>
    </w:r>
    <w:r>
      <w:fldChar w:fldCharType="end"/>
    </w:r>
    <w:r w:rsidR="006C1A12">
      <w:t xml:space="preserve"> (387606)</w:t>
    </w:r>
    <w:r w:rsidR="00267EFF">
      <w:tab/>
    </w:r>
    <w:r w:rsidR="00267EFF">
      <w:fldChar w:fldCharType="begin"/>
    </w:r>
    <w:r w:rsidR="00267EFF">
      <w:instrText xml:space="preserve"> SAVEDATE \@ DD.MM.YY </w:instrText>
    </w:r>
    <w:r w:rsidR="00267EFF">
      <w:fldChar w:fldCharType="separate"/>
    </w:r>
    <w:r w:rsidR="00FD6A8F">
      <w:t>12.10.15</w:t>
    </w:r>
    <w:r w:rsidR="00267EFF">
      <w:fldChar w:fldCharType="end"/>
    </w:r>
    <w:r w:rsidR="00267EFF">
      <w:tab/>
    </w:r>
    <w:r w:rsidR="00267EFF">
      <w:fldChar w:fldCharType="begin"/>
    </w:r>
    <w:r w:rsidR="00267EFF">
      <w:instrText xml:space="preserve"> PRINTDATE \@ DD.MM.YY </w:instrText>
    </w:r>
    <w:r w:rsidR="00267EFF">
      <w:fldChar w:fldCharType="separate"/>
    </w:r>
    <w:r w:rsidR="00267EFF">
      <w:t>12.10.15</w:t>
    </w:r>
    <w:r w:rsidR="00267EF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12" w:rsidRDefault="006C1A12" w:rsidP="006C1A12">
    <w:pPr>
      <w:pStyle w:val="Footer"/>
    </w:pPr>
    <w:fldSimple w:instr=" FILENAME \p  \* MERGEFORMAT ">
      <w:r w:rsidR="0013336C">
        <w:t>P:\ENG\ITU-R\CONF-R\AR15\PLEN\000\013E.docx</w:t>
      </w:r>
    </w:fldSimple>
    <w:r>
      <w:t xml:space="preserve"> (387606)</w:t>
    </w:r>
    <w:r>
      <w:tab/>
    </w:r>
    <w:r>
      <w:fldChar w:fldCharType="begin"/>
    </w:r>
    <w:r>
      <w:instrText xml:space="preserve"> SAVEDATE \@ DD.MM.YY </w:instrText>
    </w:r>
    <w:r>
      <w:fldChar w:fldCharType="separate"/>
    </w:r>
    <w:r w:rsidR="00FD6A8F">
      <w:t>12.10.15</w:t>
    </w:r>
    <w:r>
      <w:fldChar w:fldCharType="end"/>
    </w:r>
    <w:r>
      <w:tab/>
    </w:r>
    <w:r>
      <w:fldChar w:fldCharType="begin"/>
    </w:r>
    <w:r>
      <w:instrText xml:space="preserve"> PRINTDATE \@ DD.MM.YY </w:instrText>
    </w:r>
    <w:r>
      <w:fldChar w:fldCharType="separate"/>
    </w:r>
    <w:r>
      <w:t>12.10.15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E3F" w:rsidRDefault="00B64E3F">
      <w:r>
        <w:rPr>
          <w:b/>
        </w:rPr>
        <w:t>_______________</w:t>
      </w:r>
    </w:p>
  </w:footnote>
  <w:footnote w:type="continuationSeparator" w:id="0">
    <w:p w:rsidR="00B64E3F" w:rsidRDefault="00B64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FF" w:rsidRDefault="00267EFF" w:rsidP="00267EFF">
    <w:pPr>
      <w:pStyle w:val="Header"/>
    </w:pPr>
    <w:r>
      <w:fldChar w:fldCharType="begin"/>
    </w:r>
    <w:r>
      <w:instrText xml:space="preserve"> PAGE  \* MERGEFORMAT </w:instrText>
    </w:r>
    <w:r>
      <w:fldChar w:fldCharType="separate"/>
    </w:r>
    <w:r w:rsidR="0013336C">
      <w:rPr>
        <w:noProof/>
      </w:rPr>
      <w:t>4</w:t>
    </w:r>
    <w:r>
      <w:fldChar w:fldCharType="end"/>
    </w:r>
  </w:p>
  <w:p w:rsidR="00267EFF" w:rsidRDefault="00267EFF" w:rsidP="00267EFF">
    <w:pPr>
      <w:pStyle w:val="Header"/>
    </w:pPr>
    <w:r>
      <w:t>RA15/PLEN/13-E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73"/>
    <w:rsid w:val="00017932"/>
    <w:rsid w:val="00073110"/>
    <w:rsid w:val="000732CE"/>
    <w:rsid w:val="00081E7C"/>
    <w:rsid w:val="000D1293"/>
    <w:rsid w:val="000F066E"/>
    <w:rsid w:val="00106CB6"/>
    <w:rsid w:val="0013336C"/>
    <w:rsid w:val="00196475"/>
    <w:rsid w:val="001B225D"/>
    <w:rsid w:val="001D279C"/>
    <w:rsid w:val="001D404F"/>
    <w:rsid w:val="001F2716"/>
    <w:rsid w:val="00206408"/>
    <w:rsid w:val="00267EFF"/>
    <w:rsid w:val="0030579C"/>
    <w:rsid w:val="003378CD"/>
    <w:rsid w:val="00403429"/>
    <w:rsid w:val="00425F3D"/>
    <w:rsid w:val="004420E4"/>
    <w:rsid w:val="00482F5D"/>
    <w:rsid w:val="004844C1"/>
    <w:rsid w:val="004D6FFE"/>
    <w:rsid w:val="00506D95"/>
    <w:rsid w:val="005E0BE1"/>
    <w:rsid w:val="005E1A04"/>
    <w:rsid w:val="0061407E"/>
    <w:rsid w:val="00634BA8"/>
    <w:rsid w:val="00645608"/>
    <w:rsid w:val="006821B6"/>
    <w:rsid w:val="006B35AF"/>
    <w:rsid w:val="006C1A12"/>
    <w:rsid w:val="006F43F3"/>
    <w:rsid w:val="0071246B"/>
    <w:rsid w:val="0075630C"/>
    <w:rsid w:val="00756B1C"/>
    <w:rsid w:val="00793844"/>
    <w:rsid w:val="007C6911"/>
    <w:rsid w:val="007C793C"/>
    <w:rsid w:val="0080228D"/>
    <w:rsid w:val="00880578"/>
    <w:rsid w:val="008A04FB"/>
    <w:rsid w:val="008A7B8E"/>
    <w:rsid w:val="008B3EBA"/>
    <w:rsid w:val="008C5F1E"/>
    <w:rsid w:val="008E4EB5"/>
    <w:rsid w:val="008F5E4F"/>
    <w:rsid w:val="0090795B"/>
    <w:rsid w:val="00912BAA"/>
    <w:rsid w:val="009447A3"/>
    <w:rsid w:val="009914E6"/>
    <w:rsid w:val="00993768"/>
    <w:rsid w:val="009E375D"/>
    <w:rsid w:val="00A04A13"/>
    <w:rsid w:val="00A05CE9"/>
    <w:rsid w:val="00A06226"/>
    <w:rsid w:val="00A317F9"/>
    <w:rsid w:val="00A43199"/>
    <w:rsid w:val="00B05936"/>
    <w:rsid w:val="00B64E3F"/>
    <w:rsid w:val="00BA10B5"/>
    <w:rsid w:val="00BB03AF"/>
    <w:rsid w:val="00BB50BB"/>
    <w:rsid w:val="00BC399D"/>
    <w:rsid w:val="00BC4FC3"/>
    <w:rsid w:val="00BE5003"/>
    <w:rsid w:val="00BF1393"/>
    <w:rsid w:val="00BF5E61"/>
    <w:rsid w:val="00C02E99"/>
    <w:rsid w:val="00C074E4"/>
    <w:rsid w:val="00C11CE7"/>
    <w:rsid w:val="00C41CA6"/>
    <w:rsid w:val="00C46060"/>
    <w:rsid w:val="00C71F73"/>
    <w:rsid w:val="00CE687E"/>
    <w:rsid w:val="00D262CE"/>
    <w:rsid w:val="00D471A9"/>
    <w:rsid w:val="00D50D44"/>
    <w:rsid w:val="00D61131"/>
    <w:rsid w:val="00DA716F"/>
    <w:rsid w:val="00DC7549"/>
    <w:rsid w:val="00DF751B"/>
    <w:rsid w:val="00E12FD5"/>
    <w:rsid w:val="00E20612"/>
    <w:rsid w:val="00E263B5"/>
    <w:rsid w:val="00E371F5"/>
    <w:rsid w:val="00E424C3"/>
    <w:rsid w:val="00E641E6"/>
    <w:rsid w:val="00EC43B0"/>
    <w:rsid w:val="00EE1A06"/>
    <w:rsid w:val="00EE4AD6"/>
    <w:rsid w:val="00EF5980"/>
    <w:rsid w:val="00F248DA"/>
    <w:rsid w:val="00F329B0"/>
    <w:rsid w:val="00F51060"/>
    <w:rsid w:val="00F9595A"/>
    <w:rsid w:val="00FB721F"/>
    <w:rsid w:val="00FD4869"/>
    <w:rsid w:val="00FD6A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E65A4DAD-E462-49E0-B1F9-B61B0915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qFormat/>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link w:val="RectitleChar"/>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styleId="BalloonText">
    <w:name w:val="Balloon Text"/>
    <w:basedOn w:val="Normal"/>
    <w:link w:val="BalloonTextChar"/>
    <w:semiHidden/>
    <w:unhideWhenUsed/>
    <w:rsid w:val="00634BA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34BA8"/>
    <w:rPr>
      <w:rFonts w:ascii="Tahoma" w:hAnsi="Tahoma" w:cs="Tahoma"/>
      <w:sz w:val="16"/>
      <w:szCs w:val="16"/>
      <w:lang w:val="en-GB" w:eastAsia="en-US"/>
    </w:rPr>
  </w:style>
  <w:style w:type="paragraph" w:customStyle="1" w:styleId="Normalaftertitle0">
    <w:name w:val="Normal_after_title"/>
    <w:basedOn w:val="Normal"/>
    <w:next w:val="Normal"/>
    <w:link w:val="NormalaftertitleChar"/>
    <w:rsid w:val="00DC7549"/>
    <w:pPr>
      <w:spacing w:before="360"/>
    </w:pPr>
  </w:style>
  <w:style w:type="character" w:styleId="Hyperlink">
    <w:name w:val="Hyperlink"/>
    <w:basedOn w:val="DefaultParagraphFont"/>
    <w:rsid w:val="00DC7549"/>
    <w:rPr>
      <w:color w:val="0000FF" w:themeColor="hyperlink"/>
      <w:u w:val="single"/>
    </w:rPr>
  </w:style>
  <w:style w:type="character" w:customStyle="1" w:styleId="enumlev1Char">
    <w:name w:val="enumlev1 Char"/>
    <w:link w:val="enumlev1"/>
    <w:locked/>
    <w:rsid w:val="00DC7549"/>
    <w:rPr>
      <w:rFonts w:ascii="Times New Roman" w:hAnsi="Times New Roman"/>
      <w:sz w:val="24"/>
      <w:lang w:val="en-GB" w:eastAsia="en-US"/>
    </w:rPr>
  </w:style>
  <w:style w:type="character" w:customStyle="1" w:styleId="NormalaftertitleChar">
    <w:name w:val="Normal_after_title Char"/>
    <w:basedOn w:val="DefaultParagraphFont"/>
    <w:link w:val="Normalaftertitle0"/>
    <w:locked/>
    <w:rsid w:val="00DC7549"/>
    <w:rPr>
      <w:rFonts w:ascii="Times New Roman" w:hAnsi="Times New Roman"/>
      <w:sz w:val="24"/>
      <w:lang w:val="en-GB" w:eastAsia="en-US"/>
    </w:rPr>
  </w:style>
  <w:style w:type="character" w:customStyle="1" w:styleId="CallChar">
    <w:name w:val="Call Char"/>
    <w:basedOn w:val="DefaultParagraphFont"/>
    <w:link w:val="Call"/>
    <w:locked/>
    <w:rsid w:val="00DC7549"/>
    <w:rPr>
      <w:rFonts w:ascii="Times New Roman" w:hAnsi="Times New Roman"/>
      <w:i/>
      <w:sz w:val="24"/>
      <w:lang w:val="en-GB" w:eastAsia="en-US"/>
    </w:rPr>
  </w:style>
  <w:style w:type="character" w:customStyle="1" w:styleId="RectitleChar">
    <w:name w:val="Rec_title Char"/>
    <w:basedOn w:val="DefaultParagraphFont"/>
    <w:link w:val="Rectitle"/>
    <w:locked/>
    <w:rsid w:val="00DC7549"/>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5-RP-1009/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tu.int/md/R12-SG05-C-0214/en" TargetMode="External"/><Relationship Id="rId4" Type="http://schemas.openxmlformats.org/officeDocument/2006/relationships/webSettings" Target="webSettings.xml"/><Relationship Id="rId9" Type="http://schemas.openxmlformats.org/officeDocument/2006/relationships/hyperlink" Target="http://www.itu.int/md/R12-SG05-C-0127/en"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1</TotalTime>
  <Pages>4</Pages>
  <Words>1286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8489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dc:description>PE_RA12.dotm  For: _x000d_Document date: _x000d_Saved by MM-106465 at 11:44:53 on 04/04/11</dc:description>
  <cp:lastModifiedBy>Turnbull, Karen</cp:lastModifiedBy>
  <cp:revision>5</cp:revision>
  <cp:lastPrinted>2015-10-12T07:45:00Z</cp:lastPrinted>
  <dcterms:created xsi:type="dcterms:W3CDTF">2015-10-12T10:03:00Z</dcterms:created>
  <dcterms:modified xsi:type="dcterms:W3CDTF">2015-10-12T10:03:00Z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