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7956A4">
        <w:trPr>
          <w:cantSplit/>
        </w:trPr>
        <w:tc>
          <w:tcPr>
            <w:tcW w:w="6629" w:type="dxa"/>
          </w:tcPr>
          <w:p w:rsidR="007956A4" w:rsidRPr="00016648" w:rsidRDefault="007956A4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7956A4" w:rsidRDefault="007956A4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6A4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7956A4" w:rsidRPr="00617BE4" w:rsidRDefault="007956A4" w:rsidP="007956A4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956A4" w:rsidRPr="00617BE4" w:rsidRDefault="007956A4" w:rsidP="007956A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956A4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7956A4" w:rsidRPr="00C324A8" w:rsidRDefault="007956A4" w:rsidP="007956A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956A4" w:rsidRPr="00C324A8" w:rsidRDefault="007956A4" w:rsidP="007956A4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956A4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7956A4" w:rsidRPr="007956A4" w:rsidRDefault="00891C45" w:rsidP="007956A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402" w:type="dxa"/>
          </w:tcPr>
          <w:p w:rsidR="007956A4" w:rsidRPr="007956A4" w:rsidRDefault="007956A4" w:rsidP="007956A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</w:t>
            </w:r>
            <w:r w:rsidR="004F664E">
              <w:rPr>
                <w:rFonts w:ascii="Verdana" w:hAnsi="Verdana"/>
                <w:b/>
                <w:sz w:val="20"/>
              </w:rPr>
              <w:t>PLEN/13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7956A4" w:rsidRPr="00C324A8">
        <w:trPr>
          <w:cantSplit/>
          <w:trHeight w:val="23"/>
        </w:trPr>
        <w:tc>
          <w:tcPr>
            <w:tcW w:w="6629" w:type="dxa"/>
            <w:vMerge/>
          </w:tcPr>
          <w:p w:rsidR="007956A4" w:rsidRPr="00C324A8" w:rsidRDefault="007956A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7956A4" w:rsidRPr="007956A4" w:rsidRDefault="004F664E" w:rsidP="007956A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</w:t>
            </w:r>
            <w:r w:rsidR="007956A4">
              <w:rPr>
                <w:rFonts w:ascii="Verdana" w:hAnsi="Verdana"/>
                <w:b/>
                <w:sz w:val="20"/>
              </w:rPr>
              <w:t xml:space="preserve"> octobre 2015</w:t>
            </w:r>
          </w:p>
        </w:tc>
      </w:tr>
      <w:tr w:rsidR="007956A4" w:rsidRPr="00C324A8">
        <w:trPr>
          <w:cantSplit/>
          <w:trHeight w:val="23"/>
        </w:trPr>
        <w:tc>
          <w:tcPr>
            <w:tcW w:w="6629" w:type="dxa"/>
            <w:vMerge/>
          </w:tcPr>
          <w:p w:rsidR="007956A4" w:rsidRPr="00C324A8" w:rsidRDefault="007956A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7956A4" w:rsidRPr="007956A4" w:rsidRDefault="007956A4" w:rsidP="007956A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956A4" w:rsidRPr="00891C45">
        <w:trPr>
          <w:cantSplit/>
        </w:trPr>
        <w:tc>
          <w:tcPr>
            <w:tcW w:w="10031" w:type="dxa"/>
          </w:tcPr>
          <w:p w:rsidR="007956A4" w:rsidRPr="00891C45" w:rsidRDefault="00891C45" w:rsidP="009267DE">
            <w:pPr>
              <w:pStyle w:val="Source"/>
            </w:pPr>
            <w:bookmarkStart w:id="7" w:name="dsource" w:colFirst="0" w:colLast="0"/>
            <w:bookmarkEnd w:id="4"/>
            <w:bookmarkEnd w:id="6"/>
            <w:r w:rsidRPr="00891C45">
              <w:t>Allemagne</w:t>
            </w:r>
            <w:r w:rsidR="007956A4" w:rsidRPr="00891C45">
              <w:t xml:space="preserve"> (</w:t>
            </w:r>
            <w:r w:rsidRPr="00891C45">
              <w:t>République fédérale d'</w:t>
            </w:r>
            <w:r w:rsidR="007956A4" w:rsidRPr="00891C45">
              <w:t xml:space="preserve">), </w:t>
            </w:r>
            <w:r w:rsidRPr="00891C45">
              <w:t>An</w:t>
            </w:r>
            <w:bookmarkStart w:id="8" w:name="_GoBack"/>
            <w:bookmarkEnd w:id="8"/>
            <w:r w:rsidRPr="00891C45">
              <w:t>gola (République d')</w:t>
            </w:r>
            <w:r w:rsidR="007956A4" w:rsidRPr="00891C45">
              <w:t xml:space="preserve">, </w:t>
            </w:r>
            <w:r w:rsidRPr="00891C45">
              <w:t>Arabie saoudite (Royaume d')</w:t>
            </w:r>
            <w:r w:rsidR="007956A4" w:rsidRPr="00891C45">
              <w:t>, Au</w:t>
            </w:r>
            <w:r w:rsidRPr="00891C45">
              <w:t>triche, Bahreïn</w:t>
            </w:r>
            <w:r w:rsidR="007956A4" w:rsidRPr="00891C45">
              <w:t xml:space="preserve"> (</w:t>
            </w:r>
            <w:r w:rsidRPr="00891C45">
              <w:t>Royaume de), Bénin (République du</w:t>
            </w:r>
            <w:r w:rsidR="007956A4" w:rsidRPr="00891C45">
              <w:t>), Botswana (</w:t>
            </w:r>
            <w:r w:rsidRPr="00891C45">
              <w:t>République du</w:t>
            </w:r>
            <w:r w:rsidR="007956A4" w:rsidRPr="00891C45">
              <w:t>), Burkina Faso, Burundi (</w:t>
            </w:r>
            <w:r w:rsidRPr="00891C45">
              <w:t>République du</w:t>
            </w:r>
            <w:r w:rsidR="007956A4" w:rsidRPr="00891C45">
              <w:t>), Camero</w:t>
            </w:r>
            <w:r w:rsidRPr="00891C45">
              <w:t>u</w:t>
            </w:r>
            <w:r w:rsidR="007956A4" w:rsidRPr="00891C45">
              <w:t>n (</w:t>
            </w:r>
            <w:r w:rsidRPr="00891C45">
              <w:t>République du</w:t>
            </w:r>
            <w:r w:rsidR="007956A4" w:rsidRPr="00891C45">
              <w:t xml:space="preserve">), </w:t>
            </w:r>
            <w:r w:rsidRPr="00891C45">
              <w:t>République centrafricaine</w:t>
            </w:r>
            <w:r w:rsidR="007956A4" w:rsidRPr="00891C45">
              <w:t>, Congo (</w:t>
            </w:r>
            <w:r w:rsidRPr="00891C45">
              <w:t>République du</w:t>
            </w:r>
            <w:r w:rsidR="007956A4" w:rsidRPr="00891C45">
              <w:t>), Côte d'Ivoire (</w:t>
            </w:r>
            <w:r w:rsidR="003638F9">
              <w:t>République de</w:t>
            </w:r>
            <w:r w:rsidR="007956A4" w:rsidRPr="00891C45">
              <w:t>), Croati</w:t>
            </w:r>
            <w:r w:rsidRPr="00891C45">
              <w:t>e</w:t>
            </w:r>
            <w:r w:rsidR="007956A4" w:rsidRPr="00891C45">
              <w:t xml:space="preserve"> (</w:t>
            </w:r>
            <w:r w:rsidRPr="00891C45">
              <w:t>République de), Da</w:t>
            </w:r>
            <w:r w:rsidR="007956A4" w:rsidRPr="00891C45">
              <w:t>n</w:t>
            </w:r>
            <w:r w:rsidRPr="00891C45">
              <w:t>e</w:t>
            </w:r>
            <w:r w:rsidR="007956A4" w:rsidRPr="00891C45">
              <w:t>mark, Djibouti (</w:t>
            </w:r>
            <w:r w:rsidRPr="00891C45">
              <w:t xml:space="preserve">République de), </w:t>
            </w:r>
            <w:r w:rsidR="009267DE">
              <w:t>E</w:t>
            </w:r>
            <w:r w:rsidR="007956A4" w:rsidRPr="00891C45">
              <w:t>gypt</w:t>
            </w:r>
            <w:r w:rsidRPr="00891C45">
              <w:t>e</w:t>
            </w:r>
            <w:r w:rsidR="007956A4" w:rsidRPr="00891C45">
              <w:t xml:space="preserve"> (</w:t>
            </w:r>
            <w:r w:rsidRPr="00891C45">
              <w:t>République arabe d'</w:t>
            </w:r>
            <w:r w:rsidR="007956A4" w:rsidRPr="00891C45">
              <w:t xml:space="preserve">), </w:t>
            </w:r>
            <w:r w:rsidR="009267DE">
              <w:t>E</w:t>
            </w:r>
            <w:r w:rsidRPr="00891C45">
              <w:t>mirats arabes unis</w:t>
            </w:r>
            <w:r w:rsidR="007956A4" w:rsidRPr="00891C45">
              <w:t xml:space="preserve">, </w:t>
            </w:r>
            <w:r w:rsidR="009267DE">
              <w:t>E</w:t>
            </w:r>
            <w:r w:rsidRPr="00891C45">
              <w:t>tat de</w:t>
            </w:r>
            <w:r w:rsidR="007956A4" w:rsidRPr="00891C45">
              <w:t xml:space="preserve"> Palestine, Finland</w:t>
            </w:r>
            <w:r w:rsidRPr="00891C45">
              <w:t>e</w:t>
            </w:r>
            <w:r w:rsidR="007956A4" w:rsidRPr="00891C45">
              <w:t xml:space="preserve">, France, </w:t>
            </w:r>
            <w:r w:rsidRPr="00891C45">
              <w:t>République gabonaise</w:t>
            </w:r>
            <w:r w:rsidR="007956A4" w:rsidRPr="00891C45">
              <w:t>, Gambi</w:t>
            </w:r>
            <w:r w:rsidRPr="00891C45">
              <w:t>e</w:t>
            </w:r>
            <w:r w:rsidR="007956A4" w:rsidRPr="00891C45">
              <w:t xml:space="preserve"> (</w:t>
            </w:r>
            <w:r w:rsidRPr="00891C45">
              <w:t>République de</w:t>
            </w:r>
            <w:r w:rsidR="007956A4" w:rsidRPr="00891C45">
              <w:t>), Ghana, Guin</w:t>
            </w:r>
            <w:r w:rsidRPr="00891C45">
              <w:t>ée</w:t>
            </w:r>
            <w:r w:rsidR="007956A4" w:rsidRPr="00891C45">
              <w:t xml:space="preserve"> (</w:t>
            </w:r>
            <w:r w:rsidRPr="00891C45">
              <w:t>République de</w:t>
            </w:r>
            <w:r w:rsidR="007956A4" w:rsidRPr="00891C45">
              <w:t xml:space="preserve">), </w:t>
            </w:r>
            <w:r w:rsidRPr="00891C45">
              <w:t>Hongrie</w:t>
            </w:r>
            <w:r w:rsidR="007956A4" w:rsidRPr="00891C45">
              <w:t>, Jordan</w:t>
            </w:r>
            <w:r w:rsidRPr="00891C45">
              <w:t>ie</w:t>
            </w:r>
            <w:r w:rsidR="007956A4" w:rsidRPr="00891C45">
              <w:t xml:space="preserve"> (</w:t>
            </w:r>
            <w:r>
              <w:t>Royaume hachémite de</w:t>
            </w:r>
            <w:r w:rsidR="007956A4" w:rsidRPr="00891C45">
              <w:t>), Kenya (</w:t>
            </w:r>
            <w:r w:rsidRPr="00891C45">
              <w:t>République du</w:t>
            </w:r>
            <w:r w:rsidR="007956A4" w:rsidRPr="00891C45">
              <w:t>), K</w:t>
            </w:r>
            <w:r>
              <w:t>oweït</w:t>
            </w:r>
            <w:r w:rsidR="007956A4" w:rsidRPr="00891C45">
              <w:t xml:space="preserve"> (</w:t>
            </w:r>
            <w:r w:rsidR="009267DE">
              <w:t>E</w:t>
            </w:r>
            <w:r>
              <w:t>tat du</w:t>
            </w:r>
            <w:r w:rsidR="007956A4" w:rsidRPr="00891C45">
              <w:t>), Lesotho (</w:t>
            </w:r>
            <w:r>
              <w:t>Royaume du</w:t>
            </w:r>
            <w:r w:rsidR="007956A4" w:rsidRPr="00891C45">
              <w:t xml:space="preserve">), </w:t>
            </w:r>
            <w:r>
              <w:t>Liban, Libé</w:t>
            </w:r>
            <w:r w:rsidR="007956A4" w:rsidRPr="00891C45">
              <w:t>ria (</w:t>
            </w:r>
            <w:r w:rsidRPr="00891C45">
              <w:t>République du</w:t>
            </w:r>
            <w:r w:rsidR="007956A4" w:rsidRPr="00891C45">
              <w:t>), Luxembourg, Madagascar (</w:t>
            </w:r>
            <w:r w:rsidRPr="00891C45">
              <w:t>République du</w:t>
            </w:r>
            <w:r w:rsidR="007956A4" w:rsidRPr="00891C45">
              <w:t>), Malawi, Mali (</w:t>
            </w:r>
            <w:r w:rsidRPr="00891C45">
              <w:t>République du</w:t>
            </w:r>
            <w:r w:rsidR="007956A4" w:rsidRPr="00891C45">
              <w:t xml:space="preserve">), </w:t>
            </w:r>
            <w:r>
              <w:t>Maroc</w:t>
            </w:r>
            <w:r w:rsidR="007956A4" w:rsidRPr="00891C45">
              <w:t xml:space="preserve"> (</w:t>
            </w:r>
            <w:r>
              <w:t>Royaume du), Mauritanie</w:t>
            </w:r>
            <w:r w:rsidR="007956A4" w:rsidRPr="00891C45">
              <w:t xml:space="preserve"> </w:t>
            </w:r>
            <w:r w:rsidRPr="00891C45">
              <w:t>(République islamique de)</w:t>
            </w:r>
            <w:r w:rsidR="007956A4" w:rsidRPr="00891C45">
              <w:t>, Mozambique (</w:t>
            </w:r>
            <w:r w:rsidR="00F60FB8" w:rsidRPr="00891C45">
              <w:t>République du</w:t>
            </w:r>
            <w:r w:rsidR="007956A4" w:rsidRPr="00891C45">
              <w:t>), Namibi</w:t>
            </w:r>
            <w:r w:rsidR="00F60FB8">
              <w:t>e</w:t>
            </w:r>
            <w:r w:rsidR="007956A4" w:rsidRPr="00891C45">
              <w:t xml:space="preserve"> (</w:t>
            </w:r>
            <w:r w:rsidR="00F60FB8">
              <w:t>République de</w:t>
            </w:r>
            <w:r w:rsidR="007956A4" w:rsidRPr="00891C45">
              <w:t>), Niger (</w:t>
            </w:r>
            <w:r w:rsidR="00F60FB8" w:rsidRPr="00891C45">
              <w:t>République du</w:t>
            </w:r>
            <w:r w:rsidR="00F60FB8">
              <w:t>), Nigé</w:t>
            </w:r>
            <w:r w:rsidR="007956A4" w:rsidRPr="00891C45">
              <w:t>ria (</w:t>
            </w:r>
            <w:r w:rsidR="00F60FB8" w:rsidRPr="00891C45">
              <w:t xml:space="preserve">République </w:t>
            </w:r>
            <w:r w:rsidR="00F60FB8">
              <w:t xml:space="preserve">fédérale </w:t>
            </w:r>
            <w:r w:rsidR="00F60FB8" w:rsidRPr="00891C45">
              <w:t>du</w:t>
            </w:r>
            <w:r w:rsidR="007956A4" w:rsidRPr="00891C45">
              <w:t xml:space="preserve">), </w:t>
            </w:r>
            <w:r w:rsidR="00F60FB8">
              <w:t>Norvège, Oman (Sultanat d'</w:t>
            </w:r>
            <w:r w:rsidR="007956A4" w:rsidRPr="00891C45">
              <w:t xml:space="preserve">), </w:t>
            </w:r>
            <w:r w:rsidR="00F60FB8">
              <w:t>Ou</w:t>
            </w:r>
            <w:r w:rsidR="007956A4" w:rsidRPr="00891C45">
              <w:t xml:space="preserve">ganda, </w:t>
            </w:r>
            <w:r w:rsidR="009267DE">
              <w:t>Pays</w:t>
            </w:r>
            <w:r w:rsidR="009267DE">
              <w:noBreakHyphen/>
            </w:r>
            <w:r w:rsidR="00F60FB8" w:rsidRPr="00F60FB8">
              <w:t>Bas (Royaume des)</w:t>
            </w:r>
            <w:r w:rsidR="00F60FB8">
              <w:t>, Pologne</w:t>
            </w:r>
            <w:r w:rsidR="007956A4" w:rsidRPr="00891C45">
              <w:t xml:space="preserve"> (</w:t>
            </w:r>
            <w:r w:rsidR="00F60FB8">
              <w:t>République de</w:t>
            </w:r>
            <w:r w:rsidR="007956A4" w:rsidRPr="00891C45">
              <w:t>), Portugal, Qatar (</w:t>
            </w:r>
            <w:r w:rsidR="00F60FB8">
              <w:t>État du</w:t>
            </w:r>
            <w:r w:rsidR="007956A4" w:rsidRPr="00891C45">
              <w:t xml:space="preserve">), </w:t>
            </w:r>
            <w:r w:rsidR="00F60FB8">
              <w:t>République démocratique du</w:t>
            </w:r>
            <w:r w:rsidR="007956A4" w:rsidRPr="00891C45">
              <w:t xml:space="preserve"> Congo, </w:t>
            </w:r>
            <w:r w:rsidR="00F60FB8" w:rsidRPr="00F60FB8">
              <w:t>République tchèque</w:t>
            </w:r>
            <w:r w:rsidR="007956A4" w:rsidRPr="00891C45">
              <w:t xml:space="preserve">, </w:t>
            </w:r>
            <w:r w:rsidR="00F60FB8" w:rsidRPr="00F60FB8">
              <w:t>Royaume-Uni de Grande-Bretagne et d'Irlande du Nord</w:t>
            </w:r>
            <w:r w:rsidR="007956A4" w:rsidRPr="00891C45">
              <w:t>, Rwanda (</w:t>
            </w:r>
            <w:r w:rsidR="00F60FB8">
              <w:t>République du</w:t>
            </w:r>
            <w:r w:rsidR="007956A4" w:rsidRPr="00891C45">
              <w:t xml:space="preserve">), </w:t>
            </w:r>
            <w:r w:rsidR="00F60FB8">
              <w:t>Sénégal</w:t>
            </w:r>
            <w:r w:rsidR="007956A4" w:rsidRPr="00891C45">
              <w:t xml:space="preserve"> (</w:t>
            </w:r>
            <w:r w:rsidR="00F60FB8">
              <w:t>République du</w:t>
            </w:r>
            <w:r w:rsidR="007956A4" w:rsidRPr="00891C45">
              <w:t>), S</w:t>
            </w:r>
            <w:r w:rsidR="00F60FB8">
              <w:t>o</w:t>
            </w:r>
            <w:r w:rsidR="007956A4" w:rsidRPr="00891C45">
              <w:t>udan (</w:t>
            </w:r>
            <w:r w:rsidR="00F60FB8">
              <w:t>République du</w:t>
            </w:r>
            <w:r w:rsidR="007956A4" w:rsidRPr="00891C45">
              <w:t xml:space="preserve">), </w:t>
            </w:r>
            <w:r w:rsidR="00F60FB8" w:rsidRPr="00F60FB8">
              <w:t>Soudan du Sud (République du)</w:t>
            </w:r>
            <w:r w:rsidR="007956A4" w:rsidRPr="00891C45">
              <w:t xml:space="preserve">, </w:t>
            </w:r>
            <w:r w:rsidR="00F60FB8">
              <w:t>Sudafricaine (République)</w:t>
            </w:r>
            <w:r w:rsidR="007956A4" w:rsidRPr="00891C45">
              <w:t xml:space="preserve">, </w:t>
            </w:r>
            <w:r w:rsidR="00F60FB8">
              <w:t>Suède</w:t>
            </w:r>
            <w:r w:rsidR="007956A4" w:rsidRPr="00891C45">
              <w:t xml:space="preserve">, </w:t>
            </w:r>
            <w:r w:rsidR="00F60FB8">
              <w:t xml:space="preserve">Suisse </w:t>
            </w:r>
            <w:r w:rsidR="007956A4" w:rsidRPr="00891C45">
              <w:t>(Conf</w:t>
            </w:r>
            <w:r w:rsidR="00F60FB8">
              <w:t>é</w:t>
            </w:r>
            <w:r w:rsidR="007956A4" w:rsidRPr="00891C45">
              <w:t>d</w:t>
            </w:r>
            <w:r w:rsidR="00F60FB8">
              <w:t>é</w:t>
            </w:r>
            <w:r w:rsidR="007956A4" w:rsidRPr="00891C45">
              <w:t>ration), Swaziland (</w:t>
            </w:r>
            <w:r w:rsidR="00F60FB8">
              <w:t>Royaume du), Tanzanie</w:t>
            </w:r>
            <w:r w:rsidR="007956A4" w:rsidRPr="00891C45">
              <w:t xml:space="preserve"> (</w:t>
            </w:r>
            <w:r w:rsidR="00F60FB8">
              <w:t>République-Unie de</w:t>
            </w:r>
            <w:r w:rsidR="007956A4" w:rsidRPr="00891C45">
              <w:t xml:space="preserve">), </w:t>
            </w:r>
            <w:r w:rsidR="00F60FB8">
              <w:t>Tc</w:t>
            </w:r>
            <w:r w:rsidR="007956A4" w:rsidRPr="00891C45">
              <w:t>had (</w:t>
            </w:r>
            <w:r w:rsidR="00F60FB8">
              <w:t>République du), Tunisie</w:t>
            </w:r>
            <w:r w:rsidR="007956A4" w:rsidRPr="00891C45">
              <w:t xml:space="preserve">, </w:t>
            </w:r>
            <w:r w:rsidR="00F60FB8">
              <w:t>Turquie, Zambie</w:t>
            </w:r>
            <w:r w:rsidR="007956A4" w:rsidRPr="00891C45">
              <w:t xml:space="preserve"> (</w:t>
            </w:r>
            <w:r w:rsidR="00F60FB8">
              <w:t>République de</w:t>
            </w:r>
            <w:r w:rsidR="007956A4" w:rsidRPr="00891C45">
              <w:t>),</w:t>
            </w:r>
            <w:r w:rsidR="003638F9">
              <w:t xml:space="preserve"> </w:t>
            </w:r>
            <w:r w:rsidR="007956A4" w:rsidRPr="00891C45">
              <w:t>Zimbabwe (</w:t>
            </w:r>
            <w:r w:rsidR="00F60FB8">
              <w:t>République du</w:t>
            </w:r>
            <w:r w:rsidR="007956A4" w:rsidRPr="00891C45">
              <w:t>)</w:t>
            </w:r>
          </w:p>
        </w:tc>
      </w:tr>
      <w:tr w:rsidR="007956A4" w:rsidRPr="004F3EF6">
        <w:trPr>
          <w:cantSplit/>
        </w:trPr>
        <w:tc>
          <w:tcPr>
            <w:tcW w:w="10031" w:type="dxa"/>
          </w:tcPr>
          <w:p w:rsidR="007956A4" w:rsidRPr="004F3EF6" w:rsidRDefault="00B22A1C" w:rsidP="0018515B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7"/>
            <w:r>
              <w:t xml:space="preserve">approbation du </w:t>
            </w:r>
            <w:r w:rsidR="004F3EF6" w:rsidRPr="003120C9">
              <w:t>Projet de nouvelle Recommandation UIT-R M</w:t>
            </w:r>
            <w:r w:rsidR="004F3EF6" w:rsidRPr="00192777">
              <w:rPr>
                <w:lang w:val="fr-CH"/>
              </w:rPr>
              <w:t>.[BSMS700]</w:t>
            </w:r>
          </w:p>
        </w:tc>
      </w:tr>
      <w:tr w:rsidR="007956A4" w:rsidRPr="004F3EF6">
        <w:trPr>
          <w:cantSplit/>
        </w:trPr>
        <w:tc>
          <w:tcPr>
            <w:tcW w:w="10031" w:type="dxa"/>
          </w:tcPr>
          <w:p w:rsidR="007956A4" w:rsidRPr="004F3EF6" w:rsidRDefault="007956A4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7956A4" w:rsidRPr="003638F9" w:rsidRDefault="007956A4" w:rsidP="00BC406B">
      <w:pPr>
        <w:pStyle w:val="Heading1"/>
        <w:rPr>
          <w:lang w:val="fr-CH" w:eastAsia="zh-CN"/>
        </w:rPr>
      </w:pPr>
      <w:r w:rsidRPr="003638F9">
        <w:rPr>
          <w:lang w:val="fr-CH" w:eastAsia="zh-CN"/>
        </w:rPr>
        <w:t>1</w:t>
      </w:r>
      <w:r w:rsidRPr="003638F9">
        <w:rPr>
          <w:lang w:val="fr-CH" w:eastAsia="zh-CN"/>
        </w:rPr>
        <w:tab/>
        <w:t>Introduction</w:t>
      </w:r>
    </w:p>
    <w:p w:rsidR="007956A4" w:rsidRPr="00BC406B" w:rsidRDefault="00F60FB8" w:rsidP="00BC406B">
      <w:pPr>
        <w:rPr>
          <w:lang w:val="fr-CH"/>
        </w:rPr>
      </w:pPr>
      <w:r>
        <w:rPr>
          <w:lang w:val="fr-CH"/>
        </w:rPr>
        <w:t>L</w:t>
      </w:r>
      <w:r w:rsidRPr="00F60FB8">
        <w:rPr>
          <w:lang w:val="fr-CH"/>
        </w:rPr>
        <w:t>e Président de la Commission d'études 5</w:t>
      </w:r>
      <w:r>
        <w:rPr>
          <w:lang w:val="fr-CH"/>
        </w:rPr>
        <w:t xml:space="preserve"> a communiqué le projet </w:t>
      </w:r>
      <w:r w:rsidR="003638F9">
        <w:rPr>
          <w:lang w:val="fr-CH"/>
        </w:rPr>
        <w:t xml:space="preserve">proposé </w:t>
      </w:r>
      <w:r>
        <w:rPr>
          <w:lang w:val="fr-CH"/>
        </w:rPr>
        <w:t>de nouvelle Recommandation UIT</w:t>
      </w:r>
      <w:r w:rsidR="00BC406B">
        <w:rPr>
          <w:lang w:val="fr-CH"/>
        </w:rPr>
        <w:t>-</w:t>
      </w:r>
      <w:r>
        <w:rPr>
          <w:lang w:val="fr-CH"/>
        </w:rPr>
        <w:t>R</w:t>
      </w:r>
      <w:r w:rsidRPr="00F60FB8">
        <w:rPr>
          <w:lang w:val="fr-CH"/>
        </w:rPr>
        <w:t xml:space="preserve"> M.[BSMS700]</w:t>
      </w:r>
      <w:r>
        <w:rPr>
          <w:lang w:val="fr-CH"/>
        </w:rPr>
        <w:t xml:space="preserve"> (Document </w:t>
      </w:r>
      <w:hyperlink r:id="rId8" w:history="1">
        <w:r w:rsidRPr="00F60FB8">
          <w:rPr>
            <w:rStyle w:val="Hyperlink"/>
            <w:lang w:val="fr-CH"/>
          </w:rPr>
          <w:t>5/1009</w:t>
        </w:r>
      </w:hyperlink>
      <w:r>
        <w:rPr>
          <w:lang w:val="fr-CH"/>
        </w:rPr>
        <w:t xml:space="preserve"> de l'AR</w:t>
      </w:r>
      <w:r w:rsidR="00BC406B">
        <w:rPr>
          <w:lang w:val="fr-CH"/>
        </w:rPr>
        <w:t>-</w:t>
      </w:r>
      <w:r>
        <w:rPr>
          <w:lang w:val="fr-CH"/>
        </w:rPr>
        <w:t>15) à l'Assemblée des radiocommunications pour approbation.</w:t>
      </w:r>
      <w:r w:rsidR="00021584">
        <w:rPr>
          <w:lang w:val="fr-CH"/>
        </w:rPr>
        <w:t xml:space="preserve"> Ce projet de nouvelle Re</w:t>
      </w:r>
      <w:r w:rsidR="009267DE">
        <w:rPr>
          <w:lang w:val="fr-CH"/>
        </w:rPr>
        <w:t>commandation porte sur le point </w:t>
      </w:r>
      <w:r w:rsidR="00021584">
        <w:rPr>
          <w:lang w:val="fr-CH"/>
        </w:rPr>
        <w:t>1.2 de l'ordre du jour de la CMR-15,</w:t>
      </w:r>
      <w:r w:rsidR="006E6691">
        <w:rPr>
          <w:lang w:val="fr-CH"/>
        </w:rPr>
        <w:t xml:space="preserve"> dont l'objectif est </w:t>
      </w:r>
      <w:r w:rsidR="006E6691" w:rsidRPr="00BC406B">
        <w:rPr>
          <w:lang w:val="fr-CH"/>
        </w:rPr>
        <w:t xml:space="preserve">d'examiner les résultats des études </w:t>
      </w:r>
      <w:r w:rsidR="009267DE">
        <w:rPr>
          <w:lang w:val="fr-CH"/>
        </w:rPr>
        <w:t>de </w:t>
      </w:r>
      <w:r w:rsidR="00137A3B" w:rsidRPr="00BC406B">
        <w:rPr>
          <w:lang w:val="fr-CH"/>
        </w:rPr>
        <w:t>l'UIT</w:t>
      </w:r>
      <w:r w:rsidR="00137A3B" w:rsidRPr="00BC406B">
        <w:rPr>
          <w:lang w:val="fr-CH"/>
        </w:rPr>
        <w:noBreakHyphen/>
      </w:r>
      <w:r w:rsidR="006E6691" w:rsidRPr="00BC406B">
        <w:rPr>
          <w:lang w:val="fr-CH"/>
        </w:rPr>
        <w:t xml:space="preserve">R, </w:t>
      </w:r>
      <w:r w:rsidR="00021584" w:rsidRPr="00BC406B">
        <w:rPr>
          <w:lang w:val="fr-CH"/>
        </w:rPr>
        <w:t xml:space="preserve">conformément à la Résolution </w:t>
      </w:r>
      <w:r w:rsidR="00021584" w:rsidRPr="00BC406B">
        <w:rPr>
          <w:b/>
          <w:lang w:val="fr-CH"/>
        </w:rPr>
        <w:t>232 (CMR-12)</w:t>
      </w:r>
      <w:r w:rsidR="00A91D7D" w:rsidRPr="00BC406B">
        <w:rPr>
          <w:b/>
          <w:lang w:val="fr-CH"/>
        </w:rPr>
        <w:t>,</w:t>
      </w:r>
      <w:r w:rsidR="00021584" w:rsidRPr="00BC406B">
        <w:rPr>
          <w:bCs/>
          <w:lang w:val="fr-CH"/>
        </w:rPr>
        <w:t xml:space="preserve"> sur l'utilisation de la bande de fréquences 694-790 MHz par le service mobile, sauf mobile aéronautique, dans la Région 1 et prendre les mesures appropriées.</w:t>
      </w:r>
      <w:r w:rsidR="007956A4" w:rsidRPr="00BC406B">
        <w:rPr>
          <w:lang w:val="fr-CH"/>
        </w:rPr>
        <w:t xml:space="preserve"> </w:t>
      </w:r>
    </w:p>
    <w:p w:rsidR="007956A4" w:rsidRPr="00021584" w:rsidRDefault="007956A4" w:rsidP="00BC406B">
      <w:pPr>
        <w:pStyle w:val="Heading1"/>
        <w:rPr>
          <w:lang w:val="fr-CH" w:eastAsia="zh-CN"/>
        </w:rPr>
      </w:pPr>
      <w:r w:rsidRPr="00021584">
        <w:rPr>
          <w:lang w:val="fr-CH" w:eastAsia="zh-CN"/>
        </w:rPr>
        <w:lastRenderedPageBreak/>
        <w:t>2</w:t>
      </w:r>
      <w:r w:rsidRPr="00021584">
        <w:rPr>
          <w:lang w:val="fr-CH" w:eastAsia="zh-CN"/>
        </w:rPr>
        <w:tab/>
      </w:r>
      <w:r w:rsidR="00021584" w:rsidRPr="00021584">
        <w:rPr>
          <w:lang w:val="fr-CH" w:eastAsia="zh-CN"/>
        </w:rPr>
        <w:t>Considérations générales</w:t>
      </w:r>
    </w:p>
    <w:p w:rsidR="004F3EF6" w:rsidRPr="004F3EF6" w:rsidRDefault="00021584" w:rsidP="00BC406B">
      <w:pPr>
        <w:rPr>
          <w:lang w:val="fr-CH" w:eastAsia="ja-JP"/>
        </w:rPr>
      </w:pPr>
      <w:r w:rsidRPr="00021584">
        <w:rPr>
          <w:lang w:val="fr-CH"/>
        </w:rPr>
        <w:t>En application de la Résolution</w:t>
      </w:r>
      <w:r>
        <w:rPr>
          <w:lang w:val="fr-CH"/>
        </w:rPr>
        <w:t xml:space="preserve"> </w:t>
      </w:r>
      <w:r w:rsidRPr="00021584">
        <w:rPr>
          <w:b/>
          <w:lang w:val="fr-CH"/>
        </w:rPr>
        <w:t>232 (</w:t>
      </w:r>
      <w:r>
        <w:rPr>
          <w:b/>
          <w:lang w:val="fr-CH"/>
        </w:rPr>
        <w:t>CMR</w:t>
      </w:r>
      <w:r w:rsidRPr="00021584">
        <w:rPr>
          <w:b/>
          <w:lang w:val="fr-CH"/>
        </w:rPr>
        <w:t>-12)</w:t>
      </w:r>
      <w:r>
        <w:rPr>
          <w:bCs/>
          <w:lang w:val="fr-CH"/>
        </w:rPr>
        <w:t xml:space="preserve">, le Groupe d'action mixte (GAM) </w:t>
      </w:r>
      <w:r w:rsidRPr="00021584">
        <w:rPr>
          <w:lang w:val="fr-CH"/>
        </w:rPr>
        <w:t>4-5-6-7</w:t>
      </w:r>
      <w:r>
        <w:rPr>
          <w:lang w:val="fr-CH"/>
        </w:rPr>
        <w:t xml:space="preserve"> a élaboré l'avant-projet de nouvelle Recommandation UIT</w:t>
      </w:r>
      <w:r w:rsidR="00BC406B">
        <w:rPr>
          <w:lang w:val="fr-CH"/>
        </w:rPr>
        <w:t>-</w:t>
      </w:r>
      <w:r>
        <w:rPr>
          <w:lang w:val="fr-CH"/>
        </w:rPr>
        <w:t>R</w:t>
      </w:r>
      <w:r w:rsidRPr="00021584">
        <w:rPr>
          <w:lang w:val="fr-CH"/>
        </w:rPr>
        <w:t xml:space="preserve"> M.[BSMS700]</w:t>
      </w:r>
      <w:r>
        <w:rPr>
          <w:lang w:val="fr-CH"/>
        </w:rPr>
        <w:t xml:space="preserve"> intitulée </w:t>
      </w:r>
      <w:r w:rsidR="004F3EF6" w:rsidRPr="00BC406B">
        <w:rPr>
          <w:lang w:val="fr-CH"/>
        </w:rPr>
        <w:t>«</w:t>
      </w:r>
      <w:r w:rsidR="004F3EF6" w:rsidRPr="00BC406B">
        <w:rPr>
          <w:lang w:val="fr-CH" w:eastAsia="ja-JP"/>
        </w:rPr>
        <w:t>Limites spécifiques des émissions hors bande applicables aux stations mobiles IMT exploitées dans la bande de fréquences 694-790 MHz pour la protection des services existants en Région 1 fonctionnant dans la bande de fréquences au</w:t>
      </w:r>
      <w:r w:rsidR="004F3EF6" w:rsidRPr="00BC406B">
        <w:rPr>
          <w:lang w:val="fr-CH" w:eastAsia="ja-JP"/>
        </w:rPr>
        <w:noBreakHyphen/>
        <w:t>dessous de 694 MHz»</w:t>
      </w:r>
      <w:r w:rsidR="00137A3B" w:rsidRPr="00BC406B">
        <w:rPr>
          <w:lang w:val="fr-CH" w:eastAsia="ja-JP"/>
        </w:rPr>
        <w:t>,</w:t>
      </w:r>
      <w:r w:rsidR="00137A3B">
        <w:rPr>
          <w:lang w:val="fr-CH" w:eastAsia="ja-JP"/>
        </w:rPr>
        <w:t xml:space="preserve"> qui</w:t>
      </w:r>
      <w:r>
        <w:rPr>
          <w:lang w:val="fr-CH" w:eastAsia="ja-JP"/>
        </w:rPr>
        <w:t xml:space="preserve"> </w:t>
      </w:r>
      <w:r w:rsidR="009D2921">
        <w:rPr>
          <w:lang w:val="fr-CH" w:eastAsia="ja-JP"/>
        </w:rPr>
        <w:t xml:space="preserve">a été appuyé </w:t>
      </w:r>
      <w:r>
        <w:rPr>
          <w:lang w:val="fr-CH" w:eastAsia="ja-JP"/>
        </w:rPr>
        <w:t xml:space="preserve">par un grand nombre d'administrations et d'organisations, mais </w:t>
      </w:r>
      <w:r w:rsidR="00BC406B">
        <w:rPr>
          <w:lang w:val="fr-CH" w:eastAsia="ja-JP"/>
        </w:rPr>
        <w:t>n'a pas fait l'objet d'un consensus</w:t>
      </w:r>
      <w:r>
        <w:rPr>
          <w:lang w:val="fr-CH" w:eastAsia="ja-JP"/>
        </w:rPr>
        <w:t xml:space="preserve"> général. En conséquence, </w:t>
      </w:r>
      <w:r w:rsidR="00137A3B">
        <w:rPr>
          <w:lang w:val="fr-CH" w:eastAsia="ja-JP"/>
        </w:rPr>
        <w:t>cet avant-projet</w:t>
      </w:r>
      <w:r>
        <w:rPr>
          <w:lang w:val="fr-CH" w:eastAsia="ja-JP"/>
        </w:rPr>
        <w:t xml:space="preserve"> n'a pas pu être adopté </w:t>
      </w:r>
      <w:r w:rsidR="00137A3B">
        <w:rPr>
          <w:lang w:val="fr-CH" w:eastAsia="ja-JP"/>
        </w:rPr>
        <w:t>conformément aux</w:t>
      </w:r>
      <w:r>
        <w:rPr>
          <w:lang w:val="fr-CH" w:eastAsia="ja-JP"/>
        </w:rPr>
        <w:t xml:space="preserve"> règles du GAM 4-5-6-7. </w:t>
      </w:r>
      <w:r w:rsidR="00137A3B">
        <w:rPr>
          <w:lang w:val="fr-CH" w:eastAsia="ja-JP"/>
        </w:rPr>
        <w:t xml:space="preserve">Il </w:t>
      </w:r>
      <w:r>
        <w:rPr>
          <w:lang w:val="fr-CH" w:eastAsia="ja-JP"/>
        </w:rPr>
        <w:t xml:space="preserve">a ensuite été examiné par la Commission d'études </w:t>
      </w:r>
      <w:r w:rsidR="00137A3B">
        <w:rPr>
          <w:lang w:val="fr-CH" w:eastAsia="ja-JP"/>
        </w:rPr>
        <w:t>5</w:t>
      </w:r>
      <w:r>
        <w:rPr>
          <w:lang w:val="fr-CH" w:eastAsia="ja-JP"/>
        </w:rPr>
        <w:t xml:space="preserve"> en novembre 2014, </w:t>
      </w:r>
      <w:r w:rsidR="00137A3B">
        <w:rPr>
          <w:lang w:val="fr-CH" w:eastAsia="ja-JP"/>
        </w:rPr>
        <w:t>après le</w:t>
      </w:r>
      <w:r>
        <w:rPr>
          <w:lang w:val="fr-CH" w:eastAsia="ja-JP"/>
        </w:rPr>
        <w:t xml:space="preserve"> rapport de synthèse du GAM 4-5-6-7 (Document </w:t>
      </w:r>
      <w:hyperlink r:id="rId9" w:history="1">
        <w:r w:rsidRPr="00021584">
          <w:rPr>
            <w:rStyle w:val="Hyperlink"/>
            <w:lang w:val="fr-CH"/>
          </w:rPr>
          <w:t>5/127</w:t>
        </w:r>
      </w:hyperlink>
      <w:r w:rsidRPr="00021584">
        <w:rPr>
          <w:lang w:val="fr-CH"/>
        </w:rPr>
        <w:t>)</w:t>
      </w:r>
      <w:r>
        <w:rPr>
          <w:lang w:val="fr-CH"/>
        </w:rPr>
        <w:t xml:space="preserve"> aux Commission</w:t>
      </w:r>
      <w:r w:rsidR="00137A3B">
        <w:rPr>
          <w:lang w:val="fr-CH"/>
        </w:rPr>
        <w:t>s d'études 5 et 6, puis</w:t>
      </w:r>
      <w:r w:rsidR="0027109C">
        <w:rPr>
          <w:lang w:val="fr-CH"/>
        </w:rPr>
        <w:t xml:space="preserve"> par le Groupe de travail </w:t>
      </w:r>
      <w:r>
        <w:rPr>
          <w:lang w:val="fr-CH"/>
        </w:rPr>
        <w:t>5D.</w:t>
      </w:r>
    </w:p>
    <w:p w:rsidR="007956A4" w:rsidRPr="004F664E" w:rsidRDefault="0027109C" w:rsidP="00BC406B">
      <w:pPr>
        <w:rPr>
          <w:lang w:val="fr-CH"/>
        </w:rPr>
      </w:pPr>
      <w:r>
        <w:rPr>
          <w:lang w:val="fr-CH"/>
        </w:rPr>
        <w:t>A</w:t>
      </w:r>
      <w:r w:rsidR="00021584" w:rsidRPr="00021584">
        <w:rPr>
          <w:lang w:val="fr-CH"/>
        </w:rPr>
        <w:t xml:space="preserve"> sa réunion de juin 2015,</w:t>
      </w:r>
      <w:r w:rsidR="00021584">
        <w:rPr>
          <w:lang w:val="fr-CH"/>
        </w:rPr>
        <w:t xml:space="preserve"> le GT 5D a décidé de conférer</w:t>
      </w:r>
      <w:r w:rsidR="004F664E">
        <w:rPr>
          <w:lang w:val="fr-CH"/>
        </w:rPr>
        <w:t xml:space="preserve"> à l'avant-projet de nouvelle Recommandation le statut de projet de nouvelle Recommandation, </w:t>
      </w:r>
      <w:r w:rsidR="00137A3B">
        <w:rPr>
          <w:lang w:val="fr-CH"/>
        </w:rPr>
        <w:t>et l'</w:t>
      </w:r>
      <w:r w:rsidR="004F664E">
        <w:rPr>
          <w:lang w:val="fr-CH"/>
        </w:rPr>
        <w:t xml:space="preserve">a soumis à la CE 5 pour examen </w:t>
      </w:r>
      <w:r w:rsidR="004F664E" w:rsidRPr="004F664E">
        <w:rPr>
          <w:lang w:val="fr-CH"/>
        </w:rPr>
        <w:t xml:space="preserve">(Document </w:t>
      </w:r>
      <w:hyperlink r:id="rId10" w:history="1">
        <w:r w:rsidR="004F664E" w:rsidRPr="004F664E">
          <w:rPr>
            <w:rStyle w:val="Hyperlink"/>
            <w:lang w:val="fr-CH"/>
          </w:rPr>
          <w:t>5/214</w:t>
        </w:r>
      </w:hyperlink>
      <w:r w:rsidR="004F664E" w:rsidRPr="004F664E">
        <w:rPr>
          <w:lang w:val="fr-CH"/>
        </w:rPr>
        <w:t>).</w:t>
      </w:r>
      <w:r w:rsidR="007956A4" w:rsidRPr="004F664E">
        <w:rPr>
          <w:lang w:val="fr-CH"/>
        </w:rPr>
        <w:t xml:space="preserve"> </w:t>
      </w:r>
    </w:p>
    <w:p w:rsidR="004F664E" w:rsidRDefault="004F664E" w:rsidP="00BC406B">
      <w:pPr>
        <w:rPr>
          <w:lang w:val="fr-CH"/>
        </w:rPr>
      </w:pPr>
      <w:r>
        <w:rPr>
          <w:lang w:val="fr-CH"/>
        </w:rPr>
        <w:t>L</w:t>
      </w:r>
      <w:r w:rsidR="00137A3B">
        <w:rPr>
          <w:lang w:val="fr-CH"/>
        </w:rPr>
        <w:t>es</w:t>
      </w:r>
      <w:r>
        <w:rPr>
          <w:lang w:val="fr-CH"/>
        </w:rPr>
        <w:t xml:space="preserve"> participants à la réunion de la Commission d'études 5 de l'UIT</w:t>
      </w:r>
      <w:r w:rsidR="00BC406B">
        <w:rPr>
          <w:lang w:val="fr-CH"/>
        </w:rPr>
        <w:t>-</w:t>
      </w:r>
      <w:r>
        <w:rPr>
          <w:lang w:val="fr-CH"/>
        </w:rPr>
        <w:t>R ont examiné</w:t>
      </w:r>
      <w:r w:rsidR="00137A3B">
        <w:rPr>
          <w:lang w:val="fr-CH"/>
        </w:rPr>
        <w:t xml:space="preserve"> en vue de son </w:t>
      </w:r>
      <w:r>
        <w:rPr>
          <w:lang w:val="fr-CH"/>
        </w:rPr>
        <w:t xml:space="preserve">adoption </w:t>
      </w:r>
      <w:r w:rsidR="00137A3B">
        <w:rPr>
          <w:lang w:val="fr-CH"/>
        </w:rPr>
        <w:t xml:space="preserve">le </w:t>
      </w:r>
      <w:r>
        <w:rPr>
          <w:lang w:val="fr-CH"/>
        </w:rPr>
        <w:t xml:space="preserve">projet de nouvelle Recommandation </w:t>
      </w:r>
      <w:r w:rsidR="00137A3B">
        <w:rPr>
          <w:lang w:val="fr-CH"/>
        </w:rPr>
        <w:t>basé</w:t>
      </w:r>
      <w:r>
        <w:rPr>
          <w:lang w:val="fr-CH"/>
        </w:rPr>
        <w:t xml:space="preserve"> sur les résultats des travaux du GT 5D et </w:t>
      </w:r>
      <w:r w:rsidR="00137A3B">
        <w:rPr>
          <w:lang w:val="fr-CH"/>
        </w:rPr>
        <w:t xml:space="preserve">sur </w:t>
      </w:r>
      <w:r>
        <w:rPr>
          <w:lang w:val="fr-CH"/>
        </w:rPr>
        <w:t>d'autres contributions. Toutefois, les participants à cette réunion n'ont pas réussi à s'entendre pour adopter le projet de nouvelle Recommandation. En conséquence, conformément au § 10.2</w:t>
      </w:r>
      <w:r w:rsidR="00137A3B">
        <w:rPr>
          <w:lang w:val="fr-CH"/>
        </w:rPr>
        <w:t>.</w:t>
      </w:r>
      <w:r w:rsidR="0001459C">
        <w:rPr>
          <w:lang w:val="fr-CH"/>
        </w:rPr>
        <w:t>1.</w:t>
      </w:r>
      <w:r>
        <w:rPr>
          <w:lang w:val="fr-CH"/>
        </w:rPr>
        <w:t>2, alinéa a) de la Résolution UIT</w:t>
      </w:r>
      <w:r w:rsidR="00BC406B">
        <w:rPr>
          <w:lang w:val="fr-CH"/>
        </w:rPr>
        <w:t>-</w:t>
      </w:r>
      <w:r>
        <w:rPr>
          <w:lang w:val="fr-CH"/>
        </w:rPr>
        <w:t>R 1</w:t>
      </w:r>
      <w:r w:rsidR="00BC406B">
        <w:rPr>
          <w:lang w:val="fr-CH"/>
        </w:rPr>
        <w:t>-</w:t>
      </w:r>
      <w:r>
        <w:rPr>
          <w:lang w:val="fr-CH"/>
        </w:rPr>
        <w:t xml:space="preserve">6, les participants à la réunion de la CE 5 </w:t>
      </w:r>
      <w:r w:rsidR="0001459C">
        <w:rPr>
          <w:lang w:val="fr-CH"/>
        </w:rPr>
        <w:t>ont décidé</w:t>
      </w:r>
      <w:r>
        <w:rPr>
          <w:lang w:val="fr-CH"/>
        </w:rPr>
        <w:t xml:space="preserve"> de transmettre le texte à l'Assemblée des radiocommunications. </w:t>
      </w:r>
    </w:p>
    <w:p w:rsidR="007956A4" w:rsidRPr="004F664E" w:rsidRDefault="007956A4" w:rsidP="00BC406B">
      <w:pPr>
        <w:pStyle w:val="Heading1"/>
        <w:rPr>
          <w:lang w:val="fr-CH" w:eastAsia="zh-CN"/>
        </w:rPr>
      </w:pPr>
      <w:r w:rsidRPr="004F664E">
        <w:rPr>
          <w:lang w:val="fr-CH" w:eastAsia="zh-CN"/>
        </w:rPr>
        <w:t>3</w:t>
      </w:r>
      <w:r w:rsidRPr="004F664E">
        <w:rPr>
          <w:lang w:val="fr-CH" w:eastAsia="zh-CN"/>
        </w:rPr>
        <w:tab/>
      </w:r>
      <w:r w:rsidR="004F664E" w:rsidRPr="004F664E">
        <w:rPr>
          <w:lang w:val="fr-CH" w:eastAsia="zh-CN"/>
        </w:rPr>
        <w:t>Avantages</w:t>
      </w:r>
      <w:r w:rsidR="004F664E">
        <w:rPr>
          <w:lang w:val="fr-CH" w:eastAsia="zh-CN"/>
        </w:rPr>
        <w:t xml:space="preserve"> du projet de nouvelle </w:t>
      </w:r>
      <w:r w:rsidR="009A0D66">
        <w:rPr>
          <w:lang w:val="fr-CH" w:eastAsia="zh-CN"/>
        </w:rPr>
        <w:t>Recommandation</w:t>
      </w:r>
      <w:r w:rsidR="004F664E">
        <w:rPr>
          <w:lang w:val="fr-CH" w:eastAsia="zh-CN"/>
        </w:rPr>
        <w:t xml:space="preserve"> UIT</w:t>
      </w:r>
      <w:r w:rsidRPr="004F664E">
        <w:rPr>
          <w:lang w:val="fr-CH" w:eastAsia="zh-CN"/>
        </w:rPr>
        <w:t>-R M.[BSMS700]</w:t>
      </w:r>
    </w:p>
    <w:p w:rsidR="004F664E" w:rsidRPr="004F664E" w:rsidRDefault="004F664E" w:rsidP="00BC406B">
      <w:pPr>
        <w:rPr>
          <w:rFonts w:cs="Angsana New"/>
          <w:color w:val="000000"/>
          <w:szCs w:val="24"/>
          <w:lang w:val="fr-CH" w:eastAsia="zh-CN"/>
        </w:rPr>
      </w:pPr>
      <w:r w:rsidRPr="004F664E">
        <w:rPr>
          <w:lang w:val="fr-CH"/>
        </w:rPr>
        <w:t>Le projet de nouvelle Recommandation UIT</w:t>
      </w:r>
      <w:r w:rsidR="00BC406B">
        <w:rPr>
          <w:lang w:val="fr-CH"/>
        </w:rPr>
        <w:t>-</w:t>
      </w:r>
      <w:r w:rsidRPr="004F664E">
        <w:rPr>
          <w:lang w:val="fr-CH"/>
        </w:rPr>
        <w:t xml:space="preserve">R </w:t>
      </w:r>
      <w:r w:rsidR="007956A4" w:rsidRPr="004F664E">
        <w:rPr>
          <w:rFonts w:cs="Angsana New"/>
          <w:color w:val="000000"/>
          <w:szCs w:val="24"/>
          <w:lang w:val="fr-CH" w:eastAsia="zh-CN"/>
        </w:rPr>
        <w:t xml:space="preserve">M.[BSMS700] </w:t>
      </w:r>
      <w:r w:rsidRPr="004F664E">
        <w:rPr>
          <w:rFonts w:cs="Angsana New"/>
          <w:color w:val="000000"/>
          <w:szCs w:val="24"/>
          <w:lang w:val="fr-CH" w:eastAsia="zh-CN"/>
        </w:rPr>
        <w:t>est le résultat d</w:t>
      </w:r>
      <w:r w:rsidR="0001459C">
        <w:rPr>
          <w:rFonts w:cs="Angsana New"/>
          <w:color w:val="000000"/>
          <w:szCs w:val="24"/>
          <w:lang w:val="fr-CH" w:eastAsia="zh-CN"/>
        </w:rPr>
        <w:t>'importants</w:t>
      </w:r>
      <w:r w:rsidRPr="004F664E">
        <w:rPr>
          <w:rFonts w:cs="Angsana New"/>
          <w:color w:val="000000"/>
          <w:szCs w:val="24"/>
          <w:lang w:val="fr-CH" w:eastAsia="zh-CN"/>
        </w:rPr>
        <w:t xml:space="preserve"> travaux </w:t>
      </w:r>
      <w:r>
        <w:rPr>
          <w:rFonts w:cs="Angsana New"/>
          <w:color w:val="000000"/>
          <w:szCs w:val="24"/>
          <w:lang w:val="fr-CH" w:eastAsia="zh-CN"/>
        </w:rPr>
        <w:t xml:space="preserve">menés par le GAM </w:t>
      </w:r>
      <w:r w:rsidRPr="004F664E">
        <w:rPr>
          <w:lang w:val="fr-CH"/>
        </w:rPr>
        <w:t>4-5-6-7.</w:t>
      </w:r>
      <w:r>
        <w:rPr>
          <w:lang w:val="fr-CH"/>
        </w:rPr>
        <w:t xml:space="preserve"> Les administrations cosignataires</w:t>
      </w:r>
      <w:r w:rsidR="0001459C">
        <w:rPr>
          <w:lang w:val="fr-CH"/>
        </w:rPr>
        <w:t>, membres</w:t>
      </w:r>
      <w:r>
        <w:rPr>
          <w:lang w:val="fr-CH"/>
        </w:rPr>
        <w:t xml:space="preserve"> du Groupe ASMG, de l'UAT </w:t>
      </w:r>
      <w:r w:rsidR="0001459C">
        <w:rPr>
          <w:lang w:val="fr-CH"/>
        </w:rPr>
        <w:t xml:space="preserve">ou </w:t>
      </w:r>
      <w:r>
        <w:rPr>
          <w:lang w:val="fr-CH"/>
        </w:rPr>
        <w:t>de la CEPT</w:t>
      </w:r>
      <w:r w:rsidR="0001459C">
        <w:rPr>
          <w:lang w:val="fr-CH"/>
        </w:rPr>
        <w:t>,</w:t>
      </w:r>
      <w:r>
        <w:rPr>
          <w:lang w:val="fr-CH"/>
        </w:rPr>
        <w:t xml:space="preserve"> estiment que ce projet de nouvelle Recommandation est suffisamment abouti pour être approuvé en tant que nouvelle Recommandation de l'UIT-R, étant donné qu'il traite des préoccupations principales des parties prenantes</w:t>
      </w:r>
      <w:r w:rsidR="0001459C">
        <w:rPr>
          <w:lang w:val="fr-CH"/>
        </w:rPr>
        <w:t xml:space="preserve"> en ce qui concerne le service </w:t>
      </w:r>
      <w:r>
        <w:rPr>
          <w:lang w:val="fr-CH"/>
        </w:rPr>
        <w:t>mobi</w:t>
      </w:r>
      <w:r w:rsidR="0001459C">
        <w:rPr>
          <w:lang w:val="fr-CH"/>
        </w:rPr>
        <w:t>le</w:t>
      </w:r>
      <w:r>
        <w:rPr>
          <w:lang w:val="fr-CH"/>
        </w:rPr>
        <w:t xml:space="preserve"> et </w:t>
      </w:r>
      <w:r w:rsidR="0001459C">
        <w:rPr>
          <w:lang w:val="fr-CH"/>
        </w:rPr>
        <w:t xml:space="preserve">la </w:t>
      </w:r>
      <w:r>
        <w:rPr>
          <w:lang w:val="fr-CH"/>
        </w:rPr>
        <w:t>radiodiffusion et qu'il constitue un compromis délicat entre les administrations des différents pays de la Région 1.</w:t>
      </w:r>
    </w:p>
    <w:p w:rsidR="007956A4" w:rsidRPr="004F664E" w:rsidRDefault="0001459C" w:rsidP="00BC406B">
      <w:pPr>
        <w:rPr>
          <w:lang w:val="fr-CH"/>
        </w:rPr>
      </w:pPr>
      <w:r>
        <w:rPr>
          <w:lang w:val="fr-CH"/>
        </w:rPr>
        <w:t>L'approbation de cette R</w:t>
      </w:r>
      <w:r w:rsidR="004F664E" w:rsidRPr="004F664E">
        <w:rPr>
          <w:lang w:val="fr-CH"/>
        </w:rPr>
        <w:t xml:space="preserve">ecommandation </w:t>
      </w:r>
      <w:r w:rsidR="00BD3896">
        <w:rPr>
          <w:lang w:val="fr-CH"/>
        </w:rPr>
        <w:t>permettra aux</w:t>
      </w:r>
      <w:r w:rsidR="004F664E" w:rsidRPr="004F664E">
        <w:rPr>
          <w:lang w:val="fr-CH"/>
        </w:rPr>
        <w:t xml:space="preserve"> administrations</w:t>
      </w:r>
      <w:r w:rsidR="004F664E">
        <w:rPr>
          <w:lang w:val="fr-CH"/>
        </w:rPr>
        <w:t xml:space="preserve"> qui souhaitent utiliser la bande des 700 MHz pour le service mobile </w:t>
      </w:r>
      <w:r w:rsidR="00BD3896">
        <w:rPr>
          <w:lang w:val="fr-CH"/>
        </w:rPr>
        <w:t xml:space="preserve">de </w:t>
      </w:r>
      <w:r w:rsidR="004F664E">
        <w:rPr>
          <w:lang w:val="fr-CH"/>
        </w:rPr>
        <w:t xml:space="preserve">définir </w:t>
      </w:r>
      <w:r w:rsidR="00BD3896">
        <w:rPr>
          <w:lang w:val="fr-CH"/>
        </w:rPr>
        <w:t xml:space="preserve">plus facilement </w:t>
      </w:r>
      <w:r w:rsidR="004F664E">
        <w:rPr>
          <w:lang w:val="fr-CH"/>
        </w:rPr>
        <w:t>les conditions techniques nécessaires pour limiter les brouillages causés au service de radiodiffusion au-dessous de 694 MHz.</w:t>
      </w:r>
    </w:p>
    <w:p w:rsidR="007956A4" w:rsidRPr="004F664E" w:rsidRDefault="004F664E" w:rsidP="00BC406B">
      <w:pPr>
        <w:pStyle w:val="Heading1"/>
        <w:rPr>
          <w:lang w:val="fr-CH" w:eastAsia="zh-CN"/>
        </w:rPr>
      </w:pPr>
      <w:r w:rsidRPr="004F664E">
        <w:rPr>
          <w:lang w:val="fr-CH" w:eastAsia="zh-CN"/>
        </w:rPr>
        <w:t>4</w:t>
      </w:r>
      <w:r w:rsidRPr="004F664E">
        <w:rPr>
          <w:lang w:val="fr-CH" w:eastAsia="zh-CN"/>
        </w:rPr>
        <w:tab/>
        <w:t>Proposition</w:t>
      </w:r>
    </w:p>
    <w:p w:rsidR="004F664E" w:rsidRDefault="004F664E" w:rsidP="00BC406B">
      <w:pPr>
        <w:jc w:val="both"/>
        <w:rPr>
          <w:color w:val="000000"/>
          <w:lang w:val="fr-CH" w:eastAsia="zh-CN"/>
        </w:rPr>
      </w:pPr>
      <w:r w:rsidRPr="004F664E">
        <w:rPr>
          <w:color w:val="000000"/>
          <w:lang w:val="fr-CH" w:eastAsia="zh-CN"/>
        </w:rPr>
        <w:t>L'Assemblée des radiocommunications est invité</w:t>
      </w:r>
      <w:r w:rsidR="00BD3896">
        <w:rPr>
          <w:color w:val="000000"/>
          <w:lang w:val="fr-CH" w:eastAsia="zh-CN"/>
        </w:rPr>
        <w:t>e</w:t>
      </w:r>
      <w:r w:rsidRPr="004F664E">
        <w:rPr>
          <w:color w:val="000000"/>
          <w:lang w:val="fr-CH" w:eastAsia="zh-CN"/>
        </w:rPr>
        <w:t xml:space="preserve"> à approuver</w:t>
      </w:r>
      <w:r>
        <w:rPr>
          <w:color w:val="000000"/>
          <w:lang w:val="fr-CH" w:eastAsia="zh-CN"/>
        </w:rPr>
        <w:t xml:space="preserve"> la nouvelle Recommandation UIT</w:t>
      </w:r>
      <w:r w:rsidR="00BC406B">
        <w:rPr>
          <w:color w:val="000000"/>
          <w:lang w:val="fr-CH" w:eastAsia="zh-CN"/>
        </w:rPr>
        <w:t>-</w:t>
      </w:r>
      <w:r>
        <w:rPr>
          <w:color w:val="000000"/>
          <w:lang w:val="fr-CH" w:eastAsia="zh-CN"/>
        </w:rPr>
        <w:t>R</w:t>
      </w:r>
      <w:r w:rsidR="007956A4" w:rsidRPr="004F664E">
        <w:rPr>
          <w:rFonts w:cs="Angsana New"/>
          <w:color w:val="000000"/>
          <w:szCs w:val="24"/>
          <w:lang w:val="fr-CH" w:eastAsia="zh-CN"/>
        </w:rPr>
        <w:t xml:space="preserve"> M.[BSMS700]</w:t>
      </w:r>
      <w:r w:rsidR="007956A4" w:rsidRPr="004F664E">
        <w:rPr>
          <w:color w:val="000000"/>
          <w:lang w:val="fr-CH" w:eastAsia="zh-CN"/>
        </w:rPr>
        <w:t xml:space="preserve">. </w:t>
      </w:r>
      <w:r>
        <w:rPr>
          <w:color w:val="000000"/>
          <w:lang w:val="fr-CH" w:eastAsia="zh-CN"/>
        </w:rPr>
        <w:t>Les auteurs de la présente contribution estiment que le texte reflète l'équilibre délicat qu</w:t>
      </w:r>
      <w:r w:rsidR="00BD3896">
        <w:rPr>
          <w:color w:val="000000"/>
          <w:lang w:val="fr-CH" w:eastAsia="zh-CN"/>
        </w:rPr>
        <w:t xml:space="preserve">i s'est dégagé au sein du </w:t>
      </w:r>
      <w:r>
        <w:rPr>
          <w:color w:val="000000"/>
          <w:lang w:val="fr-CH" w:eastAsia="zh-CN"/>
        </w:rPr>
        <w:t xml:space="preserve">GAM 4-5-6-7, entre la volonté des administrations de protéger le service de radiodiffusion </w:t>
      </w:r>
      <w:r w:rsidR="00BD3896">
        <w:rPr>
          <w:color w:val="000000"/>
          <w:lang w:val="fr-CH" w:eastAsia="zh-CN"/>
        </w:rPr>
        <w:t>et d</w:t>
      </w:r>
      <w:r w:rsidR="00B22A1C">
        <w:rPr>
          <w:color w:val="000000"/>
          <w:lang w:val="fr-CH" w:eastAsia="zh-CN"/>
        </w:rPr>
        <w:t>'ouvrir le marché de masse aux équipements terminaux, tout en limitant leur coût</w:t>
      </w:r>
      <w:r>
        <w:rPr>
          <w:color w:val="000000"/>
          <w:lang w:val="fr-CH" w:eastAsia="zh-CN"/>
        </w:rPr>
        <w:t>.</w:t>
      </w:r>
    </w:p>
    <w:p w:rsidR="007956A4" w:rsidRPr="003638F9" w:rsidRDefault="007956A4" w:rsidP="004F664E">
      <w:pPr>
        <w:spacing w:line="480" w:lineRule="auto"/>
        <w:jc w:val="both"/>
        <w:rPr>
          <w:color w:val="000000"/>
          <w:lang w:val="fr-CH" w:eastAsia="zh-CN"/>
        </w:rPr>
      </w:pPr>
    </w:p>
    <w:p w:rsidR="007956A4" w:rsidRPr="00411740" w:rsidRDefault="00411740" w:rsidP="007956A4">
      <w:pPr>
        <w:pStyle w:val="RecNo"/>
        <w:rPr>
          <w:lang w:val="fr-CH" w:eastAsia="ja-JP"/>
        </w:rPr>
      </w:pPr>
      <w:r w:rsidRPr="009A2A9F">
        <w:rPr>
          <w:lang w:val="fr-CH"/>
        </w:rPr>
        <w:lastRenderedPageBreak/>
        <w:t>Projet</w:t>
      </w:r>
      <w:r>
        <w:rPr>
          <w:lang w:val="fr-CH"/>
        </w:rPr>
        <w:t xml:space="preserve"> de nouvelle recommandation UIT-</w:t>
      </w:r>
      <w:r w:rsidRPr="009A2A9F">
        <w:rPr>
          <w:lang w:val="fr-CH"/>
        </w:rPr>
        <w:t>R M.[BSMS700]</w:t>
      </w:r>
    </w:p>
    <w:p w:rsidR="007956A4" w:rsidRPr="00411740" w:rsidRDefault="00411740" w:rsidP="00411740">
      <w:pPr>
        <w:pStyle w:val="Rectitle"/>
        <w:rPr>
          <w:lang w:val="fr-CH" w:eastAsia="ja-JP"/>
        </w:rPr>
      </w:pPr>
      <w:r w:rsidRPr="001852F0">
        <w:rPr>
          <w:b w:val="0"/>
          <w:lang w:val="fr-CH" w:eastAsia="ja-JP"/>
        </w:rPr>
        <w:t>Limites spécifiques des émissions hors bande applicables aux stations mobiles</w:t>
      </w:r>
      <w:r>
        <w:rPr>
          <w:b w:val="0"/>
          <w:lang w:val="fr-CH" w:eastAsia="ja-JP"/>
        </w:rPr>
        <w:t xml:space="preserve"> </w:t>
      </w:r>
      <w:r w:rsidRPr="001852F0">
        <w:rPr>
          <w:b w:val="0"/>
          <w:lang w:val="fr-CH" w:eastAsia="ja-JP"/>
        </w:rPr>
        <w:t xml:space="preserve">IMT exploitées dans la bande de fréquences 694-790 MHz pour la protection </w:t>
      </w:r>
      <w:r>
        <w:rPr>
          <w:b w:val="0"/>
          <w:lang w:val="fr-CH" w:eastAsia="ja-JP"/>
        </w:rPr>
        <w:br/>
      </w:r>
      <w:r w:rsidRPr="001852F0">
        <w:rPr>
          <w:b w:val="0"/>
          <w:lang w:val="fr-CH" w:eastAsia="ja-JP"/>
        </w:rPr>
        <w:t>des services existants en</w:t>
      </w:r>
      <w:r w:rsidRPr="001852F0">
        <w:rPr>
          <w:b w:val="0"/>
          <w:caps/>
          <w:lang w:val="fr-CH" w:eastAsia="ja-JP"/>
        </w:rPr>
        <w:t xml:space="preserve"> </w:t>
      </w:r>
      <w:r>
        <w:rPr>
          <w:b w:val="0"/>
          <w:lang w:val="fr-CH" w:eastAsia="ja-JP"/>
        </w:rPr>
        <w:t>R</w:t>
      </w:r>
      <w:r w:rsidRPr="001852F0">
        <w:rPr>
          <w:b w:val="0"/>
          <w:lang w:val="fr-CH" w:eastAsia="ja-JP"/>
        </w:rPr>
        <w:t xml:space="preserve">égion 1 fonctionnant dans la bande </w:t>
      </w:r>
      <w:r>
        <w:rPr>
          <w:b w:val="0"/>
          <w:lang w:val="fr-CH" w:eastAsia="ja-JP"/>
        </w:rPr>
        <w:br/>
      </w:r>
      <w:r w:rsidRPr="001852F0">
        <w:rPr>
          <w:b w:val="0"/>
          <w:lang w:val="fr-CH" w:eastAsia="ja-JP"/>
        </w:rPr>
        <w:t>de fréquences au</w:t>
      </w:r>
      <w:r w:rsidRPr="001852F0">
        <w:rPr>
          <w:b w:val="0"/>
          <w:lang w:val="fr-CH" w:eastAsia="ja-JP"/>
        </w:rPr>
        <w:noBreakHyphen/>
        <w:t xml:space="preserve">dessous </w:t>
      </w:r>
      <w:r>
        <w:rPr>
          <w:b w:val="0"/>
          <w:lang w:val="fr-CH" w:eastAsia="ja-JP"/>
        </w:rPr>
        <w:t xml:space="preserve">de </w:t>
      </w:r>
      <w:r w:rsidRPr="001852F0">
        <w:rPr>
          <w:b w:val="0"/>
          <w:lang w:val="fr-CH" w:eastAsia="ja-JP"/>
        </w:rPr>
        <w:t>694 MHz</w:t>
      </w:r>
    </w:p>
    <w:p w:rsidR="00411740" w:rsidRPr="00006CB5" w:rsidRDefault="00411740" w:rsidP="00411740">
      <w:pPr>
        <w:pStyle w:val="Headingb"/>
        <w:spacing w:before="360"/>
        <w:rPr>
          <w:sz w:val="22"/>
          <w:szCs w:val="22"/>
          <w:lang w:val="fr-CH" w:eastAsia="ja-JP"/>
        </w:rPr>
      </w:pPr>
      <w:r w:rsidRPr="00006CB5">
        <w:rPr>
          <w:sz w:val="22"/>
          <w:szCs w:val="22"/>
          <w:lang w:val="fr-CH" w:eastAsia="ja-JP"/>
        </w:rPr>
        <w:t>Champ d</w:t>
      </w:r>
      <w:r>
        <w:rPr>
          <w:sz w:val="22"/>
          <w:szCs w:val="22"/>
          <w:lang w:val="fr-CH" w:eastAsia="ja-JP"/>
        </w:rPr>
        <w:t>'</w:t>
      </w:r>
      <w:r w:rsidRPr="00006CB5">
        <w:rPr>
          <w:sz w:val="22"/>
          <w:szCs w:val="22"/>
          <w:lang w:val="fr-CH" w:eastAsia="ja-JP"/>
        </w:rPr>
        <w:t>application</w:t>
      </w:r>
    </w:p>
    <w:p w:rsidR="007956A4" w:rsidRPr="00411740" w:rsidRDefault="00411740" w:rsidP="00411740">
      <w:pPr>
        <w:rPr>
          <w:lang w:val="fr-CH"/>
        </w:rPr>
      </w:pPr>
      <w:r w:rsidRPr="00AE1454">
        <w:rPr>
          <w:lang w:val="fr-CH" w:eastAsia="ja-JP"/>
        </w:rPr>
        <w:t>La présente Recommandation fournit des indications aux administrations con</w:t>
      </w:r>
      <w:r>
        <w:rPr>
          <w:lang w:val="fr-CH" w:eastAsia="ja-JP"/>
        </w:rPr>
        <w:t>cernant les niveaux spécifiques </w:t>
      </w:r>
      <w:r w:rsidRPr="00AE1454">
        <w:rPr>
          <w:lang w:val="fr-CH" w:eastAsia="ja-JP"/>
        </w:rPr>
        <w:t>des émissions hors bande rayonnée</w:t>
      </w:r>
      <w:r>
        <w:rPr>
          <w:lang w:val="fr-CH" w:eastAsia="ja-JP"/>
        </w:rPr>
        <w:t>s</w:t>
      </w:r>
      <w:r w:rsidRPr="00AE1454">
        <w:rPr>
          <w:lang w:val="fr-CH" w:eastAsia="ja-JP"/>
        </w:rPr>
        <w:t xml:space="preserve"> par les stations mobiles IMT fonctionnant dans la bande de fréquences 694-790 MHz </w:t>
      </w:r>
      <w:r>
        <w:rPr>
          <w:lang w:val="fr-CH" w:eastAsia="ja-JP"/>
        </w:rPr>
        <w:t>à respecter pour assurer la protection des services existants exploités au-dessous de </w:t>
      </w:r>
      <w:r w:rsidRPr="00AE1454">
        <w:rPr>
          <w:lang w:val="fr-CH" w:eastAsia="ja-JP"/>
        </w:rPr>
        <w:t>694 MHz</w:t>
      </w:r>
      <w:r>
        <w:rPr>
          <w:lang w:val="fr-CH" w:eastAsia="ja-JP"/>
        </w:rPr>
        <w:t xml:space="preserve"> dans la Région </w:t>
      </w:r>
      <w:r w:rsidRPr="00AE1454">
        <w:rPr>
          <w:lang w:val="fr-CH" w:eastAsia="ja-JP"/>
        </w:rPr>
        <w:t>1</w:t>
      </w:r>
      <w:r w:rsidRPr="00AE1454">
        <w:rPr>
          <w:lang w:val="fr-CH"/>
        </w:rPr>
        <w:t>.</w:t>
      </w:r>
    </w:p>
    <w:p w:rsidR="00411740" w:rsidRPr="00AE1454" w:rsidRDefault="00411740" w:rsidP="00411740">
      <w:pPr>
        <w:pStyle w:val="Normalaftertitle0"/>
        <w:rPr>
          <w:lang w:val="fr-CH"/>
        </w:rPr>
      </w:pPr>
      <w:r w:rsidRPr="00AE1454">
        <w:rPr>
          <w:lang w:val="fr-CH"/>
        </w:rPr>
        <w:t>L</w:t>
      </w:r>
      <w:r>
        <w:rPr>
          <w:lang w:val="fr-CH"/>
        </w:rPr>
        <w:t>'</w:t>
      </w:r>
      <w:r w:rsidRPr="00AE1454">
        <w:rPr>
          <w:lang w:val="fr-CH"/>
        </w:rPr>
        <w:t>Assemblée des radiocommunications de l</w:t>
      </w:r>
      <w:r>
        <w:rPr>
          <w:lang w:val="fr-CH"/>
        </w:rPr>
        <w:t>'</w:t>
      </w:r>
      <w:r w:rsidRPr="00AE1454">
        <w:rPr>
          <w:lang w:val="fr-CH"/>
        </w:rPr>
        <w:t>UIT,</w:t>
      </w:r>
    </w:p>
    <w:p w:rsidR="00411740" w:rsidRPr="00006CB5" w:rsidRDefault="00411740" w:rsidP="00411740">
      <w:pPr>
        <w:pStyle w:val="Call"/>
        <w:rPr>
          <w:lang w:val="fr-CH"/>
        </w:rPr>
      </w:pPr>
      <w:r w:rsidRPr="00006CB5">
        <w:rPr>
          <w:lang w:val="fr-CH"/>
        </w:rPr>
        <w:t>considérant</w:t>
      </w:r>
    </w:p>
    <w:p w:rsidR="00411740" w:rsidRPr="00AE1454" w:rsidRDefault="00411740" w:rsidP="00411740">
      <w:pPr>
        <w:rPr>
          <w:lang w:val="fr-CH"/>
        </w:rPr>
      </w:pPr>
      <w:r w:rsidRPr="00AE1454">
        <w:rPr>
          <w:i/>
          <w:iCs/>
          <w:lang w:val="fr-CH"/>
        </w:rPr>
        <w:t>a)</w:t>
      </w:r>
      <w:r w:rsidRPr="00AE1454">
        <w:rPr>
          <w:i/>
          <w:iCs/>
          <w:lang w:val="fr-CH"/>
        </w:rPr>
        <w:tab/>
      </w:r>
      <w:r w:rsidRPr="00AE1454">
        <w:rPr>
          <w:lang w:val="fr-CH"/>
        </w:rPr>
        <w:t xml:space="preserve">que les Recommandations UIT-R M.1581 </w:t>
      </w:r>
      <w:r w:rsidRPr="00AE1454">
        <w:rPr>
          <w:lang w:val="fr-CH" w:eastAsia="ko-KR"/>
        </w:rPr>
        <w:t xml:space="preserve">et UIT-R M.[IMT OOBE MS] spécifient les caractéristiques génériques </w:t>
      </w:r>
      <w:r>
        <w:rPr>
          <w:lang w:val="fr-CH" w:eastAsia="ko-KR"/>
        </w:rPr>
        <w:t>des rayonnements non désirés, respectivement, des stations mobiles IMT</w:t>
      </w:r>
      <w:r>
        <w:rPr>
          <w:lang w:val="fr-CH" w:eastAsia="ko-KR"/>
        </w:rPr>
        <w:noBreakHyphen/>
        <w:t>2000 et des stations mobiles IMT évoluées</w:t>
      </w:r>
      <w:r w:rsidRPr="00AE1454">
        <w:rPr>
          <w:lang w:val="fr-CH"/>
        </w:rPr>
        <w:t>;</w:t>
      </w:r>
    </w:p>
    <w:p w:rsidR="00411740" w:rsidRPr="00AE1454" w:rsidRDefault="00411740" w:rsidP="00411740">
      <w:pPr>
        <w:rPr>
          <w:lang w:val="fr-CH"/>
        </w:rPr>
      </w:pPr>
      <w:r w:rsidRPr="00AE1454">
        <w:rPr>
          <w:i/>
          <w:iCs/>
          <w:lang w:val="fr-CH"/>
        </w:rPr>
        <w:t>b)</w:t>
      </w:r>
      <w:r w:rsidRPr="00AE1454">
        <w:rPr>
          <w:lang w:val="fr-CH"/>
        </w:rPr>
        <w:tab/>
        <w:t>que la Recommandation UIT-R M.1036</w:t>
      </w:r>
      <w:r>
        <w:rPr>
          <w:lang w:val="fr-CH"/>
        </w:rPr>
        <w:t xml:space="preserve"> définit</w:t>
      </w:r>
      <w:r w:rsidRPr="00AE1454">
        <w:rPr>
          <w:lang w:val="fr-CH"/>
        </w:rPr>
        <w:t xml:space="preserve"> les dispositions de fréquences </w:t>
      </w:r>
      <w:r>
        <w:rPr>
          <w:lang w:val="fr-CH"/>
        </w:rPr>
        <w:t xml:space="preserve">pour les réseaux IMT, y compris celles à utiliser dans la bande </w:t>
      </w:r>
      <w:r w:rsidRPr="00AE1454">
        <w:rPr>
          <w:lang w:val="fr-CH"/>
        </w:rPr>
        <w:t>694-790 MHz;</w:t>
      </w:r>
    </w:p>
    <w:p w:rsidR="00411740" w:rsidRPr="00AE1454" w:rsidRDefault="00411740" w:rsidP="00411740">
      <w:pPr>
        <w:rPr>
          <w:lang w:val="fr-CH"/>
        </w:rPr>
      </w:pPr>
      <w:r w:rsidRPr="00AE1454">
        <w:rPr>
          <w:i/>
          <w:iCs/>
          <w:lang w:val="fr-CH"/>
        </w:rPr>
        <w:t>c)</w:t>
      </w:r>
      <w:r w:rsidRPr="00AE1454">
        <w:rPr>
          <w:lang w:val="fr-CH"/>
        </w:rPr>
        <w:tab/>
        <w:t>qu</w:t>
      </w:r>
      <w:r>
        <w:rPr>
          <w:lang w:val="fr-CH"/>
        </w:rPr>
        <w:t>'</w:t>
      </w:r>
      <w:r w:rsidRPr="00AE1454">
        <w:rPr>
          <w:lang w:val="fr-CH"/>
        </w:rPr>
        <w:t xml:space="preserve">aux termes de la Résolution </w:t>
      </w:r>
      <w:r w:rsidRPr="00AE1454">
        <w:rPr>
          <w:b/>
          <w:bCs/>
          <w:lang w:val="fr-CH"/>
        </w:rPr>
        <w:t>232 (CMR-12)</w:t>
      </w:r>
      <w:r>
        <w:rPr>
          <w:lang w:val="fr-CH"/>
        </w:rPr>
        <w:t>,</w:t>
      </w:r>
      <w:r w:rsidRPr="00AE1454">
        <w:rPr>
          <w:lang w:val="fr-CH"/>
        </w:rPr>
        <w:t xml:space="preserve"> l</w:t>
      </w:r>
      <w:r>
        <w:rPr>
          <w:lang w:val="fr-CH"/>
        </w:rPr>
        <w:t>'UIT-</w:t>
      </w:r>
      <w:r w:rsidRPr="00AE1454">
        <w:rPr>
          <w:lang w:val="fr-CH"/>
        </w:rPr>
        <w:t xml:space="preserve">R est invité à étudier la compatibilité entre le service mobile et </w:t>
      </w:r>
      <w:r>
        <w:rPr>
          <w:lang w:val="fr-CH"/>
        </w:rPr>
        <w:t>d'</w:t>
      </w:r>
      <w:r w:rsidRPr="00AE1454">
        <w:rPr>
          <w:lang w:val="fr-CH"/>
        </w:rPr>
        <w:t xml:space="preserve">autres services </w:t>
      </w:r>
      <w:r>
        <w:rPr>
          <w:lang w:val="fr-CH"/>
        </w:rPr>
        <w:t xml:space="preserve">primaires </w:t>
      </w:r>
      <w:r w:rsidRPr="00AE1454">
        <w:rPr>
          <w:lang w:val="fr-CH"/>
        </w:rPr>
        <w:t>auxquels la bande de fréquences</w:t>
      </w:r>
      <w:r>
        <w:rPr>
          <w:lang w:val="fr-CH"/>
        </w:rPr>
        <w:t xml:space="preserve"> est attribuée, y compris dans les bandes de fréquences adjacentes</w:t>
      </w:r>
      <w:r w:rsidRPr="00AE1454">
        <w:rPr>
          <w:lang w:val="fr-CH"/>
        </w:rPr>
        <w:t>;</w:t>
      </w:r>
    </w:p>
    <w:p w:rsidR="00411740" w:rsidRPr="00054267" w:rsidRDefault="00411740" w:rsidP="00411740">
      <w:pPr>
        <w:rPr>
          <w:lang w:val="fr-CH"/>
        </w:rPr>
      </w:pPr>
      <w:r w:rsidRPr="00054267">
        <w:rPr>
          <w:i/>
          <w:iCs/>
          <w:lang w:val="fr-CH"/>
        </w:rPr>
        <w:t>d)</w:t>
      </w:r>
      <w:r w:rsidRPr="00054267">
        <w:rPr>
          <w:lang w:val="fr-CH"/>
        </w:rPr>
        <w:tab/>
        <w:t xml:space="preserve">que les émissions hors bande des stations mobiles IMT </w:t>
      </w:r>
      <w:r>
        <w:rPr>
          <w:lang w:val="fr-CH"/>
        </w:rPr>
        <w:t xml:space="preserve">exploitées </w:t>
      </w:r>
      <w:r w:rsidRPr="00054267">
        <w:rPr>
          <w:lang w:val="fr-CH"/>
        </w:rPr>
        <w:t>en Région 1 dans la bande de fréquences 694-790 MHz</w:t>
      </w:r>
      <w:r>
        <w:rPr>
          <w:lang w:val="fr-CH"/>
        </w:rPr>
        <w:t xml:space="preserve"> doivent être limitées</w:t>
      </w:r>
      <w:r w:rsidRPr="00054267">
        <w:rPr>
          <w:lang w:val="fr-CH"/>
        </w:rPr>
        <w:t>;</w:t>
      </w:r>
    </w:p>
    <w:p w:rsidR="00411740" w:rsidRPr="00054267" w:rsidRDefault="00411740" w:rsidP="00411740">
      <w:pPr>
        <w:rPr>
          <w:lang w:val="fr-CH"/>
        </w:rPr>
      </w:pPr>
      <w:r w:rsidRPr="00054267">
        <w:rPr>
          <w:i/>
          <w:iCs/>
          <w:lang w:val="fr-CH"/>
        </w:rPr>
        <w:t>e)</w:t>
      </w:r>
      <w:r w:rsidRPr="00054267">
        <w:rPr>
          <w:lang w:val="fr-CH"/>
        </w:rPr>
        <w:tab/>
        <w:t>que des limites trop strictes risqueraient d</w:t>
      </w:r>
      <w:r>
        <w:rPr>
          <w:lang w:val="fr-CH"/>
        </w:rPr>
        <w:t>'</w:t>
      </w:r>
      <w:r w:rsidRPr="00054267">
        <w:rPr>
          <w:lang w:val="fr-CH"/>
        </w:rPr>
        <w:t xml:space="preserve">accroître la taille, le coût ou la complexité des équipements </w:t>
      </w:r>
      <w:r>
        <w:rPr>
          <w:lang w:val="fr-CH"/>
        </w:rPr>
        <w:t>radioélectriques IMT;</w:t>
      </w:r>
    </w:p>
    <w:p w:rsidR="00411740" w:rsidRPr="00054267" w:rsidRDefault="00411740" w:rsidP="00411740">
      <w:pPr>
        <w:rPr>
          <w:lang w:val="fr-CH"/>
        </w:rPr>
      </w:pPr>
      <w:r w:rsidRPr="00054267">
        <w:rPr>
          <w:i/>
          <w:iCs/>
          <w:lang w:val="fr-CH"/>
        </w:rPr>
        <w:t>f)</w:t>
      </w:r>
      <w:r w:rsidRPr="00054267">
        <w:rPr>
          <w:lang w:val="fr-CH"/>
        </w:rPr>
        <w:tab/>
        <w:t>qu</w:t>
      </w:r>
      <w:r>
        <w:rPr>
          <w:lang w:val="fr-CH"/>
        </w:rPr>
        <w:t>'</w:t>
      </w:r>
      <w:r w:rsidRPr="00054267">
        <w:rPr>
          <w:lang w:val="fr-CH"/>
        </w:rPr>
        <w:t>il est nécessaire de faciliter l</w:t>
      </w:r>
      <w:r>
        <w:rPr>
          <w:lang w:val="fr-CH"/>
        </w:rPr>
        <w:t>'</w:t>
      </w:r>
      <w:r w:rsidRPr="00054267">
        <w:rPr>
          <w:lang w:val="fr-CH"/>
        </w:rPr>
        <w:t>harmonisation et la circulation à l</w:t>
      </w:r>
      <w:r>
        <w:rPr>
          <w:lang w:val="fr-CH"/>
        </w:rPr>
        <w:t>'</w:t>
      </w:r>
      <w:r w:rsidRPr="00054267">
        <w:rPr>
          <w:lang w:val="fr-CH"/>
        </w:rPr>
        <w:t xml:space="preserve">échelle mondiale </w:t>
      </w:r>
      <w:r>
        <w:rPr>
          <w:lang w:val="fr-CH"/>
        </w:rPr>
        <w:t>des équipements afin de garantir l'itinérance et de promouvoir les économies d'échelle</w:t>
      </w:r>
      <w:r w:rsidRPr="00054267">
        <w:rPr>
          <w:lang w:val="fr-CH"/>
        </w:rPr>
        <w:t>;</w:t>
      </w:r>
    </w:p>
    <w:p w:rsidR="00411740" w:rsidRPr="00054267" w:rsidRDefault="00411740" w:rsidP="00411740">
      <w:pPr>
        <w:rPr>
          <w:lang w:val="fr-CH"/>
        </w:rPr>
      </w:pPr>
      <w:r w:rsidRPr="00054267">
        <w:rPr>
          <w:i/>
          <w:lang w:val="fr-CH"/>
        </w:rPr>
        <w:t>g)</w:t>
      </w:r>
      <w:r w:rsidRPr="00054267">
        <w:rPr>
          <w:i/>
          <w:lang w:val="fr-CH"/>
        </w:rPr>
        <w:tab/>
      </w:r>
      <w:r w:rsidRPr="00054267">
        <w:rPr>
          <w:lang w:val="fr-CH"/>
        </w:rPr>
        <w:t xml:space="preserve">que les administrations décident de la largeur de bande de canal qui </w:t>
      </w:r>
      <w:r>
        <w:rPr>
          <w:lang w:val="fr-CH"/>
        </w:rPr>
        <w:t>sera</w:t>
      </w:r>
      <w:r w:rsidRPr="00054267">
        <w:rPr>
          <w:lang w:val="fr-CH"/>
        </w:rPr>
        <w:t xml:space="preserve"> utilisé</w:t>
      </w:r>
      <w:r>
        <w:rPr>
          <w:lang w:val="fr-CH"/>
        </w:rPr>
        <w:t>e</w:t>
      </w:r>
      <w:r w:rsidRPr="00054267">
        <w:rPr>
          <w:lang w:val="fr-CH"/>
        </w:rPr>
        <w:t xml:space="preserve"> par</w:t>
      </w:r>
      <w:r>
        <w:rPr>
          <w:lang w:val="fr-CH"/>
        </w:rPr>
        <w:t xml:space="preserve"> l'équipement d'utilisateur</w:t>
      </w:r>
      <w:r w:rsidRPr="00054267">
        <w:rPr>
          <w:lang w:val="fr-CH"/>
        </w:rPr>
        <w:t>;</w:t>
      </w:r>
    </w:p>
    <w:p w:rsidR="007956A4" w:rsidRPr="00411740" w:rsidRDefault="00411740" w:rsidP="00411740">
      <w:pPr>
        <w:rPr>
          <w:lang w:val="fr-CH"/>
        </w:rPr>
      </w:pPr>
      <w:r w:rsidRPr="00054267">
        <w:rPr>
          <w:i/>
          <w:lang w:val="fr-CH"/>
        </w:rPr>
        <w:t>h)</w:t>
      </w:r>
      <w:r w:rsidRPr="00054267">
        <w:rPr>
          <w:lang w:val="fr-CH"/>
        </w:rPr>
        <w:tab/>
        <w:t>que</w:t>
      </w:r>
      <w:r>
        <w:rPr>
          <w:lang w:val="fr-CH"/>
        </w:rPr>
        <w:t xml:space="preserve">, </w:t>
      </w:r>
      <w:r w:rsidRPr="00054267">
        <w:rPr>
          <w:lang w:val="fr-CH"/>
        </w:rPr>
        <w:t>dans certains pays de la Région 1, le déploiement des systèmes IMT dans la bande des 700 MHz</w:t>
      </w:r>
      <w:r>
        <w:rPr>
          <w:lang w:val="fr-CH"/>
        </w:rPr>
        <w:t xml:space="preserve"> devrait commencer immédiatement après la CMR-15</w:t>
      </w:r>
      <w:r w:rsidRPr="00054267">
        <w:rPr>
          <w:lang w:val="fr-CH"/>
        </w:rPr>
        <w:t>,</w:t>
      </w:r>
    </w:p>
    <w:p w:rsidR="00411740" w:rsidRPr="00006CB5" w:rsidRDefault="00411740" w:rsidP="00411740">
      <w:pPr>
        <w:pStyle w:val="Call"/>
        <w:rPr>
          <w:lang w:val="fr-CH"/>
        </w:rPr>
      </w:pPr>
      <w:r w:rsidRPr="00006CB5">
        <w:rPr>
          <w:lang w:val="fr-CH"/>
        </w:rPr>
        <w:t>reconnaissant</w:t>
      </w:r>
    </w:p>
    <w:p w:rsidR="00411740" w:rsidRPr="00054267" w:rsidRDefault="00411740" w:rsidP="00411740">
      <w:pPr>
        <w:rPr>
          <w:lang w:val="fr-CH"/>
        </w:rPr>
      </w:pPr>
      <w:r w:rsidRPr="00054267">
        <w:rPr>
          <w:i/>
          <w:iCs/>
          <w:lang w:val="fr-CH"/>
        </w:rPr>
        <w:t>a)</w:t>
      </w:r>
      <w:r w:rsidRPr="00054267">
        <w:rPr>
          <w:lang w:val="fr-CH"/>
        </w:rPr>
        <w:tab/>
        <w:t>que l</w:t>
      </w:r>
      <w:r>
        <w:rPr>
          <w:lang w:val="fr-CH"/>
        </w:rPr>
        <w:t>'</w:t>
      </w:r>
      <w:r w:rsidRPr="00054267">
        <w:rPr>
          <w:lang w:val="fr-CH"/>
        </w:rPr>
        <w:t>imposition d</w:t>
      </w:r>
      <w:r>
        <w:rPr>
          <w:lang w:val="fr-CH"/>
        </w:rPr>
        <w:t>'</w:t>
      </w:r>
      <w:r w:rsidRPr="00054267">
        <w:rPr>
          <w:lang w:val="fr-CH"/>
        </w:rPr>
        <w:t>une limite aux émissions hors bande rayonnée</w:t>
      </w:r>
      <w:r>
        <w:rPr>
          <w:lang w:val="fr-CH"/>
        </w:rPr>
        <w:t>s</w:t>
      </w:r>
      <w:r w:rsidRPr="00054267">
        <w:rPr>
          <w:lang w:val="fr-CH"/>
        </w:rPr>
        <w:t xml:space="preserve"> par les stations mobiles IMT est un des facteurs nécessaires pour assurer la protection des services existants exploités dans la bande au-dessous de 694 MHz;</w:t>
      </w:r>
    </w:p>
    <w:p w:rsidR="00411740" w:rsidRPr="00054267" w:rsidRDefault="00411740" w:rsidP="00411740">
      <w:pPr>
        <w:rPr>
          <w:lang w:val="fr-CH"/>
        </w:rPr>
      </w:pPr>
      <w:r w:rsidRPr="00054267">
        <w:rPr>
          <w:i/>
          <w:iCs/>
          <w:lang w:val="fr-CH"/>
        </w:rPr>
        <w:t>b)</w:t>
      </w:r>
      <w:r w:rsidRPr="00054267">
        <w:rPr>
          <w:lang w:val="fr-CH"/>
        </w:rPr>
        <w:tab/>
        <w:t xml:space="preserve">que la limite recommandée </w:t>
      </w:r>
      <w:r>
        <w:rPr>
          <w:lang w:val="fr-CH"/>
        </w:rPr>
        <w:t>pour les</w:t>
      </w:r>
      <w:r w:rsidRPr="00054267">
        <w:rPr>
          <w:lang w:val="fr-CH"/>
        </w:rPr>
        <w:t xml:space="preserve"> émissions hors bande </w:t>
      </w:r>
      <w:r>
        <w:rPr>
          <w:lang w:val="fr-CH"/>
        </w:rPr>
        <w:t>des stations mobiles IMT devrait permettre de satisfaire les conditions suivantes</w:t>
      </w:r>
      <w:r w:rsidRPr="00054267">
        <w:rPr>
          <w:lang w:val="fr-CH"/>
        </w:rPr>
        <w:t>:</w:t>
      </w:r>
    </w:p>
    <w:p w:rsidR="00411740" w:rsidRPr="00054267" w:rsidRDefault="00411740" w:rsidP="00411740">
      <w:pPr>
        <w:pStyle w:val="enumlev1"/>
        <w:rPr>
          <w:lang w:val="fr-CH"/>
        </w:rPr>
      </w:pPr>
      <w:r w:rsidRPr="00054267">
        <w:rPr>
          <w:lang w:val="fr-CH"/>
        </w:rPr>
        <w:t>•</w:t>
      </w:r>
      <w:r w:rsidRPr="00054267">
        <w:rPr>
          <w:lang w:val="fr-CH"/>
        </w:rPr>
        <w:tab/>
        <w:t xml:space="preserve">gérer </w:t>
      </w:r>
      <w:r>
        <w:rPr>
          <w:lang w:val="fr-CH"/>
        </w:rPr>
        <w:t>les</w:t>
      </w:r>
      <w:r w:rsidRPr="00054267">
        <w:rPr>
          <w:lang w:val="fr-CH"/>
        </w:rPr>
        <w:t xml:space="preserve"> brouillage</w:t>
      </w:r>
      <w:r>
        <w:rPr>
          <w:lang w:val="fr-CH"/>
        </w:rPr>
        <w:t>s qui pourraient être</w:t>
      </w:r>
      <w:r w:rsidRPr="00054267">
        <w:rPr>
          <w:lang w:val="fr-CH"/>
        </w:rPr>
        <w:t xml:space="preserve"> </w:t>
      </w:r>
      <w:r>
        <w:rPr>
          <w:lang w:val="fr-CH"/>
        </w:rPr>
        <w:t>causés par les équipements mobiles utilisés</w:t>
      </w:r>
      <w:r w:rsidRPr="00054267">
        <w:rPr>
          <w:lang w:val="fr-CH"/>
        </w:rPr>
        <w:t>;</w:t>
      </w:r>
    </w:p>
    <w:p w:rsidR="00411740" w:rsidRPr="0009004C" w:rsidRDefault="00411740" w:rsidP="00411740">
      <w:pPr>
        <w:pStyle w:val="enumlev1"/>
        <w:rPr>
          <w:lang w:val="fr-CH"/>
        </w:rPr>
      </w:pPr>
      <w:r w:rsidRPr="0009004C">
        <w:rPr>
          <w:lang w:val="fr-CH"/>
        </w:rPr>
        <w:t>•</w:t>
      </w:r>
      <w:r w:rsidRPr="0009004C">
        <w:rPr>
          <w:lang w:val="fr-CH"/>
        </w:rPr>
        <w:tab/>
        <w:t xml:space="preserve">être techniquement </w:t>
      </w:r>
      <w:r>
        <w:rPr>
          <w:lang w:val="fr-CH"/>
        </w:rPr>
        <w:t>acceptable</w:t>
      </w:r>
      <w:r w:rsidRPr="0009004C">
        <w:rPr>
          <w:lang w:val="fr-CH"/>
        </w:rPr>
        <w:t xml:space="preserve"> </w:t>
      </w:r>
      <w:r>
        <w:rPr>
          <w:lang w:val="fr-CH"/>
        </w:rPr>
        <w:t>dans l'optique de</w:t>
      </w:r>
      <w:r w:rsidRPr="0009004C">
        <w:rPr>
          <w:lang w:val="fr-CH"/>
        </w:rPr>
        <w:t xml:space="preserve"> la mise en </w:t>
      </w:r>
      <w:r w:rsidR="009A0D66" w:rsidRPr="0009004C">
        <w:rPr>
          <w:lang w:val="fr-CH"/>
        </w:rPr>
        <w:t>œuvre</w:t>
      </w:r>
      <w:r w:rsidRPr="0009004C">
        <w:rPr>
          <w:lang w:val="fr-CH"/>
        </w:rPr>
        <w:t xml:space="preserve"> concr</w:t>
      </w:r>
      <w:r>
        <w:rPr>
          <w:lang w:val="fr-CH"/>
        </w:rPr>
        <w:t>è</w:t>
      </w:r>
      <w:r w:rsidRPr="0009004C">
        <w:rPr>
          <w:lang w:val="fr-CH"/>
        </w:rPr>
        <w:t>te des stations mobiles IMT; et</w:t>
      </w:r>
    </w:p>
    <w:p w:rsidR="00411740" w:rsidRPr="00E11ADA" w:rsidRDefault="00411740" w:rsidP="00411740">
      <w:pPr>
        <w:pStyle w:val="enumlev1"/>
        <w:rPr>
          <w:lang w:val="fr-CH"/>
        </w:rPr>
      </w:pPr>
      <w:r w:rsidRPr="00E11ADA">
        <w:rPr>
          <w:lang w:val="fr-CH"/>
        </w:rPr>
        <w:lastRenderedPageBreak/>
        <w:t>•</w:t>
      </w:r>
      <w:r w:rsidRPr="00E11ADA">
        <w:rPr>
          <w:lang w:val="fr-CH"/>
        </w:rPr>
        <w:tab/>
        <w:t>parvenir à une harmonisation mondiale des stations mobiles;</w:t>
      </w:r>
    </w:p>
    <w:p w:rsidR="00411740" w:rsidRPr="00E11ADA" w:rsidRDefault="00411740" w:rsidP="00411740">
      <w:pPr>
        <w:rPr>
          <w:lang w:val="fr-CH"/>
        </w:rPr>
      </w:pPr>
      <w:r w:rsidRPr="00E11ADA">
        <w:rPr>
          <w:i/>
          <w:iCs/>
          <w:lang w:val="fr-CH"/>
        </w:rPr>
        <w:t>c)</w:t>
      </w:r>
      <w:r w:rsidRPr="00E11ADA">
        <w:rPr>
          <w:lang w:val="fr-CH"/>
        </w:rPr>
        <w:tab/>
      </w:r>
      <w:r>
        <w:rPr>
          <w:lang w:val="fr-CH"/>
        </w:rPr>
        <w:t xml:space="preserve">que </w:t>
      </w:r>
      <w:r w:rsidRPr="00E11ADA">
        <w:rPr>
          <w:lang w:val="fr-CH"/>
        </w:rPr>
        <w:t xml:space="preserve">différentes limites des émissions hors bande </w:t>
      </w:r>
      <w:r>
        <w:rPr>
          <w:lang w:val="fr-CH"/>
        </w:rPr>
        <w:t>applicables aux stations mobiles IMT fonctionnant dans la bande des 700 MHz ont été prises en considération par les administrations de la Région 1;</w:t>
      </w:r>
    </w:p>
    <w:p w:rsidR="00411740" w:rsidRPr="00E11ADA" w:rsidRDefault="00411740" w:rsidP="00411740">
      <w:pPr>
        <w:rPr>
          <w:lang w:val="fr-CH"/>
        </w:rPr>
      </w:pPr>
      <w:r w:rsidRPr="00E11ADA">
        <w:rPr>
          <w:i/>
          <w:iCs/>
          <w:lang w:val="fr-CH"/>
        </w:rPr>
        <w:t>d)</w:t>
      </w:r>
      <w:r w:rsidRPr="00E11ADA">
        <w:rPr>
          <w:lang w:val="fr-CH"/>
        </w:rPr>
        <w:tab/>
      </w:r>
      <w:r>
        <w:rPr>
          <w:lang w:val="fr-CH"/>
        </w:rPr>
        <w:t>que les études de l'UIT-R spécifient</w:t>
      </w:r>
      <w:r w:rsidRPr="00E11ADA">
        <w:rPr>
          <w:lang w:val="fr-CH"/>
        </w:rPr>
        <w:t xml:space="preserve"> différentes limites des émissions hors bande</w:t>
      </w:r>
      <w:r>
        <w:rPr>
          <w:lang w:val="fr-CH"/>
        </w:rPr>
        <w:t xml:space="preserve"> applicables dans les bandes au-dessous de </w:t>
      </w:r>
      <w:r w:rsidRPr="00E11ADA">
        <w:rPr>
          <w:lang w:val="fr-CH"/>
        </w:rPr>
        <w:t>694 MHz</w:t>
      </w:r>
      <w:r>
        <w:rPr>
          <w:lang w:val="fr-CH"/>
        </w:rPr>
        <w:t>, notamment</w:t>
      </w:r>
      <w:r w:rsidRPr="00E11ADA">
        <w:rPr>
          <w:lang w:val="fr-CH"/>
        </w:rPr>
        <w:t>:</w:t>
      </w:r>
    </w:p>
    <w:p w:rsidR="00411740" w:rsidRPr="00D32C36" w:rsidRDefault="00411740" w:rsidP="00411740">
      <w:pPr>
        <w:pStyle w:val="enumlev1"/>
      </w:pPr>
      <w:r w:rsidRPr="00D32C36">
        <w:t>•</w:t>
      </w:r>
      <w:r w:rsidRPr="00D32C36">
        <w:tab/>
      </w:r>
      <w:r w:rsidR="0027109C">
        <w:t>–</w:t>
      </w:r>
      <w:r w:rsidRPr="00D32C36">
        <w:t>25 dBm/8 MHz pour une largeur de bande de canal IMT allant jusqu'à 20 MHz;</w:t>
      </w:r>
    </w:p>
    <w:p w:rsidR="00411740" w:rsidRDefault="00411740" w:rsidP="00411740">
      <w:pPr>
        <w:pStyle w:val="enumlev1"/>
      </w:pPr>
      <w:r w:rsidRPr="00D32C36">
        <w:t>•</w:t>
      </w:r>
      <w:r w:rsidRPr="00D32C36">
        <w:tab/>
      </w:r>
      <w:r w:rsidR="0027109C">
        <w:t>–</w:t>
      </w:r>
      <w:r w:rsidRPr="00D32C36">
        <w:t>42 dBm/8 MHz pour une largeur de bande de canal IMT allant jusqu'à 10 MHz;</w:t>
      </w:r>
    </w:p>
    <w:p w:rsidR="007956A4" w:rsidRDefault="00411740" w:rsidP="00411740">
      <w:pPr>
        <w:pStyle w:val="enumlev1"/>
      </w:pPr>
      <w:r w:rsidRPr="00D32C36">
        <w:t>•</w:t>
      </w:r>
      <w:r w:rsidRPr="00D32C36">
        <w:tab/>
      </w:r>
      <w:r w:rsidR="0027109C">
        <w:t>–</w:t>
      </w:r>
      <w:r w:rsidRPr="00D32C36">
        <w:t>56 dBm/8 MHz pour une largeur de bande de canal IMT allant jusqu'à 10 MHz,</w:t>
      </w:r>
    </w:p>
    <w:p w:rsidR="00411740" w:rsidRPr="00006CB5" w:rsidRDefault="00411740" w:rsidP="00411740">
      <w:pPr>
        <w:pStyle w:val="Call"/>
        <w:rPr>
          <w:lang w:val="fr-CH"/>
        </w:rPr>
      </w:pPr>
      <w:r w:rsidRPr="00006CB5">
        <w:rPr>
          <w:lang w:val="fr-CH"/>
        </w:rPr>
        <w:t xml:space="preserve">notant </w:t>
      </w:r>
    </w:p>
    <w:p w:rsidR="00411740" w:rsidRPr="008606E1" w:rsidRDefault="00411740" w:rsidP="00411740">
      <w:pPr>
        <w:pStyle w:val="Call"/>
        <w:ind w:left="0"/>
        <w:rPr>
          <w:i w:val="0"/>
          <w:lang w:val="fr-CH"/>
        </w:rPr>
      </w:pPr>
      <w:r w:rsidRPr="008606E1">
        <w:rPr>
          <w:iCs/>
          <w:lang w:val="fr-CH"/>
        </w:rPr>
        <w:t>a)</w:t>
      </w:r>
      <w:r w:rsidRPr="008606E1">
        <w:rPr>
          <w:i w:val="0"/>
          <w:lang w:val="fr-CH"/>
        </w:rPr>
        <w:tab/>
        <w:t>que les études de l</w:t>
      </w:r>
      <w:r>
        <w:rPr>
          <w:i w:val="0"/>
          <w:lang w:val="fr-CH"/>
        </w:rPr>
        <w:t>'</w:t>
      </w:r>
      <w:r w:rsidRPr="008606E1">
        <w:rPr>
          <w:i w:val="0"/>
          <w:lang w:val="fr-CH"/>
        </w:rPr>
        <w:t>UIT-R ont été basées sur</w:t>
      </w:r>
      <w:r>
        <w:rPr>
          <w:i w:val="0"/>
          <w:lang w:val="fr-CH"/>
        </w:rPr>
        <w:t xml:space="preserve"> le </w:t>
      </w:r>
      <w:r w:rsidRPr="008606E1">
        <w:rPr>
          <w:i w:val="0"/>
          <w:lang w:val="fr-CH"/>
        </w:rPr>
        <w:t xml:space="preserve">duplexeur inférieur </w:t>
      </w:r>
      <w:r>
        <w:rPr>
          <w:i w:val="0"/>
          <w:lang w:val="fr-CH"/>
        </w:rPr>
        <w:t>de la disposition de </w:t>
      </w:r>
      <w:r w:rsidRPr="008606E1">
        <w:rPr>
          <w:i w:val="0"/>
          <w:lang w:val="fr-CH"/>
        </w:rPr>
        <w:t>fréquences A5 décrite dans la Recommandation UIT-R M.1036</w:t>
      </w:r>
      <w:r>
        <w:rPr>
          <w:i w:val="0"/>
          <w:lang w:val="fr-CH"/>
        </w:rPr>
        <w:t xml:space="preserve"> (liaison montante dans la bande </w:t>
      </w:r>
      <w:r w:rsidRPr="008606E1">
        <w:rPr>
          <w:i w:val="0"/>
          <w:lang w:val="fr-CH"/>
        </w:rPr>
        <w:t xml:space="preserve">703-733 MHz) </w:t>
      </w:r>
      <w:r>
        <w:rPr>
          <w:i w:val="0"/>
          <w:lang w:val="fr-CH"/>
        </w:rPr>
        <w:t xml:space="preserve">et une puissance en sortie maximale de </w:t>
      </w:r>
      <w:r w:rsidRPr="008606E1">
        <w:rPr>
          <w:i w:val="0"/>
          <w:lang w:val="fr-CH"/>
        </w:rPr>
        <w:t>23 dBm;</w:t>
      </w:r>
    </w:p>
    <w:p w:rsidR="00411740" w:rsidRPr="008606E1" w:rsidRDefault="00411740" w:rsidP="00411740">
      <w:pPr>
        <w:rPr>
          <w:lang w:val="fr-CH"/>
        </w:rPr>
      </w:pPr>
      <w:r w:rsidRPr="008606E1">
        <w:rPr>
          <w:i/>
          <w:iCs/>
          <w:lang w:val="fr-CH"/>
        </w:rPr>
        <w:t>b)</w:t>
      </w:r>
      <w:r w:rsidRPr="008606E1">
        <w:rPr>
          <w:lang w:val="fr-CH"/>
        </w:rPr>
        <w:tab/>
        <w:t>qu</w:t>
      </w:r>
      <w:r>
        <w:rPr>
          <w:lang w:val="fr-CH"/>
        </w:rPr>
        <w:t>'</w:t>
      </w:r>
      <w:r w:rsidRPr="008606E1">
        <w:rPr>
          <w:lang w:val="fr-CH"/>
        </w:rPr>
        <w:t xml:space="preserve">une limite des émissions hors bande de </w:t>
      </w:r>
      <w:r>
        <w:rPr>
          <w:lang w:val="fr-CH"/>
        </w:rPr>
        <w:t>–26,</w:t>
      </w:r>
      <w:r w:rsidRPr="008606E1">
        <w:rPr>
          <w:lang w:val="fr-CH"/>
        </w:rPr>
        <w:t xml:space="preserve">2 dBm/6 MHz pour une station mobile IMT utilisant </w:t>
      </w:r>
      <w:r>
        <w:rPr>
          <w:lang w:val="fr-CH"/>
        </w:rPr>
        <w:t xml:space="preserve">la disposition de fréquences </w:t>
      </w:r>
      <w:r w:rsidRPr="008606E1">
        <w:rPr>
          <w:lang w:val="fr-CH"/>
        </w:rPr>
        <w:t xml:space="preserve">A5 </w:t>
      </w:r>
      <w:r>
        <w:rPr>
          <w:lang w:val="fr-CH"/>
        </w:rPr>
        <w:t xml:space="preserve">est applicable au sein d'une organisation régionale et figure dans la spécification </w:t>
      </w:r>
      <w:r w:rsidRPr="008606E1">
        <w:rPr>
          <w:lang w:val="fr-CH"/>
        </w:rPr>
        <w:t>3GPP</w:t>
      </w:r>
      <w:r>
        <w:rPr>
          <w:lang w:val="fr-CH"/>
        </w:rPr>
        <w:t xml:space="preserve"> pertinente</w:t>
      </w:r>
      <w:r w:rsidRPr="008606E1">
        <w:rPr>
          <w:lang w:val="fr-CH"/>
        </w:rPr>
        <w:t>;</w:t>
      </w:r>
    </w:p>
    <w:p w:rsidR="00411740" w:rsidRPr="008606E1" w:rsidRDefault="00411740" w:rsidP="00411740">
      <w:pPr>
        <w:rPr>
          <w:lang w:val="fr-CH"/>
        </w:rPr>
      </w:pPr>
      <w:r w:rsidRPr="008606E1">
        <w:rPr>
          <w:i/>
          <w:iCs/>
          <w:lang w:val="fr-CH"/>
        </w:rPr>
        <w:t>c)</w:t>
      </w:r>
      <w:r w:rsidRPr="008606E1">
        <w:rPr>
          <w:lang w:val="fr-CH"/>
        </w:rPr>
        <w:tab/>
        <w:t xml:space="preserve">que </w:t>
      </w:r>
      <w:r>
        <w:rPr>
          <w:lang w:val="fr-CH"/>
        </w:rPr>
        <w:t>les</w:t>
      </w:r>
      <w:r w:rsidRPr="008606E1">
        <w:rPr>
          <w:lang w:val="fr-CH"/>
        </w:rPr>
        <w:t xml:space="preserve"> nouvelles spécifications 3GPP pertinentes conti</w:t>
      </w:r>
      <w:r>
        <w:rPr>
          <w:lang w:val="fr-CH"/>
        </w:rPr>
        <w:t>ennent une limite des émissions </w:t>
      </w:r>
      <w:r w:rsidRPr="008606E1">
        <w:rPr>
          <w:lang w:val="fr-CH"/>
        </w:rPr>
        <w:t xml:space="preserve">hors bande de </w:t>
      </w:r>
      <w:r>
        <w:rPr>
          <w:lang w:val="fr-CH"/>
        </w:rPr>
        <w:t>–</w:t>
      </w:r>
      <w:r w:rsidRPr="008606E1">
        <w:rPr>
          <w:lang w:val="fr-CH"/>
        </w:rPr>
        <w:t>25 dBm/8 MHz</w:t>
      </w:r>
      <w:r>
        <w:rPr>
          <w:lang w:val="fr-CH"/>
        </w:rPr>
        <w:t xml:space="preserve"> pour une largeur de bande de canal IMT allant jusqu'à 20 </w:t>
      </w:r>
      <w:r w:rsidRPr="008606E1">
        <w:rPr>
          <w:lang w:val="fr-CH"/>
        </w:rPr>
        <w:t>MHz</w:t>
      </w:r>
      <w:r>
        <w:rPr>
          <w:lang w:val="fr-CH"/>
        </w:rPr>
        <w:t xml:space="preserve"> et de –</w:t>
      </w:r>
      <w:r w:rsidRPr="008606E1">
        <w:rPr>
          <w:lang w:val="fr-CH"/>
        </w:rPr>
        <w:t xml:space="preserve">42 dBm/8 MHz </w:t>
      </w:r>
      <w:r>
        <w:rPr>
          <w:lang w:val="fr-CH"/>
        </w:rPr>
        <w:t>pour une largeur de bande de canal IMT de 10 MHz</w:t>
      </w:r>
      <w:r w:rsidRPr="008606E1">
        <w:rPr>
          <w:lang w:val="fr-CH"/>
        </w:rPr>
        <w:t>;</w:t>
      </w:r>
    </w:p>
    <w:p w:rsidR="007956A4" w:rsidRPr="00BC406B" w:rsidRDefault="00411740" w:rsidP="0027109C">
      <w:r w:rsidRPr="008606E1">
        <w:rPr>
          <w:i/>
          <w:iCs/>
          <w:lang w:val="fr-CH"/>
        </w:rPr>
        <w:t>d)</w:t>
      </w:r>
      <w:r w:rsidRPr="008606E1">
        <w:rPr>
          <w:lang w:val="fr-CH"/>
        </w:rPr>
        <w:tab/>
      </w:r>
      <w:r>
        <w:rPr>
          <w:lang w:val="fr-CH"/>
        </w:rPr>
        <w:t>que d</w:t>
      </w:r>
      <w:r w:rsidRPr="008606E1">
        <w:rPr>
          <w:lang w:val="fr-CH"/>
        </w:rPr>
        <w:t>es dispositifs mobiles existants ne respectant p</w:t>
      </w:r>
      <w:r>
        <w:rPr>
          <w:lang w:val="fr-CH"/>
        </w:rPr>
        <w:t>as la limite des émissions hors</w:t>
      </w:r>
      <w:r w:rsidR="0027109C">
        <w:rPr>
          <w:lang w:val="fr-CH"/>
        </w:rPr>
        <w:t xml:space="preserve"> </w:t>
      </w:r>
      <w:r w:rsidRPr="008606E1">
        <w:rPr>
          <w:lang w:val="fr-CH"/>
        </w:rPr>
        <w:t>bande visée au point 2 du</w:t>
      </w:r>
      <w:r>
        <w:rPr>
          <w:lang w:val="fr-CH"/>
        </w:rPr>
        <w:t xml:space="preserve"> </w:t>
      </w:r>
      <w:r w:rsidRPr="008606E1">
        <w:rPr>
          <w:i/>
          <w:iCs/>
          <w:lang w:val="fr-CH"/>
        </w:rPr>
        <w:t>recommande</w:t>
      </w:r>
      <w:r>
        <w:rPr>
          <w:lang w:val="fr-CH"/>
        </w:rPr>
        <w:t xml:space="preserve"> continueront peut-être d'être déployés</w:t>
      </w:r>
      <w:r w:rsidRPr="008606E1">
        <w:rPr>
          <w:lang w:val="fr-CH"/>
        </w:rPr>
        <w:t>,</w:t>
      </w:r>
    </w:p>
    <w:p w:rsidR="00411740" w:rsidRPr="00006CB5" w:rsidRDefault="00411740" w:rsidP="00411740">
      <w:pPr>
        <w:pStyle w:val="Call"/>
        <w:rPr>
          <w:lang w:val="fr-CH"/>
        </w:rPr>
      </w:pPr>
      <w:r w:rsidRPr="00006CB5">
        <w:rPr>
          <w:lang w:val="fr-CH"/>
        </w:rPr>
        <w:t>recommande</w:t>
      </w:r>
    </w:p>
    <w:p w:rsidR="00411740" w:rsidRPr="00767397" w:rsidRDefault="00411740" w:rsidP="00411740">
      <w:pPr>
        <w:rPr>
          <w:szCs w:val="24"/>
          <w:lang w:val="fr-CH"/>
        </w:rPr>
      </w:pPr>
      <w:r w:rsidRPr="00767397">
        <w:rPr>
          <w:lang w:val="fr-CH"/>
        </w:rPr>
        <w:t>1</w:t>
      </w:r>
      <w:r w:rsidRPr="00767397">
        <w:rPr>
          <w:lang w:val="fr-CH"/>
        </w:rPr>
        <w:tab/>
        <w:t>que les émissions hors bande d</w:t>
      </w:r>
      <w:r>
        <w:rPr>
          <w:lang w:val="fr-CH"/>
        </w:rPr>
        <w:t>'</w:t>
      </w:r>
      <w:r w:rsidRPr="00767397">
        <w:rPr>
          <w:lang w:val="fr-CH"/>
        </w:rPr>
        <w:t xml:space="preserve">une station mobile IMT </w:t>
      </w:r>
      <w:r>
        <w:rPr>
          <w:lang w:val="fr-CH"/>
        </w:rPr>
        <w:t>exploitée</w:t>
      </w:r>
      <w:r w:rsidRPr="00767397">
        <w:rPr>
          <w:lang w:val="fr-CH"/>
        </w:rPr>
        <w:t xml:space="preserve"> en Région</w:t>
      </w:r>
      <w:r>
        <w:rPr>
          <w:lang w:val="fr-CH"/>
        </w:rPr>
        <w:t xml:space="preserve"> 1</w:t>
      </w:r>
      <w:r w:rsidRPr="00767397">
        <w:rPr>
          <w:lang w:val="fr-CH"/>
        </w:rPr>
        <w:t xml:space="preserve"> dans la bande de fréquences 703-733 MHz </w:t>
      </w:r>
      <w:r w:rsidRPr="00767397">
        <w:rPr>
          <w:szCs w:val="24"/>
          <w:lang w:val="fr-CH"/>
        </w:rPr>
        <w:t>avec une largeur de bande de canal IMT</w:t>
      </w:r>
      <w:r>
        <w:rPr>
          <w:szCs w:val="24"/>
          <w:lang w:val="fr-CH"/>
        </w:rPr>
        <w:t xml:space="preserve"> supérieure à</w:t>
      </w:r>
      <w:r w:rsidRPr="00767397">
        <w:rPr>
          <w:szCs w:val="24"/>
          <w:lang w:val="fr-CH"/>
        </w:rPr>
        <w:t xml:space="preserve"> 10 MHz</w:t>
      </w:r>
      <w:r>
        <w:rPr>
          <w:lang w:val="fr-CH"/>
        </w:rPr>
        <w:t xml:space="preserve"> ne dépassent pas –</w:t>
      </w:r>
      <w:r w:rsidRPr="00767397">
        <w:rPr>
          <w:lang w:val="fr-CH"/>
        </w:rPr>
        <w:t>25 dBm/8 MHz</w:t>
      </w:r>
      <w:r>
        <w:rPr>
          <w:lang w:val="fr-CH"/>
        </w:rPr>
        <w:t xml:space="preserve"> dans la bande de fréquences </w:t>
      </w:r>
      <w:r w:rsidRPr="00767397">
        <w:rPr>
          <w:lang w:val="fr-CH"/>
        </w:rPr>
        <w:t>470-694 MHz;</w:t>
      </w:r>
      <w:r w:rsidRPr="00767397">
        <w:rPr>
          <w:szCs w:val="24"/>
          <w:lang w:val="fr-CH"/>
        </w:rPr>
        <w:t xml:space="preserve"> </w:t>
      </w:r>
    </w:p>
    <w:p w:rsidR="00411740" w:rsidRPr="00767397" w:rsidRDefault="00411740" w:rsidP="00411740">
      <w:pPr>
        <w:rPr>
          <w:szCs w:val="24"/>
          <w:lang w:val="fr-CH"/>
        </w:rPr>
      </w:pPr>
      <w:r w:rsidRPr="00767397">
        <w:rPr>
          <w:szCs w:val="24"/>
          <w:lang w:val="fr-CH"/>
        </w:rPr>
        <w:t>2</w:t>
      </w:r>
      <w:r w:rsidRPr="00767397">
        <w:rPr>
          <w:szCs w:val="24"/>
          <w:lang w:val="fr-CH"/>
        </w:rPr>
        <w:tab/>
      </w:r>
      <w:r w:rsidRPr="00767397">
        <w:rPr>
          <w:lang w:val="fr-CH"/>
        </w:rPr>
        <w:t>que les émissions hors bande d</w:t>
      </w:r>
      <w:r>
        <w:rPr>
          <w:lang w:val="fr-CH"/>
        </w:rPr>
        <w:t>'</w:t>
      </w:r>
      <w:r w:rsidRPr="00767397">
        <w:rPr>
          <w:lang w:val="fr-CH"/>
        </w:rPr>
        <w:t xml:space="preserve">une station mobile IMT </w:t>
      </w:r>
      <w:r>
        <w:rPr>
          <w:lang w:val="fr-CH"/>
        </w:rPr>
        <w:t>exploitée</w:t>
      </w:r>
      <w:r w:rsidRPr="00767397">
        <w:rPr>
          <w:lang w:val="fr-CH"/>
        </w:rPr>
        <w:t xml:space="preserve"> en Région</w:t>
      </w:r>
      <w:r>
        <w:rPr>
          <w:lang w:val="fr-CH"/>
        </w:rPr>
        <w:t xml:space="preserve"> 1</w:t>
      </w:r>
      <w:r w:rsidRPr="00767397">
        <w:rPr>
          <w:lang w:val="fr-CH"/>
        </w:rPr>
        <w:t xml:space="preserve"> dans la bande de fréquences 703-733 MHz </w:t>
      </w:r>
      <w:r w:rsidRPr="00767397">
        <w:rPr>
          <w:szCs w:val="24"/>
          <w:lang w:val="fr-CH"/>
        </w:rPr>
        <w:t>avec une largeur de bande de canal IMT</w:t>
      </w:r>
      <w:r>
        <w:rPr>
          <w:szCs w:val="24"/>
          <w:lang w:val="fr-CH"/>
        </w:rPr>
        <w:t xml:space="preserve"> égale ou inférieure à 10 </w:t>
      </w:r>
      <w:r w:rsidRPr="00767397">
        <w:rPr>
          <w:szCs w:val="24"/>
          <w:lang w:val="fr-CH"/>
        </w:rPr>
        <w:t>MHz</w:t>
      </w:r>
      <w:r>
        <w:rPr>
          <w:lang w:val="fr-CH"/>
        </w:rPr>
        <w:t xml:space="preserve"> ne dépassent pas </w:t>
      </w:r>
      <w:r>
        <w:rPr>
          <w:szCs w:val="24"/>
          <w:lang w:val="fr-CH"/>
        </w:rPr>
        <w:t>–</w:t>
      </w:r>
      <w:r w:rsidRPr="00767397">
        <w:rPr>
          <w:szCs w:val="24"/>
          <w:lang w:val="fr-CH"/>
        </w:rPr>
        <w:t>42 dBm/8 MHz</w:t>
      </w:r>
      <w:r>
        <w:rPr>
          <w:szCs w:val="24"/>
          <w:lang w:val="fr-CH"/>
        </w:rPr>
        <w:t xml:space="preserve"> dans la bande de fréquences </w:t>
      </w:r>
      <w:r w:rsidRPr="00767397">
        <w:rPr>
          <w:szCs w:val="24"/>
          <w:lang w:val="fr-CH"/>
        </w:rPr>
        <w:t>470-694 MHz;</w:t>
      </w:r>
    </w:p>
    <w:p w:rsidR="00411740" w:rsidRDefault="00411740" w:rsidP="00411740">
      <w:pPr>
        <w:rPr>
          <w:lang w:val="fr-CH"/>
        </w:rPr>
      </w:pPr>
      <w:r w:rsidRPr="00E15754">
        <w:rPr>
          <w:lang w:val="fr-CH"/>
        </w:rPr>
        <w:t>3</w:t>
      </w:r>
      <w:r w:rsidRPr="00E15754">
        <w:rPr>
          <w:lang w:val="fr-CH"/>
        </w:rPr>
        <w:tab/>
        <w:t xml:space="preserve">que les administrations tiennent compte des points 1 et 2 du </w:t>
      </w:r>
      <w:r w:rsidRPr="00E15754">
        <w:rPr>
          <w:i/>
          <w:iCs/>
          <w:lang w:val="fr-CH"/>
        </w:rPr>
        <w:t>recommande</w:t>
      </w:r>
      <w:r w:rsidRPr="00E15754">
        <w:rPr>
          <w:lang w:val="fr-CH"/>
        </w:rPr>
        <w:t xml:space="preserve"> lorsqu</w:t>
      </w:r>
      <w:r>
        <w:rPr>
          <w:lang w:val="fr-CH"/>
        </w:rPr>
        <w:t>'</w:t>
      </w:r>
      <w:r w:rsidRPr="00E15754">
        <w:rPr>
          <w:lang w:val="fr-CH"/>
        </w:rPr>
        <w:t>elles décideront de la largeur de bande de canal pertinente.</w:t>
      </w:r>
    </w:p>
    <w:p w:rsidR="00411740" w:rsidRDefault="00411740" w:rsidP="00411740"/>
    <w:p w:rsidR="00312771" w:rsidRPr="00411740" w:rsidRDefault="00411740" w:rsidP="00411740">
      <w:pPr>
        <w:jc w:val="center"/>
      </w:pPr>
      <w:r>
        <w:t>______________</w:t>
      </w:r>
    </w:p>
    <w:sectPr w:rsidR="00312771" w:rsidRPr="0041174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70" w:rsidRDefault="00290A70">
      <w:r>
        <w:separator/>
      </w:r>
    </w:p>
  </w:endnote>
  <w:endnote w:type="continuationSeparator" w:id="0">
    <w:p w:rsidR="00290A70" w:rsidRDefault="0029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7262C2" w:rsidRDefault="00EC0EB4">
    <w:pPr>
      <w:rPr>
        <w:lang w:val="es-ES_tradnl"/>
      </w:rPr>
    </w:pPr>
    <w:r>
      <w:fldChar w:fldCharType="begin"/>
    </w:r>
    <w:r w:rsidRPr="007262C2">
      <w:rPr>
        <w:lang w:val="es-ES_tradnl"/>
      </w:rPr>
      <w:instrText xml:space="preserve"> FILENAME \p  \* MERGEFORMAT </w:instrText>
    </w:r>
    <w:r>
      <w:fldChar w:fldCharType="separate"/>
    </w:r>
    <w:r w:rsidR="0029252B">
      <w:rPr>
        <w:noProof/>
        <w:lang w:val="es-ES_tradnl"/>
      </w:rPr>
      <w:t>P:\FRA\ITU-R\CONF-R\AR15\PLEN\000\013F.docx</w:t>
    </w:r>
    <w:r>
      <w:fldChar w:fldCharType="end"/>
    </w:r>
    <w:r w:rsidRPr="007262C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252B">
      <w:rPr>
        <w:noProof/>
      </w:rPr>
      <w:t>19.10.15</w:t>
    </w:r>
    <w:r>
      <w:fldChar w:fldCharType="end"/>
    </w:r>
    <w:r w:rsidRPr="007262C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252B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A43297" w:rsidRDefault="00EC0EB4" w:rsidP="00A43297">
    <w:pPr>
      <w:pStyle w:val="Footer"/>
      <w:rPr>
        <w:lang w:val="es-ES_tradnl"/>
      </w:rPr>
    </w:pPr>
    <w:r>
      <w:fldChar w:fldCharType="begin"/>
    </w:r>
    <w:r w:rsidRPr="00A43297">
      <w:rPr>
        <w:lang w:val="es-ES_tradnl"/>
      </w:rPr>
      <w:instrText xml:space="preserve"> FILENAME \p  \* MERGEFORMAT </w:instrText>
    </w:r>
    <w:r>
      <w:fldChar w:fldCharType="separate"/>
    </w:r>
    <w:r w:rsidR="0029252B">
      <w:rPr>
        <w:lang w:val="es-ES_tradnl"/>
      </w:rPr>
      <w:t>P:\FRA\ITU-R\CONF-R\AR15\PLEN\000\013F.docx</w:t>
    </w:r>
    <w:r>
      <w:fldChar w:fldCharType="end"/>
    </w:r>
    <w:r w:rsidR="004F3EF6" w:rsidRPr="00A43297">
      <w:rPr>
        <w:lang w:val="es-ES_tradnl"/>
      </w:rPr>
      <w:t xml:space="preserve"> (387606)</w:t>
    </w:r>
    <w:r w:rsidRPr="00A4329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252B">
      <w:t>19.10.15</w:t>
    </w:r>
    <w:r>
      <w:fldChar w:fldCharType="end"/>
    </w:r>
    <w:r w:rsidRPr="00A4329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252B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A43297" w:rsidRDefault="00EC0EB4" w:rsidP="00A43297">
    <w:pPr>
      <w:pStyle w:val="Footer"/>
      <w:rPr>
        <w:lang w:val="es-ES_tradnl"/>
      </w:rPr>
    </w:pPr>
    <w:r>
      <w:fldChar w:fldCharType="begin"/>
    </w:r>
    <w:r w:rsidRPr="00A43297">
      <w:rPr>
        <w:lang w:val="es-ES_tradnl"/>
      </w:rPr>
      <w:instrText xml:space="preserve"> FILENAME \p  \* MERGEFORMAT </w:instrText>
    </w:r>
    <w:r>
      <w:fldChar w:fldCharType="separate"/>
    </w:r>
    <w:r w:rsidR="0029252B">
      <w:rPr>
        <w:lang w:val="es-ES_tradnl"/>
      </w:rPr>
      <w:t>P:\FRA\ITU-R\CONF-R\AR15\PLEN\000\013F.docx</w:t>
    </w:r>
    <w:r>
      <w:fldChar w:fldCharType="end"/>
    </w:r>
    <w:r w:rsidR="004F3EF6" w:rsidRPr="00A43297">
      <w:rPr>
        <w:lang w:val="es-ES_tradnl"/>
      </w:rPr>
      <w:t xml:space="preserve"> (387606)</w:t>
    </w:r>
    <w:r w:rsidRPr="00A4329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252B">
      <w:t>19.10.15</w:t>
    </w:r>
    <w:r>
      <w:fldChar w:fldCharType="end"/>
    </w:r>
    <w:r w:rsidRPr="00A4329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252B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70" w:rsidRDefault="00290A70">
      <w:r>
        <w:rPr>
          <w:b/>
        </w:rPr>
        <w:t>_______________</w:t>
      </w:r>
    </w:p>
  </w:footnote>
  <w:footnote w:type="continuationSeparator" w:id="0">
    <w:p w:rsidR="00290A70" w:rsidRDefault="0029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A4" w:rsidRDefault="007956A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9252B">
      <w:rPr>
        <w:noProof/>
      </w:rPr>
      <w:t>2</w:t>
    </w:r>
    <w:r>
      <w:fldChar w:fldCharType="end"/>
    </w:r>
  </w:p>
  <w:p w:rsidR="007956A4" w:rsidRDefault="0027109C">
    <w:pPr>
      <w:pStyle w:val="Header"/>
    </w:pPr>
    <w:r>
      <w:t>RA15/PLEN</w:t>
    </w:r>
    <w:r w:rsidR="007262C2">
      <w:t>/13-F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A4"/>
    <w:rsid w:val="00006711"/>
    <w:rsid w:val="0001459C"/>
    <w:rsid w:val="00021584"/>
    <w:rsid w:val="000B1F11"/>
    <w:rsid w:val="0013523C"/>
    <w:rsid w:val="00137A3B"/>
    <w:rsid w:val="00160694"/>
    <w:rsid w:val="0018515B"/>
    <w:rsid w:val="00223DF9"/>
    <w:rsid w:val="0027109C"/>
    <w:rsid w:val="00290A70"/>
    <w:rsid w:val="0029252B"/>
    <w:rsid w:val="00312771"/>
    <w:rsid w:val="003638F9"/>
    <w:rsid w:val="003644F8"/>
    <w:rsid w:val="00411740"/>
    <w:rsid w:val="00451C50"/>
    <w:rsid w:val="004F3EF6"/>
    <w:rsid w:val="004F664E"/>
    <w:rsid w:val="00530E6D"/>
    <w:rsid w:val="005A46FB"/>
    <w:rsid w:val="006B7103"/>
    <w:rsid w:val="006E6691"/>
    <w:rsid w:val="006F73A7"/>
    <w:rsid w:val="007262C2"/>
    <w:rsid w:val="007956A4"/>
    <w:rsid w:val="00800C3F"/>
    <w:rsid w:val="00840A51"/>
    <w:rsid w:val="00852305"/>
    <w:rsid w:val="00891C45"/>
    <w:rsid w:val="008962EE"/>
    <w:rsid w:val="008C5FD1"/>
    <w:rsid w:val="009267DE"/>
    <w:rsid w:val="009A0D66"/>
    <w:rsid w:val="009D2921"/>
    <w:rsid w:val="00A43297"/>
    <w:rsid w:val="00A769F2"/>
    <w:rsid w:val="00A91D7D"/>
    <w:rsid w:val="00AD26C8"/>
    <w:rsid w:val="00B22A1C"/>
    <w:rsid w:val="00B82926"/>
    <w:rsid w:val="00BC406B"/>
    <w:rsid w:val="00BD3896"/>
    <w:rsid w:val="00D278A9"/>
    <w:rsid w:val="00D32DD4"/>
    <w:rsid w:val="00D54910"/>
    <w:rsid w:val="00DC4CBD"/>
    <w:rsid w:val="00EC0EB4"/>
    <w:rsid w:val="00F60FB8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CC9443A-B2E5-498A-AC3E-C626810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Normalaftertitle0">
    <w:name w:val="Normal_after_title"/>
    <w:basedOn w:val="Normal"/>
    <w:next w:val="Normal"/>
    <w:link w:val="NormalaftertitleChar"/>
    <w:rsid w:val="007956A4"/>
    <w:pPr>
      <w:spacing w:before="360"/>
    </w:pPr>
    <w:rPr>
      <w:lang w:val="en-GB"/>
    </w:rPr>
  </w:style>
  <w:style w:type="character" w:styleId="Hyperlink">
    <w:name w:val="Hyperlink"/>
    <w:basedOn w:val="DefaultParagraphFont"/>
    <w:rsid w:val="007956A4"/>
    <w:rPr>
      <w:color w:val="0000FF" w:themeColor="hyperlink"/>
      <w:u w:val="single"/>
    </w:rPr>
  </w:style>
  <w:style w:type="character" w:customStyle="1" w:styleId="enumlev1Char">
    <w:name w:val="enumlev1 Char"/>
    <w:link w:val="enumlev1"/>
    <w:locked/>
    <w:rsid w:val="007956A4"/>
    <w:rPr>
      <w:rFonts w:ascii="Times New Roman" w:hAnsi="Times New Roman"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7956A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7956A4"/>
    <w:rPr>
      <w:rFonts w:ascii="Times New Roman" w:hAnsi="Times New Roman"/>
      <w:i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locked/>
    <w:rsid w:val="007956A4"/>
    <w:rPr>
      <w:rFonts w:ascii="Times New Roman Bold" w:hAnsi="Times New Roman Bold"/>
      <w:b/>
      <w:sz w:val="28"/>
      <w:lang w:val="fr-FR" w:eastAsia="en-US"/>
    </w:rPr>
  </w:style>
  <w:style w:type="character" w:customStyle="1" w:styleId="HeadingbChar">
    <w:name w:val="Heading_b Char"/>
    <w:link w:val="Headingb"/>
    <w:locked/>
    <w:rsid w:val="00411740"/>
    <w:rPr>
      <w:b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021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9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-02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127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31</TotalTime>
  <Pages>4</Pages>
  <Words>1508</Words>
  <Characters>8573</Characters>
  <Application>Microsoft Office Word</Application>
  <DocSecurity>0</DocSecurity>
  <Lines>154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10040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Meda, Sylvie</dc:creator>
  <cp:keywords/>
  <dc:description>PF_RA07.dot  Pour: _x000d_Date du document: _x000d_Enregistré par MM-43480 à 16:09:12 le 16.10.07</dc:description>
  <cp:lastModifiedBy>Royer, Veronique</cp:lastModifiedBy>
  <cp:revision>9</cp:revision>
  <cp:lastPrinted>2015-10-19T08:57:00Z</cp:lastPrinted>
  <dcterms:created xsi:type="dcterms:W3CDTF">2015-10-19T07:47:00Z</dcterms:created>
  <dcterms:modified xsi:type="dcterms:W3CDTF">2015-10-19T08:58:00Z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