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7C5A57">
            <w:pPr>
              <w:spacing w:before="400" w:after="48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1A50F9" w:rsidP="007C5A57">
            <w:pPr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244718D" wp14:editId="66C4E3D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A314F0" w:rsidP="007C5A5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7C5A5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7C5A57">
            <w:pPr>
              <w:spacing w:before="0" w:after="48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7C5A57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026535" w:rsidRDefault="00026535" w:rsidP="007C5A57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26535"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563" w:type="dxa"/>
          </w:tcPr>
          <w:p w:rsidR="00943EBD" w:rsidRPr="00877D12" w:rsidRDefault="00943EBD" w:rsidP="007C5A57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9D6097">
              <w:rPr>
                <w:rFonts w:ascii="Verdana" w:hAnsi="Verdana"/>
                <w:b/>
                <w:sz w:val="20"/>
              </w:rPr>
              <w:t>RA15/PLEN/</w:t>
            </w:r>
            <w:r w:rsidR="000E5BFC">
              <w:rPr>
                <w:rFonts w:ascii="Verdana" w:hAnsi="Verdana"/>
                <w:b/>
                <w:sz w:val="20"/>
              </w:rPr>
              <w:t>14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 w:rsidP="007C5A57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877D12" w:rsidRDefault="00943EBD" w:rsidP="007C5A57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0E5BFC"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0E5BFC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 w:rsidP="007C5A57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877D12" w:rsidRDefault="001F1D01" w:rsidP="007C5A57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>
              <w:rPr>
                <w:rFonts w:ascii="Verdana" w:hAnsi="Verdana"/>
                <w:b/>
                <w:sz w:val="20"/>
                <w:lang w:eastAsia="zh-CN"/>
              </w:rPr>
              <w:t>：英文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9271CE" w:rsidRDefault="004C5916" w:rsidP="007C5A57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阿拉伯国家</w:t>
            </w:r>
            <w:r w:rsidR="000A474D">
              <w:rPr>
                <w:rStyle w:val="FootnoteReference"/>
              </w:rPr>
              <w:footnoteReference w:id="1"/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2C2AE9" w:rsidRDefault="00F350E6" w:rsidP="00F350E6">
            <w:pPr>
              <w:pStyle w:val="Title1"/>
              <w:rPr>
                <w:lang w:val="en-US"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lang w:val="en-US" w:eastAsia="zh-CN"/>
              </w:rPr>
              <w:t>有</w:t>
            </w:r>
            <w:r w:rsidR="0064737E">
              <w:rPr>
                <w:rFonts w:hint="eastAsia"/>
                <w:lang w:val="en-US" w:eastAsia="zh-CN"/>
              </w:rPr>
              <w:t>关</w:t>
            </w:r>
            <w:r w:rsidR="0064737E">
              <w:rPr>
                <w:lang w:val="en-US" w:eastAsia="zh-CN"/>
              </w:rPr>
              <w:t>无线电通信全会工作的提案</w:t>
            </w:r>
          </w:p>
        </w:tc>
      </w:tr>
      <w:tr w:rsidR="000A474D" w:rsidRPr="00877D12">
        <w:trPr>
          <w:cantSplit/>
        </w:trPr>
        <w:tc>
          <w:tcPr>
            <w:tcW w:w="10031" w:type="dxa"/>
            <w:gridSpan w:val="2"/>
          </w:tcPr>
          <w:p w:rsidR="000A474D" w:rsidRDefault="004B6488" w:rsidP="007C5A57">
            <w:pPr>
              <w:pStyle w:val="Title2"/>
              <w:rPr>
                <w:lang w:val="en-US" w:eastAsia="zh-CN"/>
              </w:rPr>
            </w:pPr>
            <w:r w:rsidRPr="000A474D">
              <w:rPr>
                <w:lang w:val="en-US" w:eastAsia="zh-CN"/>
              </w:rPr>
              <w:t>ITU-R M.1036-4</w:t>
            </w:r>
            <w:r w:rsidR="002F7BB7">
              <w:rPr>
                <w:lang w:val="en-US" w:eastAsia="zh-CN"/>
              </w:rPr>
              <w:t>新建议</w:t>
            </w:r>
            <w:r w:rsidR="00F350E6">
              <w:rPr>
                <w:rFonts w:hint="eastAsia"/>
                <w:lang w:val="en-US" w:eastAsia="zh-CN"/>
              </w:rPr>
              <w:t>书</w:t>
            </w:r>
            <w:r w:rsidR="002F7BB7">
              <w:rPr>
                <w:lang w:val="en-US" w:eastAsia="zh-CN"/>
              </w:rPr>
              <w:t>草案</w:t>
            </w:r>
            <w:r w:rsidR="00F350E6">
              <w:rPr>
                <w:rFonts w:hint="eastAsia"/>
                <w:lang w:val="en-US" w:eastAsia="zh-CN"/>
              </w:rPr>
              <w:t>的批准</w:t>
            </w:r>
          </w:p>
        </w:tc>
      </w:tr>
      <w:tr w:rsidR="000A474D" w:rsidRPr="00877D12">
        <w:trPr>
          <w:cantSplit/>
        </w:trPr>
        <w:tc>
          <w:tcPr>
            <w:tcW w:w="10031" w:type="dxa"/>
            <w:gridSpan w:val="2"/>
          </w:tcPr>
          <w:p w:rsidR="000A474D" w:rsidRDefault="000A474D" w:rsidP="007C5A57">
            <w:pPr>
              <w:pStyle w:val="Title3"/>
              <w:rPr>
                <w:lang w:val="en-US" w:eastAsia="zh-CN"/>
              </w:rPr>
            </w:pPr>
          </w:p>
        </w:tc>
      </w:tr>
    </w:tbl>
    <w:p w:rsidR="00D95B28" w:rsidRDefault="00D95B28" w:rsidP="007C5A57">
      <w:pPr>
        <w:pStyle w:val="Heading1"/>
        <w:rPr>
          <w:lang w:eastAsia="zh-CN"/>
        </w:rPr>
      </w:pPr>
      <w:bookmarkStart w:id="9" w:name="_Toc427228984"/>
      <w:bookmarkStart w:id="10" w:name="_Toc427235862"/>
      <w:bookmarkEnd w:id="8"/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:rsidR="001D6975" w:rsidRPr="00131E17" w:rsidRDefault="000615B2" w:rsidP="0054328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lang w:eastAsia="zh-CN"/>
        </w:rPr>
        <w:t>研究组主席</w:t>
      </w:r>
      <w:r w:rsidR="00F350E6">
        <w:rPr>
          <w:rFonts w:hint="eastAsia"/>
          <w:lang w:eastAsia="zh-CN"/>
        </w:rPr>
        <w:t>将</w:t>
      </w:r>
      <w:r w:rsidRPr="00DB7F60">
        <w:rPr>
          <w:color w:val="000000"/>
          <w:lang w:eastAsia="zh-CN"/>
        </w:rPr>
        <w:t>ITU-R M.1036-4</w:t>
      </w:r>
      <w:r w:rsidR="00F350E6">
        <w:rPr>
          <w:rFonts w:hint="eastAsia"/>
          <w:color w:val="000000"/>
          <w:lang w:eastAsia="zh-CN"/>
        </w:rPr>
        <w:t>建议书</w:t>
      </w:r>
      <w:r w:rsidR="00F350E6">
        <w:rPr>
          <w:color w:val="000000"/>
          <w:lang w:eastAsia="zh-CN"/>
        </w:rPr>
        <w:t>的拟议修订</w:t>
      </w:r>
      <w:r>
        <w:rPr>
          <w:color w:val="000000"/>
          <w:lang w:eastAsia="zh-CN"/>
        </w:rPr>
        <w:t>草案（</w:t>
      </w:r>
      <w:r w:rsidRPr="00FB721F">
        <w:rPr>
          <w:lang w:eastAsia="zh-CN"/>
        </w:rPr>
        <w:t>RA</w:t>
      </w:r>
      <w:r>
        <w:rPr>
          <w:lang w:eastAsia="zh-CN"/>
        </w:rPr>
        <w:t>-15</w:t>
      </w:r>
      <w:r w:rsidR="00F350E6">
        <w:rPr>
          <w:lang w:eastAsia="zh-CN"/>
        </w:rPr>
        <w:t xml:space="preserve"> </w:t>
      </w:r>
      <w:hyperlink r:id="rId9" w:history="1">
        <w:r w:rsidRPr="00B66A25">
          <w:rPr>
            <w:rStyle w:val="Hyperlink"/>
            <w:lang w:eastAsia="zh-CN"/>
          </w:rPr>
          <w:t>5/1008</w:t>
        </w:r>
      </w:hyperlink>
      <w:r w:rsidR="00F350E6">
        <w:rPr>
          <w:rFonts w:hint="eastAsia"/>
          <w:lang w:eastAsia="zh-CN"/>
        </w:rPr>
        <w:t>号文件</w:t>
      </w:r>
      <w:r>
        <w:rPr>
          <w:color w:val="000000"/>
          <w:lang w:eastAsia="zh-CN"/>
        </w:rPr>
        <w:t>）</w:t>
      </w:r>
      <w:r w:rsidR="00F350E6">
        <w:rPr>
          <w:rFonts w:hint="eastAsia"/>
          <w:color w:val="000000"/>
          <w:lang w:eastAsia="zh-CN"/>
        </w:rPr>
        <w:t>提交</w:t>
      </w:r>
      <w:r w:rsidR="0067178D">
        <w:rPr>
          <w:lang w:eastAsia="zh-CN"/>
        </w:rPr>
        <w:t>无线电通信全会</w:t>
      </w:r>
      <w:r w:rsidR="0067178D">
        <w:rPr>
          <w:rFonts w:hint="eastAsia"/>
          <w:lang w:eastAsia="zh-CN"/>
        </w:rPr>
        <w:t>批准</w:t>
      </w:r>
      <w:r w:rsidR="0067178D">
        <w:rPr>
          <w:lang w:eastAsia="zh-CN"/>
        </w:rPr>
        <w:t>。</w:t>
      </w:r>
      <w:r w:rsidR="00813FEC">
        <w:rPr>
          <w:rFonts w:hint="eastAsia"/>
          <w:lang w:eastAsia="zh-CN"/>
        </w:rPr>
        <w:t>及时</w:t>
      </w:r>
      <w:r w:rsidR="00F350E6">
        <w:rPr>
          <w:rFonts w:hint="eastAsia"/>
          <w:lang w:eastAsia="zh-CN"/>
        </w:rPr>
        <w:t>提供</w:t>
      </w:r>
      <w:r w:rsidR="00813FEC" w:rsidRPr="00DB7F60">
        <w:rPr>
          <w:color w:val="000000"/>
          <w:lang w:eastAsia="zh-CN"/>
        </w:rPr>
        <w:t>ITU-R M.1036-4</w:t>
      </w:r>
      <w:r w:rsidR="00F350E6">
        <w:rPr>
          <w:lang w:eastAsia="zh-CN"/>
        </w:rPr>
        <w:t>修订</w:t>
      </w:r>
      <w:r w:rsidR="00813FEC">
        <w:rPr>
          <w:rFonts w:hint="eastAsia"/>
          <w:color w:val="000000"/>
          <w:lang w:eastAsia="zh-CN"/>
        </w:rPr>
        <w:t>建议书</w:t>
      </w:r>
      <w:r w:rsidR="00813FEC">
        <w:rPr>
          <w:color w:val="000000"/>
          <w:lang w:eastAsia="zh-CN"/>
        </w:rPr>
        <w:t>对</w:t>
      </w:r>
      <w:r w:rsidR="00813FEC">
        <w:rPr>
          <w:rFonts w:hint="eastAsia"/>
          <w:color w:val="000000"/>
          <w:lang w:eastAsia="zh-CN"/>
        </w:rPr>
        <w:t>于</w:t>
      </w:r>
      <w:r w:rsidR="0011178A">
        <w:rPr>
          <w:rFonts w:hint="eastAsia"/>
          <w:color w:val="000000"/>
          <w:lang w:eastAsia="zh-CN"/>
        </w:rPr>
        <w:t>制定</w:t>
      </w:r>
      <w:r w:rsidR="0011178A">
        <w:rPr>
          <w:color w:val="000000"/>
          <w:lang w:eastAsia="zh-CN"/>
        </w:rPr>
        <w:t>IMT</w:t>
      </w:r>
      <w:r w:rsidR="0011178A">
        <w:rPr>
          <w:rFonts w:hint="eastAsia"/>
          <w:color w:val="000000"/>
          <w:lang w:eastAsia="zh-CN"/>
        </w:rPr>
        <w:t>的</w:t>
      </w:r>
      <w:r w:rsidR="0011178A">
        <w:rPr>
          <w:color w:val="000000"/>
          <w:lang w:eastAsia="zh-CN"/>
        </w:rPr>
        <w:t>规范和标准以及</w:t>
      </w:r>
      <w:r w:rsidR="0011178A">
        <w:rPr>
          <w:rFonts w:hint="eastAsia"/>
          <w:color w:val="000000"/>
          <w:lang w:eastAsia="zh-CN"/>
        </w:rPr>
        <w:t>主管部门</w:t>
      </w:r>
      <w:r w:rsidR="0011178A">
        <w:rPr>
          <w:color w:val="000000"/>
          <w:lang w:eastAsia="zh-CN"/>
        </w:rPr>
        <w:t>和区域组织</w:t>
      </w:r>
      <w:r w:rsidR="0011178A">
        <w:rPr>
          <w:rFonts w:hint="eastAsia"/>
          <w:color w:val="000000"/>
          <w:lang w:eastAsia="zh-CN"/>
        </w:rPr>
        <w:t>为</w:t>
      </w:r>
      <w:r w:rsidR="0054328B">
        <w:rPr>
          <w:rFonts w:hint="eastAsia"/>
          <w:color w:val="000000"/>
          <w:lang w:eastAsia="zh-CN"/>
        </w:rPr>
        <w:t>各国</w:t>
      </w:r>
      <w:r w:rsidR="009C19ED">
        <w:rPr>
          <w:rFonts w:hint="eastAsia"/>
          <w:color w:val="000000"/>
          <w:lang w:eastAsia="zh-CN"/>
        </w:rPr>
        <w:t>或</w:t>
      </w:r>
      <w:r w:rsidR="004505CF">
        <w:rPr>
          <w:rFonts w:hint="eastAsia"/>
          <w:color w:val="000000"/>
          <w:lang w:eastAsia="zh-CN"/>
        </w:rPr>
        <w:t>各</w:t>
      </w:r>
      <w:r w:rsidR="0054328B">
        <w:rPr>
          <w:rFonts w:hint="eastAsia"/>
          <w:color w:val="000000"/>
          <w:lang w:eastAsia="zh-CN"/>
        </w:rPr>
        <w:t>区域</w:t>
      </w:r>
      <w:r w:rsidR="0011178A">
        <w:rPr>
          <w:rFonts w:hint="eastAsia"/>
          <w:color w:val="000000"/>
          <w:lang w:eastAsia="zh-CN"/>
        </w:rPr>
        <w:t>尽早</w:t>
      </w:r>
      <w:r w:rsidR="0011178A">
        <w:rPr>
          <w:color w:val="000000"/>
          <w:lang w:eastAsia="zh-CN"/>
        </w:rPr>
        <w:t>考虑</w:t>
      </w:r>
      <w:r w:rsidR="0011178A">
        <w:rPr>
          <w:rFonts w:hint="eastAsia"/>
          <w:color w:val="000000"/>
          <w:lang w:eastAsia="zh-CN"/>
        </w:rPr>
        <w:t>适当</w:t>
      </w:r>
      <w:r w:rsidR="00F350E6">
        <w:rPr>
          <w:color w:val="000000"/>
          <w:lang w:eastAsia="zh-CN"/>
        </w:rPr>
        <w:t>的</w:t>
      </w:r>
      <w:r w:rsidR="00F350E6">
        <w:rPr>
          <w:rFonts w:hint="eastAsia"/>
          <w:color w:val="000000"/>
          <w:lang w:eastAsia="zh-CN"/>
        </w:rPr>
        <w:t>频率</w:t>
      </w:r>
      <w:r w:rsidR="00F350E6">
        <w:rPr>
          <w:color w:val="000000"/>
          <w:lang w:eastAsia="zh-CN"/>
        </w:rPr>
        <w:t>安排</w:t>
      </w:r>
      <w:r w:rsidR="00813FEC">
        <w:rPr>
          <w:color w:val="000000"/>
          <w:lang w:eastAsia="zh-CN"/>
        </w:rPr>
        <w:t>至关重要。</w:t>
      </w:r>
      <w:r w:rsidR="00F350E6">
        <w:rPr>
          <w:rFonts w:hint="eastAsia"/>
          <w:color w:val="000000"/>
          <w:lang w:eastAsia="zh-CN"/>
        </w:rPr>
        <w:t>此修订草案亦</w:t>
      </w:r>
      <w:r w:rsidR="00F350E6">
        <w:rPr>
          <w:color w:val="000000"/>
          <w:lang w:eastAsia="zh-CN"/>
        </w:rPr>
        <w:t>与</w:t>
      </w:r>
      <w:r w:rsidR="0011178A">
        <w:rPr>
          <w:color w:val="000000"/>
          <w:lang w:eastAsia="zh-CN"/>
        </w:rPr>
        <w:t>WRC-15</w:t>
      </w:r>
      <w:r w:rsidR="0011178A">
        <w:rPr>
          <w:color w:val="000000"/>
          <w:lang w:eastAsia="zh-CN"/>
        </w:rPr>
        <w:t>议项</w:t>
      </w:r>
      <w:r w:rsidR="0011178A">
        <w:rPr>
          <w:rFonts w:hint="eastAsia"/>
          <w:color w:val="000000"/>
          <w:lang w:eastAsia="zh-CN"/>
        </w:rPr>
        <w:t>1.2</w:t>
      </w:r>
      <w:r w:rsidR="0011178A">
        <w:rPr>
          <w:rFonts w:hint="eastAsia"/>
          <w:color w:val="000000"/>
          <w:lang w:eastAsia="zh-CN"/>
        </w:rPr>
        <w:t>的</w:t>
      </w:r>
      <w:r w:rsidR="00F350E6">
        <w:rPr>
          <w:rFonts w:hint="eastAsia"/>
          <w:color w:val="000000"/>
          <w:lang w:eastAsia="zh-CN"/>
        </w:rPr>
        <w:t>一</w:t>
      </w:r>
      <w:r w:rsidR="00624283">
        <w:rPr>
          <w:color w:val="000000"/>
          <w:lang w:eastAsia="zh-CN"/>
        </w:rPr>
        <w:t>些部分</w:t>
      </w:r>
      <w:r w:rsidR="00624283">
        <w:rPr>
          <w:rFonts w:hint="eastAsia"/>
          <w:color w:val="000000"/>
          <w:lang w:eastAsia="zh-CN"/>
        </w:rPr>
        <w:t>有</w:t>
      </w:r>
      <w:r w:rsidR="0011178A">
        <w:rPr>
          <w:color w:val="000000"/>
          <w:lang w:eastAsia="zh-CN"/>
        </w:rPr>
        <w:t>关</w:t>
      </w:r>
      <w:r w:rsidR="00624283">
        <w:rPr>
          <w:rFonts w:hint="eastAsia"/>
          <w:color w:val="000000"/>
          <w:lang w:eastAsia="zh-CN"/>
        </w:rPr>
        <w:t>，</w:t>
      </w:r>
      <w:r w:rsidR="00F350E6">
        <w:rPr>
          <w:rFonts w:hint="eastAsia"/>
          <w:color w:val="000000"/>
          <w:lang w:eastAsia="zh-CN"/>
        </w:rPr>
        <w:t>该</w:t>
      </w:r>
      <w:r w:rsidR="00624283">
        <w:rPr>
          <w:rFonts w:hint="eastAsia"/>
          <w:color w:val="000000"/>
          <w:lang w:eastAsia="zh-CN"/>
        </w:rPr>
        <w:t>议项</w:t>
      </w:r>
      <w:r w:rsidR="00F350E6">
        <w:rPr>
          <w:rFonts w:hint="eastAsia"/>
          <w:color w:val="000000"/>
          <w:lang w:eastAsia="zh-CN"/>
        </w:rPr>
        <w:t>旨在</w:t>
      </w:r>
      <w:r w:rsidR="00624283" w:rsidRPr="00B576E6">
        <w:rPr>
          <w:rFonts w:hint="eastAsia"/>
          <w:lang w:eastAsia="zh-CN"/>
        </w:rPr>
        <w:t>审查</w:t>
      </w:r>
      <w:r w:rsidR="00624283" w:rsidRPr="00B576E6">
        <w:rPr>
          <w:rFonts w:hint="eastAsia"/>
          <w:lang w:eastAsia="zh-CN"/>
        </w:rPr>
        <w:t>ITU-R</w:t>
      </w:r>
      <w:r w:rsidR="00624283" w:rsidRPr="00B576E6">
        <w:rPr>
          <w:rFonts w:hint="eastAsia"/>
          <w:lang w:eastAsia="zh-CN"/>
        </w:rPr>
        <w:t>根据第</w:t>
      </w:r>
      <w:r w:rsidR="00624283" w:rsidRPr="00B576E6">
        <w:rPr>
          <w:rFonts w:hint="eastAsia"/>
          <w:b/>
          <w:bCs/>
          <w:lang w:eastAsia="zh-CN"/>
        </w:rPr>
        <w:t>232</w:t>
      </w:r>
      <w:r w:rsidR="00624283" w:rsidRPr="00B576E6">
        <w:rPr>
          <w:rFonts w:hint="eastAsia"/>
          <w:lang w:eastAsia="zh-CN"/>
        </w:rPr>
        <w:t>号决议</w:t>
      </w:r>
      <w:r w:rsidR="00624283" w:rsidRPr="00B576E6">
        <w:rPr>
          <w:rFonts w:hint="eastAsia"/>
          <w:b/>
          <w:bCs/>
          <w:lang w:eastAsia="zh-CN"/>
        </w:rPr>
        <w:t>（</w:t>
      </w:r>
      <w:r w:rsidR="00624283" w:rsidRPr="00B576E6">
        <w:rPr>
          <w:rFonts w:hint="eastAsia"/>
          <w:b/>
          <w:bCs/>
          <w:lang w:eastAsia="zh-CN"/>
        </w:rPr>
        <w:t>WRC-12</w:t>
      </w:r>
      <w:r w:rsidR="00624283" w:rsidRPr="00B576E6">
        <w:rPr>
          <w:rFonts w:hint="eastAsia"/>
          <w:b/>
          <w:bCs/>
          <w:lang w:eastAsia="zh-CN"/>
        </w:rPr>
        <w:t>）</w:t>
      </w:r>
      <w:r w:rsidR="00624283" w:rsidRPr="00B576E6">
        <w:rPr>
          <w:rFonts w:hint="eastAsia"/>
          <w:lang w:eastAsia="zh-CN"/>
        </w:rPr>
        <w:t>开展的、有关</w:t>
      </w:r>
      <w:r w:rsidR="00624283" w:rsidRPr="00B576E6">
        <w:rPr>
          <w:rFonts w:hint="eastAsia"/>
          <w:lang w:eastAsia="zh-CN"/>
        </w:rPr>
        <w:t>1</w:t>
      </w:r>
      <w:r w:rsidR="00624283" w:rsidRPr="00B576E6">
        <w:rPr>
          <w:rFonts w:hint="eastAsia"/>
          <w:lang w:eastAsia="zh-CN"/>
        </w:rPr>
        <w:t>区移动业务（航空移动除外）使用</w:t>
      </w:r>
      <w:r w:rsidR="00624283" w:rsidRPr="00B576E6">
        <w:rPr>
          <w:rFonts w:hint="eastAsia"/>
          <w:lang w:eastAsia="zh-CN"/>
        </w:rPr>
        <w:t>694-790 MHz</w:t>
      </w:r>
      <w:r w:rsidR="00624283" w:rsidRPr="00B576E6">
        <w:rPr>
          <w:rFonts w:hint="eastAsia"/>
          <w:lang w:eastAsia="zh-CN"/>
        </w:rPr>
        <w:t>频段的研究结果并采取适当措施</w:t>
      </w:r>
      <w:r w:rsidR="00624283">
        <w:rPr>
          <w:rFonts w:hint="eastAsia"/>
          <w:lang w:eastAsia="zh-CN"/>
        </w:rPr>
        <w:t>。</w:t>
      </w:r>
    </w:p>
    <w:p w:rsidR="00B542A1" w:rsidRPr="001E7FBD" w:rsidRDefault="00B542A1" w:rsidP="007C5A57">
      <w:pPr>
        <w:pStyle w:val="Heading1"/>
        <w:rPr>
          <w:lang w:eastAsia="zh-CN"/>
        </w:rPr>
      </w:pPr>
      <w:r w:rsidRPr="001E7FBD">
        <w:rPr>
          <w:lang w:eastAsia="zh-CN"/>
        </w:rPr>
        <w:t>2</w:t>
      </w:r>
      <w:r w:rsidRPr="001E7FBD">
        <w:rPr>
          <w:lang w:eastAsia="zh-CN"/>
        </w:rPr>
        <w:tab/>
      </w:r>
      <w:bookmarkEnd w:id="9"/>
      <w:bookmarkEnd w:id="10"/>
      <w:r w:rsidR="000A474D">
        <w:rPr>
          <w:rFonts w:hint="eastAsia"/>
          <w:lang w:eastAsia="zh-CN"/>
        </w:rPr>
        <w:t>背景</w:t>
      </w:r>
    </w:p>
    <w:p w:rsidR="00FC0429" w:rsidRDefault="000A474D" w:rsidP="00F350E6">
      <w:pPr>
        <w:ind w:firstLineChars="200" w:firstLine="480"/>
        <w:rPr>
          <w:color w:val="000000"/>
          <w:lang w:eastAsia="zh-CN"/>
        </w:rPr>
      </w:pPr>
      <w:r w:rsidRPr="006A3133">
        <w:rPr>
          <w:lang w:val="en-US" w:eastAsia="zh-CN"/>
        </w:rPr>
        <w:t>ITU-R M.1036</w:t>
      </w:r>
      <w:r w:rsidR="00B576E6">
        <w:rPr>
          <w:rFonts w:hint="eastAsia"/>
          <w:lang w:val="en-US" w:eastAsia="zh-CN"/>
        </w:rPr>
        <w:t>建议书</w:t>
      </w:r>
      <w:r w:rsidR="002F2D5F">
        <w:rPr>
          <w:rFonts w:hint="eastAsia"/>
          <w:lang w:val="en-US" w:eastAsia="zh-CN"/>
        </w:rPr>
        <w:t>为</w:t>
      </w:r>
      <w:r w:rsidR="00F350E6">
        <w:rPr>
          <w:rFonts w:hint="eastAsia"/>
          <w:lang w:val="en-US" w:eastAsia="zh-CN"/>
        </w:rPr>
        <w:t>在</w:t>
      </w:r>
      <w:r w:rsidR="0017607A">
        <w:rPr>
          <w:rFonts w:hint="eastAsia"/>
          <w:lang w:val="en-US" w:eastAsia="zh-CN"/>
        </w:rPr>
        <w:t>《无线电规则》</w:t>
      </w:r>
      <w:r w:rsidR="0054328B">
        <w:rPr>
          <w:rFonts w:hint="eastAsia"/>
          <w:lang w:val="en-US" w:eastAsia="zh-CN"/>
        </w:rPr>
        <w:t>中</w:t>
      </w:r>
      <w:r w:rsidR="00BA0F11">
        <w:rPr>
          <w:rFonts w:hint="eastAsia"/>
          <w:lang w:val="en-US" w:eastAsia="zh-CN"/>
        </w:rPr>
        <w:t>为</w:t>
      </w:r>
      <w:r w:rsidR="005C053A" w:rsidRPr="00B576E6">
        <w:rPr>
          <w:rFonts w:hint="eastAsia"/>
          <w:lang w:val="en-US" w:eastAsia="zh-CN"/>
        </w:rPr>
        <w:t>IMT</w:t>
      </w:r>
      <w:r w:rsidR="00F350E6">
        <w:rPr>
          <w:rFonts w:hint="eastAsia"/>
          <w:lang w:val="en-US" w:eastAsia="zh-CN"/>
        </w:rPr>
        <w:t>所</w:t>
      </w:r>
      <w:r w:rsidR="00BA0F11">
        <w:rPr>
          <w:rFonts w:hint="eastAsia"/>
          <w:lang w:val="en-US" w:eastAsia="zh-CN"/>
        </w:rPr>
        <w:t>确定</w:t>
      </w:r>
      <w:r w:rsidR="00B576E6" w:rsidRPr="00B576E6">
        <w:rPr>
          <w:rFonts w:hint="eastAsia"/>
          <w:lang w:val="en-US" w:eastAsia="zh-CN"/>
        </w:rPr>
        <w:t>频段内实现国际移动通信的地面部分</w:t>
      </w:r>
      <w:r w:rsidR="0017607A">
        <w:rPr>
          <w:rFonts w:hint="eastAsia"/>
          <w:lang w:val="en-US" w:eastAsia="zh-CN"/>
        </w:rPr>
        <w:t>提供了</w:t>
      </w:r>
      <w:r w:rsidR="00F350E6">
        <w:rPr>
          <w:rFonts w:hint="eastAsia"/>
          <w:lang w:val="en-US" w:eastAsia="zh-CN"/>
        </w:rPr>
        <w:t>频率</w:t>
      </w:r>
      <w:r w:rsidR="00B576E6" w:rsidRPr="00B576E6">
        <w:rPr>
          <w:rFonts w:hint="eastAsia"/>
          <w:lang w:val="en-US" w:eastAsia="zh-CN"/>
        </w:rPr>
        <w:t>安排</w:t>
      </w:r>
      <w:r w:rsidR="00B576E6">
        <w:rPr>
          <w:rFonts w:hint="eastAsia"/>
          <w:lang w:val="en-US" w:eastAsia="zh-CN"/>
        </w:rPr>
        <w:t>。</w:t>
      </w:r>
      <w:r w:rsidR="00F350E6">
        <w:rPr>
          <w:rFonts w:hint="eastAsia"/>
          <w:lang w:eastAsia="zh-CN"/>
        </w:rPr>
        <w:t>这些频率</w:t>
      </w:r>
      <w:r w:rsidR="00F350E6">
        <w:rPr>
          <w:lang w:eastAsia="zh-CN"/>
        </w:rPr>
        <w:t>安排的及时提供</w:t>
      </w:r>
      <w:r w:rsidR="00FC0429">
        <w:rPr>
          <w:color w:val="000000"/>
          <w:lang w:eastAsia="zh-CN"/>
        </w:rPr>
        <w:t>对</w:t>
      </w:r>
      <w:r w:rsidR="00FC0429">
        <w:rPr>
          <w:rFonts w:hint="eastAsia"/>
          <w:color w:val="000000"/>
          <w:lang w:eastAsia="zh-CN"/>
        </w:rPr>
        <w:t>于制定</w:t>
      </w:r>
      <w:r w:rsidR="00FC0429">
        <w:rPr>
          <w:color w:val="000000"/>
          <w:lang w:eastAsia="zh-CN"/>
        </w:rPr>
        <w:t>IMT</w:t>
      </w:r>
      <w:r w:rsidR="00FC0429">
        <w:rPr>
          <w:rFonts w:hint="eastAsia"/>
          <w:color w:val="000000"/>
          <w:lang w:eastAsia="zh-CN"/>
        </w:rPr>
        <w:t>的</w:t>
      </w:r>
      <w:r w:rsidR="00FC0429">
        <w:rPr>
          <w:color w:val="000000"/>
          <w:lang w:eastAsia="zh-CN"/>
        </w:rPr>
        <w:t>规范和标准以及</w:t>
      </w:r>
      <w:r w:rsidR="00F350E6">
        <w:rPr>
          <w:rFonts w:hint="eastAsia"/>
          <w:color w:val="000000"/>
          <w:lang w:eastAsia="zh-CN"/>
        </w:rPr>
        <w:t>对于</w:t>
      </w:r>
      <w:r w:rsidR="00F350E6">
        <w:rPr>
          <w:color w:val="000000"/>
          <w:lang w:eastAsia="zh-CN"/>
        </w:rPr>
        <w:t>各</w:t>
      </w:r>
      <w:r w:rsidR="00FC0429">
        <w:rPr>
          <w:rFonts w:hint="eastAsia"/>
          <w:color w:val="000000"/>
          <w:lang w:eastAsia="zh-CN"/>
        </w:rPr>
        <w:t>主管部门</w:t>
      </w:r>
      <w:r w:rsidR="00F350E6">
        <w:rPr>
          <w:color w:val="000000"/>
          <w:lang w:eastAsia="zh-CN"/>
        </w:rPr>
        <w:t>和区域</w:t>
      </w:r>
      <w:r w:rsidR="00F350E6">
        <w:rPr>
          <w:rFonts w:hint="eastAsia"/>
          <w:color w:val="000000"/>
          <w:lang w:eastAsia="zh-CN"/>
        </w:rPr>
        <w:t>集团</w:t>
      </w:r>
      <w:r w:rsidR="00FC0429">
        <w:rPr>
          <w:rFonts w:hint="eastAsia"/>
          <w:color w:val="000000"/>
          <w:lang w:eastAsia="zh-CN"/>
        </w:rPr>
        <w:t>为</w:t>
      </w:r>
      <w:r w:rsidR="00F350E6">
        <w:rPr>
          <w:rFonts w:hint="eastAsia"/>
          <w:color w:val="000000"/>
          <w:lang w:eastAsia="zh-CN"/>
        </w:rPr>
        <w:t>各</w:t>
      </w:r>
      <w:r w:rsidR="00F350E6">
        <w:rPr>
          <w:color w:val="000000"/>
          <w:lang w:eastAsia="zh-CN"/>
        </w:rPr>
        <w:t>国</w:t>
      </w:r>
      <w:r w:rsidR="009C19ED">
        <w:rPr>
          <w:rFonts w:hint="eastAsia"/>
          <w:color w:val="000000"/>
          <w:lang w:eastAsia="zh-CN"/>
        </w:rPr>
        <w:t>或</w:t>
      </w:r>
      <w:r w:rsidR="00F350E6">
        <w:rPr>
          <w:rFonts w:hint="eastAsia"/>
          <w:color w:val="000000"/>
          <w:lang w:eastAsia="zh-CN"/>
        </w:rPr>
        <w:t>各区域的</w:t>
      </w:r>
      <w:r w:rsidR="00F350E6">
        <w:rPr>
          <w:color w:val="000000"/>
          <w:lang w:eastAsia="zh-CN"/>
        </w:rPr>
        <w:t>适当频率安排早做考虑</w:t>
      </w:r>
      <w:r w:rsidR="00FC0429">
        <w:rPr>
          <w:color w:val="000000"/>
          <w:lang w:eastAsia="zh-CN"/>
        </w:rPr>
        <w:t>至关重要。</w:t>
      </w:r>
      <w:r w:rsidR="009C19ED">
        <w:rPr>
          <w:rFonts w:hint="eastAsia"/>
          <w:color w:val="000000"/>
          <w:lang w:eastAsia="zh-CN"/>
        </w:rPr>
        <w:t>实际上</w:t>
      </w:r>
      <w:r w:rsidR="009C19ED">
        <w:rPr>
          <w:color w:val="000000"/>
          <w:lang w:eastAsia="zh-CN"/>
        </w:rPr>
        <w:t>，</w:t>
      </w:r>
      <w:r w:rsidR="00DD0657" w:rsidRPr="006A3133">
        <w:rPr>
          <w:lang w:val="en-US" w:eastAsia="zh-CN"/>
        </w:rPr>
        <w:t>ITU-R M.1036</w:t>
      </w:r>
      <w:r w:rsidR="00DD0657">
        <w:rPr>
          <w:rFonts w:hint="eastAsia"/>
          <w:lang w:val="en-US" w:eastAsia="zh-CN"/>
        </w:rPr>
        <w:t>建议书提供了</w:t>
      </w:r>
      <w:r w:rsidR="00F350E6">
        <w:rPr>
          <w:rFonts w:hint="eastAsia"/>
          <w:lang w:val="en-US" w:eastAsia="zh-CN"/>
        </w:rPr>
        <w:t>基于本地条件的</w:t>
      </w:r>
      <w:r w:rsidR="00F350E6">
        <w:rPr>
          <w:lang w:val="en-US" w:eastAsia="zh-CN"/>
        </w:rPr>
        <w:t>可替代</w:t>
      </w:r>
      <w:r w:rsidR="00DD0657">
        <w:rPr>
          <w:lang w:val="en-US" w:eastAsia="zh-CN"/>
        </w:rPr>
        <w:t>部署</w:t>
      </w:r>
      <w:r w:rsidR="00DD0657">
        <w:rPr>
          <w:rFonts w:hint="eastAsia"/>
          <w:lang w:val="en-US" w:eastAsia="zh-CN"/>
        </w:rPr>
        <w:t>。</w:t>
      </w:r>
    </w:p>
    <w:p w:rsidR="00A200D0" w:rsidRPr="00A200D0" w:rsidRDefault="00F350E6" w:rsidP="00F350E6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为</w:t>
      </w:r>
      <w:r>
        <w:rPr>
          <w:lang w:val="en-US" w:eastAsia="zh-CN"/>
        </w:rPr>
        <w:t>制定</w:t>
      </w:r>
      <w:r w:rsidRPr="006A3133">
        <w:rPr>
          <w:lang w:val="en-US" w:eastAsia="zh-CN"/>
        </w:rPr>
        <w:t>ITU-R M.1036</w:t>
      </w:r>
      <w:r>
        <w:rPr>
          <w:lang w:val="en-US" w:eastAsia="zh-CN"/>
        </w:rPr>
        <w:t>-4</w:t>
      </w:r>
      <w:r>
        <w:rPr>
          <w:rFonts w:hint="eastAsia"/>
          <w:lang w:val="en-US" w:eastAsia="zh-CN"/>
        </w:rPr>
        <w:t>建议书修订草案</w:t>
      </w:r>
      <w:r w:rsidR="00A200D0" w:rsidRPr="00A200D0">
        <w:rPr>
          <w:lang w:val="en-US" w:eastAsia="zh-CN"/>
        </w:rPr>
        <w:t>5D</w:t>
      </w:r>
      <w:r w:rsidR="00A200D0" w:rsidRPr="00A200D0">
        <w:rPr>
          <w:rFonts w:hint="eastAsia"/>
          <w:lang w:val="en-US" w:eastAsia="zh-CN"/>
        </w:rPr>
        <w:t>工作组</w:t>
      </w:r>
      <w:r w:rsidR="00A200D0">
        <w:rPr>
          <w:rFonts w:hint="eastAsia"/>
          <w:lang w:val="en-US" w:eastAsia="zh-CN"/>
        </w:rPr>
        <w:t>的</w:t>
      </w:r>
      <w:r w:rsidR="00A200D0">
        <w:rPr>
          <w:lang w:val="en-US" w:eastAsia="zh-CN"/>
        </w:rPr>
        <w:t>多次会议</w:t>
      </w:r>
      <w:r>
        <w:rPr>
          <w:rFonts w:hint="eastAsia"/>
          <w:lang w:val="en-US" w:eastAsia="zh-CN"/>
        </w:rPr>
        <w:t>做了</w:t>
      </w:r>
      <w:r w:rsidR="00A200D0">
        <w:rPr>
          <w:rFonts w:hint="eastAsia"/>
          <w:lang w:val="en-US" w:eastAsia="zh-CN"/>
        </w:rPr>
        <w:t>大量工作。</w:t>
      </w:r>
    </w:p>
    <w:p w:rsidR="00693344" w:rsidRDefault="00693344" w:rsidP="00F350E6">
      <w:pPr>
        <w:ind w:firstLineChars="200" w:firstLine="480"/>
        <w:rPr>
          <w:lang w:eastAsia="zh-CN"/>
        </w:rPr>
      </w:pPr>
      <w:r>
        <w:rPr>
          <w:lang w:eastAsia="zh-CN"/>
        </w:rPr>
        <w:t>5D</w:t>
      </w:r>
      <w:r>
        <w:rPr>
          <w:lang w:eastAsia="zh-CN"/>
        </w:rPr>
        <w:t>工作组在其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 w:rsidR="005C0DBC">
        <w:rPr>
          <w:rFonts w:hint="eastAsia"/>
          <w:lang w:eastAsia="zh-CN"/>
        </w:rPr>
        <w:t>6</w:t>
      </w:r>
      <w:r>
        <w:rPr>
          <w:lang w:eastAsia="zh-CN"/>
        </w:rPr>
        <w:t>月的会议上</w:t>
      </w:r>
      <w:r w:rsidR="00F350E6">
        <w:rPr>
          <w:rFonts w:hint="eastAsia"/>
          <w:lang w:eastAsia="zh-CN"/>
        </w:rPr>
        <w:t>做出</w:t>
      </w:r>
      <w:r>
        <w:rPr>
          <w:rFonts w:hint="eastAsia"/>
          <w:lang w:eastAsia="zh-CN"/>
        </w:rPr>
        <w:t>决定</w:t>
      </w:r>
      <w:r w:rsidR="00F350E6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将</w:t>
      </w:r>
      <w:r w:rsidRPr="006A3133">
        <w:rPr>
          <w:lang w:val="en-US" w:eastAsia="zh-CN"/>
        </w:rPr>
        <w:t>ITU-R M.1036</w:t>
      </w:r>
      <w:r>
        <w:rPr>
          <w:lang w:val="en-US" w:eastAsia="zh-CN"/>
        </w:rPr>
        <w:t>-4</w:t>
      </w:r>
      <w:r>
        <w:rPr>
          <w:rFonts w:hint="eastAsia"/>
          <w:lang w:val="en-US" w:eastAsia="zh-CN"/>
        </w:rPr>
        <w:t>建议书修订草案</w:t>
      </w:r>
      <w:r>
        <w:rPr>
          <w:rFonts w:hint="eastAsia"/>
          <w:lang w:eastAsia="zh-CN"/>
        </w:rPr>
        <w:t>提交</w:t>
      </w:r>
      <w:r>
        <w:rPr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</w:t>
      </w:r>
      <w:r>
        <w:rPr>
          <w:rFonts w:hint="eastAsia"/>
          <w:lang w:eastAsia="zh-CN"/>
        </w:rPr>
        <w:t>通过</w:t>
      </w:r>
      <w:r w:rsidR="00F350E6">
        <w:rPr>
          <w:rFonts w:hint="eastAsia"/>
          <w:lang w:eastAsia="zh-CN"/>
        </w:rPr>
        <w:t>（</w:t>
      </w:r>
      <w:r w:rsidR="00DE4A02">
        <w:rPr>
          <w:rFonts w:hint="eastAsia"/>
          <w:lang w:eastAsia="zh-CN"/>
        </w:rPr>
        <w:t>文件</w:t>
      </w:r>
      <w:hyperlink r:id="rId10" w:history="1">
        <w:r w:rsidR="00DE4A02" w:rsidRPr="00DE5E65">
          <w:rPr>
            <w:rStyle w:val="Hyperlink"/>
            <w:lang w:eastAsia="zh-CN"/>
          </w:rPr>
          <w:t>5/213</w:t>
        </w:r>
      </w:hyperlink>
      <w:r w:rsidR="00F350E6"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:rsidR="00BB243B" w:rsidRPr="00F9595A" w:rsidRDefault="00E53A81" w:rsidP="00327A85">
      <w:pPr>
        <w:keepNext/>
        <w:keepLines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基于</w:t>
      </w:r>
      <w:r>
        <w:rPr>
          <w:rFonts w:hint="eastAsia"/>
          <w:lang w:eastAsia="zh-CN"/>
        </w:rPr>
        <w:t>5</w:t>
      </w:r>
      <w:r>
        <w:rPr>
          <w:lang w:eastAsia="zh-CN"/>
        </w:rPr>
        <w:t>D</w:t>
      </w:r>
      <w:r w:rsidR="0054328B">
        <w:rPr>
          <w:lang w:eastAsia="zh-CN"/>
        </w:rPr>
        <w:t>工作组的输出及</w:t>
      </w:r>
      <w:r w:rsidR="0054328B">
        <w:rPr>
          <w:rFonts w:hint="eastAsia"/>
          <w:lang w:eastAsia="zh-CN"/>
        </w:rPr>
        <w:t>其它</w:t>
      </w:r>
      <w:r>
        <w:rPr>
          <w:rFonts w:hint="eastAsia"/>
          <w:lang w:eastAsia="zh-CN"/>
        </w:rPr>
        <w:t>文稿，</w:t>
      </w:r>
      <w:r w:rsidR="005C0DBC">
        <w:rPr>
          <w:lang w:eastAsia="zh-CN"/>
        </w:rPr>
        <w:t>2015</w:t>
      </w:r>
      <w:r w:rsidR="005C0DBC">
        <w:rPr>
          <w:rFonts w:hint="eastAsia"/>
          <w:lang w:eastAsia="zh-CN"/>
        </w:rPr>
        <w:t>年</w:t>
      </w:r>
      <w:r w:rsidR="005C0DBC">
        <w:rPr>
          <w:rFonts w:hint="eastAsia"/>
          <w:lang w:eastAsia="zh-CN"/>
        </w:rPr>
        <w:t>7</w:t>
      </w:r>
      <w:r w:rsidR="005C0DBC">
        <w:rPr>
          <w:rFonts w:hint="eastAsia"/>
          <w:lang w:eastAsia="zh-CN"/>
        </w:rPr>
        <w:t>月</w:t>
      </w:r>
      <w:r w:rsidR="005C0DBC">
        <w:rPr>
          <w:lang w:eastAsia="zh-CN"/>
        </w:rPr>
        <w:t>的</w:t>
      </w:r>
      <w:r w:rsidR="005C0DBC">
        <w:rPr>
          <w:lang w:eastAsia="zh-CN"/>
        </w:rPr>
        <w:t>ITU-R</w:t>
      </w:r>
      <w:r w:rsidR="005C0DBC">
        <w:rPr>
          <w:rFonts w:hint="eastAsia"/>
          <w:lang w:eastAsia="zh-CN"/>
        </w:rPr>
        <w:t>第</w:t>
      </w:r>
      <w:r w:rsidR="005C0DBC">
        <w:rPr>
          <w:rFonts w:hint="eastAsia"/>
          <w:lang w:eastAsia="zh-CN"/>
        </w:rPr>
        <w:t>5</w:t>
      </w:r>
      <w:r w:rsidR="005C0DBC">
        <w:rPr>
          <w:rFonts w:hint="eastAsia"/>
          <w:lang w:eastAsia="zh-CN"/>
        </w:rPr>
        <w:t>研究组</w:t>
      </w:r>
      <w:r w:rsidR="005C0DBC">
        <w:rPr>
          <w:lang w:eastAsia="zh-CN"/>
        </w:rPr>
        <w:t>会议</w:t>
      </w:r>
      <w:r w:rsidR="0054328B">
        <w:rPr>
          <w:rFonts w:hint="eastAsia"/>
          <w:lang w:eastAsia="zh-CN"/>
        </w:rPr>
        <w:t>审议</w:t>
      </w:r>
      <w:r w:rsidR="0054328B">
        <w:rPr>
          <w:lang w:eastAsia="zh-CN"/>
        </w:rPr>
        <w:t>了</w:t>
      </w:r>
      <w:r w:rsidR="005C0DBC">
        <w:rPr>
          <w:lang w:eastAsia="zh-CN"/>
        </w:rPr>
        <w:t>通过</w:t>
      </w:r>
      <w:bookmarkStart w:id="11" w:name="_GoBack"/>
      <w:bookmarkEnd w:id="11"/>
      <w:r w:rsidR="0054328B">
        <w:rPr>
          <w:lang w:eastAsia="zh-CN"/>
        </w:rPr>
        <w:br/>
      </w:r>
      <w:r w:rsidR="005C0DBC" w:rsidRPr="006A3133">
        <w:rPr>
          <w:lang w:val="en-US" w:eastAsia="zh-CN"/>
        </w:rPr>
        <w:t>ITU-R M.1036</w:t>
      </w:r>
      <w:r w:rsidR="005C0DBC">
        <w:rPr>
          <w:lang w:val="en-US" w:eastAsia="zh-CN"/>
        </w:rPr>
        <w:t>-4</w:t>
      </w:r>
      <w:r w:rsidR="005C0DBC">
        <w:rPr>
          <w:rFonts w:hint="eastAsia"/>
          <w:lang w:val="en-US" w:eastAsia="zh-CN"/>
        </w:rPr>
        <w:t>建议书修订草案</w:t>
      </w:r>
      <w:r w:rsidR="0054328B">
        <w:rPr>
          <w:rFonts w:hint="eastAsia"/>
          <w:lang w:val="en-US" w:eastAsia="zh-CN"/>
        </w:rPr>
        <w:t>的</w:t>
      </w:r>
      <w:r w:rsidR="0054328B">
        <w:rPr>
          <w:lang w:val="en-US" w:eastAsia="zh-CN"/>
        </w:rPr>
        <w:t>问题</w:t>
      </w:r>
      <w:r w:rsidR="00AA2816">
        <w:rPr>
          <w:rFonts w:hint="eastAsia"/>
          <w:lang w:val="en-US" w:eastAsia="zh-CN"/>
        </w:rPr>
        <w:t>。</w:t>
      </w:r>
      <w:r w:rsidR="00AA2816">
        <w:rPr>
          <w:lang w:val="en-US" w:eastAsia="zh-CN"/>
        </w:rPr>
        <w:t>然而</w:t>
      </w:r>
      <w:r w:rsidR="00AA2816">
        <w:rPr>
          <w:rFonts w:hint="eastAsia"/>
          <w:lang w:val="en-US" w:eastAsia="zh-CN"/>
        </w:rPr>
        <w:t>，</w:t>
      </w:r>
      <w:r w:rsidR="00073304">
        <w:rPr>
          <w:rFonts w:hint="eastAsia"/>
          <w:lang w:val="en-US" w:eastAsia="zh-CN"/>
        </w:rPr>
        <w:t>对于</w:t>
      </w:r>
      <w:r w:rsidR="00073304">
        <w:rPr>
          <w:lang w:val="en-US" w:eastAsia="zh-CN"/>
        </w:rPr>
        <w:t>通过这份新建议</w:t>
      </w:r>
      <w:r w:rsidR="00B02B40">
        <w:rPr>
          <w:rFonts w:hint="eastAsia"/>
          <w:lang w:val="en-US" w:eastAsia="zh-CN"/>
        </w:rPr>
        <w:t>书</w:t>
      </w:r>
      <w:r w:rsidR="00073304">
        <w:rPr>
          <w:lang w:val="en-US" w:eastAsia="zh-CN"/>
        </w:rPr>
        <w:t>草案</w:t>
      </w:r>
      <w:r w:rsidR="0054328B">
        <w:rPr>
          <w:rFonts w:hint="eastAsia"/>
          <w:lang w:val="en-US" w:eastAsia="zh-CN"/>
        </w:rPr>
        <w:t>，研究组</w:t>
      </w:r>
      <w:r w:rsidR="0054328B">
        <w:rPr>
          <w:lang w:val="en-US" w:eastAsia="zh-CN"/>
        </w:rPr>
        <w:t>会议</w:t>
      </w:r>
      <w:r w:rsidR="00073304">
        <w:rPr>
          <w:lang w:val="en-US" w:eastAsia="zh-CN"/>
        </w:rPr>
        <w:t>没有达成一致</w:t>
      </w:r>
      <w:r w:rsidR="00073304">
        <w:rPr>
          <w:rFonts w:hint="eastAsia"/>
          <w:lang w:val="en-US" w:eastAsia="zh-CN"/>
        </w:rPr>
        <w:t>。</w:t>
      </w:r>
      <w:r w:rsidR="00073304">
        <w:rPr>
          <w:lang w:val="en-US" w:eastAsia="zh-CN"/>
        </w:rPr>
        <w:t>因此</w:t>
      </w:r>
      <w:r w:rsidR="00073304">
        <w:rPr>
          <w:rFonts w:hint="eastAsia"/>
          <w:lang w:val="en-US" w:eastAsia="zh-CN"/>
        </w:rPr>
        <w:t>，</w:t>
      </w:r>
      <w:r w:rsidR="00CC42B0">
        <w:rPr>
          <w:rFonts w:hint="eastAsia"/>
          <w:lang w:val="en-US" w:eastAsia="zh-CN"/>
        </w:rPr>
        <w:t>按照</w:t>
      </w:r>
      <w:r w:rsidR="00CC42B0">
        <w:rPr>
          <w:lang w:val="en-US" w:eastAsia="zh-CN"/>
        </w:rPr>
        <w:t>ITU-R</w:t>
      </w:r>
      <w:r w:rsidR="00CC42B0">
        <w:rPr>
          <w:lang w:val="en-US" w:eastAsia="zh-CN"/>
        </w:rPr>
        <w:t>第</w:t>
      </w:r>
      <w:r w:rsidR="00CC42B0">
        <w:rPr>
          <w:rFonts w:hint="eastAsia"/>
          <w:lang w:val="en-US" w:eastAsia="zh-CN"/>
        </w:rPr>
        <w:t>1</w:t>
      </w:r>
      <w:r w:rsidR="00CC42B0">
        <w:rPr>
          <w:lang w:val="en-US" w:eastAsia="zh-CN"/>
        </w:rPr>
        <w:t>-6</w:t>
      </w:r>
      <w:r w:rsidR="00CC42B0">
        <w:rPr>
          <w:rFonts w:hint="eastAsia"/>
          <w:lang w:val="en-US" w:eastAsia="zh-CN"/>
        </w:rPr>
        <w:t>号决议</w:t>
      </w:r>
      <w:r w:rsidR="00CC42B0">
        <w:rPr>
          <w:lang w:val="en-US" w:eastAsia="zh-CN"/>
        </w:rPr>
        <w:t>第</w:t>
      </w:r>
      <w:r w:rsidR="00CC42B0" w:rsidRPr="00F9595A">
        <w:rPr>
          <w:rFonts w:hint="eastAsia"/>
          <w:lang w:eastAsia="zh-CN"/>
        </w:rPr>
        <w:t>10.2.1.2</w:t>
      </w:r>
      <w:r w:rsidR="00CC42B0">
        <w:rPr>
          <w:rFonts w:hint="eastAsia"/>
          <w:lang w:eastAsia="zh-CN"/>
        </w:rPr>
        <w:t>段</w:t>
      </w:r>
      <w:r w:rsidR="00CC42B0">
        <w:rPr>
          <w:lang w:eastAsia="zh-CN"/>
        </w:rPr>
        <w:t>的</w:t>
      </w:r>
      <w:r w:rsidR="00CC42B0" w:rsidRPr="00E464B7">
        <w:rPr>
          <w:rFonts w:hint="eastAsia"/>
          <w:i/>
          <w:iCs/>
          <w:lang w:eastAsia="zh-CN"/>
        </w:rPr>
        <w:t>a)</w:t>
      </w:r>
      <w:r w:rsidR="00CC42B0" w:rsidRPr="00CC42B0">
        <w:rPr>
          <w:rFonts w:hint="eastAsia"/>
          <w:lang w:eastAsia="zh-CN"/>
        </w:rPr>
        <w:t>项</w:t>
      </w:r>
      <w:r w:rsidR="00CC42B0" w:rsidRPr="00CC42B0">
        <w:rPr>
          <w:lang w:eastAsia="zh-CN"/>
        </w:rPr>
        <w:t>条款</w:t>
      </w:r>
      <w:r w:rsidR="00CC42B0">
        <w:rPr>
          <w:rFonts w:hint="eastAsia"/>
          <w:lang w:eastAsia="zh-CN"/>
        </w:rPr>
        <w:t>，</w:t>
      </w:r>
      <w:r w:rsidR="00CC42B0">
        <w:rPr>
          <w:lang w:eastAsia="zh-CN"/>
        </w:rPr>
        <w:t>第</w:t>
      </w:r>
      <w:r w:rsidR="00CC42B0">
        <w:rPr>
          <w:rFonts w:hint="eastAsia"/>
          <w:lang w:eastAsia="zh-CN"/>
        </w:rPr>
        <w:t>5</w:t>
      </w:r>
      <w:r w:rsidR="00CC42B0">
        <w:rPr>
          <w:rFonts w:hint="eastAsia"/>
          <w:lang w:eastAsia="zh-CN"/>
        </w:rPr>
        <w:t>研究组</w:t>
      </w:r>
      <w:r w:rsidR="00CC42B0">
        <w:rPr>
          <w:lang w:eastAsia="zh-CN"/>
        </w:rPr>
        <w:t>会议决定将此案文</w:t>
      </w:r>
      <w:r w:rsidR="0054328B">
        <w:rPr>
          <w:rFonts w:hint="eastAsia"/>
          <w:lang w:eastAsia="zh-CN"/>
        </w:rPr>
        <w:t>转呈</w:t>
      </w:r>
      <w:r w:rsidR="00CC42B0">
        <w:rPr>
          <w:lang w:eastAsia="zh-CN"/>
        </w:rPr>
        <w:t>无线电通信全会。</w:t>
      </w:r>
    </w:p>
    <w:p w:rsidR="000A474D" w:rsidRDefault="000A474D" w:rsidP="0054328B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B02B40">
        <w:rPr>
          <w:rFonts w:hint="eastAsia"/>
          <w:lang w:eastAsia="zh-CN"/>
        </w:rPr>
        <w:t>新的</w:t>
      </w:r>
      <w:r w:rsidR="00B02B40">
        <w:rPr>
          <w:lang w:eastAsia="zh-CN"/>
        </w:rPr>
        <w:t>ITU-R M.</w:t>
      </w:r>
      <w:r w:rsidR="00B02B40" w:rsidRPr="00DB7F60">
        <w:rPr>
          <w:color w:val="000000"/>
          <w:lang w:eastAsia="zh-CN"/>
        </w:rPr>
        <w:t>1036-4</w:t>
      </w:r>
      <w:r w:rsidR="00B02B40">
        <w:rPr>
          <w:rFonts w:hint="eastAsia"/>
          <w:color w:val="000000"/>
          <w:lang w:eastAsia="zh-CN"/>
        </w:rPr>
        <w:t>建议书</w:t>
      </w:r>
      <w:r w:rsidR="00B02B40">
        <w:rPr>
          <w:color w:val="000000"/>
          <w:lang w:eastAsia="zh-CN"/>
        </w:rPr>
        <w:t>草案</w:t>
      </w:r>
      <w:r w:rsidR="00B02B40">
        <w:rPr>
          <w:rFonts w:hint="eastAsia"/>
          <w:color w:val="000000"/>
          <w:lang w:eastAsia="zh-CN"/>
        </w:rPr>
        <w:t>的</w:t>
      </w:r>
      <w:r w:rsidR="0054328B">
        <w:rPr>
          <w:rFonts w:hint="eastAsia"/>
          <w:color w:val="000000"/>
          <w:lang w:eastAsia="zh-CN"/>
        </w:rPr>
        <w:t>益处</w:t>
      </w:r>
    </w:p>
    <w:p w:rsidR="00B02B40" w:rsidRDefault="0054328B" w:rsidP="0054328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</w:t>
      </w:r>
      <w:r w:rsidR="00304D20" w:rsidRPr="006A3133">
        <w:rPr>
          <w:lang w:val="en-US" w:eastAsia="zh-CN"/>
        </w:rPr>
        <w:t>ITU-R M.1036</w:t>
      </w:r>
      <w:r w:rsidR="00304D20">
        <w:rPr>
          <w:lang w:val="en-US" w:eastAsia="zh-CN"/>
        </w:rPr>
        <w:t>-4</w:t>
      </w:r>
      <w:r w:rsidR="00304D20">
        <w:rPr>
          <w:rFonts w:hint="eastAsia"/>
          <w:lang w:val="en-US" w:eastAsia="zh-CN"/>
        </w:rPr>
        <w:t>建议书修订草案</w:t>
      </w:r>
      <w:r w:rsidR="00E53A81">
        <w:rPr>
          <w:rFonts w:hint="eastAsia"/>
          <w:lang w:val="en-US" w:eastAsia="zh-CN"/>
        </w:rPr>
        <w:t>体现了</w:t>
      </w:r>
      <w:r w:rsidR="00304D20">
        <w:rPr>
          <w:rFonts w:hint="eastAsia"/>
          <w:lang w:val="en-US" w:eastAsia="zh-CN"/>
        </w:rPr>
        <w:t>5</w:t>
      </w:r>
      <w:r w:rsidR="00304D20">
        <w:rPr>
          <w:lang w:val="en-US" w:eastAsia="zh-CN"/>
        </w:rPr>
        <w:t>D</w:t>
      </w:r>
      <w:r w:rsidR="00304D20">
        <w:rPr>
          <w:lang w:val="en-US" w:eastAsia="zh-CN"/>
        </w:rPr>
        <w:t>工作组开展</w:t>
      </w:r>
      <w:r w:rsidR="00630D5E">
        <w:rPr>
          <w:rFonts w:hint="eastAsia"/>
          <w:lang w:val="en-US" w:eastAsia="zh-CN"/>
        </w:rPr>
        <w:t>的</w:t>
      </w:r>
      <w:r w:rsidR="00304D20">
        <w:rPr>
          <w:lang w:val="en-US" w:eastAsia="zh-CN"/>
        </w:rPr>
        <w:t>大量</w:t>
      </w:r>
      <w:r w:rsidR="00304D20">
        <w:rPr>
          <w:rFonts w:hint="eastAsia"/>
          <w:lang w:val="en-US" w:eastAsia="zh-CN"/>
        </w:rPr>
        <w:t>工作</w:t>
      </w:r>
      <w:r w:rsidR="00304D20">
        <w:rPr>
          <w:lang w:val="en-US" w:eastAsia="zh-CN"/>
        </w:rPr>
        <w:t>的结果。</w:t>
      </w:r>
      <w:r w:rsidR="00233453">
        <w:rPr>
          <w:lang w:val="en-US" w:eastAsia="zh-CN"/>
        </w:rPr>
        <w:t>来自</w:t>
      </w:r>
      <w:r w:rsidR="00233453">
        <w:rPr>
          <w:lang w:val="en-US" w:eastAsia="zh-CN"/>
        </w:rPr>
        <w:t>CEPT</w:t>
      </w:r>
      <w:r w:rsidR="00233453">
        <w:rPr>
          <w:lang w:val="en-US" w:eastAsia="zh-CN"/>
        </w:rPr>
        <w:t>，</w:t>
      </w:r>
      <w:r w:rsidR="00233453">
        <w:rPr>
          <w:lang w:val="en-US" w:eastAsia="zh-CN"/>
        </w:rPr>
        <w:t>ATU</w:t>
      </w:r>
      <w:r w:rsidR="00233453">
        <w:rPr>
          <w:lang w:val="en-US" w:eastAsia="zh-CN"/>
        </w:rPr>
        <w:t>和</w:t>
      </w:r>
      <w:r w:rsidR="00233453">
        <w:rPr>
          <w:lang w:val="en-US" w:eastAsia="zh-CN"/>
        </w:rPr>
        <w:t>ASMG</w:t>
      </w:r>
      <w:r w:rsidR="00233453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多个</w:t>
      </w:r>
      <w:r w:rsidR="00233453">
        <w:rPr>
          <w:rFonts w:hint="eastAsia"/>
          <w:lang w:val="en-US" w:eastAsia="zh-CN"/>
        </w:rPr>
        <w:t>联署</w:t>
      </w:r>
      <w:r w:rsidR="00233453">
        <w:rPr>
          <w:lang w:val="en-US" w:eastAsia="zh-CN"/>
        </w:rPr>
        <w:t>主管部门认为</w:t>
      </w:r>
      <w:r w:rsidR="00630D5E">
        <w:rPr>
          <w:rFonts w:hint="eastAsia"/>
          <w:lang w:val="en-US" w:eastAsia="zh-CN"/>
        </w:rPr>
        <w:t>：</w:t>
      </w:r>
      <w:r w:rsidR="00EE4ED1">
        <w:rPr>
          <w:rFonts w:hint="eastAsia"/>
          <w:lang w:val="en-US" w:eastAsia="zh-CN"/>
        </w:rPr>
        <w:t>鉴于该</w:t>
      </w:r>
      <w:r w:rsidR="00EE4ED1">
        <w:rPr>
          <w:lang w:val="en-US" w:eastAsia="zh-CN"/>
        </w:rPr>
        <w:t>修订草案</w:t>
      </w:r>
      <w:r>
        <w:rPr>
          <w:rFonts w:hint="eastAsia"/>
          <w:lang w:val="en-US" w:eastAsia="zh-CN"/>
        </w:rPr>
        <w:t>是</w:t>
      </w:r>
      <w:r w:rsidR="00EE4ED1">
        <w:rPr>
          <w:lang w:val="en-US" w:eastAsia="zh-CN"/>
        </w:rPr>
        <w:t>在</w:t>
      </w:r>
      <w:r w:rsidR="00EE4ED1">
        <w:rPr>
          <w:rFonts w:hint="eastAsia"/>
          <w:lang w:val="en-US" w:eastAsia="zh-CN"/>
        </w:rPr>
        <w:t>1</w:t>
      </w:r>
      <w:r w:rsidR="00EE4ED1">
        <w:rPr>
          <w:rFonts w:hint="eastAsia"/>
          <w:lang w:val="en-US" w:eastAsia="zh-CN"/>
        </w:rPr>
        <w:t>区不同</w:t>
      </w:r>
      <w:r>
        <w:rPr>
          <w:rFonts w:hint="eastAsia"/>
          <w:lang w:val="en-US" w:eastAsia="zh-CN"/>
        </w:rPr>
        <w:t>部分</w:t>
      </w:r>
      <w:r w:rsidR="00EE4ED1">
        <w:rPr>
          <w:lang w:val="en-US" w:eastAsia="zh-CN"/>
        </w:rPr>
        <w:t>主管部门</w:t>
      </w:r>
      <w:r>
        <w:rPr>
          <w:rFonts w:hint="eastAsia"/>
          <w:lang w:val="en-US" w:eastAsia="zh-CN"/>
        </w:rPr>
        <w:t>之</w:t>
      </w:r>
      <w:r w:rsidR="00EE4ED1">
        <w:rPr>
          <w:rFonts w:hint="eastAsia"/>
          <w:lang w:val="en-US" w:eastAsia="zh-CN"/>
        </w:rPr>
        <w:t>间</w:t>
      </w:r>
      <w:r w:rsidR="00EE4ED1">
        <w:rPr>
          <w:lang w:val="en-US" w:eastAsia="zh-CN"/>
        </w:rPr>
        <w:t>达成</w:t>
      </w:r>
      <w:r>
        <w:rPr>
          <w:rFonts w:hint="eastAsia"/>
          <w:lang w:val="en-US" w:eastAsia="zh-CN"/>
        </w:rPr>
        <w:t>的</w:t>
      </w:r>
      <w:r w:rsidR="00EE4ED1">
        <w:rPr>
          <w:lang w:val="en-US" w:eastAsia="zh-CN"/>
        </w:rPr>
        <w:t>微妙折衷</w:t>
      </w:r>
      <w:r w:rsidR="00EE4ED1">
        <w:rPr>
          <w:rFonts w:hint="eastAsia"/>
          <w:lang w:val="en-US" w:eastAsia="zh-CN"/>
        </w:rPr>
        <w:t>，</w:t>
      </w:r>
      <w:r w:rsidR="00630D5E">
        <w:rPr>
          <w:rFonts w:hint="eastAsia"/>
          <w:lang w:val="en-US" w:eastAsia="zh-CN"/>
        </w:rPr>
        <w:t>对于</w:t>
      </w:r>
      <w:r w:rsidR="00630D5E">
        <w:rPr>
          <w:lang w:val="en-US" w:eastAsia="zh-CN"/>
        </w:rPr>
        <w:t>批准而言已经足够成熟。</w:t>
      </w:r>
    </w:p>
    <w:p w:rsidR="00C47021" w:rsidRDefault="0054328B" w:rsidP="0054328B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这份</w:t>
      </w:r>
      <w:r w:rsidR="00A621D4">
        <w:rPr>
          <w:lang w:val="en-US" w:eastAsia="zh-CN"/>
        </w:rPr>
        <w:t>建议书</w:t>
      </w:r>
      <w:r>
        <w:rPr>
          <w:rFonts w:hint="eastAsia"/>
          <w:lang w:val="en-US" w:eastAsia="zh-CN"/>
        </w:rPr>
        <w:t>的批准</w:t>
      </w:r>
      <w:r w:rsidR="00A621D4">
        <w:rPr>
          <w:rFonts w:hint="eastAsia"/>
          <w:lang w:val="en-US" w:eastAsia="zh-CN"/>
        </w:rPr>
        <w:t>将</w:t>
      </w:r>
      <w:r w:rsidR="00A621D4">
        <w:rPr>
          <w:lang w:val="en-US" w:eastAsia="zh-CN"/>
        </w:rPr>
        <w:t>为</w:t>
      </w:r>
      <w:r w:rsidR="002966B4">
        <w:rPr>
          <w:rFonts w:hint="eastAsia"/>
          <w:lang w:val="en-US" w:eastAsia="zh-CN"/>
        </w:rPr>
        <w:t>希望</w:t>
      </w:r>
      <w:r>
        <w:rPr>
          <w:rFonts w:hint="eastAsia"/>
          <w:lang w:val="en-US" w:eastAsia="zh-CN"/>
        </w:rPr>
        <w:t>将</w:t>
      </w:r>
      <w:r w:rsidR="002966B4">
        <w:rPr>
          <w:rFonts w:hint="eastAsia"/>
          <w:lang w:val="en-US" w:eastAsia="zh-CN"/>
        </w:rPr>
        <w:t>700</w:t>
      </w:r>
      <w:r>
        <w:rPr>
          <w:lang w:val="en-US" w:eastAsia="zh-CN"/>
        </w:rPr>
        <w:t xml:space="preserve"> </w:t>
      </w:r>
      <w:r w:rsidR="002966B4">
        <w:rPr>
          <w:lang w:val="en-US" w:eastAsia="zh-CN"/>
        </w:rPr>
        <w:t>MHz</w:t>
      </w:r>
      <w:r w:rsidR="002966B4">
        <w:rPr>
          <w:lang w:val="en-US" w:eastAsia="zh-CN"/>
        </w:rPr>
        <w:t>频段</w:t>
      </w:r>
      <w:r w:rsidR="002966B4">
        <w:rPr>
          <w:rFonts w:hint="eastAsia"/>
          <w:lang w:val="en-US" w:eastAsia="zh-CN"/>
        </w:rPr>
        <w:t>用于</w:t>
      </w:r>
      <w:r w:rsidR="002966B4">
        <w:rPr>
          <w:lang w:val="en-US" w:eastAsia="zh-CN"/>
        </w:rPr>
        <w:t>移动业务</w:t>
      </w:r>
      <w:r w:rsidR="002966B4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各</w:t>
      </w:r>
      <w:r w:rsidR="00F51160">
        <w:rPr>
          <w:lang w:val="en-US" w:eastAsia="zh-CN"/>
        </w:rPr>
        <w:t>主管部门</w:t>
      </w:r>
      <w:r>
        <w:rPr>
          <w:rFonts w:hint="eastAsia"/>
          <w:lang w:val="en-US" w:eastAsia="zh-CN"/>
        </w:rPr>
        <w:t>提供</w:t>
      </w:r>
      <w:r>
        <w:rPr>
          <w:lang w:val="en-US" w:eastAsia="zh-CN"/>
        </w:rPr>
        <w:t>了根据</w:t>
      </w:r>
      <w:r w:rsidR="00617530">
        <w:rPr>
          <w:rFonts w:hint="eastAsia"/>
          <w:lang w:val="en-US" w:eastAsia="zh-CN"/>
        </w:rPr>
        <w:t>本地条件</w:t>
      </w:r>
      <w:r>
        <w:rPr>
          <w:rFonts w:hint="eastAsia"/>
          <w:lang w:val="en-US" w:eastAsia="zh-CN"/>
        </w:rPr>
        <w:t>采用的</w:t>
      </w:r>
      <w:r>
        <w:rPr>
          <w:lang w:val="en-US" w:eastAsia="zh-CN"/>
        </w:rPr>
        <w:t>备选方案，</w:t>
      </w:r>
      <w:r>
        <w:rPr>
          <w:rFonts w:hint="eastAsia"/>
          <w:lang w:val="en-US" w:eastAsia="zh-CN"/>
        </w:rPr>
        <w:t>建议书</w:t>
      </w:r>
      <w:r w:rsidR="00A933BB">
        <w:rPr>
          <w:lang w:val="en-US" w:eastAsia="zh-CN"/>
        </w:rPr>
        <w:t>同时</w:t>
      </w:r>
      <w:r>
        <w:rPr>
          <w:rFonts w:hint="eastAsia"/>
          <w:lang w:val="en-US" w:eastAsia="zh-CN"/>
        </w:rPr>
        <w:t>还</w:t>
      </w:r>
      <w:r w:rsidR="00A933BB">
        <w:rPr>
          <w:lang w:val="en-US" w:eastAsia="zh-CN"/>
        </w:rPr>
        <w:t>帮助</w:t>
      </w:r>
      <w:r>
        <w:rPr>
          <w:rFonts w:hint="eastAsia"/>
          <w:lang w:val="en-US" w:eastAsia="zh-CN"/>
        </w:rPr>
        <w:t>各</w:t>
      </w:r>
      <w:r w:rsidR="00A933BB">
        <w:rPr>
          <w:lang w:val="en-US" w:eastAsia="zh-CN"/>
        </w:rPr>
        <w:t>主管部门</w:t>
      </w:r>
      <w:r w:rsidR="00A933BB">
        <w:rPr>
          <w:rFonts w:hint="eastAsia"/>
          <w:lang w:val="en-US" w:eastAsia="zh-CN"/>
        </w:rPr>
        <w:t>为</w:t>
      </w:r>
      <w:r>
        <w:rPr>
          <w:rFonts w:hint="eastAsia"/>
          <w:lang w:val="en-US" w:eastAsia="zh-CN"/>
        </w:rPr>
        <w:t>各</w:t>
      </w:r>
      <w:r>
        <w:rPr>
          <w:lang w:val="en-US" w:eastAsia="zh-CN"/>
        </w:rPr>
        <w:t>国或</w:t>
      </w:r>
      <w:r>
        <w:rPr>
          <w:rFonts w:hint="eastAsia"/>
          <w:lang w:val="en-US" w:eastAsia="zh-CN"/>
        </w:rPr>
        <w:t>各</w:t>
      </w:r>
      <w:r>
        <w:rPr>
          <w:lang w:val="en-US" w:eastAsia="zh-CN"/>
        </w:rPr>
        <w:t>区域</w:t>
      </w:r>
      <w:r w:rsidR="00A933BB">
        <w:rPr>
          <w:rFonts w:hint="eastAsia"/>
          <w:color w:val="000000"/>
          <w:lang w:eastAsia="zh-CN"/>
        </w:rPr>
        <w:t>尽早</w:t>
      </w:r>
      <w:r w:rsidR="00A933BB">
        <w:rPr>
          <w:color w:val="000000"/>
          <w:lang w:eastAsia="zh-CN"/>
        </w:rPr>
        <w:t>考虑</w:t>
      </w:r>
      <w:r w:rsidR="00A933BB">
        <w:rPr>
          <w:rFonts w:hint="eastAsia"/>
          <w:color w:val="000000"/>
          <w:lang w:eastAsia="zh-CN"/>
        </w:rPr>
        <w:t>适当</w:t>
      </w:r>
      <w:r>
        <w:rPr>
          <w:color w:val="000000"/>
          <w:lang w:eastAsia="zh-CN"/>
        </w:rPr>
        <w:t>的频</w:t>
      </w:r>
      <w:r>
        <w:rPr>
          <w:rFonts w:hint="eastAsia"/>
          <w:color w:val="000000"/>
          <w:lang w:eastAsia="zh-CN"/>
        </w:rPr>
        <w:t>率</w:t>
      </w:r>
      <w:r w:rsidR="00E63478">
        <w:rPr>
          <w:rFonts w:hint="eastAsia"/>
          <w:color w:val="000000"/>
          <w:lang w:eastAsia="zh-CN"/>
        </w:rPr>
        <w:t>安排</w:t>
      </w:r>
      <w:r w:rsidR="00A933BB">
        <w:rPr>
          <w:color w:val="000000"/>
          <w:lang w:eastAsia="zh-CN"/>
        </w:rPr>
        <w:t>。</w:t>
      </w:r>
    </w:p>
    <w:p w:rsidR="000A474D" w:rsidRDefault="000A474D" w:rsidP="007C5A57">
      <w:pPr>
        <w:pStyle w:val="Heading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B576E6">
        <w:rPr>
          <w:rFonts w:hint="eastAsia"/>
          <w:lang w:eastAsia="zh-CN"/>
        </w:rPr>
        <w:t>提案</w:t>
      </w:r>
    </w:p>
    <w:p w:rsidR="00587B28" w:rsidRDefault="00587B28" w:rsidP="0054328B">
      <w:pPr>
        <w:pStyle w:val="Reasons"/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请无线电</w:t>
      </w:r>
      <w:r>
        <w:rPr>
          <w:lang w:eastAsia="zh-CN"/>
        </w:rPr>
        <w:t>通信</w:t>
      </w:r>
      <w:r>
        <w:rPr>
          <w:rFonts w:hint="eastAsia"/>
          <w:lang w:eastAsia="zh-CN"/>
        </w:rPr>
        <w:t>全会批准</w:t>
      </w:r>
      <w:r w:rsidRPr="006A3133">
        <w:rPr>
          <w:lang w:val="en-US" w:eastAsia="zh-CN"/>
        </w:rPr>
        <w:t>ITU-R M.1036</w:t>
      </w:r>
      <w:r>
        <w:rPr>
          <w:lang w:val="en-US" w:eastAsia="zh-CN"/>
        </w:rPr>
        <w:t>-4</w:t>
      </w:r>
      <w:r>
        <w:rPr>
          <w:rFonts w:hint="eastAsia"/>
          <w:lang w:val="en-US" w:eastAsia="zh-CN"/>
        </w:rPr>
        <w:t>建议书修订草案</w:t>
      </w:r>
      <w:r w:rsidR="00076AFD">
        <w:rPr>
          <w:rFonts w:hint="eastAsia"/>
          <w:lang w:val="en-US" w:eastAsia="zh-CN"/>
        </w:rPr>
        <w:t>。</w:t>
      </w:r>
      <w:r w:rsidR="0054328B">
        <w:rPr>
          <w:rFonts w:hint="eastAsia"/>
          <w:lang w:val="en-US" w:eastAsia="zh-CN"/>
        </w:rPr>
        <w:t>本</w:t>
      </w:r>
      <w:r w:rsidR="00076AFD">
        <w:rPr>
          <w:lang w:val="en-US" w:eastAsia="zh-CN"/>
        </w:rPr>
        <w:t>文稿的</w:t>
      </w:r>
      <w:r w:rsidR="00076AFD">
        <w:rPr>
          <w:rFonts w:hint="eastAsia"/>
          <w:lang w:val="en-US" w:eastAsia="zh-CN"/>
        </w:rPr>
        <w:t>支持者</w:t>
      </w:r>
      <w:r w:rsidR="00076AFD">
        <w:rPr>
          <w:lang w:val="en-US" w:eastAsia="zh-CN"/>
        </w:rPr>
        <w:t>认为</w:t>
      </w:r>
      <w:r w:rsidR="0054328B">
        <w:rPr>
          <w:rFonts w:hint="eastAsia"/>
          <w:lang w:val="en-US" w:eastAsia="zh-CN"/>
        </w:rPr>
        <w:t>，</w:t>
      </w:r>
      <w:r w:rsidR="00076AFD">
        <w:rPr>
          <w:lang w:val="en-US" w:eastAsia="zh-CN"/>
        </w:rPr>
        <w:t>案文</w:t>
      </w:r>
      <w:r w:rsidR="00076AFD">
        <w:rPr>
          <w:rFonts w:hint="eastAsia"/>
          <w:lang w:val="en-US" w:eastAsia="zh-CN"/>
        </w:rPr>
        <w:t>反映了</w:t>
      </w:r>
      <w:r w:rsidR="00076AFD">
        <w:rPr>
          <w:lang w:val="en-US" w:eastAsia="zh-CN"/>
        </w:rPr>
        <w:t>在</w:t>
      </w:r>
      <w:r w:rsidR="00076AFD">
        <w:rPr>
          <w:rFonts w:hint="eastAsia"/>
          <w:lang w:val="en-US" w:eastAsia="zh-CN"/>
        </w:rPr>
        <w:t>5</w:t>
      </w:r>
      <w:r w:rsidR="00076AFD">
        <w:rPr>
          <w:lang w:val="en-US" w:eastAsia="zh-CN"/>
        </w:rPr>
        <w:t>D</w:t>
      </w:r>
      <w:r w:rsidR="00076AFD">
        <w:rPr>
          <w:lang w:val="en-US" w:eastAsia="zh-CN"/>
        </w:rPr>
        <w:t>工作组内</w:t>
      </w:r>
      <w:r w:rsidR="0054328B">
        <w:rPr>
          <w:rFonts w:hint="eastAsia"/>
          <w:lang w:val="en-US" w:eastAsia="zh-CN"/>
        </w:rPr>
        <w:t>达成</w:t>
      </w:r>
      <w:r w:rsidR="00076AFD">
        <w:rPr>
          <w:lang w:val="en-US" w:eastAsia="zh-CN"/>
        </w:rPr>
        <w:t>的</w:t>
      </w:r>
      <w:r w:rsidR="0054328B">
        <w:rPr>
          <w:lang w:val="en-US" w:eastAsia="zh-CN"/>
        </w:rPr>
        <w:t>敏感</w:t>
      </w:r>
      <w:r w:rsidR="00076AFD">
        <w:rPr>
          <w:lang w:val="en-US" w:eastAsia="zh-CN"/>
        </w:rPr>
        <w:t>平衡。</w:t>
      </w:r>
    </w:p>
    <w:p w:rsidR="0054328B" w:rsidRPr="0054328B" w:rsidRDefault="0054328B" w:rsidP="0054328B"/>
    <w:p w:rsidR="0054328B" w:rsidRDefault="0054328B">
      <w:pPr>
        <w:jc w:val="center"/>
      </w:pPr>
      <w:r w:rsidRPr="0054328B">
        <w:rPr>
          <w:rFonts w:eastAsia="Times New Roman"/>
        </w:rPr>
        <w:t>______________</w:t>
      </w:r>
    </w:p>
    <w:sectPr w:rsidR="0054328B" w:rsidSect="009447A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7E6" w:rsidRDefault="002537E6">
      <w:r>
        <w:separator/>
      </w:r>
    </w:p>
  </w:endnote>
  <w:endnote w:type="continuationSeparator" w:id="0">
    <w:p w:rsidR="002537E6" w:rsidRDefault="0025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panose1 w:val="02010600040101010101"/>
    <w:charset w:val="86"/>
    <w:family w:val="auto"/>
    <w:pitch w:val="variable"/>
    <w:sig w:usb0="00000000" w:usb1="080F0000" w:usb2="00000010" w:usb3="00000000" w:csb0="0004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AF" w:rsidRPr="00877D12" w:rsidRDefault="00AE59AF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AF013F">
      <w:rPr>
        <w:noProof/>
        <w:lang w:val="fr-FR"/>
      </w:rPr>
      <w:t>P:\CHI\ITU-R\CONF-R\AR15\PLEN\000\014C.docx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013F">
      <w:rPr>
        <w:noProof/>
      </w:rPr>
      <w:t>19.10.15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F013F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BFC" w:rsidRDefault="003A68E1" w:rsidP="000E5BFC">
    <w:pPr>
      <w:pStyle w:val="Footer"/>
    </w:pPr>
    <w:fldSimple w:instr=" FILENAME \p  \* MERGEFORMAT ">
      <w:r w:rsidR="00AF013F">
        <w:t>P:\CHI\ITU-R\CONF-R\AR15\PLEN\000\014C.docx</w:t>
      </w:r>
    </w:fldSimple>
    <w:r w:rsidR="000E5BFC">
      <w:rPr>
        <w:lang w:val="en-US"/>
      </w:rPr>
      <w:t xml:space="preserve"> (387614)</w:t>
    </w:r>
    <w:r w:rsidR="000E5BFC">
      <w:tab/>
    </w:r>
    <w:r w:rsidR="000E5BFC">
      <w:fldChar w:fldCharType="begin"/>
    </w:r>
    <w:r w:rsidR="000E5BFC">
      <w:instrText xml:space="preserve"> SAVEDATE \@ DD.MM.YY </w:instrText>
    </w:r>
    <w:r w:rsidR="000E5BFC">
      <w:fldChar w:fldCharType="separate"/>
    </w:r>
    <w:r w:rsidR="00AF013F">
      <w:t>19.10.15</w:t>
    </w:r>
    <w:r w:rsidR="000E5BFC">
      <w:fldChar w:fldCharType="end"/>
    </w:r>
    <w:r w:rsidR="000E5BFC">
      <w:tab/>
    </w:r>
    <w:r w:rsidR="000E5BFC">
      <w:fldChar w:fldCharType="begin"/>
    </w:r>
    <w:r w:rsidR="000E5BFC">
      <w:instrText xml:space="preserve"> PRINTDATE \@ DD.MM.YY </w:instrText>
    </w:r>
    <w:r w:rsidR="000E5BFC">
      <w:fldChar w:fldCharType="separate"/>
    </w:r>
    <w:r w:rsidR="00AF013F">
      <w:t>19.10.15</w:t>
    </w:r>
    <w:r w:rsidR="000E5BF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AF" w:rsidRDefault="003A68E1" w:rsidP="000E5BFC">
    <w:pPr>
      <w:pStyle w:val="Footer"/>
    </w:pPr>
    <w:fldSimple w:instr=" FILENAME \p  \* MERGEFORMAT ">
      <w:r w:rsidR="00AF013F">
        <w:t>P:\CHI\ITU-R\CONF-R\AR15\PLEN\000\014C.docx</w:t>
      </w:r>
    </w:fldSimple>
    <w:r w:rsidR="004A1925">
      <w:rPr>
        <w:lang w:val="en-US"/>
      </w:rPr>
      <w:t xml:space="preserve"> (387</w:t>
    </w:r>
    <w:r w:rsidR="000E5BFC">
      <w:rPr>
        <w:lang w:val="en-US"/>
      </w:rPr>
      <w:t>614</w:t>
    </w:r>
    <w:r w:rsidR="00AE59AF">
      <w:rPr>
        <w:lang w:val="en-US"/>
      </w:rPr>
      <w:t>)</w:t>
    </w:r>
    <w:r w:rsidR="00AE59AF">
      <w:tab/>
    </w:r>
    <w:r w:rsidR="00AE59AF">
      <w:fldChar w:fldCharType="begin"/>
    </w:r>
    <w:r w:rsidR="00AE59AF">
      <w:instrText xml:space="preserve"> SAVEDATE \@ DD.MM.YY </w:instrText>
    </w:r>
    <w:r w:rsidR="00AE59AF">
      <w:fldChar w:fldCharType="separate"/>
    </w:r>
    <w:r w:rsidR="00AF013F">
      <w:t>19.10.15</w:t>
    </w:r>
    <w:r w:rsidR="00AE59AF">
      <w:fldChar w:fldCharType="end"/>
    </w:r>
    <w:r w:rsidR="00AE59AF">
      <w:tab/>
    </w:r>
    <w:r w:rsidR="00AE59AF">
      <w:fldChar w:fldCharType="begin"/>
    </w:r>
    <w:r w:rsidR="00AE59AF">
      <w:instrText xml:space="preserve"> PRINTDATE \@ DD.MM.YY </w:instrText>
    </w:r>
    <w:r w:rsidR="00AE59AF">
      <w:fldChar w:fldCharType="separate"/>
    </w:r>
    <w:r w:rsidR="00AF013F">
      <w:t>19.10.15</w:t>
    </w:r>
    <w:r w:rsidR="00AE59A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7E6" w:rsidRDefault="002537E6">
      <w:r>
        <w:rPr>
          <w:b/>
        </w:rPr>
        <w:t>_______________</w:t>
      </w:r>
    </w:p>
  </w:footnote>
  <w:footnote w:type="continuationSeparator" w:id="0">
    <w:p w:rsidR="002537E6" w:rsidRDefault="002537E6">
      <w:r>
        <w:continuationSeparator/>
      </w:r>
    </w:p>
  </w:footnote>
  <w:footnote w:id="1">
    <w:p w:rsidR="000A474D" w:rsidRPr="004F06F9" w:rsidRDefault="000A474D" w:rsidP="00F350E6">
      <w:pPr>
        <w:pStyle w:val="FootnoteText"/>
        <w:rPr>
          <w:color w:val="000000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="00100126" w:rsidRPr="003A68E1">
        <w:rPr>
          <w:color w:val="000000"/>
          <w:sz w:val="24"/>
          <w:szCs w:val="24"/>
          <w:lang w:eastAsia="zh-CN"/>
        </w:rPr>
        <w:t>本文件在</w:t>
      </w:r>
      <w:r w:rsidR="00100126" w:rsidRPr="003A68E1">
        <w:rPr>
          <w:sz w:val="24"/>
          <w:szCs w:val="24"/>
          <w:lang w:eastAsia="zh-CN"/>
        </w:rPr>
        <w:t>摩洛哥王</w:t>
      </w:r>
      <w:r w:rsidR="00100126" w:rsidRPr="003A68E1">
        <w:rPr>
          <w:color w:val="000000"/>
          <w:sz w:val="24"/>
          <w:szCs w:val="24"/>
          <w:lang w:eastAsia="zh-CN"/>
        </w:rPr>
        <w:t>国</w:t>
      </w:r>
      <w:r w:rsidR="00100126" w:rsidRPr="003A68E1">
        <w:rPr>
          <w:rFonts w:hint="eastAsia"/>
          <w:color w:val="000000"/>
          <w:sz w:val="24"/>
          <w:szCs w:val="24"/>
          <w:lang w:eastAsia="zh-CN"/>
        </w:rPr>
        <w:t>拉巴特</w:t>
      </w:r>
      <w:r w:rsidR="00100126" w:rsidRPr="003A68E1">
        <w:rPr>
          <w:color w:val="000000"/>
          <w:sz w:val="24"/>
          <w:szCs w:val="24"/>
          <w:lang w:eastAsia="zh-CN"/>
        </w:rPr>
        <w:t>召开的阿拉伯频谱管理组第</w:t>
      </w:r>
      <w:r w:rsidR="00C5444C" w:rsidRPr="003A68E1">
        <w:rPr>
          <w:color w:val="000000"/>
          <w:sz w:val="24"/>
          <w:szCs w:val="24"/>
          <w:lang w:eastAsia="zh-CN"/>
        </w:rPr>
        <w:t>20</w:t>
      </w:r>
      <w:r w:rsidR="00100126" w:rsidRPr="003A68E1">
        <w:rPr>
          <w:color w:val="000000"/>
          <w:sz w:val="24"/>
          <w:szCs w:val="24"/>
          <w:lang w:eastAsia="zh-CN"/>
        </w:rPr>
        <w:t>次会议</w:t>
      </w:r>
      <w:r w:rsidR="00F350E6" w:rsidRPr="003A68E1">
        <w:rPr>
          <w:rFonts w:hint="eastAsia"/>
          <w:color w:val="000000"/>
          <w:sz w:val="24"/>
          <w:szCs w:val="24"/>
          <w:lang w:eastAsia="zh-CN"/>
        </w:rPr>
        <w:t>（</w:t>
      </w:r>
      <w:r w:rsidR="00F350E6" w:rsidRPr="003A68E1">
        <w:rPr>
          <w:color w:val="000000"/>
          <w:sz w:val="24"/>
          <w:szCs w:val="24"/>
          <w:lang w:eastAsia="zh-CN"/>
        </w:rPr>
        <w:t>2015</w:t>
      </w:r>
      <w:r w:rsidR="00F350E6" w:rsidRPr="003A68E1">
        <w:rPr>
          <w:rFonts w:hint="eastAsia"/>
          <w:color w:val="000000"/>
          <w:sz w:val="24"/>
          <w:szCs w:val="24"/>
          <w:lang w:eastAsia="zh-CN"/>
        </w:rPr>
        <w:t>年</w:t>
      </w:r>
      <w:r w:rsidR="00F350E6" w:rsidRPr="003A68E1">
        <w:rPr>
          <w:rFonts w:hint="eastAsia"/>
          <w:color w:val="000000"/>
          <w:sz w:val="24"/>
          <w:szCs w:val="24"/>
          <w:lang w:eastAsia="zh-CN"/>
        </w:rPr>
        <w:t>8</w:t>
      </w:r>
      <w:r w:rsidR="00F350E6" w:rsidRPr="003A68E1">
        <w:rPr>
          <w:rFonts w:hint="eastAsia"/>
          <w:color w:val="000000"/>
          <w:sz w:val="24"/>
          <w:szCs w:val="24"/>
          <w:lang w:eastAsia="zh-CN"/>
        </w:rPr>
        <w:t>月</w:t>
      </w:r>
      <w:r w:rsidR="00F350E6" w:rsidRPr="003A68E1">
        <w:rPr>
          <w:color w:val="000000"/>
          <w:sz w:val="24"/>
          <w:szCs w:val="24"/>
          <w:lang w:eastAsia="zh-CN"/>
        </w:rPr>
        <w:t>22-27</w:t>
      </w:r>
      <w:r w:rsidR="00F350E6" w:rsidRPr="003A68E1">
        <w:rPr>
          <w:rFonts w:hint="eastAsia"/>
          <w:color w:val="000000"/>
          <w:sz w:val="24"/>
          <w:szCs w:val="24"/>
          <w:lang w:eastAsia="zh-CN"/>
        </w:rPr>
        <w:t>日）</w:t>
      </w:r>
      <w:r w:rsidR="00100126" w:rsidRPr="003A68E1">
        <w:rPr>
          <w:color w:val="000000"/>
          <w:sz w:val="24"/>
          <w:szCs w:val="24"/>
          <w:lang w:eastAsia="zh-CN"/>
        </w:rPr>
        <w:t>上讨论并起草</w:t>
      </w:r>
      <w:r w:rsidR="00100126" w:rsidRPr="003A68E1">
        <w:rPr>
          <w:rFonts w:hint="eastAsia"/>
          <w:color w:val="000000"/>
          <w:sz w:val="24"/>
          <w:szCs w:val="24"/>
          <w:lang w:eastAsia="zh-CN"/>
        </w:rPr>
        <w:t>。</w:t>
      </w:r>
      <w:r w:rsidR="00C5444C" w:rsidRPr="003A68E1">
        <w:rPr>
          <w:rFonts w:hint="eastAsia"/>
          <w:color w:val="000000"/>
          <w:sz w:val="24"/>
          <w:szCs w:val="24"/>
          <w:lang w:eastAsia="zh-CN"/>
        </w:rPr>
        <w:t>下列</w:t>
      </w:r>
      <w:r w:rsidR="00C5444C" w:rsidRPr="003A68E1">
        <w:rPr>
          <w:color w:val="000000"/>
          <w:sz w:val="24"/>
          <w:szCs w:val="24"/>
          <w:lang w:eastAsia="zh-CN"/>
        </w:rPr>
        <w:t>是支持本阿拉伯共同提案的主管部门：</w:t>
      </w:r>
      <w:r w:rsidR="009C7DD4" w:rsidRPr="003A68E1">
        <w:rPr>
          <w:color w:val="000000"/>
          <w:sz w:val="24"/>
          <w:szCs w:val="24"/>
          <w:lang w:eastAsia="zh-CN"/>
        </w:rPr>
        <w:t>巴林（王国）、吉布提（共和国）、（阿拉伯）埃及（共和国）、约旦（哈希姆王国）、科威特（国）、黎巴嫩、毛里塔尼亚（伊斯兰共和国）、摩洛哥（王国）、阿曼（苏丹国）、</w:t>
      </w:r>
      <w:r w:rsidR="00C5444C" w:rsidRPr="003A68E1">
        <w:rPr>
          <w:color w:val="000000"/>
          <w:sz w:val="24"/>
          <w:szCs w:val="24"/>
          <w:lang w:eastAsia="zh-CN"/>
        </w:rPr>
        <w:t>巴勒斯</w:t>
      </w:r>
      <w:r w:rsidR="00C5444C" w:rsidRPr="003A68E1">
        <w:rPr>
          <w:rFonts w:hint="eastAsia"/>
          <w:color w:val="000000"/>
          <w:sz w:val="24"/>
          <w:szCs w:val="24"/>
          <w:lang w:eastAsia="zh-CN"/>
        </w:rPr>
        <w:t>坦</w:t>
      </w:r>
      <w:r w:rsidR="009C7DD4" w:rsidRPr="003A68E1">
        <w:rPr>
          <w:color w:val="000000"/>
          <w:sz w:val="24"/>
          <w:szCs w:val="24"/>
          <w:lang w:eastAsia="zh-CN"/>
        </w:rPr>
        <w:t>、卡塔尔（国）、沙特阿拉伯（王国）、苏丹（共和国）、突尼斯、阿拉伯联合酋长国</w:t>
      </w:r>
      <w:r w:rsidR="009C7DD4" w:rsidRPr="003A68E1">
        <w:rPr>
          <w:rFonts w:hint="eastAsia"/>
          <w:color w:val="000000"/>
          <w:sz w:val="24"/>
          <w:szCs w:val="24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AF" w:rsidRDefault="00AE59AF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AF013F">
      <w:rPr>
        <w:noProof/>
        <w:lang w:val="en-US"/>
      </w:rPr>
      <w:t>2</w:t>
    </w:r>
    <w:r>
      <w:rPr>
        <w:lang w:val="en-US"/>
      </w:rPr>
      <w:fldChar w:fldCharType="end"/>
    </w:r>
  </w:p>
  <w:p w:rsidR="00AE59AF" w:rsidRPr="009447A3" w:rsidRDefault="00AE59AF" w:rsidP="000E5BFC">
    <w:pPr>
      <w:pStyle w:val="Header"/>
      <w:rPr>
        <w:lang w:val="en-US"/>
      </w:rPr>
    </w:pPr>
    <w:r>
      <w:rPr>
        <w:lang w:val="en-US"/>
      </w:rPr>
      <w:t>RA15/PLEN/1</w:t>
    </w:r>
    <w:r w:rsidR="000E5BFC">
      <w:rPr>
        <w:lang w:val="en-US"/>
      </w:rPr>
      <w:t>4</w:t>
    </w:r>
    <w:r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4101577"/>
    <w:multiLevelType w:val="hybridMultilevel"/>
    <w:tmpl w:val="5F966D4C"/>
    <w:lvl w:ilvl="0" w:tplc="01D254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F612E"/>
    <w:multiLevelType w:val="hybridMultilevel"/>
    <w:tmpl w:val="04101AEE"/>
    <w:lvl w:ilvl="0" w:tplc="BA4EBAF0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0710"/>
    <w:multiLevelType w:val="hybridMultilevel"/>
    <w:tmpl w:val="BF886AE4"/>
    <w:lvl w:ilvl="0" w:tplc="932C62CC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23DD9"/>
    <w:multiLevelType w:val="hybridMultilevel"/>
    <w:tmpl w:val="C1D49032"/>
    <w:lvl w:ilvl="0" w:tplc="2DB045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23877"/>
    <w:multiLevelType w:val="multilevel"/>
    <w:tmpl w:val="ED1AC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47198D"/>
    <w:multiLevelType w:val="hybridMultilevel"/>
    <w:tmpl w:val="354A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33149"/>
    <w:multiLevelType w:val="hybridMultilevel"/>
    <w:tmpl w:val="D4823E9E"/>
    <w:lvl w:ilvl="0" w:tplc="9D20533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E11D21"/>
    <w:multiLevelType w:val="hybridMultilevel"/>
    <w:tmpl w:val="799822C8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2688"/>
    <w:multiLevelType w:val="hybridMultilevel"/>
    <w:tmpl w:val="15AE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B5EC0"/>
    <w:multiLevelType w:val="hybridMultilevel"/>
    <w:tmpl w:val="0944DEEC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859B4"/>
    <w:multiLevelType w:val="multilevel"/>
    <w:tmpl w:val="2C064D62"/>
    <w:lvl w:ilvl="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0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3DE3008C"/>
    <w:multiLevelType w:val="hybridMultilevel"/>
    <w:tmpl w:val="2F82D5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F23889"/>
    <w:multiLevelType w:val="hybridMultilevel"/>
    <w:tmpl w:val="E78C8524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01B51"/>
    <w:multiLevelType w:val="hybridMultilevel"/>
    <w:tmpl w:val="37A64BB0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F217E"/>
    <w:multiLevelType w:val="hybridMultilevel"/>
    <w:tmpl w:val="0DBA15F0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4B070268"/>
    <w:multiLevelType w:val="hybridMultilevel"/>
    <w:tmpl w:val="E604E07E"/>
    <w:lvl w:ilvl="0" w:tplc="26528020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B6728"/>
    <w:multiLevelType w:val="multilevel"/>
    <w:tmpl w:val="56B26A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42734C3"/>
    <w:multiLevelType w:val="multilevel"/>
    <w:tmpl w:val="C6C05B0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 w15:restartNumberingAfterBreak="0">
    <w:nsid w:val="5DBD5B9B"/>
    <w:multiLevelType w:val="hybridMultilevel"/>
    <w:tmpl w:val="1E4E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738DD"/>
    <w:multiLevelType w:val="hybridMultilevel"/>
    <w:tmpl w:val="59F8EDAC"/>
    <w:lvl w:ilvl="0" w:tplc="8876A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6C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CA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CF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EF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0B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09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80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87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C942A2"/>
    <w:multiLevelType w:val="hybridMultilevel"/>
    <w:tmpl w:val="E7D8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85F4E"/>
    <w:multiLevelType w:val="hybridMultilevel"/>
    <w:tmpl w:val="DFB0F0E0"/>
    <w:lvl w:ilvl="0" w:tplc="C086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60C0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4F8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2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C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45FEE"/>
    <w:multiLevelType w:val="hybridMultilevel"/>
    <w:tmpl w:val="E812A2FA"/>
    <w:lvl w:ilvl="0" w:tplc="C086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8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2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C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761BF"/>
    <w:multiLevelType w:val="hybridMultilevel"/>
    <w:tmpl w:val="5B0A2454"/>
    <w:lvl w:ilvl="0" w:tplc="A600C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221AE"/>
    <w:multiLevelType w:val="hybridMultilevel"/>
    <w:tmpl w:val="8C82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F2878"/>
    <w:multiLevelType w:val="hybridMultilevel"/>
    <w:tmpl w:val="56985B12"/>
    <w:lvl w:ilvl="0" w:tplc="B71E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A2AE7"/>
    <w:multiLevelType w:val="hybridMultilevel"/>
    <w:tmpl w:val="46F8F8E4"/>
    <w:lvl w:ilvl="0" w:tplc="A600C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36888"/>
    <w:multiLevelType w:val="hybridMultilevel"/>
    <w:tmpl w:val="F514832E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00013"/>
    <w:multiLevelType w:val="hybridMultilevel"/>
    <w:tmpl w:val="1C7888D6"/>
    <w:lvl w:ilvl="0" w:tplc="1AEE6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25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A1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87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22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28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20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22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AC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9"/>
  </w:num>
  <w:num w:numId="4">
    <w:abstractNumId w:val="16"/>
  </w:num>
  <w:num w:numId="5">
    <w:abstractNumId w:val="3"/>
  </w:num>
  <w:num w:numId="6">
    <w:abstractNumId w:val="6"/>
  </w:num>
  <w:num w:numId="7">
    <w:abstractNumId w:val="2"/>
  </w:num>
  <w:num w:numId="8">
    <w:abstractNumId w:val="13"/>
  </w:num>
  <w:num w:numId="9">
    <w:abstractNumId w:val="14"/>
  </w:num>
  <w:num w:numId="10">
    <w:abstractNumId w:val="28"/>
  </w:num>
  <w:num w:numId="11">
    <w:abstractNumId w:val="4"/>
  </w:num>
  <w:num w:numId="12">
    <w:abstractNumId w:val="12"/>
  </w:num>
  <w:num w:numId="13">
    <w:abstractNumId w:val="9"/>
  </w:num>
  <w:num w:numId="14">
    <w:abstractNumId w:val="7"/>
  </w:num>
  <w:num w:numId="15">
    <w:abstractNumId w:val="5"/>
  </w:num>
  <w:num w:numId="16">
    <w:abstractNumId w:val="21"/>
  </w:num>
  <w:num w:numId="17">
    <w:abstractNumId w:val="20"/>
  </w:num>
  <w:num w:numId="18">
    <w:abstractNumId w:val="17"/>
  </w:num>
  <w:num w:numId="19">
    <w:abstractNumId w:val="11"/>
  </w:num>
  <w:num w:numId="20">
    <w:abstractNumId w:val="26"/>
  </w:num>
  <w:num w:numId="21">
    <w:abstractNumId w:val="30"/>
  </w:num>
  <w:num w:numId="22">
    <w:abstractNumId w:val="27"/>
  </w:num>
  <w:num w:numId="23">
    <w:abstractNumId w:val="32"/>
  </w:num>
  <w:num w:numId="24">
    <w:abstractNumId w:val="23"/>
  </w:num>
  <w:num w:numId="25">
    <w:abstractNumId w:val="18"/>
  </w:num>
  <w:num w:numId="26">
    <w:abstractNumId w:val="19"/>
  </w:num>
  <w:num w:numId="27">
    <w:abstractNumId w:val="15"/>
  </w:num>
  <w:num w:numId="28">
    <w:abstractNumId w:val="10"/>
  </w:num>
  <w:num w:numId="29">
    <w:abstractNumId w:val="31"/>
  </w:num>
  <w:num w:numId="30">
    <w:abstractNumId w:val="8"/>
  </w:num>
  <w:num w:numId="31">
    <w:abstractNumId w:val="25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76"/>
    <w:rsid w:val="000024A6"/>
    <w:rsid w:val="00002C36"/>
    <w:rsid w:val="00017CF3"/>
    <w:rsid w:val="00021857"/>
    <w:rsid w:val="00025C06"/>
    <w:rsid w:val="00026535"/>
    <w:rsid w:val="00034B06"/>
    <w:rsid w:val="000447DF"/>
    <w:rsid w:val="000515B8"/>
    <w:rsid w:val="000615B2"/>
    <w:rsid w:val="0006365C"/>
    <w:rsid w:val="00073304"/>
    <w:rsid w:val="0007344D"/>
    <w:rsid w:val="00076AFD"/>
    <w:rsid w:val="00087525"/>
    <w:rsid w:val="0009263A"/>
    <w:rsid w:val="0009435C"/>
    <w:rsid w:val="00097F10"/>
    <w:rsid w:val="000A2972"/>
    <w:rsid w:val="000A474D"/>
    <w:rsid w:val="000B1FB7"/>
    <w:rsid w:val="000D0C9F"/>
    <w:rsid w:val="000E10A6"/>
    <w:rsid w:val="000E3D6D"/>
    <w:rsid w:val="000E4190"/>
    <w:rsid w:val="000E5BFC"/>
    <w:rsid w:val="00100126"/>
    <w:rsid w:val="0010570E"/>
    <w:rsid w:val="00106139"/>
    <w:rsid w:val="0010677D"/>
    <w:rsid w:val="0011178A"/>
    <w:rsid w:val="001213EE"/>
    <w:rsid w:val="0013139F"/>
    <w:rsid w:val="001348C0"/>
    <w:rsid w:val="00151C4D"/>
    <w:rsid w:val="0017607A"/>
    <w:rsid w:val="00180E6C"/>
    <w:rsid w:val="00181706"/>
    <w:rsid w:val="0019114E"/>
    <w:rsid w:val="001A41DD"/>
    <w:rsid w:val="001A50F9"/>
    <w:rsid w:val="001B225D"/>
    <w:rsid w:val="001B27DA"/>
    <w:rsid w:val="001D1EBD"/>
    <w:rsid w:val="001D55B3"/>
    <w:rsid w:val="001D6975"/>
    <w:rsid w:val="001F1D01"/>
    <w:rsid w:val="0020352C"/>
    <w:rsid w:val="00213F8F"/>
    <w:rsid w:val="00222C5D"/>
    <w:rsid w:val="00233453"/>
    <w:rsid w:val="002537E6"/>
    <w:rsid w:val="00265923"/>
    <w:rsid w:val="0028113C"/>
    <w:rsid w:val="00281913"/>
    <w:rsid w:val="00293A01"/>
    <w:rsid w:val="002966B4"/>
    <w:rsid w:val="002A6644"/>
    <w:rsid w:val="002A7849"/>
    <w:rsid w:val="002B4D3B"/>
    <w:rsid w:val="002C2AE9"/>
    <w:rsid w:val="002D1476"/>
    <w:rsid w:val="002E7E12"/>
    <w:rsid w:val="002F2D5F"/>
    <w:rsid w:val="002F7BB7"/>
    <w:rsid w:val="003034A0"/>
    <w:rsid w:val="00304D20"/>
    <w:rsid w:val="00307B94"/>
    <w:rsid w:val="0032284B"/>
    <w:rsid w:val="00322A07"/>
    <w:rsid w:val="00327446"/>
    <w:rsid w:val="00327A85"/>
    <w:rsid w:val="0033095A"/>
    <w:rsid w:val="003322FF"/>
    <w:rsid w:val="003420AB"/>
    <w:rsid w:val="003532CB"/>
    <w:rsid w:val="00361654"/>
    <w:rsid w:val="003709DC"/>
    <w:rsid w:val="003A0D27"/>
    <w:rsid w:val="003A5AF3"/>
    <w:rsid w:val="003A62E8"/>
    <w:rsid w:val="003A68E1"/>
    <w:rsid w:val="003B7252"/>
    <w:rsid w:val="003C22A0"/>
    <w:rsid w:val="003E5046"/>
    <w:rsid w:val="003F7FEA"/>
    <w:rsid w:val="00431B16"/>
    <w:rsid w:val="004505CF"/>
    <w:rsid w:val="00467A53"/>
    <w:rsid w:val="004844C1"/>
    <w:rsid w:val="004A1925"/>
    <w:rsid w:val="004B1CDA"/>
    <w:rsid w:val="004B3F9B"/>
    <w:rsid w:val="004B6488"/>
    <w:rsid w:val="004C5471"/>
    <w:rsid w:val="004C5916"/>
    <w:rsid w:val="004D06D9"/>
    <w:rsid w:val="004D1650"/>
    <w:rsid w:val="004D7BB1"/>
    <w:rsid w:val="004E24A9"/>
    <w:rsid w:val="004F06F9"/>
    <w:rsid w:val="004F1ADB"/>
    <w:rsid w:val="004F2282"/>
    <w:rsid w:val="004F3B2C"/>
    <w:rsid w:val="004F7315"/>
    <w:rsid w:val="00500775"/>
    <w:rsid w:val="00500EA4"/>
    <w:rsid w:val="00513DB8"/>
    <w:rsid w:val="00515651"/>
    <w:rsid w:val="005326A4"/>
    <w:rsid w:val="00537C6E"/>
    <w:rsid w:val="00541AC7"/>
    <w:rsid w:val="0054328B"/>
    <w:rsid w:val="00554CA9"/>
    <w:rsid w:val="00555E62"/>
    <w:rsid w:val="00556ACB"/>
    <w:rsid w:val="0056668A"/>
    <w:rsid w:val="00586689"/>
    <w:rsid w:val="00587B28"/>
    <w:rsid w:val="005966BB"/>
    <w:rsid w:val="005A10DD"/>
    <w:rsid w:val="005B3B58"/>
    <w:rsid w:val="005C053A"/>
    <w:rsid w:val="005C0A9E"/>
    <w:rsid w:val="005C0DBC"/>
    <w:rsid w:val="005C15AE"/>
    <w:rsid w:val="005C5620"/>
    <w:rsid w:val="005D3379"/>
    <w:rsid w:val="005F61C9"/>
    <w:rsid w:val="00603C37"/>
    <w:rsid w:val="006068C5"/>
    <w:rsid w:val="00617530"/>
    <w:rsid w:val="00624283"/>
    <w:rsid w:val="00630D5E"/>
    <w:rsid w:val="006340F3"/>
    <w:rsid w:val="00637543"/>
    <w:rsid w:val="00645B0F"/>
    <w:rsid w:val="006462D9"/>
    <w:rsid w:val="0064737E"/>
    <w:rsid w:val="00654E4B"/>
    <w:rsid w:val="0067178D"/>
    <w:rsid w:val="0067345C"/>
    <w:rsid w:val="00680682"/>
    <w:rsid w:val="00693344"/>
    <w:rsid w:val="006B39D4"/>
    <w:rsid w:val="006C372F"/>
    <w:rsid w:val="006D3A41"/>
    <w:rsid w:val="0070397F"/>
    <w:rsid w:val="0071075B"/>
    <w:rsid w:val="0071246B"/>
    <w:rsid w:val="00722BB8"/>
    <w:rsid w:val="00733BE9"/>
    <w:rsid w:val="00737A20"/>
    <w:rsid w:val="00750D0B"/>
    <w:rsid w:val="00756B1C"/>
    <w:rsid w:val="00767CE4"/>
    <w:rsid w:val="007718D4"/>
    <w:rsid w:val="007805A7"/>
    <w:rsid w:val="00790C54"/>
    <w:rsid w:val="007A5146"/>
    <w:rsid w:val="007B0038"/>
    <w:rsid w:val="007C5A57"/>
    <w:rsid w:val="007D0390"/>
    <w:rsid w:val="00813FEC"/>
    <w:rsid w:val="00823294"/>
    <w:rsid w:val="008321FD"/>
    <w:rsid w:val="00842DBC"/>
    <w:rsid w:val="00843275"/>
    <w:rsid w:val="00845350"/>
    <w:rsid w:val="0085359C"/>
    <w:rsid w:val="008630F1"/>
    <w:rsid w:val="00867CC4"/>
    <w:rsid w:val="00877D12"/>
    <w:rsid w:val="008A2BCA"/>
    <w:rsid w:val="008B1239"/>
    <w:rsid w:val="008B36D6"/>
    <w:rsid w:val="008C5D21"/>
    <w:rsid w:val="008C5FFC"/>
    <w:rsid w:val="00900CB3"/>
    <w:rsid w:val="00901C20"/>
    <w:rsid w:val="0090424E"/>
    <w:rsid w:val="009263F9"/>
    <w:rsid w:val="009271CE"/>
    <w:rsid w:val="00943EBD"/>
    <w:rsid w:val="00944560"/>
    <w:rsid w:val="009447A3"/>
    <w:rsid w:val="009464C5"/>
    <w:rsid w:val="00956FAA"/>
    <w:rsid w:val="0096122E"/>
    <w:rsid w:val="00970B63"/>
    <w:rsid w:val="00971030"/>
    <w:rsid w:val="00993FDF"/>
    <w:rsid w:val="009B3C66"/>
    <w:rsid w:val="009B5639"/>
    <w:rsid w:val="009C19ED"/>
    <w:rsid w:val="009C1E4D"/>
    <w:rsid w:val="009C7DD4"/>
    <w:rsid w:val="009D6097"/>
    <w:rsid w:val="009E67D8"/>
    <w:rsid w:val="00A05CE9"/>
    <w:rsid w:val="00A200D0"/>
    <w:rsid w:val="00A22D02"/>
    <w:rsid w:val="00A25028"/>
    <w:rsid w:val="00A314F0"/>
    <w:rsid w:val="00A34229"/>
    <w:rsid w:val="00A621D4"/>
    <w:rsid w:val="00A6258F"/>
    <w:rsid w:val="00A65C37"/>
    <w:rsid w:val="00A72532"/>
    <w:rsid w:val="00A74BE9"/>
    <w:rsid w:val="00A8684F"/>
    <w:rsid w:val="00A933BB"/>
    <w:rsid w:val="00AA11D6"/>
    <w:rsid w:val="00AA2816"/>
    <w:rsid w:val="00AA2D52"/>
    <w:rsid w:val="00AC1BDA"/>
    <w:rsid w:val="00AE59AF"/>
    <w:rsid w:val="00AE7D05"/>
    <w:rsid w:val="00AF013F"/>
    <w:rsid w:val="00B02B40"/>
    <w:rsid w:val="00B16CF4"/>
    <w:rsid w:val="00B16DF9"/>
    <w:rsid w:val="00B37F0F"/>
    <w:rsid w:val="00B542A1"/>
    <w:rsid w:val="00B576E6"/>
    <w:rsid w:val="00B61DEC"/>
    <w:rsid w:val="00B76D28"/>
    <w:rsid w:val="00B96E23"/>
    <w:rsid w:val="00BA0F11"/>
    <w:rsid w:val="00BA3241"/>
    <w:rsid w:val="00BA6E53"/>
    <w:rsid w:val="00BB05B6"/>
    <w:rsid w:val="00BB243B"/>
    <w:rsid w:val="00BB63FE"/>
    <w:rsid w:val="00BD2389"/>
    <w:rsid w:val="00BE3704"/>
    <w:rsid w:val="00BE5003"/>
    <w:rsid w:val="00BE6086"/>
    <w:rsid w:val="00C12A03"/>
    <w:rsid w:val="00C139AE"/>
    <w:rsid w:val="00C1771E"/>
    <w:rsid w:val="00C368B4"/>
    <w:rsid w:val="00C47021"/>
    <w:rsid w:val="00C5444C"/>
    <w:rsid w:val="00C56E1C"/>
    <w:rsid w:val="00C84EEC"/>
    <w:rsid w:val="00C84F85"/>
    <w:rsid w:val="00C85D99"/>
    <w:rsid w:val="00C91E32"/>
    <w:rsid w:val="00C92CC1"/>
    <w:rsid w:val="00CB0E0D"/>
    <w:rsid w:val="00CB7C6C"/>
    <w:rsid w:val="00CC42B0"/>
    <w:rsid w:val="00CC783E"/>
    <w:rsid w:val="00D471A9"/>
    <w:rsid w:val="00D67351"/>
    <w:rsid w:val="00D73A35"/>
    <w:rsid w:val="00D95B28"/>
    <w:rsid w:val="00DA08AF"/>
    <w:rsid w:val="00DB7D1E"/>
    <w:rsid w:val="00DB7F9D"/>
    <w:rsid w:val="00DD0657"/>
    <w:rsid w:val="00DE4A02"/>
    <w:rsid w:val="00DF206B"/>
    <w:rsid w:val="00E125BF"/>
    <w:rsid w:val="00E25EBB"/>
    <w:rsid w:val="00E42FD3"/>
    <w:rsid w:val="00E52BF3"/>
    <w:rsid w:val="00E53A81"/>
    <w:rsid w:val="00E57960"/>
    <w:rsid w:val="00E63478"/>
    <w:rsid w:val="00E82129"/>
    <w:rsid w:val="00EE4ED1"/>
    <w:rsid w:val="00EF19BC"/>
    <w:rsid w:val="00F314BB"/>
    <w:rsid w:val="00F31D0F"/>
    <w:rsid w:val="00F350E6"/>
    <w:rsid w:val="00F40FCF"/>
    <w:rsid w:val="00F435E9"/>
    <w:rsid w:val="00F451F5"/>
    <w:rsid w:val="00F45909"/>
    <w:rsid w:val="00F47EC6"/>
    <w:rsid w:val="00F50C16"/>
    <w:rsid w:val="00F51160"/>
    <w:rsid w:val="00F57E33"/>
    <w:rsid w:val="00F82321"/>
    <w:rsid w:val="00FA00F9"/>
    <w:rsid w:val="00FA747F"/>
    <w:rsid w:val="00FB4E64"/>
    <w:rsid w:val="00FC0429"/>
    <w:rsid w:val="00FE35B3"/>
    <w:rsid w:val="00FF7A70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BEA31AB-8879-4A60-88EB-78789433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F7A70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F7A7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F7A7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F7A7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F7A7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42A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uiPriority w:val="99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FF7A70"/>
  </w:style>
  <w:style w:type="paragraph" w:customStyle="1" w:styleId="AppendixNo">
    <w:name w:val="Appendix_No"/>
    <w:basedOn w:val="AnnexNo"/>
    <w:next w:val="Annexref"/>
    <w:uiPriority w:val="99"/>
    <w:rsid w:val="00FF7A70"/>
  </w:style>
  <w:style w:type="paragraph" w:customStyle="1" w:styleId="Appendixref">
    <w:name w:val="Appendix_ref"/>
    <w:basedOn w:val="Annexref"/>
    <w:next w:val="Annextitle"/>
    <w:uiPriority w:val="99"/>
    <w:rsid w:val="00FF7A70"/>
  </w:style>
  <w:style w:type="paragraph" w:customStyle="1" w:styleId="Appendixtitle">
    <w:name w:val="Appendix_title"/>
    <w:basedOn w:val="Annextitle"/>
    <w:next w:val="Normal"/>
    <w:uiPriority w:val="99"/>
    <w:rsid w:val="00FF7A70"/>
  </w:style>
  <w:style w:type="character" w:customStyle="1" w:styleId="Artdef">
    <w:name w:val="Art_def"/>
    <w:basedOn w:val="DefaultParagraphFont"/>
    <w:uiPriority w:val="99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uiPriority w:val="99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uiPriority w:val="99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uiPriority w:val="99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link w:val="TabletextChar"/>
    <w:uiPriority w:val="99"/>
    <w:qFormat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B542A1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uiPriority w:val="99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uiPriority w:val="99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FF7A70"/>
  </w:style>
  <w:style w:type="character" w:styleId="EndnoteReference">
    <w:name w:val="endnote reference"/>
    <w:basedOn w:val="DefaultParagraphFont"/>
    <w:uiPriority w:val="99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B542A1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uiPriority w:val="99"/>
    <w:rsid w:val="00FF7A70"/>
    <w:pPr>
      <w:ind w:left="1871" w:hanging="737"/>
    </w:pPr>
  </w:style>
  <w:style w:type="paragraph" w:customStyle="1" w:styleId="enumlev3">
    <w:name w:val="enumlev3"/>
    <w:basedOn w:val="enumlev2"/>
    <w:uiPriority w:val="99"/>
    <w:rsid w:val="00FF7A70"/>
    <w:pPr>
      <w:ind w:left="2268" w:hanging="397"/>
    </w:pPr>
  </w:style>
  <w:style w:type="paragraph" w:customStyle="1" w:styleId="Equation">
    <w:name w:val="Equation"/>
    <w:basedOn w:val="Normal"/>
    <w:uiPriority w:val="99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uiPriority w:val="99"/>
    <w:rsid w:val="00FF7A70"/>
    <w:pPr>
      <w:ind w:left="1134"/>
    </w:pPr>
  </w:style>
  <w:style w:type="paragraph" w:customStyle="1" w:styleId="Equationlegend">
    <w:name w:val="Equation_legend"/>
    <w:basedOn w:val="NormalIndent"/>
    <w:uiPriority w:val="99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uiPriority w:val="99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uiPriority w:val="99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uiPriority w:val="99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Style 13,FC,Ref,de nota al pie,Appel note de bas de p + 11 pt,Italic,Appel note de bas de p1,Appel note de bas de p2,Appel note de bas de p3,Footnote,Style 12,Style 124,o,fr"/>
    <w:basedOn w:val="DefaultParagraphFont"/>
    <w:rsid w:val="00FF7A70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qFormat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uiPriority w:val="99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uiPriority w:val="99"/>
    <w:qFormat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uiPriority w:val="99"/>
    <w:qFormat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uiPriority w:val="99"/>
    <w:rsid w:val="00FF7A70"/>
  </w:style>
  <w:style w:type="paragraph" w:styleId="Index2">
    <w:name w:val="index 2"/>
    <w:basedOn w:val="Normal"/>
    <w:next w:val="Normal"/>
    <w:uiPriority w:val="99"/>
    <w:rsid w:val="00FF7A70"/>
    <w:pPr>
      <w:ind w:left="283"/>
    </w:pPr>
  </w:style>
  <w:style w:type="paragraph" w:styleId="Index3">
    <w:name w:val="index 3"/>
    <w:basedOn w:val="Normal"/>
    <w:next w:val="Normal"/>
    <w:uiPriority w:val="99"/>
    <w:rsid w:val="00FF7A70"/>
    <w:pPr>
      <w:ind w:left="566"/>
    </w:pPr>
  </w:style>
  <w:style w:type="paragraph" w:styleId="Index4">
    <w:name w:val="index 4"/>
    <w:basedOn w:val="Normal"/>
    <w:next w:val="Normal"/>
    <w:uiPriority w:val="99"/>
    <w:rsid w:val="00FF7A70"/>
    <w:pPr>
      <w:ind w:left="849"/>
    </w:pPr>
  </w:style>
  <w:style w:type="paragraph" w:styleId="Index5">
    <w:name w:val="index 5"/>
    <w:basedOn w:val="Normal"/>
    <w:next w:val="Normal"/>
    <w:uiPriority w:val="99"/>
    <w:rsid w:val="00FF7A70"/>
    <w:pPr>
      <w:ind w:left="1132"/>
    </w:pPr>
  </w:style>
  <w:style w:type="paragraph" w:styleId="Index6">
    <w:name w:val="index 6"/>
    <w:basedOn w:val="Normal"/>
    <w:next w:val="Normal"/>
    <w:uiPriority w:val="99"/>
    <w:rsid w:val="00FF7A70"/>
    <w:pPr>
      <w:ind w:left="1415"/>
    </w:pPr>
  </w:style>
  <w:style w:type="paragraph" w:styleId="Index7">
    <w:name w:val="index 7"/>
    <w:basedOn w:val="Normal"/>
    <w:next w:val="Normal"/>
    <w:uiPriority w:val="99"/>
    <w:rsid w:val="00FF7A70"/>
    <w:pPr>
      <w:ind w:left="1698"/>
    </w:pPr>
  </w:style>
  <w:style w:type="paragraph" w:styleId="IndexHeading">
    <w:name w:val="index heading"/>
    <w:basedOn w:val="Normal"/>
    <w:next w:val="Index1"/>
    <w:uiPriority w:val="99"/>
    <w:rsid w:val="00FF7A70"/>
  </w:style>
  <w:style w:type="character" w:styleId="LineNumber">
    <w:name w:val="line number"/>
    <w:basedOn w:val="DefaultParagraphFont"/>
    <w:uiPriority w:val="99"/>
    <w:rsid w:val="00FF7A70"/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FF7A70"/>
    <w:pPr>
      <w:spacing w:before="280"/>
    </w:pPr>
  </w:style>
  <w:style w:type="character" w:customStyle="1" w:styleId="NormalaftertitleChar">
    <w:name w:val="Normal after title Char"/>
    <w:link w:val="Normalaftertitle"/>
    <w:uiPriority w:val="99"/>
    <w:locked/>
    <w:rsid w:val="00B542A1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uiPriority w:val="99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uiPriority w:val="99"/>
    <w:rsid w:val="00FF7A70"/>
  </w:style>
  <w:style w:type="paragraph" w:customStyle="1" w:styleId="PartNo">
    <w:name w:val="Part_No"/>
    <w:basedOn w:val="AnnexNo"/>
    <w:next w:val="Normal"/>
    <w:uiPriority w:val="99"/>
    <w:rsid w:val="00FF7A70"/>
  </w:style>
  <w:style w:type="paragraph" w:customStyle="1" w:styleId="Partref">
    <w:name w:val="Part_ref"/>
    <w:basedOn w:val="Annexref"/>
    <w:next w:val="Normal"/>
    <w:uiPriority w:val="99"/>
    <w:rsid w:val="00FF7A70"/>
  </w:style>
  <w:style w:type="paragraph" w:customStyle="1" w:styleId="Parttitle">
    <w:name w:val="Part_title"/>
    <w:basedOn w:val="Annextitle"/>
    <w:next w:val="Normalaftertitle"/>
    <w:uiPriority w:val="99"/>
    <w:rsid w:val="00FF7A70"/>
  </w:style>
  <w:style w:type="paragraph" w:customStyle="1" w:styleId="Proposal">
    <w:name w:val="Proposal"/>
    <w:basedOn w:val="Normal"/>
    <w:next w:val="Normal"/>
    <w:uiPriority w:val="99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uiPriority w:val="99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uiPriority w:val="99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uiPriority w:val="99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FF7A70"/>
  </w:style>
  <w:style w:type="paragraph" w:customStyle="1" w:styleId="QuestionNo">
    <w:name w:val="Question_No"/>
    <w:basedOn w:val="RecNo"/>
    <w:next w:val="Normal"/>
    <w:uiPriority w:val="99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uiPriority w:val="99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uiPriority w:val="99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uiPriority w:val="99"/>
    <w:rsid w:val="00FF7A70"/>
  </w:style>
  <w:style w:type="paragraph" w:customStyle="1" w:styleId="Section1">
    <w:name w:val="Section_1"/>
    <w:basedOn w:val="Normal"/>
    <w:uiPriority w:val="99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FF7A70"/>
    <w:rPr>
      <w:b w:val="0"/>
      <w:i/>
    </w:rPr>
  </w:style>
  <w:style w:type="paragraph" w:customStyle="1" w:styleId="Section3">
    <w:name w:val="Section_3"/>
    <w:basedOn w:val="Section1"/>
    <w:uiPriority w:val="99"/>
    <w:rsid w:val="00FF7A70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FF7A70"/>
  </w:style>
  <w:style w:type="paragraph" w:customStyle="1" w:styleId="Sectiontitle">
    <w:name w:val="Section_title"/>
    <w:basedOn w:val="Annextitle"/>
    <w:next w:val="Normalaftertitle"/>
    <w:uiPriority w:val="99"/>
    <w:rsid w:val="00FF7A70"/>
  </w:style>
  <w:style w:type="paragraph" w:customStyle="1" w:styleId="Source">
    <w:name w:val="Source"/>
    <w:basedOn w:val="Normal"/>
    <w:next w:val="Normal"/>
    <w:uiPriority w:val="99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uiPriority w:val="22"/>
    <w:qFormat/>
    <w:rsid w:val="00FF7A70"/>
    <w:rPr>
      <w:b/>
      <w:bCs/>
    </w:rPr>
  </w:style>
  <w:style w:type="character" w:customStyle="1" w:styleId="Tablefreq">
    <w:name w:val="Table_freq"/>
    <w:basedOn w:val="DefaultParagraphFont"/>
    <w:uiPriority w:val="99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uiPriority w:val="99"/>
    <w:rsid w:val="00B542A1"/>
    <w:rPr>
      <w:rFonts w:ascii="Times New Roman Bold" w:hAnsi="Times New Roman Bold"/>
      <w:b/>
      <w:lang w:val="en-GB" w:eastAsia="en-US"/>
    </w:rPr>
  </w:style>
  <w:style w:type="paragraph" w:customStyle="1" w:styleId="Tablelegend">
    <w:name w:val="Table_legend"/>
    <w:basedOn w:val="Tabletext"/>
    <w:uiPriority w:val="99"/>
    <w:rsid w:val="00FF7A70"/>
    <w:pPr>
      <w:spacing w:before="120"/>
    </w:pPr>
  </w:style>
  <w:style w:type="paragraph" w:customStyle="1" w:styleId="TableNo">
    <w:name w:val="Table_No"/>
    <w:basedOn w:val="Normal"/>
    <w:next w:val="Tabletitle"/>
    <w:uiPriority w:val="99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uiPriority w:val="99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uiPriority w:val="99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uiPriority w:val="99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FF7A70"/>
    <w:pPr>
      <w:spacing w:before="120"/>
    </w:pPr>
  </w:style>
  <w:style w:type="paragraph" w:styleId="TOC3">
    <w:name w:val="toc 3"/>
    <w:basedOn w:val="TOC2"/>
    <w:uiPriority w:val="39"/>
    <w:rsid w:val="00FF7A70"/>
  </w:style>
  <w:style w:type="paragraph" w:styleId="TOC4">
    <w:name w:val="toc 4"/>
    <w:basedOn w:val="TOC3"/>
    <w:uiPriority w:val="39"/>
    <w:rsid w:val="00FF7A70"/>
  </w:style>
  <w:style w:type="paragraph" w:styleId="TOC5">
    <w:name w:val="toc 5"/>
    <w:basedOn w:val="TOC4"/>
    <w:uiPriority w:val="39"/>
    <w:rsid w:val="00FF7A70"/>
  </w:style>
  <w:style w:type="paragraph" w:styleId="TOC6">
    <w:name w:val="toc 6"/>
    <w:basedOn w:val="TOC4"/>
    <w:uiPriority w:val="39"/>
    <w:rsid w:val="00FF7A70"/>
  </w:style>
  <w:style w:type="paragraph" w:styleId="TOC7">
    <w:name w:val="toc 7"/>
    <w:basedOn w:val="TOC4"/>
    <w:uiPriority w:val="39"/>
    <w:rsid w:val="00FF7A70"/>
  </w:style>
  <w:style w:type="paragraph" w:styleId="TOC8">
    <w:name w:val="toc 8"/>
    <w:basedOn w:val="TOC4"/>
    <w:uiPriority w:val="39"/>
    <w:rsid w:val="00FF7A70"/>
  </w:style>
  <w:style w:type="paragraph" w:customStyle="1" w:styleId="Agendaitem">
    <w:name w:val="Agenda_item"/>
    <w:basedOn w:val="Title3"/>
    <w:next w:val="Normalaftertitle"/>
    <w:qFormat/>
    <w:rsid w:val="00B542A1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B542A1"/>
  </w:style>
  <w:style w:type="paragraph" w:customStyle="1" w:styleId="Part1">
    <w:name w:val="Part_1"/>
    <w:basedOn w:val="Subsection1"/>
    <w:next w:val="Normalaftertitle"/>
    <w:qFormat/>
    <w:rsid w:val="00B542A1"/>
  </w:style>
  <w:style w:type="paragraph" w:customStyle="1" w:styleId="Normalend">
    <w:name w:val="Normal_end"/>
    <w:basedOn w:val="Normal"/>
    <w:qFormat/>
    <w:rsid w:val="00B542A1"/>
  </w:style>
  <w:style w:type="paragraph" w:customStyle="1" w:styleId="ApptoAnnex">
    <w:name w:val="App_to_Annex"/>
    <w:basedOn w:val="AppendixNo"/>
    <w:qFormat/>
    <w:rsid w:val="00B542A1"/>
  </w:style>
  <w:style w:type="paragraph" w:customStyle="1" w:styleId="AppArttitle">
    <w:name w:val="App_Art_title"/>
    <w:basedOn w:val="Arttitle"/>
    <w:qFormat/>
    <w:rsid w:val="00B542A1"/>
  </w:style>
  <w:style w:type="paragraph" w:customStyle="1" w:styleId="AppArtNo">
    <w:name w:val="App_Art_No"/>
    <w:basedOn w:val="ArtNo"/>
    <w:qFormat/>
    <w:rsid w:val="00B542A1"/>
  </w:style>
  <w:style w:type="paragraph" w:customStyle="1" w:styleId="Committee">
    <w:name w:val="Committee"/>
    <w:basedOn w:val="Normal"/>
    <w:qFormat/>
    <w:rsid w:val="00B542A1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B542A1"/>
  </w:style>
  <w:style w:type="paragraph" w:customStyle="1" w:styleId="Char">
    <w:name w:val="Char"/>
    <w:basedOn w:val="Normal"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rFonts w:ascii="Arial" w:eastAsia="Times New Roman" w:hAnsi="Arial"/>
      <w:sz w:val="20"/>
      <w:lang w:val="fr-FR" w:eastAsia="zh-CN"/>
    </w:rPr>
  </w:style>
  <w:style w:type="character" w:styleId="Hyperlink">
    <w:name w:val="Hyperlink"/>
    <w:basedOn w:val="DefaultParagraphFont"/>
    <w:uiPriority w:val="99"/>
    <w:rsid w:val="00B542A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360" w:lineRule="atLeast"/>
      <w:jc w:val="both"/>
      <w:textAlignment w:val="auto"/>
    </w:pPr>
    <w:rPr>
      <w:rFonts w:eastAsia="Times New Roman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B542A1"/>
    <w:pPr>
      <w:widowControl w:val="0"/>
      <w:spacing w:before="240" w:line="360" w:lineRule="atLeast"/>
      <w:ind w:left="0" w:firstLine="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542A1"/>
    <w:rPr>
      <w:rFonts w:ascii="Calibri" w:eastAsia="Times New Roma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42A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B542A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42A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both"/>
      <w:textAlignment w:val="auto"/>
    </w:pPr>
    <w:rPr>
      <w:rFonts w:ascii="Calibri" w:eastAsia="Times New Roman" w:hAnsi="Calibri" w:cs="Arial"/>
      <w:sz w:val="22"/>
      <w:szCs w:val="22"/>
      <w:lang w:val="en-US" w:eastAsia="zh-CN"/>
    </w:rPr>
  </w:style>
  <w:style w:type="paragraph" w:styleId="BodyText2">
    <w:name w:val="Body Text 2"/>
    <w:basedOn w:val="Normal"/>
    <w:link w:val="BodyText2Char"/>
    <w:rsid w:val="00B542A1"/>
    <w:pPr>
      <w:widowControl w:val="0"/>
      <w:tabs>
        <w:tab w:val="clear" w:pos="1134"/>
        <w:tab w:val="clear" w:pos="1871"/>
        <w:tab w:val="clear" w:pos="2268"/>
        <w:tab w:val="left" w:pos="900"/>
        <w:tab w:val="left" w:pos="1191"/>
        <w:tab w:val="left" w:pos="1588"/>
        <w:tab w:val="left" w:pos="1985"/>
      </w:tabs>
      <w:spacing w:line="360" w:lineRule="atLeast"/>
      <w:jc w:val="both"/>
    </w:pPr>
    <w:rPr>
      <w:rFonts w:eastAsia="Times New Roman"/>
      <w:szCs w:val="22"/>
    </w:rPr>
  </w:style>
  <w:style w:type="character" w:customStyle="1" w:styleId="BodyText2Char">
    <w:name w:val="Body Text 2 Char"/>
    <w:basedOn w:val="DefaultParagraphFont"/>
    <w:link w:val="BodyText2"/>
    <w:rsid w:val="00B542A1"/>
    <w:rPr>
      <w:rFonts w:ascii="Times New Roman" w:eastAsia="Times New Roman" w:hAnsi="Times New Roman"/>
      <w:sz w:val="24"/>
      <w:szCs w:val="22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59" w:lineRule="auto"/>
      <w:ind w:left="1760"/>
      <w:jc w:val="both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ref">
    <w:name w:val="href"/>
    <w:rsid w:val="002E7E12"/>
    <w:rPr>
      <w:rFonts w:cs="Times New Roman"/>
    </w:rPr>
  </w:style>
  <w:style w:type="paragraph" w:customStyle="1" w:styleId="AnnexNotitle">
    <w:name w:val="Annex_No &amp; title"/>
    <w:basedOn w:val="Normal"/>
    <w:next w:val="Normal"/>
    <w:rsid w:val="0013139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Times New Roman"/>
      <w:b/>
      <w:sz w:val="28"/>
    </w:rPr>
  </w:style>
  <w:style w:type="character" w:customStyle="1" w:styleId="CallChar">
    <w:name w:val="Call Char"/>
    <w:basedOn w:val="DefaultParagraphFont"/>
    <w:link w:val="Call"/>
    <w:rsid w:val="0028113C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2-SG05-C-021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5-RP-1008/en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5F73-58A6-4C23-B850-F7BC6604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31</TotalTime>
  <Pages>1</Pages>
  <Words>801</Words>
  <Characters>1047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Xu, Hui</dc:creator>
  <cp:lastModifiedBy>Zheng, Bingyue</cp:lastModifiedBy>
  <cp:revision>7</cp:revision>
  <cp:lastPrinted>2015-10-19T16:51:00Z</cp:lastPrinted>
  <dcterms:created xsi:type="dcterms:W3CDTF">2015-10-19T15:14:00Z</dcterms:created>
  <dcterms:modified xsi:type="dcterms:W3CDTF">2015-10-19T16:52:00Z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