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6F6BDB" w:rsidTr="00B35BE4">
        <w:trPr>
          <w:cantSplit/>
        </w:trPr>
        <w:tc>
          <w:tcPr>
            <w:tcW w:w="6487" w:type="dxa"/>
          </w:tcPr>
          <w:p w:rsidR="006F6BDB" w:rsidRPr="008C0E58" w:rsidRDefault="006F6BDB" w:rsidP="006F6BDB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EE4A57">
              <w:rPr>
                <w:rFonts w:ascii="SimSun" w:eastAsia="SimSun" w:hAnsi="SimSun" w:cs="SimSun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8C0E58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EE4A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2015</w:t>
            </w:r>
            <w:r w:rsidRPr="00EE4A57">
              <w:rPr>
                <w:rFonts w:ascii="SimSun" w:eastAsia="SimSun" w:hAnsi="SimSun" w:cs="SimSun" w:hint="eastAsia"/>
                <w:b/>
                <w:bCs/>
                <w:sz w:val="20"/>
                <w:lang w:eastAsia="zh-CN"/>
              </w:rPr>
              <w:t>年</w:t>
            </w:r>
            <w:r w:rsidRPr="00EE4A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Pr="00EE4A57">
              <w:rPr>
                <w:rFonts w:ascii="SimSun" w:eastAsia="SimSun" w:hAnsi="SimSun" w:cs="SimSun" w:hint="eastAsia"/>
                <w:b/>
                <w:bCs/>
                <w:sz w:val="20"/>
                <w:lang w:eastAsia="zh-CN"/>
              </w:rPr>
              <w:t>月</w:t>
            </w:r>
            <w:r w:rsidRPr="00EE4A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5-8</w:t>
            </w:r>
            <w:r w:rsidRPr="00EE4A57">
              <w:rPr>
                <w:rFonts w:ascii="SimSun" w:eastAsia="SimSun" w:hAnsi="SimSun" w:cs="SimSun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402" w:type="dxa"/>
          </w:tcPr>
          <w:p w:rsidR="006F6BDB" w:rsidRDefault="006F6BDB" w:rsidP="006F6BDB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58C42001" wp14:editId="770CA931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F6BDB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6F6BDB" w:rsidRPr="00124024" w:rsidRDefault="006F6BDB" w:rsidP="006F6BD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>国</w:t>
            </w:r>
            <w:r w:rsidR="00124024" w:rsidRPr="00124024">
              <w:rPr>
                <w:rFonts w:ascii="SimSun" w:eastAsia="SimSun" w:hAnsi="SimSun" w:cs="SimSun"/>
                <w:b/>
                <w:sz w:val="22"/>
                <w:szCs w:val="22"/>
                <w:lang w:val="en-US"/>
              </w:rPr>
              <w:t xml:space="preserve"> </w:t>
            </w:r>
            <w:r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>际</w:t>
            </w:r>
            <w:r w:rsidR="00124024"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 xml:space="preserve"> </w:t>
            </w:r>
            <w:r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>电</w:t>
            </w:r>
            <w:r w:rsidR="00124024"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 xml:space="preserve"> </w:t>
            </w:r>
            <w:r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>信</w:t>
            </w:r>
            <w:r w:rsidR="00124024"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 xml:space="preserve"> </w:t>
            </w:r>
            <w:r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>联</w:t>
            </w:r>
            <w:r w:rsidR="00124024"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 xml:space="preserve"> </w:t>
            </w:r>
            <w:r w:rsidRPr="00124024">
              <w:rPr>
                <w:rFonts w:ascii="SimSun" w:eastAsia="SimSun" w:hAnsi="SimSun" w:cs="SimSun" w:hint="eastAsia"/>
                <w:b/>
                <w:sz w:val="22"/>
                <w:szCs w:val="22"/>
              </w:rPr>
              <w:t>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F6BDB" w:rsidRPr="0051782D" w:rsidRDefault="006F6BDB" w:rsidP="006F6BDB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6F6BDB" w:rsidTr="00B35BE4">
        <w:trPr>
          <w:cantSplit/>
        </w:trPr>
        <w:tc>
          <w:tcPr>
            <w:tcW w:w="6487" w:type="dxa"/>
            <w:vMerge w:val="restart"/>
          </w:tcPr>
          <w:p w:rsidR="006F6BDB" w:rsidRDefault="006F6BDB" w:rsidP="006F6BDB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6F6BDB" w:rsidRPr="00A93BAD" w:rsidRDefault="006F6BDB" w:rsidP="0012402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Pr="00A93BAD">
              <w:rPr>
                <w:rFonts w:ascii="Verdana" w:hAnsi="Verdana"/>
                <w:b/>
                <w:sz w:val="20"/>
              </w:rPr>
              <w:t xml:space="preserve"> RAG15</w:t>
            </w:r>
            <w:r>
              <w:rPr>
                <w:rFonts w:ascii="Verdana" w:hAnsi="Verdana"/>
                <w:b/>
                <w:sz w:val="20"/>
              </w:rPr>
              <w:t>-1</w:t>
            </w:r>
            <w:r w:rsidRPr="00A93BAD">
              <w:rPr>
                <w:rFonts w:ascii="Verdana" w:hAnsi="Verdana"/>
                <w:b/>
                <w:sz w:val="20"/>
              </w:rPr>
              <w:t>/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Pr="00A93BAD">
              <w:rPr>
                <w:rFonts w:ascii="Verdana" w:hAnsi="Verdana"/>
                <w:b/>
                <w:sz w:val="20"/>
              </w:rPr>
              <w:t>-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6F6BDB" w:rsidTr="00B35BE4">
        <w:trPr>
          <w:cantSplit/>
        </w:trPr>
        <w:tc>
          <w:tcPr>
            <w:tcW w:w="6487" w:type="dxa"/>
            <w:vMerge/>
          </w:tcPr>
          <w:p w:rsidR="006F6BDB" w:rsidRDefault="006F6BDB" w:rsidP="006F6BD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6F6BDB" w:rsidRPr="00A93BAD" w:rsidRDefault="006F6BDB" w:rsidP="006F6BD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93BAD">
              <w:rPr>
                <w:rFonts w:ascii="Verdana" w:hAnsi="Verdana"/>
                <w:b/>
                <w:sz w:val="20"/>
              </w:rPr>
              <w:t>2015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6F6BDB" w:rsidTr="00B35BE4">
        <w:trPr>
          <w:cantSplit/>
        </w:trPr>
        <w:tc>
          <w:tcPr>
            <w:tcW w:w="6487" w:type="dxa"/>
            <w:vMerge/>
          </w:tcPr>
          <w:p w:rsidR="006F6BDB" w:rsidRDefault="006F6BDB" w:rsidP="006F6BD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6F6BDB" w:rsidRPr="00A93BAD" w:rsidRDefault="006F6BDB" w:rsidP="006F6BD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0B348E" w:rsidTr="00B35BE4">
        <w:trPr>
          <w:cantSplit/>
        </w:trPr>
        <w:tc>
          <w:tcPr>
            <w:tcW w:w="9889" w:type="dxa"/>
            <w:gridSpan w:val="2"/>
          </w:tcPr>
          <w:p w:rsidR="000B348E" w:rsidRDefault="006F6BDB" w:rsidP="000B348E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  <w:r w:rsidRPr="006F6BDB">
              <w:rPr>
                <w:rFonts w:hint="eastAsia"/>
                <w:lang w:eastAsia="zh-CN"/>
              </w:rPr>
              <w:t>无线电通信顾问组（</w:t>
            </w:r>
            <w:r w:rsidRPr="006F6BDB">
              <w:rPr>
                <w:rFonts w:hint="eastAsia"/>
                <w:lang w:eastAsia="zh-CN"/>
              </w:rPr>
              <w:t>RAG</w:t>
            </w:r>
            <w:r w:rsidRPr="006F6BDB">
              <w:rPr>
                <w:rFonts w:hint="eastAsia"/>
                <w:lang w:eastAsia="zh-CN"/>
              </w:rPr>
              <w:t>）</w:t>
            </w:r>
            <w:r w:rsidR="00124024">
              <w:rPr>
                <w:lang w:eastAsia="zh-CN"/>
              </w:rPr>
              <w:br/>
            </w:r>
            <w:r w:rsidRPr="006F6BDB">
              <w:rPr>
                <w:rFonts w:hint="eastAsia"/>
                <w:lang w:eastAsia="zh-CN"/>
              </w:rPr>
              <w:t>电子文件处理（</w:t>
            </w:r>
            <w:r w:rsidRPr="006F6BDB">
              <w:rPr>
                <w:rFonts w:hint="eastAsia"/>
                <w:lang w:eastAsia="zh-CN"/>
              </w:rPr>
              <w:t>EDH</w:t>
            </w:r>
            <w:r w:rsidRPr="006F6BDB">
              <w:rPr>
                <w:rFonts w:hint="eastAsia"/>
                <w:lang w:eastAsia="zh-CN"/>
              </w:rPr>
              <w:t>）</w:t>
            </w:r>
            <w:r w:rsidR="000B348E">
              <w:rPr>
                <w:rStyle w:val="FootnoteReference"/>
                <w:szCs w:val="28"/>
              </w:rPr>
              <w:footnoteReference w:id="1"/>
            </w:r>
            <w:r w:rsidR="009268D1">
              <w:rPr>
                <w:rFonts w:hint="eastAsia"/>
                <w:lang w:eastAsia="zh-CN"/>
              </w:rPr>
              <w:t>信函通信组协调员</w:t>
            </w:r>
          </w:p>
        </w:tc>
      </w:tr>
      <w:tr w:rsidR="000B348E" w:rsidTr="00B35BE4">
        <w:trPr>
          <w:cantSplit/>
        </w:trPr>
        <w:tc>
          <w:tcPr>
            <w:tcW w:w="9889" w:type="dxa"/>
            <w:gridSpan w:val="2"/>
          </w:tcPr>
          <w:p w:rsidR="000B348E" w:rsidRDefault="009268D1" w:rsidP="006F6BDB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 w:rsidR="006F6BDB" w:rsidRPr="006F6BDB">
              <w:rPr>
                <w:rFonts w:hint="eastAsia"/>
                <w:lang w:eastAsia="zh-CN"/>
              </w:rPr>
              <w:t>EDH</w:t>
            </w:r>
            <w:r w:rsidR="006F6BDB" w:rsidRPr="006F6BDB">
              <w:rPr>
                <w:rFonts w:hint="eastAsia"/>
                <w:lang w:eastAsia="zh-CN"/>
              </w:rPr>
              <w:t>活动</w:t>
            </w:r>
            <w:r w:rsidR="006F6BDB">
              <w:rPr>
                <w:rFonts w:hint="eastAsia"/>
                <w:lang w:eastAsia="zh-CN"/>
              </w:rPr>
              <w:t>的</w:t>
            </w:r>
            <w:r w:rsidR="006F6BDB" w:rsidRPr="006F6BDB">
              <w:rPr>
                <w:rFonts w:hint="eastAsia"/>
                <w:lang w:eastAsia="zh-CN"/>
              </w:rPr>
              <w:t>进展报告</w:t>
            </w:r>
          </w:p>
        </w:tc>
      </w:tr>
    </w:tbl>
    <w:bookmarkEnd w:id="5"/>
    <w:p w:rsidR="000B348E" w:rsidRDefault="000B348E" w:rsidP="00124024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6F6BDB">
        <w:rPr>
          <w:rFonts w:hint="eastAsia"/>
          <w:lang w:eastAsia="zh-CN"/>
        </w:rPr>
        <w:t>引言</w:t>
      </w:r>
    </w:p>
    <w:p w:rsidR="006F6BDB" w:rsidRDefault="006F6BDB" w:rsidP="00124024">
      <w:pPr>
        <w:ind w:firstLineChars="200" w:firstLine="480"/>
        <w:rPr>
          <w:lang w:eastAsia="zh-CN"/>
        </w:rPr>
      </w:pPr>
      <w:r w:rsidRPr="00A34BB8">
        <w:rPr>
          <w:rFonts w:hint="eastAsia"/>
          <w:lang w:eastAsia="zh-CN"/>
        </w:rPr>
        <w:t>如</w:t>
      </w:r>
      <w:hyperlink r:id="rId8" w:history="1">
        <w:r w:rsidRPr="00A34BB8">
          <w:rPr>
            <w:rStyle w:val="Hyperlink"/>
            <w:lang w:eastAsia="zh-CN"/>
          </w:rPr>
          <w:t>CA/13</w:t>
        </w:r>
        <w:r w:rsidRPr="00A34BB8">
          <w:rPr>
            <w:rStyle w:val="Hyperlink"/>
            <w:rFonts w:hint="eastAsia"/>
            <w:lang w:eastAsia="zh-CN"/>
          </w:rPr>
          <w:t>0</w:t>
        </w:r>
        <w:r w:rsidRPr="00A34BB8">
          <w:rPr>
            <w:rStyle w:val="Hyperlink"/>
            <w:rFonts w:hint="eastAsia"/>
            <w:lang w:eastAsia="zh-CN"/>
          </w:rPr>
          <w:t>号行政通函</w:t>
        </w:r>
      </w:hyperlink>
      <w:r w:rsidRPr="00A34BB8">
        <w:rPr>
          <w:rFonts w:hint="eastAsia"/>
          <w:lang w:eastAsia="zh-CN"/>
        </w:rPr>
        <w:t>所述，无线电通信全会成立了隶属于无线电通信顾问组（</w:t>
      </w:r>
      <w:r w:rsidRPr="00A34BB8">
        <w:rPr>
          <w:rFonts w:hint="eastAsia"/>
          <w:lang w:eastAsia="zh-CN"/>
        </w:rPr>
        <w:t>RAG</w:t>
      </w:r>
      <w:r w:rsidRPr="00A34BB8">
        <w:rPr>
          <w:rFonts w:hint="eastAsia"/>
          <w:lang w:eastAsia="zh-CN"/>
        </w:rPr>
        <w:t>）的电子文件处理（</w:t>
      </w:r>
      <w:r w:rsidRPr="00A34BB8">
        <w:rPr>
          <w:rFonts w:hint="eastAsia"/>
          <w:lang w:eastAsia="zh-CN"/>
        </w:rPr>
        <w:t>EDH</w:t>
      </w:r>
      <w:r w:rsidRPr="00A34BB8">
        <w:rPr>
          <w:rFonts w:hint="eastAsia"/>
          <w:lang w:eastAsia="zh-CN"/>
        </w:rPr>
        <w:t>）信函通信组。</w:t>
      </w:r>
    </w:p>
    <w:p w:rsidR="006F6BDB" w:rsidRPr="00A34BB8" w:rsidRDefault="006F6BDB" w:rsidP="001240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RAG</w:t>
      </w:r>
      <w:r w:rsidR="00124024">
        <w:rPr>
          <w:lang w:eastAsia="zh-CN"/>
        </w:rPr>
        <w:t xml:space="preserve"> 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年会议以来</w:t>
      </w:r>
      <w:r w:rsidRPr="00A34BB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EDH</w:t>
      </w:r>
      <w:r>
        <w:rPr>
          <w:rFonts w:hint="eastAsia"/>
          <w:lang w:eastAsia="zh-CN"/>
        </w:rPr>
        <w:t>信函通信组未开展活动，</w:t>
      </w:r>
      <w:r w:rsidRPr="00A34BB8">
        <w:rPr>
          <w:rFonts w:hint="eastAsia"/>
          <w:lang w:eastAsia="zh-CN"/>
        </w:rPr>
        <w:t>这可能表明，</w:t>
      </w:r>
      <w:r w:rsidRPr="00A34BB8">
        <w:rPr>
          <w:rFonts w:hint="eastAsia"/>
          <w:lang w:eastAsia="zh-CN"/>
        </w:rPr>
        <w:t>ITU-R</w:t>
      </w:r>
      <w:r w:rsidRPr="00A34BB8">
        <w:rPr>
          <w:rFonts w:hint="eastAsia"/>
          <w:lang w:eastAsia="zh-CN"/>
        </w:rPr>
        <w:t>电子设备使用的进展顺利。往来信函见电子邮件交流组的</w:t>
      </w:r>
      <w:hyperlink r:id="rId9" w:history="1">
        <w:r>
          <w:rPr>
            <w:rStyle w:val="Hyperlink"/>
            <w:lang w:eastAsia="zh-CN"/>
          </w:rPr>
          <w:t>rag-edh@itu.int</w:t>
        </w:r>
      </w:hyperlink>
      <w:r w:rsidR="00124024">
        <w:rPr>
          <w:rFonts w:hint="eastAsia"/>
          <w:lang w:eastAsia="zh-CN"/>
        </w:rPr>
        <w:t xml:space="preserve"> </w:t>
      </w:r>
      <w:hyperlink r:id="rId10" w:history="1">
        <w:r w:rsidRPr="001857EA">
          <w:rPr>
            <w:rStyle w:val="Hyperlink"/>
            <w:rFonts w:hint="eastAsia"/>
            <w:lang w:eastAsia="zh-CN"/>
          </w:rPr>
          <w:t>档案</w:t>
        </w:r>
      </w:hyperlink>
      <w:r>
        <w:rPr>
          <w:rStyle w:val="FootnoteReference"/>
          <w:lang w:eastAsia="zh-CN"/>
        </w:rPr>
        <w:footnoteReference w:id="2"/>
      </w:r>
      <w:r w:rsidRPr="00A34BB8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无线电通信局对代表和</w:t>
      </w:r>
      <w:r>
        <w:rPr>
          <w:rFonts w:hint="eastAsia"/>
          <w:lang w:eastAsia="zh-CN"/>
        </w:rPr>
        <w:t>EDH</w:t>
      </w:r>
      <w:r>
        <w:rPr>
          <w:rFonts w:hint="eastAsia"/>
          <w:lang w:eastAsia="zh-CN"/>
        </w:rPr>
        <w:t>协调员提出的建议进行了一些非正式讨论</w:t>
      </w:r>
      <w:r w:rsidRPr="00A34BB8">
        <w:rPr>
          <w:rFonts w:hint="eastAsia"/>
          <w:lang w:eastAsia="zh-CN"/>
        </w:rPr>
        <w:t>。</w:t>
      </w:r>
    </w:p>
    <w:p w:rsidR="006F6BDB" w:rsidRPr="00A34BB8" w:rsidRDefault="006F6BDB" w:rsidP="00124024">
      <w:pPr>
        <w:ind w:firstLineChars="200" w:firstLine="480"/>
        <w:rPr>
          <w:lang w:eastAsia="zh-CN"/>
        </w:rPr>
      </w:pPr>
      <w:r w:rsidRPr="00A34BB8">
        <w:rPr>
          <w:lang w:eastAsia="zh-CN"/>
        </w:rPr>
        <w:t>还应注意的电信标准化部门的活动，尤其是世界电信标准化全会（</w:t>
      </w:r>
      <w:r w:rsidRPr="00A34BB8">
        <w:rPr>
          <w:lang w:eastAsia="zh-CN"/>
        </w:rPr>
        <w:t>WTSA</w:t>
      </w:r>
      <w:r w:rsidRPr="00A34BB8">
        <w:rPr>
          <w:lang w:eastAsia="zh-CN"/>
        </w:rPr>
        <w:t>）</w:t>
      </w:r>
      <w:hyperlink r:id="rId11" w:history="1">
        <w:r>
          <w:rPr>
            <w:rStyle w:val="Hyperlink"/>
            <w:lang w:eastAsia="zh-CN"/>
          </w:rPr>
          <w:t>第</w:t>
        </w:r>
        <w:r>
          <w:rPr>
            <w:rStyle w:val="Hyperlink"/>
            <w:lang w:eastAsia="zh-CN"/>
          </w:rPr>
          <w:t>32</w:t>
        </w:r>
        <w:r>
          <w:rPr>
            <w:rStyle w:val="Hyperlink"/>
            <w:lang w:eastAsia="zh-CN"/>
          </w:rPr>
          <w:t>号决议</w:t>
        </w:r>
        <w:r>
          <w:rPr>
            <w:rStyle w:val="Hyperlink"/>
            <w:lang w:eastAsia="zh-CN"/>
          </w:rPr>
          <w:t xml:space="preserve"> – </w:t>
        </w:r>
        <w:r>
          <w:rPr>
            <w:rStyle w:val="Hyperlink"/>
            <w:lang w:eastAsia="zh-CN"/>
          </w:rPr>
          <w:t>在国际电联电信标准化部门的工作中加强电子工作方法的使用</w:t>
        </w:r>
      </w:hyperlink>
      <w:r w:rsidRPr="00A34BB8">
        <w:rPr>
          <w:rFonts w:hint="eastAsia"/>
          <w:lang w:eastAsia="zh-CN"/>
        </w:rPr>
        <w:t>。</w:t>
      </w:r>
    </w:p>
    <w:p w:rsidR="006F6BDB" w:rsidRPr="00A34BB8" w:rsidRDefault="006F6BDB" w:rsidP="00124024">
      <w:pPr>
        <w:ind w:firstLineChars="200" w:firstLine="480"/>
        <w:rPr>
          <w:lang w:eastAsia="zh-CN"/>
        </w:rPr>
      </w:pPr>
      <w:r w:rsidRPr="00A34BB8">
        <w:rPr>
          <w:rFonts w:hint="eastAsia"/>
          <w:lang w:eastAsia="zh-CN"/>
        </w:rPr>
        <w:t>前一份进展报告见</w:t>
      </w:r>
      <w:hyperlink r:id="rId12" w:history="1">
        <w:r w:rsidRPr="006F6BDB">
          <w:rPr>
            <w:rStyle w:val="Hyperlink"/>
            <w:lang w:eastAsia="zh-CN"/>
          </w:rPr>
          <w:t>RAG14-1/19</w:t>
        </w:r>
        <w:r>
          <w:rPr>
            <w:rStyle w:val="Hyperlink"/>
            <w:lang w:eastAsia="zh-CN"/>
          </w:rPr>
          <w:t>号文件</w:t>
        </w:r>
      </w:hyperlink>
      <w:r w:rsidRPr="00D31C00">
        <w:rPr>
          <w:rStyle w:val="FootnoteReference"/>
          <w:lang w:eastAsia="zh-CN"/>
        </w:rPr>
        <w:footnoteReference w:id="3"/>
      </w:r>
      <w:r w:rsidRPr="00A34BB8">
        <w:rPr>
          <w:rFonts w:hint="eastAsia"/>
          <w:lang w:eastAsia="zh-CN"/>
        </w:rPr>
        <w:t>。</w:t>
      </w:r>
    </w:p>
    <w:p w:rsidR="000B348E" w:rsidRDefault="000B348E" w:rsidP="00124024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6F6BDB" w:rsidRPr="00A34BB8">
        <w:rPr>
          <w:lang w:eastAsia="zh-CN"/>
        </w:rPr>
        <w:t>代表注册</w:t>
      </w:r>
    </w:p>
    <w:p w:rsidR="006F6BDB" w:rsidRPr="00A34BB8" w:rsidRDefault="006F6BDB" w:rsidP="00124024">
      <w:pPr>
        <w:ind w:firstLineChars="200" w:firstLine="480"/>
        <w:rPr>
          <w:lang w:val="en-US" w:eastAsia="zh-CN"/>
        </w:rPr>
      </w:pPr>
      <w:r w:rsidRPr="00A34BB8">
        <w:rPr>
          <w:lang w:val="en-US" w:eastAsia="zh-CN"/>
        </w:rPr>
        <w:t>目前，</w:t>
      </w:r>
      <w:r w:rsidRPr="00A34BB8">
        <w:rPr>
          <w:lang w:val="en-US" w:eastAsia="zh-CN"/>
        </w:rPr>
        <w:t>ITU-R</w:t>
      </w:r>
      <w:r w:rsidRPr="00A34BB8">
        <w:rPr>
          <w:lang w:val="en-US" w:eastAsia="zh-CN"/>
        </w:rPr>
        <w:t>所有会议使用</w:t>
      </w:r>
      <w:r>
        <w:rPr>
          <w:rFonts w:hint="eastAsia"/>
          <w:lang w:val="en-US" w:eastAsia="zh-CN"/>
        </w:rPr>
        <w:t>在线</w:t>
      </w:r>
      <w:r w:rsidRPr="00A34BB8">
        <w:rPr>
          <w:lang w:val="en-US" w:eastAsia="zh-CN"/>
        </w:rPr>
        <w:t>网络活动代表注册系统</w:t>
      </w:r>
      <w:r>
        <w:rPr>
          <w:lang w:val="en-US" w:eastAsia="zh-CN"/>
        </w:rPr>
        <w:t>（</w:t>
      </w:r>
      <w:r w:rsidRPr="00A34BB8">
        <w:rPr>
          <w:lang w:val="en-US" w:eastAsia="zh-CN"/>
        </w:rPr>
        <w:t>EDRS</w:t>
      </w:r>
      <w:r>
        <w:rPr>
          <w:lang w:val="en-US" w:eastAsia="zh-CN"/>
        </w:rPr>
        <w:t>）</w:t>
      </w:r>
      <w:r w:rsidRPr="00A34BB8">
        <w:rPr>
          <w:lang w:val="en-US" w:eastAsia="zh-CN"/>
        </w:rPr>
        <w:t>。</w:t>
      </w:r>
    </w:p>
    <w:p w:rsidR="000B348E" w:rsidRDefault="006F6BDB" w:rsidP="00124024">
      <w:pPr>
        <w:ind w:firstLineChars="200" w:firstLine="480"/>
        <w:rPr>
          <w:rFonts w:eastAsia="SimSun"/>
          <w:lang w:val="en-US" w:eastAsia="zh-CN"/>
        </w:rPr>
      </w:pPr>
      <w:r w:rsidRPr="00A34BB8">
        <w:rPr>
          <w:lang w:val="en-US" w:eastAsia="zh-CN"/>
        </w:rPr>
        <w:t>国际电联正在</w:t>
      </w:r>
      <w:r>
        <w:rPr>
          <w:rFonts w:hint="eastAsia"/>
          <w:lang w:val="en-US" w:eastAsia="zh-CN"/>
        </w:rPr>
        <w:t>开发</w:t>
      </w:r>
      <w:r>
        <w:rPr>
          <w:lang w:val="en-US" w:eastAsia="zh-CN"/>
        </w:rPr>
        <w:t>用来管理</w:t>
      </w:r>
      <w:r w:rsidRPr="00A34BB8">
        <w:rPr>
          <w:lang w:val="en-US" w:eastAsia="zh-CN"/>
        </w:rPr>
        <w:t>客户、成员和活动的统一综合</w:t>
      </w:r>
      <w:r w:rsidR="00124024" w:rsidRPr="00A34BB8">
        <w:rPr>
          <w:lang w:val="en-US" w:eastAsia="zh-CN"/>
        </w:rPr>
        <w:t>客户关系管理</w:t>
      </w:r>
      <w:r w:rsidR="00124024">
        <w:rPr>
          <w:lang w:val="en-US" w:eastAsia="zh-CN"/>
        </w:rPr>
        <w:t>（</w:t>
      </w:r>
      <w:r>
        <w:rPr>
          <w:lang w:val="en-US" w:eastAsia="zh-CN"/>
        </w:rPr>
        <w:t>CRM</w:t>
      </w:r>
      <w:r>
        <w:rPr>
          <w:lang w:val="en-US" w:eastAsia="zh-CN"/>
        </w:rPr>
        <w:t>）</w:t>
      </w:r>
      <w:r w:rsidRPr="00A34BB8">
        <w:rPr>
          <w:lang w:val="en-US" w:eastAsia="zh-CN"/>
        </w:rPr>
        <w:t>平台</w:t>
      </w:r>
      <w:r>
        <w:rPr>
          <w:rFonts w:hint="eastAsia"/>
          <w:lang w:val="en-US" w:eastAsia="zh-CN"/>
        </w:rPr>
        <w:t>，该平台增加了与</w:t>
      </w:r>
      <w:r w:rsidRPr="00A34BB8">
        <w:rPr>
          <w:lang w:val="en-US" w:eastAsia="zh-CN"/>
        </w:rPr>
        <w:t>EDRS</w:t>
      </w:r>
      <w:r w:rsidRPr="00A34BB8">
        <w:rPr>
          <w:lang w:val="en-US" w:eastAsia="zh-CN"/>
        </w:rPr>
        <w:t>相关的代表注册功能。</w:t>
      </w:r>
      <w:r>
        <w:rPr>
          <w:rFonts w:hint="eastAsia"/>
          <w:lang w:val="en-US" w:eastAsia="zh-CN"/>
        </w:rPr>
        <w:t>该系统已在国际电联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t>年世界电信展期间使用，并正在向国际电联其它部门推广。</w:t>
      </w:r>
    </w:p>
    <w:p w:rsidR="000B348E" w:rsidRDefault="000B348E" w:rsidP="00124024">
      <w:pPr>
        <w:pStyle w:val="Heading1"/>
        <w:rPr>
          <w:lang w:eastAsia="zh-CN"/>
        </w:rPr>
      </w:pPr>
      <w:r>
        <w:rPr>
          <w:lang w:val="en-US" w:eastAsia="zh-CN"/>
        </w:rPr>
        <w:lastRenderedPageBreak/>
        <w:t>3</w:t>
      </w:r>
      <w:r>
        <w:rPr>
          <w:lang w:eastAsia="zh-CN"/>
        </w:rPr>
        <w:tab/>
      </w:r>
      <w:r w:rsidR="006F6BDB">
        <w:rPr>
          <w:rFonts w:hint="eastAsia"/>
          <w:lang w:eastAsia="zh-CN"/>
        </w:rPr>
        <w:t>信函通信</w:t>
      </w:r>
      <w:r w:rsidR="00124024">
        <w:rPr>
          <w:rFonts w:hint="eastAsia"/>
          <w:lang w:eastAsia="zh-CN"/>
        </w:rPr>
        <w:t>组</w:t>
      </w:r>
      <w:r w:rsidR="006F6BDB">
        <w:rPr>
          <w:rFonts w:hint="eastAsia"/>
          <w:lang w:eastAsia="zh-CN"/>
        </w:rPr>
        <w:t>使用</w:t>
      </w:r>
      <w:r>
        <w:rPr>
          <w:lang w:eastAsia="zh-CN"/>
        </w:rPr>
        <w:t>SharePoint</w:t>
      </w:r>
    </w:p>
    <w:p w:rsidR="000B348E" w:rsidRPr="004D11BF" w:rsidRDefault="006F6BDB" w:rsidP="00124024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目前正在开发交流模板，以便为信函通信组和报告人组会议提供统一的接口。其功能包括将</w:t>
      </w:r>
      <w:r w:rsidR="000B348E" w:rsidRPr="004D11BF">
        <w:rPr>
          <w:lang w:eastAsia="zh-CN"/>
        </w:rPr>
        <w:t>SharePoint</w:t>
      </w:r>
      <w:r>
        <w:rPr>
          <w:rFonts w:hint="eastAsia"/>
          <w:lang w:eastAsia="zh-CN"/>
        </w:rPr>
        <w:t>用于提交文件和分发清单与邮件清单的管理。</w:t>
      </w:r>
    </w:p>
    <w:p w:rsidR="000B348E" w:rsidRDefault="000B348E" w:rsidP="00124024">
      <w:pPr>
        <w:pStyle w:val="Heading1"/>
        <w:rPr>
          <w:lang w:eastAsia="zh-CN"/>
        </w:rPr>
      </w:pPr>
      <w:r>
        <w:rPr>
          <w:szCs w:val="24"/>
          <w:lang w:eastAsia="zh-CN"/>
        </w:rPr>
        <w:t>3</w:t>
      </w:r>
      <w:r w:rsidRPr="00731A4E">
        <w:rPr>
          <w:szCs w:val="24"/>
          <w:lang w:eastAsia="zh-CN"/>
        </w:rPr>
        <w:tab/>
      </w:r>
      <w:r w:rsidR="00BE6D3A">
        <w:rPr>
          <w:rFonts w:hint="eastAsia"/>
          <w:szCs w:val="24"/>
          <w:lang w:eastAsia="zh-CN"/>
        </w:rPr>
        <w:t>国际电联网站的迁移和重新设计</w:t>
      </w:r>
    </w:p>
    <w:p w:rsidR="000B348E" w:rsidRDefault="00BE6D3A" w:rsidP="001240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国际电联已经更新了网站，并于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年底在服务器基础设施更新完毕后迁移至</w:t>
      </w:r>
      <w:r w:rsidR="000B348E" w:rsidRPr="00C91FB8">
        <w:rPr>
          <w:lang w:eastAsia="zh-CN"/>
        </w:rPr>
        <w:t>SharePoint 2013</w:t>
      </w:r>
      <w:r>
        <w:rPr>
          <w:rFonts w:hint="eastAsia"/>
          <w:lang w:eastAsia="zh-CN"/>
        </w:rPr>
        <w:t>。最重要的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网页迁移工作已近完成。</w:t>
      </w:r>
      <w:r w:rsidR="000B348E" w:rsidRPr="004D11BF">
        <w:rPr>
          <w:lang w:eastAsia="zh-CN"/>
        </w:rPr>
        <w:t>FrontPage</w:t>
      </w:r>
      <w:r>
        <w:rPr>
          <w:rFonts w:hint="eastAsia"/>
          <w:lang w:eastAsia="zh-CN"/>
        </w:rPr>
        <w:t>网页服务于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月底冻结（有</w:t>
      </w:r>
      <w:r w:rsidR="00124024">
        <w:rPr>
          <w:rFonts w:hint="eastAsia"/>
          <w:lang w:eastAsia="zh-CN"/>
        </w:rPr>
        <w:t>些</w:t>
      </w:r>
      <w:r>
        <w:rPr>
          <w:rFonts w:hint="eastAsia"/>
          <w:lang w:eastAsia="zh-CN"/>
        </w:rPr>
        <w:t>站点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网页将</w:t>
      </w:r>
      <w:r w:rsidR="005250C4">
        <w:rPr>
          <w:rFonts w:hint="eastAsia"/>
          <w:lang w:eastAsia="zh-CN"/>
        </w:rPr>
        <w:t>退出，有些将保持“原样”，其余则已迁移）。</w:t>
      </w:r>
    </w:p>
    <w:p w:rsidR="000B348E" w:rsidRPr="00C91FB8" w:rsidRDefault="005250C4" w:rsidP="001240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这些站点主页已于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年采用了新的设计（</w:t>
      </w:r>
      <w:r w:rsidRPr="005250C4">
        <w:rPr>
          <w:rFonts w:hint="eastAsia"/>
          <w:lang w:eastAsia="zh-CN"/>
        </w:rPr>
        <w:t>“感观”更加现代</w:t>
      </w:r>
      <w:r>
        <w:rPr>
          <w:rFonts w:hint="eastAsia"/>
          <w:lang w:eastAsia="zh-CN"/>
        </w:rPr>
        <w:t>）。</w:t>
      </w:r>
    </w:p>
    <w:p w:rsidR="000B348E" w:rsidRPr="0041530C" w:rsidRDefault="005250C4" w:rsidP="00124024">
      <w:pPr>
        <w:ind w:firstLineChars="200" w:firstLine="480"/>
        <w:rPr>
          <w:lang w:eastAsia="zh-CN"/>
        </w:rPr>
      </w:pPr>
      <w:r w:rsidRPr="005250C4">
        <w:rPr>
          <w:rFonts w:hint="eastAsia"/>
          <w:color w:val="000000"/>
          <w:lang w:eastAsia="zh-CN"/>
        </w:rPr>
        <w:t>重要的是，随着所有更新的完成，国际电联各网页</w:t>
      </w:r>
      <w:r>
        <w:rPr>
          <w:rFonts w:hint="eastAsia"/>
          <w:color w:val="000000"/>
          <w:lang w:eastAsia="zh-CN"/>
        </w:rPr>
        <w:t>均应拥有永久</w:t>
      </w:r>
      <w:r w:rsidRPr="005250C4">
        <w:rPr>
          <w:rFonts w:hint="eastAsia"/>
          <w:color w:val="000000"/>
          <w:lang w:eastAsia="zh-CN"/>
        </w:rPr>
        <w:t>链接</w:t>
      </w:r>
      <w:r>
        <w:rPr>
          <w:rFonts w:hint="eastAsia"/>
          <w:color w:val="000000"/>
          <w:lang w:eastAsia="zh-CN"/>
        </w:rPr>
        <w:t>且</w:t>
      </w:r>
      <w:r w:rsidRPr="005250C4">
        <w:rPr>
          <w:rFonts w:hint="eastAsia"/>
          <w:color w:val="000000"/>
          <w:lang w:eastAsia="zh-CN"/>
        </w:rPr>
        <w:t>如因</w:t>
      </w:r>
      <w:r>
        <w:rPr>
          <w:rFonts w:hint="eastAsia"/>
          <w:color w:val="000000"/>
          <w:lang w:eastAsia="zh-CN"/>
        </w:rPr>
        <w:t>采用</w:t>
      </w:r>
      <w:r w:rsidRPr="005250C4">
        <w:rPr>
          <w:rFonts w:hint="eastAsia"/>
          <w:color w:val="000000"/>
          <w:lang w:eastAsia="zh-CN"/>
        </w:rPr>
        <w:t>新的目录结构一些位置需要变更，</w:t>
      </w:r>
      <w:r>
        <w:rPr>
          <w:rFonts w:hint="eastAsia"/>
          <w:color w:val="000000"/>
          <w:lang w:eastAsia="zh-CN"/>
        </w:rPr>
        <w:t>则</w:t>
      </w:r>
      <w:r w:rsidRPr="005250C4">
        <w:rPr>
          <w:rFonts w:hint="eastAsia"/>
          <w:color w:val="000000"/>
          <w:lang w:eastAsia="zh-CN"/>
        </w:rPr>
        <w:t>为原</w:t>
      </w:r>
      <w:r w:rsidRPr="005250C4">
        <w:rPr>
          <w:rFonts w:hint="eastAsia"/>
          <w:color w:val="000000"/>
          <w:lang w:eastAsia="zh-CN"/>
        </w:rPr>
        <w:t>URL</w:t>
      </w:r>
      <w:r w:rsidRPr="005250C4">
        <w:rPr>
          <w:rFonts w:hint="eastAsia"/>
          <w:color w:val="000000"/>
          <w:lang w:eastAsia="zh-CN"/>
        </w:rPr>
        <w:t>提供映射和</w:t>
      </w:r>
      <w:r>
        <w:rPr>
          <w:rFonts w:hint="eastAsia"/>
          <w:color w:val="000000"/>
          <w:lang w:eastAsia="zh-CN"/>
        </w:rPr>
        <w:t>转向</w:t>
      </w:r>
      <w:r w:rsidRPr="005250C4">
        <w:rPr>
          <w:rFonts w:hint="eastAsia"/>
          <w:color w:val="000000"/>
          <w:lang w:eastAsia="zh-CN"/>
        </w:rPr>
        <w:t>引导功能至关重要</w:t>
      </w:r>
      <w:r>
        <w:rPr>
          <w:rFonts w:hint="eastAsia"/>
          <w:color w:val="000000"/>
          <w:lang w:eastAsia="zh-CN"/>
        </w:rPr>
        <w:t>。现已为生成永久性网页捷径建立了机制（例如，无论</w:t>
      </w:r>
      <w:r w:rsidR="00CA7C39">
        <w:rPr>
          <w:rFonts w:hint="eastAsia"/>
          <w:color w:val="000000"/>
          <w:lang w:eastAsia="zh-CN"/>
        </w:rPr>
        <w:t>浏览者</w:t>
      </w:r>
      <w:r>
        <w:rPr>
          <w:rFonts w:hint="eastAsia"/>
          <w:lang w:eastAsia="zh-CN"/>
        </w:rPr>
        <w:t>位于何处，</w:t>
      </w:r>
      <w:hyperlink r:id="rId13" w:history="1">
        <w:r w:rsidR="00CA7C39" w:rsidRPr="000C4752">
          <w:rPr>
            <w:rStyle w:val="Hyperlink"/>
            <w:lang w:eastAsia="zh-CN"/>
          </w:rPr>
          <w:t>www.itu.int/cybersecurity</w:t>
        </w:r>
      </w:hyperlink>
      <w:r>
        <w:rPr>
          <w:rFonts w:hint="eastAsia"/>
          <w:lang w:eastAsia="zh-CN"/>
        </w:rPr>
        <w:t>均会将</w:t>
      </w:r>
      <w:r w:rsidR="00CA7C39">
        <w:rPr>
          <w:rFonts w:hint="eastAsia"/>
          <w:lang w:eastAsia="zh-CN"/>
        </w:rPr>
        <w:t>其引导至网络安全主页）。</w:t>
      </w:r>
    </w:p>
    <w:p w:rsidR="000B348E" w:rsidRDefault="000B348E" w:rsidP="00124024">
      <w:pPr>
        <w:pStyle w:val="Heading1"/>
        <w:rPr>
          <w:lang w:eastAsia="zh-CN"/>
        </w:rPr>
      </w:pPr>
      <w:r>
        <w:rPr>
          <w:lang w:val="en-US" w:eastAsia="zh-CN"/>
        </w:rPr>
        <w:t>5</w:t>
      </w:r>
      <w:r>
        <w:rPr>
          <w:lang w:val="en-US" w:eastAsia="zh-CN"/>
        </w:rPr>
        <w:tab/>
      </w:r>
      <w:r w:rsidR="00CA7C39" w:rsidRPr="00CA7C39">
        <w:rPr>
          <w:rFonts w:hint="eastAsia"/>
          <w:lang w:val="en-US" w:eastAsia="zh-CN"/>
        </w:rPr>
        <w:t>通过电子邮件分</w:t>
      </w:r>
      <w:r w:rsidR="00CA7C39">
        <w:rPr>
          <w:rFonts w:hint="eastAsia"/>
          <w:lang w:val="en-US" w:eastAsia="zh-CN"/>
        </w:rPr>
        <w:t>发</w:t>
      </w:r>
      <w:r w:rsidR="00CA7C39" w:rsidRPr="00CA7C39">
        <w:rPr>
          <w:rFonts w:hint="eastAsia"/>
          <w:lang w:val="en-US" w:eastAsia="zh-CN"/>
        </w:rPr>
        <w:t>通函</w:t>
      </w:r>
    </w:p>
    <w:p w:rsidR="000B348E" w:rsidRDefault="00CA7C39" w:rsidP="00124024">
      <w:pPr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或许</w:t>
      </w:r>
      <w:r w:rsidR="00124024">
        <w:rPr>
          <w:rFonts w:hint="eastAsia"/>
          <w:color w:val="000000"/>
          <w:szCs w:val="24"/>
          <w:lang w:eastAsia="zh-CN"/>
        </w:rPr>
        <w:t>有</w:t>
      </w:r>
      <w:r>
        <w:rPr>
          <w:rFonts w:hint="eastAsia"/>
          <w:color w:val="000000"/>
          <w:szCs w:val="24"/>
          <w:lang w:eastAsia="zh-CN"/>
        </w:rPr>
        <w:t>必要根据</w:t>
      </w:r>
      <w:r w:rsidRPr="00CA7C39">
        <w:rPr>
          <w:rFonts w:hint="eastAsia"/>
          <w:color w:val="000000"/>
          <w:szCs w:val="24"/>
          <w:lang w:eastAsia="zh-CN"/>
        </w:rPr>
        <w:t>第</w:t>
      </w:r>
      <w:r w:rsidRPr="00CA7C39">
        <w:rPr>
          <w:rFonts w:hint="eastAsia"/>
          <w:color w:val="000000"/>
          <w:szCs w:val="24"/>
          <w:lang w:eastAsia="zh-CN"/>
        </w:rPr>
        <w:t>5</w:t>
      </w:r>
      <w:r w:rsidRPr="00CA7C39">
        <w:rPr>
          <w:rFonts w:hint="eastAsia"/>
          <w:color w:val="000000"/>
          <w:szCs w:val="24"/>
          <w:lang w:eastAsia="zh-CN"/>
        </w:rPr>
        <w:t>号决定（</w:t>
      </w:r>
      <w:r w:rsidRPr="00CA7C39">
        <w:rPr>
          <w:rFonts w:hint="eastAsia"/>
          <w:color w:val="000000"/>
          <w:szCs w:val="24"/>
          <w:lang w:eastAsia="zh-CN"/>
        </w:rPr>
        <w:t>2014</w:t>
      </w:r>
      <w:r w:rsidRPr="00CA7C39">
        <w:rPr>
          <w:rFonts w:hint="eastAsia"/>
          <w:color w:val="000000"/>
          <w:szCs w:val="24"/>
          <w:lang w:eastAsia="zh-CN"/>
        </w:rPr>
        <w:t>年，釜山，修订版）</w:t>
      </w:r>
      <w:r>
        <w:rPr>
          <w:rFonts w:hint="eastAsia"/>
          <w:color w:val="000000"/>
          <w:szCs w:val="24"/>
          <w:lang w:eastAsia="zh-CN"/>
        </w:rPr>
        <w:t>附件</w:t>
      </w:r>
      <w:r>
        <w:rPr>
          <w:rFonts w:hint="eastAsia"/>
          <w:color w:val="000000"/>
          <w:szCs w:val="24"/>
          <w:lang w:eastAsia="zh-CN"/>
        </w:rPr>
        <w:t>2</w:t>
      </w:r>
      <w:r>
        <w:rPr>
          <w:rFonts w:hint="eastAsia"/>
          <w:color w:val="000000"/>
          <w:szCs w:val="24"/>
          <w:lang w:eastAsia="zh-CN"/>
        </w:rPr>
        <w:t>（有关</w:t>
      </w:r>
      <w:r>
        <w:rPr>
          <w:color w:val="000000"/>
          <w:lang w:eastAsia="zh-CN"/>
        </w:rPr>
        <w:t>减少支出的措</w:t>
      </w:r>
      <w:r>
        <w:rPr>
          <w:rFonts w:ascii="SimSun" w:eastAsia="SimSun" w:hAnsi="SimSun" w:cs="SimSun" w:hint="eastAsia"/>
          <w:color w:val="000000"/>
          <w:lang w:eastAsia="zh-CN"/>
        </w:rPr>
        <w:t>施）以及</w:t>
      </w:r>
      <w:r>
        <w:rPr>
          <w:color w:val="000000"/>
          <w:szCs w:val="24"/>
          <w:lang w:eastAsia="zh-CN"/>
        </w:rPr>
        <w:t>ITU-R</w:t>
      </w:r>
      <w:r>
        <w:rPr>
          <w:rFonts w:hint="eastAsia"/>
          <w:color w:val="000000"/>
          <w:szCs w:val="24"/>
          <w:lang w:eastAsia="zh-CN"/>
        </w:rPr>
        <w:t>第</w:t>
      </w:r>
      <w:r>
        <w:rPr>
          <w:color w:val="000000"/>
          <w:szCs w:val="24"/>
          <w:lang w:eastAsia="zh-CN"/>
        </w:rPr>
        <w:t>1-6</w:t>
      </w:r>
      <w:r>
        <w:rPr>
          <w:rFonts w:hint="eastAsia"/>
          <w:color w:val="000000"/>
          <w:szCs w:val="24"/>
          <w:lang w:eastAsia="zh-CN"/>
        </w:rPr>
        <w:t>号决议的成果，对无线电通信局当前通过电子邮件分发通函的做法重新进行审议。</w:t>
      </w:r>
    </w:p>
    <w:p w:rsidR="000B348E" w:rsidRDefault="00124024" w:rsidP="00124024">
      <w:pPr>
        <w:pStyle w:val="Heading1"/>
        <w:rPr>
          <w:lang w:eastAsia="zh-CN"/>
        </w:rPr>
      </w:pPr>
      <w:r>
        <w:rPr>
          <w:color w:val="000000"/>
          <w:szCs w:val="24"/>
          <w:lang w:val="en-US" w:eastAsia="zh-CN"/>
        </w:rPr>
        <w:t>6</w:t>
      </w:r>
      <w:r w:rsidR="000B348E">
        <w:rPr>
          <w:color w:val="000000"/>
          <w:szCs w:val="24"/>
          <w:lang w:val="en-US" w:eastAsia="zh-CN"/>
        </w:rPr>
        <w:tab/>
      </w:r>
      <w:r w:rsidR="00CA7C39">
        <w:rPr>
          <w:rFonts w:hint="eastAsia"/>
          <w:color w:val="000000"/>
          <w:szCs w:val="24"/>
          <w:lang w:val="en-US" w:eastAsia="zh-CN"/>
        </w:rPr>
        <w:t>建议</w:t>
      </w:r>
    </w:p>
    <w:p w:rsidR="00CA7C39" w:rsidRPr="00A34BB8" w:rsidRDefault="00CA7C39" w:rsidP="00124024">
      <w:pPr>
        <w:ind w:firstLineChars="200" w:firstLine="480"/>
        <w:rPr>
          <w:lang w:eastAsia="zh-CN"/>
        </w:rPr>
      </w:pPr>
      <w:r w:rsidRPr="00CA7C39">
        <w:rPr>
          <w:rFonts w:hint="eastAsia"/>
          <w:color w:val="000000"/>
          <w:szCs w:val="24"/>
          <w:lang w:eastAsia="zh-CN"/>
        </w:rPr>
        <w:t>建议更多小组尝试国际电联电子文件处理的种种方法，从而简化</w:t>
      </w:r>
      <w:r w:rsidRPr="00CA7C39">
        <w:rPr>
          <w:rFonts w:hint="eastAsia"/>
          <w:color w:val="000000"/>
          <w:szCs w:val="24"/>
          <w:lang w:eastAsia="zh-CN"/>
        </w:rPr>
        <w:t>ITU-R</w:t>
      </w:r>
      <w:r w:rsidRPr="00CA7C39">
        <w:rPr>
          <w:rFonts w:hint="eastAsia"/>
          <w:color w:val="000000"/>
          <w:szCs w:val="24"/>
          <w:lang w:eastAsia="zh-CN"/>
        </w:rPr>
        <w:t>的工作并提高效</w:t>
      </w:r>
      <w:r w:rsidRPr="00A34BB8">
        <w:rPr>
          <w:rFonts w:hint="eastAsia"/>
          <w:lang w:eastAsia="zh-CN"/>
        </w:rPr>
        <w:t>率。有关进一步改进的经验和建议请发送至</w:t>
      </w:r>
      <w:r w:rsidRPr="00A34BB8">
        <w:rPr>
          <w:lang w:eastAsia="zh-CN"/>
        </w:rPr>
        <w:t>RAG-EDH</w:t>
      </w:r>
      <w:r w:rsidRPr="00A34BB8">
        <w:rPr>
          <w:rFonts w:hint="eastAsia"/>
          <w:lang w:eastAsia="zh-CN"/>
        </w:rPr>
        <w:t>信函通信组：</w:t>
      </w:r>
      <w:hyperlink r:id="rId14" w:history="1">
        <w:r w:rsidRPr="00A34BB8">
          <w:rPr>
            <w:rStyle w:val="Hyperlink"/>
            <w:bCs/>
            <w:lang w:eastAsia="zh-CN"/>
          </w:rPr>
          <w:t>rag-edh@itu.int</w:t>
        </w:r>
      </w:hyperlink>
      <w:r w:rsidRPr="00A34BB8">
        <w:rPr>
          <w:rFonts w:hint="eastAsia"/>
          <w:lang w:eastAsia="zh-CN"/>
        </w:rPr>
        <w:t>。</w:t>
      </w:r>
    </w:p>
    <w:p w:rsidR="000B348E" w:rsidRDefault="00124024" w:rsidP="001240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但</w:t>
      </w:r>
      <w:r>
        <w:rPr>
          <w:lang w:eastAsia="zh-CN"/>
        </w:rPr>
        <w:t>鉴于</w:t>
      </w:r>
      <w:r>
        <w:rPr>
          <w:rFonts w:hint="eastAsia"/>
          <w:lang w:eastAsia="zh-CN"/>
        </w:rPr>
        <w:t>该</w:t>
      </w:r>
      <w:r w:rsidR="00424957">
        <w:rPr>
          <w:rFonts w:hint="eastAsia"/>
          <w:lang w:eastAsia="zh-CN"/>
        </w:rPr>
        <w:t>通信组最后一次收到文稿是</w:t>
      </w:r>
      <w:r w:rsidR="00424957">
        <w:rPr>
          <w:rFonts w:hint="eastAsia"/>
          <w:lang w:eastAsia="zh-CN"/>
        </w:rPr>
        <w:t>2005</w:t>
      </w:r>
      <w:r w:rsidR="00424957">
        <w:rPr>
          <w:rFonts w:hint="eastAsia"/>
          <w:lang w:eastAsia="zh-CN"/>
        </w:rPr>
        <w:t>年，且向</w:t>
      </w:r>
      <w:r w:rsidR="00424957">
        <w:rPr>
          <w:rFonts w:hint="eastAsia"/>
          <w:lang w:eastAsia="zh-CN"/>
        </w:rPr>
        <w:t>RAG</w:t>
      </w:r>
      <w:r w:rsidR="00424957">
        <w:rPr>
          <w:rFonts w:hint="eastAsia"/>
          <w:lang w:eastAsia="zh-CN"/>
        </w:rPr>
        <w:t>提交的</w:t>
      </w:r>
      <w:r w:rsidR="00424957">
        <w:rPr>
          <w:rFonts w:hint="eastAsia"/>
          <w:lang w:eastAsia="zh-CN"/>
        </w:rPr>
        <w:t>EDH</w:t>
      </w:r>
      <w:r w:rsidR="00424957">
        <w:rPr>
          <w:rFonts w:hint="eastAsia"/>
          <w:lang w:eastAsia="zh-CN"/>
        </w:rPr>
        <w:t>活动进展报告仅限于从无线电通信局和信息服务（</w:t>
      </w:r>
      <w:r w:rsidR="00424957">
        <w:rPr>
          <w:rFonts w:hint="eastAsia"/>
          <w:lang w:eastAsia="zh-CN"/>
        </w:rPr>
        <w:t>IS</w:t>
      </w:r>
      <w:r w:rsidR="00424957">
        <w:rPr>
          <w:rFonts w:hint="eastAsia"/>
          <w:lang w:eastAsia="zh-CN"/>
        </w:rPr>
        <w:t>）部门收集的</w:t>
      </w:r>
      <w:r w:rsidR="00424957">
        <w:rPr>
          <w:lang w:eastAsia="zh-CN"/>
        </w:rPr>
        <w:t>ITU-R</w:t>
      </w:r>
      <w:r w:rsidR="00424957">
        <w:rPr>
          <w:rFonts w:hint="eastAsia"/>
          <w:lang w:eastAsia="zh-CN"/>
        </w:rPr>
        <w:t>内部的</w:t>
      </w:r>
      <w:r w:rsidR="00424957">
        <w:rPr>
          <w:rFonts w:hint="eastAsia"/>
          <w:lang w:eastAsia="zh-CN"/>
        </w:rPr>
        <w:t>EDH</w:t>
      </w:r>
      <w:r w:rsidR="00424957">
        <w:rPr>
          <w:rFonts w:hint="eastAsia"/>
          <w:lang w:eastAsia="zh-CN"/>
        </w:rPr>
        <w:t>最新发展情况。</w:t>
      </w:r>
      <w:r w:rsidR="009268D1">
        <w:rPr>
          <w:rFonts w:hint="eastAsia"/>
          <w:lang w:eastAsia="zh-CN"/>
        </w:rPr>
        <w:t>这在某种程度上重复了其它文件提供的信息，其中包括主任向</w:t>
      </w:r>
      <w:r w:rsidR="009268D1">
        <w:rPr>
          <w:rFonts w:hint="eastAsia"/>
          <w:lang w:eastAsia="zh-CN"/>
        </w:rPr>
        <w:t>RAG</w:t>
      </w:r>
      <w:r w:rsidR="009268D1">
        <w:rPr>
          <w:rFonts w:hint="eastAsia"/>
          <w:lang w:eastAsia="zh-CN"/>
        </w:rPr>
        <w:t>提交的报告（例如，请参见</w:t>
      </w:r>
      <w:hyperlink r:id="rId15" w:history="1">
        <w:r w:rsidR="009268D1" w:rsidRPr="00124024">
          <w:rPr>
            <w:rStyle w:val="Hyperlink"/>
            <w:lang w:eastAsia="zh-CN"/>
          </w:rPr>
          <w:t>RAG15-1/1</w:t>
        </w:r>
        <w:r w:rsidR="009268D1" w:rsidRPr="00124024">
          <w:rPr>
            <w:rStyle w:val="Hyperlink"/>
            <w:rFonts w:hint="eastAsia"/>
            <w:lang w:eastAsia="zh-CN"/>
          </w:rPr>
          <w:t>号文件</w:t>
        </w:r>
      </w:hyperlink>
      <w:r>
        <w:rPr>
          <w:rFonts w:hint="eastAsia"/>
          <w:lang w:eastAsia="zh-CN"/>
        </w:rPr>
        <w:t xml:space="preserve"> </w:t>
      </w:r>
      <w:hyperlink r:id="rId16" w:history="1">
        <w:r w:rsidR="009268D1">
          <w:rPr>
            <w:rStyle w:val="Hyperlink"/>
            <w:rFonts w:hint="eastAsia"/>
            <w:lang w:eastAsia="zh-CN"/>
          </w:rPr>
          <w:t>补遗</w:t>
        </w:r>
      </w:hyperlink>
      <w:r w:rsidR="009268D1">
        <w:rPr>
          <w:rStyle w:val="Hyperlink"/>
          <w:rFonts w:hint="eastAsia"/>
          <w:lang w:eastAsia="zh-CN"/>
        </w:rPr>
        <w:t>2</w:t>
      </w:r>
      <w:r w:rsidR="009268D1" w:rsidRPr="009268D1">
        <w:rPr>
          <w:rFonts w:hint="eastAsia"/>
          <w:lang w:eastAsia="zh-CN"/>
        </w:rPr>
        <w:t>）</w:t>
      </w:r>
      <w:r w:rsidR="009268D1">
        <w:rPr>
          <w:rFonts w:hint="eastAsia"/>
          <w:lang w:eastAsia="zh-CN"/>
        </w:rPr>
        <w:t>。因此，</w:t>
      </w:r>
      <w:r w:rsidR="000B348E">
        <w:rPr>
          <w:lang w:eastAsia="zh-CN"/>
        </w:rPr>
        <w:t>RAG</w:t>
      </w:r>
      <w:r w:rsidR="009268D1">
        <w:rPr>
          <w:rFonts w:hint="eastAsia"/>
          <w:lang w:eastAsia="zh-CN"/>
        </w:rPr>
        <w:t>或应考虑是</w:t>
      </w:r>
      <w:r>
        <w:rPr>
          <w:rFonts w:hint="eastAsia"/>
          <w:lang w:eastAsia="zh-CN"/>
        </w:rPr>
        <w:t>要</w:t>
      </w:r>
      <w:r w:rsidR="009268D1">
        <w:rPr>
          <w:rFonts w:hint="eastAsia"/>
          <w:lang w:eastAsia="zh-CN"/>
        </w:rPr>
        <w:t>继续保留无线电通信顾问组</w:t>
      </w:r>
      <w:r w:rsidR="009268D1">
        <w:rPr>
          <w:rFonts w:hint="eastAsia"/>
          <w:lang w:eastAsia="zh-CN"/>
        </w:rPr>
        <w:t>EDH</w:t>
      </w:r>
      <w:r w:rsidR="009268D1">
        <w:rPr>
          <w:rFonts w:hint="eastAsia"/>
          <w:lang w:eastAsia="zh-CN"/>
        </w:rPr>
        <w:t>信函通信组还是应</w:t>
      </w:r>
      <w:bookmarkStart w:id="7" w:name="_GoBack"/>
      <w:bookmarkEnd w:id="7"/>
      <w:r w:rsidR="009268D1">
        <w:rPr>
          <w:rFonts w:hint="eastAsia"/>
          <w:lang w:eastAsia="zh-CN"/>
        </w:rPr>
        <w:t>将其取消。</w:t>
      </w:r>
    </w:p>
    <w:p w:rsidR="00176FE9" w:rsidRPr="00124024" w:rsidRDefault="00176FE9" w:rsidP="00124024">
      <w:pPr>
        <w:rPr>
          <w:lang w:eastAsia="zh-CN"/>
        </w:rPr>
      </w:pPr>
    </w:p>
    <w:p w:rsidR="00176FE9" w:rsidRDefault="00176FE9">
      <w:pPr>
        <w:jc w:val="center"/>
      </w:pPr>
      <w:r>
        <w:t>______________</w:t>
      </w:r>
    </w:p>
    <w:sectPr w:rsidR="00176FE9" w:rsidSect="00F749FF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86" w:rsidRDefault="00243886">
      <w:r>
        <w:separator/>
      </w:r>
    </w:p>
  </w:endnote>
  <w:endnote w:type="continuationSeparator" w:id="0">
    <w:p w:rsidR="00243886" w:rsidRDefault="0024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69" w:rsidRDefault="00397EFE" w:rsidP="00C60069">
    <w:pPr>
      <w:pStyle w:val="Footer"/>
    </w:pPr>
    <w:fldSimple w:instr=" FILENAME \p  \* MERGEFORMAT ">
      <w:r w:rsidR="00365292">
        <w:t>P:\CHI\ITU-R\AG\RAG\RAG15\000\003C.docx</w:t>
      </w:r>
    </w:fldSimple>
    <w:r w:rsidR="00C60069">
      <w:t xml:space="preserve"> (378589)</w:t>
    </w:r>
    <w:r w:rsidR="00C60069">
      <w:tab/>
    </w:r>
    <w:r w:rsidR="00C60069">
      <w:fldChar w:fldCharType="begin"/>
    </w:r>
    <w:r w:rsidR="00C60069">
      <w:instrText xml:space="preserve"> SAVEDATE \@ DD.MM.YY </w:instrText>
    </w:r>
    <w:r w:rsidR="00C60069">
      <w:fldChar w:fldCharType="separate"/>
    </w:r>
    <w:r w:rsidR="00365292">
      <w:t>04.05.15</w:t>
    </w:r>
    <w:r w:rsidR="00C60069">
      <w:fldChar w:fldCharType="end"/>
    </w:r>
    <w:r w:rsidR="00C60069">
      <w:tab/>
    </w:r>
    <w:r w:rsidR="00C60069">
      <w:fldChar w:fldCharType="begin"/>
    </w:r>
    <w:r w:rsidR="00C60069">
      <w:instrText xml:space="preserve"> PRINTDATE \@ DD.MM.YY </w:instrText>
    </w:r>
    <w:r w:rsidR="00C60069">
      <w:fldChar w:fldCharType="separate"/>
    </w:r>
    <w:r w:rsidR="00365292">
      <w:t>04.05.15</w:t>
    </w:r>
    <w:r w:rsidR="00C6006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8E" w:rsidRDefault="0036529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P:\CHI\ITU-R\AG\RAG\RAG15\000\003C.docx</w:t>
    </w:r>
    <w:r>
      <w:fldChar w:fldCharType="end"/>
    </w:r>
    <w:r w:rsidR="000B348E">
      <w:t xml:space="preserve"> </w:t>
    </w:r>
    <w:r w:rsidR="00F62DEA">
      <w:t>(378589)</w:t>
    </w:r>
    <w:r w:rsidR="000B348E">
      <w:tab/>
    </w:r>
    <w:r w:rsidR="000B348E">
      <w:fldChar w:fldCharType="begin"/>
    </w:r>
    <w:r w:rsidR="000B348E">
      <w:instrText xml:space="preserve"> SAVEDATE \@ DD.MM.YY </w:instrText>
    </w:r>
    <w:r w:rsidR="000B348E">
      <w:fldChar w:fldCharType="separate"/>
    </w:r>
    <w:r>
      <w:t>04.05.15</w:t>
    </w:r>
    <w:r w:rsidR="000B348E">
      <w:fldChar w:fldCharType="end"/>
    </w:r>
    <w:r w:rsidR="000B348E">
      <w:tab/>
    </w:r>
    <w:r w:rsidR="000B348E">
      <w:fldChar w:fldCharType="begin"/>
    </w:r>
    <w:r w:rsidR="000B348E">
      <w:instrText xml:space="preserve"> PRINTDATE \@ DD.MM.YY </w:instrText>
    </w:r>
    <w:r w:rsidR="000B348E">
      <w:fldChar w:fldCharType="separate"/>
    </w:r>
    <w:r>
      <w:t>04.05.15</w:t>
    </w:r>
    <w:r w:rsidR="000B348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86" w:rsidRDefault="00243886">
      <w:r>
        <w:t>____________________</w:t>
      </w:r>
    </w:p>
  </w:footnote>
  <w:footnote w:type="continuationSeparator" w:id="0">
    <w:p w:rsidR="00243886" w:rsidRDefault="00243886">
      <w:r>
        <w:continuationSeparator/>
      </w:r>
    </w:p>
  </w:footnote>
  <w:footnote w:id="1">
    <w:p w:rsidR="000B348E" w:rsidRPr="00052353" w:rsidRDefault="000B348E" w:rsidP="00124024">
      <w:pPr>
        <w:pStyle w:val="FootnoteText"/>
        <w:rPr>
          <w:rFonts w:hint="eastAsia"/>
          <w:lang w:val="pt-PT" w:eastAsia="zh-CN"/>
        </w:rPr>
      </w:pPr>
      <w:r>
        <w:rPr>
          <w:rStyle w:val="FootnoteReference"/>
        </w:rPr>
        <w:footnoteRef/>
      </w:r>
      <w:r>
        <w:rPr>
          <w:sz w:val="22"/>
          <w:szCs w:val="22"/>
          <w:lang w:val="pt-BR"/>
        </w:rPr>
        <w:tab/>
      </w:r>
      <w:r w:rsidR="00124024" w:rsidRPr="00124024">
        <w:rPr>
          <w:szCs w:val="24"/>
          <w:lang w:val="pt-BR"/>
        </w:rPr>
        <w:t>José Costa</w:t>
      </w:r>
      <w:r w:rsidR="00124024" w:rsidRPr="00124024">
        <w:rPr>
          <w:rFonts w:hint="eastAsia"/>
          <w:szCs w:val="24"/>
          <w:lang w:val="pt-BR" w:eastAsia="zh-CN"/>
        </w:rPr>
        <w:t>（</w:t>
      </w:r>
      <w:r w:rsidR="00DD0002" w:rsidRPr="00124024">
        <w:rPr>
          <w:rFonts w:hint="eastAsia"/>
          <w:szCs w:val="24"/>
          <w:lang w:val="pt-BR"/>
        </w:rPr>
        <w:t>加拿大</w:t>
      </w:r>
      <w:r w:rsidR="00DD0002" w:rsidRPr="00124024">
        <w:rPr>
          <w:rFonts w:hint="eastAsia"/>
          <w:szCs w:val="24"/>
          <w:lang w:val="pt-BR" w:eastAsia="zh-CN"/>
        </w:rPr>
        <w:t>爱立信</w:t>
      </w:r>
      <w:r w:rsidR="00DD0002" w:rsidRPr="00124024">
        <w:rPr>
          <w:rFonts w:hint="eastAsia"/>
          <w:szCs w:val="24"/>
          <w:lang w:val="pt-BR"/>
        </w:rPr>
        <w:t>公司）</w:t>
      </w:r>
      <w:r w:rsidR="00DD0002" w:rsidRPr="00124024">
        <w:rPr>
          <w:rFonts w:hint="eastAsia"/>
          <w:szCs w:val="24"/>
          <w:lang w:val="pt-BR" w:eastAsia="zh-CN"/>
        </w:rPr>
        <w:t>，</w:t>
      </w:r>
      <w:r w:rsidR="00DD0002" w:rsidRPr="00124024">
        <w:rPr>
          <w:rFonts w:hint="eastAsia"/>
          <w:szCs w:val="24"/>
          <w:lang w:val="pt-BR"/>
        </w:rPr>
        <w:t>电话：</w:t>
      </w:r>
      <w:r w:rsidR="00DD0002" w:rsidRPr="00124024">
        <w:rPr>
          <w:rFonts w:hint="eastAsia"/>
          <w:szCs w:val="24"/>
          <w:lang w:val="pt-BR"/>
        </w:rPr>
        <w:t>+1 613 963-8288</w:t>
      </w:r>
      <w:r w:rsidR="00DD0002" w:rsidRPr="00124024">
        <w:rPr>
          <w:rFonts w:hint="eastAsia"/>
          <w:szCs w:val="24"/>
          <w:lang w:val="pt-BR"/>
        </w:rPr>
        <w:t>，电子邮件：</w:t>
      </w:r>
      <w:hyperlink r:id="rId1" w:history="1">
        <w:r w:rsidRPr="00124024">
          <w:rPr>
            <w:rStyle w:val="Hyperlink"/>
            <w:szCs w:val="24"/>
            <w:lang w:val="pt-BR"/>
          </w:rPr>
          <w:t>jose.costa@ericsson.com</w:t>
        </w:r>
      </w:hyperlink>
      <w:r w:rsidR="00124024" w:rsidRPr="00124024">
        <w:rPr>
          <w:rFonts w:hint="eastAsia"/>
          <w:szCs w:val="24"/>
          <w:lang w:val="pt-BR" w:eastAsia="zh-CN"/>
        </w:rPr>
        <w:t>。</w:t>
      </w:r>
    </w:p>
  </w:footnote>
  <w:footnote w:id="2">
    <w:p w:rsidR="006F6BDB" w:rsidRPr="006F6BDB" w:rsidRDefault="006F6BDB" w:rsidP="006F6BDB">
      <w:pPr>
        <w:pStyle w:val="FootnoteText"/>
        <w:rPr>
          <w:sz w:val="22"/>
          <w:szCs w:val="22"/>
          <w:lang w:val="pt-PT" w:eastAsia="zh-CN"/>
        </w:rPr>
      </w:pPr>
      <w:r w:rsidRPr="00BC5D15">
        <w:rPr>
          <w:rStyle w:val="FootnoteReference"/>
          <w:szCs w:val="18"/>
        </w:rPr>
        <w:footnoteRef/>
      </w:r>
      <w:r w:rsidRPr="006F6BDB">
        <w:rPr>
          <w:rFonts w:hint="eastAsia"/>
          <w:sz w:val="22"/>
          <w:szCs w:val="22"/>
          <w:lang w:val="pt-PT" w:eastAsia="zh-CN"/>
        </w:rPr>
        <w:tab/>
      </w:r>
      <w:r w:rsidRPr="00124024">
        <w:rPr>
          <w:szCs w:val="24"/>
        </w:rPr>
        <w:fldChar w:fldCharType="begin"/>
      </w:r>
      <w:r w:rsidRPr="00124024">
        <w:rPr>
          <w:szCs w:val="24"/>
          <w:lang w:val="pt-PT"/>
          <w:rPrChange w:id="6" w:author="millet" w:date="2013-04-24T14:41:00Z">
            <w:rPr/>
          </w:rPrChange>
        </w:rPr>
        <w:instrText>HYPERLINK "http://ties.itu.int/listarchives/rag-edh"</w:instrText>
      </w:r>
      <w:r w:rsidRPr="00124024">
        <w:rPr>
          <w:szCs w:val="24"/>
        </w:rPr>
        <w:fldChar w:fldCharType="separate"/>
      </w:r>
      <w:r w:rsidRPr="00124024">
        <w:rPr>
          <w:rStyle w:val="Hyperlink"/>
          <w:szCs w:val="24"/>
          <w:lang w:val="pt-BR"/>
        </w:rPr>
        <w:t>http://ties.itu.int/listarchives/rag-edh</w:t>
      </w:r>
      <w:r w:rsidRPr="00124024">
        <w:rPr>
          <w:szCs w:val="24"/>
        </w:rPr>
        <w:fldChar w:fldCharType="end"/>
      </w:r>
      <w:r w:rsidRPr="00124024">
        <w:rPr>
          <w:rFonts w:hint="eastAsia"/>
          <w:szCs w:val="24"/>
          <w:lang w:eastAsia="zh-CN"/>
        </w:rPr>
        <w:t>。</w:t>
      </w:r>
    </w:p>
  </w:footnote>
  <w:footnote w:id="3">
    <w:p w:rsidR="006F6BDB" w:rsidRPr="00124024" w:rsidRDefault="006F6BDB" w:rsidP="00124024">
      <w:pPr>
        <w:pStyle w:val="FootnoteText"/>
        <w:rPr>
          <w:rFonts w:hint="eastAsia"/>
          <w:color w:val="0000FF"/>
          <w:szCs w:val="24"/>
          <w:u w:val="single"/>
          <w:lang w:val="sv-SE" w:eastAsia="zh-CN"/>
        </w:rPr>
      </w:pPr>
      <w:r>
        <w:rPr>
          <w:rStyle w:val="FootnoteReference"/>
        </w:rPr>
        <w:footnoteRef/>
      </w:r>
      <w:r w:rsidRPr="006F6BDB">
        <w:rPr>
          <w:rFonts w:hint="eastAsia"/>
          <w:lang w:val="pt-PT" w:eastAsia="zh-CN"/>
        </w:rPr>
        <w:tab/>
      </w:r>
      <w:r w:rsidRPr="00124024">
        <w:rPr>
          <w:rFonts w:hint="eastAsia"/>
          <w:szCs w:val="24"/>
          <w:lang w:val="en-US" w:eastAsia="zh-CN"/>
        </w:rPr>
        <w:t>以往报告见</w:t>
      </w:r>
      <w:hyperlink r:id="rId2" w:history="1">
        <w:r w:rsidR="00BE6D3A" w:rsidRPr="00124024">
          <w:rPr>
            <w:rStyle w:val="Hyperlink"/>
            <w:szCs w:val="24"/>
            <w:lang w:val="sv-SE"/>
          </w:rPr>
          <w:t>RAG14-1/19</w:t>
        </w:r>
      </w:hyperlink>
      <w:r w:rsidR="00BE6D3A" w:rsidRPr="00124024">
        <w:rPr>
          <w:szCs w:val="24"/>
          <w:lang w:val="pt-PT"/>
        </w:rPr>
        <w:t>、</w:t>
      </w:r>
      <w:hyperlink r:id="rId3" w:history="1">
        <w:r w:rsidR="00BE6D3A" w:rsidRPr="00124024">
          <w:rPr>
            <w:rStyle w:val="Hyperlink"/>
            <w:szCs w:val="24"/>
            <w:lang w:val="sv-SE"/>
          </w:rPr>
          <w:t>RAG13-1/6</w:t>
        </w:r>
      </w:hyperlink>
      <w:r w:rsidR="00BE6D3A" w:rsidRPr="00124024">
        <w:rPr>
          <w:szCs w:val="24"/>
          <w:lang w:val="sv-SE"/>
        </w:rPr>
        <w:t>、</w:t>
      </w:r>
      <w:hyperlink r:id="rId4" w:history="1">
        <w:r w:rsidR="00BE6D3A" w:rsidRPr="00124024">
          <w:rPr>
            <w:rStyle w:val="Hyperlink"/>
            <w:szCs w:val="24"/>
            <w:lang w:val="sv-SE"/>
          </w:rPr>
          <w:t>RAG12-1/6</w:t>
        </w:r>
      </w:hyperlink>
      <w:r w:rsidR="00BE6D3A" w:rsidRPr="00124024">
        <w:rPr>
          <w:szCs w:val="24"/>
          <w:lang w:val="sv-SE"/>
        </w:rPr>
        <w:t>、</w:t>
      </w:r>
      <w:hyperlink r:id="rId5" w:history="1">
        <w:r w:rsidR="00BE6D3A" w:rsidRPr="00124024">
          <w:rPr>
            <w:rStyle w:val="Hyperlink"/>
            <w:szCs w:val="24"/>
            <w:lang w:val="sv-SE"/>
          </w:rPr>
          <w:t>RAG11-1/5</w:t>
        </w:r>
      </w:hyperlink>
      <w:r w:rsidR="00BE6D3A" w:rsidRPr="00124024">
        <w:rPr>
          <w:szCs w:val="24"/>
          <w:lang w:val="sv-SE"/>
        </w:rPr>
        <w:t>、</w:t>
      </w:r>
      <w:hyperlink r:id="rId6" w:history="1">
        <w:r w:rsidR="00BE6D3A" w:rsidRPr="00124024">
          <w:rPr>
            <w:rStyle w:val="Hyperlink"/>
            <w:szCs w:val="24"/>
            <w:lang w:val="sv-SE"/>
          </w:rPr>
          <w:t>RAG10-1/4</w:t>
        </w:r>
      </w:hyperlink>
      <w:r w:rsidR="00BE6D3A" w:rsidRPr="00124024">
        <w:rPr>
          <w:szCs w:val="24"/>
          <w:lang w:val="sv-SE"/>
        </w:rPr>
        <w:t>、</w:t>
      </w:r>
      <w:hyperlink r:id="rId7" w:history="1">
        <w:r w:rsidR="00BE6D3A" w:rsidRPr="00124024">
          <w:rPr>
            <w:rStyle w:val="Hyperlink"/>
            <w:szCs w:val="24"/>
            <w:lang w:val="sv-SE"/>
          </w:rPr>
          <w:t>RAG09-1/4</w:t>
        </w:r>
      </w:hyperlink>
      <w:r w:rsidR="00124024" w:rsidRPr="00124024">
        <w:rPr>
          <w:rFonts w:hint="eastAsia"/>
          <w:szCs w:val="24"/>
          <w:lang w:val="sv-SE" w:eastAsia="zh-CN"/>
        </w:rPr>
        <w:t>、</w:t>
      </w:r>
      <w:hyperlink r:id="rId8" w:history="1">
        <w:r w:rsidR="00BE6D3A" w:rsidRPr="00124024">
          <w:rPr>
            <w:rStyle w:val="Hyperlink"/>
            <w:szCs w:val="24"/>
            <w:lang w:val="sv-SE"/>
          </w:rPr>
          <w:t>RAG08-1/4</w:t>
        </w:r>
      </w:hyperlink>
      <w:r w:rsidR="00BE6D3A" w:rsidRPr="00124024">
        <w:rPr>
          <w:szCs w:val="24"/>
          <w:lang w:val="sv-SE"/>
        </w:rPr>
        <w:t>、</w:t>
      </w:r>
      <w:hyperlink r:id="rId9" w:history="1">
        <w:r w:rsidR="00BE6D3A" w:rsidRPr="00124024">
          <w:rPr>
            <w:rStyle w:val="Hyperlink"/>
            <w:szCs w:val="24"/>
            <w:lang w:val="sv-SE"/>
          </w:rPr>
          <w:t>RAG07-1/2</w:t>
        </w:r>
      </w:hyperlink>
      <w:r w:rsidR="00BE6D3A" w:rsidRPr="00124024">
        <w:rPr>
          <w:szCs w:val="24"/>
          <w:lang w:val="sv-SE"/>
        </w:rPr>
        <w:t>、</w:t>
      </w:r>
      <w:hyperlink r:id="rId10" w:history="1">
        <w:r w:rsidR="00BE6D3A" w:rsidRPr="00124024">
          <w:rPr>
            <w:rStyle w:val="Hyperlink"/>
            <w:szCs w:val="24"/>
            <w:lang w:val="sv-SE"/>
          </w:rPr>
          <w:t>RAG05-1/5</w:t>
        </w:r>
      </w:hyperlink>
      <w:r w:rsidR="00BE6D3A" w:rsidRPr="00124024">
        <w:rPr>
          <w:rFonts w:hint="eastAsia"/>
          <w:szCs w:val="24"/>
          <w:lang w:val="sv-SE" w:eastAsia="zh-CN"/>
        </w:rPr>
        <w:t>和</w:t>
      </w:r>
      <w:hyperlink r:id="rId11" w:history="1">
        <w:r w:rsidR="00BE6D3A" w:rsidRPr="00124024">
          <w:rPr>
            <w:rStyle w:val="Hyperlink"/>
            <w:szCs w:val="24"/>
            <w:lang w:val="sv-SE"/>
          </w:rPr>
          <w:t>RAG04-1/15</w:t>
        </w:r>
      </w:hyperlink>
      <w:r w:rsidR="00124024" w:rsidRPr="00124024">
        <w:rPr>
          <w:rFonts w:hint="eastAsia"/>
          <w:szCs w:val="24"/>
          <w:lang w:eastAsia="zh-CN"/>
        </w:rPr>
        <w:t>号文件</w:t>
      </w:r>
      <w:r w:rsidR="00124024" w:rsidRPr="00124024">
        <w:rPr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65292">
      <w:rPr>
        <w:noProof/>
      </w:rPr>
      <w:t>2</w:t>
    </w:r>
    <w:r>
      <w:rPr>
        <w:noProof/>
      </w:rPr>
      <w:fldChar w:fldCharType="end"/>
    </w:r>
  </w:p>
  <w:p w:rsidR="0095426A" w:rsidRDefault="00597657" w:rsidP="002943FE">
    <w:pPr>
      <w:pStyle w:val="Header"/>
      <w:rPr>
        <w:lang w:val="es-ES" w:eastAsia="zh-CN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9D70C8">
      <w:rPr>
        <w:lang w:val="es-ES"/>
      </w:rPr>
      <w:t>-1/</w:t>
    </w:r>
    <w:r w:rsidR="002943FE">
      <w:rPr>
        <w:lang w:val="es-ES"/>
      </w:rPr>
      <w:t>3</w:t>
    </w:r>
    <w:r w:rsidR="006F6BDB">
      <w:rPr>
        <w:lang w:val="es-ES"/>
      </w:rPr>
      <w:t>-</w:t>
    </w:r>
    <w:r w:rsidR="006F6BDB">
      <w:rPr>
        <w:rFonts w:hint="eastAsia"/>
        <w:lang w:val="es-ES"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86"/>
    <w:rsid w:val="00093C73"/>
    <w:rsid w:val="000B348E"/>
    <w:rsid w:val="00124024"/>
    <w:rsid w:val="001377D6"/>
    <w:rsid w:val="00176FE9"/>
    <w:rsid w:val="001E41A0"/>
    <w:rsid w:val="00243886"/>
    <w:rsid w:val="002774E4"/>
    <w:rsid w:val="002943FE"/>
    <w:rsid w:val="00365292"/>
    <w:rsid w:val="00397EFE"/>
    <w:rsid w:val="003D068D"/>
    <w:rsid w:val="00424957"/>
    <w:rsid w:val="004F0848"/>
    <w:rsid w:val="00507DA3"/>
    <w:rsid w:val="0051782D"/>
    <w:rsid w:val="005250C4"/>
    <w:rsid w:val="00597657"/>
    <w:rsid w:val="005B2C58"/>
    <w:rsid w:val="006F6BDB"/>
    <w:rsid w:val="00746923"/>
    <w:rsid w:val="00806E63"/>
    <w:rsid w:val="0081028D"/>
    <w:rsid w:val="00821EF1"/>
    <w:rsid w:val="008B3F50"/>
    <w:rsid w:val="009268D1"/>
    <w:rsid w:val="0095426A"/>
    <w:rsid w:val="009D27EC"/>
    <w:rsid w:val="009D70C8"/>
    <w:rsid w:val="00A16CB2"/>
    <w:rsid w:val="00B04020"/>
    <w:rsid w:val="00B35BE4"/>
    <w:rsid w:val="00B52992"/>
    <w:rsid w:val="00BE6D3A"/>
    <w:rsid w:val="00C60069"/>
    <w:rsid w:val="00CA7C39"/>
    <w:rsid w:val="00CC1D49"/>
    <w:rsid w:val="00CD4D80"/>
    <w:rsid w:val="00CE366B"/>
    <w:rsid w:val="00D211BC"/>
    <w:rsid w:val="00DD0002"/>
    <w:rsid w:val="00DD3BF8"/>
    <w:rsid w:val="00F62DEA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E1AA47-836C-4C94-B78F-ED22CE8A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 + 11 pt,Italic,Appel note de bas de p,Footnote Reference/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rsid w:val="000B348E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9"/>
    <w:locked/>
    <w:rsid w:val="000B348E"/>
    <w:rPr>
      <w:rFonts w:ascii="Times New Roman" w:hAnsi="Times New Roman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0B34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0B3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130/e" TargetMode="External"/><Relationship Id="rId13" Type="http://schemas.openxmlformats.org/officeDocument/2006/relationships/hyperlink" Target="http://www.itu.int/cybersecurit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2-RAG-C-0006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dologin_md.asp?lang=en&amp;id=R15-RAG15-C-0001!A2!MSW-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T-RES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R15-RAG15-C-0001/en" TargetMode="External"/><Relationship Id="rId10" Type="http://schemas.openxmlformats.org/officeDocument/2006/relationships/hyperlink" Target="mailto:http://ties.itu.int/listarchives/rag-edh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ag-edh@itu.int" TargetMode="External"/><Relationship Id="rId14" Type="http://schemas.openxmlformats.org/officeDocument/2006/relationships/hyperlink" Target="mailto:rag-edh@itu.int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8-RAG-C-0004/en" TargetMode="External"/><Relationship Id="rId3" Type="http://schemas.openxmlformats.org/officeDocument/2006/relationships/hyperlink" Target="http://www.itu.int/md/R13-RAG13-C-0006/en" TargetMode="External"/><Relationship Id="rId7" Type="http://schemas.openxmlformats.org/officeDocument/2006/relationships/hyperlink" Target="http://www.itu.int/md/R09-RAG-C-0004/en" TargetMode="External"/><Relationship Id="rId2" Type="http://schemas.openxmlformats.org/officeDocument/2006/relationships/hyperlink" Target="http://www.itu.int/md/R14-RAG14-C-0019/en" TargetMode="External"/><Relationship Id="rId1" Type="http://schemas.openxmlformats.org/officeDocument/2006/relationships/hyperlink" Target="mailto:jose.costa@ericsson.com" TargetMode="External"/><Relationship Id="rId6" Type="http://schemas.openxmlformats.org/officeDocument/2006/relationships/hyperlink" Target="http://www.itu.int/md/R10-RAG-C-0004/en" TargetMode="External"/><Relationship Id="rId11" Type="http://schemas.openxmlformats.org/officeDocument/2006/relationships/hyperlink" Target="http://www.itu.int/md/R04-RAG-C-0015/e" TargetMode="External"/><Relationship Id="rId5" Type="http://schemas.openxmlformats.org/officeDocument/2006/relationships/hyperlink" Target="http://www.itu.int/md/R11-RAG2011-C-0005/en" TargetMode="External"/><Relationship Id="rId10" Type="http://schemas.openxmlformats.org/officeDocument/2006/relationships/hyperlink" Target="http://www.itu.int/md/R05-RAG-C-0005/e" TargetMode="External"/><Relationship Id="rId4" Type="http://schemas.openxmlformats.org/officeDocument/2006/relationships/hyperlink" Target="http://www.itu.int/md/R12-RAG-C-0006/en" TargetMode="External"/><Relationship Id="rId9" Type="http://schemas.openxmlformats.org/officeDocument/2006/relationships/hyperlink" Target="http://www.itu.int/md/R07-RAG-C-0002/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3</TotalTime>
  <Pages>1</Pages>
  <Words>1049</Words>
  <Characters>1292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Jane</dc:creator>
  <dc:description>PE_RAG10.dotm  For: _x000d_Document date: _x000d_Saved by TRA44246 at 12:32:17 on 12.02.2010</dc:description>
  <cp:lastModifiedBy>Zheng, Bingyue</cp:lastModifiedBy>
  <cp:revision>4</cp:revision>
  <cp:lastPrinted>2015-05-04T14:43:00Z</cp:lastPrinted>
  <dcterms:created xsi:type="dcterms:W3CDTF">2015-05-04T14:41:00Z</dcterms:created>
  <dcterms:modified xsi:type="dcterms:W3CDTF">2015-05-04T14:43:00Z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