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1526"/>
        <w:gridCol w:w="4912"/>
        <w:gridCol w:w="1892"/>
        <w:gridCol w:w="1559"/>
      </w:tblGrid>
      <w:tr w:rsidR="00DB178B" w:rsidTr="00D046A7">
        <w:trPr>
          <w:cantSplit/>
        </w:trPr>
        <w:tc>
          <w:tcPr>
            <w:tcW w:w="1526" w:type="dxa"/>
            <w:vAlign w:val="center"/>
          </w:tcPr>
          <w:p w:rsidR="00DB178B" w:rsidRPr="00D8032B" w:rsidRDefault="00251AE3" w:rsidP="00251AE3">
            <w:pPr>
              <w:shd w:val="solid" w:color="FFFFFF" w:fill="FFFFFF"/>
              <w:spacing w:before="0"/>
              <w:rPr>
                <w:rFonts w:ascii="Verdana" w:hAnsi="Verdana" w:cs="Times New Roman Bold"/>
                <w:b/>
                <w:bCs/>
                <w:sz w:val="26"/>
                <w:szCs w:val="26"/>
              </w:rPr>
            </w:pPr>
            <w:bookmarkStart w:id="0" w:name="ditulogo"/>
            <w:bookmarkEnd w:id="0"/>
            <w:r w:rsidRPr="00251AE3">
              <w:rPr>
                <w:rFonts w:ascii="Verdana" w:hAnsi="Verdana" w:cs="Times New Roman Bold"/>
                <w:b/>
                <w:bCs/>
                <w:noProof/>
                <w:sz w:val="20"/>
                <w:szCs w:val="26"/>
                <w:lang w:eastAsia="zh-CN"/>
              </w:rPr>
              <w:drawing>
                <wp:inline distT="0" distB="0" distL="0" distR="0" wp14:anchorId="572F5B13" wp14:editId="4EC5CAE2">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DB178B" w:rsidRPr="00D8032B" w:rsidRDefault="00DB178B" w:rsidP="000604B9">
            <w:pPr>
              <w:shd w:val="solid" w:color="FFFFFF" w:fill="FFFFFF"/>
              <w:spacing w:before="0"/>
              <w:jc w:val="center"/>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1559" w:type="dxa"/>
          </w:tcPr>
          <w:p w:rsidR="00DB178B" w:rsidRDefault="00DB178B" w:rsidP="00163271">
            <w:pPr>
              <w:shd w:val="solid" w:color="FFFFFF" w:fill="FFFFFF"/>
              <w:spacing w:before="0" w:line="240" w:lineRule="atLeast"/>
              <w:jc w:val="right"/>
            </w:pPr>
            <w:r w:rsidRPr="00975D6F">
              <w:rPr>
                <w:rFonts w:cs="Arial"/>
                <w:noProof/>
                <w:lang w:eastAsia="zh-CN"/>
              </w:rPr>
              <w:drawing>
                <wp:inline distT="0" distB="0" distL="0" distR="0" wp14:anchorId="150517EC" wp14:editId="7F7367B6">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069D4" w:rsidRPr="0051782D" w:rsidTr="00D046A7">
        <w:trPr>
          <w:cantSplit/>
        </w:trPr>
        <w:tc>
          <w:tcPr>
            <w:tcW w:w="6438" w:type="dxa"/>
            <w:gridSpan w:val="2"/>
            <w:tcBorders>
              <w:bottom w:val="single" w:sz="12" w:space="0" w:color="auto"/>
            </w:tcBorders>
          </w:tcPr>
          <w:p w:rsidR="000069D4" w:rsidRPr="00163271" w:rsidRDefault="00DB178B" w:rsidP="00A5173C">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t>INTERNATIONAL TELECOMMUNICATION UNION</w:t>
            </w:r>
          </w:p>
        </w:tc>
        <w:tc>
          <w:tcPr>
            <w:tcW w:w="3451" w:type="dxa"/>
            <w:gridSpan w:val="2"/>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D046A7">
        <w:trPr>
          <w:cantSplit/>
        </w:trPr>
        <w:tc>
          <w:tcPr>
            <w:tcW w:w="6438" w:type="dxa"/>
            <w:gridSpan w:val="2"/>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D046A7">
        <w:trPr>
          <w:cantSplit/>
        </w:trPr>
        <w:tc>
          <w:tcPr>
            <w:tcW w:w="6438" w:type="dxa"/>
            <w:gridSpan w:val="2"/>
            <w:vMerge w:val="restart"/>
          </w:tcPr>
          <w:p w:rsidR="00251AE3" w:rsidRPr="00B722F5" w:rsidRDefault="00251AE3" w:rsidP="007F7C3F">
            <w:pPr>
              <w:shd w:val="solid" w:color="FFFFFF" w:fill="FFFFFF"/>
              <w:tabs>
                <w:tab w:val="clear" w:pos="1134"/>
                <w:tab w:val="clear" w:pos="1871"/>
                <w:tab w:val="clear" w:pos="2268"/>
              </w:tabs>
              <w:spacing w:before="0" w:after="120"/>
              <w:ind w:left="1134" w:hanging="1134"/>
              <w:rPr>
                <w:rFonts w:ascii="Verdana" w:hAnsi="Verdana"/>
                <w:sz w:val="20"/>
                <w:lang w:val="fr-CH"/>
              </w:rPr>
            </w:pPr>
            <w:bookmarkStart w:id="1" w:name="recibido"/>
            <w:bookmarkStart w:id="2" w:name="dnum" w:colFirst="1" w:colLast="1"/>
            <w:bookmarkEnd w:id="1"/>
            <w:r w:rsidRPr="00B722F5">
              <w:rPr>
                <w:rFonts w:ascii="Verdana" w:hAnsi="Verdana"/>
                <w:sz w:val="20"/>
                <w:lang w:val="fr-CH"/>
              </w:rPr>
              <w:t>Source:</w:t>
            </w:r>
            <w:r w:rsidRPr="00B722F5">
              <w:rPr>
                <w:rFonts w:ascii="Verdana" w:hAnsi="Verdana"/>
                <w:sz w:val="20"/>
                <w:lang w:val="fr-CH"/>
              </w:rPr>
              <w:tab/>
            </w:r>
            <w:r w:rsidR="007F7C3F" w:rsidRPr="00B722F5">
              <w:rPr>
                <w:lang w:val="fr-CH"/>
              </w:rPr>
              <w:t xml:space="preserve"> </w:t>
            </w:r>
            <w:r w:rsidR="007F7C3F" w:rsidRPr="00B722F5">
              <w:rPr>
                <w:rFonts w:ascii="Verdana" w:hAnsi="Verdana"/>
                <w:sz w:val="20"/>
                <w:lang w:val="fr-CH" w:eastAsia="ja-JP"/>
              </w:rPr>
              <w:t xml:space="preserve">Document </w:t>
            </w:r>
            <w:proofErr w:type="spellStart"/>
            <w:r w:rsidR="007F7C3F" w:rsidRPr="00B722F5">
              <w:rPr>
                <w:rFonts w:ascii="Verdana" w:hAnsi="Verdana"/>
                <w:sz w:val="20"/>
                <w:lang w:val="fr-CH" w:eastAsia="ja-JP"/>
              </w:rPr>
              <w:t>5A</w:t>
            </w:r>
            <w:proofErr w:type="spellEnd"/>
            <w:r w:rsidR="007F7C3F" w:rsidRPr="00B722F5">
              <w:rPr>
                <w:rFonts w:ascii="Verdana" w:hAnsi="Verdana"/>
                <w:sz w:val="20"/>
                <w:lang w:val="fr-CH" w:eastAsia="ja-JP"/>
              </w:rPr>
              <w:t>/</w:t>
            </w:r>
            <w:proofErr w:type="spellStart"/>
            <w:r w:rsidR="007F7C3F" w:rsidRPr="00B722F5">
              <w:rPr>
                <w:rFonts w:ascii="Verdana" w:hAnsi="Verdana"/>
                <w:sz w:val="20"/>
                <w:lang w:val="fr-CH" w:eastAsia="ja-JP"/>
              </w:rPr>
              <w:t>TEMP</w:t>
            </w:r>
            <w:proofErr w:type="spellEnd"/>
            <w:r w:rsidR="007F7C3F" w:rsidRPr="00B722F5">
              <w:rPr>
                <w:rFonts w:ascii="Verdana" w:hAnsi="Verdana"/>
                <w:sz w:val="20"/>
                <w:lang w:val="fr-CH" w:eastAsia="ja-JP"/>
              </w:rPr>
              <w:t>/66(</w:t>
            </w:r>
            <w:proofErr w:type="spellStart"/>
            <w:r w:rsidR="007F7C3F" w:rsidRPr="00B722F5">
              <w:rPr>
                <w:rFonts w:ascii="Verdana" w:hAnsi="Verdana"/>
                <w:sz w:val="20"/>
                <w:lang w:val="fr-CH" w:eastAsia="ja-JP"/>
              </w:rPr>
              <w:t>Rev.1</w:t>
            </w:r>
            <w:proofErr w:type="spellEnd"/>
            <w:r w:rsidR="007F7C3F" w:rsidRPr="00B722F5">
              <w:rPr>
                <w:rFonts w:ascii="Verdana" w:hAnsi="Verdana"/>
                <w:sz w:val="20"/>
                <w:lang w:val="fr-CH" w:eastAsia="ja-JP"/>
              </w:rPr>
              <w:t>)</w:t>
            </w:r>
          </w:p>
        </w:tc>
        <w:tc>
          <w:tcPr>
            <w:tcW w:w="3451" w:type="dxa"/>
            <w:gridSpan w:val="2"/>
          </w:tcPr>
          <w:p w:rsidR="000069D4" w:rsidRPr="00251AE3" w:rsidRDefault="007F7C3F" w:rsidP="00B722F5">
            <w:pPr>
              <w:shd w:val="solid" w:color="FFFFFF" w:fill="FFFFFF"/>
              <w:spacing w:before="0" w:line="240" w:lineRule="atLeast"/>
              <w:rPr>
                <w:rFonts w:ascii="Verdana" w:hAnsi="Verdana"/>
                <w:sz w:val="20"/>
                <w:lang w:eastAsia="zh-CN"/>
              </w:rPr>
            </w:pPr>
            <w:r>
              <w:rPr>
                <w:rFonts w:ascii="Verdana" w:hAnsi="Verdana"/>
                <w:b/>
                <w:sz w:val="20"/>
                <w:lang w:eastAsia="zh-CN"/>
              </w:rPr>
              <w:t>Annex 8</w:t>
            </w:r>
            <w:r w:rsidR="009E2596">
              <w:rPr>
                <w:rFonts w:ascii="Verdana" w:hAnsi="Verdana"/>
                <w:b/>
                <w:sz w:val="20"/>
                <w:lang w:eastAsia="zh-CN"/>
              </w:rPr>
              <w:t xml:space="preserve"> to</w:t>
            </w:r>
            <w:r w:rsidR="009E2596">
              <w:rPr>
                <w:rFonts w:ascii="Verdana" w:hAnsi="Verdana"/>
                <w:b/>
                <w:sz w:val="20"/>
                <w:lang w:eastAsia="zh-CN"/>
              </w:rPr>
              <w:br/>
            </w:r>
            <w:r w:rsidR="00251AE3">
              <w:rPr>
                <w:rFonts w:ascii="Verdana" w:hAnsi="Verdana"/>
                <w:b/>
                <w:sz w:val="20"/>
                <w:lang w:eastAsia="zh-CN"/>
              </w:rPr>
              <w:t xml:space="preserve">Document </w:t>
            </w:r>
            <w:proofErr w:type="spellStart"/>
            <w:r w:rsidR="00251AE3">
              <w:rPr>
                <w:rFonts w:ascii="Verdana" w:hAnsi="Verdana"/>
                <w:b/>
                <w:sz w:val="20"/>
                <w:lang w:eastAsia="zh-CN"/>
              </w:rPr>
              <w:t>5A</w:t>
            </w:r>
            <w:proofErr w:type="spellEnd"/>
            <w:r w:rsidR="00251AE3">
              <w:rPr>
                <w:rFonts w:ascii="Verdana" w:hAnsi="Verdana"/>
                <w:b/>
                <w:sz w:val="20"/>
                <w:lang w:eastAsia="zh-CN"/>
              </w:rPr>
              <w:t>/</w:t>
            </w:r>
            <w:r w:rsidR="00B722F5">
              <w:rPr>
                <w:rFonts w:ascii="Verdana" w:hAnsi="Verdana"/>
                <w:b/>
                <w:sz w:val="20"/>
                <w:lang w:eastAsia="zh-CN"/>
              </w:rPr>
              <w:t>298</w:t>
            </w:r>
            <w:r w:rsidR="00251AE3">
              <w:rPr>
                <w:rFonts w:ascii="Verdana" w:hAnsi="Verdana"/>
                <w:b/>
                <w:sz w:val="20"/>
                <w:lang w:eastAsia="zh-CN"/>
              </w:rPr>
              <w:t>-E</w:t>
            </w:r>
          </w:p>
        </w:tc>
      </w:tr>
      <w:tr w:rsidR="000069D4" w:rsidTr="00D046A7">
        <w:trPr>
          <w:cantSplit/>
        </w:trPr>
        <w:tc>
          <w:tcPr>
            <w:tcW w:w="6438" w:type="dxa"/>
            <w:gridSpan w:val="2"/>
            <w:vMerge/>
          </w:tcPr>
          <w:p w:rsidR="000069D4" w:rsidRDefault="000069D4" w:rsidP="00A5173C">
            <w:pPr>
              <w:spacing w:before="60"/>
              <w:jc w:val="center"/>
              <w:rPr>
                <w:b/>
                <w:smallCaps/>
                <w:sz w:val="32"/>
                <w:lang w:eastAsia="zh-CN"/>
              </w:rPr>
            </w:pPr>
            <w:bookmarkStart w:id="3" w:name="ddate" w:colFirst="1" w:colLast="1"/>
            <w:bookmarkEnd w:id="2"/>
          </w:p>
        </w:tc>
        <w:tc>
          <w:tcPr>
            <w:tcW w:w="3451" w:type="dxa"/>
            <w:gridSpan w:val="2"/>
          </w:tcPr>
          <w:p w:rsidR="000069D4" w:rsidRPr="00251AE3" w:rsidRDefault="00251AE3" w:rsidP="009E2596">
            <w:pPr>
              <w:shd w:val="solid" w:color="FFFFFF" w:fill="FFFFFF"/>
              <w:spacing w:before="0" w:line="240" w:lineRule="atLeast"/>
              <w:rPr>
                <w:rFonts w:ascii="Verdana" w:hAnsi="Verdana"/>
                <w:sz w:val="20"/>
                <w:lang w:eastAsia="zh-CN"/>
              </w:rPr>
            </w:pPr>
            <w:r>
              <w:rPr>
                <w:rFonts w:ascii="Verdana" w:hAnsi="Verdana"/>
                <w:b/>
                <w:sz w:val="20"/>
                <w:lang w:eastAsia="zh-CN"/>
              </w:rPr>
              <w:t>1</w:t>
            </w:r>
            <w:r w:rsidR="007F7C3F">
              <w:rPr>
                <w:rFonts w:ascii="Verdana" w:hAnsi="Verdana"/>
                <w:b/>
                <w:sz w:val="20"/>
                <w:lang w:eastAsia="zh-CN"/>
              </w:rPr>
              <w:t>7</w:t>
            </w:r>
            <w:r>
              <w:rPr>
                <w:rFonts w:ascii="Verdana" w:hAnsi="Verdana"/>
                <w:b/>
                <w:sz w:val="20"/>
                <w:lang w:eastAsia="zh-CN"/>
              </w:rPr>
              <w:t xml:space="preserve"> November 2016</w:t>
            </w:r>
          </w:p>
        </w:tc>
      </w:tr>
      <w:tr w:rsidR="000069D4" w:rsidTr="00D046A7">
        <w:trPr>
          <w:cantSplit/>
        </w:trPr>
        <w:tc>
          <w:tcPr>
            <w:tcW w:w="6438" w:type="dxa"/>
            <w:gridSpan w:val="2"/>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gridSpan w:val="2"/>
          </w:tcPr>
          <w:p w:rsidR="000069D4" w:rsidRPr="00251AE3" w:rsidRDefault="00251AE3"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7F7C3F" w:rsidTr="00D046A7">
        <w:trPr>
          <w:cantSplit/>
        </w:trPr>
        <w:tc>
          <w:tcPr>
            <w:tcW w:w="9889" w:type="dxa"/>
            <w:gridSpan w:val="4"/>
          </w:tcPr>
          <w:p w:rsidR="007F7C3F" w:rsidRDefault="007F7C3F" w:rsidP="007F7C3F">
            <w:pPr>
              <w:pStyle w:val="Source"/>
              <w:rPr>
                <w:lang w:eastAsia="zh-CN"/>
              </w:rPr>
            </w:pPr>
            <w:bookmarkStart w:id="5" w:name="dsource" w:colFirst="0" w:colLast="0"/>
            <w:bookmarkEnd w:id="4"/>
            <w:r w:rsidRPr="0065561A">
              <w:rPr>
                <w:lang w:eastAsia="zh-CN"/>
              </w:rPr>
              <w:t xml:space="preserve">Annex </w:t>
            </w:r>
            <w:r>
              <w:rPr>
                <w:lang w:eastAsia="zh-CN"/>
              </w:rPr>
              <w:t>8</w:t>
            </w:r>
            <w:r w:rsidRPr="0065561A">
              <w:rPr>
                <w:lang w:eastAsia="zh-CN"/>
              </w:rPr>
              <w:t xml:space="preserve"> to Working Party </w:t>
            </w:r>
            <w:proofErr w:type="spellStart"/>
            <w:r w:rsidRPr="0065561A">
              <w:rPr>
                <w:lang w:eastAsia="zh-CN"/>
              </w:rPr>
              <w:t>5A</w:t>
            </w:r>
            <w:proofErr w:type="spellEnd"/>
            <w:r w:rsidRPr="0065561A">
              <w:rPr>
                <w:lang w:eastAsia="zh-CN"/>
              </w:rPr>
              <w:t xml:space="preserve"> Chairman’s Report</w:t>
            </w:r>
          </w:p>
        </w:tc>
      </w:tr>
      <w:tr w:rsidR="000069D4" w:rsidTr="00D046A7">
        <w:trPr>
          <w:cantSplit/>
        </w:trPr>
        <w:tc>
          <w:tcPr>
            <w:tcW w:w="9889" w:type="dxa"/>
            <w:gridSpan w:val="4"/>
          </w:tcPr>
          <w:p w:rsidR="000069D4" w:rsidRDefault="00A55539" w:rsidP="00A55539">
            <w:pPr>
              <w:pStyle w:val="Title1"/>
              <w:rPr>
                <w:lang w:eastAsia="zh-CN"/>
              </w:rPr>
            </w:pPr>
            <w:bookmarkStart w:id="6" w:name="drec" w:colFirst="0" w:colLast="0"/>
            <w:bookmarkEnd w:id="5"/>
            <w:r>
              <w:t xml:space="preserve">preliminary </w:t>
            </w:r>
            <w:r w:rsidR="00251AE3" w:rsidRPr="00226282">
              <w:t xml:space="preserve">DRAFT </w:t>
            </w:r>
            <w:proofErr w:type="spellStart"/>
            <w:r w:rsidR="00251AE3">
              <w:rPr>
                <w:lang w:val="en-US"/>
              </w:rPr>
              <w:t>CPM</w:t>
            </w:r>
            <w:proofErr w:type="spellEnd"/>
            <w:r w:rsidR="00251AE3">
              <w:rPr>
                <w:lang w:val="en-US"/>
              </w:rPr>
              <w:t xml:space="preserve"> TEXT</w:t>
            </w:r>
            <w:r w:rsidR="00B236ED">
              <w:rPr>
                <w:lang w:val="en-US"/>
              </w:rPr>
              <w:br/>
            </w:r>
            <w:r w:rsidR="00251AE3">
              <w:rPr>
                <w:lang w:val="en-US"/>
              </w:rPr>
              <w:t>FOR</w:t>
            </w:r>
            <w:r w:rsidR="00251AE3" w:rsidRPr="00ED1DC3">
              <w:rPr>
                <w:lang w:val="en-US"/>
              </w:rPr>
              <w:t xml:space="preserve"> </w:t>
            </w:r>
            <w:proofErr w:type="spellStart"/>
            <w:r w:rsidR="00251AE3" w:rsidRPr="00ED1DC3">
              <w:rPr>
                <w:lang w:val="en-US"/>
              </w:rPr>
              <w:t>WRC</w:t>
            </w:r>
            <w:proofErr w:type="spellEnd"/>
            <w:r w:rsidR="00251AE3" w:rsidRPr="00ED1DC3">
              <w:rPr>
                <w:lang w:val="en-US"/>
              </w:rPr>
              <w:t>-1</w:t>
            </w:r>
            <w:r w:rsidR="00251AE3">
              <w:rPr>
                <w:lang w:val="en-US"/>
              </w:rPr>
              <w:t>9</w:t>
            </w:r>
            <w:r w:rsidR="00251AE3" w:rsidRPr="00ED1DC3">
              <w:rPr>
                <w:lang w:val="en-US"/>
              </w:rPr>
              <w:t xml:space="preserve"> A</w:t>
            </w:r>
            <w:r w:rsidR="00251AE3">
              <w:rPr>
                <w:lang w:val="en-US"/>
              </w:rPr>
              <w:t>genda item</w:t>
            </w:r>
            <w:r w:rsidR="00251AE3" w:rsidRPr="00ED1DC3">
              <w:rPr>
                <w:lang w:val="en-US"/>
              </w:rPr>
              <w:t xml:space="preserve"> </w:t>
            </w:r>
            <w:r w:rsidR="00251AE3">
              <w:rPr>
                <w:rFonts w:hint="eastAsia"/>
                <w:lang w:val="en-US" w:eastAsia="ja-JP"/>
              </w:rPr>
              <w:t>1.12</w:t>
            </w:r>
          </w:p>
        </w:tc>
      </w:tr>
      <w:tr w:rsidR="000B5995" w:rsidTr="00D046A7">
        <w:trPr>
          <w:cantSplit/>
        </w:trPr>
        <w:tc>
          <w:tcPr>
            <w:tcW w:w="9889" w:type="dxa"/>
            <w:gridSpan w:val="4"/>
          </w:tcPr>
          <w:p w:rsidR="000B5995" w:rsidRDefault="000B5995" w:rsidP="00A55539">
            <w:pPr>
              <w:pStyle w:val="Title1"/>
            </w:pPr>
            <w:r>
              <w:t>A</w:t>
            </w:r>
            <w:proofErr w:type="spellStart"/>
            <w:r>
              <w:rPr>
                <w:lang w:val="en-US"/>
              </w:rPr>
              <w:t>genda</w:t>
            </w:r>
            <w:proofErr w:type="spellEnd"/>
            <w:r>
              <w:rPr>
                <w:lang w:val="en-US"/>
              </w:rPr>
              <w:t xml:space="preserve"> item</w:t>
            </w:r>
            <w:r w:rsidRPr="00ED1DC3">
              <w:rPr>
                <w:lang w:val="en-US"/>
              </w:rPr>
              <w:t xml:space="preserve"> </w:t>
            </w:r>
            <w:r>
              <w:rPr>
                <w:lang w:val="en-US" w:eastAsia="ja-JP"/>
              </w:rPr>
              <w:t>1.12</w:t>
            </w:r>
          </w:p>
        </w:tc>
      </w:tr>
    </w:tbl>
    <w:p w:rsidR="00251AE3" w:rsidRDefault="00251AE3" w:rsidP="00251AE3">
      <w:pPr>
        <w:pStyle w:val="Normalaftertitle"/>
        <w:spacing w:before="240"/>
        <w:rPr>
          <w:b/>
          <w:i/>
          <w:iCs/>
        </w:rPr>
      </w:pPr>
      <w:bookmarkStart w:id="7" w:name="dbreak"/>
      <w:bookmarkEnd w:id="6"/>
      <w:bookmarkEnd w:id="7"/>
      <w:r>
        <w:rPr>
          <w:i/>
          <w:iCs/>
        </w:rPr>
        <w:t>1.12</w:t>
      </w:r>
      <w:r>
        <w:rPr>
          <w:i/>
          <w:iCs/>
        </w:rPr>
        <w:tab/>
      </w:r>
      <w:r w:rsidRPr="00A10656">
        <w:rPr>
          <w:i/>
          <w:iCs/>
        </w:rPr>
        <w:t xml:space="preserve">to consider possible global or regional harmonized frequency bands, to the maximum extent possible, for the implementation of evolving Intelligent Transport Systems (ITS) under existing mobile-service allocations, in accordance with Resolution </w:t>
      </w:r>
      <w:r w:rsidRPr="00A10656">
        <w:rPr>
          <w:b/>
          <w:bCs/>
          <w:i/>
          <w:iCs/>
        </w:rPr>
        <w:t>237 (</w:t>
      </w:r>
      <w:proofErr w:type="spellStart"/>
      <w:r>
        <w:rPr>
          <w:b/>
          <w:bCs/>
          <w:i/>
          <w:iCs/>
        </w:rPr>
        <w:t>WRC</w:t>
      </w:r>
      <w:proofErr w:type="spellEnd"/>
      <w:r>
        <w:rPr>
          <w:b/>
          <w:bCs/>
          <w:i/>
          <w:iCs/>
        </w:rPr>
        <w:t>-15</w:t>
      </w:r>
      <w:r w:rsidRPr="00A10656">
        <w:rPr>
          <w:b/>
          <w:bCs/>
          <w:i/>
          <w:iCs/>
        </w:rPr>
        <w:t>)</w:t>
      </w:r>
      <w:r w:rsidRPr="00A10656">
        <w:rPr>
          <w:i/>
          <w:iCs/>
        </w:rPr>
        <w:t>;</w:t>
      </w:r>
    </w:p>
    <w:p w:rsidR="00251AE3" w:rsidRDefault="00251AE3" w:rsidP="00251AE3">
      <w:pPr>
        <w:rPr>
          <w:rFonts w:eastAsia="SimSun"/>
          <w:i/>
          <w:iCs/>
        </w:rPr>
      </w:pPr>
      <w:r w:rsidRPr="003A6E12">
        <w:t xml:space="preserve">Resolution </w:t>
      </w:r>
      <w:r w:rsidRPr="003A6E12">
        <w:rPr>
          <w:rFonts w:ascii="Times New Roman Bold" w:hAnsi="Times New Roman Bold" w:cs="Times New Roman Bold"/>
          <w:b/>
          <w:bCs/>
        </w:rPr>
        <w:t xml:space="preserve">237 </w:t>
      </w:r>
      <w:r w:rsidRPr="003A6E12">
        <w:rPr>
          <w:b/>
          <w:bCs/>
        </w:rPr>
        <w:t>(</w:t>
      </w:r>
      <w:proofErr w:type="spellStart"/>
      <w:r w:rsidRPr="003A6E12">
        <w:rPr>
          <w:b/>
          <w:bCs/>
        </w:rPr>
        <w:t>WRC</w:t>
      </w:r>
      <w:proofErr w:type="spellEnd"/>
      <w:r w:rsidRPr="003A6E12">
        <w:rPr>
          <w:b/>
          <w:bCs/>
        </w:rPr>
        <w:noBreakHyphen/>
        <w:t>15)</w:t>
      </w:r>
      <w:r w:rsidRPr="003A6E12">
        <w:t xml:space="preserve"> – </w:t>
      </w:r>
      <w:r w:rsidRPr="003A6E12">
        <w:rPr>
          <w:rFonts w:eastAsia="SimSun"/>
          <w:i/>
          <w:iCs/>
        </w:rPr>
        <w:t>Intelligent Transport Systems applications</w:t>
      </w:r>
    </w:p>
    <w:p w:rsidR="00251AE3" w:rsidRPr="00536F12" w:rsidRDefault="00251AE3" w:rsidP="00251AE3">
      <w:pPr>
        <w:pStyle w:val="Heading1"/>
      </w:pPr>
      <w:r w:rsidRPr="00536F12">
        <w:t>1/1.12/1</w:t>
      </w:r>
      <w:r w:rsidRPr="00536F12">
        <w:tab/>
        <w:t>Executive summary</w:t>
      </w:r>
    </w:p>
    <w:p w:rsidR="00251AE3" w:rsidRPr="00F5237D" w:rsidRDefault="00251AE3" w:rsidP="00251AE3">
      <w:pPr>
        <w:rPr>
          <w:i/>
          <w:iCs/>
        </w:rPr>
      </w:pPr>
      <w:r w:rsidRPr="00F5237D">
        <w:rPr>
          <w:i/>
          <w:iCs/>
        </w:rPr>
        <w:t>[Text of the executive summary, not more than half a page of text to describe briefly the purpose of the agenda item, summarize the results of the studies carried out and, most importantly, provide a brief description of the method(s) identified that may satisfy the agenda item]</w:t>
      </w:r>
    </w:p>
    <w:p w:rsidR="00251AE3" w:rsidRPr="00536F12" w:rsidRDefault="00251AE3" w:rsidP="00251AE3">
      <w:pPr>
        <w:pStyle w:val="Heading1"/>
      </w:pPr>
      <w:r w:rsidRPr="00536F12">
        <w:t>1/1.12/2</w:t>
      </w:r>
      <w:r w:rsidRPr="00536F12">
        <w:tab/>
        <w:t>Background</w:t>
      </w:r>
    </w:p>
    <w:p w:rsidR="00251AE3" w:rsidRPr="0049328D" w:rsidRDefault="00251AE3" w:rsidP="00251AE3">
      <w:pPr>
        <w:rPr>
          <w:i/>
          <w:iCs/>
        </w:rPr>
      </w:pPr>
      <w:r w:rsidRPr="00F5237D">
        <w:rPr>
          <w:i/>
          <w:iCs/>
        </w:rPr>
        <w:t>[Text of the background, not more than half a page of text to provide general information in a concise manner, in order to describe the rationale of the agenda items (or issue(s))]</w:t>
      </w:r>
    </w:p>
    <w:p w:rsidR="00251AE3" w:rsidRPr="00E7174D" w:rsidRDefault="00251AE3" w:rsidP="00251AE3">
      <w:pPr>
        <w:rPr>
          <w:lang w:eastAsia="ja-JP"/>
        </w:rPr>
      </w:pPr>
      <w:r w:rsidRPr="00E7174D">
        <w:rPr>
          <w:lang w:eastAsia="ja-JP"/>
        </w:rPr>
        <w:t xml:space="preserve">Since 1995, research and development activities have been conducted in info-communication systems as core technologies of ITS. </w:t>
      </w:r>
      <w:r>
        <w:rPr>
          <w:lang w:eastAsia="ja-JP"/>
        </w:rPr>
        <w:t xml:space="preserve">Legacy </w:t>
      </w:r>
      <w:r w:rsidRPr="00E7174D">
        <w:rPr>
          <w:lang w:eastAsia="ja-JP"/>
        </w:rPr>
        <w:t>ITS</w:t>
      </w:r>
      <w:r>
        <w:rPr>
          <w:lang w:eastAsia="ja-JP"/>
        </w:rPr>
        <w:t xml:space="preserve"> systems</w:t>
      </w:r>
      <w:r w:rsidRPr="00E7174D">
        <w:rPr>
          <w:lang w:eastAsia="ja-JP"/>
        </w:rPr>
        <w:t xml:space="preserve">, including </w:t>
      </w:r>
      <w:proofErr w:type="spellStart"/>
      <w:r w:rsidRPr="00E7174D">
        <w:rPr>
          <w:lang w:eastAsia="ja-JP"/>
        </w:rPr>
        <w:t>ETC</w:t>
      </w:r>
      <w:proofErr w:type="spellEnd"/>
      <w:r w:rsidRPr="00E7174D">
        <w:rPr>
          <w:lang w:eastAsia="ja-JP"/>
        </w:rPr>
        <w:t xml:space="preserve"> (Electronic Toll Collection) have been globally deployed. </w:t>
      </w:r>
      <w:r w:rsidRPr="00ED2BE2">
        <w:rPr>
          <w:lang w:eastAsia="ja-JP"/>
        </w:rPr>
        <w:t xml:space="preserve">Advanced ITS systems, including </w:t>
      </w:r>
      <w:r>
        <w:rPr>
          <w:lang w:eastAsia="ja-JP"/>
        </w:rPr>
        <w:t>v</w:t>
      </w:r>
      <w:r w:rsidRPr="00E7174D">
        <w:rPr>
          <w:lang w:eastAsia="ja-JP"/>
        </w:rPr>
        <w:t>ehicle-to-vehicle (</w:t>
      </w:r>
      <w:proofErr w:type="spellStart"/>
      <w:r w:rsidRPr="00E7174D">
        <w:rPr>
          <w:lang w:eastAsia="ja-JP"/>
        </w:rPr>
        <w:t>V2V</w:t>
      </w:r>
      <w:proofErr w:type="spellEnd"/>
      <w:r w:rsidRPr="00E7174D">
        <w:rPr>
          <w:lang w:eastAsia="ja-JP"/>
        </w:rPr>
        <w:t>) and vehicle-to-infrastructure (</w:t>
      </w:r>
      <w:proofErr w:type="spellStart"/>
      <w:r w:rsidRPr="00E7174D">
        <w:rPr>
          <w:lang w:eastAsia="ja-JP"/>
        </w:rPr>
        <w:t>V2I</w:t>
      </w:r>
      <w:proofErr w:type="spellEnd"/>
      <w:r w:rsidRPr="00E7174D">
        <w:rPr>
          <w:lang w:eastAsia="ja-JP"/>
        </w:rPr>
        <w:t xml:space="preserve">) communications </w:t>
      </w:r>
      <w:proofErr w:type="gramStart"/>
      <w:r w:rsidRPr="00E7174D">
        <w:rPr>
          <w:lang w:eastAsia="ja-JP"/>
        </w:rPr>
        <w:t xml:space="preserve">have been </w:t>
      </w:r>
      <w:r>
        <w:rPr>
          <w:lang w:eastAsia="ja-JP"/>
        </w:rPr>
        <w:t>deployed</w:t>
      </w:r>
      <w:proofErr w:type="gramEnd"/>
      <w:r w:rsidRPr="00E7174D">
        <w:rPr>
          <w:lang w:eastAsia="ja-JP"/>
        </w:rPr>
        <w:t xml:space="preserve"> </w:t>
      </w:r>
      <w:r>
        <w:rPr>
          <w:lang w:eastAsia="ja-JP"/>
        </w:rPr>
        <w:t xml:space="preserve">in some regions </w:t>
      </w:r>
      <w:r w:rsidRPr="00E7174D">
        <w:rPr>
          <w:lang w:eastAsia="ja-JP"/>
        </w:rPr>
        <w:t>to achieve safe drive support systems.</w:t>
      </w:r>
      <w:r>
        <w:rPr>
          <w:lang w:eastAsia="ja-JP"/>
        </w:rPr>
        <w:t xml:space="preserve"> </w:t>
      </w:r>
      <w:r w:rsidRPr="00E7174D">
        <w:rPr>
          <w:lang w:eastAsia="ja-JP"/>
        </w:rPr>
        <w:t xml:space="preserve">Communicating with moving vehicles is one of the typical use cases for </w:t>
      </w:r>
      <w:proofErr w:type="spellStart"/>
      <w:r w:rsidRPr="00E7174D">
        <w:rPr>
          <w:lang w:eastAsia="ja-JP"/>
        </w:rPr>
        <w:t>radiocommunication</w:t>
      </w:r>
      <w:proofErr w:type="spellEnd"/>
      <w:r w:rsidRPr="00E7174D">
        <w:rPr>
          <w:lang w:eastAsia="ja-JP"/>
        </w:rPr>
        <w:t xml:space="preserve">, and a variety of ITS applications greatly depend on functionality of </w:t>
      </w:r>
      <w:proofErr w:type="spellStart"/>
      <w:r w:rsidRPr="00E7174D">
        <w:rPr>
          <w:lang w:eastAsia="ja-JP"/>
        </w:rPr>
        <w:t>radiocommunication</w:t>
      </w:r>
      <w:proofErr w:type="spellEnd"/>
      <w:r w:rsidRPr="00E7174D">
        <w:rPr>
          <w:lang w:eastAsia="ja-JP"/>
        </w:rPr>
        <w:t>.</w:t>
      </w:r>
      <w:r>
        <w:rPr>
          <w:lang w:eastAsia="ja-JP"/>
        </w:rPr>
        <w:t xml:space="preserve">  </w:t>
      </w:r>
      <w:proofErr w:type="spellStart"/>
      <w:r w:rsidRPr="00E7174D">
        <w:rPr>
          <w:lang w:eastAsia="ja-JP"/>
        </w:rPr>
        <w:t>Radiocommunication</w:t>
      </w:r>
      <w:proofErr w:type="spellEnd"/>
      <w:r w:rsidRPr="00E7174D">
        <w:rPr>
          <w:lang w:eastAsia="ja-JP"/>
        </w:rPr>
        <w:t xml:space="preserve"> </w:t>
      </w:r>
      <w:r w:rsidRPr="00E7174D">
        <w:rPr>
          <w:lang w:eastAsia="zh-CN"/>
        </w:rPr>
        <w:t xml:space="preserve">technology </w:t>
      </w:r>
      <w:r>
        <w:rPr>
          <w:lang w:eastAsia="ja-JP"/>
        </w:rPr>
        <w:t>is</w:t>
      </w:r>
      <w:r w:rsidRPr="00E7174D">
        <w:rPr>
          <w:lang w:eastAsia="ja-JP"/>
        </w:rPr>
        <w:t xml:space="preserve"> </w:t>
      </w:r>
      <w:r w:rsidRPr="00E7174D">
        <w:rPr>
          <w:lang w:eastAsia="zh-CN"/>
        </w:rPr>
        <w:t xml:space="preserve">essential to the </w:t>
      </w:r>
      <w:r w:rsidRPr="00E7174D">
        <w:rPr>
          <w:lang w:eastAsia="ja-JP"/>
        </w:rPr>
        <w:t xml:space="preserve">next generation of </w:t>
      </w:r>
      <w:proofErr w:type="gramStart"/>
      <w:r w:rsidRPr="00E7174D">
        <w:rPr>
          <w:lang w:eastAsia="ja-JP"/>
        </w:rPr>
        <w:t>ITS</w:t>
      </w:r>
      <w:proofErr w:type="gramEnd"/>
      <w:r w:rsidRPr="00E7174D">
        <w:rPr>
          <w:lang w:eastAsia="ja-JP"/>
        </w:rPr>
        <w:t>, especially for safe driving support system and automated driving system, etc.</w:t>
      </w:r>
    </w:p>
    <w:p w:rsidR="00176972" w:rsidRDefault="00251AE3" w:rsidP="00251AE3">
      <w:pPr>
        <w:rPr>
          <w:lang w:eastAsia="ja-JP"/>
        </w:rPr>
      </w:pPr>
      <w:r w:rsidRPr="00E7174D">
        <w:rPr>
          <w:lang w:eastAsia="ja-JP"/>
        </w:rPr>
        <w:t>As</w:t>
      </w:r>
      <w:r w:rsidRPr="00E7174D">
        <w:rPr>
          <w:lang w:eastAsia="zh-CN"/>
        </w:rPr>
        <w:t xml:space="preserve"> it is noted</w:t>
      </w:r>
      <w:r w:rsidRPr="00E7174D">
        <w:rPr>
          <w:lang w:eastAsia="ja-JP"/>
        </w:rPr>
        <w:t xml:space="preserve">, </w:t>
      </w:r>
      <w:r>
        <w:rPr>
          <w:lang w:eastAsia="ja-JP"/>
        </w:rPr>
        <w:t xml:space="preserve">legacy </w:t>
      </w:r>
      <w:r w:rsidRPr="00E7174D">
        <w:rPr>
          <w:lang w:eastAsia="ja-JP"/>
        </w:rPr>
        <w:t xml:space="preserve">ITS applications have been deployed worldwide. ITS </w:t>
      </w:r>
      <w:r>
        <w:rPr>
          <w:lang w:eastAsia="ja-JP"/>
        </w:rPr>
        <w:t xml:space="preserve">may also </w:t>
      </w:r>
      <w:r w:rsidRPr="00E7174D">
        <w:rPr>
          <w:lang w:eastAsia="ja-JP"/>
        </w:rPr>
        <w:t>bec</w:t>
      </w:r>
      <w:r>
        <w:rPr>
          <w:lang w:eastAsia="ja-JP"/>
        </w:rPr>
        <w:t>o</w:t>
      </w:r>
      <w:r w:rsidRPr="00E7174D">
        <w:rPr>
          <w:lang w:eastAsia="ja-JP"/>
        </w:rPr>
        <w:t>me important in resolving road traffic problems such as congestion and accidents. However</w:t>
      </w:r>
      <w:r>
        <w:rPr>
          <w:lang w:eastAsia="ja-JP"/>
        </w:rPr>
        <w:t>,</w:t>
      </w:r>
      <w:r w:rsidRPr="00E7174D">
        <w:rPr>
          <w:lang w:eastAsia="ja-JP"/>
        </w:rPr>
        <w:t xml:space="preserve"> ITS industries are combinations of electronics, communications, </w:t>
      </w:r>
      <w:proofErr w:type="gramStart"/>
      <w:r w:rsidRPr="00E7174D">
        <w:rPr>
          <w:lang w:eastAsia="ja-JP"/>
        </w:rPr>
        <w:t>civil</w:t>
      </w:r>
      <w:proofErr w:type="gramEnd"/>
      <w:r w:rsidRPr="00E7174D">
        <w:rPr>
          <w:lang w:eastAsia="ja-JP"/>
        </w:rPr>
        <w:t xml:space="preserve"> engineering, automotive and other related industries.</w:t>
      </w:r>
      <w:r>
        <w:rPr>
          <w:lang w:eastAsia="ja-JP"/>
        </w:rPr>
        <w:t xml:space="preserve"> </w:t>
      </w:r>
    </w:p>
    <w:p w:rsidR="00251AE3" w:rsidRDefault="00251AE3" w:rsidP="00251AE3">
      <w:pPr>
        <w:rPr>
          <w:lang w:eastAsia="ja-JP"/>
        </w:rPr>
      </w:pPr>
      <w:r w:rsidRPr="00B6531D">
        <w:rPr>
          <w:lang w:eastAsia="ja-JP"/>
        </w:rPr>
        <w:t>Recognizing that harmonized spectrum and international stand</w:t>
      </w:r>
      <w:r>
        <w:rPr>
          <w:lang w:eastAsia="ja-JP"/>
        </w:rPr>
        <w:t xml:space="preserve">ards would facilitate </w:t>
      </w:r>
      <w:r w:rsidRPr="00B6531D">
        <w:rPr>
          <w:lang w:eastAsia="ja-JP"/>
        </w:rPr>
        <w:t>deplo</w:t>
      </w:r>
      <w:r>
        <w:rPr>
          <w:lang w:eastAsia="ja-JP"/>
        </w:rPr>
        <w:t xml:space="preserve">yment of ITS </w:t>
      </w:r>
      <w:proofErr w:type="spellStart"/>
      <w:r>
        <w:rPr>
          <w:lang w:eastAsia="ja-JP"/>
        </w:rPr>
        <w:t>radiocommunication</w:t>
      </w:r>
      <w:proofErr w:type="spellEnd"/>
      <w:r>
        <w:rPr>
          <w:lang w:eastAsia="ja-JP"/>
        </w:rPr>
        <w:t xml:space="preserve">, </w:t>
      </w:r>
      <w:r w:rsidR="00047559" w:rsidRPr="00FF5A53">
        <w:rPr>
          <w:lang w:eastAsia="ja-JP"/>
        </w:rPr>
        <w:t>agenda i</w:t>
      </w:r>
      <w:r w:rsidRPr="00FF5A53">
        <w:rPr>
          <w:lang w:eastAsia="ja-JP"/>
        </w:rPr>
        <w:t xml:space="preserve">tem 1.12 </w:t>
      </w:r>
      <w:proofErr w:type="gramStart"/>
      <w:r w:rsidRPr="00FF5A53">
        <w:rPr>
          <w:lang w:eastAsia="ja-JP"/>
        </w:rPr>
        <w:t xml:space="preserve">was </w:t>
      </w:r>
      <w:r>
        <w:rPr>
          <w:lang w:eastAsia="ja-JP"/>
        </w:rPr>
        <w:t>approved</w:t>
      </w:r>
      <w:proofErr w:type="gramEnd"/>
      <w:r w:rsidRPr="00FF5A53">
        <w:rPr>
          <w:lang w:eastAsia="ja-JP"/>
        </w:rPr>
        <w:t xml:space="preserve"> by </w:t>
      </w:r>
      <w:proofErr w:type="spellStart"/>
      <w:r w:rsidRPr="00FF5A53">
        <w:rPr>
          <w:lang w:eastAsia="ja-JP"/>
        </w:rPr>
        <w:t>WRC</w:t>
      </w:r>
      <w:proofErr w:type="spellEnd"/>
      <w:r w:rsidRPr="00FF5A53">
        <w:rPr>
          <w:lang w:eastAsia="ja-JP"/>
        </w:rPr>
        <w:t xml:space="preserve">-15 to study the </w:t>
      </w:r>
      <w:r>
        <w:rPr>
          <w:lang w:eastAsia="ja-JP"/>
        </w:rPr>
        <w:t>possibility</w:t>
      </w:r>
      <w:r w:rsidRPr="00FF5A53">
        <w:rPr>
          <w:lang w:eastAsia="ja-JP"/>
        </w:rPr>
        <w:t xml:space="preserve"> for harmonization of ITS spectrum </w:t>
      </w:r>
      <w:r>
        <w:rPr>
          <w:lang w:eastAsia="ja-JP"/>
        </w:rPr>
        <w:t xml:space="preserve">within the existing mobile service allocations </w:t>
      </w:r>
      <w:r w:rsidRPr="00FF5A53">
        <w:rPr>
          <w:lang w:eastAsia="ja-JP"/>
        </w:rPr>
        <w:t xml:space="preserve">on a global </w:t>
      </w:r>
      <w:r>
        <w:rPr>
          <w:lang w:eastAsia="ja-JP"/>
        </w:rPr>
        <w:t xml:space="preserve">or </w:t>
      </w:r>
      <w:r>
        <w:rPr>
          <w:lang w:eastAsia="ja-JP"/>
        </w:rPr>
        <w:lastRenderedPageBreak/>
        <w:t xml:space="preserve">regional </w:t>
      </w:r>
      <w:r w:rsidRPr="00FF5A53">
        <w:rPr>
          <w:lang w:eastAsia="ja-JP"/>
        </w:rPr>
        <w:t>basis</w:t>
      </w:r>
      <w:r>
        <w:rPr>
          <w:lang w:eastAsia="ja-JP"/>
        </w:rPr>
        <w:t xml:space="preserve">. </w:t>
      </w:r>
      <w:proofErr w:type="gramStart"/>
      <w:r>
        <w:rPr>
          <w:lang w:eastAsia="ja-JP"/>
        </w:rPr>
        <w:t>The mobile service bands being used by ITS may also be utilized by other applications and services and some of the frequency bands are also being considered under other agenda items</w:t>
      </w:r>
      <w:proofErr w:type="gramEnd"/>
      <w:r>
        <w:rPr>
          <w:lang w:eastAsia="ja-JP"/>
        </w:rPr>
        <w:t>.</w:t>
      </w:r>
    </w:p>
    <w:p w:rsidR="00251AE3" w:rsidRPr="00837D9C" w:rsidRDefault="00251AE3" w:rsidP="00251AE3">
      <w:pPr>
        <w:pStyle w:val="Heading1"/>
      </w:pPr>
      <w:r>
        <w:t>1</w:t>
      </w:r>
      <w:r w:rsidRPr="00837D9C">
        <w:t>/1.</w:t>
      </w:r>
      <w:r>
        <w:t>12</w:t>
      </w:r>
      <w:r w:rsidRPr="00837D9C">
        <w:t>/</w:t>
      </w:r>
      <w:r>
        <w:t>3</w:t>
      </w:r>
      <w:r w:rsidRPr="00837D9C">
        <w:tab/>
      </w:r>
      <w:r w:rsidRPr="005303A3">
        <w:t>Summary</w:t>
      </w:r>
      <w:r>
        <w:t xml:space="preserve"> and Analysis of the results of ITU-R studies</w:t>
      </w:r>
    </w:p>
    <w:p w:rsidR="00251AE3" w:rsidRPr="00F5237D" w:rsidRDefault="00251AE3" w:rsidP="00251AE3">
      <w:pPr>
        <w:keepLines/>
        <w:rPr>
          <w:i/>
          <w:iCs/>
        </w:rPr>
      </w:pPr>
      <w:r w:rsidRPr="00F5237D">
        <w:rPr>
          <w:i/>
          <w:iCs/>
        </w:rPr>
        <w:t xml:space="preserve">[This section should contain a summary of the technical and operational studies performed within ITU-R, including a list of relevant ITU-R Recommendations. Depending on the agenda item, this section </w:t>
      </w:r>
      <w:proofErr w:type="gramStart"/>
      <w:r w:rsidRPr="00F5237D">
        <w:rPr>
          <w:i/>
          <w:iCs/>
        </w:rPr>
        <w:t>could be divided</w:t>
      </w:r>
      <w:proofErr w:type="gramEnd"/>
      <w:r w:rsidRPr="00F5237D">
        <w:rPr>
          <w:i/>
          <w:iCs/>
        </w:rPr>
        <w:t xml:space="preserve"> in two parts, one part dealing with the summary of technical and operational studies</w:t>
      </w:r>
      <w:r w:rsidRPr="00F5237D">
        <w:t xml:space="preserve"> </w:t>
      </w:r>
      <w:r w:rsidRPr="00F5237D">
        <w:rPr>
          <w:i/>
          <w:iCs/>
        </w:rPr>
        <w:t>and the other part dealing with the analysis of the results of studies.</w:t>
      </w:r>
      <w:r w:rsidRPr="00F5237D">
        <w:rPr>
          <w:i/>
          <w:iCs/>
        </w:rPr>
        <w:br/>
        <w:t>The results of the ITU-R studies should also be analysed with respect to the possible methods of satisfying the agenda item, and presented in a concise manner.]</w:t>
      </w:r>
    </w:p>
    <w:p w:rsidR="00251AE3" w:rsidRPr="00E7174D" w:rsidRDefault="00251AE3" w:rsidP="00251AE3">
      <w:pPr>
        <w:rPr>
          <w:lang w:val="en-US" w:eastAsia="ja-JP"/>
        </w:rPr>
      </w:pPr>
      <w:r>
        <w:rPr>
          <w:lang w:val="en-US" w:eastAsia="ja-JP"/>
        </w:rPr>
        <w:t>[</w:t>
      </w:r>
      <w:r w:rsidRPr="00E7174D">
        <w:rPr>
          <w:lang w:val="en-US" w:eastAsia="ja-JP"/>
        </w:rPr>
        <w:t xml:space="preserve">International standardization activities for ITS info-communication systems have been conducted by ITU-R and ISO at the global level, by </w:t>
      </w:r>
      <w:proofErr w:type="spellStart"/>
      <w:r w:rsidRPr="00E7174D">
        <w:rPr>
          <w:lang w:val="en-US" w:eastAsia="ja-JP"/>
        </w:rPr>
        <w:t>ETSI</w:t>
      </w:r>
      <w:proofErr w:type="spellEnd"/>
      <w:r w:rsidRPr="00E7174D">
        <w:rPr>
          <w:lang w:val="en-US" w:eastAsia="ja-JP"/>
        </w:rPr>
        <w:t xml:space="preserve">, CEN, </w:t>
      </w:r>
      <w:proofErr w:type="spellStart"/>
      <w:r w:rsidRPr="00E7174D">
        <w:rPr>
          <w:lang w:val="en-US" w:eastAsia="ja-JP"/>
        </w:rPr>
        <w:t>ARIB</w:t>
      </w:r>
      <w:proofErr w:type="spellEnd"/>
      <w:r w:rsidRPr="00E7174D">
        <w:rPr>
          <w:lang w:val="en-US" w:eastAsia="ja-JP"/>
        </w:rPr>
        <w:t xml:space="preserve"> and others at the regional level, and by IEEE, </w:t>
      </w:r>
      <w:proofErr w:type="spellStart"/>
      <w:r w:rsidRPr="00E7174D">
        <w:rPr>
          <w:lang w:val="en-US" w:eastAsia="ja-JP"/>
        </w:rPr>
        <w:t>SAE</w:t>
      </w:r>
      <w:proofErr w:type="spellEnd"/>
      <w:r w:rsidRPr="00E7174D">
        <w:rPr>
          <w:lang w:val="en-US" w:eastAsia="ja-JP"/>
        </w:rPr>
        <w:t xml:space="preserve"> and other organizations in the private sector. In ITU-R, several recommendations and reports </w:t>
      </w:r>
      <w:proofErr w:type="gramStart"/>
      <w:r w:rsidRPr="00E7174D">
        <w:rPr>
          <w:lang w:val="en-US" w:eastAsia="ja-JP"/>
        </w:rPr>
        <w:t>have been published</w:t>
      </w:r>
      <w:proofErr w:type="gramEnd"/>
      <w:r w:rsidRPr="00E7174D">
        <w:rPr>
          <w:lang w:val="en-US" w:eastAsia="ja-JP"/>
        </w:rPr>
        <w:t>, as follows:</w:t>
      </w:r>
    </w:p>
    <w:p w:rsidR="00251AE3" w:rsidRPr="00E7174D" w:rsidRDefault="00251AE3" w:rsidP="00251AE3">
      <w:pPr>
        <w:pStyle w:val="enumlev1"/>
        <w:rPr>
          <w:rFonts w:eastAsia="MS Gothic"/>
          <w:lang w:val="en-US"/>
        </w:rPr>
      </w:pPr>
      <w:r w:rsidRPr="00E7174D">
        <w:rPr>
          <w:lang w:val="en-US" w:eastAsia="ja-JP"/>
        </w:rPr>
        <w:t>–</w:t>
      </w:r>
      <w:r w:rsidRPr="00E7174D">
        <w:rPr>
          <w:lang w:val="en-US" w:eastAsia="ja-JP"/>
        </w:rPr>
        <w:tab/>
        <w:t>Recommendation ITU-</w:t>
      </w:r>
      <w:hyperlink r:id="rId8" w:history="1">
        <w:r w:rsidRPr="0060679F">
          <w:rPr>
            <w:rStyle w:val="Hyperlink"/>
            <w:lang w:val="en-US" w:eastAsia="ja-JP"/>
          </w:rPr>
          <w:t xml:space="preserve">R </w:t>
        </w:r>
        <w:proofErr w:type="spellStart"/>
        <w:r w:rsidRPr="0060679F">
          <w:rPr>
            <w:rStyle w:val="Hyperlink"/>
            <w:lang w:val="en-US" w:eastAsia="ja-JP"/>
          </w:rPr>
          <w:t>M.1890</w:t>
        </w:r>
        <w:proofErr w:type="spellEnd"/>
      </w:hyperlink>
      <w:r w:rsidRPr="00E7174D">
        <w:rPr>
          <w:lang w:val="en-US" w:eastAsia="ja-JP"/>
        </w:rPr>
        <w:t>, “</w:t>
      </w:r>
      <w:r w:rsidRPr="00E7174D">
        <w:rPr>
          <w:rFonts w:eastAsia="MS Gothic"/>
          <w:lang w:val="en-US"/>
        </w:rPr>
        <w:t>Intelligent Transport Systems – Guidelines and Objectives”, 2011</w:t>
      </w:r>
      <w:r w:rsidR="00176972">
        <w:rPr>
          <w:rFonts w:eastAsia="MS Gothic"/>
          <w:lang w:val="en-US"/>
        </w:rPr>
        <w:t>.</w:t>
      </w:r>
    </w:p>
    <w:p w:rsidR="00251AE3" w:rsidRPr="00D22774" w:rsidRDefault="00251AE3" w:rsidP="00251AE3">
      <w:pPr>
        <w:pStyle w:val="enumlev1"/>
        <w:rPr>
          <w:lang w:val="en-US" w:eastAsia="ja-JP"/>
        </w:rPr>
      </w:pPr>
      <w:r w:rsidRPr="00E7174D">
        <w:rPr>
          <w:lang w:val="en-US" w:eastAsia="ja-JP"/>
        </w:rPr>
        <w:t>–</w:t>
      </w:r>
      <w:r w:rsidRPr="00E7174D">
        <w:rPr>
          <w:lang w:val="en-US" w:eastAsia="ja-JP"/>
        </w:rPr>
        <w:tab/>
        <w:t>Recommendation ITU-</w:t>
      </w:r>
      <w:r w:rsidRPr="00D22774">
        <w:rPr>
          <w:lang w:val="en-US" w:eastAsia="ja-JP"/>
        </w:rPr>
        <w:t xml:space="preserve">R </w:t>
      </w:r>
      <w:hyperlink r:id="rId9" w:history="1">
        <w:proofErr w:type="spellStart"/>
        <w:r w:rsidRPr="0060679F">
          <w:rPr>
            <w:rStyle w:val="Hyperlink"/>
            <w:rFonts w:eastAsia="MS Gothic"/>
            <w:lang w:val="en-US"/>
          </w:rPr>
          <w:t>M.1453</w:t>
        </w:r>
        <w:proofErr w:type="spellEnd"/>
        <w:r w:rsidRPr="0060679F">
          <w:rPr>
            <w:rStyle w:val="Hyperlink"/>
            <w:rFonts w:eastAsia="MS Gothic"/>
            <w:lang w:val="en-US"/>
          </w:rPr>
          <w:t>-2</w:t>
        </w:r>
      </w:hyperlink>
      <w:r w:rsidRPr="00D22774">
        <w:rPr>
          <w:rFonts w:eastAsia="MS Gothic"/>
          <w:lang w:val="en-US"/>
        </w:rPr>
        <w:t>,</w:t>
      </w:r>
      <w:r w:rsidRPr="00D22774">
        <w:rPr>
          <w:lang w:val="en-US" w:eastAsia="ja-JP"/>
        </w:rPr>
        <w:t xml:space="preserve"> “</w:t>
      </w:r>
      <w:r w:rsidRPr="00D22774">
        <w:rPr>
          <w:rFonts w:eastAsia="MS Gothic"/>
          <w:lang w:val="en-US"/>
        </w:rPr>
        <w:t>Intelligent Transport Systems – Dedicated Short Range Communications at 5.8 GHz”, 2005.</w:t>
      </w:r>
    </w:p>
    <w:p w:rsidR="00251AE3" w:rsidRPr="00E7174D" w:rsidRDefault="00251AE3" w:rsidP="00251AE3">
      <w:pPr>
        <w:pStyle w:val="enumlev1"/>
        <w:rPr>
          <w:lang w:val="en-US" w:eastAsia="ja-JP"/>
        </w:rPr>
      </w:pPr>
      <w:r w:rsidRPr="00D22774">
        <w:rPr>
          <w:lang w:val="en-US" w:eastAsia="ja-JP"/>
        </w:rPr>
        <w:t>–</w:t>
      </w:r>
      <w:r w:rsidRPr="00D22774">
        <w:rPr>
          <w:lang w:val="en-US" w:eastAsia="ja-JP"/>
        </w:rPr>
        <w:tab/>
        <w:t xml:space="preserve">Recommendation ITU-R </w:t>
      </w:r>
      <w:hyperlink r:id="rId10" w:history="1">
        <w:proofErr w:type="spellStart"/>
        <w:r w:rsidRPr="0060679F">
          <w:rPr>
            <w:rStyle w:val="Hyperlink"/>
            <w:rFonts w:eastAsia="MS Gothic"/>
            <w:lang w:val="en-US"/>
          </w:rPr>
          <w:t>M.1452</w:t>
        </w:r>
        <w:proofErr w:type="spellEnd"/>
        <w:r w:rsidRPr="0060679F">
          <w:rPr>
            <w:rStyle w:val="Hyperlink"/>
            <w:rFonts w:eastAsia="MS Gothic"/>
            <w:lang w:val="en-US"/>
          </w:rPr>
          <w:t>-2</w:t>
        </w:r>
      </w:hyperlink>
      <w:r w:rsidRPr="00D22774">
        <w:rPr>
          <w:rFonts w:eastAsia="MS Gothic"/>
          <w:lang w:val="en-US"/>
        </w:rPr>
        <w:t>,</w:t>
      </w:r>
      <w:r w:rsidRPr="00D22774">
        <w:rPr>
          <w:lang w:val="en-US" w:eastAsia="ja-JP"/>
        </w:rPr>
        <w:t xml:space="preserve"> “</w:t>
      </w:r>
      <w:proofErr w:type="spellStart"/>
      <w:r w:rsidRPr="00D22774">
        <w:rPr>
          <w:rFonts w:eastAsia="MS Gothic"/>
          <w:lang w:val="en-US"/>
        </w:rPr>
        <w:t>Millimetr</w:t>
      </w:r>
      <w:r w:rsidRPr="00D22774">
        <w:rPr>
          <w:rFonts w:eastAsia="MS Gothic"/>
          <w:lang w:val="en-US" w:eastAsia="ja-JP"/>
        </w:rPr>
        <w:t>e</w:t>
      </w:r>
      <w:proofErr w:type="spellEnd"/>
      <w:r w:rsidRPr="00D22774">
        <w:rPr>
          <w:rFonts w:eastAsia="MS Gothic"/>
          <w:lang w:val="en-US"/>
        </w:rPr>
        <w:t xml:space="preserve"> wave </w:t>
      </w:r>
      <w:proofErr w:type="spellStart"/>
      <w:r w:rsidRPr="00D22774">
        <w:rPr>
          <w:rFonts w:eastAsia="MS Gothic"/>
          <w:lang w:val="en-US"/>
        </w:rPr>
        <w:t>radiocommunication</w:t>
      </w:r>
      <w:proofErr w:type="spellEnd"/>
      <w:r w:rsidRPr="00D22774">
        <w:rPr>
          <w:rFonts w:eastAsia="MS Gothic"/>
          <w:lang w:val="en-US"/>
        </w:rPr>
        <w:t xml:space="preserve"> systems for ITS applications”, 2012.</w:t>
      </w:r>
    </w:p>
    <w:p w:rsidR="00251AE3" w:rsidRPr="00E7174D" w:rsidRDefault="00251AE3" w:rsidP="00251AE3">
      <w:pPr>
        <w:pStyle w:val="enumlev1"/>
        <w:rPr>
          <w:lang w:val="en-US" w:eastAsia="ja-JP"/>
        </w:rPr>
      </w:pPr>
      <w:r w:rsidRPr="00E7174D">
        <w:rPr>
          <w:lang w:val="en-US" w:eastAsia="ja-JP"/>
        </w:rPr>
        <w:t>–</w:t>
      </w:r>
      <w:r w:rsidRPr="00E7174D">
        <w:rPr>
          <w:lang w:val="en-US" w:eastAsia="ja-JP"/>
        </w:rPr>
        <w:tab/>
        <w:t xml:space="preserve">Report ITU-R </w:t>
      </w:r>
      <w:hyperlink r:id="rId11" w:history="1">
        <w:proofErr w:type="spellStart"/>
        <w:r w:rsidRPr="0060679F">
          <w:rPr>
            <w:rStyle w:val="Hyperlink"/>
            <w:rFonts w:eastAsia="MS Gothic"/>
            <w:lang w:val="en-US"/>
          </w:rPr>
          <w:t>M.2228</w:t>
        </w:r>
        <w:proofErr w:type="spellEnd"/>
      </w:hyperlink>
      <w:r w:rsidRPr="00E7174D">
        <w:rPr>
          <w:rFonts w:eastAsia="MS Gothic"/>
          <w:lang w:val="en-US"/>
        </w:rPr>
        <w:t xml:space="preserve">, </w:t>
      </w:r>
      <w:r w:rsidRPr="00E7174D">
        <w:rPr>
          <w:lang w:val="en-US" w:eastAsia="ja-JP"/>
        </w:rPr>
        <w:t>“</w:t>
      </w:r>
      <w:r w:rsidRPr="00E7174D">
        <w:rPr>
          <w:rFonts w:eastAsia="MS Gothic"/>
          <w:lang w:val="en-US"/>
        </w:rPr>
        <w:t>Advanced Intelligent Transport Systems (ITS)</w:t>
      </w:r>
      <w:r w:rsidRPr="00E7174D">
        <w:rPr>
          <w:lang w:val="en-US" w:eastAsia="zh-CN"/>
        </w:rPr>
        <w:t xml:space="preserve"> </w:t>
      </w:r>
      <w:proofErr w:type="spellStart"/>
      <w:r w:rsidRPr="00E7174D">
        <w:rPr>
          <w:rFonts w:eastAsia="MS Gothic"/>
          <w:lang w:val="en-US" w:eastAsia="ja-JP"/>
        </w:rPr>
        <w:t>r</w:t>
      </w:r>
      <w:r w:rsidRPr="00E7174D">
        <w:rPr>
          <w:rFonts w:eastAsia="MS Gothic"/>
          <w:lang w:val="en-US"/>
        </w:rPr>
        <w:t>adiocommunications</w:t>
      </w:r>
      <w:proofErr w:type="spellEnd"/>
      <w:r w:rsidRPr="00E7174D">
        <w:rPr>
          <w:rFonts w:eastAsia="MS Gothic"/>
          <w:lang w:val="en-US"/>
        </w:rPr>
        <w:t>”, 2012.</w:t>
      </w:r>
    </w:p>
    <w:p w:rsidR="00251AE3" w:rsidRPr="00E7174D" w:rsidRDefault="00251AE3" w:rsidP="00251AE3">
      <w:pPr>
        <w:pStyle w:val="enumlev1"/>
        <w:rPr>
          <w:rFonts w:eastAsia="MS Gothic"/>
          <w:bCs/>
          <w:iCs/>
          <w:lang w:val="en-US" w:eastAsia="ja-JP"/>
        </w:rPr>
      </w:pPr>
      <w:r w:rsidRPr="00E7174D">
        <w:rPr>
          <w:lang w:val="en-US" w:eastAsia="ja-JP"/>
        </w:rPr>
        <w:t>–</w:t>
      </w:r>
      <w:r w:rsidRPr="00E7174D">
        <w:rPr>
          <w:lang w:val="en-US" w:eastAsia="ja-JP"/>
        </w:rPr>
        <w:tab/>
        <w:t xml:space="preserve">Recommendation ITU-R </w:t>
      </w:r>
      <w:hyperlink r:id="rId12" w:history="1">
        <w:proofErr w:type="spellStart"/>
        <w:r w:rsidRPr="0060679F">
          <w:rPr>
            <w:rStyle w:val="Hyperlink"/>
            <w:rFonts w:eastAsia="MS Gothic"/>
            <w:bCs/>
            <w:iCs/>
            <w:lang w:val="en-US"/>
          </w:rPr>
          <w:t>M.2084</w:t>
        </w:r>
        <w:proofErr w:type="spellEnd"/>
      </w:hyperlink>
      <w:r w:rsidRPr="00E7174D">
        <w:rPr>
          <w:rFonts w:eastAsia="MS Gothic"/>
          <w:bCs/>
          <w:iCs/>
          <w:lang w:val="en-US"/>
        </w:rPr>
        <w:t xml:space="preserve">, “Radio interface standards of </w:t>
      </w:r>
      <w:r w:rsidRPr="00E7174D">
        <w:rPr>
          <w:rFonts w:eastAsia="MS Gothic"/>
          <w:bCs/>
          <w:iCs/>
          <w:lang w:val="en-US" w:eastAsia="ja-JP"/>
        </w:rPr>
        <w:t>v</w:t>
      </w:r>
      <w:r w:rsidRPr="00E7174D">
        <w:rPr>
          <w:rFonts w:eastAsia="MS Gothic"/>
          <w:bCs/>
          <w:iCs/>
          <w:lang w:val="en-US"/>
        </w:rPr>
        <w:t xml:space="preserve">ehicle-to-vehicle and vehicle-to-infrastructure </w:t>
      </w:r>
      <w:r w:rsidRPr="00E7174D">
        <w:rPr>
          <w:rFonts w:eastAsia="MS Gothic"/>
          <w:bCs/>
          <w:iCs/>
          <w:lang w:val="en-US" w:eastAsia="ja-JP"/>
        </w:rPr>
        <w:t>c</w:t>
      </w:r>
      <w:r w:rsidRPr="00E7174D">
        <w:rPr>
          <w:rFonts w:eastAsia="MS Gothic"/>
          <w:bCs/>
          <w:iCs/>
          <w:lang w:val="en-US"/>
        </w:rPr>
        <w:t>ommunications for intelligent transport systems applications”, 2015.</w:t>
      </w:r>
    </w:p>
    <w:p w:rsidR="00251AE3" w:rsidRPr="00E7174D" w:rsidRDefault="00251AE3" w:rsidP="00251AE3">
      <w:pPr>
        <w:pStyle w:val="enumlev1"/>
        <w:rPr>
          <w:lang w:val="en-US" w:eastAsia="ja-JP"/>
        </w:rPr>
      </w:pPr>
      <w:r w:rsidRPr="00E7174D">
        <w:rPr>
          <w:lang w:val="en-US" w:eastAsia="ja-JP"/>
        </w:rPr>
        <w:t>–</w:t>
      </w:r>
      <w:r w:rsidRPr="00E7174D">
        <w:rPr>
          <w:lang w:val="en-US" w:eastAsia="ja-JP"/>
        </w:rPr>
        <w:tab/>
        <w:t xml:space="preserve">Report ITU-R </w:t>
      </w:r>
      <w:r w:rsidRPr="00E7174D">
        <w:rPr>
          <w:rFonts w:eastAsia="MS Gothic"/>
          <w:lang w:val="en-US"/>
        </w:rPr>
        <w:t>M</w:t>
      </w:r>
      <w:proofErr w:type="gramStart"/>
      <w:r w:rsidRPr="00E7174D">
        <w:rPr>
          <w:rFonts w:eastAsia="MS Gothic"/>
          <w:lang w:val="en-US"/>
        </w:rPr>
        <w:t>.[</w:t>
      </w:r>
      <w:proofErr w:type="gramEnd"/>
      <w:r w:rsidRPr="00E7174D">
        <w:rPr>
          <w:rFonts w:eastAsia="MS Gothic"/>
          <w:lang w:val="en-US"/>
        </w:rPr>
        <w:t>ITS USAGE] “Intelligent transp</w:t>
      </w:r>
      <w:bookmarkStart w:id="8" w:name="_GoBack"/>
      <w:bookmarkEnd w:id="8"/>
      <w:r w:rsidRPr="00E7174D">
        <w:rPr>
          <w:rFonts w:eastAsia="MS Gothic"/>
          <w:lang w:val="en-US"/>
        </w:rPr>
        <w:t xml:space="preserve">ort systems usage Report in ITU Member States”, </w:t>
      </w:r>
      <w:r w:rsidRPr="00E7174D">
        <w:rPr>
          <w:rFonts w:eastAsia="MS Gothic"/>
          <w:lang w:val="en-US" w:eastAsia="ja-JP"/>
        </w:rPr>
        <w:t xml:space="preserve">to be published in </w:t>
      </w:r>
      <w:r w:rsidRPr="00E7174D">
        <w:rPr>
          <w:rFonts w:eastAsia="MS Gothic"/>
          <w:lang w:val="en-US"/>
        </w:rPr>
        <w:t>201</w:t>
      </w:r>
      <w:r w:rsidRPr="00E7174D">
        <w:rPr>
          <w:rFonts w:eastAsia="MS Gothic"/>
          <w:lang w:val="en-US" w:eastAsia="ja-JP"/>
        </w:rPr>
        <w:t>6.</w:t>
      </w:r>
      <w:r>
        <w:rPr>
          <w:rFonts w:eastAsia="MS Gothic"/>
          <w:lang w:val="en-US" w:eastAsia="ja-JP"/>
        </w:rPr>
        <w:t>]</w:t>
      </w:r>
    </w:p>
    <w:p w:rsidR="00251AE3" w:rsidRPr="006558DE" w:rsidRDefault="00251AE3" w:rsidP="00251AE3">
      <w:pPr>
        <w:pStyle w:val="Heading1"/>
        <w:rPr>
          <w:lang w:eastAsia="ja-JP"/>
        </w:rPr>
      </w:pPr>
      <w:r>
        <w:t>1</w:t>
      </w:r>
      <w:r w:rsidRPr="00837D9C">
        <w:t>/1.</w:t>
      </w:r>
      <w:r>
        <w:t>12</w:t>
      </w:r>
      <w:r w:rsidRPr="006558DE">
        <w:t>/</w:t>
      </w:r>
      <w:r>
        <w:t>4</w:t>
      </w:r>
      <w:r w:rsidRPr="006558DE">
        <w:tab/>
        <w:t>Methods to satisfy the agenda item</w:t>
      </w:r>
    </w:p>
    <w:p w:rsidR="00251AE3" w:rsidRPr="00F5237D" w:rsidRDefault="00251AE3" w:rsidP="00251AE3">
      <w:pPr>
        <w:rPr>
          <w:i/>
          <w:iCs/>
        </w:rPr>
      </w:pPr>
      <w:r w:rsidRPr="00F5237D">
        <w:rPr>
          <w:i/>
          <w:iCs/>
        </w:rPr>
        <w:t>[This section should contain the brief description of the Method or Methods to satisfy the agenda item as per section 4 of Annex 2 to Resolution ITU-R 2-7]</w:t>
      </w:r>
    </w:p>
    <w:p w:rsidR="00251AE3" w:rsidRPr="00B72796" w:rsidRDefault="00251AE3" w:rsidP="00251AE3">
      <w:pPr>
        <w:pStyle w:val="Heading1"/>
      </w:pPr>
      <w:r>
        <w:t>1</w:t>
      </w:r>
      <w:r w:rsidRPr="00B72796">
        <w:t>/1.</w:t>
      </w:r>
      <w:r>
        <w:t>12</w:t>
      </w:r>
      <w:r w:rsidRPr="00B72796">
        <w:t>/</w:t>
      </w:r>
      <w:r>
        <w:t>5</w:t>
      </w:r>
      <w:r w:rsidRPr="00B72796">
        <w:tab/>
        <w:t>Regulatory and procedural considerations</w:t>
      </w:r>
    </w:p>
    <w:p w:rsidR="00251AE3" w:rsidRPr="00F5237D" w:rsidRDefault="00251AE3" w:rsidP="00251AE3">
      <w:pPr>
        <w:rPr>
          <w:i/>
          <w:iCs/>
        </w:rPr>
      </w:pPr>
      <w:r w:rsidRPr="00F5237D">
        <w:rPr>
          <w:i/>
          <w:iCs/>
        </w:rPr>
        <w:t>[Example(s) of regulatory text relating to the Method(s) to satisfy the agenda item]</w:t>
      </w:r>
    </w:p>
    <w:p w:rsidR="00251AE3" w:rsidRPr="004E03A2" w:rsidRDefault="00251AE3" w:rsidP="00251AE3">
      <w:pPr>
        <w:rPr>
          <w:lang w:val="en-US" w:eastAsia="zh-CN"/>
        </w:rPr>
      </w:pPr>
    </w:p>
    <w:p w:rsidR="00251AE3" w:rsidRPr="00785A82" w:rsidRDefault="00251AE3" w:rsidP="00047559">
      <w:pPr>
        <w:jc w:val="center"/>
        <w:rPr>
          <w:lang w:val="en-US"/>
        </w:rPr>
      </w:pPr>
    </w:p>
    <w:sectPr w:rsidR="00251AE3" w:rsidRPr="00785A82" w:rsidSect="00D02712">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616" w:rsidRDefault="005F1616">
      <w:r>
        <w:separator/>
      </w:r>
    </w:p>
  </w:endnote>
  <w:endnote w:type="continuationSeparator" w:id="0">
    <w:p w:rsidR="005F1616" w:rsidRDefault="005F1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972" w:rsidRDefault="000B5995" w:rsidP="00176972">
    <w:pPr>
      <w:pStyle w:val="Footer"/>
    </w:pPr>
    <w:fldSimple w:instr=" FILENAME \p  \* MERGEFORMAT ">
      <w:r w:rsidR="00785A82">
        <w:t>M:\BRSGD\TEXT2016\SG05\WP5A\200\298\298N08e.docx</w:t>
      </w:r>
    </w:fldSimple>
    <w:r w:rsidR="00176972">
      <w:tab/>
    </w:r>
    <w:r w:rsidR="00176972">
      <w:fldChar w:fldCharType="begin"/>
    </w:r>
    <w:r w:rsidR="00176972">
      <w:instrText xml:space="preserve"> SAVEDATE \@ DD.MM.YY </w:instrText>
    </w:r>
    <w:r w:rsidR="00176972">
      <w:fldChar w:fldCharType="separate"/>
    </w:r>
    <w:r w:rsidR="0060679F">
      <w:t>17.11.16</w:t>
    </w:r>
    <w:r w:rsidR="00176972">
      <w:fldChar w:fldCharType="end"/>
    </w:r>
    <w:r w:rsidR="00176972">
      <w:tab/>
    </w:r>
    <w:r w:rsidR="00176972">
      <w:fldChar w:fldCharType="begin"/>
    </w:r>
    <w:r w:rsidR="00176972">
      <w:instrText xml:space="preserve"> PRINTDATE \@ DD.MM.YY </w:instrText>
    </w:r>
    <w:r w:rsidR="00176972">
      <w:fldChar w:fldCharType="separate"/>
    </w:r>
    <w:r w:rsidR="00785A82">
      <w:t>17.11.16</w:t>
    </w:r>
    <w:r w:rsidR="0017697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972" w:rsidRDefault="0060679F">
    <w:pPr>
      <w:pStyle w:val="Footer"/>
    </w:pPr>
    <w:r>
      <w:fldChar w:fldCharType="begin"/>
    </w:r>
    <w:r>
      <w:instrText xml:space="preserve"> FILENAME \p  \* MERGEFORMAT </w:instrText>
    </w:r>
    <w:r>
      <w:fldChar w:fldCharType="separate"/>
    </w:r>
    <w:r w:rsidR="00785A82">
      <w:t>M:\BRSGD\TEXT2016\SG05\WP5A\200\298\298N08e.docx</w:t>
    </w:r>
    <w:r>
      <w:fldChar w:fldCharType="end"/>
    </w:r>
    <w:r w:rsidR="00176972">
      <w:tab/>
    </w:r>
    <w:r w:rsidR="00176972">
      <w:fldChar w:fldCharType="begin"/>
    </w:r>
    <w:r w:rsidR="00176972">
      <w:instrText xml:space="preserve"> SAVEDATE \@ DD.MM.YY </w:instrText>
    </w:r>
    <w:r w:rsidR="00176972">
      <w:fldChar w:fldCharType="separate"/>
    </w:r>
    <w:r>
      <w:t>17.11.16</w:t>
    </w:r>
    <w:r w:rsidR="00176972">
      <w:fldChar w:fldCharType="end"/>
    </w:r>
    <w:r w:rsidR="00176972">
      <w:tab/>
    </w:r>
    <w:r w:rsidR="00176972">
      <w:fldChar w:fldCharType="begin"/>
    </w:r>
    <w:r w:rsidR="00176972">
      <w:instrText xml:space="preserve"> PRINTDATE \@ DD.MM.YY </w:instrText>
    </w:r>
    <w:r w:rsidR="00176972">
      <w:fldChar w:fldCharType="separate"/>
    </w:r>
    <w:r w:rsidR="00785A82">
      <w:t>17.11.16</w:t>
    </w:r>
    <w:r w:rsidR="0017697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616" w:rsidRDefault="005F1616">
      <w:r>
        <w:t>____________________</w:t>
      </w:r>
    </w:p>
  </w:footnote>
  <w:footnote w:type="continuationSeparator" w:id="0">
    <w:p w:rsidR="005F1616" w:rsidRDefault="005F16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60679F">
      <w:rPr>
        <w:rStyle w:val="PageNumber"/>
        <w:noProof/>
      </w:rPr>
      <w:t>2</w:t>
    </w:r>
    <w:r w:rsidR="00D02712">
      <w:rPr>
        <w:rStyle w:val="PageNumber"/>
      </w:rPr>
      <w:fldChar w:fldCharType="end"/>
    </w:r>
    <w:r>
      <w:rPr>
        <w:rStyle w:val="PageNumber"/>
      </w:rPr>
      <w:t xml:space="preserve"> -</w:t>
    </w:r>
  </w:p>
  <w:p w:rsidR="00FA124A" w:rsidRDefault="00251AE3" w:rsidP="00B722F5">
    <w:pPr>
      <w:pStyle w:val="Header"/>
      <w:rPr>
        <w:lang w:val="en-US"/>
      </w:rPr>
    </w:pPr>
    <w:proofErr w:type="spellStart"/>
    <w:r>
      <w:rPr>
        <w:lang w:val="en-US"/>
      </w:rPr>
      <w:t>5A</w:t>
    </w:r>
    <w:proofErr w:type="spellEnd"/>
    <w:r>
      <w:rPr>
        <w:lang w:val="en-US"/>
      </w:rPr>
      <w:t>/</w:t>
    </w:r>
    <w:r w:rsidR="00B722F5">
      <w:rPr>
        <w:lang w:val="en-US"/>
      </w:rPr>
      <w:t>298</w:t>
    </w:r>
    <w:r w:rsidR="007F7C3F">
      <w:rPr>
        <w:lang w:val="en-US"/>
      </w:rPr>
      <w:t xml:space="preserve"> </w:t>
    </w:r>
    <w:r w:rsidR="009E2596">
      <w:rPr>
        <w:lang w:val="en-US"/>
      </w:rPr>
      <w:t>(</w:t>
    </w:r>
    <w:r w:rsidR="007F7C3F">
      <w:rPr>
        <w:lang w:val="en-US"/>
      </w:rPr>
      <w:t>Annex 8</w:t>
    </w:r>
    <w:r w:rsidR="009E2596">
      <w:rPr>
        <w:lang w:val="en-US"/>
      </w:rPr>
      <w:t>)</w:t>
    </w:r>
    <w:r>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activeWritingStyle w:appName="MSWord" w:lang="en-CA" w:vendorID="64" w:dllVersion="131078" w:nlCheck="1" w:checkStyle="0"/>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E3"/>
    <w:rsid w:val="000069D4"/>
    <w:rsid w:val="000174AD"/>
    <w:rsid w:val="00047559"/>
    <w:rsid w:val="00047A1D"/>
    <w:rsid w:val="000604B9"/>
    <w:rsid w:val="000A7D55"/>
    <w:rsid w:val="000B5995"/>
    <w:rsid w:val="000C2E8E"/>
    <w:rsid w:val="000E0E7C"/>
    <w:rsid w:val="000F1B4B"/>
    <w:rsid w:val="0012744F"/>
    <w:rsid w:val="00131178"/>
    <w:rsid w:val="00156F66"/>
    <w:rsid w:val="00163271"/>
    <w:rsid w:val="00176972"/>
    <w:rsid w:val="00182528"/>
    <w:rsid w:val="0018500B"/>
    <w:rsid w:val="00196A19"/>
    <w:rsid w:val="00202DC1"/>
    <w:rsid w:val="002116EE"/>
    <w:rsid w:val="002309D8"/>
    <w:rsid w:val="00251AE3"/>
    <w:rsid w:val="002A567F"/>
    <w:rsid w:val="002A7FE2"/>
    <w:rsid w:val="002E1B4F"/>
    <w:rsid w:val="002F2E67"/>
    <w:rsid w:val="002F7CB3"/>
    <w:rsid w:val="00315546"/>
    <w:rsid w:val="00330567"/>
    <w:rsid w:val="00386A9D"/>
    <w:rsid w:val="00391081"/>
    <w:rsid w:val="003B2789"/>
    <w:rsid w:val="003B6FB1"/>
    <w:rsid w:val="003C13CE"/>
    <w:rsid w:val="003E2518"/>
    <w:rsid w:val="003E7CEF"/>
    <w:rsid w:val="004B1EF7"/>
    <w:rsid w:val="004B3FAD"/>
    <w:rsid w:val="00501DCA"/>
    <w:rsid w:val="00513A47"/>
    <w:rsid w:val="005408DF"/>
    <w:rsid w:val="005628F3"/>
    <w:rsid w:val="00573344"/>
    <w:rsid w:val="00583F9B"/>
    <w:rsid w:val="005E5C10"/>
    <w:rsid w:val="005F1616"/>
    <w:rsid w:val="005F2C78"/>
    <w:rsid w:val="0060679F"/>
    <w:rsid w:val="006144E4"/>
    <w:rsid w:val="00650299"/>
    <w:rsid w:val="00655FC5"/>
    <w:rsid w:val="00785A82"/>
    <w:rsid w:val="007F7C3F"/>
    <w:rsid w:val="00814E0A"/>
    <w:rsid w:val="00822581"/>
    <w:rsid w:val="008309DD"/>
    <w:rsid w:val="0083227A"/>
    <w:rsid w:val="00866900"/>
    <w:rsid w:val="00881BA1"/>
    <w:rsid w:val="008C26B8"/>
    <w:rsid w:val="008F208F"/>
    <w:rsid w:val="00982084"/>
    <w:rsid w:val="00995963"/>
    <w:rsid w:val="009B61EB"/>
    <w:rsid w:val="009C2064"/>
    <w:rsid w:val="009D1697"/>
    <w:rsid w:val="009E2596"/>
    <w:rsid w:val="009F3A46"/>
    <w:rsid w:val="00A014F8"/>
    <w:rsid w:val="00A5173C"/>
    <w:rsid w:val="00A55539"/>
    <w:rsid w:val="00A61AEF"/>
    <w:rsid w:val="00AD2345"/>
    <w:rsid w:val="00AF173A"/>
    <w:rsid w:val="00B066A4"/>
    <w:rsid w:val="00B07A13"/>
    <w:rsid w:val="00B236ED"/>
    <w:rsid w:val="00B4279B"/>
    <w:rsid w:val="00B45FC9"/>
    <w:rsid w:val="00B53186"/>
    <w:rsid w:val="00B722F5"/>
    <w:rsid w:val="00B751F0"/>
    <w:rsid w:val="00B81138"/>
    <w:rsid w:val="00BC7CCF"/>
    <w:rsid w:val="00BE470B"/>
    <w:rsid w:val="00C57A91"/>
    <w:rsid w:val="00C755D8"/>
    <w:rsid w:val="00CC01C2"/>
    <w:rsid w:val="00CF21F2"/>
    <w:rsid w:val="00D02712"/>
    <w:rsid w:val="00D046A7"/>
    <w:rsid w:val="00D20E74"/>
    <w:rsid w:val="00D214D0"/>
    <w:rsid w:val="00D54D5C"/>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A3BA9"/>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DB2F4A74-E80D-446A-AC4D-38F5C2047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basedOn w:val="DefaultParagraphFont"/>
    <w:rsid w:val="00251AE3"/>
    <w:rPr>
      <w:color w:val="0000FF" w:themeColor="hyperlink"/>
      <w:u w:val="single"/>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link w:val="Heading1"/>
    <w:rsid w:val="00251AE3"/>
    <w:rPr>
      <w:rFonts w:ascii="Times New Roman" w:hAnsi="Times New Roman"/>
      <w:b/>
      <w:sz w:val="28"/>
      <w:lang w:val="en-GB" w:eastAsia="en-US"/>
    </w:rPr>
  </w:style>
  <w:style w:type="character" w:customStyle="1" w:styleId="enumlev1Char">
    <w:name w:val="enumlev1 Char"/>
    <w:link w:val="enumlev1"/>
    <w:rsid w:val="00251AE3"/>
    <w:rPr>
      <w:rFonts w:ascii="Times New Roman" w:hAnsi="Times New Roman"/>
      <w:sz w:val="24"/>
      <w:lang w:val="en-GB" w:eastAsia="en-US"/>
    </w:rPr>
  </w:style>
  <w:style w:type="character" w:customStyle="1" w:styleId="NormalaftertitleChar">
    <w:name w:val="Normal_after_title Char"/>
    <w:basedOn w:val="DefaultParagraphFont"/>
    <w:link w:val="Normalaftertitle"/>
    <w:uiPriority w:val="99"/>
    <w:locked/>
    <w:rsid w:val="00251AE3"/>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rec/R-REC-M.1890/en"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itu.int/rec/R-REC-M.2084/en"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http://www.itu.int/pub/R-REP-M.2228"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itu.int/rec/R-REC-M.1452/en" TargetMode="External"/><Relationship Id="rId4" Type="http://schemas.openxmlformats.org/officeDocument/2006/relationships/footnotes" Target="footnotes.xml"/><Relationship Id="rId9" Type="http://schemas.openxmlformats.org/officeDocument/2006/relationships/hyperlink" Target="http://www.itu.int/rec/R-REC-M.1453/en"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et\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9</TotalTime>
  <Pages>2</Pages>
  <Words>653</Words>
  <Characters>4271</Characters>
  <Application>Microsoft Office Word</Application>
  <DocSecurity>0</DocSecurity>
  <Lines>35</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ITU</Company>
  <LinksUpToDate>false</LinksUpToDate>
  <CharactersWithSpaces>4915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Song, Xiaojing</cp:lastModifiedBy>
  <cp:revision>6</cp:revision>
  <cp:lastPrinted>2016-11-17T10:09:00Z</cp:lastPrinted>
  <dcterms:created xsi:type="dcterms:W3CDTF">2016-11-17T10:16:00Z</dcterms:created>
  <dcterms:modified xsi:type="dcterms:W3CDTF">2016-11-17T10:47:00Z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