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1526"/>
        <w:gridCol w:w="4912"/>
        <w:gridCol w:w="1892"/>
        <w:gridCol w:w="1559"/>
      </w:tblGrid>
      <w:tr w:rsidR="00DB178B" w:rsidRPr="00853C9F" w14:paraId="3A12A52E" w14:textId="77777777" w:rsidTr="00D046A7">
        <w:trPr>
          <w:cantSplit/>
        </w:trPr>
        <w:tc>
          <w:tcPr>
            <w:tcW w:w="1526" w:type="dxa"/>
            <w:vAlign w:val="center"/>
          </w:tcPr>
          <w:p w14:paraId="0366D1F4" w14:textId="77777777" w:rsidR="00DB178B" w:rsidRPr="00853C9F" w:rsidRDefault="00EB242E" w:rsidP="00EB242E">
            <w:pPr>
              <w:shd w:val="solid" w:color="FFFFFF" w:fill="FFFFFF"/>
              <w:spacing w:before="0"/>
              <w:rPr>
                <w:rFonts w:ascii="Verdana" w:hAnsi="Verdana" w:cs="Times New Roman Bold"/>
                <w:b/>
                <w:bCs/>
                <w:sz w:val="26"/>
                <w:szCs w:val="26"/>
                <w:lang w:val="en-US"/>
              </w:rPr>
            </w:pPr>
            <w:bookmarkStart w:id="0" w:name="ditulogo"/>
            <w:bookmarkEnd w:id="0"/>
            <w:r w:rsidRPr="00853C9F">
              <w:rPr>
                <w:rFonts w:ascii="Verdana" w:hAnsi="Verdana" w:cs="Times New Roman Bold"/>
                <w:b/>
                <w:bCs/>
                <w:noProof/>
                <w:sz w:val="20"/>
                <w:szCs w:val="26"/>
                <w:lang w:val="en-US" w:eastAsia="zh-CN"/>
              </w:rPr>
              <w:drawing>
                <wp:inline distT="0" distB="0" distL="0" distR="0" wp14:anchorId="39C94C30" wp14:editId="7A7C92B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804" w:type="dxa"/>
            <w:gridSpan w:val="2"/>
            <w:vAlign w:val="center"/>
          </w:tcPr>
          <w:p w14:paraId="1A912FEC" w14:textId="77777777" w:rsidR="00DB178B" w:rsidRPr="00853C9F" w:rsidRDefault="00DB178B" w:rsidP="000604B9">
            <w:pPr>
              <w:shd w:val="solid" w:color="FFFFFF" w:fill="FFFFFF"/>
              <w:spacing w:before="0"/>
              <w:jc w:val="center"/>
              <w:rPr>
                <w:rFonts w:ascii="Verdana" w:hAnsi="Verdana" w:cs="Times New Roman Bold"/>
                <w:b/>
                <w:bCs/>
                <w:sz w:val="26"/>
                <w:szCs w:val="26"/>
                <w:lang w:val="en-US"/>
              </w:rPr>
            </w:pPr>
            <w:r w:rsidRPr="00853C9F">
              <w:rPr>
                <w:rFonts w:ascii="Verdana" w:hAnsi="Verdana" w:cs="Times New Roman Bold"/>
                <w:b/>
                <w:bCs/>
                <w:sz w:val="26"/>
                <w:szCs w:val="26"/>
                <w:lang w:val="en-US"/>
              </w:rPr>
              <w:t>Radiocommunication Study Groups</w:t>
            </w:r>
          </w:p>
        </w:tc>
        <w:tc>
          <w:tcPr>
            <w:tcW w:w="1559" w:type="dxa"/>
          </w:tcPr>
          <w:p w14:paraId="4EE81FA4" w14:textId="77777777" w:rsidR="00DB178B" w:rsidRPr="00853C9F" w:rsidRDefault="00DB178B" w:rsidP="00163271">
            <w:pPr>
              <w:shd w:val="solid" w:color="FFFFFF" w:fill="FFFFFF"/>
              <w:spacing w:before="0" w:line="240" w:lineRule="atLeast"/>
              <w:jc w:val="right"/>
              <w:rPr>
                <w:lang w:val="en-US"/>
              </w:rPr>
            </w:pPr>
            <w:r w:rsidRPr="00853C9F">
              <w:rPr>
                <w:rFonts w:cs="Arial"/>
                <w:noProof/>
                <w:lang w:val="en-US" w:eastAsia="zh-CN"/>
              </w:rPr>
              <w:drawing>
                <wp:inline distT="0" distB="0" distL="0" distR="0" wp14:anchorId="181683E7" wp14:editId="32CEF89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0069D4" w:rsidRPr="00853C9F" w14:paraId="0FD8475A" w14:textId="77777777" w:rsidTr="00D046A7">
        <w:trPr>
          <w:cantSplit/>
        </w:trPr>
        <w:tc>
          <w:tcPr>
            <w:tcW w:w="6438" w:type="dxa"/>
            <w:gridSpan w:val="2"/>
            <w:tcBorders>
              <w:bottom w:val="single" w:sz="12" w:space="0" w:color="auto"/>
            </w:tcBorders>
          </w:tcPr>
          <w:p w14:paraId="78579DF0" w14:textId="77777777" w:rsidR="000069D4" w:rsidRPr="00853C9F" w:rsidRDefault="00DB178B" w:rsidP="00A5173C">
            <w:pPr>
              <w:shd w:val="solid" w:color="FFFFFF" w:fill="FFFFFF"/>
              <w:spacing w:before="0" w:after="48"/>
              <w:rPr>
                <w:rFonts w:ascii="Verdana" w:hAnsi="Verdana" w:cs="Times New Roman Bold"/>
                <w:b/>
                <w:sz w:val="22"/>
                <w:szCs w:val="22"/>
                <w:lang w:val="en-US"/>
              </w:rPr>
            </w:pPr>
            <w:r w:rsidRPr="00853C9F">
              <w:rPr>
                <w:rFonts w:ascii="Verdana" w:hAnsi="Verdana" w:cs="Times New Roman Bold"/>
                <w:b/>
                <w:sz w:val="20"/>
                <w:lang w:val="en-US"/>
              </w:rPr>
              <w:t>INTERNATIONAL TELECOMMUNICATION UNION</w:t>
            </w:r>
          </w:p>
        </w:tc>
        <w:tc>
          <w:tcPr>
            <w:tcW w:w="3451" w:type="dxa"/>
            <w:gridSpan w:val="2"/>
            <w:tcBorders>
              <w:bottom w:val="single" w:sz="12" w:space="0" w:color="auto"/>
            </w:tcBorders>
          </w:tcPr>
          <w:p w14:paraId="54530449" w14:textId="77777777" w:rsidR="000069D4" w:rsidRPr="00853C9F" w:rsidRDefault="000069D4" w:rsidP="00A5173C">
            <w:pPr>
              <w:shd w:val="solid" w:color="FFFFFF" w:fill="FFFFFF"/>
              <w:spacing w:before="0" w:after="48" w:line="240" w:lineRule="atLeast"/>
              <w:rPr>
                <w:sz w:val="22"/>
                <w:szCs w:val="22"/>
                <w:lang w:val="en-US"/>
              </w:rPr>
            </w:pPr>
          </w:p>
        </w:tc>
      </w:tr>
      <w:tr w:rsidR="000069D4" w:rsidRPr="00853C9F" w14:paraId="57B7EBCE" w14:textId="77777777" w:rsidTr="00D046A7">
        <w:trPr>
          <w:cantSplit/>
        </w:trPr>
        <w:tc>
          <w:tcPr>
            <w:tcW w:w="6438" w:type="dxa"/>
            <w:gridSpan w:val="2"/>
            <w:tcBorders>
              <w:top w:val="single" w:sz="12" w:space="0" w:color="auto"/>
            </w:tcBorders>
          </w:tcPr>
          <w:p w14:paraId="77361192" w14:textId="77777777" w:rsidR="000069D4" w:rsidRPr="00853C9F" w:rsidRDefault="000069D4" w:rsidP="00A5173C">
            <w:pPr>
              <w:shd w:val="solid" w:color="FFFFFF" w:fill="FFFFFF"/>
              <w:spacing w:before="0" w:after="48"/>
              <w:rPr>
                <w:rFonts w:ascii="Verdana" w:hAnsi="Verdana" w:cs="Times New Roman Bold"/>
                <w:bCs/>
                <w:sz w:val="22"/>
                <w:szCs w:val="22"/>
                <w:lang w:val="en-US"/>
              </w:rPr>
            </w:pPr>
          </w:p>
        </w:tc>
        <w:tc>
          <w:tcPr>
            <w:tcW w:w="3451" w:type="dxa"/>
            <w:gridSpan w:val="2"/>
            <w:tcBorders>
              <w:top w:val="single" w:sz="12" w:space="0" w:color="auto"/>
            </w:tcBorders>
          </w:tcPr>
          <w:p w14:paraId="704D11FC" w14:textId="77777777" w:rsidR="000069D4" w:rsidRPr="00853C9F" w:rsidRDefault="000069D4" w:rsidP="00A5173C">
            <w:pPr>
              <w:shd w:val="solid" w:color="FFFFFF" w:fill="FFFFFF"/>
              <w:spacing w:before="0" w:after="48" w:line="240" w:lineRule="atLeast"/>
              <w:rPr>
                <w:lang w:val="en-US"/>
              </w:rPr>
            </w:pPr>
          </w:p>
        </w:tc>
      </w:tr>
      <w:tr w:rsidR="000069D4" w:rsidRPr="00853C9F" w14:paraId="0531E560" w14:textId="77777777" w:rsidTr="00D046A7">
        <w:trPr>
          <w:cantSplit/>
        </w:trPr>
        <w:tc>
          <w:tcPr>
            <w:tcW w:w="6438" w:type="dxa"/>
            <w:gridSpan w:val="2"/>
            <w:vMerge w:val="restart"/>
          </w:tcPr>
          <w:p w14:paraId="7319E6B5" w14:textId="56236503" w:rsidR="00EB242E" w:rsidRPr="00FE46A5" w:rsidRDefault="00C02C60" w:rsidP="00AE5011">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FE46A5">
              <w:rPr>
                <w:rFonts w:ascii="Verdana" w:hAnsi="Verdana"/>
                <w:sz w:val="20"/>
                <w:lang w:val="en-CA"/>
              </w:rPr>
              <w:t>Source:</w:t>
            </w:r>
            <w:r w:rsidRPr="00FE46A5">
              <w:rPr>
                <w:rFonts w:ascii="Verdana" w:hAnsi="Verdana"/>
                <w:sz w:val="20"/>
                <w:lang w:val="en-CA"/>
              </w:rPr>
              <w:tab/>
              <w:t xml:space="preserve">Document </w:t>
            </w:r>
            <w:r w:rsidR="00FC1C89" w:rsidRPr="00FE46A5">
              <w:rPr>
                <w:rFonts w:ascii="Verdana" w:hAnsi="Verdana"/>
                <w:sz w:val="20"/>
                <w:lang w:val="en-CA"/>
              </w:rPr>
              <w:t>5A/TEMP/128</w:t>
            </w:r>
          </w:p>
        </w:tc>
        <w:tc>
          <w:tcPr>
            <w:tcW w:w="3451" w:type="dxa"/>
            <w:gridSpan w:val="2"/>
          </w:tcPr>
          <w:p w14:paraId="43B4ABDC" w14:textId="10449348" w:rsidR="000069D4" w:rsidRPr="00FE46A5" w:rsidRDefault="00FE46A5" w:rsidP="00B16FF4">
            <w:pPr>
              <w:shd w:val="solid" w:color="FFFFFF" w:fill="FFFFFF"/>
              <w:spacing w:before="0" w:line="240" w:lineRule="atLeast"/>
              <w:rPr>
                <w:rFonts w:ascii="Verdana" w:hAnsi="Verdana"/>
                <w:sz w:val="20"/>
                <w:lang w:val="en-CA" w:eastAsia="zh-CN"/>
              </w:rPr>
            </w:pPr>
            <w:r w:rsidRPr="00FE46A5">
              <w:rPr>
                <w:rFonts w:ascii="Verdana" w:hAnsi="Verdana"/>
                <w:b/>
                <w:sz w:val="20"/>
                <w:lang w:val="en-CA" w:eastAsia="zh-CN"/>
              </w:rPr>
              <w:t>Annex 14 to</w:t>
            </w:r>
            <w:r w:rsidR="00B16FF4">
              <w:rPr>
                <w:rFonts w:ascii="Verdana" w:hAnsi="Verdana"/>
                <w:b/>
                <w:sz w:val="20"/>
                <w:lang w:val="en-CA" w:eastAsia="zh-CN"/>
              </w:rPr>
              <w:br/>
            </w:r>
            <w:r w:rsidR="00EB242E" w:rsidRPr="00FE46A5">
              <w:rPr>
                <w:rFonts w:ascii="Verdana" w:hAnsi="Verdana"/>
                <w:b/>
                <w:sz w:val="20"/>
                <w:lang w:val="en-CA" w:eastAsia="zh-CN"/>
              </w:rPr>
              <w:t xml:space="preserve">Document </w:t>
            </w:r>
            <w:proofErr w:type="spellStart"/>
            <w:r w:rsidR="00EB242E" w:rsidRPr="00FE46A5">
              <w:rPr>
                <w:rFonts w:ascii="Verdana" w:hAnsi="Verdana"/>
                <w:b/>
                <w:sz w:val="20"/>
                <w:lang w:val="en-CA" w:eastAsia="zh-CN"/>
              </w:rPr>
              <w:t>5A</w:t>
            </w:r>
            <w:proofErr w:type="spellEnd"/>
            <w:r w:rsidR="00EB242E" w:rsidRPr="00FE46A5">
              <w:rPr>
                <w:rFonts w:ascii="Verdana" w:hAnsi="Verdana"/>
                <w:b/>
                <w:sz w:val="20"/>
                <w:lang w:val="en-CA" w:eastAsia="zh-CN"/>
              </w:rPr>
              <w:t>/</w:t>
            </w:r>
            <w:r w:rsidRPr="00FE46A5">
              <w:rPr>
                <w:rFonts w:ascii="Verdana" w:hAnsi="Verdana"/>
                <w:b/>
                <w:sz w:val="20"/>
                <w:lang w:val="en-CA" w:eastAsia="zh-CN"/>
              </w:rPr>
              <w:t>298</w:t>
            </w:r>
            <w:r w:rsidR="00EB242E" w:rsidRPr="00FE46A5">
              <w:rPr>
                <w:rFonts w:ascii="Verdana" w:hAnsi="Verdana"/>
                <w:b/>
                <w:sz w:val="20"/>
                <w:lang w:val="en-CA" w:eastAsia="zh-CN"/>
              </w:rPr>
              <w:t>-E</w:t>
            </w:r>
          </w:p>
        </w:tc>
      </w:tr>
      <w:tr w:rsidR="000069D4" w:rsidRPr="00853C9F" w14:paraId="13A8A897" w14:textId="77777777" w:rsidTr="00D046A7">
        <w:trPr>
          <w:cantSplit/>
        </w:trPr>
        <w:tc>
          <w:tcPr>
            <w:tcW w:w="6438" w:type="dxa"/>
            <w:gridSpan w:val="2"/>
            <w:vMerge/>
          </w:tcPr>
          <w:p w14:paraId="66394E2B" w14:textId="0CBA5B62" w:rsidR="000069D4" w:rsidRPr="00FE46A5" w:rsidRDefault="000069D4" w:rsidP="00A5173C">
            <w:pPr>
              <w:spacing w:before="60"/>
              <w:jc w:val="center"/>
              <w:rPr>
                <w:b/>
                <w:smallCaps/>
                <w:sz w:val="32"/>
                <w:lang w:val="en-CA" w:eastAsia="zh-CN"/>
              </w:rPr>
            </w:pPr>
            <w:bookmarkStart w:id="3" w:name="ddate" w:colFirst="1" w:colLast="1"/>
            <w:bookmarkEnd w:id="2"/>
          </w:p>
        </w:tc>
        <w:tc>
          <w:tcPr>
            <w:tcW w:w="3451" w:type="dxa"/>
            <w:gridSpan w:val="2"/>
          </w:tcPr>
          <w:p w14:paraId="3F78AD99" w14:textId="77F8820C" w:rsidR="000069D4" w:rsidRPr="00FE46A5" w:rsidRDefault="00B04B8F" w:rsidP="001D3240">
            <w:pPr>
              <w:shd w:val="solid" w:color="FFFFFF" w:fill="FFFFFF"/>
              <w:spacing w:before="0" w:line="240" w:lineRule="atLeast"/>
              <w:rPr>
                <w:rFonts w:ascii="Verdana" w:hAnsi="Verdana"/>
                <w:sz w:val="20"/>
                <w:lang w:val="en-CA" w:eastAsia="zh-CN"/>
              </w:rPr>
            </w:pPr>
            <w:r>
              <w:rPr>
                <w:rFonts w:ascii="Verdana" w:hAnsi="Verdana"/>
                <w:b/>
                <w:sz w:val="20"/>
                <w:lang w:val="en-CA" w:eastAsia="zh-CN"/>
              </w:rPr>
              <w:t>21</w:t>
            </w:r>
            <w:r w:rsidR="00D50DB1" w:rsidRPr="00FE46A5">
              <w:rPr>
                <w:rFonts w:ascii="Verdana" w:hAnsi="Verdana"/>
                <w:b/>
                <w:sz w:val="20"/>
                <w:lang w:val="en-CA" w:eastAsia="zh-CN"/>
              </w:rPr>
              <w:t xml:space="preserve"> November</w:t>
            </w:r>
            <w:r w:rsidR="00EB242E" w:rsidRPr="00FE46A5">
              <w:rPr>
                <w:rFonts w:ascii="Verdana" w:hAnsi="Verdana"/>
                <w:b/>
                <w:sz w:val="20"/>
                <w:lang w:val="en-CA" w:eastAsia="zh-CN"/>
              </w:rPr>
              <w:t xml:space="preserve"> 2016</w:t>
            </w:r>
          </w:p>
        </w:tc>
      </w:tr>
      <w:tr w:rsidR="000069D4" w:rsidRPr="00853C9F" w14:paraId="264EE3D0" w14:textId="77777777" w:rsidTr="00D046A7">
        <w:trPr>
          <w:cantSplit/>
        </w:trPr>
        <w:tc>
          <w:tcPr>
            <w:tcW w:w="6438" w:type="dxa"/>
            <w:gridSpan w:val="2"/>
            <w:vMerge/>
          </w:tcPr>
          <w:p w14:paraId="485872CF" w14:textId="77777777" w:rsidR="000069D4" w:rsidRPr="00FE46A5" w:rsidRDefault="000069D4" w:rsidP="00A5173C">
            <w:pPr>
              <w:spacing w:before="60"/>
              <w:jc w:val="center"/>
              <w:rPr>
                <w:b/>
                <w:smallCaps/>
                <w:sz w:val="32"/>
                <w:lang w:val="en-CA" w:eastAsia="zh-CN"/>
              </w:rPr>
            </w:pPr>
            <w:bookmarkStart w:id="4" w:name="dorlang" w:colFirst="1" w:colLast="1"/>
            <w:bookmarkEnd w:id="3"/>
          </w:p>
        </w:tc>
        <w:tc>
          <w:tcPr>
            <w:tcW w:w="3451" w:type="dxa"/>
            <w:gridSpan w:val="2"/>
          </w:tcPr>
          <w:p w14:paraId="043953C2" w14:textId="77777777" w:rsidR="000069D4" w:rsidRPr="00FE46A5" w:rsidRDefault="00EB242E" w:rsidP="00A5173C">
            <w:pPr>
              <w:shd w:val="solid" w:color="FFFFFF" w:fill="FFFFFF"/>
              <w:spacing w:before="0" w:line="240" w:lineRule="atLeast"/>
              <w:rPr>
                <w:rFonts w:ascii="Verdana" w:eastAsia="SimSun" w:hAnsi="Verdana"/>
                <w:sz w:val="20"/>
                <w:lang w:val="en-CA" w:eastAsia="zh-CN"/>
              </w:rPr>
            </w:pPr>
            <w:r w:rsidRPr="00FE46A5">
              <w:rPr>
                <w:rFonts w:ascii="Verdana" w:eastAsia="SimSun" w:hAnsi="Verdana"/>
                <w:b/>
                <w:sz w:val="20"/>
                <w:lang w:val="en-CA" w:eastAsia="zh-CN"/>
              </w:rPr>
              <w:t>English only</w:t>
            </w:r>
          </w:p>
        </w:tc>
      </w:tr>
      <w:tr w:rsidR="000069D4" w:rsidRPr="00853C9F" w14:paraId="2F3A45CB" w14:textId="77777777" w:rsidTr="00D046A7">
        <w:trPr>
          <w:cantSplit/>
        </w:trPr>
        <w:tc>
          <w:tcPr>
            <w:tcW w:w="9889" w:type="dxa"/>
            <w:gridSpan w:val="4"/>
          </w:tcPr>
          <w:p w14:paraId="3B866E17" w14:textId="08778209" w:rsidR="000069D4" w:rsidRPr="00FE46A5" w:rsidRDefault="00FC1C89" w:rsidP="00D50DB1">
            <w:pPr>
              <w:pStyle w:val="Source"/>
              <w:rPr>
                <w:lang w:val="en-CA" w:eastAsia="zh-CN"/>
              </w:rPr>
            </w:pPr>
            <w:bookmarkStart w:id="5" w:name="dsource" w:colFirst="0" w:colLast="0"/>
            <w:bookmarkEnd w:id="4"/>
            <w:r w:rsidRPr="00FE46A5">
              <w:rPr>
                <w:lang w:val="en-CA" w:eastAsia="zh-CN"/>
              </w:rPr>
              <w:t>Annex 14 to Working Party 5A Chairman’s Report</w:t>
            </w:r>
          </w:p>
        </w:tc>
      </w:tr>
      <w:tr w:rsidR="000069D4" w:rsidRPr="00853C9F" w14:paraId="77F34AE1" w14:textId="77777777" w:rsidTr="00D046A7">
        <w:trPr>
          <w:cantSplit/>
        </w:trPr>
        <w:tc>
          <w:tcPr>
            <w:tcW w:w="9889" w:type="dxa"/>
            <w:gridSpan w:val="4"/>
          </w:tcPr>
          <w:p w14:paraId="699443A0" w14:textId="58E224CB" w:rsidR="000069D4" w:rsidRPr="00853C9F" w:rsidRDefault="001D46CF" w:rsidP="00AE5011">
            <w:pPr>
              <w:pStyle w:val="RepNo"/>
              <w:spacing w:before="240"/>
              <w:rPr>
                <w:lang w:val="en-US" w:eastAsia="zh-CN"/>
              </w:rPr>
            </w:pPr>
            <w:bookmarkStart w:id="6" w:name="drec" w:colFirst="0" w:colLast="0"/>
            <w:bookmarkEnd w:id="5"/>
            <w:r w:rsidRPr="00853C9F">
              <w:rPr>
                <w:lang w:val="en-US" w:eastAsia="zh-CN"/>
              </w:rPr>
              <w:t>working Document toward preliminary draft new</w:t>
            </w:r>
            <w:r w:rsidRPr="00853C9F">
              <w:rPr>
                <w:lang w:val="en-US" w:eastAsia="zh-CN"/>
              </w:rPr>
              <w:br/>
              <w:t>report itu-r M.[amateur_50_MH</w:t>
            </w:r>
            <w:r w:rsidR="001D3240" w:rsidRPr="00853C9F">
              <w:rPr>
                <w:caps w:val="0"/>
                <w:lang w:val="en-US" w:eastAsia="zh-CN"/>
              </w:rPr>
              <w:t>z</w:t>
            </w:r>
            <w:r w:rsidRPr="00853C9F">
              <w:rPr>
                <w:lang w:val="en-US" w:eastAsia="zh-CN"/>
              </w:rPr>
              <w:t>]</w:t>
            </w:r>
          </w:p>
        </w:tc>
      </w:tr>
      <w:tr w:rsidR="000069D4" w:rsidRPr="00853C9F" w14:paraId="6CEED93A" w14:textId="77777777" w:rsidTr="00D046A7">
        <w:trPr>
          <w:cantSplit/>
        </w:trPr>
        <w:tc>
          <w:tcPr>
            <w:tcW w:w="9889" w:type="dxa"/>
            <w:gridSpan w:val="4"/>
          </w:tcPr>
          <w:p w14:paraId="4B8CA04F" w14:textId="12FE9ABC" w:rsidR="000069D4" w:rsidRPr="00853C9F" w:rsidRDefault="001D46CF" w:rsidP="003E45D0">
            <w:pPr>
              <w:pStyle w:val="Reptitle"/>
              <w:rPr>
                <w:lang w:val="en-US" w:eastAsia="zh-CN"/>
              </w:rPr>
            </w:pPr>
            <w:bookmarkStart w:id="7" w:name="dtitle1" w:colFirst="0" w:colLast="0"/>
            <w:bookmarkEnd w:id="6"/>
            <w:r w:rsidRPr="00853C9F">
              <w:rPr>
                <w:lang w:val="en-US" w:eastAsia="zh-CN"/>
              </w:rPr>
              <w:t>Spectrum needs for the amateur service in the frequency band 50-54 MHz in Region 1 and sharing with mobile fixed, radiolocation, and broadcasting services</w:t>
            </w:r>
          </w:p>
        </w:tc>
      </w:tr>
    </w:tbl>
    <w:p w14:paraId="5C94FB38" w14:textId="7B150ECD" w:rsidR="001D3240" w:rsidRDefault="00E00D7C" w:rsidP="00E00D7C">
      <w:pPr>
        <w:pStyle w:val="Title3"/>
        <w:rPr>
          <w:lang w:val="en-US"/>
        </w:rPr>
      </w:pPr>
      <w:bookmarkStart w:id="8" w:name="dbreak"/>
      <w:bookmarkStart w:id="9" w:name="_Toc449638998"/>
      <w:bookmarkStart w:id="10" w:name="_Toc451373073"/>
      <w:bookmarkEnd w:id="7"/>
      <w:bookmarkEnd w:id="8"/>
      <w:r w:rsidRPr="00E00D7C">
        <w:rPr>
          <w:lang w:val="en-US"/>
        </w:rPr>
        <w:t>Table of Contents</w:t>
      </w:r>
    </w:p>
    <w:p w14:paraId="4AB9C47B" w14:textId="10E0FF77" w:rsidR="005718A9" w:rsidRDefault="005718A9">
      <w:pPr>
        <w:pStyle w:val="TOC1"/>
        <w:rPr>
          <w:rFonts w:asciiTheme="minorHAnsi" w:eastAsiaTheme="minorEastAsia" w:hAnsiTheme="minorHAnsi" w:cstheme="minorBidi"/>
          <w:noProof/>
          <w:sz w:val="22"/>
          <w:szCs w:val="22"/>
          <w:lang w:val="en-US" w:eastAsia="zh-CN"/>
        </w:rPr>
      </w:pPr>
      <w:r>
        <w:rPr>
          <w:lang w:val="en-US"/>
        </w:rPr>
        <w:fldChar w:fldCharType="begin"/>
      </w:r>
      <w:r>
        <w:rPr>
          <w:lang w:val="en-US"/>
        </w:rPr>
        <w:instrText xml:space="preserve"> TOC \o "1-3" \h \z \u </w:instrText>
      </w:r>
      <w:r>
        <w:rPr>
          <w:lang w:val="en-US"/>
        </w:rPr>
        <w:fldChar w:fldCharType="separate"/>
      </w:r>
      <w:hyperlink w:anchor="_Toc467487670" w:history="1">
        <w:r w:rsidRPr="00E1520B">
          <w:rPr>
            <w:rStyle w:val="Hyperlink"/>
            <w:noProof/>
            <w:lang w:val="en-US"/>
          </w:rPr>
          <w:t>1</w:t>
        </w:r>
        <w:r>
          <w:rPr>
            <w:rFonts w:asciiTheme="minorHAnsi" w:eastAsiaTheme="minorEastAsia" w:hAnsiTheme="minorHAnsi" w:cstheme="minorBidi"/>
            <w:noProof/>
            <w:sz w:val="22"/>
            <w:szCs w:val="22"/>
            <w:lang w:val="en-US" w:eastAsia="zh-CN"/>
          </w:rPr>
          <w:tab/>
        </w:r>
        <w:r w:rsidRPr="00E1520B">
          <w:rPr>
            <w:rStyle w:val="Hyperlink"/>
            <w:noProof/>
            <w:lang w:val="en-US"/>
          </w:rPr>
          <w:t>Introduction</w:t>
        </w:r>
        <w:r>
          <w:rPr>
            <w:noProof/>
            <w:webHidden/>
          </w:rPr>
          <w:tab/>
        </w:r>
        <w:r>
          <w:rPr>
            <w:noProof/>
            <w:webHidden/>
          </w:rPr>
          <w:tab/>
        </w:r>
        <w:r>
          <w:rPr>
            <w:noProof/>
            <w:webHidden/>
          </w:rPr>
          <w:fldChar w:fldCharType="begin"/>
        </w:r>
        <w:r>
          <w:rPr>
            <w:noProof/>
            <w:webHidden/>
          </w:rPr>
          <w:instrText xml:space="preserve"> PAGEREF _Toc467487670 \h </w:instrText>
        </w:r>
        <w:r>
          <w:rPr>
            <w:noProof/>
            <w:webHidden/>
          </w:rPr>
        </w:r>
        <w:r>
          <w:rPr>
            <w:noProof/>
            <w:webHidden/>
          </w:rPr>
          <w:fldChar w:fldCharType="separate"/>
        </w:r>
        <w:r w:rsidR="00C72CB5">
          <w:rPr>
            <w:noProof/>
            <w:webHidden/>
          </w:rPr>
          <w:t>2</w:t>
        </w:r>
        <w:r>
          <w:rPr>
            <w:noProof/>
            <w:webHidden/>
          </w:rPr>
          <w:fldChar w:fldCharType="end"/>
        </w:r>
      </w:hyperlink>
    </w:p>
    <w:p w14:paraId="53B37F85" w14:textId="22B53B4B" w:rsidR="005718A9" w:rsidRDefault="005718A9">
      <w:pPr>
        <w:pStyle w:val="TOC1"/>
        <w:rPr>
          <w:rFonts w:asciiTheme="minorHAnsi" w:eastAsiaTheme="minorEastAsia" w:hAnsiTheme="minorHAnsi" w:cstheme="minorBidi"/>
          <w:noProof/>
          <w:sz w:val="22"/>
          <w:szCs w:val="22"/>
          <w:lang w:val="en-US" w:eastAsia="zh-CN"/>
        </w:rPr>
      </w:pPr>
      <w:hyperlink w:anchor="_Toc467487671" w:history="1">
        <w:r w:rsidRPr="00E1520B">
          <w:rPr>
            <w:rStyle w:val="Hyperlink"/>
            <w:noProof/>
            <w:lang w:val="en-US"/>
          </w:rPr>
          <w:t>2</w:t>
        </w:r>
        <w:r>
          <w:rPr>
            <w:rFonts w:asciiTheme="minorHAnsi" w:eastAsiaTheme="minorEastAsia" w:hAnsiTheme="minorHAnsi" w:cstheme="minorBidi"/>
            <w:noProof/>
            <w:sz w:val="22"/>
            <w:szCs w:val="22"/>
            <w:lang w:val="en-US" w:eastAsia="zh-CN"/>
          </w:rPr>
          <w:tab/>
        </w:r>
        <w:r w:rsidRPr="00E1520B">
          <w:rPr>
            <w:rStyle w:val="Hyperlink"/>
            <w:noProof/>
            <w:lang w:val="en-US"/>
          </w:rPr>
          <w:t>Use of the frequency band 50-54 MHz by amateur</w:t>
        </w:r>
        <w:bookmarkStart w:id="11" w:name="_GoBack"/>
        <w:bookmarkEnd w:id="11"/>
        <w:r w:rsidRPr="00E1520B">
          <w:rPr>
            <w:rStyle w:val="Hyperlink"/>
            <w:noProof/>
            <w:lang w:val="en-US"/>
          </w:rPr>
          <w:t xml:space="preserve"> service stations</w:t>
        </w:r>
        <w:r>
          <w:rPr>
            <w:noProof/>
            <w:webHidden/>
          </w:rPr>
          <w:tab/>
        </w:r>
        <w:r>
          <w:rPr>
            <w:noProof/>
            <w:webHidden/>
          </w:rPr>
          <w:tab/>
        </w:r>
        <w:r>
          <w:rPr>
            <w:noProof/>
            <w:webHidden/>
          </w:rPr>
          <w:fldChar w:fldCharType="begin"/>
        </w:r>
        <w:r>
          <w:rPr>
            <w:noProof/>
            <w:webHidden/>
          </w:rPr>
          <w:instrText xml:space="preserve"> PAGEREF _Toc467487671 \h </w:instrText>
        </w:r>
        <w:r>
          <w:rPr>
            <w:noProof/>
            <w:webHidden/>
          </w:rPr>
        </w:r>
        <w:r>
          <w:rPr>
            <w:noProof/>
            <w:webHidden/>
          </w:rPr>
          <w:fldChar w:fldCharType="separate"/>
        </w:r>
        <w:r w:rsidR="00C72CB5">
          <w:rPr>
            <w:noProof/>
            <w:webHidden/>
          </w:rPr>
          <w:t>2</w:t>
        </w:r>
        <w:r>
          <w:rPr>
            <w:noProof/>
            <w:webHidden/>
          </w:rPr>
          <w:fldChar w:fldCharType="end"/>
        </w:r>
      </w:hyperlink>
    </w:p>
    <w:p w14:paraId="282FED2E" w14:textId="1DB07587" w:rsidR="005718A9" w:rsidRDefault="005718A9">
      <w:pPr>
        <w:pStyle w:val="TOC1"/>
        <w:rPr>
          <w:rFonts w:asciiTheme="minorHAnsi" w:eastAsiaTheme="minorEastAsia" w:hAnsiTheme="minorHAnsi" w:cstheme="minorBidi"/>
          <w:noProof/>
          <w:sz w:val="22"/>
          <w:szCs w:val="22"/>
          <w:lang w:val="en-US" w:eastAsia="zh-CN"/>
        </w:rPr>
      </w:pPr>
      <w:hyperlink w:anchor="_Toc467487672" w:history="1">
        <w:r w:rsidRPr="00E1520B">
          <w:rPr>
            <w:rStyle w:val="Hyperlink"/>
            <w:noProof/>
          </w:rPr>
          <w:t>3</w:t>
        </w:r>
        <w:r>
          <w:rPr>
            <w:rFonts w:asciiTheme="minorHAnsi" w:eastAsiaTheme="minorEastAsia" w:hAnsiTheme="minorHAnsi" w:cstheme="minorBidi"/>
            <w:noProof/>
            <w:sz w:val="22"/>
            <w:szCs w:val="22"/>
            <w:lang w:val="en-US" w:eastAsia="zh-CN"/>
          </w:rPr>
          <w:tab/>
        </w:r>
        <w:r w:rsidRPr="00E1520B">
          <w:rPr>
            <w:rStyle w:val="Hyperlink"/>
            <w:noProof/>
          </w:rPr>
          <w:t>Spectrum needs for the amateur service in Region 1</w:t>
        </w:r>
        <w:r>
          <w:rPr>
            <w:noProof/>
            <w:webHidden/>
          </w:rPr>
          <w:tab/>
        </w:r>
        <w:r>
          <w:rPr>
            <w:noProof/>
            <w:webHidden/>
          </w:rPr>
          <w:tab/>
        </w:r>
        <w:r>
          <w:rPr>
            <w:noProof/>
            <w:webHidden/>
          </w:rPr>
          <w:fldChar w:fldCharType="begin"/>
        </w:r>
        <w:r>
          <w:rPr>
            <w:noProof/>
            <w:webHidden/>
          </w:rPr>
          <w:instrText xml:space="preserve"> PAGEREF _Toc467487672 \h </w:instrText>
        </w:r>
        <w:r>
          <w:rPr>
            <w:noProof/>
            <w:webHidden/>
          </w:rPr>
        </w:r>
        <w:r>
          <w:rPr>
            <w:noProof/>
            <w:webHidden/>
          </w:rPr>
          <w:fldChar w:fldCharType="separate"/>
        </w:r>
        <w:r w:rsidR="00C72CB5">
          <w:rPr>
            <w:noProof/>
            <w:webHidden/>
          </w:rPr>
          <w:t>3</w:t>
        </w:r>
        <w:r>
          <w:rPr>
            <w:noProof/>
            <w:webHidden/>
          </w:rPr>
          <w:fldChar w:fldCharType="end"/>
        </w:r>
      </w:hyperlink>
    </w:p>
    <w:p w14:paraId="51AACBB6" w14:textId="1599883F" w:rsidR="005718A9" w:rsidRDefault="005718A9">
      <w:pPr>
        <w:pStyle w:val="TOC2"/>
        <w:rPr>
          <w:rFonts w:asciiTheme="minorHAnsi" w:eastAsiaTheme="minorEastAsia" w:hAnsiTheme="minorHAnsi" w:cstheme="minorBidi"/>
          <w:noProof/>
          <w:sz w:val="22"/>
          <w:szCs w:val="22"/>
          <w:lang w:val="en-US" w:eastAsia="zh-CN"/>
        </w:rPr>
      </w:pPr>
      <w:hyperlink w:anchor="_Toc467487673" w:history="1">
        <w:r w:rsidRPr="00E1520B">
          <w:rPr>
            <w:rStyle w:val="Hyperlink"/>
            <w:noProof/>
          </w:rPr>
          <w:t>3.1</w:t>
        </w:r>
        <w:r>
          <w:rPr>
            <w:rFonts w:asciiTheme="minorHAnsi" w:eastAsiaTheme="minorEastAsia" w:hAnsiTheme="minorHAnsi" w:cstheme="minorBidi"/>
            <w:noProof/>
            <w:sz w:val="22"/>
            <w:szCs w:val="22"/>
            <w:lang w:val="en-US" w:eastAsia="zh-CN"/>
          </w:rPr>
          <w:tab/>
        </w:r>
        <w:r w:rsidRPr="00E1520B">
          <w:rPr>
            <w:rStyle w:val="Hyperlink"/>
            <w:noProof/>
          </w:rPr>
          <w:t>Background/reason</w:t>
        </w:r>
        <w:r>
          <w:rPr>
            <w:noProof/>
            <w:webHidden/>
          </w:rPr>
          <w:tab/>
        </w:r>
        <w:r>
          <w:rPr>
            <w:noProof/>
            <w:webHidden/>
          </w:rPr>
          <w:tab/>
        </w:r>
        <w:r>
          <w:rPr>
            <w:noProof/>
            <w:webHidden/>
          </w:rPr>
          <w:fldChar w:fldCharType="begin"/>
        </w:r>
        <w:r>
          <w:rPr>
            <w:noProof/>
            <w:webHidden/>
          </w:rPr>
          <w:instrText xml:space="preserve"> PAGEREF _Toc467487673 \h </w:instrText>
        </w:r>
        <w:r>
          <w:rPr>
            <w:noProof/>
            <w:webHidden/>
          </w:rPr>
        </w:r>
        <w:r>
          <w:rPr>
            <w:noProof/>
            <w:webHidden/>
          </w:rPr>
          <w:fldChar w:fldCharType="separate"/>
        </w:r>
        <w:r w:rsidR="00C72CB5">
          <w:rPr>
            <w:noProof/>
            <w:webHidden/>
          </w:rPr>
          <w:t>4</w:t>
        </w:r>
        <w:r>
          <w:rPr>
            <w:noProof/>
            <w:webHidden/>
          </w:rPr>
          <w:fldChar w:fldCharType="end"/>
        </w:r>
      </w:hyperlink>
    </w:p>
    <w:p w14:paraId="2055E255" w14:textId="3E0CA850" w:rsidR="005718A9" w:rsidRDefault="005718A9">
      <w:pPr>
        <w:pStyle w:val="TOC2"/>
        <w:rPr>
          <w:rFonts w:asciiTheme="minorHAnsi" w:eastAsiaTheme="minorEastAsia" w:hAnsiTheme="minorHAnsi" w:cstheme="minorBidi"/>
          <w:noProof/>
          <w:sz w:val="22"/>
          <w:szCs w:val="22"/>
          <w:lang w:val="en-US" w:eastAsia="zh-CN"/>
        </w:rPr>
      </w:pPr>
      <w:hyperlink w:anchor="_Toc467487674" w:history="1">
        <w:r w:rsidRPr="00E1520B">
          <w:rPr>
            <w:rStyle w:val="Hyperlink"/>
            <w:noProof/>
          </w:rPr>
          <w:t>3.2</w:t>
        </w:r>
        <w:r>
          <w:rPr>
            <w:rFonts w:asciiTheme="minorHAnsi" w:eastAsiaTheme="minorEastAsia" w:hAnsiTheme="minorHAnsi" w:cstheme="minorBidi"/>
            <w:noProof/>
            <w:sz w:val="22"/>
            <w:szCs w:val="22"/>
            <w:lang w:val="en-US" w:eastAsia="zh-CN"/>
          </w:rPr>
          <w:tab/>
        </w:r>
        <w:r w:rsidRPr="00E1520B">
          <w:rPr>
            <w:rStyle w:val="Hyperlink"/>
            <w:noProof/>
          </w:rPr>
          <w:t>Need/Justification</w:t>
        </w:r>
        <w:r>
          <w:rPr>
            <w:noProof/>
            <w:webHidden/>
          </w:rPr>
          <w:tab/>
        </w:r>
        <w:r>
          <w:rPr>
            <w:noProof/>
            <w:webHidden/>
          </w:rPr>
          <w:tab/>
        </w:r>
        <w:r>
          <w:rPr>
            <w:noProof/>
            <w:webHidden/>
          </w:rPr>
          <w:fldChar w:fldCharType="begin"/>
        </w:r>
        <w:r>
          <w:rPr>
            <w:noProof/>
            <w:webHidden/>
          </w:rPr>
          <w:instrText xml:space="preserve"> PAGEREF _Toc467487674 \h </w:instrText>
        </w:r>
        <w:r>
          <w:rPr>
            <w:noProof/>
            <w:webHidden/>
          </w:rPr>
        </w:r>
        <w:r>
          <w:rPr>
            <w:noProof/>
            <w:webHidden/>
          </w:rPr>
          <w:fldChar w:fldCharType="separate"/>
        </w:r>
        <w:r w:rsidR="00C72CB5">
          <w:rPr>
            <w:noProof/>
            <w:webHidden/>
          </w:rPr>
          <w:t>4</w:t>
        </w:r>
        <w:r>
          <w:rPr>
            <w:noProof/>
            <w:webHidden/>
          </w:rPr>
          <w:fldChar w:fldCharType="end"/>
        </w:r>
      </w:hyperlink>
    </w:p>
    <w:p w14:paraId="19D888DC" w14:textId="06A1CD39" w:rsidR="005718A9" w:rsidRDefault="005718A9">
      <w:pPr>
        <w:pStyle w:val="TOC1"/>
        <w:rPr>
          <w:rFonts w:asciiTheme="minorHAnsi" w:eastAsiaTheme="minorEastAsia" w:hAnsiTheme="minorHAnsi" w:cstheme="minorBidi"/>
          <w:noProof/>
          <w:sz w:val="22"/>
          <w:szCs w:val="22"/>
          <w:lang w:val="en-US" w:eastAsia="zh-CN"/>
        </w:rPr>
      </w:pPr>
      <w:hyperlink w:anchor="_Toc467487675" w:history="1">
        <w:r w:rsidRPr="00E1520B">
          <w:rPr>
            <w:rStyle w:val="Hyperlink"/>
            <w:noProof/>
            <w:lang w:val="en-US"/>
          </w:rPr>
          <w:t>4</w:t>
        </w:r>
        <w:r>
          <w:rPr>
            <w:rFonts w:asciiTheme="minorHAnsi" w:eastAsiaTheme="minorEastAsia" w:hAnsiTheme="minorHAnsi" w:cstheme="minorBidi"/>
            <w:noProof/>
            <w:sz w:val="22"/>
            <w:szCs w:val="22"/>
            <w:lang w:val="en-US" w:eastAsia="zh-CN"/>
          </w:rPr>
          <w:tab/>
        </w:r>
        <w:r w:rsidRPr="00E1520B">
          <w:rPr>
            <w:rStyle w:val="Hyperlink"/>
            <w:noProof/>
            <w:lang w:val="en-US"/>
          </w:rPr>
          <w:t>Characteristics of amateur stations for sharing studies</w:t>
        </w:r>
        <w:r>
          <w:rPr>
            <w:noProof/>
            <w:webHidden/>
          </w:rPr>
          <w:tab/>
        </w:r>
        <w:r>
          <w:rPr>
            <w:noProof/>
            <w:webHidden/>
          </w:rPr>
          <w:tab/>
        </w:r>
        <w:r>
          <w:rPr>
            <w:noProof/>
            <w:webHidden/>
          </w:rPr>
          <w:fldChar w:fldCharType="begin"/>
        </w:r>
        <w:r>
          <w:rPr>
            <w:noProof/>
            <w:webHidden/>
          </w:rPr>
          <w:instrText xml:space="preserve"> PAGEREF _Toc467487675 \h </w:instrText>
        </w:r>
        <w:r>
          <w:rPr>
            <w:noProof/>
            <w:webHidden/>
          </w:rPr>
        </w:r>
        <w:r>
          <w:rPr>
            <w:noProof/>
            <w:webHidden/>
          </w:rPr>
          <w:fldChar w:fldCharType="separate"/>
        </w:r>
        <w:r w:rsidR="00C72CB5">
          <w:rPr>
            <w:noProof/>
            <w:webHidden/>
          </w:rPr>
          <w:t>6</w:t>
        </w:r>
        <w:r>
          <w:rPr>
            <w:noProof/>
            <w:webHidden/>
          </w:rPr>
          <w:fldChar w:fldCharType="end"/>
        </w:r>
      </w:hyperlink>
    </w:p>
    <w:p w14:paraId="23071952" w14:textId="084AB41D" w:rsidR="005718A9" w:rsidRDefault="005718A9">
      <w:pPr>
        <w:pStyle w:val="TOC1"/>
        <w:rPr>
          <w:rFonts w:asciiTheme="minorHAnsi" w:eastAsiaTheme="minorEastAsia" w:hAnsiTheme="minorHAnsi" w:cstheme="minorBidi"/>
          <w:noProof/>
          <w:sz w:val="22"/>
          <w:szCs w:val="22"/>
          <w:lang w:val="en-US" w:eastAsia="zh-CN"/>
        </w:rPr>
      </w:pPr>
      <w:hyperlink w:anchor="_Toc467487676" w:history="1">
        <w:r w:rsidRPr="00E1520B">
          <w:rPr>
            <w:rStyle w:val="Hyperlink"/>
            <w:noProof/>
            <w:lang w:val="en-US"/>
          </w:rPr>
          <w:t>5</w:t>
        </w:r>
        <w:r>
          <w:rPr>
            <w:rFonts w:asciiTheme="minorHAnsi" w:eastAsiaTheme="minorEastAsia" w:hAnsiTheme="minorHAnsi" w:cstheme="minorBidi"/>
            <w:noProof/>
            <w:sz w:val="22"/>
            <w:szCs w:val="22"/>
            <w:lang w:val="en-US" w:eastAsia="zh-CN"/>
          </w:rPr>
          <w:tab/>
        </w:r>
        <w:r w:rsidRPr="00E1520B">
          <w:rPr>
            <w:rStyle w:val="Hyperlink"/>
            <w:noProof/>
            <w:lang w:val="en-US"/>
          </w:rPr>
          <w:t>Other services in the 50-54 MHz frequency band</w:t>
        </w:r>
        <w:r>
          <w:rPr>
            <w:noProof/>
            <w:webHidden/>
          </w:rPr>
          <w:tab/>
        </w:r>
        <w:r>
          <w:rPr>
            <w:noProof/>
            <w:webHidden/>
          </w:rPr>
          <w:tab/>
        </w:r>
        <w:r>
          <w:rPr>
            <w:noProof/>
            <w:webHidden/>
          </w:rPr>
          <w:fldChar w:fldCharType="begin"/>
        </w:r>
        <w:r>
          <w:rPr>
            <w:noProof/>
            <w:webHidden/>
          </w:rPr>
          <w:instrText xml:space="preserve"> PAGEREF _Toc467487676 \h </w:instrText>
        </w:r>
        <w:r>
          <w:rPr>
            <w:noProof/>
            <w:webHidden/>
          </w:rPr>
        </w:r>
        <w:r>
          <w:rPr>
            <w:noProof/>
            <w:webHidden/>
          </w:rPr>
          <w:fldChar w:fldCharType="separate"/>
        </w:r>
        <w:r w:rsidR="00C72CB5">
          <w:rPr>
            <w:noProof/>
            <w:webHidden/>
          </w:rPr>
          <w:t>6</w:t>
        </w:r>
        <w:r>
          <w:rPr>
            <w:noProof/>
            <w:webHidden/>
          </w:rPr>
          <w:fldChar w:fldCharType="end"/>
        </w:r>
      </w:hyperlink>
    </w:p>
    <w:p w14:paraId="62631782" w14:textId="34EC7D0D" w:rsidR="005718A9" w:rsidRDefault="005718A9">
      <w:pPr>
        <w:pStyle w:val="TOC1"/>
        <w:rPr>
          <w:rFonts w:asciiTheme="minorHAnsi" w:eastAsiaTheme="minorEastAsia" w:hAnsiTheme="minorHAnsi" w:cstheme="minorBidi"/>
          <w:noProof/>
          <w:sz w:val="22"/>
          <w:szCs w:val="22"/>
          <w:lang w:val="en-US" w:eastAsia="zh-CN"/>
        </w:rPr>
      </w:pPr>
      <w:hyperlink w:anchor="_Toc467487677" w:history="1">
        <w:r w:rsidRPr="00E1520B">
          <w:rPr>
            <w:rStyle w:val="Hyperlink"/>
            <w:noProof/>
            <w:lang w:val="en-US"/>
          </w:rPr>
          <w:t>6</w:t>
        </w:r>
        <w:r>
          <w:rPr>
            <w:rFonts w:asciiTheme="minorHAnsi" w:eastAsiaTheme="minorEastAsia" w:hAnsiTheme="minorHAnsi" w:cstheme="minorBidi"/>
            <w:noProof/>
            <w:sz w:val="22"/>
            <w:szCs w:val="22"/>
            <w:lang w:val="en-US" w:eastAsia="zh-CN"/>
          </w:rPr>
          <w:tab/>
        </w:r>
        <w:r w:rsidRPr="00E1520B">
          <w:rPr>
            <w:rStyle w:val="Hyperlink"/>
            <w:noProof/>
            <w:lang w:val="en-US"/>
          </w:rPr>
          <w:t>Sharing with the mobile service</w:t>
        </w:r>
        <w:r>
          <w:rPr>
            <w:noProof/>
            <w:webHidden/>
          </w:rPr>
          <w:tab/>
        </w:r>
        <w:r>
          <w:rPr>
            <w:noProof/>
            <w:webHidden/>
          </w:rPr>
          <w:tab/>
        </w:r>
        <w:r>
          <w:rPr>
            <w:noProof/>
            <w:webHidden/>
          </w:rPr>
          <w:fldChar w:fldCharType="begin"/>
        </w:r>
        <w:r>
          <w:rPr>
            <w:noProof/>
            <w:webHidden/>
          </w:rPr>
          <w:instrText xml:space="preserve"> PAGEREF _Toc467487677 \h </w:instrText>
        </w:r>
        <w:r>
          <w:rPr>
            <w:noProof/>
            <w:webHidden/>
          </w:rPr>
        </w:r>
        <w:r>
          <w:rPr>
            <w:noProof/>
            <w:webHidden/>
          </w:rPr>
          <w:fldChar w:fldCharType="separate"/>
        </w:r>
        <w:r w:rsidR="00C72CB5">
          <w:rPr>
            <w:noProof/>
            <w:webHidden/>
          </w:rPr>
          <w:t>6</w:t>
        </w:r>
        <w:r>
          <w:rPr>
            <w:noProof/>
            <w:webHidden/>
          </w:rPr>
          <w:fldChar w:fldCharType="end"/>
        </w:r>
      </w:hyperlink>
    </w:p>
    <w:p w14:paraId="0E89C353" w14:textId="6F861E42" w:rsidR="005718A9" w:rsidRDefault="005718A9">
      <w:pPr>
        <w:pStyle w:val="TOC1"/>
        <w:rPr>
          <w:rFonts w:asciiTheme="minorHAnsi" w:eastAsiaTheme="minorEastAsia" w:hAnsiTheme="minorHAnsi" w:cstheme="minorBidi"/>
          <w:noProof/>
          <w:sz w:val="22"/>
          <w:szCs w:val="22"/>
          <w:lang w:val="en-US" w:eastAsia="zh-CN"/>
        </w:rPr>
      </w:pPr>
      <w:hyperlink w:anchor="_Toc467487678" w:history="1">
        <w:r w:rsidRPr="00E1520B">
          <w:rPr>
            <w:rStyle w:val="Hyperlink"/>
            <w:noProof/>
            <w:lang w:val="en-US"/>
          </w:rPr>
          <w:t>7</w:t>
        </w:r>
        <w:r>
          <w:rPr>
            <w:rFonts w:asciiTheme="minorHAnsi" w:eastAsiaTheme="minorEastAsia" w:hAnsiTheme="minorHAnsi" w:cstheme="minorBidi"/>
            <w:noProof/>
            <w:sz w:val="22"/>
            <w:szCs w:val="22"/>
            <w:lang w:val="en-US" w:eastAsia="zh-CN"/>
          </w:rPr>
          <w:tab/>
        </w:r>
        <w:r w:rsidRPr="00E1520B">
          <w:rPr>
            <w:rStyle w:val="Hyperlink"/>
            <w:noProof/>
            <w:lang w:val="en-US"/>
          </w:rPr>
          <w:t>Sharing with the fixed Service</w:t>
        </w:r>
        <w:r>
          <w:rPr>
            <w:noProof/>
            <w:webHidden/>
          </w:rPr>
          <w:tab/>
        </w:r>
        <w:r>
          <w:rPr>
            <w:noProof/>
            <w:webHidden/>
          </w:rPr>
          <w:tab/>
        </w:r>
        <w:r>
          <w:rPr>
            <w:noProof/>
            <w:webHidden/>
          </w:rPr>
          <w:fldChar w:fldCharType="begin"/>
        </w:r>
        <w:r>
          <w:rPr>
            <w:noProof/>
            <w:webHidden/>
          </w:rPr>
          <w:instrText xml:space="preserve"> PAGEREF _Toc467487678 \h </w:instrText>
        </w:r>
        <w:r>
          <w:rPr>
            <w:noProof/>
            <w:webHidden/>
          </w:rPr>
        </w:r>
        <w:r>
          <w:rPr>
            <w:noProof/>
            <w:webHidden/>
          </w:rPr>
          <w:fldChar w:fldCharType="separate"/>
        </w:r>
        <w:r w:rsidR="00C72CB5">
          <w:rPr>
            <w:noProof/>
            <w:webHidden/>
          </w:rPr>
          <w:t>7</w:t>
        </w:r>
        <w:r>
          <w:rPr>
            <w:noProof/>
            <w:webHidden/>
          </w:rPr>
          <w:fldChar w:fldCharType="end"/>
        </w:r>
      </w:hyperlink>
    </w:p>
    <w:p w14:paraId="56170C9C" w14:textId="0743AF35" w:rsidR="005718A9" w:rsidRDefault="005718A9">
      <w:pPr>
        <w:pStyle w:val="TOC1"/>
        <w:rPr>
          <w:rFonts w:asciiTheme="minorHAnsi" w:eastAsiaTheme="minorEastAsia" w:hAnsiTheme="minorHAnsi" w:cstheme="minorBidi"/>
          <w:noProof/>
          <w:sz w:val="22"/>
          <w:szCs w:val="22"/>
          <w:lang w:val="en-US" w:eastAsia="zh-CN"/>
        </w:rPr>
      </w:pPr>
      <w:hyperlink w:anchor="_Toc467487679" w:history="1">
        <w:r w:rsidRPr="00E1520B">
          <w:rPr>
            <w:rStyle w:val="Hyperlink"/>
            <w:noProof/>
            <w:lang w:val="en-US" w:eastAsia="zh-CN"/>
          </w:rPr>
          <w:t>8</w:t>
        </w:r>
        <w:r>
          <w:rPr>
            <w:rFonts w:asciiTheme="minorHAnsi" w:eastAsiaTheme="minorEastAsia" w:hAnsiTheme="minorHAnsi" w:cstheme="minorBidi"/>
            <w:noProof/>
            <w:sz w:val="22"/>
            <w:szCs w:val="22"/>
            <w:lang w:val="en-US" w:eastAsia="zh-CN"/>
          </w:rPr>
          <w:tab/>
        </w:r>
        <w:r w:rsidRPr="00E1520B">
          <w:rPr>
            <w:rStyle w:val="Hyperlink"/>
            <w:noProof/>
            <w:lang w:val="en-US"/>
          </w:rPr>
          <w:t>Sharing with the radiolocation Service</w:t>
        </w:r>
        <w:r>
          <w:rPr>
            <w:noProof/>
            <w:webHidden/>
          </w:rPr>
          <w:tab/>
        </w:r>
        <w:r>
          <w:rPr>
            <w:noProof/>
            <w:webHidden/>
          </w:rPr>
          <w:tab/>
        </w:r>
        <w:r>
          <w:rPr>
            <w:noProof/>
            <w:webHidden/>
          </w:rPr>
          <w:fldChar w:fldCharType="begin"/>
        </w:r>
        <w:r>
          <w:rPr>
            <w:noProof/>
            <w:webHidden/>
          </w:rPr>
          <w:instrText xml:space="preserve"> PAGEREF _Toc467487679 \h </w:instrText>
        </w:r>
        <w:r>
          <w:rPr>
            <w:noProof/>
            <w:webHidden/>
          </w:rPr>
        </w:r>
        <w:r>
          <w:rPr>
            <w:noProof/>
            <w:webHidden/>
          </w:rPr>
          <w:fldChar w:fldCharType="separate"/>
        </w:r>
        <w:r w:rsidR="00C72CB5">
          <w:rPr>
            <w:noProof/>
            <w:webHidden/>
          </w:rPr>
          <w:t>7</w:t>
        </w:r>
        <w:r>
          <w:rPr>
            <w:noProof/>
            <w:webHidden/>
          </w:rPr>
          <w:fldChar w:fldCharType="end"/>
        </w:r>
      </w:hyperlink>
    </w:p>
    <w:p w14:paraId="4D4BA51F" w14:textId="4AA54704" w:rsidR="005718A9" w:rsidRDefault="005718A9">
      <w:pPr>
        <w:pStyle w:val="TOC1"/>
        <w:rPr>
          <w:rFonts w:asciiTheme="minorHAnsi" w:eastAsiaTheme="minorEastAsia" w:hAnsiTheme="minorHAnsi" w:cstheme="minorBidi"/>
          <w:noProof/>
          <w:sz w:val="22"/>
          <w:szCs w:val="22"/>
          <w:lang w:val="en-US" w:eastAsia="zh-CN"/>
        </w:rPr>
      </w:pPr>
      <w:hyperlink w:anchor="_Toc467487680" w:history="1">
        <w:r w:rsidRPr="00E1520B">
          <w:rPr>
            <w:rStyle w:val="Hyperlink"/>
            <w:noProof/>
            <w:lang w:val="en-US"/>
          </w:rPr>
          <w:t xml:space="preserve">9 </w:t>
        </w:r>
        <w:r>
          <w:rPr>
            <w:rFonts w:asciiTheme="minorHAnsi" w:eastAsiaTheme="minorEastAsia" w:hAnsiTheme="minorHAnsi" w:cstheme="minorBidi"/>
            <w:noProof/>
            <w:sz w:val="22"/>
            <w:szCs w:val="22"/>
            <w:lang w:val="en-US" w:eastAsia="zh-CN"/>
          </w:rPr>
          <w:tab/>
        </w:r>
        <w:r w:rsidRPr="00E1520B">
          <w:rPr>
            <w:rStyle w:val="Hyperlink"/>
            <w:noProof/>
            <w:lang w:val="en-US"/>
          </w:rPr>
          <w:t>Sharing with the broadcasting service</w:t>
        </w:r>
        <w:r>
          <w:rPr>
            <w:noProof/>
            <w:webHidden/>
          </w:rPr>
          <w:tab/>
        </w:r>
        <w:r>
          <w:rPr>
            <w:noProof/>
            <w:webHidden/>
          </w:rPr>
          <w:tab/>
        </w:r>
        <w:r>
          <w:rPr>
            <w:noProof/>
            <w:webHidden/>
          </w:rPr>
          <w:fldChar w:fldCharType="begin"/>
        </w:r>
        <w:r>
          <w:rPr>
            <w:noProof/>
            <w:webHidden/>
          </w:rPr>
          <w:instrText xml:space="preserve"> PAGEREF _Toc467487680 \h </w:instrText>
        </w:r>
        <w:r>
          <w:rPr>
            <w:noProof/>
            <w:webHidden/>
          </w:rPr>
        </w:r>
        <w:r>
          <w:rPr>
            <w:noProof/>
            <w:webHidden/>
          </w:rPr>
          <w:fldChar w:fldCharType="separate"/>
        </w:r>
        <w:r w:rsidR="00C72CB5">
          <w:rPr>
            <w:noProof/>
            <w:webHidden/>
          </w:rPr>
          <w:t>8</w:t>
        </w:r>
        <w:r>
          <w:rPr>
            <w:noProof/>
            <w:webHidden/>
          </w:rPr>
          <w:fldChar w:fldCharType="end"/>
        </w:r>
      </w:hyperlink>
    </w:p>
    <w:p w14:paraId="6A0A780A" w14:textId="41A23839" w:rsidR="005718A9" w:rsidRDefault="005718A9">
      <w:pPr>
        <w:pStyle w:val="TOC2"/>
        <w:rPr>
          <w:rFonts w:asciiTheme="minorHAnsi" w:eastAsiaTheme="minorEastAsia" w:hAnsiTheme="minorHAnsi" w:cstheme="minorBidi"/>
          <w:noProof/>
          <w:sz w:val="22"/>
          <w:szCs w:val="22"/>
          <w:lang w:val="en-US" w:eastAsia="zh-CN"/>
        </w:rPr>
      </w:pPr>
      <w:hyperlink w:anchor="_Toc467487681" w:history="1">
        <w:r w:rsidRPr="00E1520B">
          <w:rPr>
            <w:rStyle w:val="Hyperlink"/>
            <w:noProof/>
          </w:rPr>
          <w:t>9.1</w:t>
        </w:r>
        <w:r>
          <w:rPr>
            <w:rFonts w:asciiTheme="minorHAnsi" w:eastAsiaTheme="minorEastAsia" w:hAnsiTheme="minorHAnsi" w:cstheme="minorBidi"/>
            <w:noProof/>
            <w:sz w:val="22"/>
            <w:szCs w:val="22"/>
            <w:lang w:val="en-US" w:eastAsia="zh-CN"/>
          </w:rPr>
          <w:tab/>
        </w:r>
        <w:r w:rsidRPr="00E1520B">
          <w:rPr>
            <w:rStyle w:val="Hyperlink"/>
            <w:noProof/>
          </w:rPr>
          <w:t>The 2016 Situation</w:t>
        </w:r>
        <w:r>
          <w:rPr>
            <w:noProof/>
            <w:webHidden/>
          </w:rPr>
          <w:tab/>
        </w:r>
        <w:r>
          <w:rPr>
            <w:noProof/>
            <w:webHidden/>
          </w:rPr>
          <w:tab/>
        </w:r>
        <w:r>
          <w:rPr>
            <w:noProof/>
            <w:webHidden/>
          </w:rPr>
          <w:fldChar w:fldCharType="begin"/>
        </w:r>
        <w:r>
          <w:rPr>
            <w:noProof/>
            <w:webHidden/>
          </w:rPr>
          <w:instrText xml:space="preserve"> PAGEREF _Toc467487681 \h </w:instrText>
        </w:r>
        <w:r>
          <w:rPr>
            <w:noProof/>
            <w:webHidden/>
          </w:rPr>
        </w:r>
        <w:r>
          <w:rPr>
            <w:noProof/>
            <w:webHidden/>
          </w:rPr>
          <w:fldChar w:fldCharType="separate"/>
        </w:r>
        <w:r w:rsidR="00C72CB5">
          <w:rPr>
            <w:noProof/>
            <w:webHidden/>
          </w:rPr>
          <w:t>9</w:t>
        </w:r>
        <w:r>
          <w:rPr>
            <w:noProof/>
            <w:webHidden/>
          </w:rPr>
          <w:fldChar w:fldCharType="end"/>
        </w:r>
      </w:hyperlink>
    </w:p>
    <w:p w14:paraId="2EAC1969" w14:textId="46CE494D" w:rsidR="005718A9" w:rsidRDefault="005718A9" w:rsidP="00C72CB5">
      <w:pPr>
        <w:pStyle w:val="TOC2"/>
        <w:rPr>
          <w:rFonts w:asciiTheme="minorHAnsi" w:eastAsiaTheme="minorEastAsia" w:hAnsiTheme="minorHAnsi" w:cstheme="minorBidi"/>
          <w:noProof/>
          <w:sz w:val="22"/>
          <w:szCs w:val="22"/>
          <w:lang w:val="en-US" w:eastAsia="zh-CN"/>
        </w:rPr>
      </w:pPr>
      <w:hyperlink w:anchor="_Toc467487682" w:history="1">
        <w:r w:rsidRPr="00E1520B">
          <w:rPr>
            <w:rStyle w:val="Hyperlink"/>
            <w:noProof/>
          </w:rPr>
          <w:t>9.2</w:t>
        </w:r>
        <w:r>
          <w:rPr>
            <w:rFonts w:asciiTheme="minorHAnsi" w:eastAsiaTheme="minorEastAsia" w:hAnsiTheme="minorHAnsi" w:cstheme="minorBidi"/>
            <w:noProof/>
            <w:sz w:val="22"/>
            <w:szCs w:val="22"/>
            <w:lang w:val="en-US" w:eastAsia="zh-CN"/>
          </w:rPr>
          <w:tab/>
        </w:r>
        <w:r w:rsidRPr="00E1520B">
          <w:rPr>
            <w:rStyle w:val="Hyperlink"/>
            <w:noProof/>
          </w:rPr>
          <w:t xml:space="preserve">Digital Terrestrial Television Broadcasting in Band 1 </w:t>
        </w:r>
        <w:r w:rsidR="00C72CB5">
          <w:rPr>
            <w:rStyle w:val="Hyperlink"/>
            <w:noProof/>
          </w:rPr>
          <w:t>–</w:t>
        </w:r>
        <w:r w:rsidRPr="00E1520B">
          <w:rPr>
            <w:rStyle w:val="Hyperlink"/>
            <w:noProof/>
          </w:rPr>
          <w:t xml:space="preserve"> 47–68 MHz</w:t>
        </w:r>
        <w:r>
          <w:rPr>
            <w:noProof/>
            <w:webHidden/>
          </w:rPr>
          <w:tab/>
        </w:r>
        <w:r>
          <w:rPr>
            <w:noProof/>
            <w:webHidden/>
          </w:rPr>
          <w:tab/>
        </w:r>
        <w:r>
          <w:rPr>
            <w:noProof/>
            <w:webHidden/>
          </w:rPr>
          <w:fldChar w:fldCharType="begin"/>
        </w:r>
        <w:r>
          <w:rPr>
            <w:noProof/>
            <w:webHidden/>
          </w:rPr>
          <w:instrText xml:space="preserve"> PAGEREF _Toc467487682 \h </w:instrText>
        </w:r>
        <w:r>
          <w:rPr>
            <w:noProof/>
            <w:webHidden/>
          </w:rPr>
        </w:r>
        <w:r>
          <w:rPr>
            <w:noProof/>
            <w:webHidden/>
          </w:rPr>
          <w:fldChar w:fldCharType="separate"/>
        </w:r>
        <w:r w:rsidR="00C72CB5">
          <w:rPr>
            <w:noProof/>
            <w:webHidden/>
          </w:rPr>
          <w:t>9</w:t>
        </w:r>
        <w:r>
          <w:rPr>
            <w:noProof/>
            <w:webHidden/>
          </w:rPr>
          <w:fldChar w:fldCharType="end"/>
        </w:r>
      </w:hyperlink>
    </w:p>
    <w:p w14:paraId="1B579BB3" w14:textId="004F40FB" w:rsidR="005718A9" w:rsidRDefault="005718A9" w:rsidP="00C72CB5">
      <w:pPr>
        <w:pStyle w:val="TOC2"/>
        <w:rPr>
          <w:rFonts w:asciiTheme="minorHAnsi" w:eastAsiaTheme="minorEastAsia" w:hAnsiTheme="minorHAnsi" w:cstheme="minorBidi"/>
          <w:noProof/>
          <w:sz w:val="22"/>
          <w:szCs w:val="22"/>
          <w:lang w:val="en-US" w:eastAsia="zh-CN"/>
        </w:rPr>
      </w:pPr>
      <w:hyperlink w:anchor="_Toc467487683" w:history="1">
        <w:r w:rsidRPr="00E1520B">
          <w:rPr>
            <w:rStyle w:val="Hyperlink"/>
            <w:noProof/>
          </w:rPr>
          <w:t>9.3</w:t>
        </w:r>
        <w:r>
          <w:rPr>
            <w:rFonts w:asciiTheme="minorHAnsi" w:eastAsiaTheme="minorEastAsia" w:hAnsiTheme="minorHAnsi" w:cstheme="minorBidi"/>
            <w:noProof/>
            <w:sz w:val="22"/>
            <w:szCs w:val="22"/>
            <w:lang w:val="en-US" w:eastAsia="zh-CN"/>
          </w:rPr>
          <w:tab/>
        </w:r>
        <w:r w:rsidRPr="00E1520B">
          <w:rPr>
            <w:rStyle w:val="Hyperlink"/>
            <w:noProof/>
          </w:rPr>
          <w:t xml:space="preserve">Analogue Television Broadcasting in Band 1 </w:t>
        </w:r>
        <w:r w:rsidR="00C72CB5">
          <w:rPr>
            <w:rStyle w:val="Hyperlink"/>
            <w:noProof/>
          </w:rPr>
          <w:t>–</w:t>
        </w:r>
        <w:r w:rsidRPr="00E1520B">
          <w:rPr>
            <w:rStyle w:val="Hyperlink"/>
            <w:noProof/>
          </w:rPr>
          <w:t xml:space="preserve"> 47–68 MHz</w:t>
        </w:r>
        <w:r>
          <w:rPr>
            <w:noProof/>
            <w:webHidden/>
          </w:rPr>
          <w:tab/>
        </w:r>
        <w:r>
          <w:rPr>
            <w:noProof/>
            <w:webHidden/>
          </w:rPr>
          <w:tab/>
        </w:r>
        <w:r>
          <w:rPr>
            <w:noProof/>
            <w:webHidden/>
          </w:rPr>
          <w:fldChar w:fldCharType="begin"/>
        </w:r>
        <w:r>
          <w:rPr>
            <w:noProof/>
            <w:webHidden/>
          </w:rPr>
          <w:instrText xml:space="preserve"> PAGEREF _Toc467487683 \h </w:instrText>
        </w:r>
        <w:r>
          <w:rPr>
            <w:noProof/>
            <w:webHidden/>
          </w:rPr>
        </w:r>
        <w:r>
          <w:rPr>
            <w:noProof/>
            <w:webHidden/>
          </w:rPr>
          <w:fldChar w:fldCharType="separate"/>
        </w:r>
        <w:r w:rsidR="00C72CB5">
          <w:rPr>
            <w:noProof/>
            <w:webHidden/>
          </w:rPr>
          <w:t>10</w:t>
        </w:r>
        <w:r>
          <w:rPr>
            <w:noProof/>
            <w:webHidden/>
          </w:rPr>
          <w:fldChar w:fldCharType="end"/>
        </w:r>
      </w:hyperlink>
    </w:p>
    <w:p w14:paraId="0AFCF19B" w14:textId="2FAEAAA4" w:rsidR="005718A9" w:rsidRDefault="005718A9">
      <w:pPr>
        <w:pStyle w:val="TOC2"/>
        <w:rPr>
          <w:rFonts w:asciiTheme="minorHAnsi" w:eastAsiaTheme="minorEastAsia" w:hAnsiTheme="minorHAnsi" w:cstheme="minorBidi"/>
          <w:noProof/>
          <w:sz w:val="22"/>
          <w:szCs w:val="22"/>
          <w:lang w:val="en-US" w:eastAsia="zh-CN"/>
        </w:rPr>
      </w:pPr>
      <w:hyperlink w:anchor="_Toc467487684" w:history="1">
        <w:r w:rsidRPr="00E1520B">
          <w:rPr>
            <w:rStyle w:val="Hyperlink"/>
            <w:noProof/>
          </w:rPr>
          <w:t>9.4</w:t>
        </w:r>
        <w:r>
          <w:rPr>
            <w:rFonts w:asciiTheme="minorHAnsi" w:eastAsiaTheme="minorEastAsia" w:hAnsiTheme="minorHAnsi" w:cstheme="minorBidi"/>
            <w:noProof/>
            <w:sz w:val="22"/>
            <w:szCs w:val="22"/>
            <w:lang w:val="en-US" w:eastAsia="zh-CN"/>
          </w:rPr>
          <w:tab/>
        </w:r>
        <w:r w:rsidRPr="00E1520B">
          <w:rPr>
            <w:rStyle w:val="Hyperlink"/>
            <w:noProof/>
          </w:rPr>
          <w:t>Inter-Regional Sharing Situation</w:t>
        </w:r>
        <w:r>
          <w:rPr>
            <w:noProof/>
            <w:webHidden/>
          </w:rPr>
          <w:tab/>
        </w:r>
        <w:r>
          <w:rPr>
            <w:noProof/>
            <w:webHidden/>
          </w:rPr>
          <w:tab/>
        </w:r>
        <w:r>
          <w:rPr>
            <w:noProof/>
            <w:webHidden/>
          </w:rPr>
          <w:fldChar w:fldCharType="begin"/>
        </w:r>
        <w:r>
          <w:rPr>
            <w:noProof/>
            <w:webHidden/>
          </w:rPr>
          <w:instrText xml:space="preserve"> PAGEREF _Toc467487684 \h </w:instrText>
        </w:r>
        <w:r>
          <w:rPr>
            <w:noProof/>
            <w:webHidden/>
          </w:rPr>
        </w:r>
        <w:r>
          <w:rPr>
            <w:noProof/>
            <w:webHidden/>
          </w:rPr>
          <w:fldChar w:fldCharType="separate"/>
        </w:r>
        <w:r w:rsidR="00C72CB5">
          <w:rPr>
            <w:noProof/>
            <w:webHidden/>
          </w:rPr>
          <w:t>11</w:t>
        </w:r>
        <w:r>
          <w:rPr>
            <w:noProof/>
            <w:webHidden/>
          </w:rPr>
          <w:fldChar w:fldCharType="end"/>
        </w:r>
      </w:hyperlink>
    </w:p>
    <w:p w14:paraId="24CD770A" w14:textId="7B98DF19" w:rsidR="005718A9" w:rsidRDefault="005718A9" w:rsidP="005718A9">
      <w:pPr>
        <w:pStyle w:val="TOC2"/>
        <w:rPr>
          <w:rFonts w:asciiTheme="minorHAnsi" w:eastAsiaTheme="minorEastAsia" w:hAnsiTheme="minorHAnsi" w:cstheme="minorBidi"/>
          <w:noProof/>
          <w:sz w:val="22"/>
          <w:szCs w:val="22"/>
          <w:lang w:val="en-US" w:eastAsia="zh-CN"/>
        </w:rPr>
      </w:pPr>
      <w:hyperlink w:anchor="_Toc467487685" w:history="1">
        <w:r w:rsidRPr="00E1520B">
          <w:rPr>
            <w:rStyle w:val="Hyperlink"/>
            <w:noProof/>
          </w:rPr>
          <w:t>9.5</w:t>
        </w:r>
        <w:r>
          <w:rPr>
            <w:rFonts w:asciiTheme="minorHAnsi" w:eastAsiaTheme="minorEastAsia" w:hAnsiTheme="minorHAnsi" w:cstheme="minorBidi"/>
            <w:noProof/>
            <w:sz w:val="22"/>
            <w:szCs w:val="22"/>
            <w:lang w:val="en-US" w:eastAsia="zh-CN"/>
          </w:rPr>
          <w:tab/>
        </w:r>
        <w:r w:rsidRPr="00E1520B">
          <w:rPr>
            <w:rStyle w:val="Hyperlink"/>
            <w:noProof/>
          </w:rPr>
          <w:t xml:space="preserve">Sharing between the broadcasting service in Region 1 and the amateur service </w:t>
        </w:r>
        <w:r>
          <w:rPr>
            <w:rStyle w:val="Hyperlink"/>
            <w:noProof/>
          </w:rPr>
          <w:br/>
        </w:r>
        <w:r w:rsidRPr="00E1520B">
          <w:rPr>
            <w:rStyle w:val="Hyperlink"/>
            <w:noProof/>
          </w:rPr>
          <w:t>in Region 3</w:t>
        </w:r>
        <w:r>
          <w:rPr>
            <w:noProof/>
            <w:webHidden/>
          </w:rPr>
          <w:tab/>
        </w:r>
        <w:r>
          <w:rPr>
            <w:noProof/>
            <w:webHidden/>
          </w:rPr>
          <w:tab/>
        </w:r>
        <w:r>
          <w:rPr>
            <w:noProof/>
            <w:webHidden/>
          </w:rPr>
          <w:fldChar w:fldCharType="begin"/>
        </w:r>
        <w:r>
          <w:rPr>
            <w:noProof/>
            <w:webHidden/>
          </w:rPr>
          <w:instrText xml:space="preserve"> PAGEREF _Toc467487685 \h </w:instrText>
        </w:r>
        <w:r>
          <w:rPr>
            <w:noProof/>
            <w:webHidden/>
          </w:rPr>
        </w:r>
        <w:r>
          <w:rPr>
            <w:noProof/>
            <w:webHidden/>
          </w:rPr>
          <w:fldChar w:fldCharType="separate"/>
        </w:r>
        <w:r w:rsidR="00C72CB5">
          <w:rPr>
            <w:noProof/>
            <w:webHidden/>
          </w:rPr>
          <w:t>11</w:t>
        </w:r>
        <w:r>
          <w:rPr>
            <w:noProof/>
            <w:webHidden/>
          </w:rPr>
          <w:fldChar w:fldCharType="end"/>
        </w:r>
      </w:hyperlink>
    </w:p>
    <w:p w14:paraId="795C8928" w14:textId="340649B8" w:rsidR="005718A9" w:rsidRDefault="005718A9">
      <w:pPr>
        <w:pStyle w:val="TOC2"/>
        <w:rPr>
          <w:rFonts w:asciiTheme="minorHAnsi" w:eastAsiaTheme="minorEastAsia" w:hAnsiTheme="minorHAnsi" w:cstheme="minorBidi"/>
          <w:noProof/>
          <w:sz w:val="22"/>
          <w:szCs w:val="22"/>
          <w:lang w:val="en-US" w:eastAsia="zh-CN"/>
        </w:rPr>
      </w:pPr>
      <w:hyperlink w:anchor="_Toc467487686" w:history="1">
        <w:r w:rsidRPr="00E1520B">
          <w:rPr>
            <w:rStyle w:val="Hyperlink"/>
            <w:noProof/>
          </w:rPr>
          <w:t>9.6</w:t>
        </w:r>
        <w:r>
          <w:rPr>
            <w:rFonts w:asciiTheme="minorHAnsi" w:eastAsiaTheme="minorEastAsia" w:hAnsiTheme="minorHAnsi" w:cstheme="minorBidi"/>
            <w:noProof/>
            <w:sz w:val="22"/>
            <w:szCs w:val="22"/>
            <w:lang w:val="en-US" w:eastAsia="zh-CN"/>
          </w:rPr>
          <w:tab/>
        </w:r>
        <w:r w:rsidRPr="00E1520B">
          <w:rPr>
            <w:rStyle w:val="Hyperlink"/>
            <w:noProof/>
          </w:rPr>
          <w:t xml:space="preserve">Sharing between the broadcasting service in Region 1 and the amateur service </w:t>
        </w:r>
        <w:r>
          <w:rPr>
            <w:rStyle w:val="Hyperlink"/>
            <w:noProof/>
          </w:rPr>
          <w:br/>
        </w:r>
        <w:r w:rsidRPr="00E1520B">
          <w:rPr>
            <w:rStyle w:val="Hyperlink"/>
            <w:noProof/>
          </w:rPr>
          <w:t>in Region 2</w:t>
        </w:r>
        <w:r>
          <w:rPr>
            <w:noProof/>
            <w:webHidden/>
          </w:rPr>
          <w:tab/>
        </w:r>
        <w:r>
          <w:rPr>
            <w:noProof/>
            <w:webHidden/>
          </w:rPr>
          <w:tab/>
        </w:r>
        <w:r>
          <w:rPr>
            <w:noProof/>
            <w:webHidden/>
          </w:rPr>
          <w:fldChar w:fldCharType="begin"/>
        </w:r>
        <w:r>
          <w:rPr>
            <w:noProof/>
            <w:webHidden/>
          </w:rPr>
          <w:instrText xml:space="preserve"> PAGEREF _Toc467487686 \h </w:instrText>
        </w:r>
        <w:r>
          <w:rPr>
            <w:noProof/>
            <w:webHidden/>
          </w:rPr>
        </w:r>
        <w:r>
          <w:rPr>
            <w:noProof/>
            <w:webHidden/>
          </w:rPr>
          <w:fldChar w:fldCharType="separate"/>
        </w:r>
        <w:r w:rsidR="00C72CB5">
          <w:rPr>
            <w:noProof/>
            <w:webHidden/>
          </w:rPr>
          <w:t>11</w:t>
        </w:r>
        <w:r>
          <w:rPr>
            <w:noProof/>
            <w:webHidden/>
          </w:rPr>
          <w:fldChar w:fldCharType="end"/>
        </w:r>
      </w:hyperlink>
    </w:p>
    <w:p w14:paraId="6E06AB28" w14:textId="7046D86E" w:rsidR="005718A9" w:rsidRDefault="005718A9">
      <w:pPr>
        <w:pStyle w:val="TOC1"/>
        <w:rPr>
          <w:rFonts w:asciiTheme="minorHAnsi" w:eastAsiaTheme="minorEastAsia" w:hAnsiTheme="minorHAnsi" w:cstheme="minorBidi"/>
          <w:noProof/>
          <w:sz w:val="22"/>
          <w:szCs w:val="22"/>
          <w:lang w:val="en-US" w:eastAsia="zh-CN"/>
        </w:rPr>
      </w:pPr>
      <w:hyperlink w:anchor="_Toc467487687" w:history="1">
        <w:r w:rsidRPr="00E1520B">
          <w:rPr>
            <w:rStyle w:val="Hyperlink"/>
            <w:noProof/>
          </w:rPr>
          <w:t>10</w:t>
        </w:r>
        <w:r>
          <w:rPr>
            <w:rFonts w:asciiTheme="minorHAnsi" w:eastAsiaTheme="minorEastAsia" w:hAnsiTheme="minorHAnsi" w:cstheme="minorBidi"/>
            <w:noProof/>
            <w:sz w:val="22"/>
            <w:szCs w:val="22"/>
            <w:lang w:val="en-US" w:eastAsia="zh-CN"/>
          </w:rPr>
          <w:tab/>
        </w:r>
        <w:r w:rsidRPr="00E1520B">
          <w:rPr>
            <w:rStyle w:val="Hyperlink"/>
            <w:noProof/>
          </w:rPr>
          <w:t>Summary</w:t>
        </w:r>
        <w:r>
          <w:rPr>
            <w:noProof/>
            <w:webHidden/>
          </w:rPr>
          <w:tab/>
        </w:r>
        <w:r>
          <w:rPr>
            <w:noProof/>
            <w:webHidden/>
          </w:rPr>
          <w:tab/>
        </w:r>
        <w:r>
          <w:rPr>
            <w:noProof/>
            <w:webHidden/>
          </w:rPr>
          <w:fldChar w:fldCharType="begin"/>
        </w:r>
        <w:r>
          <w:rPr>
            <w:noProof/>
            <w:webHidden/>
          </w:rPr>
          <w:instrText xml:space="preserve"> PAGEREF _Toc467487687 \h </w:instrText>
        </w:r>
        <w:r>
          <w:rPr>
            <w:noProof/>
            <w:webHidden/>
          </w:rPr>
        </w:r>
        <w:r>
          <w:rPr>
            <w:noProof/>
            <w:webHidden/>
          </w:rPr>
          <w:fldChar w:fldCharType="separate"/>
        </w:r>
        <w:r w:rsidR="00C72CB5">
          <w:rPr>
            <w:noProof/>
            <w:webHidden/>
          </w:rPr>
          <w:t>12</w:t>
        </w:r>
        <w:r>
          <w:rPr>
            <w:noProof/>
            <w:webHidden/>
          </w:rPr>
          <w:fldChar w:fldCharType="end"/>
        </w:r>
      </w:hyperlink>
    </w:p>
    <w:p w14:paraId="446526A0" w14:textId="68E9E3D4" w:rsidR="00E00D7C" w:rsidRDefault="005718A9" w:rsidP="005718A9">
      <w:pPr>
        <w:rPr>
          <w:lang w:val="en-US"/>
        </w:rPr>
      </w:pPr>
      <w:r>
        <w:rPr>
          <w:lang w:val="en-US"/>
        </w:rPr>
        <w:fldChar w:fldCharType="end"/>
      </w:r>
    </w:p>
    <w:p w14:paraId="06660F72" w14:textId="0812FF6F" w:rsidR="001549CF" w:rsidRDefault="00D23162" w:rsidP="005718A9">
      <w:pPr>
        <w:spacing w:before="240" w:after="240"/>
        <w:rPr>
          <w:lang w:val="en-US"/>
        </w:rPr>
      </w:pPr>
      <w:r w:rsidRPr="00D11754">
        <w:rPr>
          <w:i/>
          <w:szCs w:val="16"/>
          <w:highlight w:val="yellow"/>
          <w:lang w:val="en-US"/>
        </w:rPr>
        <w:t>Editor’s</w:t>
      </w:r>
      <w:r w:rsidRPr="00FE46A5">
        <w:rPr>
          <w:i/>
          <w:szCs w:val="16"/>
          <w:highlight w:val="yellow"/>
          <w:lang w:val="en-US"/>
        </w:rPr>
        <w:t xml:space="preserve"> note: </w:t>
      </w:r>
      <w:r w:rsidR="00D11754" w:rsidRPr="00D11754">
        <w:rPr>
          <w:i/>
          <w:szCs w:val="16"/>
          <w:highlight w:val="yellow"/>
          <w:lang w:val="en-US"/>
        </w:rPr>
        <w:t xml:space="preserve">Use </w:t>
      </w:r>
      <w:r w:rsidRPr="00FE46A5">
        <w:rPr>
          <w:i/>
          <w:szCs w:val="16"/>
          <w:highlight w:val="yellow"/>
          <w:lang w:val="en-US"/>
        </w:rPr>
        <w:t xml:space="preserve">update table of content commands to update above table as each entry </w:t>
      </w:r>
      <w:proofErr w:type="gramStart"/>
      <w:r w:rsidRPr="00FE46A5">
        <w:rPr>
          <w:i/>
          <w:szCs w:val="16"/>
          <w:highlight w:val="yellow"/>
          <w:lang w:val="en-US"/>
        </w:rPr>
        <w:t>is linked</w:t>
      </w:r>
      <w:proofErr w:type="gramEnd"/>
      <w:r w:rsidRPr="00FE46A5">
        <w:rPr>
          <w:i/>
          <w:szCs w:val="16"/>
          <w:highlight w:val="yellow"/>
          <w:lang w:val="en-US"/>
        </w:rPr>
        <w:t xml:space="preserve"> to the section titles</w:t>
      </w:r>
      <w:r w:rsidR="00D11754">
        <w:rPr>
          <w:i/>
          <w:szCs w:val="16"/>
          <w:highlight w:val="yellow"/>
          <w:lang w:val="en-US"/>
        </w:rPr>
        <w:t xml:space="preserve"> </w:t>
      </w:r>
    </w:p>
    <w:p w14:paraId="31010D19" w14:textId="06AD0265" w:rsidR="00EB242E" w:rsidRPr="00853C9F" w:rsidRDefault="00EB242E" w:rsidP="001549CF">
      <w:pPr>
        <w:pStyle w:val="Heading1"/>
        <w:rPr>
          <w:lang w:val="en-US"/>
        </w:rPr>
      </w:pPr>
      <w:bookmarkStart w:id="12" w:name="_Toc451353752"/>
      <w:bookmarkStart w:id="13" w:name="_Toc467231959"/>
      <w:bookmarkStart w:id="14" w:name="_Toc467487670"/>
      <w:r w:rsidRPr="00853C9F">
        <w:rPr>
          <w:lang w:val="en-US"/>
        </w:rPr>
        <w:t>1</w:t>
      </w:r>
      <w:r w:rsidR="001549CF" w:rsidRPr="00853C9F">
        <w:rPr>
          <w:lang w:val="en-US"/>
        </w:rPr>
        <w:tab/>
      </w:r>
      <w:r w:rsidRPr="00853C9F">
        <w:rPr>
          <w:lang w:val="en-US"/>
        </w:rPr>
        <w:t>Introduction</w:t>
      </w:r>
      <w:bookmarkEnd w:id="9"/>
      <w:bookmarkEnd w:id="10"/>
      <w:bookmarkEnd w:id="12"/>
      <w:bookmarkEnd w:id="13"/>
      <w:bookmarkEnd w:id="14"/>
    </w:p>
    <w:p w14:paraId="106039DF" w14:textId="77777777" w:rsidR="00EB242E" w:rsidRPr="00853C9F" w:rsidRDefault="00EB242E" w:rsidP="003E45D0">
      <w:pPr>
        <w:keepNext/>
        <w:keepLines/>
        <w:rPr>
          <w:lang w:val="en-US" w:eastAsia="zh-CN"/>
        </w:rPr>
      </w:pPr>
      <w:r w:rsidRPr="00853C9F">
        <w:rPr>
          <w:lang w:val="en-US" w:eastAsia="zh-CN"/>
        </w:rPr>
        <w:t xml:space="preserve">Resolution </w:t>
      </w:r>
      <w:r w:rsidRPr="00853C9F">
        <w:rPr>
          <w:b/>
          <w:lang w:val="en-US" w:eastAsia="zh-CN"/>
        </w:rPr>
        <w:t>658</w:t>
      </w:r>
      <w:r w:rsidRPr="00853C9F">
        <w:rPr>
          <w:lang w:val="en-US" w:eastAsia="zh-CN"/>
        </w:rPr>
        <w:t xml:space="preserve"> (Geneva, 2015) invites ITU-R to conduct the following studies to support the deliberations of WRC-19 on agenda item 1.1:</w:t>
      </w:r>
    </w:p>
    <w:p w14:paraId="5698E5EB" w14:textId="7155700C" w:rsidR="00EB242E" w:rsidRPr="00B16FF4" w:rsidRDefault="00B16FF4" w:rsidP="00B16FF4">
      <w:pPr>
        <w:pStyle w:val="enumlev1"/>
        <w:rPr>
          <w:i/>
          <w:iCs/>
          <w:lang w:val="en-US" w:eastAsia="zh-CN"/>
        </w:rPr>
      </w:pPr>
      <w:r w:rsidRPr="00B16FF4">
        <w:rPr>
          <w:i/>
          <w:iCs/>
          <w:lang w:val="en-US" w:eastAsia="zh-CN"/>
        </w:rPr>
        <w:tab/>
      </w:r>
      <w:r w:rsidR="00EB242E" w:rsidRPr="00B16FF4">
        <w:rPr>
          <w:i/>
          <w:iCs/>
          <w:lang w:val="en-US" w:eastAsia="zh-CN"/>
        </w:rPr>
        <w:t xml:space="preserve">1 </w:t>
      </w:r>
      <w:r w:rsidR="00EB242E" w:rsidRPr="00B16FF4">
        <w:rPr>
          <w:i/>
          <w:iCs/>
          <w:lang w:val="en-US" w:eastAsia="zh-CN"/>
        </w:rPr>
        <w:tab/>
        <w:t>to study spectrum needs in Region 1 for the amateur service in the frequency band 50</w:t>
      </w:r>
      <w:r w:rsidR="00EB242E" w:rsidRPr="00B16FF4">
        <w:rPr>
          <w:i/>
          <w:iCs/>
          <w:lang w:val="en-US" w:eastAsia="zh-CN"/>
        </w:rPr>
        <w:noBreakHyphen/>
        <w:t>54 MHz;</w:t>
      </w:r>
    </w:p>
    <w:p w14:paraId="42B95445" w14:textId="75B85FA3" w:rsidR="00EB242E" w:rsidRPr="00B16FF4" w:rsidRDefault="00B16FF4" w:rsidP="00B16FF4">
      <w:pPr>
        <w:pStyle w:val="enumlev1"/>
        <w:rPr>
          <w:i/>
          <w:iCs/>
          <w:lang w:val="en-US" w:eastAsia="zh-CN"/>
        </w:rPr>
      </w:pPr>
      <w:r w:rsidRPr="00B16FF4">
        <w:rPr>
          <w:i/>
          <w:iCs/>
          <w:lang w:val="en-US" w:eastAsia="zh-CN"/>
        </w:rPr>
        <w:tab/>
      </w:r>
      <w:proofErr w:type="gramStart"/>
      <w:r w:rsidR="00EB242E" w:rsidRPr="00B16FF4">
        <w:rPr>
          <w:i/>
          <w:iCs/>
          <w:lang w:val="en-US" w:eastAsia="zh-CN"/>
        </w:rPr>
        <w:t>2</w:t>
      </w:r>
      <w:proofErr w:type="gramEnd"/>
      <w:r w:rsidR="00EB242E" w:rsidRPr="00B16FF4">
        <w:rPr>
          <w:i/>
          <w:iCs/>
          <w:lang w:val="en-US" w:eastAsia="zh-CN"/>
        </w:rPr>
        <w:t xml:space="preserve"> </w:t>
      </w:r>
      <w:r w:rsidR="00EB242E" w:rsidRPr="00B16FF4">
        <w:rPr>
          <w:i/>
          <w:iCs/>
          <w:lang w:val="en-US" w:eastAsia="zh-CN"/>
        </w:rPr>
        <w:tab/>
        <w:t>taking into account the results of the above studies, to study sharing between the amateur service and the mobile, fixed, radiolocation and broadcasting services, in order to ensure protection of these services.</w:t>
      </w:r>
    </w:p>
    <w:p w14:paraId="5AE2A41F" w14:textId="77777777" w:rsidR="00EB242E" w:rsidRPr="00853C9F" w:rsidRDefault="00EB242E" w:rsidP="00EB242E">
      <w:pPr>
        <w:rPr>
          <w:lang w:val="en-US" w:eastAsia="zh-CN"/>
        </w:rPr>
      </w:pPr>
      <w:r w:rsidRPr="00853C9F">
        <w:rPr>
          <w:lang w:val="en-US" w:eastAsia="zh-CN"/>
        </w:rPr>
        <w:t xml:space="preserve">This Report responds to the invitations of Resolution </w:t>
      </w:r>
      <w:r w:rsidRPr="00853C9F">
        <w:rPr>
          <w:b/>
          <w:lang w:val="en-US" w:eastAsia="zh-CN"/>
        </w:rPr>
        <w:t>658</w:t>
      </w:r>
      <w:r w:rsidRPr="00853C9F">
        <w:rPr>
          <w:lang w:val="en-US" w:eastAsia="zh-CN"/>
        </w:rPr>
        <w:t>.</w:t>
      </w:r>
    </w:p>
    <w:p w14:paraId="14DF3786" w14:textId="7FBFE750" w:rsidR="00EB242E" w:rsidRPr="00853C9F" w:rsidRDefault="00EB242E" w:rsidP="001549CF">
      <w:pPr>
        <w:pStyle w:val="Heading1"/>
        <w:rPr>
          <w:lang w:val="en-US"/>
        </w:rPr>
      </w:pPr>
      <w:bookmarkStart w:id="15" w:name="_Toc451373074"/>
      <w:bookmarkStart w:id="16" w:name="_Toc451353753"/>
      <w:bookmarkStart w:id="17" w:name="_Toc467231960"/>
      <w:bookmarkStart w:id="18" w:name="_Toc467487671"/>
      <w:r w:rsidRPr="00853C9F">
        <w:rPr>
          <w:lang w:val="en-US"/>
        </w:rPr>
        <w:t>2</w:t>
      </w:r>
      <w:r w:rsidR="001549CF" w:rsidRPr="00853C9F">
        <w:rPr>
          <w:lang w:val="en-US"/>
        </w:rPr>
        <w:tab/>
      </w:r>
      <w:r w:rsidRPr="00853C9F">
        <w:rPr>
          <w:lang w:val="en-US"/>
        </w:rPr>
        <w:t>Use of the frequency band 50-54 MHz by amateur service stations</w:t>
      </w:r>
      <w:bookmarkEnd w:id="15"/>
      <w:bookmarkEnd w:id="16"/>
      <w:bookmarkEnd w:id="17"/>
      <w:bookmarkEnd w:id="18"/>
    </w:p>
    <w:p w14:paraId="5261D6B6" w14:textId="77777777" w:rsidR="00EB242E" w:rsidRDefault="00EB242E" w:rsidP="00EB242E">
      <w:pPr>
        <w:rPr>
          <w:lang w:val="en-US"/>
        </w:rPr>
      </w:pPr>
      <w:r w:rsidRPr="00853C9F">
        <w:rPr>
          <w:lang w:val="en-US"/>
        </w:rPr>
        <w:t xml:space="preserve">It is important to note that it is not possible to perform a quantitative analysis of the occupancy of the 50-54 MHz band by amateur service stations using MIFR data, because Administrations do not have amateur service frequency assignments registered by the Bureau. </w:t>
      </w:r>
    </w:p>
    <w:p w14:paraId="45D60176" w14:textId="1111BDD6" w:rsidR="00707FE1" w:rsidRPr="00853C9F" w:rsidRDefault="00707FE1" w:rsidP="00EB242E">
      <w:pPr>
        <w:rPr>
          <w:lang w:val="en-US"/>
        </w:rPr>
      </w:pPr>
      <w:r>
        <w:t>However, CEPT’s European Table of Frequency Allocations (ECA TABLE) (ERC Report 2</w:t>
      </w:r>
      <w:r w:rsidR="00EF1D1A">
        <w:t xml:space="preserve">5) allocates the </w:t>
      </w:r>
      <w:r>
        <w:t xml:space="preserve">50-52 MHz </w:t>
      </w:r>
      <w:r w:rsidR="00EF1D1A">
        <w:t xml:space="preserve">frequency band </w:t>
      </w:r>
      <w:r>
        <w:t>to the amateur service on a secondary basis</w:t>
      </w:r>
      <w:r w:rsidRPr="00C72CB5">
        <w:rPr>
          <w:bCs/>
        </w:rPr>
        <w:t>. A</w:t>
      </w:r>
      <w:r>
        <w:t>s of October 2016, twenty-four of the forty-eight member administrations of CEPT have notified an allocation to the amateur service in EFIS, the CEPT European Communications Office’s online Frequency Information System. In addition a further twelve CEPT administrations have indicated that amateur usage is an application in this band. This demonstrates that 75% of CEPT’s membership authoris</w:t>
      </w:r>
      <w:r w:rsidR="00EF1D1A">
        <w:t xml:space="preserve">e amateur usage within the </w:t>
      </w:r>
      <w:r>
        <w:t>50-52 MHz</w:t>
      </w:r>
      <w:r w:rsidR="00EF1D1A">
        <w:t xml:space="preserve"> frequency band</w:t>
      </w:r>
      <w:r>
        <w:t>.</w:t>
      </w:r>
      <w:r w:rsidR="007775E0">
        <w:t xml:space="preserve"> </w:t>
      </w:r>
      <w:r>
        <w:t>The permitted maximum power of such stations is mostly 100 W, in some countries there are territorial limitations with regard to power and frequencies.</w:t>
      </w:r>
    </w:p>
    <w:p w14:paraId="024D44BF" w14:textId="678AF2F7" w:rsidR="00EB242E" w:rsidRPr="00853C9F" w:rsidRDefault="00EB242E" w:rsidP="00EB242E">
      <w:pPr>
        <w:rPr>
          <w:lang w:val="en-US"/>
        </w:rPr>
      </w:pPr>
      <w:r w:rsidRPr="00853C9F">
        <w:rPr>
          <w:lang w:val="en-US"/>
        </w:rPr>
        <w:t xml:space="preserve">Table 1 provides a list of Region 1 </w:t>
      </w:r>
      <w:r w:rsidRPr="00D51610">
        <w:rPr>
          <w:lang w:val="en-US"/>
        </w:rPr>
        <w:t>Administrations and the conditions for</w:t>
      </w:r>
      <w:r w:rsidRPr="00853C9F">
        <w:rPr>
          <w:lang w:val="en-US"/>
        </w:rPr>
        <w:t xml:space="preserve"> using the 50-54 MHz</w:t>
      </w:r>
      <w:r w:rsidR="00EF1D1A" w:rsidRPr="00EF1D1A">
        <w:rPr>
          <w:lang w:val="en-US"/>
        </w:rPr>
        <w:t xml:space="preserve"> </w:t>
      </w:r>
      <w:r w:rsidR="00EF1D1A" w:rsidRPr="00853C9F">
        <w:rPr>
          <w:lang w:val="en-US"/>
        </w:rPr>
        <w:t>frequency band</w:t>
      </w:r>
      <w:r w:rsidRPr="00853C9F">
        <w:rPr>
          <w:lang w:val="en-US"/>
        </w:rPr>
        <w:t xml:space="preserve">, as published in the website of </w:t>
      </w:r>
      <w:r w:rsidR="00707FE1">
        <w:rPr>
          <w:lang w:val="en-US"/>
        </w:rPr>
        <w:t xml:space="preserve">Region 1 of </w:t>
      </w:r>
      <w:r w:rsidRPr="00853C9F">
        <w:rPr>
          <w:lang w:val="en-US"/>
        </w:rPr>
        <w:t>the Internation</w:t>
      </w:r>
      <w:r w:rsidR="003E45D0" w:rsidRPr="00853C9F">
        <w:rPr>
          <w:lang w:val="en-US"/>
        </w:rPr>
        <w:t xml:space="preserve">al Amateur Radio Union (IARU). </w:t>
      </w:r>
    </w:p>
    <w:p w14:paraId="6953104D" w14:textId="72D4E7CF" w:rsidR="00EB242E" w:rsidRDefault="00EB242E" w:rsidP="005718A9">
      <w:pPr>
        <w:spacing w:before="240" w:after="240"/>
        <w:rPr>
          <w:i/>
          <w:lang w:val="en-US"/>
        </w:rPr>
      </w:pPr>
      <w:r w:rsidRPr="00853C9F">
        <w:rPr>
          <w:i/>
          <w:highlight w:val="yellow"/>
          <w:lang w:val="en-US"/>
        </w:rPr>
        <w:t xml:space="preserve">Editor’s note: </w:t>
      </w:r>
      <w:r w:rsidR="00AE72CB" w:rsidRPr="00853C9F">
        <w:rPr>
          <w:i/>
          <w:highlight w:val="yellow"/>
          <w:lang w:val="en-US"/>
        </w:rPr>
        <w:t xml:space="preserve">This </w:t>
      </w:r>
      <w:r w:rsidRPr="00853C9F">
        <w:rPr>
          <w:i/>
          <w:highlight w:val="yellow"/>
          <w:lang w:val="en-US"/>
        </w:rPr>
        <w:t xml:space="preserve">information needs to </w:t>
      </w:r>
      <w:proofErr w:type="gramStart"/>
      <w:r w:rsidRPr="00853C9F">
        <w:rPr>
          <w:i/>
          <w:highlight w:val="yellow"/>
          <w:lang w:val="en-US"/>
        </w:rPr>
        <w:t>be checked</w:t>
      </w:r>
      <w:proofErr w:type="gramEnd"/>
      <w:r w:rsidRPr="00853C9F">
        <w:rPr>
          <w:i/>
          <w:highlight w:val="yellow"/>
          <w:lang w:val="en-US"/>
        </w:rPr>
        <w:t xml:space="preserve"> for currency </w:t>
      </w:r>
    </w:p>
    <w:p w14:paraId="3D39E3FB" w14:textId="77777777" w:rsidR="00B16FF4" w:rsidRDefault="00EB242E" w:rsidP="00B16FF4">
      <w:pPr>
        <w:pStyle w:val="TableNo"/>
        <w:rPr>
          <w:lang w:val="en-US"/>
        </w:rPr>
      </w:pPr>
      <w:r w:rsidRPr="00FE46A5">
        <w:rPr>
          <w:lang w:val="en-US"/>
        </w:rPr>
        <w:t>Table 1</w:t>
      </w:r>
    </w:p>
    <w:p w14:paraId="25BDBBEB" w14:textId="70EBE015" w:rsidR="007775E0" w:rsidRDefault="00192CBB">
      <w:pPr>
        <w:pStyle w:val="Tabletitle"/>
        <w:rPr>
          <w:lang w:val="en-US"/>
        </w:rPr>
      </w:pPr>
      <w:r w:rsidRPr="00FE46A5">
        <w:rPr>
          <w:lang w:val="en-US"/>
        </w:rPr>
        <w:t>C</w:t>
      </w:r>
      <w:r w:rsidR="00EB242E" w:rsidRPr="00FE46A5">
        <w:rPr>
          <w:lang w:val="en-US"/>
        </w:rPr>
        <w:t xml:space="preserve">onditions for using the 50-52 MHz band, as at </w:t>
      </w:r>
      <w:r w:rsidR="007775E0" w:rsidRPr="00FE46A5">
        <w:rPr>
          <w:lang w:val="en-US"/>
        </w:rPr>
        <w:t xml:space="preserve">October </w:t>
      </w:r>
      <w:r w:rsidR="00EB242E" w:rsidRPr="00FE46A5">
        <w:rPr>
          <w:lang w:val="en-US"/>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9"/>
        <w:gridCol w:w="825"/>
        <w:gridCol w:w="624"/>
        <w:gridCol w:w="472"/>
        <w:gridCol w:w="697"/>
        <w:gridCol w:w="614"/>
        <w:gridCol w:w="623"/>
        <w:gridCol w:w="389"/>
        <w:gridCol w:w="697"/>
        <w:gridCol w:w="488"/>
        <w:gridCol w:w="623"/>
        <w:gridCol w:w="472"/>
        <w:gridCol w:w="697"/>
        <w:gridCol w:w="614"/>
        <w:gridCol w:w="623"/>
        <w:gridCol w:w="472"/>
      </w:tblGrid>
      <w:tr w:rsidR="002C43D3" w:rsidRPr="00853C9F" w14:paraId="25B9F216" w14:textId="77777777" w:rsidTr="00B16FF4">
        <w:trPr>
          <w:trHeight w:val="300"/>
          <w:tblHeader/>
          <w:jc w:val="center"/>
        </w:trPr>
        <w:tc>
          <w:tcPr>
            <w:tcW w:w="0" w:type="auto"/>
            <w:shd w:val="clear" w:color="auto" w:fill="auto"/>
            <w:noWrap/>
            <w:vAlign w:val="bottom"/>
            <w:hideMark/>
          </w:tcPr>
          <w:p w14:paraId="56B37953" w14:textId="77777777" w:rsidR="007775E0" w:rsidRPr="00853C9F" w:rsidRDefault="007775E0" w:rsidP="007775E0">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3E424AFB" w14:textId="77777777"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10435342" w14:textId="204106D9" w:rsidR="007775E0" w:rsidRPr="00853C9F" w:rsidRDefault="007775E0">
            <w:pPr>
              <w:pStyle w:val="Tablehead"/>
              <w:rPr>
                <w:spacing w:val="-3"/>
                <w:sz w:val="16"/>
                <w:szCs w:val="16"/>
                <w:u w:val="single"/>
                <w:lang w:val="en-US"/>
              </w:rPr>
            </w:pPr>
            <w:r w:rsidRPr="00853C9F">
              <w:rPr>
                <w:spacing w:val="-3"/>
                <w:sz w:val="16"/>
                <w:szCs w:val="16"/>
                <w:u w:val="single"/>
                <w:lang w:val="en-US"/>
              </w:rPr>
              <w:t>Status</w:t>
            </w:r>
            <w:r w:rsidR="002C43D3" w:rsidRPr="00FE46A5">
              <w:rPr>
                <w:spacing w:val="-3"/>
                <w:sz w:val="16"/>
                <w:szCs w:val="16"/>
                <w:u w:val="single"/>
                <w:vertAlign w:val="superscript"/>
                <w:lang w:val="en-US"/>
              </w:rPr>
              <w:t>1</w:t>
            </w:r>
          </w:p>
        </w:tc>
        <w:tc>
          <w:tcPr>
            <w:tcW w:w="0" w:type="auto"/>
            <w:shd w:val="clear" w:color="auto" w:fill="auto"/>
            <w:noWrap/>
            <w:vAlign w:val="bottom"/>
            <w:hideMark/>
          </w:tcPr>
          <w:p w14:paraId="01DDB6D0" w14:textId="5ED859D9"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RR</w:t>
            </w:r>
            <w:r w:rsidR="002C43D3" w:rsidRPr="00FE46A5">
              <w:rPr>
                <w:spacing w:val="-3"/>
                <w:sz w:val="16"/>
                <w:szCs w:val="16"/>
                <w:u w:val="single"/>
                <w:vertAlign w:val="superscript"/>
                <w:lang w:val="en-US"/>
              </w:rPr>
              <w:t>2</w:t>
            </w:r>
          </w:p>
        </w:tc>
        <w:tc>
          <w:tcPr>
            <w:tcW w:w="0" w:type="auto"/>
            <w:shd w:val="clear" w:color="auto" w:fill="auto"/>
            <w:noWrap/>
            <w:vAlign w:val="bottom"/>
            <w:hideMark/>
          </w:tcPr>
          <w:p w14:paraId="31BB0701" w14:textId="77777777"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Country</w:t>
            </w:r>
          </w:p>
        </w:tc>
        <w:tc>
          <w:tcPr>
            <w:tcW w:w="0" w:type="auto"/>
            <w:shd w:val="clear" w:color="auto" w:fill="auto"/>
            <w:noWrap/>
            <w:vAlign w:val="bottom"/>
            <w:hideMark/>
          </w:tcPr>
          <w:p w14:paraId="6F08891B" w14:textId="77777777"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3580B630" w14:textId="02BB8F0F" w:rsidR="007775E0" w:rsidRPr="00853C9F" w:rsidRDefault="007775E0">
            <w:pPr>
              <w:pStyle w:val="Tablehead"/>
              <w:rPr>
                <w:spacing w:val="-3"/>
                <w:sz w:val="16"/>
                <w:szCs w:val="16"/>
                <w:u w:val="single"/>
                <w:lang w:val="en-US"/>
              </w:rPr>
            </w:pPr>
            <w:r w:rsidRPr="00853C9F">
              <w:rPr>
                <w:spacing w:val="-3"/>
                <w:sz w:val="16"/>
                <w:szCs w:val="16"/>
                <w:u w:val="single"/>
                <w:lang w:val="en-US"/>
              </w:rPr>
              <w:t>Status</w:t>
            </w:r>
            <w:r w:rsidR="002C43D3" w:rsidRPr="00FE46A5">
              <w:rPr>
                <w:spacing w:val="-3"/>
                <w:sz w:val="16"/>
                <w:szCs w:val="16"/>
                <w:u w:val="single"/>
                <w:vertAlign w:val="superscript"/>
                <w:lang w:val="en-US"/>
              </w:rPr>
              <w:t>1</w:t>
            </w:r>
          </w:p>
        </w:tc>
        <w:tc>
          <w:tcPr>
            <w:tcW w:w="0" w:type="auto"/>
            <w:shd w:val="clear" w:color="auto" w:fill="auto"/>
            <w:noWrap/>
            <w:vAlign w:val="bottom"/>
            <w:hideMark/>
          </w:tcPr>
          <w:p w14:paraId="25DA2023" w14:textId="2CFBB9AB"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RR</w:t>
            </w:r>
            <w:r w:rsidR="002C43D3" w:rsidRPr="00FE46A5">
              <w:rPr>
                <w:spacing w:val="-3"/>
                <w:sz w:val="16"/>
                <w:szCs w:val="16"/>
                <w:u w:val="single"/>
                <w:vertAlign w:val="superscript"/>
                <w:lang w:val="en-US"/>
              </w:rPr>
              <w:t>2</w:t>
            </w:r>
          </w:p>
        </w:tc>
        <w:tc>
          <w:tcPr>
            <w:tcW w:w="0" w:type="auto"/>
            <w:shd w:val="clear" w:color="auto" w:fill="auto"/>
            <w:noWrap/>
            <w:vAlign w:val="bottom"/>
            <w:hideMark/>
          </w:tcPr>
          <w:p w14:paraId="3C0FAA3E" w14:textId="77777777" w:rsidR="007775E0" w:rsidRPr="00853C9F" w:rsidRDefault="007775E0" w:rsidP="007775E0">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4002E9F6" w14:textId="77777777"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4AD64940" w14:textId="784EF086" w:rsidR="007775E0" w:rsidRPr="00853C9F" w:rsidRDefault="007775E0">
            <w:pPr>
              <w:pStyle w:val="Tablehead"/>
              <w:rPr>
                <w:spacing w:val="-3"/>
                <w:sz w:val="16"/>
                <w:szCs w:val="16"/>
                <w:u w:val="single"/>
                <w:lang w:val="en-US"/>
              </w:rPr>
            </w:pPr>
            <w:r w:rsidRPr="00853C9F">
              <w:rPr>
                <w:spacing w:val="-3"/>
                <w:sz w:val="16"/>
                <w:szCs w:val="16"/>
                <w:u w:val="single"/>
                <w:lang w:val="en-US"/>
              </w:rPr>
              <w:t>Status</w:t>
            </w:r>
            <w:r w:rsidR="002C43D3" w:rsidRPr="00FE46A5">
              <w:rPr>
                <w:spacing w:val="-3"/>
                <w:sz w:val="16"/>
                <w:szCs w:val="16"/>
                <w:u w:val="single"/>
                <w:vertAlign w:val="superscript"/>
                <w:lang w:val="en-US"/>
              </w:rPr>
              <w:t>1</w:t>
            </w:r>
          </w:p>
        </w:tc>
        <w:tc>
          <w:tcPr>
            <w:tcW w:w="0" w:type="auto"/>
            <w:shd w:val="clear" w:color="auto" w:fill="auto"/>
            <w:noWrap/>
            <w:vAlign w:val="bottom"/>
            <w:hideMark/>
          </w:tcPr>
          <w:p w14:paraId="19C4EFA6" w14:textId="500E94CF"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RR</w:t>
            </w:r>
            <w:r w:rsidR="002C43D3" w:rsidRPr="00FE46A5">
              <w:rPr>
                <w:spacing w:val="-3"/>
                <w:sz w:val="16"/>
                <w:szCs w:val="16"/>
                <w:u w:val="single"/>
                <w:vertAlign w:val="superscript"/>
                <w:lang w:val="en-US"/>
              </w:rPr>
              <w:t>2</w:t>
            </w:r>
          </w:p>
        </w:tc>
        <w:tc>
          <w:tcPr>
            <w:tcW w:w="0" w:type="auto"/>
            <w:shd w:val="clear" w:color="auto" w:fill="auto"/>
            <w:noWrap/>
            <w:vAlign w:val="bottom"/>
            <w:hideMark/>
          </w:tcPr>
          <w:p w14:paraId="332A6D27" w14:textId="77777777" w:rsidR="007775E0" w:rsidRPr="00853C9F" w:rsidRDefault="007775E0" w:rsidP="007775E0">
            <w:pPr>
              <w:pStyle w:val="Tablehead"/>
              <w:rPr>
                <w:spacing w:val="-3"/>
                <w:sz w:val="16"/>
                <w:szCs w:val="16"/>
                <w:lang w:val="en-US"/>
              </w:rPr>
            </w:pPr>
            <w:r w:rsidRPr="00853C9F">
              <w:rPr>
                <w:spacing w:val="-3"/>
                <w:sz w:val="16"/>
                <w:szCs w:val="16"/>
                <w:lang w:val="en-US"/>
              </w:rPr>
              <w:t>Country</w:t>
            </w:r>
          </w:p>
        </w:tc>
        <w:tc>
          <w:tcPr>
            <w:tcW w:w="0" w:type="auto"/>
            <w:shd w:val="clear" w:color="auto" w:fill="auto"/>
            <w:noWrap/>
            <w:vAlign w:val="bottom"/>
            <w:hideMark/>
          </w:tcPr>
          <w:p w14:paraId="7DAA2D55" w14:textId="77777777"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Band</w:t>
            </w:r>
          </w:p>
        </w:tc>
        <w:tc>
          <w:tcPr>
            <w:tcW w:w="0" w:type="auto"/>
            <w:shd w:val="clear" w:color="auto" w:fill="auto"/>
            <w:noWrap/>
            <w:vAlign w:val="bottom"/>
            <w:hideMark/>
          </w:tcPr>
          <w:p w14:paraId="049A109E" w14:textId="2CFC1C59" w:rsidR="007775E0" w:rsidRPr="00853C9F" w:rsidRDefault="007775E0">
            <w:pPr>
              <w:pStyle w:val="Tablehead"/>
              <w:rPr>
                <w:spacing w:val="-3"/>
                <w:sz w:val="16"/>
                <w:szCs w:val="16"/>
                <w:u w:val="single"/>
                <w:lang w:val="en-US"/>
              </w:rPr>
            </w:pPr>
            <w:r w:rsidRPr="00853C9F">
              <w:rPr>
                <w:spacing w:val="-3"/>
                <w:sz w:val="16"/>
                <w:szCs w:val="16"/>
                <w:u w:val="single"/>
                <w:lang w:val="en-US"/>
              </w:rPr>
              <w:t>Status</w:t>
            </w:r>
            <w:r w:rsidR="002C43D3" w:rsidRPr="00FE46A5">
              <w:rPr>
                <w:spacing w:val="-3"/>
                <w:sz w:val="16"/>
                <w:szCs w:val="16"/>
                <w:u w:val="single"/>
                <w:vertAlign w:val="superscript"/>
                <w:lang w:val="en-US"/>
              </w:rPr>
              <w:t>1</w:t>
            </w:r>
          </w:p>
        </w:tc>
        <w:tc>
          <w:tcPr>
            <w:tcW w:w="0" w:type="auto"/>
            <w:shd w:val="clear" w:color="auto" w:fill="auto"/>
            <w:noWrap/>
            <w:vAlign w:val="bottom"/>
            <w:hideMark/>
          </w:tcPr>
          <w:p w14:paraId="257C1EE5" w14:textId="5A6FB22C" w:rsidR="007775E0" w:rsidRPr="00853C9F" w:rsidRDefault="007775E0" w:rsidP="007775E0">
            <w:pPr>
              <w:pStyle w:val="Tablehead"/>
              <w:rPr>
                <w:spacing w:val="-3"/>
                <w:sz w:val="16"/>
                <w:szCs w:val="16"/>
                <w:u w:val="single"/>
                <w:lang w:val="en-US"/>
              </w:rPr>
            </w:pPr>
            <w:r w:rsidRPr="00853C9F">
              <w:rPr>
                <w:spacing w:val="-3"/>
                <w:sz w:val="16"/>
                <w:szCs w:val="16"/>
                <w:u w:val="single"/>
                <w:lang w:val="en-US"/>
              </w:rPr>
              <w:t>RR</w:t>
            </w:r>
            <w:r w:rsidR="002C43D3" w:rsidRPr="00FE46A5">
              <w:rPr>
                <w:spacing w:val="-3"/>
                <w:sz w:val="16"/>
                <w:szCs w:val="16"/>
                <w:u w:val="single"/>
                <w:vertAlign w:val="superscript"/>
                <w:lang w:val="en-US"/>
              </w:rPr>
              <w:t>2</w:t>
            </w:r>
          </w:p>
        </w:tc>
      </w:tr>
      <w:tr w:rsidR="002C43D3" w:rsidRPr="00853C9F" w14:paraId="18FFC8F7" w14:textId="77777777" w:rsidTr="007775E0">
        <w:trPr>
          <w:trHeight w:val="300"/>
          <w:jc w:val="center"/>
        </w:trPr>
        <w:tc>
          <w:tcPr>
            <w:tcW w:w="0" w:type="auto"/>
            <w:shd w:val="clear" w:color="auto" w:fill="auto"/>
            <w:noWrap/>
            <w:vAlign w:val="bottom"/>
            <w:hideMark/>
          </w:tcPr>
          <w:p w14:paraId="698906F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AFS</w:t>
            </w:r>
          </w:p>
        </w:tc>
        <w:tc>
          <w:tcPr>
            <w:tcW w:w="0" w:type="auto"/>
            <w:shd w:val="clear" w:color="auto" w:fill="auto"/>
            <w:noWrap/>
            <w:vAlign w:val="bottom"/>
            <w:hideMark/>
          </w:tcPr>
          <w:p w14:paraId="48DDFF5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07986D05" w14:textId="7F53A9FC" w:rsidR="007775E0" w:rsidRPr="00853C9F" w:rsidRDefault="002C43D3" w:rsidP="007775E0">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7D9AFAD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3D95A90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DNK</w:t>
            </w:r>
          </w:p>
        </w:tc>
        <w:tc>
          <w:tcPr>
            <w:tcW w:w="0" w:type="auto"/>
            <w:shd w:val="clear" w:color="auto" w:fill="auto"/>
            <w:noWrap/>
            <w:vAlign w:val="bottom"/>
            <w:hideMark/>
          </w:tcPr>
          <w:p w14:paraId="3183325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12DF1B2" w14:textId="6DD2521D"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2A9DE9D8"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720D57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LBR</w:t>
            </w:r>
          </w:p>
        </w:tc>
        <w:tc>
          <w:tcPr>
            <w:tcW w:w="0" w:type="auto"/>
            <w:shd w:val="clear" w:color="000000" w:fill="FFFF00"/>
            <w:noWrap/>
            <w:vAlign w:val="bottom"/>
            <w:hideMark/>
          </w:tcPr>
          <w:p w14:paraId="11A91EF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2015346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88760DA"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C9B6F7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620F69F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046104BF" w14:textId="3C27A3B9" w:rsidR="007775E0" w:rsidRPr="00853C9F" w:rsidRDefault="002C43D3" w:rsidP="007775E0">
            <w:pPr>
              <w:pStyle w:val="Tabletext"/>
              <w:jc w:val="center"/>
              <w:rPr>
                <w:spacing w:val="-2"/>
                <w:sz w:val="16"/>
                <w:szCs w:val="16"/>
                <w:lang w:val="en-US"/>
              </w:rPr>
            </w:pPr>
            <w:r>
              <w:rPr>
                <w:spacing w:val="-2"/>
                <w:sz w:val="16"/>
                <w:szCs w:val="16"/>
                <w:lang w:val="en-US"/>
              </w:rPr>
              <w:t>S</w:t>
            </w:r>
          </w:p>
        </w:tc>
      </w:tr>
      <w:tr w:rsidR="002C43D3" w:rsidRPr="00853C9F" w14:paraId="54C318B0" w14:textId="77777777" w:rsidTr="007775E0">
        <w:trPr>
          <w:trHeight w:val="300"/>
          <w:jc w:val="center"/>
        </w:trPr>
        <w:tc>
          <w:tcPr>
            <w:tcW w:w="0" w:type="auto"/>
            <w:shd w:val="clear" w:color="auto" w:fill="auto"/>
            <w:noWrap/>
            <w:vAlign w:val="bottom"/>
            <w:hideMark/>
          </w:tcPr>
          <w:p w14:paraId="27CD5A5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ALB</w:t>
            </w:r>
          </w:p>
        </w:tc>
        <w:tc>
          <w:tcPr>
            <w:tcW w:w="0" w:type="auto"/>
            <w:shd w:val="clear" w:color="auto" w:fill="auto"/>
            <w:noWrap/>
            <w:vAlign w:val="bottom"/>
            <w:hideMark/>
          </w:tcPr>
          <w:p w14:paraId="0C0F6E5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7088B98" w14:textId="0CD315BD"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2DE02275"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A96ACF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E</w:t>
            </w:r>
          </w:p>
        </w:tc>
        <w:tc>
          <w:tcPr>
            <w:tcW w:w="0" w:type="auto"/>
            <w:shd w:val="clear" w:color="auto" w:fill="auto"/>
            <w:noWrap/>
            <w:vAlign w:val="bottom"/>
            <w:hideMark/>
          </w:tcPr>
          <w:p w14:paraId="5177082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E809A61" w14:textId="7047E2B9"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06AF6FC1"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35F03E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LBY</w:t>
            </w:r>
          </w:p>
        </w:tc>
        <w:tc>
          <w:tcPr>
            <w:tcW w:w="0" w:type="auto"/>
            <w:shd w:val="clear" w:color="000000" w:fill="FFFF00"/>
            <w:noWrap/>
            <w:vAlign w:val="bottom"/>
            <w:hideMark/>
          </w:tcPr>
          <w:p w14:paraId="3F255EA7"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7AD0D2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4DF4F6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5F5733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SDN</w:t>
            </w:r>
          </w:p>
        </w:tc>
        <w:tc>
          <w:tcPr>
            <w:tcW w:w="0" w:type="auto"/>
            <w:shd w:val="clear" w:color="000000" w:fill="FFFF00"/>
            <w:noWrap/>
            <w:vAlign w:val="bottom"/>
            <w:hideMark/>
          </w:tcPr>
          <w:p w14:paraId="1451CE3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215FCCA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33BB607" w14:textId="77777777" w:rsidR="007775E0" w:rsidRPr="00853C9F" w:rsidRDefault="007775E0" w:rsidP="007775E0">
            <w:pPr>
              <w:pStyle w:val="Tabletext"/>
              <w:jc w:val="center"/>
              <w:rPr>
                <w:spacing w:val="-2"/>
                <w:sz w:val="16"/>
                <w:szCs w:val="16"/>
                <w:lang w:val="en-US"/>
              </w:rPr>
            </w:pPr>
          </w:p>
        </w:tc>
      </w:tr>
      <w:tr w:rsidR="002C43D3" w:rsidRPr="00853C9F" w14:paraId="0AA80F9F" w14:textId="77777777" w:rsidTr="007775E0">
        <w:trPr>
          <w:trHeight w:val="300"/>
          <w:jc w:val="center"/>
        </w:trPr>
        <w:tc>
          <w:tcPr>
            <w:tcW w:w="0" w:type="auto"/>
            <w:shd w:val="clear" w:color="auto" w:fill="auto"/>
            <w:noWrap/>
            <w:vAlign w:val="bottom"/>
            <w:hideMark/>
          </w:tcPr>
          <w:p w14:paraId="5B96F26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ALG</w:t>
            </w:r>
          </w:p>
        </w:tc>
        <w:tc>
          <w:tcPr>
            <w:tcW w:w="0" w:type="auto"/>
            <w:shd w:val="clear" w:color="auto" w:fill="auto"/>
            <w:noWrap/>
            <w:vAlign w:val="bottom"/>
            <w:hideMark/>
          </w:tcPr>
          <w:p w14:paraId="48DD2FE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68849C3E" w14:textId="1E62E52A"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426AEE1C"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B3D7E1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EGY</w:t>
            </w:r>
          </w:p>
        </w:tc>
        <w:tc>
          <w:tcPr>
            <w:tcW w:w="0" w:type="auto"/>
            <w:shd w:val="clear" w:color="auto" w:fill="auto"/>
            <w:noWrap/>
            <w:vAlign w:val="bottom"/>
            <w:hideMark/>
          </w:tcPr>
          <w:p w14:paraId="211C057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4B0B55EA"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CEBD31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E0EE8F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LIE</w:t>
            </w:r>
          </w:p>
        </w:tc>
        <w:tc>
          <w:tcPr>
            <w:tcW w:w="0" w:type="auto"/>
            <w:shd w:val="clear" w:color="auto" w:fill="auto"/>
            <w:noWrap/>
            <w:vAlign w:val="bottom"/>
            <w:hideMark/>
          </w:tcPr>
          <w:p w14:paraId="2D0BEEA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DCF2282" w14:textId="5A77B5C1"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4E6BA4A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29862D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SEN</w:t>
            </w:r>
          </w:p>
        </w:tc>
        <w:tc>
          <w:tcPr>
            <w:tcW w:w="0" w:type="auto"/>
            <w:shd w:val="clear" w:color="auto" w:fill="auto"/>
            <w:noWrap/>
            <w:vAlign w:val="bottom"/>
            <w:hideMark/>
          </w:tcPr>
          <w:p w14:paraId="7B140F6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4BA062BF" w14:textId="4ED10966" w:rsidR="007775E0" w:rsidRPr="00853C9F" w:rsidRDefault="002C43D3">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62F9225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r>
      <w:tr w:rsidR="002C43D3" w:rsidRPr="00853C9F" w14:paraId="70D6D882" w14:textId="77777777" w:rsidTr="007775E0">
        <w:trPr>
          <w:trHeight w:val="300"/>
          <w:jc w:val="center"/>
        </w:trPr>
        <w:tc>
          <w:tcPr>
            <w:tcW w:w="0" w:type="auto"/>
            <w:shd w:val="clear" w:color="auto" w:fill="auto"/>
            <w:noWrap/>
            <w:vAlign w:val="bottom"/>
            <w:hideMark/>
          </w:tcPr>
          <w:p w14:paraId="6C6C055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AND</w:t>
            </w:r>
          </w:p>
        </w:tc>
        <w:tc>
          <w:tcPr>
            <w:tcW w:w="0" w:type="auto"/>
            <w:shd w:val="clear" w:color="auto" w:fill="auto"/>
            <w:noWrap/>
            <w:vAlign w:val="bottom"/>
            <w:hideMark/>
          </w:tcPr>
          <w:p w14:paraId="071534B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39347BC" w14:textId="481B3D0A"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5433E48B"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5D37BE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ERI</w:t>
            </w:r>
          </w:p>
        </w:tc>
        <w:tc>
          <w:tcPr>
            <w:tcW w:w="0" w:type="auto"/>
            <w:shd w:val="clear" w:color="000000" w:fill="FFFF00"/>
            <w:noWrap/>
            <w:vAlign w:val="bottom"/>
            <w:hideMark/>
          </w:tcPr>
          <w:p w14:paraId="7D44BA08"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0A1CDC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A6105EA"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72CD70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LSO</w:t>
            </w:r>
          </w:p>
        </w:tc>
        <w:tc>
          <w:tcPr>
            <w:tcW w:w="0" w:type="auto"/>
            <w:shd w:val="clear" w:color="auto" w:fill="auto"/>
            <w:noWrap/>
            <w:vAlign w:val="bottom"/>
            <w:hideMark/>
          </w:tcPr>
          <w:p w14:paraId="7E42B68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60626590" w14:textId="66C7616B" w:rsidR="007775E0" w:rsidRPr="00853C9F" w:rsidRDefault="002C43D3" w:rsidP="007775E0">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39DF287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000000" w:fill="FFFF00"/>
            <w:noWrap/>
            <w:vAlign w:val="bottom"/>
            <w:hideMark/>
          </w:tcPr>
          <w:p w14:paraId="411F5CC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SEY</w:t>
            </w:r>
          </w:p>
        </w:tc>
        <w:tc>
          <w:tcPr>
            <w:tcW w:w="0" w:type="auto"/>
            <w:shd w:val="clear" w:color="000000" w:fill="FFFF00"/>
            <w:noWrap/>
            <w:vAlign w:val="bottom"/>
            <w:hideMark/>
          </w:tcPr>
          <w:p w14:paraId="6B3817E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1FB288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B4DC04A" w14:textId="77777777" w:rsidR="007775E0" w:rsidRPr="00853C9F" w:rsidRDefault="007775E0" w:rsidP="007775E0">
            <w:pPr>
              <w:pStyle w:val="Tabletext"/>
              <w:jc w:val="center"/>
              <w:rPr>
                <w:spacing w:val="-2"/>
                <w:sz w:val="16"/>
                <w:szCs w:val="16"/>
                <w:lang w:val="en-US"/>
              </w:rPr>
            </w:pPr>
          </w:p>
        </w:tc>
      </w:tr>
      <w:tr w:rsidR="002C43D3" w:rsidRPr="00853C9F" w14:paraId="391B0686" w14:textId="77777777" w:rsidTr="007775E0">
        <w:trPr>
          <w:trHeight w:val="300"/>
          <w:jc w:val="center"/>
        </w:trPr>
        <w:tc>
          <w:tcPr>
            <w:tcW w:w="0" w:type="auto"/>
            <w:shd w:val="clear" w:color="000000" w:fill="FFFF00"/>
            <w:noWrap/>
            <w:vAlign w:val="bottom"/>
            <w:hideMark/>
          </w:tcPr>
          <w:p w14:paraId="7D3CD65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lastRenderedPageBreak/>
              <w:t>ANG</w:t>
            </w:r>
          </w:p>
        </w:tc>
        <w:tc>
          <w:tcPr>
            <w:tcW w:w="0" w:type="auto"/>
            <w:shd w:val="clear" w:color="000000" w:fill="FFFF00"/>
            <w:noWrap/>
            <w:vAlign w:val="bottom"/>
            <w:hideMark/>
          </w:tcPr>
          <w:p w14:paraId="21F846E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CC4469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0D5A7D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F949C6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EST</w:t>
            </w:r>
          </w:p>
        </w:tc>
        <w:tc>
          <w:tcPr>
            <w:tcW w:w="0" w:type="auto"/>
            <w:shd w:val="clear" w:color="auto" w:fill="auto"/>
            <w:noWrap/>
            <w:vAlign w:val="bottom"/>
            <w:hideMark/>
          </w:tcPr>
          <w:p w14:paraId="4341D9B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04A0C55" w14:textId="7A3AC91B"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43C80453"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B5AD01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LTU</w:t>
            </w:r>
          </w:p>
        </w:tc>
        <w:tc>
          <w:tcPr>
            <w:tcW w:w="0" w:type="auto"/>
            <w:shd w:val="clear" w:color="auto" w:fill="auto"/>
            <w:noWrap/>
            <w:vAlign w:val="bottom"/>
            <w:hideMark/>
          </w:tcPr>
          <w:p w14:paraId="15EF2BA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136A58D9" w14:textId="078F1853"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71DF32A1"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AA6345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SMR</w:t>
            </w:r>
          </w:p>
        </w:tc>
        <w:tc>
          <w:tcPr>
            <w:tcW w:w="0" w:type="auto"/>
            <w:shd w:val="clear" w:color="auto" w:fill="auto"/>
            <w:noWrap/>
            <w:vAlign w:val="bottom"/>
            <w:hideMark/>
          </w:tcPr>
          <w:p w14:paraId="7533A09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58A47B4C" w14:textId="1F29D0D4" w:rsidR="007775E0" w:rsidRPr="00853C9F" w:rsidRDefault="002C43D3" w:rsidP="007775E0">
            <w:pPr>
              <w:pStyle w:val="Tabletext"/>
              <w:jc w:val="center"/>
              <w:rPr>
                <w:spacing w:val="-2"/>
                <w:sz w:val="16"/>
                <w:szCs w:val="16"/>
                <w:lang w:val="en-US"/>
              </w:rPr>
            </w:pPr>
            <w:r>
              <w:rPr>
                <w:spacing w:val="-2"/>
                <w:sz w:val="16"/>
                <w:szCs w:val="16"/>
                <w:lang w:val="en-US"/>
              </w:rPr>
              <w:t>S</w:t>
            </w:r>
          </w:p>
        </w:tc>
      </w:tr>
      <w:tr w:rsidR="002C43D3" w:rsidRPr="00853C9F" w14:paraId="096E4FB9" w14:textId="77777777" w:rsidTr="007775E0">
        <w:trPr>
          <w:trHeight w:val="300"/>
          <w:jc w:val="center"/>
        </w:trPr>
        <w:tc>
          <w:tcPr>
            <w:tcW w:w="0" w:type="auto"/>
            <w:shd w:val="clear" w:color="auto" w:fill="auto"/>
            <w:noWrap/>
            <w:vAlign w:val="bottom"/>
            <w:hideMark/>
          </w:tcPr>
          <w:p w14:paraId="5CD61C7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ARM</w:t>
            </w:r>
          </w:p>
        </w:tc>
        <w:tc>
          <w:tcPr>
            <w:tcW w:w="0" w:type="auto"/>
            <w:shd w:val="clear" w:color="auto" w:fill="auto"/>
            <w:noWrap/>
            <w:vAlign w:val="bottom"/>
            <w:hideMark/>
          </w:tcPr>
          <w:p w14:paraId="1D0E0C1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3EF3B86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6F661F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51A42E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ETH</w:t>
            </w:r>
          </w:p>
        </w:tc>
        <w:tc>
          <w:tcPr>
            <w:tcW w:w="0" w:type="auto"/>
            <w:shd w:val="clear" w:color="000000" w:fill="FFFF00"/>
            <w:noWrap/>
            <w:vAlign w:val="bottom"/>
            <w:hideMark/>
          </w:tcPr>
          <w:p w14:paraId="6B85C53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5EC211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EBDE26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5A3064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LUX</w:t>
            </w:r>
          </w:p>
        </w:tc>
        <w:tc>
          <w:tcPr>
            <w:tcW w:w="0" w:type="auto"/>
            <w:shd w:val="clear" w:color="auto" w:fill="auto"/>
            <w:noWrap/>
            <w:vAlign w:val="bottom"/>
            <w:hideMark/>
          </w:tcPr>
          <w:p w14:paraId="3A346D2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84BE363" w14:textId="08CFB736"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625EF041"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F33DCA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SOM</w:t>
            </w:r>
          </w:p>
        </w:tc>
        <w:tc>
          <w:tcPr>
            <w:tcW w:w="0" w:type="auto"/>
            <w:shd w:val="clear" w:color="auto" w:fill="auto"/>
            <w:noWrap/>
            <w:vAlign w:val="bottom"/>
            <w:hideMark/>
          </w:tcPr>
          <w:p w14:paraId="33A4FA3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5B1FDA15"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FFE4A1E" w14:textId="77777777" w:rsidR="007775E0" w:rsidRPr="00853C9F" w:rsidRDefault="007775E0" w:rsidP="007775E0">
            <w:pPr>
              <w:pStyle w:val="Tabletext"/>
              <w:jc w:val="center"/>
              <w:rPr>
                <w:spacing w:val="-2"/>
                <w:sz w:val="16"/>
                <w:szCs w:val="16"/>
                <w:lang w:val="en-US"/>
              </w:rPr>
            </w:pPr>
          </w:p>
        </w:tc>
      </w:tr>
      <w:tr w:rsidR="002C43D3" w:rsidRPr="00853C9F" w14:paraId="3CB77F97" w14:textId="77777777" w:rsidTr="007775E0">
        <w:trPr>
          <w:trHeight w:val="300"/>
          <w:jc w:val="center"/>
        </w:trPr>
        <w:tc>
          <w:tcPr>
            <w:tcW w:w="0" w:type="auto"/>
            <w:shd w:val="clear" w:color="auto" w:fill="auto"/>
            <w:noWrap/>
            <w:vAlign w:val="bottom"/>
            <w:hideMark/>
          </w:tcPr>
          <w:p w14:paraId="67F5123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ARS</w:t>
            </w:r>
          </w:p>
        </w:tc>
        <w:tc>
          <w:tcPr>
            <w:tcW w:w="0" w:type="auto"/>
            <w:shd w:val="clear" w:color="auto" w:fill="auto"/>
            <w:noWrap/>
            <w:vAlign w:val="bottom"/>
            <w:hideMark/>
          </w:tcPr>
          <w:p w14:paraId="3FC7E58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2BD2BF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E4C2D85"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B7B272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F</w:t>
            </w:r>
          </w:p>
        </w:tc>
        <w:tc>
          <w:tcPr>
            <w:tcW w:w="0" w:type="auto"/>
            <w:shd w:val="clear" w:color="auto" w:fill="auto"/>
            <w:noWrap/>
            <w:vAlign w:val="bottom"/>
            <w:hideMark/>
          </w:tcPr>
          <w:p w14:paraId="2E99C2D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50.2-52</w:t>
            </w:r>
          </w:p>
        </w:tc>
        <w:tc>
          <w:tcPr>
            <w:tcW w:w="0" w:type="auto"/>
            <w:shd w:val="clear" w:color="auto" w:fill="auto"/>
            <w:noWrap/>
            <w:vAlign w:val="bottom"/>
            <w:hideMark/>
          </w:tcPr>
          <w:p w14:paraId="5BD53488" w14:textId="069D5890"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1D4D319B"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574C5E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LVA</w:t>
            </w:r>
          </w:p>
        </w:tc>
        <w:tc>
          <w:tcPr>
            <w:tcW w:w="0" w:type="auto"/>
            <w:shd w:val="clear" w:color="auto" w:fill="auto"/>
            <w:noWrap/>
            <w:vAlign w:val="bottom"/>
            <w:hideMark/>
          </w:tcPr>
          <w:p w14:paraId="5BD7EF8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60DD183" w14:textId="618086F7"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5B2B478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6642E6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SRB</w:t>
            </w:r>
          </w:p>
        </w:tc>
        <w:tc>
          <w:tcPr>
            <w:tcW w:w="0" w:type="auto"/>
            <w:shd w:val="clear" w:color="auto" w:fill="auto"/>
            <w:noWrap/>
            <w:vAlign w:val="bottom"/>
            <w:hideMark/>
          </w:tcPr>
          <w:p w14:paraId="6C552B3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50-51.9</w:t>
            </w:r>
          </w:p>
        </w:tc>
        <w:tc>
          <w:tcPr>
            <w:tcW w:w="0" w:type="auto"/>
            <w:gridSpan w:val="2"/>
            <w:shd w:val="clear" w:color="auto" w:fill="auto"/>
            <w:noWrap/>
            <w:vAlign w:val="bottom"/>
            <w:hideMark/>
          </w:tcPr>
          <w:p w14:paraId="1A68ACBD" w14:textId="7C19E9CD" w:rsidR="007775E0" w:rsidRPr="00853C9F" w:rsidRDefault="002C43D3" w:rsidP="007775E0">
            <w:pPr>
              <w:pStyle w:val="Tabletext"/>
              <w:jc w:val="center"/>
              <w:rPr>
                <w:spacing w:val="-2"/>
                <w:sz w:val="16"/>
                <w:szCs w:val="16"/>
                <w:lang w:val="en-US"/>
              </w:rPr>
            </w:pPr>
            <w:r>
              <w:rPr>
                <w:spacing w:val="-2"/>
                <w:sz w:val="16"/>
                <w:szCs w:val="16"/>
                <w:lang w:val="en-US"/>
              </w:rPr>
              <w:t>S</w:t>
            </w:r>
          </w:p>
        </w:tc>
      </w:tr>
      <w:tr w:rsidR="002C43D3" w:rsidRPr="00853C9F" w14:paraId="7E28CB7E" w14:textId="77777777" w:rsidTr="007775E0">
        <w:trPr>
          <w:trHeight w:val="300"/>
          <w:jc w:val="center"/>
        </w:trPr>
        <w:tc>
          <w:tcPr>
            <w:tcW w:w="0" w:type="auto"/>
            <w:shd w:val="clear" w:color="auto" w:fill="auto"/>
            <w:noWrap/>
            <w:vAlign w:val="bottom"/>
            <w:hideMark/>
          </w:tcPr>
          <w:p w14:paraId="66A68EC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AUT</w:t>
            </w:r>
          </w:p>
        </w:tc>
        <w:tc>
          <w:tcPr>
            <w:tcW w:w="0" w:type="auto"/>
            <w:shd w:val="clear" w:color="auto" w:fill="auto"/>
            <w:noWrap/>
            <w:vAlign w:val="bottom"/>
            <w:hideMark/>
          </w:tcPr>
          <w:p w14:paraId="1EC0811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A247763" w14:textId="0B51F89E"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440507BA"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006409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FIN</w:t>
            </w:r>
          </w:p>
        </w:tc>
        <w:tc>
          <w:tcPr>
            <w:tcW w:w="0" w:type="auto"/>
            <w:shd w:val="clear" w:color="auto" w:fill="auto"/>
            <w:noWrap/>
            <w:vAlign w:val="bottom"/>
            <w:hideMark/>
          </w:tcPr>
          <w:p w14:paraId="5AE8A86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A91AFE5" w14:textId="16879C28"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32159F5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28D7F9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MAU</w:t>
            </w:r>
          </w:p>
        </w:tc>
        <w:tc>
          <w:tcPr>
            <w:tcW w:w="0" w:type="auto"/>
            <w:shd w:val="clear" w:color="auto" w:fill="auto"/>
            <w:noWrap/>
            <w:vAlign w:val="bottom"/>
            <w:hideMark/>
          </w:tcPr>
          <w:p w14:paraId="096511F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056FBEA1"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AF0D4F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425B71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SRL</w:t>
            </w:r>
          </w:p>
        </w:tc>
        <w:tc>
          <w:tcPr>
            <w:tcW w:w="0" w:type="auto"/>
            <w:shd w:val="clear" w:color="000000" w:fill="FFFF00"/>
            <w:noWrap/>
            <w:vAlign w:val="bottom"/>
            <w:hideMark/>
          </w:tcPr>
          <w:p w14:paraId="65ED86E7"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45D49D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9E7D6D0" w14:textId="77777777" w:rsidR="007775E0" w:rsidRPr="00853C9F" w:rsidRDefault="007775E0" w:rsidP="007775E0">
            <w:pPr>
              <w:pStyle w:val="Tabletext"/>
              <w:jc w:val="center"/>
              <w:rPr>
                <w:spacing w:val="-2"/>
                <w:sz w:val="16"/>
                <w:szCs w:val="16"/>
                <w:lang w:val="en-US"/>
              </w:rPr>
            </w:pPr>
          </w:p>
        </w:tc>
      </w:tr>
      <w:tr w:rsidR="00B935AF" w:rsidRPr="00853C9F" w14:paraId="1900B197" w14:textId="77777777" w:rsidTr="007775E0">
        <w:trPr>
          <w:trHeight w:val="300"/>
          <w:jc w:val="center"/>
        </w:trPr>
        <w:tc>
          <w:tcPr>
            <w:tcW w:w="0" w:type="auto"/>
            <w:shd w:val="clear" w:color="auto" w:fill="auto"/>
            <w:noWrap/>
            <w:vAlign w:val="bottom"/>
            <w:hideMark/>
          </w:tcPr>
          <w:p w14:paraId="7E138A1F"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AZE</w:t>
            </w:r>
          </w:p>
        </w:tc>
        <w:tc>
          <w:tcPr>
            <w:tcW w:w="0" w:type="auto"/>
            <w:shd w:val="clear" w:color="auto" w:fill="auto"/>
            <w:noWrap/>
            <w:vAlign w:val="bottom"/>
            <w:hideMark/>
          </w:tcPr>
          <w:p w14:paraId="4EA6B016"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6BBE1A53"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7704D64A" w14:textId="77777777" w:rsidR="00B935AF" w:rsidRPr="00853C9F" w:rsidRDefault="00B935AF" w:rsidP="007775E0">
            <w:pPr>
              <w:pStyle w:val="Tabletext"/>
              <w:jc w:val="center"/>
              <w:rPr>
                <w:spacing w:val="-2"/>
                <w:sz w:val="16"/>
                <w:szCs w:val="16"/>
                <w:lang w:val="en-US"/>
              </w:rPr>
            </w:pPr>
          </w:p>
        </w:tc>
        <w:tc>
          <w:tcPr>
            <w:tcW w:w="0" w:type="auto"/>
            <w:vMerge w:val="restart"/>
            <w:shd w:val="clear" w:color="auto" w:fill="auto"/>
            <w:noWrap/>
            <w:vAlign w:val="bottom"/>
            <w:hideMark/>
          </w:tcPr>
          <w:p w14:paraId="0F9DC3B4"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G</w:t>
            </w:r>
          </w:p>
        </w:tc>
        <w:tc>
          <w:tcPr>
            <w:tcW w:w="0" w:type="auto"/>
            <w:shd w:val="clear" w:color="auto" w:fill="auto"/>
            <w:noWrap/>
            <w:vAlign w:val="bottom"/>
            <w:hideMark/>
          </w:tcPr>
          <w:p w14:paraId="32699CBE"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18AF0263" w14:textId="256CDC40" w:rsidR="00B935AF" w:rsidRPr="00853C9F" w:rsidRDefault="00B935AF" w:rsidP="007775E0">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0CFB4FE2"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20344242"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MCO</w:t>
            </w:r>
          </w:p>
        </w:tc>
        <w:tc>
          <w:tcPr>
            <w:tcW w:w="0" w:type="auto"/>
            <w:shd w:val="clear" w:color="auto" w:fill="auto"/>
            <w:noWrap/>
            <w:vAlign w:val="bottom"/>
            <w:hideMark/>
          </w:tcPr>
          <w:p w14:paraId="0FDE9773"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6964D677" w14:textId="2DF14E32" w:rsidR="00B935AF" w:rsidRPr="00853C9F" w:rsidRDefault="00B935AF"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5C847C34"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619DC316"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SSD</w:t>
            </w:r>
          </w:p>
        </w:tc>
        <w:tc>
          <w:tcPr>
            <w:tcW w:w="0" w:type="auto"/>
            <w:shd w:val="clear" w:color="000000" w:fill="FFFF00"/>
            <w:noWrap/>
            <w:vAlign w:val="bottom"/>
            <w:hideMark/>
          </w:tcPr>
          <w:p w14:paraId="7C5207EB"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7206B5E8"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67D8915" w14:textId="77777777" w:rsidR="00B935AF" w:rsidRPr="00853C9F" w:rsidRDefault="00B935AF" w:rsidP="007775E0">
            <w:pPr>
              <w:pStyle w:val="Tabletext"/>
              <w:jc w:val="center"/>
              <w:rPr>
                <w:spacing w:val="-2"/>
                <w:sz w:val="16"/>
                <w:szCs w:val="16"/>
                <w:lang w:val="en-US"/>
              </w:rPr>
            </w:pPr>
          </w:p>
        </w:tc>
      </w:tr>
      <w:tr w:rsidR="00B935AF" w:rsidRPr="00853C9F" w14:paraId="3C82541E" w14:textId="77777777" w:rsidTr="007775E0">
        <w:trPr>
          <w:trHeight w:val="300"/>
          <w:jc w:val="center"/>
        </w:trPr>
        <w:tc>
          <w:tcPr>
            <w:tcW w:w="0" w:type="auto"/>
            <w:shd w:val="clear" w:color="auto" w:fill="auto"/>
            <w:noWrap/>
            <w:vAlign w:val="bottom"/>
            <w:hideMark/>
          </w:tcPr>
          <w:p w14:paraId="4AA9A1DB"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BEL</w:t>
            </w:r>
          </w:p>
        </w:tc>
        <w:tc>
          <w:tcPr>
            <w:tcW w:w="0" w:type="auto"/>
            <w:shd w:val="clear" w:color="auto" w:fill="auto"/>
            <w:noWrap/>
            <w:vAlign w:val="bottom"/>
            <w:hideMark/>
          </w:tcPr>
          <w:p w14:paraId="68B32AA5"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C77DED9" w14:textId="214566C2" w:rsidR="00B935AF" w:rsidRPr="00853C9F" w:rsidRDefault="00B935AF"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5DACFBAE" w14:textId="77777777" w:rsidR="00B935AF" w:rsidRPr="00853C9F" w:rsidRDefault="00B935AF" w:rsidP="007775E0">
            <w:pPr>
              <w:pStyle w:val="Tabletext"/>
              <w:jc w:val="center"/>
              <w:rPr>
                <w:spacing w:val="-2"/>
                <w:sz w:val="16"/>
                <w:szCs w:val="16"/>
                <w:lang w:val="en-US"/>
              </w:rPr>
            </w:pPr>
          </w:p>
        </w:tc>
        <w:tc>
          <w:tcPr>
            <w:tcW w:w="0" w:type="auto"/>
            <w:vMerge/>
            <w:shd w:val="clear" w:color="auto" w:fill="auto"/>
            <w:noWrap/>
            <w:vAlign w:val="bottom"/>
            <w:hideMark/>
          </w:tcPr>
          <w:p w14:paraId="50401BAD"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4672910B"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51-52</w:t>
            </w:r>
          </w:p>
        </w:tc>
        <w:tc>
          <w:tcPr>
            <w:tcW w:w="0" w:type="auto"/>
            <w:shd w:val="clear" w:color="auto" w:fill="auto"/>
            <w:noWrap/>
            <w:vAlign w:val="bottom"/>
            <w:hideMark/>
          </w:tcPr>
          <w:p w14:paraId="34331AA1" w14:textId="7B7FC05B" w:rsidR="00B935AF" w:rsidRPr="00853C9F" w:rsidRDefault="00B935AF">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27915ED8"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0EF03B78"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MDA</w:t>
            </w:r>
          </w:p>
        </w:tc>
        <w:tc>
          <w:tcPr>
            <w:tcW w:w="0" w:type="auto"/>
            <w:shd w:val="clear" w:color="auto" w:fill="auto"/>
            <w:noWrap/>
            <w:vAlign w:val="bottom"/>
            <w:hideMark/>
          </w:tcPr>
          <w:p w14:paraId="31262A82"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203994BF"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5C0C1CDB"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57BBE39C"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STP</w:t>
            </w:r>
          </w:p>
        </w:tc>
        <w:tc>
          <w:tcPr>
            <w:tcW w:w="0" w:type="auto"/>
            <w:shd w:val="clear" w:color="000000" w:fill="FFFF00"/>
            <w:noWrap/>
            <w:vAlign w:val="bottom"/>
            <w:hideMark/>
          </w:tcPr>
          <w:p w14:paraId="5E17C0A5"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50466623"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7C931A5" w14:textId="77777777" w:rsidR="00B935AF" w:rsidRPr="00853C9F" w:rsidRDefault="00B935AF" w:rsidP="007775E0">
            <w:pPr>
              <w:pStyle w:val="Tabletext"/>
              <w:jc w:val="center"/>
              <w:rPr>
                <w:spacing w:val="-2"/>
                <w:sz w:val="16"/>
                <w:szCs w:val="16"/>
                <w:lang w:val="en-US"/>
              </w:rPr>
            </w:pPr>
          </w:p>
        </w:tc>
      </w:tr>
      <w:tr w:rsidR="002C43D3" w:rsidRPr="00853C9F" w14:paraId="16D75803" w14:textId="77777777" w:rsidTr="007775E0">
        <w:trPr>
          <w:trHeight w:val="300"/>
          <w:jc w:val="center"/>
        </w:trPr>
        <w:tc>
          <w:tcPr>
            <w:tcW w:w="0" w:type="auto"/>
            <w:shd w:val="clear" w:color="auto" w:fill="auto"/>
            <w:noWrap/>
            <w:vAlign w:val="bottom"/>
            <w:hideMark/>
          </w:tcPr>
          <w:p w14:paraId="6EE1E02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BEN</w:t>
            </w:r>
          </w:p>
        </w:tc>
        <w:tc>
          <w:tcPr>
            <w:tcW w:w="0" w:type="auto"/>
            <w:shd w:val="clear" w:color="auto" w:fill="auto"/>
            <w:noWrap/>
            <w:vAlign w:val="bottom"/>
            <w:hideMark/>
          </w:tcPr>
          <w:p w14:paraId="6A624A61"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7CC6D3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auto" w:fill="auto"/>
            <w:noWrap/>
            <w:vAlign w:val="bottom"/>
            <w:hideMark/>
          </w:tcPr>
          <w:p w14:paraId="58879C9E"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59042F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GAB</w:t>
            </w:r>
          </w:p>
        </w:tc>
        <w:tc>
          <w:tcPr>
            <w:tcW w:w="0" w:type="auto"/>
            <w:shd w:val="clear" w:color="000000" w:fill="FFFF00"/>
            <w:noWrap/>
            <w:vAlign w:val="bottom"/>
            <w:hideMark/>
          </w:tcPr>
          <w:p w14:paraId="6A6621AC"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B26ADC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5E6AE5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DBC5A2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MDG</w:t>
            </w:r>
          </w:p>
        </w:tc>
        <w:tc>
          <w:tcPr>
            <w:tcW w:w="0" w:type="auto"/>
            <w:shd w:val="clear" w:color="000000" w:fill="FFFF00"/>
            <w:noWrap/>
            <w:vAlign w:val="bottom"/>
            <w:hideMark/>
          </w:tcPr>
          <w:p w14:paraId="7DDAD291"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ECD0D6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B88AEB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5A485F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SUI</w:t>
            </w:r>
          </w:p>
        </w:tc>
        <w:tc>
          <w:tcPr>
            <w:tcW w:w="0" w:type="auto"/>
            <w:shd w:val="clear" w:color="auto" w:fill="auto"/>
            <w:noWrap/>
            <w:vAlign w:val="bottom"/>
            <w:hideMark/>
          </w:tcPr>
          <w:p w14:paraId="03B33D0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0E3809A9" w14:textId="38E26D68" w:rsidR="007775E0" w:rsidRPr="00853C9F" w:rsidRDefault="002C43D3" w:rsidP="007775E0">
            <w:pPr>
              <w:pStyle w:val="Tabletext"/>
              <w:jc w:val="center"/>
              <w:rPr>
                <w:spacing w:val="-2"/>
                <w:sz w:val="16"/>
                <w:szCs w:val="16"/>
                <w:lang w:val="en-US"/>
              </w:rPr>
            </w:pPr>
            <w:r>
              <w:rPr>
                <w:spacing w:val="-2"/>
                <w:sz w:val="16"/>
                <w:szCs w:val="16"/>
                <w:lang w:val="en-US"/>
              </w:rPr>
              <w:t>S</w:t>
            </w:r>
          </w:p>
        </w:tc>
      </w:tr>
      <w:tr w:rsidR="002C43D3" w:rsidRPr="00853C9F" w14:paraId="3B4ADD19" w14:textId="77777777" w:rsidTr="007775E0">
        <w:trPr>
          <w:trHeight w:val="300"/>
          <w:jc w:val="center"/>
        </w:trPr>
        <w:tc>
          <w:tcPr>
            <w:tcW w:w="0" w:type="auto"/>
            <w:shd w:val="clear" w:color="auto" w:fill="auto"/>
            <w:noWrap/>
            <w:vAlign w:val="bottom"/>
            <w:hideMark/>
          </w:tcPr>
          <w:p w14:paraId="5E5826B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BFA</w:t>
            </w:r>
          </w:p>
        </w:tc>
        <w:tc>
          <w:tcPr>
            <w:tcW w:w="0" w:type="auto"/>
            <w:shd w:val="clear" w:color="auto" w:fill="auto"/>
            <w:noWrap/>
            <w:vAlign w:val="bottom"/>
            <w:hideMark/>
          </w:tcPr>
          <w:p w14:paraId="76D2C44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EBFAFC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auto" w:fill="auto"/>
            <w:noWrap/>
            <w:vAlign w:val="bottom"/>
            <w:hideMark/>
          </w:tcPr>
          <w:p w14:paraId="6AC842A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FB30D0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GEO</w:t>
            </w:r>
          </w:p>
        </w:tc>
        <w:tc>
          <w:tcPr>
            <w:tcW w:w="0" w:type="auto"/>
            <w:shd w:val="clear" w:color="auto" w:fill="auto"/>
            <w:noWrap/>
            <w:vAlign w:val="bottom"/>
            <w:hideMark/>
          </w:tcPr>
          <w:p w14:paraId="33080DF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570D0563"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9949171"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39C53C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MKD</w:t>
            </w:r>
          </w:p>
        </w:tc>
        <w:tc>
          <w:tcPr>
            <w:tcW w:w="0" w:type="auto"/>
            <w:shd w:val="clear" w:color="auto" w:fill="auto"/>
            <w:noWrap/>
            <w:vAlign w:val="bottom"/>
            <w:hideMark/>
          </w:tcPr>
          <w:p w14:paraId="5F47985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8AC3CA3" w14:textId="2CB28A4F" w:rsidR="007775E0" w:rsidRPr="00853C9F" w:rsidRDefault="002C43D3"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629F1CCB"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D2080F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SVK</w:t>
            </w:r>
          </w:p>
        </w:tc>
        <w:tc>
          <w:tcPr>
            <w:tcW w:w="0" w:type="auto"/>
            <w:shd w:val="clear" w:color="auto" w:fill="auto"/>
            <w:noWrap/>
            <w:vAlign w:val="bottom"/>
            <w:hideMark/>
          </w:tcPr>
          <w:p w14:paraId="32FF9EA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1376453C" w14:textId="379C1E9B" w:rsidR="007775E0" w:rsidRPr="00853C9F" w:rsidRDefault="002C43D3" w:rsidP="007775E0">
            <w:pPr>
              <w:pStyle w:val="Tabletext"/>
              <w:jc w:val="center"/>
              <w:rPr>
                <w:spacing w:val="-2"/>
                <w:sz w:val="16"/>
                <w:szCs w:val="16"/>
                <w:lang w:val="en-US"/>
              </w:rPr>
            </w:pPr>
            <w:r>
              <w:rPr>
                <w:spacing w:val="-2"/>
                <w:sz w:val="16"/>
                <w:szCs w:val="16"/>
                <w:lang w:val="en-US"/>
              </w:rPr>
              <w:t>S</w:t>
            </w:r>
          </w:p>
        </w:tc>
      </w:tr>
      <w:tr w:rsidR="00B935AF" w:rsidRPr="00853C9F" w14:paraId="73D763FC" w14:textId="77777777" w:rsidTr="007775E0">
        <w:trPr>
          <w:trHeight w:val="300"/>
          <w:jc w:val="center"/>
        </w:trPr>
        <w:tc>
          <w:tcPr>
            <w:tcW w:w="0" w:type="auto"/>
            <w:vMerge w:val="restart"/>
            <w:shd w:val="clear" w:color="auto" w:fill="auto"/>
            <w:noWrap/>
            <w:vAlign w:val="bottom"/>
            <w:hideMark/>
          </w:tcPr>
          <w:p w14:paraId="4210DACE"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BHR</w:t>
            </w:r>
          </w:p>
        </w:tc>
        <w:tc>
          <w:tcPr>
            <w:tcW w:w="0" w:type="auto"/>
            <w:shd w:val="clear" w:color="auto" w:fill="auto"/>
            <w:noWrap/>
            <w:vAlign w:val="bottom"/>
            <w:hideMark/>
          </w:tcPr>
          <w:p w14:paraId="1BA6D8B2"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50-50.5</w:t>
            </w:r>
          </w:p>
        </w:tc>
        <w:tc>
          <w:tcPr>
            <w:tcW w:w="0" w:type="auto"/>
            <w:shd w:val="clear" w:color="auto" w:fill="auto"/>
            <w:noWrap/>
            <w:vAlign w:val="bottom"/>
            <w:hideMark/>
          </w:tcPr>
          <w:p w14:paraId="6AD3DF8E" w14:textId="50A5A67D" w:rsidR="00B935AF" w:rsidRPr="00853C9F" w:rsidRDefault="00B935AF" w:rsidP="007775E0">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5D3441F2"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38D2C864"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GHA</w:t>
            </w:r>
          </w:p>
        </w:tc>
        <w:tc>
          <w:tcPr>
            <w:tcW w:w="0" w:type="auto"/>
            <w:shd w:val="clear" w:color="000000" w:fill="FFFF00"/>
            <w:noWrap/>
            <w:vAlign w:val="bottom"/>
            <w:hideMark/>
          </w:tcPr>
          <w:p w14:paraId="095E7840"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0837F383"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585AE45"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547B8A6C"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MLI</w:t>
            </w:r>
          </w:p>
        </w:tc>
        <w:tc>
          <w:tcPr>
            <w:tcW w:w="0" w:type="auto"/>
            <w:shd w:val="clear" w:color="000000" w:fill="FFFF00"/>
            <w:noWrap/>
            <w:vAlign w:val="bottom"/>
            <w:hideMark/>
          </w:tcPr>
          <w:p w14:paraId="227A26A8"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4329B134"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17FFE3E"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16496F03"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SVN</w:t>
            </w:r>
          </w:p>
        </w:tc>
        <w:tc>
          <w:tcPr>
            <w:tcW w:w="0" w:type="auto"/>
            <w:shd w:val="clear" w:color="auto" w:fill="auto"/>
            <w:noWrap/>
            <w:vAlign w:val="bottom"/>
            <w:hideMark/>
          </w:tcPr>
          <w:p w14:paraId="1A347B71"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50-52</w:t>
            </w:r>
          </w:p>
        </w:tc>
        <w:tc>
          <w:tcPr>
            <w:tcW w:w="0" w:type="auto"/>
            <w:gridSpan w:val="2"/>
            <w:shd w:val="clear" w:color="auto" w:fill="auto"/>
            <w:noWrap/>
            <w:vAlign w:val="bottom"/>
            <w:hideMark/>
          </w:tcPr>
          <w:p w14:paraId="6A705E1D" w14:textId="340E83D0" w:rsidR="00B935AF" w:rsidRPr="00853C9F" w:rsidRDefault="00B935AF" w:rsidP="007775E0">
            <w:pPr>
              <w:pStyle w:val="Tabletext"/>
              <w:jc w:val="center"/>
              <w:rPr>
                <w:spacing w:val="-2"/>
                <w:sz w:val="16"/>
                <w:szCs w:val="16"/>
                <w:lang w:val="en-US"/>
              </w:rPr>
            </w:pPr>
            <w:r>
              <w:rPr>
                <w:spacing w:val="-2"/>
                <w:sz w:val="16"/>
                <w:szCs w:val="16"/>
                <w:lang w:val="en-US"/>
              </w:rPr>
              <w:t>S</w:t>
            </w:r>
          </w:p>
        </w:tc>
      </w:tr>
      <w:tr w:rsidR="00B935AF" w:rsidRPr="00853C9F" w14:paraId="137AD366" w14:textId="77777777" w:rsidTr="007775E0">
        <w:trPr>
          <w:trHeight w:val="300"/>
          <w:jc w:val="center"/>
        </w:trPr>
        <w:tc>
          <w:tcPr>
            <w:tcW w:w="0" w:type="auto"/>
            <w:vMerge/>
            <w:shd w:val="clear" w:color="auto" w:fill="auto"/>
            <w:noWrap/>
            <w:vAlign w:val="bottom"/>
            <w:hideMark/>
          </w:tcPr>
          <w:p w14:paraId="2923B881"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5A69ED60"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50.5-52</w:t>
            </w:r>
          </w:p>
        </w:tc>
        <w:tc>
          <w:tcPr>
            <w:tcW w:w="0" w:type="auto"/>
            <w:shd w:val="clear" w:color="auto" w:fill="auto"/>
            <w:noWrap/>
            <w:vAlign w:val="bottom"/>
            <w:hideMark/>
          </w:tcPr>
          <w:p w14:paraId="2CC464C7" w14:textId="5FDFE7D1" w:rsidR="00B935AF" w:rsidRPr="00853C9F" w:rsidRDefault="00B935AF"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055AE529"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0B161896"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GMB</w:t>
            </w:r>
          </w:p>
        </w:tc>
        <w:tc>
          <w:tcPr>
            <w:tcW w:w="0" w:type="auto"/>
            <w:shd w:val="clear" w:color="000000" w:fill="FFFF00"/>
            <w:noWrap/>
            <w:vAlign w:val="bottom"/>
            <w:hideMark/>
          </w:tcPr>
          <w:p w14:paraId="69B9D8EE" w14:textId="77777777" w:rsidR="00B935AF" w:rsidRPr="00853C9F" w:rsidRDefault="00B935AF" w:rsidP="007775E0">
            <w:pPr>
              <w:pStyle w:val="Tabletext"/>
              <w:jc w:val="center"/>
              <w:rPr>
                <w:spacing w:val="-2"/>
                <w:sz w:val="16"/>
                <w:szCs w:val="16"/>
                <w:lang w:val="en-US"/>
              </w:rPr>
            </w:pPr>
          </w:p>
        </w:tc>
        <w:tc>
          <w:tcPr>
            <w:tcW w:w="0" w:type="auto"/>
            <w:shd w:val="clear" w:color="000000" w:fill="FFFF00"/>
            <w:noWrap/>
            <w:vAlign w:val="bottom"/>
            <w:hideMark/>
          </w:tcPr>
          <w:p w14:paraId="19C40345"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FBE3B9F"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1001F62A"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MLT</w:t>
            </w:r>
          </w:p>
        </w:tc>
        <w:tc>
          <w:tcPr>
            <w:tcW w:w="0" w:type="auto"/>
            <w:shd w:val="clear" w:color="auto" w:fill="auto"/>
            <w:noWrap/>
            <w:vAlign w:val="bottom"/>
            <w:hideMark/>
          </w:tcPr>
          <w:p w14:paraId="364D73F6"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46681E0" w14:textId="2D95E303" w:rsidR="00B935AF" w:rsidRPr="00853C9F" w:rsidRDefault="00B935AF" w:rsidP="007775E0">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7B916296" w14:textId="77777777" w:rsidR="00B935AF" w:rsidRPr="00853C9F" w:rsidRDefault="00B935AF" w:rsidP="007775E0">
            <w:pPr>
              <w:pStyle w:val="Tabletext"/>
              <w:jc w:val="center"/>
              <w:rPr>
                <w:spacing w:val="-2"/>
                <w:sz w:val="16"/>
                <w:szCs w:val="16"/>
                <w:lang w:val="en-US"/>
              </w:rPr>
            </w:pPr>
          </w:p>
        </w:tc>
        <w:tc>
          <w:tcPr>
            <w:tcW w:w="0" w:type="auto"/>
            <w:shd w:val="clear" w:color="auto" w:fill="auto"/>
            <w:noWrap/>
            <w:vAlign w:val="bottom"/>
            <w:hideMark/>
          </w:tcPr>
          <w:p w14:paraId="13800A22"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SWZ</w:t>
            </w:r>
          </w:p>
        </w:tc>
        <w:tc>
          <w:tcPr>
            <w:tcW w:w="0" w:type="auto"/>
            <w:shd w:val="clear" w:color="auto" w:fill="auto"/>
            <w:noWrap/>
            <w:vAlign w:val="bottom"/>
            <w:hideMark/>
          </w:tcPr>
          <w:p w14:paraId="321174B9"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62B7A3CA" w14:textId="60F3B473" w:rsidR="00B935AF" w:rsidRPr="00853C9F" w:rsidRDefault="00B935AF">
            <w:pPr>
              <w:pStyle w:val="Tabletext"/>
              <w:jc w:val="center"/>
              <w:rPr>
                <w:spacing w:val="-2"/>
                <w:sz w:val="16"/>
                <w:szCs w:val="16"/>
                <w:lang w:val="en-US"/>
              </w:rPr>
            </w:pPr>
            <w:r>
              <w:rPr>
                <w:spacing w:val="-2"/>
                <w:sz w:val="16"/>
                <w:szCs w:val="16"/>
                <w:lang w:val="en-US"/>
              </w:rPr>
              <w:t>P</w:t>
            </w:r>
          </w:p>
        </w:tc>
        <w:tc>
          <w:tcPr>
            <w:tcW w:w="0" w:type="auto"/>
            <w:shd w:val="clear" w:color="auto" w:fill="auto"/>
            <w:noWrap/>
            <w:vAlign w:val="bottom"/>
            <w:hideMark/>
          </w:tcPr>
          <w:p w14:paraId="3A135A45" w14:textId="77777777" w:rsidR="00B935AF" w:rsidRPr="00853C9F" w:rsidRDefault="00B935AF" w:rsidP="007775E0">
            <w:pPr>
              <w:pStyle w:val="Tabletext"/>
              <w:jc w:val="center"/>
              <w:rPr>
                <w:spacing w:val="-2"/>
                <w:sz w:val="16"/>
                <w:szCs w:val="16"/>
                <w:lang w:val="en-US"/>
              </w:rPr>
            </w:pPr>
            <w:r w:rsidRPr="00853C9F">
              <w:rPr>
                <w:spacing w:val="-2"/>
                <w:sz w:val="16"/>
                <w:szCs w:val="16"/>
                <w:lang w:val="en-US"/>
              </w:rPr>
              <w:t>5.169</w:t>
            </w:r>
          </w:p>
        </w:tc>
      </w:tr>
      <w:tr w:rsidR="002C43D3" w:rsidRPr="00853C9F" w14:paraId="2AA9A070" w14:textId="77777777" w:rsidTr="007775E0">
        <w:trPr>
          <w:trHeight w:val="300"/>
          <w:jc w:val="center"/>
        </w:trPr>
        <w:tc>
          <w:tcPr>
            <w:tcW w:w="0" w:type="auto"/>
            <w:shd w:val="clear" w:color="auto" w:fill="auto"/>
            <w:noWrap/>
            <w:vAlign w:val="bottom"/>
            <w:hideMark/>
          </w:tcPr>
          <w:p w14:paraId="6A0CAAB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BIH</w:t>
            </w:r>
          </w:p>
        </w:tc>
        <w:tc>
          <w:tcPr>
            <w:tcW w:w="0" w:type="auto"/>
            <w:shd w:val="clear" w:color="auto" w:fill="auto"/>
            <w:noWrap/>
            <w:vAlign w:val="bottom"/>
            <w:hideMark/>
          </w:tcPr>
          <w:p w14:paraId="02FE5DA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35C1028" w14:textId="68A01460"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2DE4C0B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BC2633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GNE</w:t>
            </w:r>
          </w:p>
        </w:tc>
        <w:tc>
          <w:tcPr>
            <w:tcW w:w="0" w:type="auto"/>
            <w:shd w:val="clear" w:color="000000" w:fill="FFFF00"/>
            <w:noWrap/>
            <w:vAlign w:val="bottom"/>
            <w:hideMark/>
          </w:tcPr>
          <w:p w14:paraId="2B65A91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614F5A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D21E6A2"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899A73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MNE</w:t>
            </w:r>
          </w:p>
        </w:tc>
        <w:tc>
          <w:tcPr>
            <w:tcW w:w="0" w:type="auto"/>
            <w:shd w:val="clear" w:color="auto" w:fill="auto"/>
            <w:noWrap/>
            <w:vAlign w:val="bottom"/>
            <w:hideMark/>
          </w:tcPr>
          <w:p w14:paraId="79B01AE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40505C7" w14:textId="6A32B3BE"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7FBB98D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AE3E33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SYR</w:t>
            </w:r>
          </w:p>
        </w:tc>
        <w:tc>
          <w:tcPr>
            <w:tcW w:w="0" w:type="auto"/>
            <w:shd w:val="clear" w:color="000000" w:fill="FFFF00"/>
            <w:noWrap/>
            <w:vAlign w:val="bottom"/>
            <w:hideMark/>
          </w:tcPr>
          <w:p w14:paraId="7391D20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C34720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3082614" w14:textId="77777777" w:rsidR="007775E0" w:rsidRPr="00853C9F" w:rsidRDefault="007775E0" w:rsidP="007775E0">
            <w:pPr>
              <w:pStyle w:val="Tabletext"/>
              <w:jc w:val="center"/>
              <w:rPr>
                <w:spacing w:val="-2"/>
                <w:sz w:val="16"/>
                <w:szCs w:val="16"/>
                <w:lang w:val="en-US"/>
              </w:rPr>
            </w:pPr>
          </w:p>
        </w:tc>
      </w:tr>
      <w:tr w:rsidR="002C43D3" w:rsidRPr="00853C9F" w14:paraId="0CF751F5" w14:textId="77777777" w:rsidTr="007775E0">
        <w:trPr>
          <w:trHeight w:val="300"/>
          <w:jc w:val="center"/>
        </w:trPr>
        <w:tc>
          <w:tcPr>
            <w:tcW w:w="0" w:type="auto"/>
            <w:shd w:val="clear" w:color="auto" w:fill="auto"/>
            <w:noWrap/>
            <w:vAlign w:val="bottom"/>
            <w:hideMark/>
          </w:tcPr>
          <w:p w14:paraId="487CB3F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BLR</w:t>
            </w:r>
          </w:p>
        </w:tc>
        <w:tc>
          <w:tcPr>
            <w:tcW w:w="0" w:type="auto"/>
            <w:shd w:val="clear" w:color="auto" w:fill="auto"/>
            <w:noWrap/>
            <w:vAlign w:val="bottom"/>
            <w:hideMark/>
          </w:tcPr>
          <w:p w14:paraId="7311DFC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0FC3B51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206B8F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6F31A3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GNB</w:t>
            </w:r>
          </w:p>
        </w:tc>
        <w:tc>
          <w:tcPr>
            <w:tcW w:w="0" w:type="auto"/>
            <w:shd w:val="clear" w:color="000000" w:fill="FFFF00"/>
            <w:noWrap/>
            <w:vAlign w:val="bottom"/>
            <w:hideMark/>
          </w:tcPr>
          <w:p w14:paraId="2740E607"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FC569A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37397C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492218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MNG</w:t>
            </w:r>
          </w:p>
        </w:tc>
        <w:tc>
          <w:tcPr>
            <w:tcW w:w="0" w:type="auto"/>
            <w:shd w:val="clear" w:color="000000" w:fill="FFFF00"/>
            <w:noWrap/>
            <w:vAlign w:val="bottom"/>
            <w:hideMark/>
          </w:tcPr>
          <w:p w14:paraId="451D246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A09DCD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7699C5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99E871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TAN</w:t>
            </w:r>
          </w:p>
        </w:tc>
        <w:tc>
          <w:tcPr>
            <w:tcW w:w="0" w:type="auto"/>
            <w:shd w:val="clear" w:color="000000" w:fill="FFFF00"/>
            <w:noWrap/>
            <w:vAlign w:val="bottom"/>
            <w:hideMark/>
          </w:tcPr>
          <w:p w14:paraId="01B1A25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6AE092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DA0CD78" w14:textId="77777777" w:rsidR="007775E0" w:rsidRPr="00853C9F" w:rsidRDefault="007775E0" w:rsidP="007775E0">
            <w:pPr>
              <w:pStyle w:val="Tabletext"/>
              <w:jc w:val="center"/>
              <w:rPr>
                <w:spacing w:val="-2"/>
                <w:sz w:val="16"/>
                <w:szCs w:val="16"/>
                <w:lang w:val="en-US"/>
              </w:rPr>
            </w:pPr>
          </w:p>
        </w:tc>
      </w:tr>
      <w:tr w:rsidR="002C43D3" w:rsidRPr="00853C9F" w14:paraId="69E1A630" w14:textId="77777777" w:rsidTr="007775E0">
        <w:trPr>
          <w:trHeight w:val="300"/>
          <w:jc w:val="center"/>
        </w:trPr>
        <w:tc>
          <w:tcPr>
            <w:tcW w:w="0" w:type="auto"/>
            <w:shd w:val="clear" w:color="auto" w:fill="auto"/>
            <w:noWrap/>
            <w:vAlign w:val="bottom"/>
            <w:hideMark/>
          </w:tcPr>
          <w:p w14:paraId="070FE3E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BOT</w:t>
            </w:r>
          </w:p>
        </w:tc>
        <w:tc>
          <w:tcPr>
            <w:tcW w:w="0" w:type="auto"/>
            <w:shd w:val="clear" w:color="auto" w:fill="auto"/>
            <w:noWrap/>
            <w:vAlign w:val="bottom"/>
            <w:hideMark/>
          </w:tcPr>
          <w:p w14:paraId="07A785E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40C8354C" w14:textId="63204912"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5BB18AA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45215E5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GRC</w:t>
            </w:r>
          </w:p>
        </w:tc>
        <w:tc>
          <w:tcPr>
            <w:tcW w:w="0" w:type="auto"/>
            <w:shd w:val="clear" w:color="auto" w:fill="auto"/>
            <w:noWrap/>
            <w:vAlign w:val="bottom"/>
            <w:hideMark/>
          </w:tcPr>
          <w:p w14:paraId="2C2E285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1CE9CE7" w14:textId="6F035373"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6E65F0B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7D1133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MOZ</w:t>
            </w:r>
          </w:p>
        </w:tc>
        <w:tc>
          <w:tcPr>
            <w:tcW w:w="0" w:type="auto"/>
            <w:shd w:val="clear" w:color="000000" w:fill="FFFF00"/>
            <w:noWrap/>
            <w:vAlign w:val="bottom"/>
            <w:hideMark/>
          </w:tcPr>
          <w:p w14:paraId="0ADB41A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8729C9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FEEA03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085BA9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TCD</w:t>
            </w:r>
          </w:p>
        </w:tc>
        <w:tc>
          <w:tcPr>
            <w:tcW w:w="0" w:type="auto"/>
            <w:shd w:val="clear" w:color="000000" w:fill="FFFF00"/>
            <w:noWrap/>
            <w:vAlign w:val="bottom"/>
            <w:hideMark/>
          </w:tcPr>
          <w:p w14:paraId="2553434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64935F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1A82008" w14:textId="77777777" w:rsidR="007775E0" w:rsidRPr="00853C9F" w:rsidRDefault="007775E0" w:rsidP="007775E0">
            <w:pPr>
              <w:pStyle w:val="Tabletext"/>
              <w:jc w:val="center"/>
              <w:rPr>
                <w:spacing w:val="-2"/>
                <w:sz w:val="16"/>
                <w:szCs w:val="16"/>
                <w:lang w:val="en-US"/>
              </w:rPr>
            </w:pPr>
          </w:p>
        </w:tc>
      </w:tr>
      <w:tr w:rsidR="002C43D3" w:rsidRPr="00853C9F" w14:paraId="6762E1C6" w14:textId="77777777" w:rsidTr="007775E0">
        <w:trPr>
          <w:trHeight w:val="300"/>
          <w:jc w:val="center"/>
        </w:trPr>
        <w:tc>
          <w:tcPr>
            <w:tcW w:w="0" w:type="auto"/>
            <w:shd w:val="clear" w:color="auto" w:fill="auto"/>
            <w:noWrap/>
            <w:vAlign w:val="bottom"/>
          </w:tcPr>
          <w:p w14:paraId="10B1685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tcPr>
          <w:p w14:paraId="00FC907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tcPr>
          <w:p w14:paraId="743F34A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tcPr>
          <w:p w14:paraId="37D36ABF"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tcPr>
          <w:p w14:paraId="44B2E772" w14:textId="77777777" w:rsidR="007775E0" w:rsidRPr="00853C9F" w:rsidRDefault="007775E0" w:rsidP="007775E0">
            <w:pPr>
              <w:pStyle w:val="Tabletext"/>
              <w:jc w:val="center"/>
              <w:rPr>
                <w:spacing w:val="-2"/>
                <w:sz w:val="16"/>
                <w:szCs w:val="16"/>
                <w:lang w:val="en-US"/>
              </w:rPr>
            </w:pPr>
            <w:r>
              <w:rPr>
                <w:spacing w:val="-2"/>
                <w:sz w:val="16"/>
                <w:szCs w:val="16"/>
                <w:lang w:val="en-US"/>
              </w:rPr>
              <w:t>GUI</w:t>
            </w:r>
          </w:p>
        </w:tc>
        <w:tc>
          <w:tcPr>
            <w:tcW w:w="0" w:type="auto"/>
            <w:shd w:val="clear" w:color="auto" w:fill="auto"/>
            <w:noWrap/>
            <w:vAlign w:val="bottom"/>
          </w:tcPr>
          <w:p w14:paraId="1E65D3E3"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tcPr>
          <w:p w14:paraId="437E6C47" w14:textId="77777777" w:rsidR="007775E0" w:rsidRPr="00853C9F" w:rsidRDefault="007775E0" w:rsidP="007775E0">
            <w:pPr>
              <w:pStyle w:val="Tabletext"/>
              <w:jc w:val="center"/>
              <w:rPr>
                <w:spacing w:val="-2"/>
                <w:sz w:val="16"/>
                <w:szCs w:val="16"/>
                <w:lang w:val="en-US"/>
              </w:rPr>
            </w:pPr>
            <w:r>
              <w:rPr>
                <w:spacing w:val="-2"/>
                <w:sz w:val="16"/>
                <w:szCs w:val="16"/>
                <w:lang w:val="en-US"/>
              </w:rPr>
              <w:t>No info</w:t>
            </w:r>
          </w:p>
        </w:tc>
        <w:tc>
          <w:tcPr>
            <w:tcW w:w="0" w:type="auto"/>
            <w:shd w:val="clear" w:color="auto" w:fill="auto"/>
            <w:noWrap/>
            <w:vAlign w:val="bottom"/>
          </w:tcPr>
          <w:p w14:paraId="640CBE3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57E9A5A2"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39842266"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1D28882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36FB5B77"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63F0B946"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2500927D"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22009A02"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tcPr>
          <w:p w14:paraId="0C20F4FA" w14:textId="77777777" w:rsidR="007775E0" w:rsidRPr="00853C9F" w:rsidRDefault="007775E0" w:rsidP="007775E0">
            <w:pPr>
              <w:pStyle w:val="Tabletext"/>
              <w:jc w:val="center"/>
              <w:rPr>
                <w:spacing w:val="-2"/>
                <w:sz w:val="16"/>
                <w:szCs w:val="16"/>
                <w:lang w:val="en-US"/>
              </w:rPr>
            </w:pPr>
          </w:p>
        </w:tc>
      </w:tr>
      <w:tr w:rsidR="002C43D3" w:rsidRPr="00853C9F" w14:paraId="16A1FF50" w14:textId="77777777" w:rsidTr="007775E0">
        <w:trPr>
          <w:trHeight w:val="300"/>
          <w:jc w:val="center"/>
        </w:trPr>
        <w:tc>
          <w:tcPr>
            <w:tcW w:w="0" w:type="auto"/>
            <w:shd w:val="clear" w:color="auto" w:fill="auto"/>
            <w:noWrap/>
            <w:vAlign w:val="bottom"/>
            <w:hideMark/>
          </w:tcPr>
          <w:p w14:paraId="577C69A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BUL</w:t>
            </w:r>
          </w:p>
        </w:tc>
        <w:tc>
          <w:tcPr>
            <w:tcW w:w="0" w:type="auto"/>
            <w:shd w:val="clear" w:color="auto" w:fill="auto"/>
            <w:noWrap/>
            <w:vAlign w:val="bottom"/>
            <w:hideMark/>
          </w:tcPr>
          <w:p w14:paraId="5AEE2E1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50.05-50.2</w:t>
            </w:r>
          </w:p>
        </w:tc>
        <w:tc>
          <w:tcPr>
            <w:tcW w:w="0" w:type="auto"/>
            <w:shd w:val="clear" w:color="auto" w:fill="auto"/>
            <w:noWrap/>
            <w:vAlign w:val="bottom"/>
            <w:hideMark/>
          </w:tcPr>
          <w:p w14:paraId="7E6C17CD" w14:textId="79B9AC9F"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13DA0AB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ED8B51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HNG</w:t>
            </w:r>
          </w:p>
        </w:tc>
        <w:tc>
          <w:tcPr>
            <w:tcW w:w="0" w:type="auto"/>
            <w:shd w:val="clear" w:color="auto" w:fill="auto"/>
            <w:noWrap/>
            <w:vAlign w:val="bottom"/>
            <w:hideMark/>
          </w:tcPr>
          <w:p w14:paraId="4AA8F5B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4EE6978A" w14:textId="6DA54E4C"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7F5055DB"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7FAB2C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MRC</w:t>
            </w:r>
          </w:p>
        </w:tc>
        <w:tc>
          <w:tcPr>
            <w:tcW w:w="0" w:type="auto"/>
            <w:shd w:val="clear" w:color="000000" w:fill="FFFF00"/>
            <w:noWrap/>
            <w:vAlign w:val="bottom"/>
            <w:hideMark/>
          </w:tcPr>
          <w:p w14:paraId="77A8B495"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E24BED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2BA7B7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71EC4D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TGO</w:t>
            </w:r>
          </w:p>
        </w:tc>
        <w:tc>
          <w:tcPr>
            <w:tcW w:w="0" w:type="auto"/>
            <w:shd w:val="clear" w:color="000000" w:fill="FFFF00"/>
            <w:noWrap/>
            <w:vAlign w:val="bottom"/>
            <w:hideMark/>
          </w:tcPr>
          <w:p w14:paraId="027252B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6DAE79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6F3EB98" w14:textId="77777777" w:rsidR="007775E0" w:rsidRPr="00853C9F" w:rsidRDefault="007775E0" w:rsidP="007775E0">
            <w:pPr>
              <w:pStyle w:val="Tabletext"/>
              <w:jc w:val="center"/>
              <w:rPr>
                <w:spacing w:val="-2"/>
                <w:sz w:val="16"/>
                <w:szCs w:val="16"/>
                <w:lang w:val="en-US"/>
              </w:rPr>
            </w:pPr>
          </w:p>
        </w:tc>
      </w:tr>
      <w:tr w:rsidR="002C43D3" w:rsidRPr="00853C9F" w14:paraId="5E6E5285" w14:textId="77777777" w:rsidTr="007775E0">
        <w:trPr>
          <w:trHeight w:val="300"/>
          <w:jc w:val="center"/>
        </w:trPr>
        <w:tc>
          <w:tcPr>
            <w:tcW w:w="0" w:type="auto"/>
            <w:shd w:val="clear" w:color="000000" w:fill="FFFF00"/>
            <w:noWrap/>
            <w:vAlign w:val="bottom"/>
            <w:hideMark/>
          </w:tcPr>
          <w:p w14:paraId="5FCC526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BUR</w:t>
            </w:r>
          </w:p>
        </w:tc>
        <w:tc>
          <w:tcPr>
            <w:tcW w:w="0" w:type="auto"/>
            <w:shd w:val="clear" w:color="000000" w:fill="FFFF00"/>
            <w:noWrap/>
            <w:vAlign w:val="bottom"/>
            <w:hideMark/>
          </w:tcPr>
          <w:p w14:paraId="3C8288B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6C4D1D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7B3FA40" w14:textId="77777777" w:rsidR="007775E0" w:rsidRPr="00853C9F" w:rsidRDefault="007775E0" w:rsidP="00FE46A5">
            <w:pPr>
              <w:pStyle w:val="Tabletext"/>
              <w:rPr>
                <w:spacing w:val="-2"/>
                <w:sz w:val="16"/>
                <w:szCs w:val="16"/>
                <w:lang w:val="en-US"/>
              </w:rPr>
            </w:pPr>
          </w:p>
        </w:tc>
        <w:tc>
          <w:tcPr>
            <w:tcW w:w="0" w:type="auto"/>
            <w:shd w:val="clear" w:color="auto" w:fill="auto"/>
            <w:noWrap/>
            <w:vAlign w:val="bottom"/>
            <w:hideMark/>
          </w:tcPr>
          <w:p w14:paraId="4E9469E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HOL</w:t>
            </w:r>
          </w:p>
        </w:tc>
        <w:tc>
          <w:tcPr>
            <w:tcW w:w="0" w:type="auto"/>
            <w:shd w:val="clear" w:color="auto" w:fill="auto"/>
            <w:noWrap/>
            <w:vAlign w:val="bottom"/>
            <w:hideMark/>
          </w:tcPr>
          <w:p w14:paraId="2EAF981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16B582B" w14:textId="3FB65AA9"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2E2235F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17D6ED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MTN</w:t>
            </w:r>
          </w:p>
        </w:tc>
        <w:tc>
          <w:tcPr>
            <w:tcW w:w="0" w:type="auto"/>
            <w:shd w:val="clear" w:color="000000" w:fill="FFFF00"/>
            <w:noWrap/>
            <w:vAlign w:val="bottom"/>
            <w:hideMark/>
          </w:tcPr>
          <w:p w14:paraId="74112E3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226587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41D4D9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3354FD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TJK</w:t>
            </w:r>
          </w:p>
        </w:tc>
        <w:tc>
          <w:tcPr>
            <w:tcW w:w="0" w:type="auto"/>
            <w:shd w:val="clear" w:color="auto" w:fill="auto"/>
            <w:noWrap/>
            <w:vAlign w:val="bottom"/>
            <w:hideMark/>
          </w:tcPr>
          <w:p w14:paraId="7F451D0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1978B18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63E4874" w14:textId="77777777" w:rsidR="007775E0" w:rsidRPr="00853C9F" w:rsidRDefault="007775E0" w:rsidP="007775E0">
            <w:pPr>
              <w:pStyle w:val="Tabletext"/>
              <w:jc w:val="center"/>
              <w:rPr>
                <w:spacing w:val="-2"/>
                <w:sz w:val="16"/>
                <w:szCs w:val="16"/>
                <w:lang w:val="en-US"/>
              </w:rPr>
            </w:pPr>
          </w:p>
        </w:tc>
      </w:tr>
      <w:tr w:rsidR="002C43D3" w:rsidRPr="00853C9F" w14:paraId="0D9ED70B" w14:textId="77777777" w:rsidTr="007775E0">
        <w:trPr>
          <w:trHeight w:val="300"/>
          <w:jc w:val="center"/>
        </w:trPr>
        <w:tc>
          <w:tcPr>
            <w:tcW w:w="0" w:type="auto"/>
            <w:shd w:val="clear" w:color="000000" w:fill="FFFF00"/>
            <w:noWrap/>
            <w:vAlign w:val="bottom"/>
            <w:hideMark/>
          </w:tcPr>
          <w:p w14:paraId="4960A3F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CAF</w:t>
            </w:r>
          </w:p>
        </w:tc>
        <w:tc>
          <w:tcPr>
            <w:tcW w:w="0" w:type="auto"/>
            <w:shd w:val="clear" w:color="000000" w:fill="FFFF00"/>
            <w:noWrap/>
            <w:vAlign w:val="bottom"/>
            <w:hideMark/>
          </w:tcPr>
          <w:p w14:paraId="1B7FFB6D"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7DD484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F29E6A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581F32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HRV</w:t>
            </w:r>
          </w:p>
        </w:tc>
        <w:tc>
          <w:tcPr>
            <w:tcW w:w="0" w:type="auto"/>
            <w:shd w:val="clear" w:color="auto" w:fill="auto"/>
            <w:noWrap/>
            <w:vAlign w:val="bottom"/>
            <w:hideMark/>
          </w:tcPr>
          <w:p w14:paraId="055AD7C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50-51.9</w:t>
            </w:r>
          </w:p>
        </w:tc>
        <w:tc>
          <w:tcPr>
            <w:tcW w:w="0" w:type="auto"/>
            <w:shd w:val="clear" w:color="auto" w:fill="auto"/>
            <w:noWrap/>
            <w:vAlign w:val="bottom"/>
            <w:hideMark/>
          </w:tcPr>
          <w:p w14:paraId="091472EB" w14:textId="51C0E29B"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70894662"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D5E137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MWI</w:t>
            </w:r>
          </w:p>
        </w:tc>
        <w:tc>
          <w:tcPr>
            <w:tcW w:w="0" w:type="auto"/>
            <w:shd w:val="clear" w:color="auto" w:fill="auto"/>
            <w:noWrap/>
            <w:vAlign w:val="bottom"/>
            <w:hideMark/>
          </w:tcPr>
          <w:p w14:paraId="7D1D8B6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717AD493" w14:textId="36266F11"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1039EE8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1980BD3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TKM</w:t>
            </w:r>
          </w:p>
        </w:tc>
        <w:tc>
          <w:tcPr>
            <w:tcW w:w="0" w:type="auto"/>
            <w:shd w:val="clear" w:color="auto" w:fill="auto"/>
            <w:noWrap/>
            <w:vAlign w:val="bottom"/>
            <w:hideMark/>
          </w:tcPr>
          <w:p w14:paraId="7AE87AD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43BE68D8"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7AC90A58" w14:textId="77777777" w:rsidR="007775E0" w:rsidRPr="00853C9F" w:rsidRDefault="007775E0" w:rsidP="007775E0">
            <w:pPr>
              <w:pStyle w:val="Tabletext"/>
              <w:jc w:val="center"/>
              <w:rPr>
                <w:spacing w:val="-2"/>
                <w:sz w:val="16"/>
                <w:szCs w:val="16"/>
                <w:lang w:val="en-US"/>
              </w:rPr>
            </w:pPr>
          </w:p>
        </w:tc>
      </w:tr>
      <w:tr w:rsidR="002C43D3" w:rsidRPr="00853C9F" w14:paraId="684AFCD1" w14:textId="77777777" w:rsidTr="007775E0">
        <w:trPr>
          <w:trHeight w:val="300"/>
          <w:jc w:val="center"/>
        </w:trPr>
        <w:tc>
          <w:tcPr>
            <w:tcW w:w="0" w:type="auto"/>
            <w:shd w:val="clear" w:color="000000" w:fill="FFFF00"/>
            <w:noWrap/>
            <w:vAlign w:val="bottom"/>
            <w:hideMark/>
          </w:tcPr>
          <w:p w14:paraId="21AC8B4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CMR</w:t>
            </w:r>
          </w:p>
        </w:tc>
        <w:tc>
          <w:tcPr>
            <w:tcW w:w="0" w:type="auto"/>
            <w:shd w:val="clear" w:color="000000" w:fill="FFFF00"/>
            <w:noWrap/>
            <w:vAlign w:val="bottom"/>
            <w:hideMark/>
          </w:tcPr>
          <w:p w14:paraId="7366F05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F1E13A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FE447A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39EB48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I</w:t>
            </w:r>
          </w:p>
        </w:tc>
        <w:tc>
          <w:tcPr>
            <w:tcW w:w="0" w:type="auto"/>
            <w:shd w:val="clear" w:color="auto" w:fill="auto"/>
            <w:noWrap/>
            <w:vAlign w:val="bottom"/>
            <w:hideMark/>
          </w:tcPr>
          <w:p w14:paraId="7A80827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F1A3739" w14:textId="6FC22CA5"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1BC5427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99401B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NGR</w:t>
            </w:r>
          </w:p>
        </w:tc>
        <w:tc>
          <w:tcPr>
            <w:tcW w:w="0" w:type="auto"/>
            <w:shd w:val="clear" w:color="000000" w:fill="FFFF00"/>
            <w:noWrap/>
            <w:vAlign w:val="bottom"/>
            <w:hideMark/>
          </w:tcPr>
          <w:p w14:paraId="3E127038"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467EAB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1A518B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5B13BC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TUN</w:t>
            </w:r>
          </w:p>
        </w:tc>
        <w:tc>
          <w:tcPr>
            <w:tcW w:w="0" w:type="auto"/>
            <w:shd w:val="clear" w:color="000000" w:fill="FFFF00"/>
            <w:noWrap/>
            <w:vAlign w:val="bottom"/>
            <w:hideMark/>
          </w:tcPr>
          <w:p w14:paraId="6B503131" w14:textId="77777777" w:rsidR="007775E0" w:rsidRPr="00853C9F" w:rsidRDefault="007775E0" w:rsidP="007775E0">
            <w:pPr>
              <w:pStyle w:val="Tabletext"/>
              <w:jc w:val="center"/>
              <w:rPr>
                <w:spacing w:val="-2"/>
                <w:sz w:val="16"/>
                <w:szCs w:val="16"/>
                <w:lang w:val="en-US"/>
              </w:rPr>
            </w:pPr>
            <w:r>
              <w:rPr>
                <w:spacing w:val="-2"/>
                <w:sz w:val="16"/>
                <w:szCs w:val="16"/>
                <w:lang w:val="en-US"/>
              </w:rPr>
              <w:t>NO</w:t>
            </w:r>
          </w:p>
        </w:tc>
        <w:tc>
          <w:tcPr>
            <w:tcW w:w="0" w:type="auto"/>
            <w:shd w:val="clear" w:color="000000" w:fill="FFFF00"/>
            <w:noWrap/>
            <w:vAlign w:val="bottom"/>
            <w:hideMark/>
          </w:tcPr>
          <w:p w14:paraId="7E7C048E" w14:textId="74037711"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76C7C12E" w14:textId="77777777" w:rsidR="007775E0" w:rsidRPr="00853C9F" w:rsidRDefault="007775E0" w:rsidP="007775E0">
            <w:pPr>
              <w:pStyle w:val="Tabletext"/>
              <w:jc w:val="center"/>
              <w:rPr>
                <w:spacing w:val="-2"/>
                <w:sz w:val="16"/>
                <w:szCs w:val="16"/>
                <w:lang w:val="en-US"/>
              </w:rPr>
            </w:pPr>
          </w:p>
        </w:tc>
      </w:tr>
      <w:tr w:rsidR="002C43D3" w:rsidRPr="00853C9F" w14:paraId="465E88C5" w14:textId="77777777" w:rsidTr="007775E0">
        <w:trPr>
          <w:trHeight w:val="300"/>
          <w:jc w:val="center"/>
        </w:trPr>
        <w:tc>
          <w:tcPr>
            <w:tcW w:w="0" w:type="auto"/>
            <w:shd w:val="clear" w:color="auto" w:fill="auto"/>
            <w:noWrap/>
            <w:vAlign w:val="bottom"/>
            <w:hideMark/>
          </w:tcPr>
          <w:p w14:paraId="1FD1C88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COD</w:t>
            </w:r>
          </w:p>
        </w:tc>
        <w:tc>
          <w:tcPr>
            <w:tcW w:w="0" w:type="auto"/>
            <w:shd w:val="clear" w:color="auto" w:fill="auto"/>
            <w:noWrap/>
            <w:vAlign w:val="bottom"/>
            <w:hideMark/>
          </w:tcPr>
          <w:p w14:paraId="4E078EE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13023147" w14:textId="603A82BC"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56291FD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02B7A45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IRL</w:t>
            </w:r>
          </w:p>
        </w:tc>
        <w:tc>
          <w:tcPr>
            <w:tcW w:w="0" w:type="auto"/>
            <w:shd w:val="clear" w:color="auto" w:fill="auto"/>
            <w:noWrap/>
            <w:vAlign w:val="bottom"/>
            <w:hideMark/>
          </w:tcPr>
          <w:p w14:paraId="5A29908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7995CFE" w14:textId="0737BC11"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2191224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7DC41B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NIG</w:t>
            </w:r>
          </w:p>
        </w:tc>
        <w:tc>
          <w:tcPr>
            <w:tcW w:w="0" w:type="auto"/>
            <w:shd w:val="clear" w:color="auto" w:fill="auto"/>
            <w:noWrap/>
            <w:vAlign w:val="bottom"/>
            <w:hideMark/>
          </w:tcPr>
          <w:p w14:paraId="37D1564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74E8C5D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0FB1C08"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C6F1EAB"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TUR</w:t>
            </w:r>
          </w:p>
        </w:tc>
        <w:tc>
          <w:tcPr>
            <w:tcW w:w="0" w:type="auto"/>
            <w:shd w:val="clear" w:color="auto" w:fill="auto"/>
            <w:noWrap/>
            <w:vAlign w:val="bottom"/>
            <w:hideMark/>
          </w:tcPr>
          <w:p w14:paraId="2DF87611" w14:textId="43FBCD39" w:rsidR="007775E0" w:rsidRPr="00853C9F" w:rsidRDefault="007775E0" w:rsidP="007775E0">
            <w:pPr>
              <w:pStyle w:val="Tabletext"/>
              <w:jc w:val="center"/>
              <w:rPr>
                <w:spacing w:val="-2"/>
                <w:sz w:val="16"/>
                <w:szCs w:val="16"/>
                <w:lang w:val="en-US"/>
              </w:rPr>
            </w:pPr>
            <w:r>
              <w:rPr>
                <w:spacing w:val="-2"/>
                <w:sz w:val="16"/>
                <w:szCs w:val="16"/>
                <w:lang w:val="en-US"/>
              </w:rPr>
              <w:t>NO</w:t>
            </w:r>
          </w:p>
        </w:tc>
        <w:tc>
          <w:tcPr>
            <w:tcW w:w="0" w:type="auto"/>
            <w:gridSpan w:val="2"/>
            <w:shd w:val="clear" w:color="auto" w:fill="auto"/>
            <w:noWrap/>
            <w:vAlign w:val="bottom"/>
            <w:hideMark/>
          </w:tcPr>
          <w:p w14:paraId="2FD62BE4" w14:textId="2DFCDBE6" w:rsidR="007775E0" w:rsidRPr="00853C9F" w:rsidRDefault="007775E0" w:rsidP="007775E0">
            <w:pPr>
              <w:pStyle w:val="Tabletext"/>
              <w:jc w:val="center"/>
              <w:rPr>
                <w:spacing w:val="-2"/>
                <w:sz w:val="16"/>
                <w:szCs w:val="16"/>
                <w:lang w:val="en-US"/>
              </w:rPr>
            </w:pPr>
          </w:p>
        </w:tc>
      </w:tr>
      <w:tr w:rsidR="002C43D3" w:rsidRPr="00853C9F" w14:paraId="683D945F" w14:textId="77777777" w:rsidTr="007775E0">
        <w:trPr>
          <w:trHeight w:val="300"/>
          <w:jc w:val="center"/>
        </w:trPr>
        <w:tc>
          <w:tcPr>
            <w:tcW w:w="0" w:type="auto"/>
            <w:shd w:val="clear" w:color="000000" w:fill="FFFF00"/>
            <w:noWrap/>
            <w:vAlign w:val="bottom"/>
            <w:hideMark/>
          </w:tcPr>
          <w:p w14:paraId="33B1B73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COG</w:t>
            </w:r>
          </w:p>
        </w:tc>
        <w:tc>
          <w:tcPr>
            <w:tcW w:w="0" w:type="auto"/>
            <w:shd w:val="clear" w:color="000000" w:fill="FFFF00"/>
            <w:noWrap/>
            <w:vAlign w:val="bottom"/>
            <w:hideMark/>
          </w:tcPr>
          <w:p w14:paraId="43CECE6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FD08D2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2EC3B4D6"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24FD3AE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IRQ</w:t>
            </w:r>
          </w:p>
        </w:tc>
        <w:tc>
          <w:tcPr>
            <w:tcW w:w="0" w:type="auto"/>
            <w:shd w:val="clear" w:color="000000" w:fill="FFFF00"/>
            <w:noWrap/>
            <w:vAlign w:val="bottom"/>
            <w:hideMark/>
          </w:tcPr>
          <w:p w14:paraId="21C97C7F"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9B9E00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AD4B98B"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DDF088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NMB</w:t>
            </w:r>
          </w:p>
        </w:tc>
        <w:tc>
          <w:tcPr>
            <w:tcW w:w="0" w:type="auto"/>
            <w:shd w:val="clear" w:color="auto" w:fill="auto"/>
            <w:noWrap/>
            <w:vAlign w:val="bottom"/>
            <w:hideMark/>
          </w:tcPr>
          <w:p w14:paraId="0055EBD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7B459309" w14:textId="0036910D"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3726AAB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000000" w:fill="FFFF00"/>
            <w:noWrap/>
            <w:vAlign w:val="bottom"/>
            <w:hideMark/>
          </w:tcPr>
          <w:p w14:paraId="6171279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UAE</w:t>
            </w:r>
          </w:p>
        </w:tc>
        <w:tc>
          <w:tcPr>
            <w:tcW w:w="0" w:type="auto"/>
            <w:shd w:val="clear" w:color="000000" w:fill="FFFF00"/>
            <w:noWrap/>
            <w:vAlign w:val="bottom"/>
            <w:hideMark/>
          </w:tcPr>
          <w:p w14:paraId="4D08D3A0"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6AB800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C5C9E9B" w14:textId="77777777" w:rsidR="007775E0" w:rsidRPr="00853C9F" w:rsidRDefault="007775E0" w:rsidP="007775E0">
            <w:pPr>
              <w:pStyle w:val="Tabletext"/>
              <w:jc w:val="center"/>
              <w:rPr>
                <w:spacing w:val="-2"/>
                <w:sz w:val="16"/>
                <w:szCs w:val="16"/>
                <w:lang w:val="en-US"/>
              </w:rPr>
            </w:pPr>
          </w:p>
        </w:tc>
      </w:tr>
      <w:tr w:rsidR="002C43D3" w:rsidRPr="00853C9F" w14:paraId="67FB5995" w14:textId="77777777" w:rsidTr="007775E0">
        <w:trPr>
          <w:trHeight w:val="300"/>
          <w:jc w:val="center"/>
        </w:trPr>
        <w:tc>
          <w:tcPr>
            <w:tcW w:w="0" w:type="auto"/>
            <w:shd w:val="clear" w:color="000000" w:fill="FFFF00"/>
            <w:noWrap/>
            <w:vAlign w:val="bottom"/>
            <w:hideMark/>
          </w:tcPr>
          <w:p w14:paraId="1D71E83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COM</w:t>
            </w:r>
          </w:p>
        </w:tc>
        <w:tc>
          <w:tcPr>
            <w:tcW w:w="0" w:type="auto"/>
            <w:shd w:val="clear" w:color="000000" w:fill="FFFF00"/>
            <w:noWrap/>
            <w:vAlign w:val="bottom"/>
            <w:hideMark/>
          </w:tcPr>
          <w:p w14:paraId="35E64871"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E75F54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E50C4D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B9D6B7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ISL</w:t>
            </w:r>
          </w:p>
        </w:tc>
        <w:tc>
          <w:tcPr>
            <w:tcW w:w="0" w:type="auto"/>
            <w:shd w:val="clear" w:color="auto" w:fill="auto"/>
            <w:noWrap/>
            <w:vAlign w:val="bottom"/>
            <w:hideMark/>
          </w:tcPr>
          <w:p w14:paraId="512F8C0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281B579C" w14:textId="3E294620"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3BFCD390"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D4D179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NOR</w:t>
            </w:r>
          </w:p>
        </w:tc>
        <w:tc>
          <w:tcPr>
            <w:tcW w:w="0" w:type="auto"/>
            <w:shd w:val="clear" w:color="auto" w:fill="auto"/>
            <w:noWrap/>
            <w:vAlign w:val="bottom"/>
            <w:hideMark/>
          </w:tcPr>
          <w:p w14:paraId="4190269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522499F6" w14:textId="48674E07"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613353EC"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927719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UGA</w:t>
            </w:r>
          </w:p>
        </w:tc>
        <w:tc>
          <w:tcPr>
            <w:tcW w:w="0" w:type="auto"/>
            <w:shd w:val="clear" w:color="000000" w:fill="FFFF00"/>
            <w:noWrap/>
            <w:vAlign w:val="bottom"/>
            <w:hideMark/>
          </w:tcPr>
          <w:p w14:paraId="493E1E3A"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F1A658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62B57FF9" w14:textId="77777777" w:rsidR="007775E0" w:rsidRPr="00853C9F" w:rsidRDefault="007775E0" w:rsidP="007775E0">
            <w:pPr>
              <w:pStyle w:val="Tabletext"/>
              <w:jc w:val="center"/>
              <w:rPr>
                <w:spacing w:val="-2"/>
                <w:sz w:val="16"/>
                <w:szCs w:val="16"/>
                <w:lang w:val="en-US"/>
              </w:rPr>
            </w:pPr>
          </w:p>
        </w:tc>
      </w:tr>
      <w:tr w:rsidR="002C43D3" w:rsidRPr="00853C9F" w14:paraId="1CFA1A18" w14:textId="77777777" w:rsidTr="007775E0">
        <w:trPr>
          <w:trHeight w:val="300"/>
          <w:jc w:val="center"/>
        </w:trPr>
        <w:tc>
          <w:tcPr>
            <w:tcW w:w="0" w:type="auto"/>
            <w:shd w:val="clear" w:color="000000" w:fill="FFFF00"/>
            <w:noWrap/>
            <w:vAlign w:val="bottom"/>
            <w:hideMark/>
          </w:tcPr>
          <w:p w14:paraId="30A8991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CPV</w:t>
            </w:r>
          </w:p>
        </w:tc>
        <w:tc>
          <w:tcPr>
            <w:tcW w:w="0" w:type="auto"/>
            <w:shd w:val="clear" w:color="000000" w:fill="FFFF00"/>
            <w:noWrap/>
            <w:vAlign w:val="bottom"/>
            <w:hideMark/>
          </w:tcPr>
          <w:p w14:paraId="4F052F9D"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15007F5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4F21F642"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4F1310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ISR</w:t>
            </w:r>
          </w:p>
        </w:tc>
        <w:tc>
          <w:tcPr>
            <w:tcW w:w="0" w:type="auto"/>
            <w:shd w:val="clear" w:color="000000" w:fill="FFFF00"/>
            <w:noWrap/>
            <w:vAlign w:val="bottom"/>
            <w:hideMark/>
          </w:tcPr>
          <w:p w14:paraId="13F26E00" w14:textId="77777777" w:rsidR="007775E0" w:rsidRPr="00853C9F" w:rsidRDefault="007775E0" w:rsidP="007775E0">
            <w:pPr>
              <w:pStyle w:val="Tabletext"/>
              <w:jc w:val="center"/>
              <w:rPr>
                <w:spacing w:val="-2"/>
                <w:sz w:val="16"/>
                <w:szCs w:val="16"/>
                <w:lang w:val="en-US"/>
              </w:rPr>
            </w:pPr>
            <w:r>
              <w:rPr>
                <w:spacing w:val="-2"/>
                <w:sz w:val="16"/>
                <w:szCs w:val="16"/>
                <w:lang w:val="en-US"/>
              </w:rPr>
              <w:t>50-52</w:t>
            </w:r>
          </w:p>
        </w:tc>
        <w:tc>
          <w:tcPr>
            <w:tcW w:w="0" w:type="auto"/>
            <w:shd w:val="clear" w:color="000000" w:fill="FFFF00"/>
            <w:noWrap/>
            <w:vAlign w:val="bottom"/>
            <w:hideMark/>
          </w:tcPr>
          <w:p w14:paraId="5672C007" w14:textId="588CD860" w:rsidR="007775E0" w:rsidRPr="00853C9F" w:rsidRDefault="007775E0">
            <w:pPr>
              <w:pStyle w:val="Tabletext"/>
              <w:jc w:val="center"/>
              <w:rPr>
                <w:spacing w:val="-2"/>
                <w:sz w:val="16"/>
                <w:szCs w:val="16"/>
                <w:lang w:val="en-US"/>
              </w:rPr>
            </w:pPr>
            <w:r>
              <w:rPr>
                <w:spacing w:val="-2"/>
                <w:sz w:val="16"/>
                <w:szCs w:val="16"/>
                <w:lang w:val="en-US"/>
              </w:rPr>
              <w:t>S</w:t>
            </w:r>
          </w:p>
        </w:tc>
        <w:tc>
          <w:tcPr>
            <w:tcW w:w="0" w:type="auto"/>
            <w:shd w:val="clear" w:color="000000" w:fill="FFFF00"/>
            <w:noWrap/>
            <w:vAlign w:val="bottom"/>
            <w:hideMark/>
          </w:tcPr>
          <w:p w14:paraId="0B3DB812"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9CB30C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OMA</w:t>
            </w:r>
          </w:p>
        </w:tc>
        <w:tc>
          <w:tcPr>
            <w:tcW w:w="0" w:type="auto"/>
            <w:shd w:val="clear" w:color="auto" w:fill="auto"/>
            <w:noWrap/>
            <w:vAlign w:val="bottom"/>
            <w:hideMark/>
          </w:tcPr>
          <w:p w14:paraId="631A280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D7DFB5D" w14:textId="64206AA7"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65211DC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4280A3B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UKR</w:t>
            </w:r>
          </w:p>
        </w:tc>
        <w:tc>
          <w:tcPr>
            <w:tcW w:w="0" w:type="auto"/>
            <w:shd w:val="clear" w:color="000000" w:fill="FFFF00"/>
            <w:noWrap/>
            <w:vAlign w:val="bottom"/>
            <w:hideMark/>
          </w:tcPr>
          <w:p w14:paraId="5C15EC23"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010E53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3335408C" w14:textId="77777777" w:rsidR="007775E0" w:rsidRPr="00853C9F" w:rsidRDefault="007775E0" w:rsidP="007775E0">
            <w:pPr>
              <w:pStyle w:val="Tabletext"/>
              <w:jc w:val="center"/>
              <w:rPr>
                <w:spacing w:val="-2"/>
                <w:sz w:val="16"/>
                <w:szCs w:val="16"/>
                <w:lang w:val="en-US"/>
              </w:rPr>
            </w:pPr>
          </w:p>
        </w:tc>
      </w:tr>
      <w:tr w:rsidR="002C43D3" w:rsidRPr="00BF7856" w14:paraId="2AC11624" w14:textId="77777777" w:rsidTr="007775E0">
        <w:trPr>
          <w:trHeight w:val="300"/>
          <w:jc w:val="center"/>
        </w:trPr>
        <w:tc>
          <w:tcPr>
            <w:tcW w:w="0" w:type="auto"/>
            <w:shd w:val="clear" w:color="000000" w:fill="FFFF00"/>
            <w:noWrap/>
            <w:vAlign w:val="bottom"/>
            <w:hideMark/>
          </w:tcPr>
          <w:p w14:paraId="41C7DF6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CTI</w:t>
            </w:r>
          </w:p>
        </w:tc>
        <w:tc>
          <w:tcPr>
            <w:tcW w:w="0" w:type="auto"/>
            <w:shd w:val="clear" w:color="000000" w:fill="FFFF00"/>
            <w:noWrap/>
            <w:vAlign w:val="bottom"/>
            <w:hideMark/>
          </w:tcPr>
          <w:p w14:paraId="2BD1BC8C"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283B09B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BEFCC6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98163F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JOR</w:t>
            </w:r>
          </w:p>
        </w:tc>
        <w:tc>
          <w:tcPr>
            <w:tcW w:w="0" w:type="auto"/>
            <w:shd w:val="clear" w:color="auto" w:fill="auto"/>
            <w:noWrap/>
            <w:vAlign w:val="bottom"/>
            <w:hideMark/>
          </w:tcPr>
          <w:p w14:paraId="33E588F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50-51.5</w:t>
            </w:r>
          </w:p>
        </w:tc>
        <w:tc>
          <w:tcPr>
            <w:tcW w:w="0" w:type="auto"/>
            <w:shd w:val="clear" w:color="auto" w:fill="auto"/>
            <w:noWrap/>
            <w:vAlign w:val="bottom"/>
            <w:hideMark/>
          </w:tcPr>
          <w:p w14:paraId="07C57F4C" w14:textId="0ED0FCC7"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3EB1463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1DFDAB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POL</w:t>
            </w:r>
          </w:p>
        </w:tc>
        <w:tc>
          <w:tcPr>
            <w:tcW w:w="0" w:type="auto"/>
            <w:shd w:val="clear" w:color="auto" w:fill="auto"/>
            <w:noWrap/>
            <w:vAlign w:val="bottom"/>
            <w:hideMark/>
          </w:tcPr>
          <w:p w14:paraId="73D6686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3714EE2" w14:textId="237F4255"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2CEBDE9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FC6F9F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UZB</w:t>
            </w:r>
          </w:p>
        </w:tc>
        <w:tc>
          <w:tcPr>
            <w:tcW w:w="0" w:type="auto"/>
            <w:shd w:val="clear" w:color="auto" w:fill="auto"/>
            <w:noWrap/>
            <w:vAlign w:val="bottom"/>
            <w:hideMark/>
          </w:tcPr>
          <w:p w14:paraId="3F70013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46EAC93C"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836D61E" w14:textId="77777777" w:rsidR="007775E0" w:rsidRPr="00853C9F" w:rsidRDefault="007775E0" w:rsidP="007775E0">
            <w:pPr>
              <w:pStyle w:val="Tabletext"/>
              <w:jc w:val="center"/>
              <w:rPr>
                <w:spacing w:val="-2"/>
                <w:sz w:val="16"/>
                <w:szCs w:val="16"/>
                <w:lang w:val="en-US"/>
              </w:rPr>
            </w:pPr>
          </w:p>
        </w:tc>
      </w:tr>
      <w:tr w:rsidR="002C43D3" w:rsidRPr="00853C9F" w14:paraId="03C44CC1" w14:textId="77777777" w:rsidTr="007775E0">
        <w:trPr>
          <w:trHeight w:val="300"/>
          <w:jc w:val="center"/>
        </w:trPr>
        <w:tc>
          <w:tcPr>
            <w:tcW w:w="0" w:type="auto"/>
            <w:shd w:val="clear" w:color="auto" w:fill="auto"/>
            <w:noWrap/>
            <w:vAlign w:val="bottom"/>
            <w:hideMark/>
          </w:tcPr>
          <w:p w14:paraId="4C7B235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CVA</w:t>
            </w:r>
          </w:p>
        </w:tc>
        <w:tc>
          <w:tcPr>
            <w:tcW w:w="0" w:type="auto"/>
            <w:shd w:val="clear" w:color="auto" w:fill="auto"/>
            <w:noWrap/>
            <w:vAlign w:val="bottom"/>
            <w:hideMark/>
          </w:tcPr>
          <w:p w14:paraId="2B08A12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051AD3AC" w14:textId="027E1EE3"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71372F0B"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D14B6B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KAZ</w:t>
            </w:r>
          </w:p>
        </w:tc>
        <w:tc>
          <w:tcPr>
            <w:tcW w:w="0" w:type="auto"/>
            <w:shd w:val="clear" w:color="auto" w:fill="auto"/>
            <w:noWrap/>
            <w:vAlign w:val="bottom"/>
            <w:hideMark/>
          </w:tcPr>
          <w:p w14:paraId="4EB2CF9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3CD3B65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1070E8F"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6C64D7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POR</w:t>
            </w:r>
          </w:p>
        </w:tc>
        <w:tc>
          <w:tcPr>
            <w:tcW w:w="0" w:type="auto"/>
            <w:shd w:val="clear" w:color="auto" w:fill="auto"/>
            <w:noWrap/>
            <w:vAlign w:val="bottom"/>
            <w:hideMark/>
          </w:tcPr>
          <w:p w14:paraId="20963C4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E922650" w14:textId="3C12421E"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07D49459"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14BC02D"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YEM</w:t>
            </w:r>
          </w:p>
        </w:tc>
        <w:tc>
          <w:tcPr>
            <w:tcW w:w="0" w:type="auto"/>
            <w:shd w:val="clear" w:color="000000" w:fill="FFFF00"/>
            <w:noWrap/>
            <w:vAlign w:val="bottom"/>
            <w:hideMark/>
          </w:tcPr>
          <w:p w14:paraId="52182768"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3ACAF4E"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12CDFF35" w14:textId="77777777" w:rsidR="007775E0" w:rsidRPr="00853C9F" w:rsidRDefault="007775E0" w:rsidP="007775E0">
            <w:pPr>
              <w:pStyle w:val="Tabletext"/>
              <w:jc w:val="center"/>
              <w:rPr>
                <w:spacing w:val="-2"/>
                <w:sz w:val="16"/>
                <w:szCs w:val="16"/>
                <w:lang w:val="en-US"/>
              </w:rPr>
            </w:pPr>
          </w:p>
        </w:tc>
      </w:tr>
      <w:tr w:rsidR="002C43D3" w:rsidRPr="00853C9F" w14:paraId="6728FE7D" w14:textId="77777777" w:rsidTr="007775E0">
        <w:trPr>
          <w:trHeight w:val="300"/>
          <w:jc w:val="center"/>
        </w:trPr>
        <w:tc>
          <w:tcPr>
            <w:tcW w:w="0" w:type="auto"/>
            <w:shd w:val="clear" w:color="auto" w:fill="auto"/>
            <w:noWrap/>
            <w:vAlign w:val="bottom"/>
            <w:hideMark/>
          </w:tcPr>
          <w:p w14:paraId="1CC139F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CYP</w:t>
            </w:r>
          </w:p>
        </w:tc>
        <w:tc>
          <w:tcPr>
            <w:tcW w:w="0" w:type="auto"/>
            <w:shd w:val="clear" w:color="auto" w:fill="auto"/>
            <w:noWrap/>
            <w:vAlign w:val="bottom"/>
            <w:hideMark/>
          </w:tcPr>
          <w:p w14:paraId="3BD8A46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50-51</w:t>
            </w:r>
          </w:p>
        </w:tc>
        <w:tc>
          <w:tcPr>
            <w:tcW w:w="0" w:type="auto"/>
            <w:shd w:val="clear" w:color="auto" w:fill="auto"/>
            <w:noWrap/>
            <w:vAlign w:val="bottom"/>
            <w:hideMark/>
          </w:tcPr>
          <w:p w14:paraId="0126B7D8" w14:textId="00ECC568" w:rsidR="007775E0" w:rsidRPr="00853C9F" w:rsidRDefault="002C43D3">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4567791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D9D33D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KEN</w:t>
            </w:r>
          </w:p>
        </w:tc>
        <w:tc>
          <w:tcPr>
            <w:tcW w:w="0" w:type="auto"/>
            <w:shd w:val="clear" w:color="auto" w:fill="auto"/>
            <w:noWrap/>
            <w:vAlign w:val="bottom"/>
            <w:hideMark/>
          </w:tcPr>
          <w:p w14:paraId="02DB4F5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327ED2CF"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66A16C2"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6EF7ECD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QAT</w:t>
            </w:r>
          </w:p>
        </w:tc>
        <w:tc>
          <w:tcPr>
            <w:tcW w:w="0" w:type="auto"/>
            <w:shd w:val="clear" w:color="000000" w:fill="FFFF00"/>
            <w:noWrap/>
            <w:vAlign w:val="bottom"/>
            <w:hideMark/>
          </w:tcPr>
          <w:p w14:paraId="3846B2B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B4263C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0CF9BE14"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3FDCC5F"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ZMB</w:t>
            </w:r>
          </w:p>
        </w:tc>
        <w:tc>
          <w:tcPr>
            <w:tcW w:w="0" w:type="auto"/>
            <w:shd w:val="clear" w:color="auto" w:fill="auto"/>
            <w:noWrap/>
            <w:vAlign w:val="bottom"/>
            <w:hideMark/>
          </w:tcPr>
          <w:p w14:paraId="1A9640D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11413F69" w14:textId="3BCBE4E3"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0F2A5C70"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r>
      <w:tr w:rsidR="002C43D3" w:rsidRPr="00853C9F" w14:paraId="3809EB05" w14:textId="77777777" w:rsidTr="007775E0">
        <w:trPr>
          <w:trHeight w:val="300"/>
          <w:jc w:val="center"/>
        </w:trPr>
        <w:tc>
          <w:tcPr>
            <w:tcW w:w="0" w:type="auto"/>
            <w:shd w:val="clear" w:color="auto" w:fill="auto"/>
            <w:noWrap/>
            <w:vAlign w:val="bottom"/>
            <w:hideMark/>
          </w:tcPr>
          <w:p w14:paraId="2AB7FE6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CZE</w:t>
            </w:r>
          </w:p>
        </w:tc>
        <w:tc>
          <w:tcPr>
            <w:tcW w:w="0" w:type="auto"/>
            <w:shd w:val="clear" w:color="auto" w:fill="auto"/>
            <w:noWrap/>
            <w:vAlign w:val="bottom"/>
            <w:hideMark/>
          </w:tcPr>
          <w:p w14:paraId="6FA71B4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78CDF0D7" w14:textId="2B4F2833" w:rsidR="007775E0" w:rsidRPr="00853C9F" w:rsidRDefault="002C43D3">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0F9D731A"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6555DD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KGZ</w:t>
            </w:r>
          </w:p>
        </w:tc>
        <w:tc>
          <w:tcPr>
            <w:tcW w:w="0" w:type="auto"/>
            <w:shd w:val="clear" w:color="auto" w:fill="auto"/>
            <w:noWrap/>
            <w:vAlign w:val="bottom"/>
            <w:hideMark/>
          </w:tcPr>
          <w:p w14:paraId="33FD3607"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140E843C"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BF3B589"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1F88040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ROU</w:t>
            </w:r>
          </w:p>
        </w:tc>
        <w:tc>
          <w:tcPr>
            <w:tcW w:w="0" w:type="auto"/>
            <w:shd w:val="clear" w:color="auto" w:fill="auto"/>
            <w:noWrap/>
            <w:vAlign w:val="bottom"/>
            <w:hideMark/>
          </w:tcPr>
          <w:p w14:paraId="400FC11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50-52</w:t>
            </w:r>
          </w:p>
        </w:tc>
        <w:tc>
          <w:tcPr>
            <w:tcW w:w="0" w:type="auto"/>
            <w:shd w:val="clear" w:color="auto" w:fill="auto"/>
            <w:noWrap/>
            <w:vAlign w:val="bottom"/>
            <w:hideMark/>
          </w:tcPr>
          <w:p w14:paraId="377021F8" w14:textId="54939043" w:rsidR="007775E0" w:rsidRPr="00853C9F" w:rsidRDefault="007775E0">
            <w:pPr>
              <w:pStyle w:val="Tabletext"/>
              <w:jc w:val="center"/>
              <w:rPr>
                <w:spacing w:val="-2"/>
                <w:sz w:val="16"/>
                <w:szCs w:val="16"/>
                <w:lang w:val="en-US"/>
              </w:rPr>
            </w:pPr>
            <w:r w:rsidRPr="00853C9F">
              <w:rPr>
                <w:spacing w:val="-2"/>
                <w:sz w:val="16"/>
                <w:szCs w:val="16"/>
                <w:lang w:val="en-US"/>
              </w:rPr>
              <w:t>S</w:t>
            </w:r>
          </w:p>
        </w:tc>
        <w:tc>
          <w:tcPr>
            <w:tcW w:w="0" w:type="auto"/>
            <w:shd w:val="clear" w:color="auto" w:fill="auto"/>
            <w:noWrap/>
            <w:vAlign w:val="bottom"/>
            <w:hideMark/>
          </w:tcPr>
          <w:p w14:paraId="63D3F5EB"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558E158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ZWE</w:t>
            </w:r>
          </w:p>
        </w:tc>
        <w:tc>
          <w:tcPr>
            <w:tcW w:w="0" w:type="auto"/>
            <w:shd w:val="clear" w:color="auto" w:fill="auto"/>
            <w:noWrap/>
            <w:vAlign w:val="bottom"/>
            <w:hideMark/>
          </w:tcPr>
          <w:p w14:paraId="46DBED99"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7E36EA75" w14:textId="4AA87636"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1BCD8F94"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r>
      <w:tr w:rsidR="002C43D3" w:rsidRPr="00853C9F" w14:paraId="1406A528" w14:textId="77777777" w:rsidTr="007775E0">
        <w:trPr>
          <w:trHeight w:val="300"/>
          <w:jc w:val="center"/>
        </w:trPr>
        <w:tc>
          <w:tcPr>
            <w:tcW w:w="0" w:type="auto"/>
            <w:shd w:val="clear" w:color="auto" w:fill="auto"/>
            <w:noWrap/>
            <w:vAlign w:val="bottom"/>
            <w:hideMark/>
          </w:tcPr>
          <w:p w14:paraId="6F89F8E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D</w:t>
            </w:r>
          </w:p>
        </w:tc>
        <w:tc>
          <w:tcPr>
            <w:tcW w:w="0" w:type="auto"/>
            <w:shd w:val="clear" w:color="auto" w:fill="auto"/>
            <w:noWrap/>
            <w:vAlign w:val="bottom"/>
            <w:hideMark/>
          </w:tcPr>
          <w:p w14:paraId="1B1DB651"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50.08-51</w:t>
            </w:r>
          </w:p>
        </w:tc>
        <w:tc>
          <w:tcPr>
            <w:tcW w:w="0" w:type="auto"/>
            <w:shd w:val="clear" w:color="auto" w:fill="auto"/>
            <w:noWrap/>
            <w:vAlign w:val="bottom"/>
            <w:hideMark/>
          </w:tcPr>
          <w:p w14:paraId="5DE80E87" w14:textId="49114C49" w:rsidR="007775E0" w:rsidRPr="00853C9F" w:rsidRDefault="002C43D3">
            <w:pPr>
              <w:pStyle w:val="Tabletext"/>
              <w:jc w:val="center"/>
              <w:rPr>
                <w:spacing w:val="-2"/>
                <w:sz w:val="16"/>
                <w:szCs w:val="16"/>
                <w:lang w:val="en-US"/>
              </w:rPr>
            </w:pPr>
            <w:r>
              <w:rPr>
                <w:spacing w:val="-2"/>
                <w:sz w:val="16"/>
                <w:szCs w:val="16"/>
                <w:lang w:val="en-US"/>
              </w:rPr>
              <w:t>S</w:t>
            </w:r>
          </w:p>
        </w:tc>
        <w:tc>
          <w:tcPr>
            <w:tcW w:w="0" w:type="auto"/>
            <w:shd w:val="clear" w:color="auto" w:fill="auto"/>
            <w:noWrap/>
            <w:vAlign w:val="bottom"/>
            <w:hideMark/>
          </w:tcPr>
          <w:p w14:paraId="2A82275D"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5E2CD7DA"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KWT</w:t>
            </w:r>
          </w:p>
        </w:tc>
        <w:tc>
          <w:tcPr>
            <w:tcW w:w="0" w:type="auto"/>
            <w:shd w:val="clear" w:color="000000" w:fill="FFFF00"/>
            <w:noWrap/>
            <w:vAlign w:val="bottom"/>
            <w:hideMark/>
          </w:tcPr>
          <w:p w14:paraId="7961A174"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317BE87C"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7992B4EF"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C343781" w14:textId="77777777" w:rsidR="007775E0" w:rsidRPr="00BF7856" w:rsidRDefault="007775E0" w:rsidP="007775E0">
            <w:pPr>
              <w:pStyle w:val="Tabletext"/>
              <w:jc w:val="center"/>
              <w:rPr>
                <w:spacing w:val="-2"/>
                <w:sz w:val="16"/>
                <w:szCs w:val="16"/>
                <w:lang w:val="en-US"/>
              </w:rPr>
            </w:pPr>
            <w:r w:rsidRPr="00BF7856">
              <w:rPr>
                <w:spacing w:val="-2"/>
                <w:sz w:val="16"/>
                <w:szCs w:val="16"/>
                <w:lang w:val="en-US"/>
              </w:rPr>
              <w:t>RUS</w:t>
            </w:r>
          </w:p>
        </w:tc>
        <w:tc>
          <w:tcPr>
            <w:tcW w:w="0" w:type="auto"/>
            <w:shd w:val="clear" w:color="auto" w:fill="auto"/>
            <w:noWrap/>
            <w:vAlign w:val="bottom"/>
            <w:hideMark/>
          </w:tcPr>
          <w:p w14:paraId="4A41FAF2" w14:textId="77777777" w:rsidR="007775E0" w:rsidRPr="00BF7856" w:rsidRDefault="007775E0" w:rsidP="007775E0">
            <w:pPr>
              <w:pStyle w:val="Tabletext"/>
              <w:jc w:val="center"/>
              <w:rPr>
                <w:spacing w:val="-2"/>
                <w:sz w:val="16"/>
                <w:szCs w:val="16"/>
                <w:lang w:val="en-US"/>
              </w:rPr>
            </w:pPr>
            <w:r>
              <w:rPr>
                <w:spacing w:val="-2"/>
                <w:sz w:val="16"/>
                <w:szCs w:val="16"/>
                <w:lang w:val="en-US"/>
              </w:rPr>
              <w:t>NO</w:t>
            </w:r>
          </w:p>
        </w:tc>
        <w:tc>
          <w:tcPr>
            <w:tcW w:w="0" w:type="auto"/>
            <w:shd w:val="clear" w:color="auto" w:fill="auto"/>
            <w:noWrap/>
            <w:vAlign w:val="bottom"/>
            <w:hideMark/>
          </w:tcPr>
          <w:p w14:paraId="604500C3" w14:textId="2E55C234" w:rsidR="007775E0" w:rsidRPr="00BF7856" w:rsidRDefault="007775E0" w:rsidP="007775E0">
            <w:pPr>
              <w:pStyle w:val="Tabletext"/>
              <w:jc w:val="center"/>
              <w:rPr>
                <w:spacing w:val="-2"/>
                <w:sz w:val="16"/>
                <w:szCs w:val="16"/>
                <w:lang w:val="en-US"/>
              </w:rPr>
            </w:pPr>
          </w:p>
        </w:tc>
        <w:tc>
          <w:tcPr>
            <w:tcW w:w="0" w:type="auto"/>
            <w:shd w:val="clear" w:color="auto" w:fill="auto"/>
            <w:noWrap/>
            <w:vAlign w:val="bottom"/>
            <w:hideMark/>
          </w:tcPr>
          <w:p w14:paraId="523B136D" w14:textId="77777777" w:rsidR="007775E0" w:rsidRPr="00BF7856" w:rsidRDefault="007775E0" w:rsidP="007775E0">
            <w:pPr>
              <w:pStyle w:val="Tabletext"/>
              <w:jc w:val="center"/>
              <w:rPr>
                <w:spacing w:val="-2"/>
                <w:sz w:val="16"/>
                <w:szCs w:val="16"/>
                <w:lang w:val="en-US"/>
              </w:rPr>
            </w:pPr>
          </w:p>
        </w:tc>
        <w:tc>
          <w:tcPr>
            <w:tcW w:w="0" w:type="auto"/>
            <w:shd w:val="clear" w:color="auto" w:fill="auto"/>
            <w:noWrap/>
            <w:vAlign w:val="bottom"/>
            <w:hideMark/>
          </w:tcPr>
          <w:p w14:paraId="3F652D9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792D06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651AB0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61AFA71" w14:textId="77777777" w:rsidR="007775E0" w:rsidRPr="00853C9F" w:rsidRDefault="007775E0" w:rsidP="007775E0">
            <w:pPr>
              <w:pStyle w:val="Tabletext"/>
              <w:jc w:val="center"/>
              <w:rPr>
                <w:spacing w:val="-2"/>
                <w:sz w:val="16"/>
                <w:szCs w:val="16"/>
                <w:lang w:val="en-US"/>
              </w:rPr>
            </w:pPr>
          </w:p>
        </w:tc>
      </w:tr>
      <w:tr w:rsidR="002C43D3" w:rsidRPr="00853C9F" w14:paraId="0B4B89D3" w14:textId="77777777" w:rsidTr="007775E0">
        <w:trPr>
          <w:trHeight w:val="300"/>
          <w:jc w:val="center"/>
        </w:trPr>
        <w:tc>
          <w:tcPr>
            <w:tcW w:w="0" w:type="auto"/>
            <w:shd w:val="clear" w:color="000000" w:fill="FFFF00"/>
            <w:noWrap/>
            <w:vAlign w:val="bottom"/>
            <w:hideMark/>
          </w:tcPr>
          <w:p w14:paraId="5DFABCC8"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DJI</w:t>
            </w:r>
          </w:p>
        </w:tc>
        <w:tc>
          <w:tcPr>
            <w:tcW w:w="0" w:type="auto"/>
            <w:shd w:val="clear" w:color="000000" w:fill="FFFF00"/>
            <w:noWrap/>
            <w:vAlign w:val="bottom"/>
            <w:hideMark/>
          </w:tcPr>
          <w:p w14:paraId="772928E8" w14:textId="77777777" w:rsidR="007775E0" w:rsidRPr="00853C9F" w:rsidRDefault="007775E0" w:rsidP="007775E0">
            <w:pPr>
              <w:pStyle w:val="Tabletext"/>
              <w:jc w:val="center"/>
              <w:rPr>
                <w:spacing w:val="-2"/>
                <w:sz w:val="16"/>
                <w:szCs w:val="16"/>
                <w:lang w:val="en-US"/>
              </w:rPr>
            </w:pPr>
          </w:p>
        </w:tc>
        <w:tc>
          <w:tcPr>
            <w:tcW w:w="0" w:type="auto"/>
            <w:shd w:val="clear" w:color="000000" w:fill="FFFF00"/>
            <w:noWrap/>
            <w:vAlign w:val="bottom"/>
            <w:hideMark/>
          </w:tcPr>
          <w:p w14:paraId="01134DD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 Info</w:t>
            </w:r>
          </w:p>
        </w:tc>
        <w:tc>
          <w:tcPr>
            <w:tcW w:w="0" w:type="auto"/>
            <w:shd w:val="clear" w:color="000000" w:fill="FFFF00"/>
            <w:noWrap/>
            <w:vAlign w:val="bottom"/>
            <w:hideMark/>
          </w:tcPr>
          <w:p w14:paraId="5C9DC07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2AED7823"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LBN</w:t>
            </w:r>
          </w:p>
        </w:tc>
        <w:tc>
          <w:tcPr>
            <w:tcW w:w="0" w:type="auto"/>
            <w:shd w:val="clear" w:color="auto" w:fill="auto"/>
            <w:noWrap/>
            <w:vAlign w:val="bottom"/>
            <w:hideMark/>
          </w:tcPr>
          <w:p w14:paraId="7326B306"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NO</w:t>
            </w:r>
          </w:p>
        </w:tc>
        <w:tc>
          <w:tcPr>
            <w:tcW w:w="0" w:type="auto"/>
            <w:shd w:val="clear" w:color="auto" w:fill="auto"/>
            <w:noWrap/>
            <w:vAlign w:val="bottom"/>
            <w:hideMark/>
          </w:tcPr>
          <w:p w14:paraId="2EAEE4FE"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0693A8D6"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9C0D4EF" w14:textId="2B080AE0" w:rsidR="007775E0" w:rsidRPr="00853C9F" w:rsidRDefault="007775E0" w:rsidP="007775E0">
            <w:pPr>
              <w:pStyle w:val="Tabletext"/>
              <w:jc w:val="center"/>
              <w:rPr>
                <w:spacing w:val="-2"/>
                <w:sz w:val="16"/>
                <w:szCs w:val="16"/>
                <w:lang w:val="en-US"/>
              </w:rPr>
            </w:pPr>
            <w:r w:rsidRPr="00853C9F">
              <w:rPr>
                <w:spacing w:val="-2"/>
                <w:sz w:val="16"/>
                <w:szCs w:val="16"/>
                <w:lang w:val="en-US"/>
              </w:rPr>
              <w:t>R</w:t>
            </w:r>
            <w:r>
              <w:rPr>
                <w:spacing w:val="-2"/>
                <w:sz w:val="16"/>
                <w:szCs w:val="16"/>
                <w:lang w:val="en-US"/>
              </w:rPr>
              <w:t>R</w:t>
            </w:r>
            <w:r w:rsidRPr="00853C9F">
              <w:rPr>
                <w:spacing w:val="-2"/>
                <w:sz w:val="16"/>
                <w:szCs w:val="16"/>
                <w:lang w:val="en-US"/>
              </w:rPr>
              <w:t>W</w:t>
            </w:r>
          </w:p>
        </w:tc>
        <w:tc>
          <w:tcPr>
            <w:tcW w:w="0" w:type="auto"/>
            <w:shd w:val="clear" w:color="auto" w:fill="auto"/>
            <w:noWrap/>
            <w:vAlign w:val="bottom"/>
            <w:hideMark/>
          </w:tcPr>
          <w:p w14:paraId="25B5C1B2"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50-54</w:t>
            </w:r>
          </w:p>
        </w:tc>
        <w:tc>
          <w:tcPr>
            <w:tcW w:w="0" w:type="auto"/>
            <w:shd w:val="clear" w:color="auto" w:fill="auto"/>
            <w:noWrap/>
            <w:vAlign w:val="bottom"/>
            <w:hideMark/>
          </w:tcPr>
          <w:p w14:paraId="48D4A095" w14:textId="37A874BF" w:rsidR="007775E0" w:rsidRPr="00853C9F" w:rsidRDefault="007775E0">
            <w:pPr>
              <w:pStyle w:val="Tabletext"/>
              <w:jc w:val="center"/>
              <w:rPr>
                <w:spacing w:val="-2"/>
                <w:sz w:val="16"/>
                <w:szCs w:val="16"/>
                <w:lang w:val="en-US"/>
              </w:rPr>
            </w:pPr>
            <w:r w:rsidRPr="00853C9F">
              <w:rPr>
                <w:spacing w:val="-2"/>
                <w:sz w:val="16"/>
                <w:szCs w:val="16"/>
                <w:lang w:val="en-US"/>
              </w:rPr>
              <w:t>P</w:t>
            </w:r>
          </w:p>
        </w:tc>
        <w:tc>
          <w:tcPr>
            <w:tcW w:w="0" w:type="auto"/>
            <w:shd w:val="clear" w:color="auto" w:fill="auto"/>
            <w:noWrap/>
            <w:vAlign w:val="bottom"/>
            <w:hideMark/>
          </w:tcPr>
          <w:p w14:paraId="20214295" w14:textId="77777777" w:rsidR="007775E0" w:rsidRPr="00853C9F" w:rsidRDefault="007775E0" w:rsidP="007775E0">
            <w:pPr>
              <w:pStyle w:val="Tabletext"/>
              <w:jc w:val="center"/>
              <w:rPr>
                <w:spacing w:val="-2"/>
                <w:sz w:val="16"/>
                <w:szCs w:val="16"/>
                <w:lang w:val="en-US"/>
              </w:rPr>
            </w:pPr>
            <w:r w:rsidRPr="00853C9F">
              <w:rPr>
                <w:spacing w:val="-2"/>
                <w:sz w:val="16"/>
                <w:szCs w:val="16"/>
                <w:lang w:val="en-US"/>
              </w:rPr>
              <w:t>5.169</w:t>
            </w:r>
          </w:p>
        </w:tc>
        <w:tc>
          <w:tcPr>
            <w:tcW w:w="0" w:type="auto"/>
            <w:shd w:val="clear" w:color="auto" w:fill="auto"/>
            <w:noWrap/>
            <w:vAlign w:val="bottom"/>
            <w:hideMark/>
          </w:tcPr>
          <w:p w14:paraId="3704086D"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30C3FD37"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69D5E29F" w14:textId="77777777" w:rsidR="007775E0" w:rsidRPr="00853C9F" w:rsidRDefault="007775E0" w:rsidP="007775E0">
            <w:pPr>
              <w:pStyle w:val="Tabletext"/>
              <w:jc w:val="center"/>
              <w:rPr>
                <w:spacing w:val="-2"/>
                <w:sz w:val="16"/>
                <w:szCs w:val="16"/>
                <w:lang w:val="en-US"/>
              </w:rPr>
            </w:pPr>
          </w:p>
        </w:tc>
        <w:tc>
          <w:tcPr>
            <w:tcW w:w="0" w:type="auto"/>
            <w:shd w:val="clear" w:color="auto" w:fill="auto"/>
            <w:noWrap/>
            <w:vAlign w:val="bottom"/>
            <w:hideMark/>
          </w:tcPr>
          <w:p w14:paraId="4D63DE14" w14:textId="77777777" w:rsidR="007775E0" w:rsidRPr="00853C9F" w:rsidRDefault="007775E0" w:rsidP="007775E0">
            <w:pPr>
              <w:pStyle w:val="Tabletext"/>
              <w:jc w:val="center"/>
              <w:rPr>
                <w:spacing w:val="-2"/>
                <w:sz w:val="16"/>
                <w:szCs w:val="16"/>
                <w:lang w:val="en-US"/>
              </w:rPr>
            </w:pPr>
          </w:p>
        </w:tc>
      </w:tr>
      <w:tr w:rsidR="007775E0" w:rsidRPr="00853C9F" w14:paraId="666C6E70" w14:textId="77777777" w:rsidTr="007775E0">
        <w:trPr>
          <w:jc w:val="center"/>
        </w:trPr>
        <w:tc>
          <w:tcPr>
            <w:tcW w:w="0" w:type="auto"/>
            <w:gridSpan w:val="16"/>
            <w:shd w:val="clear" w:color="auto" w:fill="auto"/>
            <w:noWrap/>
            <w:vAlign w:val="bottom"/>
            <w:hideMark/>
          </w:tcPr>
          <w:p w14:paraId="6BF30DFC" w14:textId="77777777" w:rsidR="007775E0" w:rsidRPr="00853C9F" w:rsidRDefault="007775E0" w:rsidP="007775E0">
            <w:pPr>
              <w:pStyle w:val="Tabletext"/>
              <w:rPr>
                <w:spacing w:val="-2"/>
                <w:sz w:val="16"/>
                <w:szCs w:val="16"/>
                <w:lang w:val="en-US"/>
              </w:rPr>
            </w:pPr>
            <w:r w:rsidRPr="00853C9F">
              <w:rPr>
                <w:b/>
                <w:bCs/>
                <w:spacing w:val="-2"/>
                <w:sz w:val="16"/>
                <w:szCs w:val="16"/>
                <w:lang w:val="en-US"/>
              </w:rPr>
              <w:t>5.169</w:t>
            </w:r>
            <w:r w:rsidRPr="00853C9F">
              <w:rPr>
                <w:spacing w:val="-2"/>
                <w:sz w:val="16"/>
                <w:szCs w:val="16"/>
                <w:lang w:val="en-US"/>
              </w:rPr>
              <w:t xml:space="preserve"> </w:t>
            </w:r>
            <w:r w:rsidRPr="00853C9F">
              <w:rPr>
                <w:spacing w:val="-2"/>
                <w:sz w:val="16"/>
                <w:szCs w:val="16"/>
                <w:lang w:val="en-US"/>
              </w:rPr>
              <w:tab/>
              <w:t xml:space="preserve">Alternative allocation: in </w:t>
            </w:r>
            <w:r w:rsidRPr="00853C9F">
              <w:rPr>
                <w:b/>
                <w:bCs/>
                <w:spacing w:val="-2"/>
                <w:sz w:val="16"/>
                <w:szCs w:val="16"/>
                <w:lang w:val="en-US"/>
              </w:rPr>
              <w:t>Botswana</w:t>
            </w:r>
            <w:r w:rsidRPr="00853C9F">
              <w:rPr>
                <w:spacing w:val="-2"/>
                <w:sz w:val="16"/>
                <w:szCs w:val="16"/>
                <w:lang w:val="en-US"/>
              </w:rPr>
              <w:t xml:space="preserve">, </w:t>
            </w:r>
            <w:r w:rsidRPr="00853C9F">
              <w:rPr>
                <w:b/>
                <w:bCs/>
                <w:spacing w:val="-2"/>
                <w:sz w:val="16"/>
                <w:szCs w:val="16"/>
                <w:lang w:val="en-US"/>
              </w:rPr>
              <w:t>Lesotho</w:t>
            </w:r>
            <w:r w:rsidRPr="00853C9F">
              <w:rPr>
                <w:spacing w:val="-2"/>
                <w:sz w:val="16"/>
                <w:szCs w:val="16"/>
                <w:lang w:val="en-US"/>
              </w:rPr>
              <w:t xml:space="preserve">, </w:t>
            </w:r>
            <w:r w:rsidRPr="00853C9F">
              <w:rPr>
                <w:b/>
                <w:bCs/>
                <w:spacing w:val="-2"/>
                <w:sz w:val="16"/>
                <w:szCs w:val="16"/>
                <w:lang w:val="en-US"/>
              </w:rPr>
              <w:t>Malawi</w:t>
            </w:r>
            <w:r w:rsidRPr="00853C9F">
              <w:rPr>
                <w:spacing w:val="-2"/>
                <w:sz w:val="16"/>
                <w:szCs w:val="16"/>
                <w:lang w:val="en-US"/>
              </w:rPr>
              <w:t xml:space="preserve">, </w:t>
            </w:r>
            <w:r w:rsidRPr="00853C9F">
              <w:rPr>
                <w:b/>
                <w:bCs/>
                <w:spacing w:val="-2"/>
                <w:sz w:val="16"/>
                <w:szCs w:val="16"/>
                <w:lang w:val="en-US"/>
              </w:rPr>
              <w:t>Namibia</w:t>
            </w:r>
            <w:r w:rsidRPr="00853C9F">
              <w:rPr>
                <w:spacing w:val="-2"/>
                <w:sz w:val="16"/>
                <w:szCs w:val="16"/>
                <w:lang w:val="en-US"/>
              </w:rPr>
              <w:t xml:space="preserve">, </w:t>
            </w:r>
            <w:r w:rsidRPr="00853C9F">
              <w:rPr>
                <w:b/>
                <w:bCs/>
                <w:spacing w:val="-2"/>
                <w:sz w:val="16"/>
                <w:szCs w:val="16"/>
                <w:lang w:val="en-US"/>
              </w:rPr>
              <w:t>the Dem. Rep. of the Congo,</w:t>
            </w:r>
            <w:r w:rsidRPr="00853C9F">
              <w:rPr>
                <w:spacing w:val="-2"/>
                <w:sz w:val="16"/>
                <w:szCs w:val="16"/>
                <w:lang w:val="en-US"/>
              </w:rPr>
              <w:t xml:space="preserve"> </w:t>
            </w:r>
            <w:r w:rsidRPr="00853C9F">
              <w:rPr>
                <w:b/>
                <w:bCs/>
                <w:spacing w:val="-2"/>
                <w:sz w:val="16"/>
                <w:szCs w:val="16"/>
                <w:lang w:val="en-US"/>
              </w:rPr>
              <w:t>Rwanda, South Africa</w:t>
            </w:r>
            <w:r w:rsidRPr="00853C9F">
              <w:rPr>
                <w:spacing w:val="-2"/>
                <w:sz w:val="16"/>
                <w:szCs w:val="16"/>
                <w:lang w:val="en-US"/>
              </w:rPr>
              <w:t>,</w:t>
            </w:r>
            <w:r w:rsidRPr="00853C9F">
              <w:rPr>
                <w:b/>
                <w:bCs/>
                <w:spacing w:val="-2"/>
                <w:sz w:val="16"/>
                <w:szCs w:val="16"/>
                <w:lang w:val="en-US"/>
              </w:rPr>
              <w:t xml:space="preserve"> Swaziland</w:t>
            </w:r>
            <w:r w:rsidRPr="00853C9F">
              <w:rPr>
                <w:spacing w:val="-2"/>
                <w:sz w:val="16"/>
                <w:szCs w:val="16"/>
                <w:lang w:val="en-US"/>
              </w:rPr>
              <w:t>,</w:t>
            </w:r>
            <w:r w:rsidRPr="00853C9F">
              <w:rPr>
                <w:b/>
                <w:bCs/>
                <w:spacing w:val="-2"/>
                <w:sz w:val="16"/>
                <w:szCs w:val="16"/>
                <w:lang w:val="en-US"/>
              </w:rPr>
              <w:t xml:space="preserve"> Zambia and Zimbabwe</w:t>
            </w:r>
            <w:r w:rsidRPr="00853C9F">
              <w:rPr>
                <w:spacing w:val="-2"/>
                <w:sz w:val="16"/>
                <w:szCs w:val="16"/>
                <w:lang w:val="en-US"/>
              </w:rPr>
              <w:t xml:space="preserve">, the band 50-54 MHz </w:t>
            </w:r>
            <w:proofErr w:type="gramStart"/>
            <w:r w:rsidRPr="00853C9F">
              <w:rPr>
                <w:spacing w:val="-2"/>
                <w:sz w:val="16"/>
                <w:szCs w:val="16"/>
                <w:lang w:val="en-US"/>
              </w:rPr>
              <w:t>is allocated</w:t>
            </w:r>
            <w:proofErr w:type="gramEnd"/>
            <w:r w:rsidRPr="00853C9F">
              <w:rPr>
                <w:spacing w:val="-2"/>
                <w:sz w:val="16"/>
                <w:szCs w:val="16"/>
                <w:lang w:val="en-US"/>
              </w:rPr>
              <w:t xml:space="preserve"> to the amateur service on a primary basis. In Senegal, the band 50-51 MHz </w:t>
            </w:r>
            <w:proofErr w:type="gramStart"/>
            <w:r w:rsidRPr="00853C9F">
              <w:rPr>
                <w:spacing w:val="-2"/>
                <w:sz w:val="16"/>
                <w:szCs w:val="16"/>
                <w:lang w:val="en-US"/>
              </w:rPr>
              <w:t>is allocated</w:t>
            </w:r>
            <w:proofErr w:type="gramEnd"/>
            <w:r w:rsidRPr="00853C9F">
              <w:rPr>
                <w:spacing w:val="-2"/>
                <w:sz w:val="16"/>
                <w:szCs w:val="16"/>
                <w:lang w:val="en-US"/>
              </w:rPr>
              <w:t xml:space="preserve"> to the amateur service on a primary basis. </w:t>
            </w:r>
            <w:r w:rsidRPr="00853C9F">
              <w:rPr>
                <w:spacing w:val="-2"/>
                <w:sz w:val="10"/>
                <w:szCs w:val="10"/>
                <w:lang w:val="en-US"/>
              </w:rPr>
              <w:t>(WRC-12)</w:t>
            </w:r>
          </w:p>
        </w:tc>
      </w:tr>
    </w:tbl>
    <w:p w14:paraId="7ADEF6EA" w14:textId="77777777" w:rsidR="007775E0" w:rsidRPr="00FE46A5" w:rsidRDefault="007775E0" w:rsidP="00FE46A5">
      <w:pPr>
        <w:pStyle w:val="Tabletext"/>
        <w:rPr>
          <w:lang w:val="en-US"/>
        </w:rPr>
      </w:pPr>
    </w:p>
    <w:p w14:paraId="0597F331" w14:textId="16B079EC" w:rsidR="002C43D3" w:rsidRPr="00FE46A5" w:rsidRDefault="002C43D3" w:rsidP="00D11754">
      <w:pPr>
        <w:pStyle w:val="Tablefin"/>
        <w:tabs>
          <w:tab w:val="left" w:pos="284"/>
        </w:tabs>
        <w:spacing w:before="40" w:after="40"/>
        <w:rPr>
          <w:lang w:val="en-US"/>
        </w:rPr>
      </w:pPr>
      <w:r w:rsidRPr="00FE46A5">
        <w:rPr>
          <w:vertAlign w:val="superscript"/>
          <w:lang w:val="en-US"/>
        </w:rPr>
        <w:t>1</w:t>
      </w:r>
      <w:r w:rsidRPr="00D11754">
        <w:rPr>
          <w:lang w:val="en-US"/>
        </w:rPr>
        <w:t xml:space="preserve"> </w:t>
      </w:r>
      <w:r w:rsidR="00D11754">
        <w:rPr>
          <w:lang w:val="en-US"/>
        </w:rPr>
        <w:tab/>
      </w:r>
      <w:r w:rsidRPr="00D11754">
        <w:rPr>
          <w:lang w:val="en-US"/>
        </w:rPr>
        <w:t>Status: P = primary, S = Secondary, No info = no information available</w:t>
      </w:r>
      <w:r w:rsidR="00D11754">
        <w:rPr>
          <w:lang w:val="en-US"/>
        </w:rPr>
        <w:t>.</w:t>
      </w:r>
      <w:r w:rsidRPr="00FE46A5">
        <w:rPr>
          <w:vertAlign w:val="superscript"/>
          <w:lang w:val="en-US"/>
        </w:rPr>
        <w:t>2</w:t>
      </w:r>
      <w:r w:rsidRPr="00D11754">
        <w:rPr>
          <w:iCs w:val="0"/>
          <w:lang w:val="en-US"/>
        </w:rPr>
        <w:t xml:space="preserve"> </w:t>
      </w:r>
      <w:r w:rsidR="00D11754">
        <w:rPr>
          <w:iCs w:val="0"/>
          <w:lang w:val="en-US"/>
        </w:rPr>
        <w:tab/>
      </w:r>
      <w:r w:rsidRPr="00FE46A5">
        <w:rPr>
          <w:lang w:val="en-US"/>
        </w:rPr>
        <w:t xml:space="preserve">RR is the applicable Radio Regulation </w:t>
      </w:r>
      <w:r w:rsidR="00D11754" w:rsidRPr="00D11754">
        <w:rPr>
          <w:lang w:val="en-US"/>
        </w:rPr>
        <w:t xml:space="preserve">Article </w:t>
      </w:r>
      <w:r w:rsidRPr="00FE46A5">
        <w:rPr>
          <w:b/>
          <w:bCs/>
          <w:lang w:val="en-US"/>
        </w:rPr>
        <w:t>5</w:t>
      </w:r>
      <w:r w:rsidRPr="00FE46A5">
        <w:rPr>
          <w:lang w:val="en-US"/>
        </w:rPr>
        <w:t xml:space="preserve"> footnote</w:t>
      </w:r>
      <w:r w:rsidR="00D11754">
        <w:rPr>
          <w:lang w:val="en-US"/>
        </w:rPr>
        <w:t>.</w:t>
      </w:r>
    </w:p>
    <w:p w14:paraId="31594564" w14:textId="77777777" w:rsidR="002C43D3" w:rsidRPr="00853C9F" w:rsidRDefault="002C43D3" w:rsidP="00CC515C">
      <w:pPr>
        <w:pStyle w:val="Tablefin"/>
        <w:rPr>
          <w:lang w:val="en-US"/>
        </w:rPr>
      </w:pPr>
    </w:p>
    <w:p w14:paraId="2E8C90A6" w14:textId="646589C3" w:rsidR="00EB242E" w:rsidRPr="00FE46A5" w:rsidRDefault="00EB242E">
      <w:pPr>
        <w:pStyle w:val="Heading1"/>
      </w:pPr>
      <w:bookmarkStart w:id="19" w:name="_Toc449638999"/>
      <w:bookmarkStart w:id="20" w:name="_Toc451373075"/>
      <w:bookmarkStart w:id="21" w:name="_Toc451353754"/>
      <w:bookmarkStart w:id="22" w:name="_Toc467231961"/>
      <w:bookmarkStart w:id="23" w:name="_Toc467487672"/>
      <w:r w:rsidRPr="00FE46A5">
        <w:t>3</w:t>
      </w:r>
      <w:r w:rsidR="001549CF" w:rsidRPr="00FE46A5">
        <w:tab/>
      </w:r>
      <w:r w:rsidRPr="00FE46A5">
        <w:t>Spectrum needs for the amateur service in Region 1</w:t>
      </w:r>
      <w:bookmarkEnd w:id="19"/>
      <w:bookmarkEnd w:id="20"/>
      <w:bookmarkEnd w:id="21"/>
      <w:bookmarkEnd w:id="22"/>
      <w:bookmarkEnd w:id="23"/>
    </w:p>
    <w:p w14:paraId="6FF17186" w14:textId="409990F7" w:rsidR="00424761" w:rsidRDefault="00424761" w:rsidP="00D11754">
      <w:pPr>
        <w:spacing w:after="120"/>
      </w:pPr>
      <w:r>
        <w:rPr>
          <w:rFonts w:eastAsia="Arial"/>
        </w:rPr>
        <w:t xml:space="preserve">The 50-54 MHz frequency band </w:t>
      </w:r>
      <w:proofErr w:type="gramStart"/>
      <w:r>
        <w:rPr>
          <w:rFonts w:eastAsia="Arial"/>
        </w:rPr>
        <w:t>is allocated</w:t>
      </w:r>
      <w:proofErr w:type="gramEnd"/>
      <w:r>
        <w:rPr>
          <w:rFonts w:eastAsia="Arial"/>
        </w:rPr>
        <w:t xml:space="preserve"> to the Amateur Serv</w:t>
      </w:r>
      <w:r w:rsidR="0000431D">
        <w:rPr>
          <w:rFonts w:eastAsia="Arial"/>
        </w:rPr>
        <w:t xml:space="preserve">ice by ITU in Regions 2 and 3. </w:t>
      </w:r>
      <w:proofErr w:type="gramStart"/>
      <w:r>
        <w:rPr>
          <w:rFonts w:eastAsia="Arial"/>
        </w:rPr>
        <w:t xml:space="preserve">While the Region 1 African countries listed in RR No. </w:t>
      </w:r>
      <w:r w:rsidRPr="0075148D">
        <w:rPr>
          <w:rFonts w:eastAsia="Arial"/>
          <w:b/>
          <w:bCs/>
        </w:rPr>
        <w:t>5.169</w:t>
      </w:r>
      <w:r>
        <w:rPr>
          <w:rFonts w:eastAsia="Arial"/>
        </w:rPr>
        <w:t xml:space="preserve"> have an allocation to the amateur service in the 50-54 MHz frequency band on a primary basis, a number of other Region 1 countries have authorised the use of all or parts of the 50-52 MHz frequency band by the amateur service on a mainly secondary (but sometimes national primary) basis in accordance with RR No. </w:t>
      </w:r>
      <w:r w:rsidRPr="0075148D">
        <w:rPr>
          <w:rFonts w:eastAsia="Arial"/>
          <w:b/>
          <w:bCs/>
        </w:rPr>
        <w:t>4.4</w:t>
      </w:r>
      <w:r>
        <w:rPr>
          <w:rFonts w:eastAsia="Arial"/>
        </w:rPr>
        <w:t>.</w:t>
      </w:r>
      <w:proofErr w:type="gramEnd"/>
      <w:r>
        <w:rPr>
          <w:rFonts w:eastAsia="Arial"/>
        </w:rPr>
        <w:t xml:space="preserve"> The opportunity provided by WRC-19 AI 1.1 to achieve global harmonisation would provide the means to introduce new and innovative communications systems, as well as regularising existing amateur service usage in the 50-54 MHz frequency band, including a reduction in the number of footnotes in RR Article </w:t>
      </w:r>
      <w:r w:rsidRPr="0075148D">
        <w:rPr>
          <w:rFonts w:eastAsia="Arial"/>
          <w:b/>
          <w:bCs/>
        </w:rPr>
        <w:t>5</w:t>
      </w:r>
      <w:r>
        <w:rPr>
          <w:rFonts w:eastAsia="Arial"/>
        </w:rPr>
        <w:t>.</w:t>
      </w:r>
    </w:p>
    <w:p w14:paraId="1C9D2781" w14:textId="2F4CF031" w:rsidR="00424761" w:rsidRDefault="00424761" w:rsidP="00D11754">
      <w:pPr>
        <w:spacing w:after="120"/>
        <w:rPr>
          <w:rFonts w:eastAsia="Arial"/>
        </w:rPr>
      </w:pPr>
      <w:r>
        <w:rPr>
          <w:rFonts w:eastAsia="Arial"/>
        </w:rPr>
        <w:lastRenderedPageBreak/>
        <w:t xml:space="preserve">The following paragraphs provide the reasons for the creation of a global allocation </w:t>
      </w:r>
      <w:proofErr w:type="gramStart"/>
      <w:r>
        <w:rPr>
          <w:rFonts w:eastAsia="Arial"/>
        </w:rPr>
        <w:t>to the amateur service in the band 50-54 MHz, in response to AI 1.1 of WRC-19</w:t>
      </w:r>
      <w:proofErr w:type="gramEnd"/>
      <w:r>
        <w:rPr>
          <w:rFonts w:eastAsia="Arial"/>
        </w:rPr>
        <w:t>.</w:t>
      </w:r>
    </w:p>
    <w:p w14:paraId="54014339" w14:textId="4904C536" w:rsidR="00424761" w:rsidRPr="00CD27C2" w:rsidRDefault="00D23162" w:rsidP="00FE46A5">
      <w:pPr>
        <w:pStyle w:val="Heading2"/>
      </w:pPr>
      <w:bookmarkStart w:id="24" w:name="_Toc467231962"/>
      <w:bookmarkStart w:id="25" w:name="_Toc467487673"/>
      <w:r>
        <w:t>3.1</w:t>
      </w:r>
      <w:r>
        <w:tab/>
      </w:r>
      <w:r w:rsidR="00424761">
        <w:t>Background/reason</w:t>
      </w:r>
      <w:bookmarkEnd w:id="24"/>
      <w:bookmarkEnd w:id="25"/>
    </w:p>
    <w:p w14:paraId="4F7CC6DC" w14:textId="1B71232A" w:rsidR="00424761" w:rsidRDefault="00424761" w:rsidP="00D11754">
      <w:pPr>
        <w:spacing w:after="120"/>
        <w:rPr>
          <w:rFonts w:eastAsia="Arial"/>
        </w:rPr>
      </w:pPr>
      <w:r>
        <w:rPr>
          <w:rFonts w:eastAsia="Arial"/>
        </w:rPr>
        <w:t xml:space="preserve">The frequency range 30-80 MHz marks the transition area between ionospheric and non-ionospheric propagation modes, which makes it particularly interesting for experimentation and study within the amateur service. An allocation with-in this frequency range in Article </w:t>
      </w:r>
      <w:r w:rsidRPr="0075148D">
        <w:rPr>
          <w:rFonts w:eastAsia="Arial"/>
          <w:b/>
          <w:bCs/>
        </w:rPr>
        <w:t>5</w:t>
      </w:r>
      <w:r>
        <w:rPr>
          <w:rFonts w:eastAsia="Arial"/>
        </w:rPr>
        <w:t xml:space="preserve"> of the Radio Regulations has not been generally available to the amateur service in Region 1 for over half a century. Alignment with Regions 2 and 3 would therefore facilitate the general </w:t>
      </w:r>
      <w:proofErr w:type="gramStart"/>
      <w:r>
        <w:rPr>
          <w:rFonts w:eastAsia="Arial"/>
        </w:rPr>
        <w:t>understanding and prediction of propagation events as data accumulates</w:t>
      </w:r>
      <w:proofErr w:type="gramEnd"/>
      <w:r>
        <w:rPr>
          <w:rFonts w:eastAsia="Arial"/>
        </w:rPr>
        <w:t xml:space="preserve"> and more Region 1 administrations grant their amateur licensees access to spectrum in the</w:t>
      </w:r>
      <w:r w:rsidR="00D11754">
        <w:rPr>
          <w:rFonts w:eastAsia="Arial"/>
        </w:rPr>
        <w:t xml:space="preserve"> </w:t>
      </w:r>
      <w:r>
        <w:rPr>
          <w:rFonts w:eastAsia="Arial"/>
        </w:rPr>
        <w:t>50-54 MHz frequency band.</w:t>
      </w:r>
    </w:p>
    <w:p w14:paraId="00E5C802" w14:textId="77777777" w:rsidR="00424761" w:rsidRDefault="00424761" w:rsidP="00424761">
      <w:pPr>
        <w:rPr>
          <w:rFonts w:eastAsia="Arial"/>
        </w:rPr>
      </w:pPr>
      <w:proofErr w:type="gramStart"/>
      <w:r>
        <w:rPr>
          <w:rFonts w:eastAsia="Arial"/>
        </w:rPr>
        <w:t>A number of propagation modes are used by amateurs in the range 50-54 MHz</w:t>
      </w:r>
      <w:proofErr w:type="gramEnd"/>
      <w:r>
        <w:rPr>
          <w:rFonts w:eastAsia="Arial"/>
        </w:rPr>
        <w:t>:</w:t>
      </w:r>
    </w:p>
    <w:p w14:paraId="0A369F4A" w14:textId="684F69F9"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Free-space (line of sight)</w:t>
      </w:r>
    </w:p>
    <w:p w14:paraId="6C8993F3" w14:textId="4D23E001"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 xml:space="preserve">Sporadic-E ‘clouds’ </w:t>
      </w:r>
    </w:p>
    <w:p w14:paraId="74FDD436" w14:textId="0AFF3511"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 xml:space="preserve">E and </w:t>
      </w:r>
      <w:proofErr w:type="spellStart"/>
      <w:r w:rsidR="00424761" w:rsidRPr="0000431D">
        <w:rPr>
          <w:rFonts w:eastAsia="Arial"/>
        </w:rPr>
        <w:t>F2</w:t>
      </w:r>
      <w:proofErr w:type="spellEnd"/>
      <w:r w:rsidR="00424761" w:rsidRPr="0000431D">
        <w:rPr>
          <w:rFonts w:eastAsia="Arial"/>
        </w:rPr>
        <w:t xml:space="preserve"> multi-hop and chordal-hop</w:t>
      </w:r>
    </w:p>
    <w:p w14:paraId="48C318AC" w14:textId="4926E860"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Trans-equatorial spread-F</w:t>
      </w:r>
    </w:p>
    <w:p w14:paraId="7F965E77" w14:textId="41951D76"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E-layer Field Aligned Irregularities (FAI)</w:t>
      </w:r>
    </w:p>
    <w:p w14:paraId="46B2EF38" w14:textId="33CCAB5C"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Aurora backscatter</w:t>
      </w:r>
    </w:p>
    <w:p w14:paraId="59901813" w14:textId="415AA7DC"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Meteor scatter</w:t>
      </w:r>
    </w:p>
    <w:p w14:paraId="07F87DDA" w14:textId="1D3922EE"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Earth-Moon-Earth (using the moon's surface as a passive reflector)</w:t>
      </w:r>
    </w:p>
    <w:p w14:paraId="6300CBB7" w14:textId="2940EFF2"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Tropospheric super-refraction and ducting</w:t>
      </w:r>
    </w:p>
    <w:p w14:paraId="30941C2D" w14:textId="688D9283" w:rsidR="00424761" w:rsidRPr="0000431D" w:rsidRDefault="0000431D" w:rsidP="0000431D">
      <w:pPr>
        <w:pStyle w:val="enumlev1"/>
        <w:rPr>
          <w:rFonts w:eastAsia="Arial"/>
        </w:rPr>
      </w:pPr>
      <w:r>
        <w:rPr>
          <w:rFonts w:eastAsia="Arial"/>
        </w:rPr>
        <w:t>–</w:t>
      </w:r>
      <w:r>
        <w:rPr>
          <w:rFonts w:eastAsia="Arial"/>
        </w:rPr>
        <w:tab/>
      </w:r>
      <w:r w:rsidR="00424761" w:rsidRPr="0000431D">
        <w:rPr>
          <w:rFonts w:eastAsia="Arial"/>
        </w:rPr>
        <w:t>Tropospheric scatter</w:t>
      </w:r>
    </w:p>
    <w:p w14:paraId="3D09A504" w14:textId="54F7BDC8" w:rsidR="00424761" w:rsidRPr="0000431D" w:rsidRDefault="0000431D" w:rsidP="0000431D">
      <w:pPr>
        <w:pStyle w:val="enumlev1"/>
        <w:rPr>
          <w:rFonts w:eastAsia="SimSun"/>
        </w:rPr>
      </w:pPr>
      <w:r>
        <w:rPr>
          <w:rFonts w:eastAsia="Arial"/>
        </w:rPr>
        <w:t>–</w:t>
      </w:r>
      <w:r>
        <w:rPr>
          <w:rFonts w:eastAsia="Arial"/>
        </w:rPr>
        <w:tab/>
      </w:r>
      <w:r w:rsidR="00424761" w:rsidRPr="0000431D">
        <w:rPr>
          <w:rFonts w:eastAsia="Arial"/>
        </w:rPr>
        <w:t>Scatter from aircraft and objects in near Earth orbits (e.g. International Space Station)</w:t>
      </w:r>
      <w:r w:rsidR="00D11754" w:rsidRPr="0000431D">
        <w:rPr>
          <w:rFonts w:eastAsia="Arial"/>
        </w:rPr>
        <w:t>.</w:t>
      </w:r>
    </w:p>
    <w:p w14:paraId="360C6CE9" w14:textId="5E202F3A" w:rsidR="00424761" w:rsidRDefault="00424761" w:rsidP="00D11754">
      <w:pPr>
        <w:spacing w:after="120"/>
      </w:pPr>
      <w:r>
        <w:t xml:space="preserve">In recent </w:t>
      </w:r>
      <w:r w:rsidR="0000431D">
        <w:t>years,</w:t>
      </w:r>
      <w:r>
        <w:t xml:space="preserve"> broadcasting has significantly declined in the</w:t>
      </w:r>
      <w:r w:rsidR="00D11754">
        <w:t xml:space="preserve"> </w:t>
      </w:r>
      <w:r>
        <w:t>47</w:t>
      </w:r>
      <w:r>
        <w:rPr>
          <w:rFonts w:eastAsia="Arial"/>
        </w:rPr>
        <w:t>-</w:t>
      </w:r>
      <w:r>
        <w:t xml:space="preserve">68 MHz frequency band and national allocations for the amateur service have already been established in parts of Region 1. For </w:t>
      </w:r>
      <w:r w:rsidR="00FE46A5">
        <w:t>example,</w:t>
      </w:r>
      <w:r>
        <w:t xml:space="preserve"> the European Common Allocation table (ECA) of CEPT has included an allocation to the amateur service in the</w:t>
      </w:r>
      <w:r w:rsidR="00D11754">
        <w:t xml:space="preserve"> </w:t>
      </w:r>
      <w:r>
        <w:t>50</w:t>
      </w:r>
      <w:r>
        <w:rPr>
          <w:rFonts w:eastAsia="Arial"/>
        </w:rPr>
        <w:t>-</w:t>
      </w:r>
      <w:r>
        <w:t>52 MHz frequency band for a number of years.</w:t>
      </w:r>
    </w:p>
    <w:p w14:paraId="15BAF40C" w14:textId="7F67EE1B" w:rsidR="00424761" w:rsidRDefault="00424761" w:rsidP="00D11754">
      <w:pPr>
        <w:spacing w:after="120"/>
      </w:pPr>
      <w:r>
        <w:t xml:space="preserve">By </w:t>
      </w:r>
      <w:r w:rsidR="005718A9">
        <w:t>2020,</w:t>
      </w:r>
      <w:r>
        <w:t xml:space="preserve"> TV Broadcasting in other parts of Region 1 within this frequency range </w:t>
      </w:r>
      <w:proofErr w:type="gramStart"/>
      <w:r>
        <w:t>is expected</w:t>
      </w:r>
      <w:proofErr w:type="gramEnd"/>
      <w:r>
        <w:t xml:space="preserve"> to decline further as conversion to digital television broadcasting continues. Sharing between the broadcasting service and amateur service in the 50</w:t>
      </w:r>
      <w:r>
        <w:rPr>
          <w:rFonts w:eastAsia="Arial"/>
        </w:rPr>
        <w:t>-</w:t>
      </w:r>
      <w:r>
        <w:t xml:space="preserve">54 MHz frequency band in Region 1 should then be minimal. </w:t>
      </w:r>
    </w:p>
    <w:p w14:paraId="40313C30" w14:textId="60B2F717" w:rsidR="00424761" w:rsidRPr="0000431D" w:rsidRDefault="0000431D" w:rsidP="0000431D">
      <w:pPr>
        <w:pStyle w:val="enumlev1"/>
      </w:pPr>
      <w:r>
        <w:t>–</w:t>
      </w:r>
      <w:r>
        <w:tab/>
      </w:r>
      <w:r w:rsidR="00424761" w:rsidRPr="0000431D">
        <w:t>A Region 1 allocation would facilitate further worldwide harmonisation.</w:t>
      </w:r>
    </w:p>
    <w:p w14:paraId="3BDED062" w14:textId="3223CF75" w:rsidR="00424761" w:rsidRPr="0000431D" w:rsidRDefault="0000431D" w:rsidP="0000431D">
      <w:pPr>
        <w:pStyle w:val="enumlev1"/>
      </w:pPr>
      <w:r>
        <w:t>–</w:t>
      </w:r>
      <w:r>
        <w:tab/>
      </w:r>
      <w:r w:rsidR="00424761" w:rsidRPr="0000431D">
        <w:t>Longer term propagation studies would continue and thrive.</w:t>
      </w:r>
    </w:p>
    <w:p w14:paraId="6DED1C5C" w14:textId="33301010" w:rsidR="00424761" w:rsidRDefault="00424761" w:rsidP="00D11754">
      <w:pPr>
        <w:spacing w:after="120"/>
      </w:pPr>
      <w:r>
        <w:t xml:space="preserve">The amateur service sees a need to bridge the very wide gap between the existing allocations to the amateur service at 28 MHz and 144 MHz in Region 1 thus avoiding the use of RR No. </w:t>
      </w:r>
      <w:r w:rsidRPr="0075148D">
        <w:rPr>
          <w:b/>
          <w:bCs/>
        </w:rPr>
        <w:t>4.4</w:t>
      </w:r>
      <w:r>
        <w:t xml:space="preserve"> by those administrations in Region 1, not party to RR No. </w:t>
      </w:r>
      <w:r w:rsidRPr="0075148D">
        <w:rPr>
          <w:b/>
          <w:bCs/>
        </w:rPr>
        <w:t>5.169</w:t>
      </w:r>
      <w:r>
        <w:t>, which have provided an allocation to the amateur service within the</w:t>
      </w:r>
      <w:r w:rsidR="00D11754">
        <w:t xml:space="preserve"> </w:t>
      </w:r>
      <w:r>
        <w:t>50</w:t>
      </w:r>
      <w:r>
        <w:rPr>
          <w:rFonts w:eastAsia="Arial"/>
        </w:rPr>
        <w:t>-</w:t>
      </w:r>
      <w:r>
        <w:t>54 MHz frequency band.</w:t>
      </w:r>
    </w:p>
    <w:p w14:paraId="2DCF1569" w14:textId="5BAC8353" w:rsidR="00424761" w:rsidRPr="002E2B9E" w:rsidRDefault="00D23162" w:rsidP="00FE46A5">
      <w:pPr>
        <w:pStyle w:val="Heading2"/>
      </w:pPr>
      <w:bookmarkStart w:id="26" w:name="_Toc467231963"/>
      <w:bookmarkStart w:id="27" w:name="_Toc467487674"/>
      <w:r>
        <w:t>3.2</w:t>
      </w:r>
      <w:r>
        <w:tab/>
      </w:r>
      <w:r w:rsidR="00424761">
        <w:t>Need/Justification</w:t>
      </w:r>
      <w:bookmarkEnd w:id="26"/>
      <w:bookmarkEnd w:id="27"/>
    </w:p>
    <w:p w14:paraId="7C751A95" w14:textId="468BA417" w:rsidR="00424761" w:rsidRDefault="00424761" w:rsidP="00C72CB5">
      <w:r>
        <w:t>The amateur service, with more than three million operators worldwide, continues to grow. Radio amateurs utilise allocations to the amateur service to engage in scientific and technical investigation and experimentation, provide communication in the wake of natural disasters, provide non</w:t>
      </w:r>
      <w:r w:rsidR="00C72CB5">
        <w:noBreakHyphen/>
      </w:r>
      <w:r>
        <w:t xml:space="preserve">commercial public service communications, conduct other activities to advance technical education, develop </w:t>
      </w:r>
      <w:proofErr w:type="gramStart"/>
      <w:r>
        <w:t>radio operating</w:t>
      </w:r>
      <w:proofErr w:type="gramEnd"/>
      <w:r>
        <w:t xml:space="preserve"> technique and enhance international goodwill. </w:t>
      </w:r>
    </w:p>
    <w:p w14:paraId="3389C43C" w14:textId="5869C61F" w:rsidR="00424761" w:rsidRDefault="00424761" w:rsidP="00C72CB5">
      <w:r>
        <w:lastRenderedPageBreak/>
        <w:t xml:space="preserve">As mentioned previously, a number of Region 1 countries not party to RR No. </w:t>
      </w:r>
      <w:r w:rsidRPr="0075148D">
        <w:rPr>
          <w:b/>
          <w:bCs/>
        </w:rPr>
        <w:t>5.169</w:t>
      </w:r>
      <w:r>
        <w:t xml:space="preserve"> have made all or parts of the 50</w:t>
      </w:r>
      <w:r>
        <w:rPr>
          <w:rFonts w:eastAsia="Arial"/>
        </w:rPr>
        <w:t>-</w:t>
      </w:r>
      <w:r>
        <w:t xml:space="preserve">52 MHz frequency band available to the amateur service by means of RR No. </w:t>
      </w:r>
      <w:r w:rsidRPr="0075148D">
        <w:rPr>
          <w:b/>
          <w:bCs/>
        </w:rPr>
        <w:t>4.4</w:t>
      </w:r>
      <w:r>
        <w:t>. The lower part of this frequency range is utilised for weak signal communications which would derive great benefit from harmonisation with Regions 2 and 3. The essential need here is for 500</w:t>
      </w:r>
      <w:r w:rsidR="00C72CB5">
        <w:t> </w:t>
      </w:r>
      <w:proofErr w:type="gramStart"/>
      <w:r>
        <w:t>kHz</w:t>
      </w:r>
      <w:proofErr w:type="gramEnd"/>
      <w:r>
        <w:t xml:space="preserve"> of narrowband applications including propagation beacons. </w:t>
      </w:r>
    </w:p>
    <w:p w14:paraId="473A003F" w14:textId="31B301B4" w:rsidR="00424761" w:rsidRPr="0000431D" w:rsidRDefault="00424761" w:rsidP="00424761">
      <w:r>
        <w:t>The frequency range 50.5-52 MHz is currently utilised for voice communications using fr</w:t>
      </w:r>
      <w:r w:rsidR="00CD2473">
        <w:t xml:space="preserve">equency or phase </w:t>
      </w:r>
      <w:r w:rsidR="001C16FE">
        <w:t>modulation,</w:t>
      </w:r>
      <w:r>
        <w:t xml:space="preserve"> Data, </w:t>
      </w:r>
      <w:proofErr w:type="gramStart"/>
      <w:r>
        <w:t>Gateways</w:t>
      </w:r>
      <w:proofErr w:type="gramEnd"/>
      <w:r>
        <w:t xml:space="preserve"> and FM Repeaters. Concerning two frequency </w:t>
      </w:r>
      <w:r w:rsidR="00CD2473">
        <w:t>repeaters</w:t>
      </w:r>
      <w:r>
        <w:t xml:space="preserve">, sufficient separation must be available between input and output frequencies in order to be able </w:t>
      </w:r>
      <w:proofErr w:type="gramStart"/>
      <w:r>
        <w:t>to easily engineer</w:t>
      </w:r>
      <w:proofErr w:type="gramEnd"/>
      <w:r>
        <w:t xml:space="preserve"> the cavity diplexers required for such installations.  Digital Voice (DV) and data </w:t>
      </w:r>
      <w:proofErr w:type="gramStart"/>
      <w:r>
        <w:t>is already being used</w:t>
      </w:r>
      <w:proofErr w:type="gramEnd"/>
      <w:r>
        <w:t xml:space="preserve"> for 50 MHz VHF mobile networks in the amateur service incorporating text and simple voice messaging. Such systems have shown to be of considerable value in emergency communications. See RR No. </w:t>
      </w:r>
      <w:r w:rsidR="00FE46A5" w:rsidRPr="0075148D">
        <w:rPr>
          <w:b/>
          <w:bCs/>
        </w:rPr>
        <w:t>25.3</w:t>
      </w:r>
      <w:r w:rsidR="00FE46A5" w:rsidRPr="0000431D">
        <w:t>.</w:t>
      </w:r>
    </w:p>
    <w:p w14:paraId="1728518C" w14:textId="25AD1CE2" w:rsidR="00424761" w:rsidRDefault="00424761" w:rsidP="00424761">
      <w:r>
        <w:t>Additional spectrum above 52 MHz is required in order to give amateur radio room to develop new innovative applications, systems and modes in keeping with 21</w:t>
      </w:r>
      <w:r>
        <w:rPr>
          <w:vertAlign w:val="superscript"/>
        </w:rPr>
        <w:t>st</w:t>
      </w:r>
      <w:r>
        <w:t xml:space="preserve"> century developments and to assist young people in developing new communications skills. Based on current experimentation, in general these will be digital, combining voice</w:t>
      </w:r>
      <w:r w:rsidR="001C16FE">
        <w:t>,</w:t>
      </w:r>
      <w:r>
        <w:t xml:space="preserve"> </w:t>
      </w:r>
      <w:proofErr w:type="gramStart"/>
      <w:r>
        <w:t>video</w:t>
      </w:r>
      <w:proofErr w:type="gramEnd"/>
      <w:r>
        <w:t xml:space="preserve"> and data like services encompassing a wide range of appropriate bandwidths. These applications, systems and modes may be used in conjunction with HAMNET, a mainly IP based broadband point-to-point network in the amateur service utilising spectrum mainly in allocations to the amateur service at 2.3 GHz and 5.7 GHz.  </w:t>
      </w:r>
    </w:p>
    <w:p w14:paraId="00CD277A" w14:textId="2EEA92A5" w:rsidR="00424761" w:rsidRDefault="00424761" w:rsidP="00D11754">
      <w:r>
        <w:t>In addition, access to the entire 50</w:t>
      </w:r>
      <w:r>
        <w:rPr>
          <w:rFonts w:eastAsia="Arial"/>
        </w:rPr>
        <w:t>-</w:t>
      </w:r>
      <w:r>
        <w:t>54 MHz frequency band in Region 1</w:t>
      </w:r>
      <w:r w:rsidR="001C16FE">
        <w:t xml:space="preserve"> </w:t>
      </w:r>
      <w:r>
        <w:t xml:space="preserve">would mitigate problems experienced by the amateur service in several ways. The widespread rise in the overall noise floor in MF and HF spectrum increasingly renders lower frequencies allocated to the amateur service subject to disturbance and harmful interference, particularly in urban environments. </w:t>
      </w:r>
      <w:r w:rsidR="00FE46A5">
        <w:t>Furthermore,</w:t>
      </w:r>
      <w:r>
        <w:t xml:space="preserve"> additional VHF spectrum would help to compensate for possible loss of spectrum identified for IMT in the 2.3 GHz band and the 3.4 GHz bands at recent WRCs. This would apply especially for wideband modes such as data and </w:t>
      </w:r>
      <w:proofErr w:type="gramStart"/>
      <w:r>
        <w:t>multimedia which</w:t>
      </w:r>
      <w:proofErr w:type="gramEnd"/>
      <w:r>
        <w:t xml:space="preserve"> are increasingly being displaced from these bands. </w:t>
      </w:r>
    </w:p>
    <w:p w14:paraId="59702EF6" w14:textId="77777777" w:rsidR="00424761" w:rsidRDefault="00424761" w:rsidP="00424761">
      <w:r>
        <w:t xml:space="preserve">Amateur innovation in the 52-54 MHz frequency band could also pioneer the way for commercial applications in other parts of the low VHF band where many administrations are investigating how such spectrum </w:t>
      </w:r>
      <w:proofErr w:type="gramStart"/>
      <w:r>
        <w:t>might be used</w:t>
      </w:r>
      <w:proofErr w:type="gramEnd"/>
      <w:r>
        <w:t xml:space="preserve"> in an efficient and effective manner. HoT (HAMNET of Things), Machine to Machine and Station to Remote Station </w:t>
      </w:r>
      <w:proofErr w:type="gramStart"/>
      <w:r>
        <w:t>are</w:t>
      </w:r>
      <w:proofErr w:type="gramEnd"/>
      <w:r>
        <w:t xml:space="preserve"> anticipated applications. </w:t>
      </w:r>
    </w:p>
    <w:p w14:paraId="3FC683B0" w14:textId="0F55A882" w:rsidR="00424761" w:rsidRDefault="00424761" w:rsidP="00D11754">
      <w:r>
        <w:t>Unlike Region 2 and in some cases Region 3, the amateur service in Region 1 does not have allocations elsewhere in the VHF range at 146-148 MHz and 220-225 MHz; harmonising with Regions 2 and 3 in the 50</w:t>
      </w:r>
      <w:r w:rsidR="00D11754">
        <w:t>-</w:t>
      </w:r>
      <w:r>
        <w:t>54 MHz frequency band would therefore seem appropriate, especially if global networks with roaming capabilities are eventually realised.</w:t>
      </w:r>
    </w:p>
    <w:p w14:paraId="032BAABD" w14:textId="62515107" w:rsidR="0038713A" w:rsidRPr="00651F08" w:rsidRDefault="00424761" w:rsidP="00D11754">
      <w:r>
        <w:t xml:space="preserve">Current trials show that Reduced Bandwidth </w:t>
      </w:r>
      <w:r w:rsidR="00AD405D">
        <w:t>d</w:t>
      </w:r>
      <w:r>
        <w:t xml:space="preserve">igital </w:t>
      </w:r>
      <w:r w:rsidR="00AD405D">
        <w:t>a</w:t>
      </w:r>
      <w:r>
        <w:t>mateur T</w:t>
      </w:r>
      <w:r w:rsidR="00AD405D">
        <w:t>elevision (RB-</w:t>
      </w:r>
      <w:r w:rsidR="00D51610">
        <w:t>DA</w:t>
      </w:r>
      <w:r>
        <w:t xml:space="preserve">TV) could also be </w:t>
      </w:r>
      <w:r w:rsidRPr="00D51610">
        <w:t xml:space="preserve">implemented above 52 MHz. With leading-edge amateur innovation, currently the lowest data rate achievable for RB-DATV (MPEG-4/DVB-S QPSK) is 333 kb/s requiring a necessary bandwidth of 500 kHz. </w:t>
      </w:r>
      <w:r w:rsidR="00AD405D" w:rsidRPr="00D51610">
        <w:t xml:space="preserve">See </w:t>
      </w:r>
      <w:r w:rsidR="00651F08" w:rsidRPr="00FE46A5">
        <w:t xml:space="preserve">for example </w:t>
      </w:r>
      <w:r w:rsidR="00AD405D" w:rsidRPr="00D51610">
        <w:t xml:space="preserve">the Radio Society of Great Britain </w:t>
      </w:r>
      <w:r w:rsidR="00AD405D" w:rsidRPr="00FE46A5">
        <w:rPr>
          <w:i/>
        </w:rPr>
        <w:t>RadCom</w:t>
      </w:r>
      <w:r w:rsidR="00AD405D" w:rsidRPr="00D51610">
        <w:t xml:space="preserve"> journal of November 2014 and the British Amateur Television Club </w:t>
      </w:r>
      <w:r w:rsidR="00AD405D" w:rsidRPr="00FE46A5">
        <w:rPr>
          <w:i/>
        </w:rPr>
        <w:t>CQ-TV</w:t>
      </w:r>
      <w:r w:rsidR="00AD405D" w:rsidRPr="00D51610">
        <w:t xml:space="preserve"> journal of May 2015 for further details of this experimental work.</w:t>
      </w:r>
    </w:p>
    <w:p w14:paraId="3D8D4734" w14:textId="5D22B285" w:rsidR="00424761" w:rsidRPr="00FE46A5" w:rsidRDefault="00424761" w:rsidP="00D11754">
      <w:pPr>
        <w:rPr>
          <w:lang w:eastAsia="en-IE"/>
        </w:rPr>
      </w:pPr>
      <w:r>
        <w:t xml:space="preserve">When the hardware to support such applications matures, it </w:t>
      </w:r>
      <w:proofErr w:type="gramStart"/>
      <w:r>
        <w:t>is expected</w:t>
      </w:r>
      <w:proofErr w:type="gramEnd"/>
      <w:r>
        <w:t xml:space="preserve"> that there will be greater demands for VHF amateur spectrum to</w:t>
      </w:r>
      <w:r w:rsidR="00D11754">
        <w:t xml:space="preserve"> </w:t>
      </w:r>
      <w:r>
        <w:t>provide some form of one-to-one amateur video communications as well as other data services.</w:t>
      </w:r>
    </w:p>
    <w:p w14:paraId="1FD7BA83" w14:textId="78E3E547" w:rsidR="00EB242E" w:rsidRPr="00853C9F" w:rsidRDefault="00EB242E" w:rsidP="001549CF">
      <w:pPr>
        <w:pStyle w:val="Heading1"/>
        <w:rPr>
          <w:lang w:val="en-US"/>
        </w:rPr>
      </w:pPr>
      <w:bookmarkStart w:id="28" w:name="_Toc449638751"/>
      <w:bookmarkStart w:id="29" w:name="_Toc449639000"/>
      <w:bookmarkStart w:id="30" w:name="_Toc449638726"/>
      <w:bookmarkStart w:id="31" w:name="_Toc449638752"/>
      <w:bookmarkStart w:id="32" w:name="_Toc449639001"/>
      <w:bookmarkStart w:id="33" w:name="_Toc449639002"/>
      <w:bookmarkStart w:id="34" w:name="_Toc451373076"/>
      <w:bookmarkStart w:id="35" w:name="_Toc451353755"/>
      <w:bookmarkStart w:id="36" w:name="_Toc467231964"/>
      <w:bookmarkStart w:id="37" w:name="_Toc467487675"/>
      <w:bookmarkEnd w:id="28"/>
      <w:bookmarkEnd w:id="29"/>
      <w:bookmarkEnd w:id="30"/>
      <w:bookmarkEnd w:id="31"/>
      <w:bookmarkEnd w:id="32"/>
      <w:r w:rsidRPr="00853C9F">
        <w:rPr>
          <w:lang w:val="en-US"/>
        </w:rPr>
        <w:lastRenderedPageBreak/>
        <w:t>4</w:t>
      </w:r>
      <w:r w:rsidR="001549CF" w:rsidRPr="00853C9F">
        <w:rPr>
          <w:lang w:val="en-US"/>
        </w:rPr>
        <w:tab/>
      </w:r>
      <w:r w:rsidRPr="00853C9F">
        <w:rPr>
          <w:lang w:val="en-US"/>
        </w:rPr>
        <w:t>Characteristics of amateur stations for sharing studies</w:t>
      </w:r>
      <w:bookmarkEnd w:id="33"/>
      <w:bookmarkEnd w:id="34"/>
      <w:bookmarkEnd w:id="35"/>
      <w:bookmarkEnd w:id="36"/>
      <w:bookmarkEnd w:id="37"/>
    </w:p>
    <w:p w14:paraId="4308A1AE" w14:textId="33FFC36F" w:rsidR="00EB242E" w:rsidRPr="00D11754" w:rsidRDefault="00EB242E" w:rsidP="00FE46A5">
      <w:pPr>
        <w:rPr>
          <w:bCs/>
          <w:szCs w:val="16"/>
          <w:lang w:val="en-US"/>
        </w:rPr>
      </w:pPr>
      <w:r w:rsidRPr="00853C9F">
        <w:rPr>
          <w:lang w:val="en-US" w:eastAsia="zh-CN"/>
        </w:rPr>
        <w:t>There is an existing allocation to</w:t>
      </w:r>
      <w:r w:rsidR="00853C9F">
        <w:rPr>
          <w:lang w:val="en-US" w:eastAsia="zh-CN"/>
        </w:rPr>
        <w:t xml:space="preserve"> the amateur service between 50-</w:t>
      </w:r>
      <w:r w:rsidRPr="00853C9F">
        <w:rPr>
          <w:lang w:val="en-US" w:eastAsia="zh-CN"/>
        </w:rPr>
        <w:t xml:space="preserve">54 MHz in ITU Regions 2 and </w:t>
      </w:r>
      <w:r w:rsidR="00EE3BC3">
        <w:rPr>
          <w:lang w:val="en-US" w:eastAsia="zh-CN"/>
        </w:rPr>
        <w:t>3;</w:t>
      </w:r>
      <w:r w:rsidRPr="00853C9F">
        <w:rPr>
          <w:lang w:val="en-US" w:eastAsia="zh-CN"/>
        </w:rPr>
        <w:t xml:space="preserve"> </w:t>
      </w:r>
      <w:r w:rsidR="00FE46A5" w:rsidRPr="00853C9F">
        <w:rPr>
          <w:lang w:val="en-US" w:eastAsia="zh-CN"/>
        </w:rPr>
        <w:t>therefore,</w:t>
      </w:r>
      <w:r w:rsidRPr="00853C9F">
        <w:rPr>
          <w:lang w:val="en-US" w:eastAsia="zh-CN"/>
        </w:rPr>
        <w:t xml:space="preserve"> the most recent version of Recommendation ITU-R M.1732, “Characteristics of systems</w:t>
      </w:r>
      <w:r w:rsidR="00844CEA">
        <w:rPr>
          <w:lang w:val="en-US" w:eastAsia="zh-CN"/>
        </w:rPr>
        <w:t xml:space="preserve"> </w:t>
      </w:r>
      <w:r w:rsidRPr="00853C9F">
        <w:rPr>
          <w:lang w:val="en-US" w:eastAsia="zh-CN"/>
        </w:rPr>
        <w:t xml:space="preserve">operating in the amateur and amateur-satellite services” for use in sharing studies, contains the current characteristics to </w:t>
      </w:r>
      <w:proofErr w:type="gramStart"/>
      <w:r w:rsidRPr="00853C9F">
        <w:rPr>
          <w:lang w:val="en-US" w:eastAsia="zh-CN"/>
        </w:rPr>
        <w:t>be used</w:t>
      </w:r>
      <w:proofErr w:type="gramEnd"/>
      <w:r w:rsidRPr="00853C9F">
        <w:rPr>
          <w:lang w:val="en-US" w:eastAsia="zh-CN"/>
        </w:rPr>
        <w:t xml:space="preserve"> for the sharing analyses that follow. [Recommendation </w:t>
      </w:r>
      <w:r w:rsidR="00853C9F">
        <w:rPr>
          <w:lang w:val="en-US" w:eastAsia="zh-CN"/>
        </w:rPr>
        <w:t xml:space="preserve">ITU-R </w:t>
      </w:r>
      <w:r w:rsidRPr="00853C9F">
        <w:rPr>
          <w:lang w:val="en-US" w:eastAsia="zh-CN"/>
        </w:rPr>
        <w:t xml:space="preserve">M.1732 is undergoing a revision, which </w:t>
      </w:r>
      <w:proofErr w:type="gramStart"/>
      <w:r w:rsidRPr="00853C9F">
        <w:rPr>
          <w:lang w:val="en-US" w:eastAsia="zh-CN"/>
        </w:rPr>
        <w:t>is scheduled</w:t>
      </w:r>
      <w:proofErr w:type="gramEnd"/>
      <w:r w:rsidRPr="00853C9F">
        <w:rPr>
          <w:lang w:val="en-US" w:eastAsia="zh-CN"/>
        </w:rPr>
        <w:t xml:space="preserve"> for co</w:t>
      </w:r>
      <w:r w:rsidR="00AE72CB">
        <w:rPr>
          <w:lang w:val="en-US" w:eastAsia="zh-CN"/>
        </w:rPr>
        <w:t xml:space="preserve">mpletion by the end of 2016.] </w:t>
      </w:r>
      <w:r w:rsidR="0064603D">
        <w:rPr>
          <w:lang w:val="en-US" w:eastAsia="zh-CN"/>
        </w:rPr>
        <w:t xml:space="preserve">Typical transmission modes that </w:t>
      </w:r>
      <w:proofErr w:type="gramStart"/>
      <w:r w:rsidR="0064603D">
        <w:rPr>
          <w:lang w:val="en-US" w:eastAsia="zh-CN"/>
        </w:rPr>
        <w:t>may be used</w:t>
      </w:r>
      <w:proofErr w:type="gramEnd"/>
      <w:r w:rsidR="0064603D">
        <w:rPr>
          <w:lang w:val="en-US" w:eastAsia="zh-CN"/>
        </w:rPr>
        <w:t xml:space="preserve"> in this band are Morse telegraphy, analog</w:t>
      </w:r>
      <w:r w:rsidR="00F324D9">
        <w:rPr>
          <w:lang w:val="en-US" w:eastAsia="zh-CN"/>
        </w:rPr>
        <w:t>ue</w:t>
      </w:r>
      <w:r w:rsidR="00B935AF">
        <w:rPr>
          <w:lang w:val="en-US" w:eastAsia="zh-CN"/>
        </w:rPr>
        <w:t xml:space="preserve"> and digital voice, r</w:t>
      </w:r>
      <w:r w:rsidR="0064603D">
        <w:rPr>
          <w:lang w:val="en-US" w:eastAsia="zh-CN"/>
        </w:rPr>
        <w:t>elatively low speed data modes</w:t>
      </w:r>
      <w:r w:rsidR="00B935AF">
        <w:rPr>
          <w:lang w:val="en-US" w:eastAsia="zh-CN"/>
        </w:rPr>
        <w:t xml:space="preserve"> and reduced bandwidth digital television.</w:t>
      </w:r>
      <w:r w:rsidR="00844CEA">
        <w:rPr>
          <w:lang w:val="en-US" w:eastAsia="zh-CN"/>
        </w:rPr>
        <w:t xml:space="preserve"> </w:t>
      </w:r>
    </w:p>
    <w:p w14:paraId="443C19EE" w14:textId="0BFF6B76" w:rsidR="00EB242E" w:rsidRDefault="00EB242E" w:rsidP="001549CF">
      <w:pPr>
        <w:pStyle w:val="Heading1"/>
        <w:rPr>
          <w:lang w:val="en-US"/>
        </w:rPr>
      </w:pPr>
      <w:bookmarkStart w:id="38" w:name="_Toc449639003"/>
      <w:bookmarkStart w:id="39" w:name="_Toc451373077"/>
      <w:bookmarkStart w:id="40" w:name="_Toc451353756"/>
      <w:bookmarkStart w:id="41" w:name="_Toc467231965"/>
      <w:bookmarkStart w:id="42" w:name="_Toc467487676"/>
      <w:r w:rsidRPr="00D51610">
        <w:rPr>
          <w:lang w:val="en-US"/>
        </w:rPr>
        <w:t>5</w:t>
      </w:r>
      <w:r w:rsidR="001549CF" w:rsidRPr="00D51610">
        <w:rPr>
          <w:lang w:val="en-US"/>
        </w:rPr>
        <w:tab/>
      </w:r>
      <w:r w:rsidR="00192CBB" w:rsidRPr="00D51610">
        <w:rPr>
          <w:lang w:val="en-US"/>
        </w:rPr>
        <w:t>O</w:t>
      </w:r>
      <w:r w:rsidRPr="00D51610">
        <w:rPr>
          <w:lang w:val="en-US"/>
        </w:rPr>
        <w:t>ther services</w:t>
      </w:r>
      <w:bookmarkEnd w:id="38"/>
      <w:bookmarkEnd w:id="39"/>
      <w:bookmarkEnd w:id="40"/>
      <w:r w:rsidR="00192CBB" w:rsidRPr="00D51610">
        <w:rPr>
          <w:lang w:val="en-US"/>
        </w:rPr>
        <w:t xml:space="preserve"> in th</w:t>
      </w:r>
      <w:r w:rsidR="00B00E16">
        <w:rPr>
          <w:lang w:val="en-US"/>
        </w:rPr>
        <w:t>e 50</w:t>
      </w:r>
      <w:r w:rsidR="00192CBB" w:rsidRPr="00D51610">
        <w:rPr>
          <w:lang w:val="en-US"/>
        </w:rPr>
        <w:t>-54 MHz frequency band</w:t>
      </w:r>
      <w:bookmarkEnd w:id="41"/>
      <w:bookmarkEnd w:id="42"/>
    </w:p>
    <w:p w14:paraId="6F7099A5" w14:textId="7E39C506" w:rsidR="00424761" w:rsidRPr="00853C9F" w:rsidRDefault="00424761" w:rsidP="00424761">
      <w:pPr>
        <w:rPr>
          <w:lang w:val="en-US" w:eastAsia="zh-CN"/>
        </w:rPr>
      </w:pPr>
      <w:r w:rsidRPr="00853C9F">
        <w:rPr>
          <w:lang w:val="en-US" w:eastAsia="zh-CN"/>
        </w:rPr>
        <w:t xml:space="preserve">In Regions 2 and 3, and in some countries in Region 1, there </w:t>
      </w:r>
      <w:r>
        <w:rPr>
          <w:lang w:val="en-US" w:eastAsia="zh-CN"/>
        </w:rPr>
        <w:t>is an allocation of 4 MHz (</w:t>
      </w:r>
      <w:r w:rsidRPr="00853C9F">
        <w:rPr>
          <w:lang w:val="en-US" w:eastAsia="zh-CN"/>
        </w:rPr>
        <w:t>50</w:t>
      </w:r>
      <w:r w:rsidRPr="00853C9F">
        <w:rPr>
          <w:lang w:val="en-US" w:eastAsia="zh-CN"/>
        </w:rPr>
        <w:noBreakHyphen/>
        <w:t xml:space="preserve">54 MHz) to the amateur service. </w:t>
      </w:r>
      <w:r>
        <w:rPr>
          <w:lang w:val="en-US" w:eastAsia="zh-CN"/>
        </w:rPr>
        <w:t xml:space="preserve">In </w:t>
      </w:r>
      <w:r w:rsidR="00B00E16">
        <w:rPr>
          <w:lang w:val="en-US" w:eastAsia="zh-CN"/>
        </w:rPr>
        <w:t>addition,</w:t>
      </w:r>
      <w:r>
        <w:rPr>
          <w:lang w:val="en-US" w:eastAsia="zh-CN"/>
        </w:rPr>
        <w:t xml:space="preserve"> there is inter-regional sharing at the borders between Region 1 and Regions 2 and 3.</w:t>
      </w:r>
    </w:p>
    <w:p w14:paraId="20B8E469" w14:textId="4B59B5CD" w:rsidR="003F2A61" w:rsidRPr="00FE46A5" w:rsidRDefault="00424761" w:rsidP="00D11754">
      <w:pPr>
        <w:rPr>
          <w:iCs/>
          <w:lang w:val="en-US" w:eastAsia="ru-RU"/>
        </w:rPr>
      </w:pPr>
      <w:r w:rsidRPr="00853C9F">
        <w:rPr>
          <w:rFonts w:eastAsia="Calibri"/>
          <w:lang w:val="en-US"/>
        </w:rPr>
        <w:t xml:space="preserve">In accordance with Article </w:t>
      </w:r>
      <w:r w:rsidRPr="00853C9F">
        <w:rPr>
          <w:rFonts w:eastAsia="Calibri"/>
          <w:b/>
          <w:bCs/>
          <w:lang w:val="en-US"/>
        </w:rPr>
        <w:t>5</w:t>
      </w:r>
      <w:r w:rsidRPr="00853C9F">
        <w:rPr>
          <w:rFonts w:eastAsia="Calibri"/>
          <w:lang w:val="en-US"/>
        </w:rPr>
        <w:t xml:space="preserve"> of the Radio </w:t>
      </w:r>
      <w:r w:rsidR="005718A9" w:rsidRPr="00853C9F">
        <w:rPr>
          <w:rFonts w:eastAsia="Calibri"/>
          <w:lang w:val="en-US"/>
        </w:rPr>
        <w:t>Regulations</w:t>
      </w:r>
      <w:r w:rsidRPr="00853C9F">
        <w:rPr>
          <w:rFonts w:eastAsia="Calibri"/>
          <w:lang w:val="en-US"/>
        </w:rPr>
        <w:t xml:space="preserve">, in Region 1 </w:t>
      </w:r>
      <w:r w:rsidRPr="00853C9F">
        <w:rPr>
          <w:lang w:val="en-US" w:eastAsia="zh-CN"/>
        </w:rPr>
        <w:t xml:space="preserve">the </w:t>
      </w:r>
      <w:r w:rsidRPr="00853C9F">
        <w:rPr>
          <w:lang w:val="en-US"/>
        </w:rPr>
        <w:t xml:space="preserve">50-54 MHz </w:t>
      </w:r>
      <w:r>
        <w:rPr>
          <w:lang w:val="en-US"/>
        </w:rPr>
        <w:t xml:space="preserve">frequency band </w:t>
      </w:r>
      <w:proofErr w:type="gramStart"/>
      <w:r w:rsidRPr="00853C9F">
        <w:rPr>
          <w:rFonts w:eastAsia="Calibri"/>
          <w:lang w:val="en-US"/>
        </w:rPr>
        <w:t>is allocated</w:t>
      </w:r>
      <w:proofErr w:type="gramEnd"/>
      <w:r w:rsidRPr="00853C9F">
        <w:rPr>
          <w:rFonts w:eastAsia="Calibri"/>
          <w:lang w:val="en-US"/>
        </w:rPr>
        <w:t xml:space="preserve"> to the broadcasting service, however there are some Additional and Alternative allocations:</w:t>
      </w:r>
      <w:r w:rsidRPr="00853C9F">
        <w:rPr>
          <w:iCs/>
          <w:lang w:val="en-US" w:eastAsia="ru-RU"/>
        </w:rPr>
        <w:t xml:space="preserve"> </w:t>
      </w:r>
    </w:p>
    <w:p w14:paraId="701F603E" w14:textId="4B7A183A" w:rsidR="003F2A61" w:rsidRPr="00FE46A5" w:rsidRDefault="00B00E16" w:rsidP="00446AEC">
      <w:pPr>
        <w:pStyle w:val="enumlev1"/>
        <w:rPr>
          <w:lang w:val="en-US"/>
        </w:rPr>
      </w:pPr>
      <w:r>
        <w:rPr>
          <w:rStyle w:val="Artdef"/>
          <w:lang w:val="en-US"/>
        </w:rPr>
        <w:tab/>
      </w:r>
      <w:proofErr w:type="gramStart"/>
      <w:r w:rsidR="003F2A61" w:rsidRPr="00FE46A5">
        <w:rPr>
          <w:rStyle w:val="Artdef"/>
          <w:lang w:val="en-US"/>
        </w:rPr>
        <w:t>5.164</w:t>
      </w:r>
      <w:r w:rsidR="003F2A61">
        <w:rPr>
          <w:rFonts w:ascii="Arial" w:hAnsi="Arial" w:cs="Arial"/>
          <w:b/>
          <w:bCs/>
        </w:rPr>
        <w:t xml:space="preserve"> </w:t>
      </w:r>
      <w:r w:rsidR="003F2A61" w:rsidRPr="00FE46A5">
        <w:rPr>
          <w:i/>
          <w:lang w:val="en-US"/>
        </w:rPr>
        <w:t>Additional allocation:</w:t>
      </w:r>
      <w:r w:rsidR="003F2A61" w:rsidRPr="00FE46A5">
        <w:rPr>
          <w:lang w:val="en-US"/>
        </w:rPr>
        <w:t xml:space="preserve"> in Albania, Algeria, Germany, Austria, Belgium, Bosnia and Herzegovina, Botswana, Bulgaria, Côte d'Ivoire, Croatia, Denmark, Spain, Estonia, Finland, France, Gabon, Greece, Ireland, Israel, Italy, Jordan, Lebanon, Libya, Liechtenstein, Lithuania, Luxembourg, Madagascar, Mali, Malta, Morocco, Mauritania, Monaco, Montenegro, Nigeria, Norway, the Netherlands, Poland, Syrian Arab Republic, Slovakia, Czech Rep., Romania, the United Kingdom, Serbia, Slovenia, Sweden, Switzerland, Swaziland, Chad, Togo, Tunisia and Turkey, the frequency band 47</w:t>
      </w:r>
      <w:r w:rsidR="00446AEC">
        <w:rPr>
          <w:lang w:val="en-US"/>
        </w:rPr>
        <w:noBreakHyphen/>
      </w:r>
      <w:r w:rsidR="003F2A61" w:rsidRPr="00FE46A5">
        <w:rPr>
          <w:lang w:val="en-US"/>
        </w:rPr>
        <w:t>68</w:t>
      </w:r>
      <w:r w:rsidR="00446AEC">
        <w:rPr>
          <w:lang w:val="en-US"/>
        </w:rPr>
        <w:t> </w:t>
      </w:r>
      <w:r w:rsidR="003F2A61" w:rsidRPr="00FE46A5">
        <w:rPr>
          <w:lang w:val="en-US"/>
        </w:rPr>
        <w:t>MHz, in South Africa the frequency band 47-50 MHz, and in Latvia the frequency band 48.5-56.5 MHz, are also allocated to the land mobile service on a primary basis.</w:t>
      </w:r>
      <w:proofErr w:type="gramEnd"/>
      <w:r w:rsidR="003F2A61" w:rsidRPr="00FE46A5">
        <w:rPr>
          <w:lang w:val="en-US"/>
        </w:rPr>
        <w:t xml:space="preserve"> However, stations of the land mobile service in the countries mentioned in connection with each frequency band referred to in this footnote shall not cause harmful interference to, or claim protection from, existing or planned broadcasting stations of countries other than those mentioned in connection with the frequency band.</w:t>
      </w:r>
      <w:r w:rsidR="00446AEC">
        <w:rPr>
          <w:lang w:val="en-US"/>
        </w:rPr>
        <w:t>     </w:t>
      </w:r>
      <w:r w:rsidR="003F2A61" w:rsidRPr="00446AEC">
        <w:rPr>
          <w:sz w:val="16"/>
          <w:szCs w:val="16"/>
          <w:lang w:val="en-US"/>
        </w:rPr>
        <w:t>(WRC-15)</w:t>
      </w:r>
    </w:p>
    <w:p w14:paraId="64FA9054" w14:textId="33252D52" w:rsidR="00424761" w:rsidRPr="00853C9F" w:rsidRDefault="00424761" w:rsidP="00C72CB5">
      <w:pPr>
        <w:pStyle w:val="enumlev1"/>
        <w:rPr>
          <w:lang w:val="en-US"/>
        </w:rPr>
      </w:pPr>
      <w:r>
        <w:rPr>
          <w:rStyle w:val="Artdef"/>
          <w:lang w:val="en-US"/>
        </w:rPr>
        <w:tab/>
      </w:r>
      <w:r w:rsidRPr="00853C9F">
        <w:rPr>
          <w:rStyle w:val="Artdef"/>
          <w:lang w:val="en-US"/>
        </w:rPr>
        <w:t>5.165</w:t>
      </w:r>
      <w:r w:rsidRPr="00853C9F">
        <w:rPr>
          <w:rStyle w:val="Artdef"/>
          <w:sz w:val="28"/>
          <w:szCs w:val="28"/>
          <w:lang w:val="en-US"/>
        </w:rPr>
        <w:tab/>
      </w:r>
      <w:r w:rsidRPr="00853C9F">
        <w:rPr>
          <w:i/>
          <w:lang w:val="en-US"/>
        </w:rPr>
        <w:t>Additional allocation:  </w:t>
      </w:r>
      <w:r w:rsidRPr="00853C9F">
        <w:rPr>
          <w:lang w:val="en-US"/>
        </w:rPr>
        <w:t>in Angola, Cameroon, Congo (Rep. of the), Madagascar, Mozambique, Niger, Somalia, Sudan, South Sudan, Tanzania and Chad, the band 47</w:t>
      </w:r>
      <w:r w:rsidR="00C72CB5">
        <w:rPr>
          <w:lang w:val="en-US"/>
        </w:rPr>
        <w:noBreakHyphen/>
      </w:r>
      <w:r w:rsidRPr="00853C9F">
        <w:rPr>
          <w:lang w:val="en-US"/>
        </w:rPr>
        <w:t>68 MHz is also allocated to the fixed and mobile, except aeronautical mobile, services on a primary basis. </w:t>
      </w:r>
      <w:r w:rsidRPr="00853C9F">
        <w:rPr>
          <w:sz w:val="16"/>
          <w:szCs w:val="16"/>
          <w:lang w:val="en-US"/>
        </w:rPr>
        <w:t>      (WRC</w:t>
      </w:r>
      <w:r w:rsidRPr="00853C9F">
        <w:rPr>
          <w:sz w:val="16"/>
          <w:szCs w:val="16"/>
          <w:lang w:val="en-US"/>
        </w:rPr>
        <w:noBreakHyphen/>
        <w:t>12)</w:t>
      </w:r>
    </w:p>
    <w:p w14:paraId="6F762F8E" w14:textId="77777777" w:rsidR="00424761" w:rsidRPr="00853C9F" w:rsidRDefault="00424761" w:rsidP="00424761">
      <w:pPr>
        <w:rPr>
          <w:lang w:val="en-US" w:eastAsia="zh-CN"/>
        </w:rPr>
      </w:pPr>
      <w:r w:rsidRPr="00853C9F">
        <w:rPr>
          <w:lang w:val="en-US" w:eastAsia="zh-CN"/>
        </w:rPr>
        <w:t xml:space="preserve">A number of African countries have alternatively allocated 50–54 MHz to the amateur service on a primary basis by </w:t>
      </w:r>
      <w:r>
        <w:rPr>
          <w:lang w:val="en-US" w:eastAsia="zh-CN"/>
        </w:rPr>
        <w:t xml:space="preserve">RR </w:t>
      </w:r>
      <w:r w:rsidRPr="00853C9F">
        <w:rPr>
          <w:lang w:val="en-US" w:eastAsia="zh-CN"/>
        </w:rPr>
        <w:t xml:space="preserve">No. </w:t>
      </w:r>
      <w:r w:rsidRPr="00853C9F">
        <w:rPr>
          <w:b/>
          <w:lang w:val="en-US" w:eastAsia="zh-CN"/>
        </w:rPr>
        <w:t>5.169</w:t>
      </w:r>
      <w:r w:rsidRPr="00853C9F">
        <w:rPr>
          <w:lang w:val="en-US" w:eastAsia="zh-CN"/>
        </w:rPr>
        <w:t>:</w:t>
      </w:r>
    </w:p>
    <w:p w14:paraId="240B4F1A" w14:textId="77777777" w:rsidR="00424761" w:rsidRPr="00853C9F" w:rsidRDefault="00424761" w:rsidP="00424761">
      <w:pPr>
        <w:pStyle w:val="enumlev1"/>
        <w:rPr>
          <w:lang w:val="en-US" w:eastAsia="zh-CN"/>
        </w:rPr>
      </w:pPr>
      <w:r>
        <w:rPr>
          <w:rStyle w:val="Artdef"/>
          <w:lang w:val="en-US"/>
        </w:rPr>
        <w:tab/>
      </w:r>
      <w:r w:rsidRPr="00853C9F">
        <w:rPr>
          <w:rStyle w:val="Artdef"/>
          <w:lang w:val="en-US"/>
        </w:rPr>
        <w:t>5.169</w:t>
      </w:r>
      <w:r w:rsidRPr="00853C9F">
        <w:rPr>
          <w:lang w:val="en-US" w:eastAsia="zh-CN"/>
        </w:rPr>
        <w:tab/>
        <w:t>Alternative allocation: in Botswana, Lesotho, Malawi, Namibia, the Dem. Rep. of Congo, Rwanda, South Africa, Swaziland, Zambia and Zimbabwe, the band 50</w:t>
      </w:r>
      <w:r>
        <w:rPr>
          <w:lang w:val="en-US" w:eastAsia="zh-CN"/>
        </w:rPr>
        <w:noBreakHyphen/>
      </w:r>
      <w:r w:rsidRPr="00853C9F">
        <w:rPr>
          <w:lang w:val="en-US" w:eastAsia="zh-CN"/>
        </w:rPr>
        <w:t>54</w:t>
      </w:r>
      <w:r>
        <w:rPr>
          <w:lang w:val="en-US" w:eastAsia="zh-CN"/>
        </w:rPr>
        <w:t> </w:t>
      </w:r>
      <w:r w:rsidRPr="00853C9F">
        <w:rPr>
          <w:lang w:val="en-US" w:eastAsia="zh-CN"/>
        </w:rPr>
        <w:t xml:space="preserve">MHz </w:t>
      </w:r>
      <w:proofErr w:type="gramStart"/>
      <w:r w:rsidRPr="00853C9F">
        <w:rPr>
          <w:lang w:val="en-US" w:eastAsia="zh-CN"/>
        </w:rPr>
        <w:t>is allocated</w:t>
      </w:r>
      <w:proofErr w:type="gramEnd"/>
      <w:r w:rsidRPr="00853C9F">
        <w:rPr>
          <w:lang w:val="en-US" w:eastAsia="zh-CN"/>
        </w:rPr>
        <w:t xml:space="preserve"> to the amateur service on a primary basis. In Senegal, the band 50-51 MHz </w:t>
      </w:r>
      <w:proofErr w:type="gramStart"/>
      <w:r w:rsidRPr="00853C9F">
        <w:rPr>
          <w:lang w:val="en-US" w:eastAsia="zh-CN"/>
        </w:rPr>
        <w:t>is allocated</w:t>
      </w:r>
      <w:proofErr w:type="gramEnd"/>
      <w:r w:rsidRPr="00853C9F">
        <w:rPr>
          <w:lang w:val="en-US" w:eastAsia="zh-CN"/>
        </w:rPr>
        <w:t xml:space="preserve"> to the amateur service on a primary basis. </w:t>
      </w:r>
      <w:r w:rsidRPr="00853C9F">
        <w:rPr>
          <w:lang w:val="en-US"/>
        </w:rPr>
        <w:t> </w:t>
      </w:r>
      <w:r w:rsidRPr="00853C9F">
        <w:rPr>
          <w:sz w:val="16"/>
          <w:szCs w:val="16"/>
          <w:lang w:val="en-US"/>
        </w:rPr>
        <w:t>      (WRC</w:t>
      </w:r>
      <w:r w:rsidRPr="00853C9F">
        <w:rPr>
          <w:sz w:val="16"/>
          <w:szCs w:val="16"/>
          <w:lang w:val="en-US"/>
        </w:rPr>
        <w:noBreakHyphen/>
        <w:t>12)</w:t>
      </w:r>
    </w:p>
    <w:p w14:paraId="100D4428" w14:textId="77777777" w:rsidR="00FE46A5" w:rsidRPr="00FE46A5" w:rsidRDefault="00424761" w:rsidP="00FE46A5">
      <w:pPr>
        <w:spacing w:before="240"/>
        <w:rPr>
          <w:lang w:val="en-US"/>
        </w:rPr>
      </w:pPr>
      <w:r w:rsidRPr="00FE46A5">
        <w:rPr>
          <w:lang w:val="en-US"/>
        </w:rPr>
        <w:t>From the foregoing there is a need to establish sharing criteria with the broadcasting service, fixed service, mobile service and radiolocation service, specifically for wind profiler radars.</w:t>
      </w:r>
      <w:bookmarkStart w:id="43" w:name="_Toc449639004"/>
      <w:bookmarkStart w:id="44" w:name="_Toc451373078"/>
      <w:bookmarkStart w:id="45" w:name="_Toc451353757"/>
    </w:p>
    <w:p w14:paraId="50BB8CDC" w14:textId="193136BA" w:rsidR="00EB242E" w:rsidRPr="00853C9F" w:rsidRDefault="00651F08" w:rsidP="00FE46A5">
      <w:pPr>
        <w:pStyle w:val="Heading1"/>
        <w:rPr>
          <w:lang w:val="en-US"/>
        </w:rPr>
      </w:pPr>
      <w:bookmarkStart w:id="46" w:name="_Toc467231966"/>
      <w:bookmarkStart w:id="47" w:name="_Toc467487677"/>
      <w:r w:rsidRPr="00FE46A5">
        <w:rPr>
          <w:lang w:val="en-US"/>
        </w:rPr>
        <w:t>6</w:t>
      </w:r>
      <w:r w:rsidR="001549CF" w:rsidRPr="00FE46A5">
        <w:rPr>
          <w:lang w:val="en-US"/>
        </w:rPr>
        <w:tab/>
      </w:r>
      <w:r w:rsidR="00192CBB" w:rsidRPr="00FE46A5">
        <w:rPr>
          <w:lang w:val="en-US"/>
        </w:rPr>
        <w:t>Sharing with the m</w:t>
      </w:r>
      <w:r w:rsidR="00EB242E" w:rsidRPr="00FE46A5">
        <w:rPr>
          <w:lang w:val="en-US"/>
        </w:rPr>
        <w:t>obile service</w:t>
      </w:r>
      <w:bookmarkEnd w:id="43"/>
      <w:bookmarkEnd w:id="44"/>
      <w:bookmarkEnd w:id="45"/>
      <w:bookmarkEnd w:id="46"/>
      <w:bookmarkEnd w:id="47"/>
    </w:p>
    <w:p w14:paraId="4C966072" w14:textId="0365D764" w:rsidR="00EB242E" w:rsidRPr="00853C9F" w:rsidRDefault="00EB242E">
      <w:pPr>
        <w:rPr>
          <w:lang w:val="en-US"/>
        </w:rPr>
      </w:pPr>
      <w:r w:rsidRPr="00853C9F">
        <w:rPr>
          <w:lang w:val="en-US"/>
        </w:rPr>
        <w:t xml:space="preserve">According to RR Article </w:t>
      </w:r>
      <w:r w:rsidRPr="00853C9F">
        <w:rPr>
          <w:bCs/>
          <w:lang w:val="en-US"/>
        </w:rPr>
        <w:t>5.164</w:t>
      </w:r>
      <w:r w:rsidRPr="00853C9F">
        <w:rPr>
          <w:lang w:val="en-US"/>
        </w:rPr>
        <w:t xml:space="preserve"> and the European Table of Frequency Allocations (ECA TABLE), the frequency band </w:t>
      </w:r>
      <w:r w:rsidR="00BE6647">
        <w:rPr>
          <w:lang w:val="en-US"/>
        </w:rPr>
        <w:t>47-68</w:t>
      </w:r>
      <w:r w:rsidRPr="00853C9F">
        <w:rPr>
          <w:lang w:val="en-US"/>
        </w:rPr>
        <w:t xml:space="preserve"> MHz </w:t>
      </w:r>
      <w:proofErr w:type="gramStart"/>
      <w:r w:rsidRPr="00853C9F">
        <w:rPr>
          <w:lang w:val="en-US"/>
        </w:rPr>
        <w:t>is allocated</w:t>
      </w:r>
      <w:proofErr w:type="gramEnd"/>
      <w:r w:rsidRPr="00853C9F">
        <w:rPr>
          <w:lang w:val="en-US"/>
        </w:rPr>
        <w:t xml:space="preserve"> to the land mobile service on a primary basis.</w:t>
      </w:r>
    </w:p>
    <w:p w14:paraId="3FFECA4F" w14:textId="38EFE8A9" w:rsidR="00EB242E" w:rsidRPr="00853C9F" w:rsidRDefault="00FE46A5" w:rsidP="00D11754">
      <w:pPr>
        <w:rPr>
          <w:lang w:val="en-US"/>
        </w:rPr>
      </w:pPr>
      <w:r w:rsidRPr="00853C9F">
        <w:rPr>
          <w:lang w:val="en-US"/>
        </w:rPr>
        <w:lastRenderedPageBreak/>
        <w:t>However,</w:t>
      </w:r>
      <w:r w:rsidR="00EB242E" w:rsidRPr="00853C9F">
        <w:rPr>
          <w:lang w:val="en-US"/>
        </w:rPr>
        <w:t xml:space="preserve"> </w:t>
      </w:r>
      <w:r w:rsidR="00BE6647">
        <w:rPr>
          <w:lang w:val="en-US"/>
        </w:rPr>
        <w:t>in the 50</w:t>
      </w:r>
      <w:r w:rsidR="00D11754">
        <w:rPr>
          <w:lang w:val="en-US"/>
        </w:rPr>
        <w:t>-</w:t>
      </w:r>
      <w:r w:rsidR="00BE6647">
        <w:rPr>
          <w:lang w:val="en-US"/>
        </w:rPr>
        <w:t xml:space="preserve">54 MHz frequency band </w:t>
      </w:r>
      <w:r w:rsidR="00EB242E" w:rsidRPr="00853C9F">
        <w:rPr>
          <w:lang w:val="en-US"/>
        </w:rPr>
        <w:t xml:space="preserve">the MIFR contains only </w:t>
      </w:r>
      <w:proofErr w:type="gramStart"/>
      <w:r w:rsidR="00EB242E" w:rsidRPr="00853C9F">
        <w:rPr>
          <w:lang w:val="en-US"/>
        </w:rPr>
        <w:t>6</w:t>
      </w:r>
      <w:proofErr w:type="gramEnd"/>
      <w:r w:rsidR="00EB242E" w:rsidRPr="00853C9F">
        <w:rPr>
          <w:lang w:val="en-US"/>
        </w:rPr>
        <w:t xml:space="preserve"> frequency assignments to land mobile stations in Region 1 and about 4 assignments to fixed service stations. The information </w:t>
      </w:r>
      <w:proofErr w:type="gramStart"/>
      <w:r w:rsidR="00EB242E" w:rsidRPr="00853C9F">
        <w:rPr>
          <w:lang w:val="en-US"/>
        </w:rPr>
        <w:t>is presented</w:t>
      </w:r>
      <w:proofErr w:type="gramEnd"/>
      <w:r w:rsidR="00EB242E" w:rsidRPr="00853C9F">
        <w:rPr>
          <w:lang w:val="en-US"/>
        </w:rPr>
        <w:t xml:space="preserve"> in Table </w:t>
      </w:r>
      <w:r w:rsidR="00570E14">
        <w:rPr>
          <w:lang w:val="en-US"/>
        </w:rPr>
        <w:t>2</w:t>
      </w:r>
      <w:r w:rsidR="00570E14" w:rsidRPr="00853C9F">
        <w:rPr>
          <w:lang w:val="en-US"/>
        </w:rPr>
        <w:t xml:space="preserve"> </w:t>
      </w:r>
      <w:r w:rsidR="00EB242E" w:rsidRPr="00853C9F">
        <w:rPr>
          <w:lang w:val="en-US"/>
        </w:rPr>
        <w:t>below.</w:t>
      </w:r>
    </w:p>
    <w:p w14:paraId="2C3FF720" w14:textId="76BBD1EB" w:rsidR="00EB242E" w:rsidRPr="00D11754" w:rsidRDefault="00EB242E" w:rsidP="00D11754">
      <w:pPr>
        <w:pStyle w:val="TableNo"/>
        <w:rPr>
          <w:lang w:val="en-US"/>
        </w:rPr>
      </w:pPr>
      <w:r w:rsidRPr="00D11754">
        <w:rPr>
          <w:lang w:val="en-US"/>
        </w:rPr>
        <w:t xml:space="preserve">Table </w:t>
      </w:r>
      <w:r w:rsidR="00570E14" w:rsidRPr="00D11754">
        <w:rPr>
          <w:lang w:val="en-US"/>
        </w:rPr>
        <w:t>2</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1701"/>
        <w:gridCol w:w="1701"/>
        <w:gridCol w:w="1843"/>
      </w:tblGrid>
      <w:tr w:rsidR="00EB242E" w:rsidRPr="00D11754" w14:paraId="50D29584" w14:textId="77777777" w:rsidTr="00AE72CB">
        <w:trPr>
          <w:trHeight w:val="732"/>
        </w:trPr>
        <w:tc>
          <w:tcPr>
            <w:tcW w:w="2127" w:type="dxa"/>
            <w:shd w:val="clear" w:color="auto" w:fill="FFFFFF" w:themeFill="background1"/>
            <w:vAlign w:val="center"/>
          </w:tcPr>
          <w:p w14:paraId="2CF8627D" w14:textId="77777777" w:rsidR="00EB242E" w:rsidRPr="00FE46A5" w:rsidRDefault="00EB242E" w:rsidP="00AE72CB">
            <w:pPr>
              <w:pStyle w:val="Tablehead"/>
              <w:rPr>
                <w:rFonts w:ascii="Times New Roman" w:hAnsi="Times New Roman" w:cs="Times New Roman"/>
              </w:rPr>
            </w:pPr>
            <w:r w:rsidRPr="00FE46A5">
              <w:rPr>
                <w:rFonts w:ascii="Times New Roman" w:hAnsi="Times New Roman" w:cs="Times New Roman"/>
              </w:rPr>
              <w:t>ADM</w:t>
            </w:r>
          </w:p>
        </w:tc>
        <w:tc>
          <w:tcPr>
            <w:tcW w:w="1842" w:type="dxa"/>
            <w:shd w:val="clear" w:color="auto" w:fill="FFFFFF" w:themeFill="background1"/>
            <w:vAlign w:val="center"/>
          </w:tcPr>
          <w:p w14:paraId="4FE72369" w14:textId="77777777" w:rsidR="00EB242E" w:rsidRPr="00FE46A5" w:rsidRDefault="00EB242E" w:rsidP="00AE72CB">
            <w:pPr>
              <w:pStyle w:val="Tablehead"/>
              <w:rPr>
                <w:rFonts w:ascii="Times New Roman" w:hAnsi="Times New Roman" w:cs="Times New Roman"/>
              </w:rPr>
            </w:pPr>
            <w:r w:rsidRPr="00FE46A5">
              <w:rPr>
                <w:rFonts w:ascii="Times New Roman" w:hAnsi="Times New Roman" w:cs="Times New Roman"/>
              </w:rPr>
              <w:t>Radio service</w:t>
            </w:r>
          </w:p>
        </w:tc>
        <w:tc>
          <w:tcPr>
            <w:tcW w:w="1701" w:type="dxa"/>
            <w:shd w:val="clear" w:color="auto" w:fill="FFFFFF" w:themeFill="background1"/>
            <w:vAlign w:val="center"/>
          </w:tcPr>
          <w:p w14:paraId="7146505A" w14:textId="77777777" w:rsidR="00EB242E" w:rsidRPr="00FE46A5" w:rsidRDefault="00EB242E" w:rsidP="00AE72CB">
            <w:pPr>
              <w:pStyle w:val="Tablehead"/>
              <w:rPr>
                <w:rFonts w:ascii="Times New Roman" w:hAnsi="Times New Roman" w:cs="Times New Roman"/>
              </w:rPr>
            </w:pPr>
            <w:r w:rsidRPr="00FE46A5">
              <w:rPr>
                <w:rFonts w:ascii="Times New Roman" w:hAnsi="Times New Roman" w:cs="Times New Roman"/>
              </w:rPr>
              <w:t>Frequency assignments number</w:t>
            </w:r>
          </w:p>
        </w:tc>
        <w:tc>
          <w:tcPr>
            <w:tcW w:w="1701" w:type="dxa"/>
            <w:shd w:val="clear" w:color="auto" w:fill="FFFFFF" w:themeFill="background1"/>
            <w:vAlign w:val="center"/>
          </w:tcPr>
          <w:p w14:paraId="31858B66" w14:textId="77777777" w:rsidR="00EB242E" w:rsidRPr="00FE46A5" w:rsidRDefault="00EB242E" w:rsidP="00AE72CB">
            <w:pPr>
              <w:pStyle w:val="Tablehead"/>
              <w:rPr>
                <w:rFonts w:ascii="Times New Roman" w:hAnsi="Times New Roman" w:cs="Times New Roman"/>
              </w:rPr>
            </w:pPr>
            <w:r w:rsidRPr="00FE46A5">
              <w:rPr>
                <w:rFonts w:ascii="Times New Roman" w:hAnsi="Times New Roman" w:cs="Times New Roman"/>
              </w:rPr>
              <w:t>Radio service</w:t>
            </w:r>
          </w:p>
        </w:tc>
        <w:tc>
          <w:tcPr>
            <w:tcW w:w="1843" w:type="dxa"/>
            <w:shd w:val="clear" w:color="auto" w:fill="FFFFFF" w:themeFill="background1"/>
            <w:vAlign w:val="center"/>
          </w:tcPr>
          <w:p w14:paraId="6B41A7E3" w14:textId="77777777" w:rsidR="00EB242E" w:rsidRPr="00FE46A5" w:rsidRDefault="00EB242E" w:rsidP="00AE72CB">
            <w:pPr>
              <w:pStyle w:val="Tablehead"/>
              <w:rPr>
                <w:rFonts w:ascii="Times New Roman" w:hAnsi="Times New Roman" w:cs="Times New Roman"/>
              </w:rPr>
            </w:pPr>
            <w:r w:rsidRPr="00FE46A5">
              <w:rPr>
                <w:rFonts w:ascii="Times New Roman" w:hAnsi="Times New Roman" w:cs="Times New Roman"/>
              </w:rPr>
              <w:t>Frequency assignments number</w:t>
            </w:r>
          </w:p>
        </w:tc>
      </w:tr>
      <w:tr w:rsidR="00EB242E" w:rsidRPr="00D11754" w14:paraId="6810E827" w14:textId="77777777" w:rsidTr="004B1700">
        <w:tc>
          <w:tcPr>
            <w:tcW w:w="2127" w:type="dxa"/>
            <w:shd w:val="clear" w:color="auto" w:fill="FFFFFF" w:themeFill="background1"/>
          </w:tcPr>
          <w:p w14:paraId="59B91D94" w14:textId="77777777" w:rsidR="00EB242E" w:rsidRPr="00D11754" w:rsidRDefault="00EB242E" w:rsidP="004B1700">
            <w:pPr>
              <w:pStyle w:val="Tabletext"/>
              <w:jc w:val="center"/>
            </w:pPr>
            <w:r w:rsidRPr="00D11754">
              <w:t>D</w:t>
            </w:r>
          </w:p>
        </w:tc>
        <w:tc>
          <w:tcPr>
            <w:tcW w:w="1842" w:type="dxa"/>
            <w:shd w:val="clear" w:color="auto" w:fill="FFFFFF" w:themeFill="background1"/>
          </w:tcPr>
          <w:p w14:paraId="2DB0995F" w14:textId="77777777" w:rsidR="00EB242E" w:rsidRPr="00D11754" w:rsidRDefault="00EB242E" w:rsidP="004B1700">
            <w:pPr>
              <w:pStyle w:val="Tabletext"/>
              <w:jc w:val="center"/>
            </w:pPr>
            <w:r w:rsidRPr="00D11754">
              <w:t>FB/ML</w:t>
            </w:r>
          </w:p>
        </w:tc>
        <w:tc>
          <w:tcPr>
            <w:tcW w:w="1701" w:type="dxa"/>
            <w:shd w:val="clear" w:color="auto" w:fill="FFFFFF" w:themeFill="background1"/>
          </w:tcPr>
          <w:p w14:paraId="6AF8ACD9" w14:textId="77777777" w:rsidR="00EB242E" w:rsidRPr="00D11754" w:rsidRDefault="00EB242E" w:rsidP="004B1700">
            <w:pPr>
              <w:pStyle w:val="Tabletext"/>
              <w:jc w:val="center"/>
            </w:pPr>
            <w:r w:rsidRPr="00D11754">
              <w:t>3</w:t>
            </w:r>
          </w:p>
        </w:tc>
        <w:tc>
          <w:tcPr>
            <w:tcW w:w="1701" w:type="dxa"/>
            <w:shd w:val="clear" w:color="auto" w:fill="FFFFFF" w:themeFill="background1"/>
          </w:tcPr>
          <w:p w14:paraId="610BEAC7" w14:textId="77777777" w:rsidR="00EB242E" w:rsidRPr="00D11754" w:rsidRDefault="00EB242E" w:rsidP="004B1700">
            <w:pPr>
              <w:pStyle w:val="Tabletext"/>
              <w:jc w:val="center"/>
            </w:pPr>
          </w:p>
        </w:tc>
        <w:tc>
          <w:tcPr>
            <w:tcW w:w="1843" w:type="dxa"/>
            <w:shd w:val="clear" w:color="auto" w:fill="FFFFFF" w:themeFill="background1"/>
          </w:tcPr>
          <w:p w14:paraId="213ACE81" w14:textId="77777777" w:rsidR="00EB242E" w:rsidRPr="00D11754" w:rsidRDefault="00EB242E" w:rsidP="004B1700">
            <w:pPr>
              <w:pStyle w:val="Tabletext"/>
              <w:jc w:val="center"/>
            </w:pPr>
          </w:p>
        </w:tc>
      </w:tr>
      <w:tr w:rsidR="00EB242E" w:rsidRPr="00D11754" w14:paraId="60633B45" w14:textId="77777777" w:rsidTr="004B1700">
        <w:tc>
          <w:tcPr>
            <w:tcW w:w="2127" w:type="dxa"/>
            <w:shd w:val="clear" w:color="auto" w:fill="FFFFFF" w:themeFill="background1"/>
          </w:tcPr>
          <w:p w14:paraId="6BA71055" w14:textId="77777777" w:rsidR="00EB242E" w:rsidRPr="00D11754" w:rsidRDefault="00EB242E" w:rsidP="004B1700">
            <w:pPr>
              <w:pStyle w:val="Tabletext"/>
              <w:jc w:val="center"/>
            </w:pPr>
            <w:r w:rsidRPr="00D11754">
              <w:t>I</w:t>
            </w:r>
          </w:p>
        </w:tc>
        <w:tc>
          <w:tcPr>
            <w:tcW w:w="1842" w:type="dxa"/>
            <w:shd w:val="clear" w:color="auto" w:fill="FFFFFF" w:themeFill="background1"/>
          </w:tcPr>
          <w:p w14:paraId="032A89DD" w14:textId="77777777" w:rsidR="00EB242E" w:rsidRPr="00D11754" w:rsidRDefault="00EB242E" w:rsidP="004B1700">
            <w:pPr>
              <w:pStyle w:val="Tabletext"/>
              <w:jc w:val="center"/>
            </w:pPr>
            <w:r w:rsidRPr="00D11754">
              <w:t>FB/ML</w:t>
            </w:r>
          </w:p>
        </w:tc>
        <w:tc>
          <w:tcPr>
            <w:tcW w:w="1701" w:type="dxa"/>
            <w:shd w:val="clear" w:color="auto" w:fill="FFFFFF" w:themeFill="background1"/>
          </w:tcPr>
          <w:p w14:paraId="11F795DD" w14:textId="77777777" w:rsidR="00EB242E" w:rsidRPr="00D11754" w:rsidRDefault="00EB242E" w:rsidP="004B1700">
            <w:pPr>
              <w:pStyle w:val="Tabletext"/>
              <w:jc w:val="center"/>
            </w:pPr>
            <w:r w:rsidRPr="00D11754">
              <w:t>3</w:t>
            </w:r>
          </w:p>
        </w:tc>
        <w:tc>
          <w:tcPr>
            <w:tcW w:w="1701" w:type="dxa"/>
            <w:shd w:val="clear" w:color="auto" w:fill="FFFFFF" w:themeFill="background1"/>
          </w:tcPr>
          <w:p w14:paraId="623D0A10" w14:textId="77777777" w:rsidR="00EB242E" w:rsidRPr="00D11754" w:rsidRDefault="00EB242E" w:rsidP="004B1700">
            <w:pPr>
              <w:pStyle w:val="Tabletext"/>
              <w:jc w:val="center"/>
            </w:pPr>
            <w:r w:rsidRPr="00D11754">
              <w:t>FX</w:t>
            </w:r>
          </w:p>
        </w:tc>
        <w:tc>
          <w:tcPr>
            <w:tcW w:w="1843" w:type="dxa"/>
            <w:shd w:val="clear" w:color="auto" w:fill="FFFFFF" w:themeFill="background1"/>
          </w:tcPr>
          <w:p w14:paraId="5AB8034B" w14:textId="77777777" w:rsidR="00EB242E" w:rsidRPr="00D11754" w:rsidRDefault="00EB242E" w:rsidP="004B1700">
            <w:pPr>
              <w:pStyle w:val="Tabletext"/>
              <w:jc w:val="center"/>
            </w:pPr>
            <w:r w:rsidRPr="00D11754">
              <w:t>4</w:t>
            </w:r>
          </w:p>
        </w:tc>
      </w:tr>
    </w:tbl>
    <w:p w14:paraId="59E5BCE7" w14:textId="77777777" w:rsidR="00EB242E" w:rsidRDefault="00EB242E" w:rsidP="004B1700">
      <w:pPr>
        <w:pStyle w:val="Tablefin"/>
        <w:rPr>
          <w:lang w:val="en-US" w:eastAsia="zh-CN"/>
        </w:rPr>
      </w:pPr>
    </w:p>
    <w:p w14:paraId="020BD245" w14:textId="56B690A0" w:rsidR="00112734" w:rsidRPr="00FE46A5" w:rsidRDefault="00112734" w:rsidP="00112734">
      <w:pPr>
        <w:rPr>
          <w:lang w:val="en-US"/>
        </w:rPr>
      </w:pPr>
      <w:r w:rsidRPr="00FE46A5">
        <w:rPr>
          <w:lang w:val="en-US"/>
        </w:rPr>
        <w:t xml:space="preserve">Following </w:t>
      </w:r>
      <w:proofErr w:type="gramStart"/>
      <w:r w:rsidRPr="00FE46A5">
        <w:rPr>
          <w:lang w:val="en-US"/>
        </w:rPr>
        <w:t>ITU</w:t>
      </w:r>
      <w:proofErr w:type="gramEnd"/>
      <w:r w:rsidRPr="00FE46A5">
        <w:rPr>
          <w:lang w:val="en-US"/>
        </w:rPr>
        <w:t xml:space="preserve"> texts are relevant to the sharing analysis:</w:t>
      </w:r>
    </w:p>
    <w:p w14:paraId="1A8E5478" w14:textId="4BA0E55D" w:rsidR="00112734" w:rsidRPr="00B00E16" w:rsidRDefault="00B00E16" w:rsidP="00B00E16">
      <w:pPr>
        <w:pStyle w:val="enumlev1"/>
        <w:rPr>
          <w:i/>
          <w:iCs/>
          <w:lang w:val="en-US"/>
        </w:rPr>
      </w:pPr>
      <w:r>
        <w:rPr>
          <w:lang w:val="en-US"/>
        </w:rPr>
        <w:t>–</w:t>
      </w:r>
      <w:r>
        <w:rPr>
          <w:lang w:val="en-US"/>
        </w:rPr>
        <w:tab/>
      </w:r>
      <w:r w:rsidR="00112734" w:rsidRPr="00FE46A5">
        <w:rPr>
          <w:lang w:val="en-US"/>
        </w:rPr>
        <w:t xml:space="preserve">Recommendation ITU-R </w:t>
      </w:r>
      <w:proofErr w:type="spellStart"/>
      <w:r w:rsidR="00112734" w:rsidRPr="00FE46A5">
        <w:rPr>
          <w:lang w:val="en-US"/>
        </w:rPr>
        <w:t>M.1825</w:t>
      </w:r>
      <w:proofErr w:type="spellEnd"/>
      <w:r w:rsidR="00112734" w:rsidRPr="00FE46A5">
        <w:rPr>
          <w:lang w:val="en-US"/>
        </w:rPr>
        <w:t xml:space="preserve"> </w:t>
      </w:r>
      <w:r>
        <w:rPr>
          <w:lang w:val="en-US"/>
        </w:rPr>
        <w:t xml:space="preserve">– </w:t>
      </w:r>
      <w:r w:rsidR="00112734" w:rsidRPr="00B00E16">
        <w:rPr>
          <w:i/>
          <w:iCs/>
          <w:lang w:val="en-US"/>
        </w:rPr>
        <w:t>Guidance on technical parameters and methodologies for sharin</w:t>
      </w:r>
      <w:r w:rsidR="00FE46A5" w:rsidRPr="00B00E16">
        <w:rPr>
          <w:i/>
          <w:iCs/>
          <w:lang w:val="en-US"/>
        </w:rPr>
        <w:t>g studies related to systems in</w:t>
      </w:r>
      <w:r w:rsidR="00112734" w:rsidRPr="00B00E16">
        <w:rPr>
          <w:i/>
          <w:iCs/>
          <w:lang w:val="en-US"/>
        </w:rPr>
        <w:t xml:space="preserve"> the land mobile service</w:t>
      </w:r>
      <w:r w:rsidR="00D11754" w:rsidRPr="00B00E16">
        <w:rPr>
          <w:i/>
          <w:iCs/>
          <w:lang w:val="en-US"/>
        </w:rPr>
        <w:t>.</w:t>
      </w:r>
    </w:p>
    <w:p w14:paraId="614B4A4C" w14:textId="768C003E" w:rsidR="00112734" w:rsidRPr="00FE46A5" w:rsidRDefault="00B00E16" w:rsidP="00B00E16">
      <w:pPr>
        <w:pStyle w:val="enumlev1"/>
        <w:rPr>
          <w:i/>
          <w:lang w:val="en-US"/>
        </w:rPr>
      </w:pPr>
      <w:r>
        <w:rPr>
          <w:lang w:val="en-US"/>
        </w:rPr>
        <w:t>–</w:t>
      </w:r>
      <w:r>
        <w:rPr>
          <w:lang w:val="en-US"/>
        </w:rPr>
        <w:tab/>
      </w:r>
      <w:r w:rsidR="00112734" w:rsidRPr="00FE46A5">
        <w:rPr>
          <w:lang w:val="en-US"/>
        </w:rPr>
        <w:t xml:space="preserve">Recommendation ITU-R </w:t>
      </w:r>
      <w:proofErr w:type="spellStart"/>
      <w:r w:rsidR="00112734" w:rsidRPr="00FE46A5">
        <w:rPr>
          <w:lang w:val="en-US"/>
        </w:rPr>
        <w:t>M.1634</w:t>
      </w:r>
      <w:proofErr w:type="spellEnd"/>
      <w:r>
        <w:rPr>
          <w:lang w:val="en-US"/>
        </w:rPr>
        <w:t xml:space="preserve"> –</w:t>
      </w:r>
      <w:r w:rsidR="00112734" w:rsidRPr="00FE46A5">
        <w:rPr>
          <w:lang w:val="en-US"/>
        </w:rPr>
        <w:t xml:space="preserve"> </w:t>
      </w:r>
      <w:r w:rsidR="00112734" w:rsidRPr="00FE46A5">
        <w:rPr>
          <w:i/>
          <w:lang w:val="en-US"/>
        </w:rPr>
        <w:t>Interference protection of terrestrial mobile service systems using Monte Carlo simulation with application to frequency sharing</w:t>
      </w:r>
      <w:r w:rsidR="00D11754">
        <w:rPr>
          <w:i/>
          <w:lang w:val="en-US"/>
        </w:rPr>
        <w:t>.</w:t>
      </w:r>
    </w:p>
    <w:p w14:paraId="206E3A20" w14:textId="73F23418" w:rsidR="00112734" w:rsidRPr="00FE46A5" w:rsidRDefault="00B00E16" w:rsidP="00B00E16">
      <w:pPr>
        <w:pStyle w:val="enumlev1"/>
        <w:rPr>
          <w:lang w:val="en-US"/>
        </w:rPr>
      </w:pPr>
      <w:r>
        <w:rPr>
          <w:lang w:val="en-US"/>
        </w:rPr>
        <w:t>–</w:t>
      </w:r>
      <w:r>
        <w:rPr>
          <w:lang w:val="en-US"/>
        </w:rPr>
        <w:tab/>
      </w:r>
      <w:r w:rsidR="00112734" w:rsidRPr="00FE46A5">
        <w:rPr>
          <w:lang w:val="en-US"/>
        </w:rPr>
        <w:t xml:space="preserve">Report ITU-R </w:t>
      </w:r>
      <w:proofErr w:type="spellStart"/>
      <w:r w:rsidR="00112734" w:rsidRPr="00FE46A5">
        <w:rPr>
          <w:lang w:val="en-US"/>
        </w:rPr>
        <w:t>SM.2028</w:t>
      </w:r>
      <w:proofErr w:type="spellEnd"/>
      <w:r w:rsidR="00112734" w:rsidRPr="00FE46A5">
        <w:rPr>
          <w:lang w:val="en-US"/>
        </w:rPr>
        <w:t>-1</w:t>
      </w:r>
      <w:r>
        <w:rPr>
          <w:lang w:val="en-US"/>
        </w:rPr>
        <w:t xml:space="preserve"> –</w:t>
      </w:r>
      <w:r w:rsidR="00112734" w:rsidRPr="00FE46A5">
        <w:rPr>
          <w:lang w:val="en-US"/>
        </w:rPr>
        <w:t xml:space="preserve"> </w:t>
      </w:r>
      <w:r w:rsidR="00112734" w:rsidRPr="00FE46A5">
        <w:rPr>
          <w:i/>
          <w:lang w:val="en-US"/>
        </w:rPr>
        <w:t>Monte Carlo simulation methodology for the use in sharing and compatibility studies between different radio services or systems</w:t>
      </w:r>
      <w:r w:rsidR="00D11754">
        <w:rPr>
          <w:i/>
          <w:lang w:val="en-US"/>
        </w:rPr>
        <w:t>.</w:t>
      </w:r>
      <w:r w:rsidR="00112734" w:rsidRPr="00FE46A5">
        <w:rPr>
          <w:lang w:val="en-US"/>
        </w:rPr>
        <w:t xml:space="preserve"> </w:t>
      </w:r>
    </w:p>
    <w:p w14:paraId="285C1643" w14:textId="26004D07" w:rsidR="00112734" w:rsidRPr="00FE46A5" w:rsidRDefault="00B00E16" w:rsidP="00B00E16">
      <w:pPr>
        <w:pStyle w:val="enumlev1"/>
        <w:rPr>
          <w:i/>
          <w:lang w:val="en-US" w:eastAsia="zh-CN"/>
        </w:rPr>
      </w:pPr>
      <w:r>
        <w:rPr>
          <w:lang w:val="en-US"/>
        </w:rPr>
        <w:t>–</w:t>
      </w:r>
      <w:r>
        <w:rPr>
          <w:lang w:val="en-US"/>
        </w:rPr>
        <w:tab/>
      </w:r>
      <w:r w:rsidR="00112734" w:rsidRPr="00FE46A5">
        <w:rPr>
          <w:lang w:val="en-US"/>
        </w:rPr>
        <w:t xml:space="preserve">Recommendation ITU-R </w:t>
      </w:r>
      <w:proofErr w:type="spellStart"/>
      <w:r w:rsidR="00112734" w:rsidRPr="00FE46A5">
        <w:rPr>
          <w:lang w:val="en-US"/>
        </w:rPr>
        <w:t>SM.1055</w:t>
      </w:r>
      <w:proofErr w:type="spellEnd"/>
      <w:r w:rsidR="00446AEC">
        <w:rPr>
          <w:lang w:val="en-US"/>
        </w:rPr>
        <w:t xml:space="preserve"> –</w:t>
      </w:r>
      <w:r w:rsidR="00112734" w:rsidRPr="00FE46A5">
        <w:rPr>
          <w:lang w:val="en-US"/>
        </w:rPr>
        <w:t xml:space="preserve"> </w:t>
      </w:r>
      <w:r w:rsidR="00112734" w:rsidRPr="00FE46A5">
        <w:rPr>
          <w:i/>
          <w:lang w:val="en-US"/>
        </w:rPr>
        <w:t>The use of Spread Spectrum Techniques</w:t>
      </w:r>
      <w:r w:rsidR="00D11754">
        <w:rPr>
          <w:i/>
          <w:lang w:val="en-US"/>
        </w:rPr>
        <w:t>.</w:t>
      </w:r>
      <w:r w:rsidR="00112734" w:rsidRPr="00FE46A5">
        <w:rPr>
          <w:i/>
          <w:lang w:val="en-US"/>
        </w:rPr>
        <w:t xml:space="preserve"> </w:t>
      </w:r>
    </w:p>
    <w:p w14:paraId="5D8CC6E7" w14:textId="73D7611E" w:rsidR="00EB242E" w:rsidRDefault="00651F08" w:rsidP="00FE46A5">
      <w:pPr>
        <w:pStyle w:val="Heading1"/>
        <w:rPr>
          <w:lang w:val="en-US"/>
        </w:rPr>
      </w:pPr>
      <w:bookmarkStart w:id="48" w:name="_Toc449639005"/>
      <w:bookmarkStart w:id="49" w:name="_Toc451373079"/>
      <w:bookmarkStart w:id="50" w:name="_Toc451353758"/>
      <w:bookmarkStart w:id="51" w:name="_Toc467231967"/>
      <w:bookmarkStart w:id="52" w:name="_Toc467487678"/>
      <w:r w:rsidRPr="00FE46A5">
        <w:rPr>
          <w:lang w:val="en-US"/>
        </w:rPr>
        <w:t>7</w:t>
      </w:r>
      <w:r w:rsidR="001549CF" w:rsidRPr="00FE46A5">
        <w:rPr>
          <w:lang w:val="en-US"/>
        </w:rPr>
        <w:tab/>
      </w:r>
      <w:r w:rsidR="00192CBB" w:rsidRPr="00FE46A5">
        <w:rPr>
          <w:lang w:val="en-US"/>
        </w:rPr>
        <w:t>Sharing with the f</w:t>
      </w:r>
      <w:r w:rsidR="00EB242E" w:rsidRPr="00FE46A5">
        <w:rPr>
          <w:lang w:val="en-US"/>
        </w:rPr>
        <w:t>ixed Service</w:t>
      </w:r>
      <w:bookmarkEnd w:id="48"/>
      <w:bookmarkEnd w:id="49"/>
      <w:bookmarkEnd w:id="50"/>
      <w:bookmarkEnd w:id="51"/>
      <w:bookmarkEnd w:id="52"/>
    </w:p>
    <w:p w14:paraId="29FB3DBA" w14:textId="63191CB8" w:rsidR="0044267A" w:rsidRPr="0044267A" w:rsidRDefault="0044267A" w:rsidP="00FE46A5">
      <w:pPr>
        <w:rPr>
          <w:lang w:val="en-US"/>
        </w:rPr>
      </w:pPr>
      <w:r>
        <w:rPr>
          <w:lang w:val="en-US"/>
        </w:rPr>
        <w:t xml:space="preserve">In the European Common Allocation </w:t>
      </w:r>
      <w:proofErr w:type="gramStart"/>
      <w:r>
        <w:rPr>
          <w:lang w:val="en-US"/>
        </w:rPr>
        <w:t>table</w:t>
      </w:r>
      <w:proofErr w:type="gramEnd"/>
      <w:r>
        <w:rPr>
          <w:lang w:val="en-US"/>
        </w:rPr>
        <w:t xml:space="preserve"> there is no allocation to the fixed service in the 50</w:t>
      </w:r>
      <w:r w:rsidR="00D11754">
        <w:rPr>
          <w:lang w:val="en-US"/>
        </w:rPr>
        <w:noBreakHyphen/>
      </w:r>
      <w:r>
        <w:rPr>
          <w:lang w:val="en-US"/>
        </w:rPr>
        <w:t>54</w:t>
      </w:r>
      <w:r w:rsidR="00D11754">
        <w:rPr>
          <w:lang w:val="en-US"/>
        </w:rPr>
        <w:t> </w:t>
      </w:r>
      <w:r>
        <w:rPr>
          <w:lang w:val="en-US"/>
        </w:rPr>
        <w:t>MHz frequency band.</w:t>
      </w:r>
    </w:p>
    <w:p w14:paraId="252BD99B" w14:textId="5EB73005" w:rsidR="00EB242E" w:rsidRPr="00FE46A5" w:rsidRDefault="00651F08" w:rsidP="00FE46A5">
      <w:pPr>
        <w:pStyle w:val="Heading1"/>
        <w:rPr>
          <w:lang w:val="en-US"/>
        </w:rPr>
      </w:pPr>
      <w:bookmarkStart w:id="53" w:name="_Toc449639006"/>
      <w:bookmarkStart w:id="54" w:name="_Toc451373080"/>
      <w:bookmarkStart w:id="55" w:name="_Toc451353759"/>
      <w:bookmarkStart w:id="56" w:name="_Toc467231968"/>
      <w:bookmarkStart w:id="57" w:name="_Toc467487679"/>
      <w:r w:rsidRPr="00FE46A5">
        <w:rPr>
          <w:lang w:val="en-US" w:eastAsia="zh-CN"/>
        </w:rPr>
        <w:t>8</w:t>
      </w:r>
      <w:r w:rsidR="001549CF" w:rsidRPr="00FE46A5">
        <w:rPr>
          <w:lang w:val="en-US"/>
        </w:rPr>
        <w:tab/>
      </w:r>
      <w:r w:rsidR="00192CBB" w:rsidRPr="00FE46A5">
        <w:rPr>
          <w:lang w:val="en-US"/>
        </w:rPr>
        <w:t>Sharing with the r</w:t>
      </w:r>
      <w:r w:rsidR="00EB242E" w:rsidRPr="00FE46A5">
        <w:rPr>
          <w:lang w:val="en-US"/>
        </w:rPr>
        <w:t>adiolocation Service</w:t>
      </w:r>
      <w:bookmarkEnd w:id="53"/>
      <w:bookmarkEnd w:id="54"/>
      <w:bookmarkEnd w:id="55"/>
      <w:bookmarkEnd w:id="56"/>
      <w:bookmarkEnd w:id="57"/>
    </w:p>
    <w:p w14:paraId="7F47CAA6" w14:textId="77777777" w:rsidR="003A4530" w:rsidRPr="00D51610" w:rsidRDefault="003A4530" w:rsidP="003A4530">
      <w:pPr>
        <w:rPr>
          <w:lang w:val="en-US"/>
        </w:rPr>
      </w:pPr>
      <w:r w:rsidRPr="00D51610">
        <w:rPr>
          <w:lang w:val="en-US"/>
        </w:rPr>
        <w:t xml:space="preserve">In the frequency band 46-68 MHz, RR No. </w:t>
      </w:r>
      <w:r w:rsidRPr="00D51610">
        <w:rPr>
          <w:b/>
          <w:bCs/>
          <w:lang w:val="en-US"/>
        </w:rPr>
        <w:t>5.162A</w:t>
      </w:r>
      <w:r w:rsidRPr="00D51610">
        <w:rPr>
          <w:lang w:val="en-US"/>
        </w:rPr>
        <w:t xml:space="preserve"> provides an additional allocation to the radiolocation service on a secondary basis in a number of countries and limited to the use of wind profiler radars.</w:t>
      </w:r>
    </w:p>
    <w:p w14:paraId="00363F5D" w14:textId="2DC57A60" w:rsidR="003A4530" w:rsidRPr="00D51610" w:rsidRDefault="00B00E16" w:rsidP="00B00E16">
      <w:pPr>
        <w:pStyle w:val="enumlev1"/>
        <w:rPr>
          <w:sz w:val="16"/>
        </w:rPr>
      </w:pPr>
      <w:r>
        <w:rPr>
          <w:rStyle w:val="Artdef"/>
        </w:rPr>
        <w:tab/>
      </w:r>
      <w:proofErr w:type="spellStart"/>
      <w:proofErr w:type="gramStart"/>
      <w:r w:rsidR="003A4530" w:rsidRPr="00D51610">
        <w:rPr>
          <w:rStyle w:val="Artdef"/>
        </w:rPr>
        <w:t>5.162A</w:t>
      </w:r>
      <w:proofErr w:type="spellEnd"/>
      <w:r w:rsidR="003A4530" w:rsidRPr="00D51610">
        <w:rPr>
          <w:rStyle w:val="Artdef"/>
        </w:rPr>
        <w:tab/>
      </w:r>
      <w:r w:rsidR="003A4530" w:rsidRPr="00D51610">
        <w:rPr>
          <w:i/>
          <w:iCs/>
        </w:rPr>
        <w:t>Additional allocation: </w:t>
      </w:r>
      <w:r w:rsidR="003A4530" w:rsidRPr="00D51610">
        <w:t> in Germany, Austria, Belgium, Bosnia and Herzegovina, China, Vatican, Denmark, Spain, Estonia, the Russian Federation, Finland, France, Ireland, Iceland, Italy, Latvia, The Former Yugoslav Republic of Macedonia, Liechtenstein, Lithuania, Luxembourg, Monaco, Montenegro, Norway, the Netherlands, Poland, Portugal, the Czech Rep., the United Kingdom, Serbia, Slovenia, Sweden and Switzerland the band 46-68 MHz is also allocated to the radiolocation service on a secondary basis.</w:t>
      </w:r>
      <w:proofErr w:type="gramEnd"/>
      <w:r w:rsidR="003A4530" w:rsidRPr="00D51610">
        <w:t xml:space="preserve"> This use is limited to the operation of wind profiler radars in accordance with Resolution </w:t>
      </w:r>
      <w:r w:rsidR="003A4530" w:rsidRPr="00D51610">
        <w:rPr>
          <w:b/>
          <w:bCs/>
        </w:rPr>
        <w:t>217 (WRC</w:t>
      </w:r>
      <w:r w:rsidR="003A4530" w:rsidRPr="00D51610">
        <w:rPr>
          <w:b/>
          <w:bCs/>
        </w:rPr>
        <w:noBreakHyphen/>
        <w:t>97)</w:t>
      </w:r>
      <w:r w:rsidR="003A4530" w:rsidRPr="00D51610">
        <w:t>.</w:t>
      </w:r>
      <w:r w:rsidR="003A4530" w:rsidRPr="00D51610">
        <w:rPr>
          <w:sz w:val="16"/>
        </w:rPr>
        <w:t>    (WRC</w:t>
      </w:r>
      <w:r w:rsidR="003A4530" w:rsidRPr="00D51610">
        <w:rPr>
          <w:sz w:val="16"/>
        </w:rPr>
        <w:noBreakHyphen/>
        <w:t>12)</w:t>
      </w:r>
    </w:p>
    <w:p w14:paraId="7CEE0A4A" w14:textId="11BCF584" w:rsidR="003A4530" w:rsidRPr="00D51610" w:rsidRDefault="003A4530" w:rsidP="003A4530">
      <w:pPr>
        <w:rPr>
          <w:szCs w:val="24"/>
          <w:lang w:val="en-US"/>
        </w:rPr>
      </w:pPr>
      <w:r w:rsidRPr="00D51610">
        <w:rPr>
          <w:szCs w:val="24"/>
          <w:lang w:val="en-US"/>
        </w:rPr>
        <w:t xml:space="preserve">The relevant Wind profiler radars parameters for sharing studies with amateur </w:t>
      </w:r>
      <w:r w:rsidR="00192CBB" w:rsidRPr="00D51610">
        <w:rPr>
          <w:szCs w:val="24"/>
          <w:lang w:val="en-US"/>
        </w:rPr>
        <w:t xml:space="preserve">service </w:t>
      </w:r>
      <w:proofErr w:type="gramStart"/>
      <w:r w:rsidR="00192CBB" w:rsidRPr="00D51610">
        <w:rPr>
          <w:szCs w:val="24"/>
          <w:lang w:val="en-US"/>
        </w:rPr>
        <w:t>are described in Table 3</w:t>
      </w:r>
      <w:r w:rsidRPr="00D51610">
        <w:rPr>
          <w:szCs w:val="24"/>
          <w:lang w:val="en-US"/>
        </w:rPr>
        <w:t xml:space="preserve"> below (to be confirmed</w:t>
      </w:r>
      <w:proofErr w:type="gramEnd"/>
      <w:r w:rsidRPr="00D51610">
        <w:rPr>
          <w:szCs w:val="24"/>
          <w:lang w:val="en-US"/>
        </w:rPr>
        <w:t>):</w:t>
      </w:r>
    </w:p>
    <w:p w14:paraId="4DFE6FB5" w14:textId="32976A78" w:rsidR="003A4530" w:rsidRPr="00D51610" w:rsidRDefault="00192CBB" w:rsidP="00B00E16">
      <w:pPr>
        <w:pStyle w:val="TableNo"/>
        <w:rPr>
          <w:lang w:val="en-US"/>
        </w:rPr>
      </w:pPr>
      <w:r w:rsidRPr="00D51610">
        <w:rPr>
          <w:lang w:val="en-US"/>
        </w:rPr>
        <w:t>TABLE</w:t>
      </w:r>
      <w:r w:rsidR="003A4530" w:rsidRPr="00D51610">
        <w:rPr>
          <w:lang w:val="en-US"/>
        </w:rPr>
        <w:t xml:space="preserve"> 3</w:t>
      </w:r>
    </w:p>
    <w:tbl>
      <w:tblPr>
        <w:tblStyle w:val="TableGrid"/>
        <w:tblW w:w="0" w:type="auto"/>
        <w:jc w:val="center"/>
        <w:tblLook w:val="04A0" w:firstRow="1" w:lastRow="0" w:firstColumn="1" w:lastColumn="0" w:noHBand="0" w:noVBand="1"/>
      </w:tblPr>
      <w:tblGrid>
        <w:gridCol w:w="4248"/>
        <w:gridCol w:w="2572"/>
      </w:tblGrid>
      <w:tr w:rsidR="003A4530" w:rsidRPr="006F3AAD" w14:paraId="68502134" w14:textId="77777777" w:rsidTr="00446AEC">
        <w:trPr>
          <w:tblHeader/>
          <w:jc w:val="center"/>
        </w:trPr>
        <w:tc>
          <w:tcPr>
            <w:tcW w:w="4248" w:type="dxa"/>
          </w:tcPr>
          <w:p w14:paraId="35105583" w14:textId="77777777" w:rsidR="003A4530" w:rsidRPr="00FE46A5" w:rsidRDefault="003A4530" w:rsidP="00B00E16">
            <w:pPr>
              <w:pStyle w:val="Tablehead"/>
              <w:rPr>
                <w:rFonts w:eastAsiaTheme="minorHAnsi"/>
                <w:lang w:val="en-US"/>
              </w:rPr>
            </w:pPr>
            <w:r w:rsidRPr="00FE46A5">
              <w:rPr>
                <w:rFonts w:eastAsiaTheme="minorHAnsi"/>
                <w:lang w:val="en-US"/>
              </w:rPr>
              <w:t>System parameter</w:t>
            </w:r>
          </w:p>
        </w:tc>
        <w:tc>
          <w:tcPr>
            <w:tcW w:w="0" w:type="auto"/>
          </w:tcPr>
          <w:p w14:paraId="4EAD4580" w14:textId="77777777" w:rsidR="003A4530" w:rsidRPr="00FE46A5" w:rsidRDefault="003A4530" w:rsidP="00B00E16">
            <w:pPr>
              <w:pStyle w:val="Tablehead"/>
            </w:pPr>
            <w:r w:rsidRPr="00FE46A5">
              <w:t>Range of values</w:t>
            </w:r>
          </w:p>
        </w:tc>
      </w:tr>
      <w:tr w:rsidR="003A4530" w:rsidRPr="006F3AAD" w14:paraId="448B9797" w14:textId="77777777" w:rsidTr="00446AEC">
        <w:trPr>
          <w:jc w:val="center"/>
        </w:trPr>
        <w:tc>
          <w:tcPr>
            <w:tcW w:w="4248" w:type="dxa"/>
          </w:tcPr>
          <w:p w14:paraId="6516C2B2" w14:textId="77777777" w:rsidR="003A4530" w:rsidRPr="006F3AAD" w:rsidRDefault="003A4530" w:rsidP="00B00E16">
            <w:pPr>
              <w:pStyle w:val="Tabletext"/>
            </w:pPr>
            <w:r w:rsidRPr="006F3AAD">
              <w:t>Pulse peak power (kW)</w:t>
            </w:r>
          </w:p>
        </w:tc>
        <w:tc>
          <w:tcPr>
            <w:tcW w:w="0" w:type="auto"/>
          </w:tcPr>
          <w:p w14:paraId="35381BB4" w14:textId="3D7AA9D7" w:rsidR="003A4530" w:rsidRPr="006F3AAD" w:rsidRDefault="003A4530" w:rsidP="00B00E16">
            <w:pPr>
              <w:pStyle w:val="Tabletext"/>
              <w:jc w:val="center"/>
            </w:pPr>
            <w:r w:rsidRPr="006F3AAD">
              <w:t>5</w:t>
            </w:r>
            <w:r w:rsidR="00B00E16">
              <w:noBreakHyphen/>
            </w:r>
            <w:r w:rsidRPr="006F3AAD">
              <w:t>60</w:t>
            </w:r>
          </w:p>
        </w:tc>
      </w:tr>
      <w:tr w:rsidR="003A4530" w:rsidRPr="006F3AAD" w14:paraId="69F201F5" w14:textId="77777777" w:rsidTr="00446AEC">
        <w:trPr>
          <w:jc w:val="center"/>
        </w:trPr>
        <w:tc>
          <w:tcPr>
            <w:tcW w:w="4248" w:type="dxa"/>
          </w:tcPr>
          <w:p w14:paraId="3A435578" w14:textId="77777777" w:rsidR="003A4530" w:rsidRPr="006F3AAD" w:rsidRDefault="003A4530" w:rsidP="00B00E16">
            <w:pPr>
              <w:pStyle w:val="Tabletext"/>
            </w:pPr>
            <w:r w:rsidRPr="006F3AAD">
              <w:t>Average transmitted power (kW)</w:t>
            </w:r>
          </w:p>
        </w:tc>
        <w:tc>
          <w:tcPr>
            <w:tcW w:w="0" w:type="auto"/>
          </w:tcPr>
          <w:p w14:paraId="4432BFB9" w14:textId="17DEDFEE" w:rsidR="003A4530" w:rsidRPr="006F3AAD" w:rsidRDefault="003A4530" w:rsidP="00B00E16">
            <w:pPr>
              <w:pStyle w:val="Tabletext"/>
              <w:jc w:val="center"/>
            </w:pPr>
            <w:r w:rsidRPr="006F3AAD">
              <w:t>0.5</w:t>
            </w:r>
            <w:r w:rsidR="00B00E16">
              <w:noBreakHyphen/>
            </w:r>
            <w:r w:rsidRPr="006F3AAD">
              <w:t>5</w:t>
            </w:r>
          </w:p>
        </w:tc>
      </w:tr>
      <w:tr w:rsidR="003A4530" w:rsidRPr="006F3AAD" w14:paraId="586A3A13" w14:textId="77777777" w:rsidTr="00446AEC">
        <w:trPr>
          <w:jc w:val="center"/>
        </w:trPr>
        <w:tc>
          <w:tcPr>
            <w:tcW w:w="4248" w:type="dxa"/>
          </w:tcPr>
          <w:p w14:paraId="04420779" w14:textId="77777777" w:rsidR="003A4530" w:rsidRPr="006F3AAD" w:rsidRDefault="003A4530" w:rsidP="00B00E16">
            <w:pPr>
              <w:pStyle w:val="Tabletext"/>
            </w:pPr>
            <w:r w:rsidRPr="006F3AAD">
              <w:lastRenderedPageBreak/>
              <w:t>Main beam antenna gain (dBi)</w:t>
            </w:r>
          </w:p>
        </w:tc>
        <w:tc>
          <w:tcPr>
            <w:tcW w:w="0" w:type="auto"/>
          </w:tcPr>
          <w:p w14:paraId="74255CE9" w14:textId="56FC3D25" w:rsidR="003A4530" w:rsidRPr="006F3AAD" w:rsidRDefault="003A4530" w:rsidP="00B00E16">
            <w:pPr>
              <w:pStyle w:val="Tabletext"/>
              <w:jc w:val="center"/>
            </w:pPr>
            <w:r w:rsidRPr="006F3AAD">
              <w:t>30</w:t>
            </w:r>
            <w:r w:rsidR="00B00E16">
              <w:noBreakHyphen/>
            </w:r>
            <w:r w:rsidRPr="006F3AAD">
              <w:t>34</w:t>
            </w:r>
          </w:p>
        </w:tc>
      </w:tr>
      <w:tr w:rsidR="003A4530" w:rsidRPr="006F3AAD" w14:paraId="60C39204" w14:textId="77777777" w:rsidTr="00446AEC">
        <w:trPr>
          <w:jc w:val="center"/>
        </w:trPr>
        <w:tc>
          <w:tcPr>
            <w:tcW w:w="4248" w:type="dxa"/>
          </w:tcPr>
          <w:p w14:paraId="7E42C63D" w14:textId="77777777" w:rsidR="003A4530" w:rsidRPr="006F3AAD" w:rsidRDefault="003A4530" w:rsidP="00B00E16">
            <w:pPr>
              <w:pStyle w:val="Tabletext"/>
            </w:pPr>
            <w:r w:rsidRPr="006F3AAD">
              <w:t>Antenna beamwidth (degrees)</w:t>
            </w:r>
          </w:p>
        </w:tc>
        <w:tc>
          <w:tcPr>
            <w:tcW w:w="0" w:type="auto"/>
          </w:tcPr>
          <w:p w14:paraId="62BBFC1B" w14:textId="37C184D3" w:rsidR="003A4530" w:rsidRPr="006F3AAD" w:rsidRDefault="003A4530" w:rsidP="00B00E16">
            <w:pPr>
              <w:pStyle w:val="Tabletext"/>
              <w:jc w:val="center"/>
            </w:pPr>
            <w:r w:rsidRPr="006F3AAD">
              <w:t>4</w:t>
            </w:r>
            <w:r w:rsidR="00B00E16">
              <w:noBreakHyphen/>
            </w:r>
            <w:r w:rsidRPr="006F3AAD">
              <w:t>6</w:t>
            </w:r>
          </w:p>
        </w:tc>
      </w:tr>
      <w:tr w:rsidR="003A4530" w:rsidRPr="006F3AAD" w14:paraId="6F617B6F" w14:textId="77777777" w:rsidTr="00446AEC">
        <w:trPr>
          <w:jc w:val="center"/>
        </w:trPr>
        <w:tc>
          <w:tcPr>
            <w:tcW w:w="4248" w:type="dxa"/>
          </w:tcPr>
          <w:p w14:paraId="49C5871C" w14:textId="77777777" w:rsidR="003A4530" w:rsidRPr="006F3AAD" w:rsidRDefault="003A4530" w:rsidP="00B00E16">
            <w:pPr>
              <w:pStyle w:val="Tabletext"/>
            </w:pPr>
            <w:r w:rsidRPr="006F3AAD">
              <w:t>Main pointing elevation angle (degrees)</w:t>
            </w:r>
          </w:p>
        </w:tc>
        <w:tc>
          <w:tcPr>
            <w:tcW w:w="0" w:type="auto"/>
          </w:tcPr>
          <w:p w14:paraId="39DD06FA" w14:textId="77777777" w:rsidR="003A4530" w:rsidRPr="006F3AAD" w:rsidRDefault="003A4530" w:rsidP="00B00E16">
            <w:pPr>
              <w:pStyle w:val="Tabletext"/>
              <w:jc w:val="center"/>
            </w:pPr>
            <w:r w:rsidRPr="006F3AAD">
              <w:t>90 (zenith)</w:t>
            </w:r>
          </w:p>
        </w:tc>
      </w:tr>
      <w:tr w:rsidR="003A4530" w:rsidRPr="006F3AAD" w14:paraId="7185240D" w14:textId="77777777" w:rsidTr="00446AEC">
        <w:trPr>
          <w:jc w:val="center"/>
        </w:trPr>
        <w:tc>
          <w:tcPr>
            <w:tcW w:w="4248" w:type="dxa"/>
          </w:tcPr>
          <w:p w14:paraId="09C950A2" w14:textId="77777777" w:rsidR="003A4530" w:rsidRPr="006F3AAD" w:rsidRDefault="003A4530" w:rsidP="00B00E16">
            <w:pPr>
              <w:pStyle w:val="Tabletext"/>
            </w:pPr>
            <w:r w:rsidRPr="006F3AAD">
              <w:t xml:space="preserve">Tilt angle from main pointing (degrees) </w:t>
            </w:r>
          </w:p>
        </w:tc>
        <w:tc>
          <w:tcPr>
            <w:tcW w:w="0" w:type="auto"/>
          </w:tcPr>
          <w:p w14:paraId="0B26FB58" w14:textId="33374992" w:rsidR="003A4530" w:rsidRPr="006F3AAD" w:rsidRDefault="003A4530" w:rsidP="00B00E16">
            <w:pPr>
              <w:pStyle w:val="Tabletext"/>
              <w:jc w:val="center"/>
            </w:pPr>
            <w:r w:rsidRPr="006F3AAD">
              <w:t>11</w:t>
            </w:r>
            <w:r w:rsidR="00B00E16">
              <w:noBreakHyphen/>
            </w:r>
            <w:r w:rsidRPr="006F3AAD">
              <w:t>16</w:t>
            </w:r>
          </w:p>
        </w:tc>
      </w:tr>
      <w:tr w:rsidR="003A4530" w:rsidRPr="006F3AAD" w14:paraId="1736275A" w14:textId="77777777" w:rsidTr="00446AEC">
        <w:trPr>
          <w:jc w:val="center"/>
        </w:trPr>
        <w:tc>
          <w:tcPr>
            <w:tcW w:w="4248" w:type="dxa"/>
          </w:tcPr>
          <w:p w14:paraId="1BC4F2B2" w14:textId="77777777" w:rsidR="003A4530" w:rsidRPr="006F3AAD" w:rsidRDefault="003A4530" w:rsidP="00B00E16">
            <w:pPr>
              <w:pStyle w:val="Tabletext"/>
            </w:pPr>
            <w:r w:rsidRPr="006F3AAD">
              <w:t>Antenna side-lobe suppression between 0 and 5° compared to horizon (dB)</w:t>
            </w:r>
          </w:p>
        </w:tc>
        <w:tc>
          <w:tcPr>
            <w:tcW w:w="0" w:type="auto"/>
          </w:tcPr>
          <w:p w14:paraId="6D9F66C3" w14:textId="77777777" w:rsidR="003A4530" w:rsidRPr="006F3AAD" w:rsidRDefault="003A4530" w:rsidP="00B00E16">
            <w:pPr>
              <w:pStyle w:val="Tabletext"/>
              <w:jc w:val="center"/>
            </w:pPr>
            <w:r w:rsidRPr="006F3AAD">
              <w:t>33 (minimum) – 40 (Median)</w:t>
            </w:r>
          </w:p>
        </w:tc>
      </w:tr>
      <w:tr w:rsidR="003A4530" w:rsidRPr="006F3AAD" w14:paraId="50B5B10B" w14:textId="77777777" w:rsidTr="00446AEC">
        <w:trPr>
          <w:jc w:val="center"/>
        </w:trPr>
        <w:tc>
          <w:tcPr>
            <w:tcW w:w="4248" w:type="dxa"/>
          </w:tcPr>
          <w:p w14:paraId="13905960" w14:textId="77777777" w:rsidR="003A4530" w:rsidRPr="006F3AAD" w:rsidRDefault="003A4530" w:rsidP="00B00E16">
            <w:pPr>
              <w:pStyle w:val="Tabletext"/>
            </w:pPr>
            <w:r w:rsidRPr="006F3AAD">
              <w:t>Additional shielding at horizon (dB)</w:t>
            </w:r>
          </w:p>
        </w:tc>
        <w:tc>
          <w:tcPr>
            <w:tcW w:w="0" w:type="auto"/>
          </w:tcPr>
          <w:p w14:paraId="23C17BC3" w14:textId="77777777" w:rsidR="003A4530" w:rsidRPr="006F3AAD" w:rsidRDefault="003A4530" w:rsidP="00B00E16">
            <w:pPr>
              <w:pStyle w:val="Tabletext"/>
              <w:jc w:val="center"/>
            </w:pPr>
            <w:r w:rsidRPr="006F3AAD">
              <w:t>TBD</w:t>
            </w:r>
          </w:p>
        </w:tc>
      </w:tr>
      <w:tr w:rsidR="003A4530" w:rsidRPr="006F3AAD" w14:paraId="574666FC" w14:textId="77777777" w:rsidTr="00446AEC">
        <w:trPr>
          <w:jc w:val="center"/>
        </w:trPr>
        <w:tc>
          <w:tcPr>
            <w:tcW w:w="4248" w:type="dxa"/>
          </w:tcPr>
          <w:p w14:paraId="6555DE97" w14:textId="77777777" w:rsidR="003A4530" w:rsidRPr="006F3AAD" w:rsidRDefault="003A4530" w:rsidP="00B00E16">
            <w:pPr>
              <w:pStyle w:val="Tabletext"/>
            </w:pPr>
            <w:r w:rsidRPr="006F3AAD">
              <w:t>Pulse width (µs)</w:t>
            </w:r>
          </w:p>
        </w:tc>
        <w:tc>
          <w:tcPr>
            <w:tcW w:w="0" w:type="auto"/>
          </w:tcPr>
          <w:p w14:paraId="2A4940C4" w14:textId="75109BF5" w:rsidR="003A4530" w:rsidRPr="006F3AAD" w:rsidRDefault="003A4530" w:rsidP="00395706">
            <w:pPr>
              <w:pStyle w:val="Tabletext"/>
              <w:jc w:val="center"/>
            </w:pPr>
            <w:r w:rsidRPr="006F3AAD">
              <w:t>1</w:t>
            </w:r>
            <w:r w:rsidR="00395706">
              <w:noBreakHyphen/>
            </w:r>
            <w:r w:rsidRPr="006F3AAD">
              <w:t>10</w:t>
            </w:r>
          </w:p>
        </w:tc>
      </w:tr>
      <w:tr w:rsidR="003A4530" w:rsidRPr="006F3AAD" w14:paraId="4657AFF3" w14:textId="77777777" w:rsidTr="00446AEC">
        <w:trPr>
          <w:jc w:val="center"/>
        </w:trPr>
        <w:tc>
          <w:tcPr>
            <w:tcW w:w="4248" w:type="dxa"/>
          </w:tcPr>
          <w:p w14:paraId="42E9ABD6" w14:textId="77777777" w:rsidR="003A4530" w:rsidRPr="006F3AAD" w:rsidRDefault="003A4530" w:rsidP="00B00E16">
            <w:pPr>
              <w:pStyle w:val="Tabletext"/>
            </w:pPr>
            <w:r w:rsidRPr="006F3AAD">
              <w:t>Necessary bandwidth (MHz)</w:t>
            </w:r>
          </w:p>
        </w:tc>
        <w:tc>
          <w:tcPr>
            <w:tcW w:w="0" w:type="auto"/>
          </w:tcPr>
          <w:p w14:paraId="197205DD" w14:textId="2EC13143" w:rsidR="003A4530" w:rsidRPr="006F3AAD" w:rsidRDefault="003A4530" w:rsidP="00395706">
            <w:pPr>
              <w:pStyle w:val="Tabletext"/>
              <w:jc w:val="center"/>
            </w:pPr>
            <w:r w:rsidRPr="006F3AAD">
              <w:t>0.2</w:t>
            </w:r>
            <w:r w:rsidR="00395706">
              <w:noBreakHyphen/>
            </w:r>
            <w:r w:rsidRPr="006F3AAD">
              <w:t>2.2</w:t>
            </w:r>
          </w:p>
        </w:tc>
      </w:tr>
      <w:tr w:rsidR="003A4530" w:rsidRPr="006F3AAD" w14:paraId="3C3BE519" w14:textId="77777777" w:rsidTr="00446AEC">
        <w:trPr>
          <w:jc w:val="center"/>
        </w:trPr>
        <w:tc>
          <w:tcPr>
            <w:tcW w:w="4248" w:type="dxa"/>
          </w:tcPr>
          <w:p w14:paraId="2D05CDC0" w14:textId="77777777" w:rsidR="003A4530" w:rsidRPr="006F3AAD" w:rsidRDefault="003A4530" w:rsidP="00B00E16">
            <w:pPr>
              <w:pStyle w:val="Tabletext"/>
            </w:pPr>
            <w:r w:rsidRPr="006F3AAD">
              <w:t>Occupied bandwidth (MHz)</w:t>
            </w:r>
          </w:p>
        </w:tc>
        <w:tc>
          <w:tcPr>
            <w:tcW w:w="0" w:type="auto"/>
          </w:tcPr>
          <w:p w14:paraId="52B31BBC" w14:textId="3A8F8C1F" w:rsidR="003A4530" w:rsidRPr="006F3AAD" w:rsidRDefault="003A4530" w:rsidP="00395706">
            <w:pPr>
              <w:pStyle w:val="Tabletext"/>
              <w:jc w:val="center"/>
            </w:pPr>
            <w:r w:rsidRPr="006F3AAD">
              <w:t>0.5</w:t>
            </w:r>
            <w:r w:rsidR="00395706">
              <w:noBreakHyphen/>
            </w:r>
            <w:r w:rsidRPr="006F3AAD">
              <w:t>5</w:t>
            </w:r>
          </w:p>
        </w:tc>
      </w:tr>
      <w:tr w:rsidR="003A4530" w:rsidRPr="006F3AAD" w14:paraId="50337879" w14:textId="77777777" w:rsidTr="00446AEC">
        <w:trPr>
          <w:jc w:val="center"/>
        </w:trPr>
        <w:tc>
          <w:tcPr>
            <w:tcW w:w="4248" w:type="dxa"/>
          </w:tcPr>
          <w:p w14:paraId="60D0B5D7" w14:textId="77777777" w:rsidR="003A4530" w:rsidRPr="006F3AAD" w:rsidRDefault="003A4530" w:rsidP="00B00E16">
            <w:pPr>
              <w:pStyle w:val="Tabletext"/>
            </w:pPr>
            <w:r w:rsidRPr="006F3AAD">
              <w:t>Protection criteria (I/N)(dB)</w:t>
            </w:r>
          </w:p>
        </w:tc>
        <w:tc>
          <w:tcPr>
            <w:tcW w:w="0" w:type="auto"/>
          </w:tcPr>
          <w:p w14:paraId="41DCD711" w14:textId="7156F1A0" w:rsidR="003A4530" w:rsidRPr="006F3AAD" w:rsidRDefault="00395706" w:rsidP="00B00E16">
            <w:pPr>
              <w:pStyle w:val="Tabletext"/>
              <w:jc w:val="center"/>
            </w:pPr>
            <w:r>
              <w:t>–</w:t>
            </w:r>
            <w:r w:rsidR="003A4530" w:rsidRPr="006F3AAD">
              <w:t>6</w:t>
            </w:r>
          </w:p>
        </w:tc>
      </w:tr>
      <w:tr w:rsidR="003A4530" w:rsidRPr="006F3AAD" w14:paraId="324A2990" w14:textId="77777777" w:rsidTr="00446AEC">
        <w:trPr>
          <w:jc w:val="center"/>
        </w:trPr>
        <w:tc>
          <w:tcPr>
            <w:tcW w:w="4248" w:type="dxa"/>
          </w:tcPr>
          <w:p w14:paraId="61A196DE" w14:textId="77777777" w:rsidR="003A4530" w:rsidRPr="006F3AAD" w:rsidRDefault="003A4530" w:rsidP="00B00E16">
            <w:pPr>
              <w:pStyle w:val="Tabletext"/>
            </w:pPr>
            <w:r w:rsidRPr="006F3AAD">
              <w:t>Noise figure (dB)</w:t>
            </w:r>
          </w:p>
        </w:tc>
        <w:tc>
          <w:tcPr>
            <w:tcW w:w="0" w:type="auto"/>
          </w:tcPr>
          <w:p w14:paraId="0F25A57B" w14:textId="77777777" w:rsidR="003A4530" w:rsidRPr="006F3AAD" w:rsidRDefault="003A4530" w:rsidP="00B00E16">
            <w:pPr>
              <w:pStyle w:val="Tabletext"/>
              <w:jc w:val="center"/>
            </w:pPr>
            <w:r w:rsidRPr="006F3AAD">
              <w:t>3 (TBC)</w:t>
            </w:r>
          </w:p>
        </w:tc>
      </w:tr>
      <w:tr w:rsidR="003A4530" w:rsidRPr="006F3AAD" w14:paraId="41845007" w14:textId="77777777" w:rsidTr="00446AEC">
        <w:trPr>
          <w:jc w:val="center"/>
        </w:trPr>
        <w:tc>
          <w:tcPr>
            <w:tcW w:w="4248" w:type="dxa"/>
          </w:tcPr>
          <w:p w14:paraId="622956E5" w14:textId="77777777" w:rsidR="003A4530" w:rsidRPr="006F3AAD" w:rsidRDefault="003A4530" w:rsidP="00B00E16">
            <w:pPr>
              <w:pStyle w:val="Tabletext"/>
            </w:pPr>
            <w:r w:rsidRPr="006F3AAD">
              <w:t>Maximum interference level in necessary bandwidth (dBW)</w:t>
            </w:r>
          </w:p>
        </w:tc>
        <w:tc>
          <w:tcPr>
            <w:tcW w:w="0" w:type="auto"/>
          </w:tcPr>
          <w:p w14:paraId="66F78A5F" w14:textId="6E3C710F" w:rsidR="003A4530" w:rsidRPr="006F3AAD" w:rsidRDefault="00395706" w:rsidP="00B00E16">
            <w:pPr>
              <w:pStyle w:val="Tabletext"/>
              <w:jc w:val="center"/>
            </w:pPr>
            <w:r>
              <w:t>–</w:t>
            </w:r>
            <w:r w:rsidR="003A4530" w:rsidRPr="006F3AAD">
              <w:t>154 (TBC)</w:t>
            </w:r>
          </w:p>
        </w:tc>
      </w:tr>
    </w:tbl>
    <w:p w14:paraId="0BFEFD81" w14:textId="1DB4B5CC" w:rsidR="003A4530" w:rsidRPr="00D51610" w:rsidRDefault="003A4530" w:rsidP="00395706">
      <w:pPr>
        <w:pStyle w:val="Tablefin"/>
        <w:rPr>
          <w:lang w:val="en-US"/>
        </w:rPr>
      </w:pPr>
    </w:p>
    <w:p w14:paraId="652D6F1D" w14:textId="15C2A33E" w:rsidR="003A4530" w:rsidRPr="00D51610" w:rsidRDefault="003A4530" w:rsidP="003A4530">
      <w:pPr>
        <w:rPr>
          <w:lang w:val="en-US"/>
        </w:rPr>
      </w:pPr>
      <w:r w:rsidRPr="00D51610">
        <w:rPr>
          <w:rFonts w:eastAsia="Calibri"/>
          <w:lang w:val="en-US"/>
        </w:rPr>
        <w:t>Currently, the MIFR has no information about frequency assignments to</w:t>
      </w:r>
      <w:r w:rsidRPr="00D51610">
        <w:rPr>
          <w:lang w:val="en-US"/>
        </w:rPr>
        <w:t xml:space="preserve"> wind profilers in the 50</w:t>
      </w:r>
      <w:r w:rsidR="006F3AAD">
        <w:rPr>
          <w:lang w:val="en-US"/>
        </w:rPr>
        <w:noBreakHyphen/>
      </w:r>
      <w:r w:rsidRPr="00D51610">
        <w:rPr>
          <w:lang w:val="en-US"/>
        </w:rPr>
        <w:t>54</w:t>
      </w:r>
      <w:r w:rsidR="006F3AAD">
        <w:rPr>
          <w:lang w:val="en-US"/>
        </w:rPr>
        <w:t> </w:t>
      </w:r>
      <w:r w:rsidRPr="00D51610">
        <w:rPr>
          <w:lang w:val="en-US"/>
        </w:rPr>
        <w:t>MHz frequency band.</w:t>
      </w:r>
    </w:p>
    <w:p w14:paraId="1B0C8946" w14:textId="1F97B8A9" w:rsidR="003A4530" w:rsidRPr="00D51610" w:rsidRDefault="003A4530" w:rsidP="003A4530">
      <w:pPr>
        <w:rPr>
          <w:lang w:val="en-US"/>
        </w:rPr>
      </w:pPr>
      <w:r w:rsidRPr="00D51610">
        <w:rPr>
          <w:lang w:val="en-US"/>
        </w:rPr>
        <w:t xml:space="preserve">The reference ITU-R documents related to </w:t>
      </w:r>
      <w:r w:rsidR="00192CBB" w:rsidRPr="00D51610">
        <w:rPr>
          <w:lang w:val="en-US"/>
        </w:rPr>
        <w:t xml:space="preserve">wind profilers </w:t>
      </w:r>
      <w:r w:rsidRPr="00D51610">
        <w:rPr>
          <w:lang w:val="en-US"/>
        </w:rPr>
        <w:t>are:</w:t>
      </w:r>
    </w:p>
    <w:p w14:paraId="4AFAFED2" w14:textId="401E7C5D" w:rsidR="003A4530" w:rsidRPr="00D51610" w:rsidRDefault="00395706" w:rsidP="00395706">
      <w:pPr>
        <w:pStyle w:val="enumlev1"/>
        <w:rPr>
          <w:lang w:val="en-US"/>
        </w:rPr>
      </w:pPr>
      <w:r>
        <w:rPr>
          <w:rFonts w:eastAsia="Calibri"/>
          <w:lang w:val="en-US"/>
        </w:rPr>
        <w:t>–</w:t>
      </w:r>
      <w:r>
        <w:rPr>
          <w:rFonts w:eastAsia="Calibri"/>
          <w:lang w:val="en-US"/>
        </w:rPr>
        <w:tab/>
      </w:r>
      <w:r w:rsidR="003A4530" w:rsidRPr="00D51610">
        <w:rPr>
          <w:rFonts w:eastAsia="Calibri"/>
          <w:lang w:val="en-US"/>
        </w:rPr>
        <w:t xml:space="preserve">Resolution </w:t>
      </w:r>
      <w:r w:rsidR="003A4530" w:rsidRPr="006F3AAD">
        <w:rPr>
          <w:rFonts w:eastAsia="Calibri"/>
          <w:b/>
          <w:bCs/>
          <w:lang w:val="en-US"/>
        </w:rPr>
        <w:t>217 (WRC-97)</w:t>
      </w:r>
      <w:r>
        <w:rPr>
          <w:rFonts w:eastAsia="Calibri"/>
          <w:b/>
          <w:bCs/>
          <w:lang w:val="en-US"/>
        </w:rPr>
        <w:t xml:space="preserve"> </w:t>
      </w:r>
      <w:r>
        <w:rPr>
          <w:rFonts w:eastAsia="Calibri"/>
          <w:lang w:val="en-US"/>
        </w:rPr>
        <w:t>–</w:t>
      </w:r>
      <w:r w:rsidR="003A4530" w:rsidRPr="00D51610">
        <w:rPr>
          <w:rFonts w:eastAsia="Calibri"/>
          <w:lang w:val="en-US"/>
        </w:rPr>
        <w:t xml:space="preserve"> </w:t>
      </w:r>
      <w:r w:rsidR="003A4530" w:rsidRPr="00395706">
        <w:rPr>
          <w:rFonts w:eastAsia="Calibri"/>
          <w:i/>
          <w:iCs/>
          <w:lang w:val="en-US"/>
        </w:rPr>
        <w:t>Implementation of wind profiler radars</w:t>
      </w:r>
      <w:r w:rsidR="006F3AAD">
        <w:rPr>
          <w:rFonts w:eastAsia="Calibri"/>
          <w:lang w:val="en-US"/>
        </w:rPr>
        <w:t>.</w:t>
      </w:r>
    </w:p>
    <w:p w14:paraId="1A0EA791" w14:textId="79438957" w:rsidR="003A4530" w:rsidRPr="00D51610" w:rsidRDefault="00395706" w:rsidP="00395706">
      <w:pPr>
        <w:pStyle w:val="enumlev1"/>
      </w:pPr>
      <w:r>
        <w:rPr>
          <w:rFonts w:eastAsia="Calibri"/>
          <w:lang w:val="en-US"/>
        </w:rPr>
        <w:t>–</w:t>
      </w:r>
      <w:r>
        <w:rPr>
          <w:rFonts w:eastAsia="Calibri"/>
          <w:lang w:val="en-US"/>
        </w:rPr>
        <w:tab/>
      </w:r>
      <w:r w:rsidR="003A4530" w:rsidRPr="00395706">
        <w:rPr>
          <w:rFonts w:eastAsia="Calibri"/>
          <w:lang w:val="en-US"/>
        </w:rPr>
        <w:t>Recommendation</w:t>
      </w:r>
      <w:r w:rsidR="003A4530" w:rsidRPr="00D51610">
        <w:rPr>
          <w:lang w:val="en-US"/>
        </w:rPr>
        <w:t xml:space="preserve"> ITU-R </w:t>
      </w:r>
      <w:proofErr w:type="spellStart"/>
      <w:r w:rsidR="003A4530" w:rsidRPr="00D51610">
        <w:rPr>
          <w:lang w:val="en-US"/>
        </w:rPr>
        <w:t>M.1226</w:t>
      </w:r>
      <w:proofErr w:type="spellEnd"/>
      <w:r>
        <w:rPr>
          <w:lang w:val="en-US"/>
        </w:rPr>
        <w:t xml:space="preserve"> –</w:t>
      </w:r>
      <w:r w:rsidR="003A4530" w:rsidRPr="00D51610">
        <w:rPr>
          <w:lang w:val="en-US"/>
        </w:rPr>
        <w:t xml:space="preserve"> </w:t>
      </w:r>
      <w:r w:rsidR="003A4530" w:rsidRPr="00D51610">
        <w:rPr>
          <w:i/>
        </w:rPr>
        <w:t xml:space="preserve">Technical and operational </w:t>
      </w:r>
      <w:r w:rsidR="00990A5C" w:rsidRPr="00D51610">
        <w:rPr>
          <w:i/>
        </w:rPr>
        <w:t xml:space="preserve">characteristics </w:t>
      </w:r>
      <w:r w:rsidR="003A4530" w:rsidRPr="00D51610">
        <w:rPr>
          <w:i/>
        </w:rPr>
        <w:t xml:space="preserve">of Wind Profiler Radars in the </w:t>
      </w:r>
      <w:r w:rsidR="00990A5C" w:rsidRPr="00D51610">
        <w:rPr>
          <w:i/>
        </w:rPr>
        <w:t xml:space="preserve">bands </w:t>
      </w:r>
      <w:proofErr w:type="gramStart"/>
      <w:r w:rsidR="003A4530" w:rsidRPr="00D51610">
        <w:rPr>
          <w:i/>
        </w:rPr>
        <w:t xml:space="preserve">in the </w:t>
      </w:r>
      <w:r w:rsidR="00990A5C" w:rsidRPr="00D51610">
        <w:rPr>
          <w:i/>
        </w:rPr>
        <w:t xml:space="preserve">vicinity </w:t>
      </w:r>
      <w:r w:rsidR="003A4530" w:rsidRPr="00D51610">
        <w:rPr>
          <w:i/>
        </w:rPr>
        <w:t>of</w:t>
      </w:r>
      <w:proofErr w:type="gramEnd"/>
      <w:r w:rsidR="003A4530" w:rsidRPr="00D51610">
        <w:rPr>
          <w:i/>
        </w:rPr>
        <w:t xml:space="preserve"> 50 </w:t>
      </w:r>
      <w:proofErr w:type="spellStart"/>
      <w:r w:rsidR="003A4530" w:rsidRPr="00D51610">
        <w:rPr>
          <w:i/>
        </w:rPr>
        <w:t>MHz</w:t>
      </w:r>
      <w:r w:rsidR="006F3AAD">
        <w:rPr>
          <w:i/>
        </w:rPr>
        <w:t>.</w:t>
      </w:r>
      <w:proofErr w:type="spellEnd"/>
    </w:p>
    <w:p w14:paraId="3F3F2105" w14:textId="2EF8B8DB" w:rsidR="003A4530" w:rsidRPr="00D51610" w:rsidRDefault="00395706" w:rsidP="00395706">
      <w:pPr>
        <w:pStyle w:val="enumlev1"/>
        <w:rPr>
          <w:lang w:val="en-US"/>
        </w:rPr>
      </w:pPr>
      <w:r>
        <w:rPr>
          <w:rFonts w:eastAsia="Calibri"/>
          <w:lang w:val="en-US"/>
        </w:rPr>
        <w:t>–</w:t>
      </w:r>
      <w:r>
        <w:rPr>
          <w:rFonts w:eastAsia="Calibri"/>
          <w:lang w:val="en-US"/>
        </w:rPr>
        <w:tab/>
      </w:r>
      <w:r w:rsidR="003A4530" w:rsidRPr="00395706">
        <w:rPr>
          <w:rFonts w:eastAsia="Calibri"/>
          <w:lang w:val="en-US"/>
        </w:rPr>
        <w:t>Report</w:t>
      </w:r>
      <w:r w:rsidR="003A4530" w:rsidRPr="00D51610">
        <w:rPr>
          <w:lang w:val="en-US"/>
        </w:rPr>
        <w:t xml:space="preserve"> ITU-R </w:t>
      </w:r>
      <w:proofErr w:type="spellStart"/>
      <w:r w:rsidR="003A4530" w:rsidRPr="00D51610">
        <w:rPr>
          <w:lang w:val="en-US"/>
        </w:rPr>
        <w:t>M.2013</w:t>
      </w:r>
      <w:proofErr w:type="spellEnd"/>
      <w:r w:rsidR="00990A5C">
        <w:rPr>
          <w:lang w:val="en-US"/>
        </w:rPr>
        <w:t xml:space="preserve"> –</w:t>
      </w:r>
      <w:r w:rsidR="003A4530" w:rsidRPr="00D51610">
        <w:rPr>
          <w:lang w:val="en-US"/>
        </w:rPr>
        <w:t xml:space="preserve"> </w:t>
      </w:r>
      <w:r w:rsidR="003A4530" w:rsidRPr="00D51610">
        <w:rPr>
          <w:i/>
          <w:lang w:val="en-US"/>
        </w:rPr>
        <w:t>Wind profiler radars</w:t>
      </w:r>
      <w:r w:rsidR="006F3AAD">
        <w:rPr>
          <w:i/>
          <w:lang w:val="en-US"/>
        </w:rPr>
        <w:t>.</w:t>
      </w:r>
    </w:p>
    <w:p w14:paraId="73ACCDC3" w14:textId="7E4BCD2F" w:rsidR="000E7C77" w:rsidRDefault="00651F08" w:rsidP="00FE46A5">
      <w:pPr>
        <w:pStyle w:val="Heading1"/>
        <w:ind w:left="0" w:firstLine="0"/>
        <w:rPr>
          <w:lang w:val="en-US"/>
        </w:rPr>
      </w:pPr>
      <w:bookmarkStart w:id="58" w:name="_Toc449639007"/>
      <w:bookmarkStart w:id="59" w:name="_Toc451373081"/>
      <w:bookmarkStart w:id="60" w:name="_Toc451353760"/>
      <w:bookmarkStart w:id="61" w:name="_Toc467231969"/>
      <w:bookmarkStart w:id="62" w:name="_Toc467487680"/>
      <w:r w:rsidRPr="00FE46A5">
        <w:rPr>
          <w:lang w:val="en-US"/>
        </w:rPr>
        <w:t>9</w:t>
      </w:r>
      <w:r w:rsidR="00EB242E" w:rsidRPr="00FE46A5">
        <w:rPr>
          <w:lang w:val="en-US"/>
        </w:rPr>
        <w:t xml:space="preserve"> </w:t>
      </w:r>
      <w:r w:rsidR="001549CF" w:rsidRPr="00FE46A5">
        <w:rPr>
          <w:lang w:val="en-US"/>
        </w:rPr>
        <w:tab/>
      </w:r>
      <w:r w:rsidR="00192CBB" w:rsidRPr="00FE46A5">
        <w:rPr>
          <w:lang w:val="en-US"/>
        </w:rPr>
        <w:t>Sharing with the b</w:t>
      </w:r>
      <w:r w:rsidR="00EB242E" w:rsidRPr="00FE46A5">
        <w:rPr>
          <w:lang w:val="en-US"/>
        </w:rPr>
        <w:t xml:space="preserve">roadcasting </w:t>
      </w:r>
      <w:r w:rsidR="00990A5C" w:rsidRPr="00FE46A5">
        <w:rPr>
          <w:lang w:val="en-US"/>
        </w:rPr>
        <w:t>service</w:t>
      </w:r>
      <w:bookmarkEnd w:id="58"/>
      <w:bookmarkEnd w:id="59"/>
      <w:bookmarkEnd w:id="60"/>
      <w:bookmarkEnd w:id="61"/>
      <w:bookmarkEnd w:id="62"/>
    </w:p>
    <w:p w14:paraId="4276D23E" w14:textId="2C954D26" w:rsidR="00BE140E" w:rsidRPr="00853C9F" w:rsidRDefault="00BE140E" w:rsidP="00BE140E">
      <w:pPr>
        <w:rPr>
          <w:lang w:val="en-US" w:eastAsia="zh-CN"/>
        </w:rPr>
      </w:pPr>
      <w:r>
        <w:rPr>
          <w:lang w:val="en-US" w:eastAsia="zh-CN"/>
        </w:rPr>
        <w:t>T</w:t>
      </w:r>
      <w:r w:rsidRPr="00853C9F">
        <w:rPr>
          <w:lang w:val="en-US" w:eastAsia="zh-CN"/>
        </w:rPr>
        <w:t>he following ITU texts are relevant to the sharing analysis:</w:t>
      </w:r>
    </w:p>
    <w:p w14:paraId="636C6F8F" w14:textId="0E059367" w:rsidR="00BE140E" w:rsidRPr="00853C9F" w:rsidRDefault="00990A5C" w:rsidP="00990A5C">
      <w:pPr>
        <w:pStyle w:val="enumlev1"/>
        <w:rPr>
          <w:lang w:val="en-US"/>
        </w:rPr>
      </w:pPr>
      <w:r>
        <w:t>–</w:t>
      </w:r>
      <w:r>
        <w:tab/>
      </w:r>
      <w:r w:rsidR="00BE140E" w:rsidRPr="00990A5C">
        <w:t>Report</w:t>
      </w:r>
      <w:r w:rsidR="00BE140E" w:rsidRPr="00853C9F">
        <w:rPr>
          <w:lang w:val="en-US"/>
        </w:rPr>
        <w:t xml:space="preserve"> ITU-R BT. 2387-0 (07/2015) contains information on responses from administrations on use of various frequency bands, including 50-54 MHz</w:t>
      </w:r>
      <w:r w:rsidR="00BE140E">
        <w:rPr>
          <w:lang w:val="en-US"/>
        </w:rPr>
        <w:t xml:space="preserve"> </w:t>
      </w:r>
      <w:r w:rsidR="00BE140E" w:rsidRPr="00853C9F">
        <w:rPr>
          <w:lang w:val="en-US"/>
        </w:rPr>
        <w:t>for</w:t>
      </w:r>
      <w:r w:rsidR="00BE140E">
        <w:rPr>
          <w:lang w:val="en-US"/>
        </w:rPr>
        <w:t> </w:t>
      </w:r>
      <w:r w:rsidR="00BE140E" w:rsidRPr="00853C9F">
        <w:rPr>
          <w:lang w:val="en-US"/>
        </w:rPr>
        <w:t>broadcasting.</w:t>
      </w:r>
    </w:p>
    <w:p w14:paraId="5200B563" w14:textId="06F48F4B" w:rsidR="00BE140E" w:rsidRPr="00853C9F" w:rsidRDefault="00990A5C" w:rsidP="00990A5C">
      <w:pPr>
        <w:pStyle w:val="enumlev1"/>
        <w:rPr>
          <w:lang w:val="en-US"/>
        </w:rPr>
      </w:pPr>
      <w:proofErr w:type="gramStart"/>
      <w:r>
        <w:t>–</w:t>
      </w:r>
      <w:r>
        <w:tab/>
      </w:r>
      <w:r w:rsidR="00BE140E" w:rsidRPr="00990A5C">
        <w:t>Recommendation</w:t>
      </w:r>
      <w:r w:rsidR="00BE140E" w:rsidRPr="00853C9F">
        <w:rPr>
          <w:lang w:val="en-US"/>
        </w:rPr>
        <w:t xml:space="preserve"> ITU-R </w:t>
      </w:r>
      <w:proofErr w:type="spellStart"/>
      <w:r w:rsidR="00BE140E" w:rsidRPr="00853C9F">
        <w:rPr>
          <w:lang w:val="en-US"/>
        </w:rPr>
        <w:t>BT.1368</w:t>
      </w:r>
      <w:proofErr w:type="spellEnd"/>
      <w:r>
        <w:rPr>
          <w:lang w:val="en-US"/>
        </w:rPr>
        <w:t xml:space="preserve"> –</w:t>
      </w:r>
      <w:r w:rsidR="00BE140E" w:rsidRPr="00853C9F">
        <w:rPr>
          <w:lang w:val="en-US"/>
        </w:rPr>
        <w:t xml:space="preserve"> </w:t>
      </w:r>
      <w:r w:rsidR="00BE140E" w:rsidRPr="00C21EB2">
        <w:rPr>
          <w:i/>
          <w:lang w:val="en-US"/>
        </w:rPr>
        <w:t>Planning criteria, including protection ratios, for digital terrestrial television services in the VHF/UHF bands.</w:t>
      </w:r>
      <w:proofErr w:type="gramEnd"/>
    </w:p>
    <w:p w14:paraId="003B7B26" w14:textId="6F29DE8D" w:rsidR="00BE140E" w:rsidRPr="00C21EB2" w:rsidRDefault="00990A5C" w:rsidP="00990A5C">
      <w:pPr>
        <w:pStyle w:val="enumlev1"/>
        <w:rPr>
          <w:i/>
          <w:lang w:val="en-US"/>
        </w:rPr>
      </w:pPr>
      <w:proofErr w:type="gramStart"/>
      <w:r>
        <w:t>–</w:t>
      </w:r>
      <w:r>
        <w:tab/>
      </w:r>
      <w:r w:rsidR="00BE140E" w:rsidRPr="00990A5C">
        <w:t>Recommendation</w:t>
      </w:r>
      <w:r w:rsidR="00BE140E" w:rsidRPr="00853C9F">
        <w:rPr>
          <w:lang w:val="en-US"/>
        </w:rPr>
        <w:t xml:space="preserve"> ITU-R </w:t>
      </w:r>
      <w:proofErr w:type="spellStart"/>
      <w:r w:rsidR="00BE140E" w:rsidRPr="00853C9F">
        <w:rPr>
          <w:lang w:val="en-US"/>
        </w:rPr>
        <w:t>BT.2033</w:t>
      </w:r>
      <w:proofErr w:type="spellEnd"/>
      <w:r>
        <w:rPr>
          <w:lang w:val="en-US"/>
        </w:rPr>
        <w:t xml:space="preserve"> –</w:t>
      </w:r>
      <w:r w:rsidR="00BE140E" w:rsidRPr="00853C9F">
        <w:rPr>
          <w:lang w:val="en-US"/>
        </w:rPr>
        <w:t xml:space="preserve"> </w:t>
      </w:r>
      <w:r w:rsidR="00BE140E" w:rsidRPr="00C21EB2">
        <w:rPr>
          <w:i/>
          <w:lang w:val="en-US"/>
        </w:rPr>
        <w:t>Planning criteria, including protection ratios, for second generation of digital terrestrial television broadcasting systems in the VHF/UHF bands.</w:t>
      </w:r>
      <w:proofErr w:type="gramEnd"/>
    </w:p>
    <w:p w14:paraId="04F00EAA" w14:textId="344BAACE" w:rsidR="00BE140E" w:rsidRPr="00C21EB2" w:rsidRDefault="00990A5C" w:rsidP="00990A5C">
      <w:pPr>
        <w:pStyle w:val="enumlev1"/>
        <w:rPr>
          <w:i/>
          <w:lang w:val="en-US"/>
        </w:rPr>
      </w:pPr>
      <w:proofErr w:type="gramStart"/>
      <w:r>
        <w:t>–</w:t>
      </w:r>
      <w:r>
        <w:tab/>
      </w:r>
      <w:r w:rsidR="00BE140E" w:rsidRPr="00990A5C">
        <w:t>Recommendation</w:t>
      </w:r>
      <w:r w:rsidR="00BE140E" w:rsidRPr="00853C9F">
        <w:rPr>
          <w:lang w:val="en-US"/>
        </w:rPr>
        <w:t xml:space="preserve"> ITU-R </w:t>
      </w:r>
      <w:proofErr w:type="spellStart"/>
      <w:r w:rsidR="00BE140E" w:rsidRPr="00853C9F">
        <w:rPr>
          <w:lang w:val="en-US"/>
        </w:rPr>
        <w:t>SM.851</w:t>
      </w:r>
      <w:proofErr w:type="spellEnd"/>
      <w:r>
        <w:rPr>
          <w:lang w:val="en-US"/>
        </w:rPr>
        <w:t xml:space="preserve"> –</w:t>
      </w:r>
      <w:r w:rsidR="00BE140E" w:rsidRPr="00853C9F">
        <w:rPr>
          <w:lang w:val="en-US"/>
        </w:rPr>
        <w:t xml:space="preserve"> </w:t>
      </w:r>
      <w:r w:rsidR="00BE140E" w:rsidRPr="00C21EB2">
        <w:rPr>
          <w:i/>
          <w:lang w:val="en-US"/>
        </w:rPr>
        <w:t>Sharing between the broadcasting service and the fixed and/or mobile services in the VHF and UHF bands.</w:t>
      </w:r>
      <w:proofErr w:type="gramEnd"/>
    </w:p>
    <w:p w14:paraId="086F4988" w14:textId="3818FC53" w:rsidR="00BE140E" w:rsidRPr="00853C9F" w:rsidRDefault="00990A5C" w:rsidP="00990A5C">
      <w:pPr>
        <w:pStyle w:val="enumlev1"/>
        <w:rPr>
          <w:lang w:val="en-US"/>
        </w:rPr>
      </w:pPr>
      <w:r>
        <w:rPr>
          <w:lang w:val="en-US"/>
        </w:rPr>
        <w:t>–</w:t>
      </w:r>
      <w:r>
        <w:rPr>
          <w:lang w:val="en-US"/>
        </w:rPr>
        <w:tab/>
      </w:r>
      <w:r w:rsidR="00BE140E" w:rsidRPr="00853C9F">
        <w:rPr>
          <w:lang w:val="en-US"/>
        </w:rPr>
        <w:t xml:space="preserve">Final </w:t>
      </w:r>
      <w:r w:rsidR="00BE140E" w:rsidRPr="00990A5C">
        <w:t>Acts</w:t>
      </w:r>
      <w:r w:rsidR="00BE140E" w:rsidRPr="00853C9F">
        <w:rPr>
          <w:lang w:val="en-US"/>
        </w:rPr>
        <w:t xml:space="preserve"> of the European Broadcasting Conference (Stockholm, 1961 as revised in Geneva, 2006) (“ST61”) in the European Broadcasting Area</w:t>
      </w:r>
      <w:r w:rsidR="006F3AAD">
        <w:rPr>
          <w:lang w:val="en-US"/>
        </w:rPr>
        <w:t>.</w:t>
      </w:r>
    </w:p>
    <w:p w14:paraId="3064A9FB" w14:textId="35D21310" w:rsidR="00BE140E" w:rsidRPr="00853C9F" w:rsidRDefault="00990A5C" w:rsidP="00990A5C">
      <w:pPr>
        <w:pStyle w:val="enumlev1"/>
        <w:rPr>
          <w:lang w:val="en-US"/>
        </w:rPr>
      </w:pPr>
      <w:r>
        <w:rPr>
          <w:lang w:val="en-US"/>
        </w:rPr>
        <w:t>–</w:t>
      </w:r>
      <w:r>
        <w:rPr>
          <w:lang w:val="en-US"/>
        </w:rPr>
        <w:tab/>
      </w:r>
      <w:r w:rsidR="00BE140E" w:rsidRPr="00853C9F">
        <w:rPr>
          <w:lang w:val="en-US"/>
        </w:rPr>
        <w:t xml:space="preserve">Final </w:t>
      </w:r>
      <w:r w:rsidR="00BE140E" w:rsidRPr="00990A5C">
        <w:t>Acts</w:t>
      </w:r>
      <w:r w:rsidR="00BE140E" w:rsidRPr="00853C9F">
        <w:rPr>
          <w:lang w:val="en-US"/>
        </w:rPr>
        <w:t xml:space="preserve"> of the African Broadcasting Conference (Geneva, 1989 as revised in Geneva, 2006) (“GE89”) in the African Broadcasting Area </w:t>
      </w:r>
      <w:r w:rsidR="00BE140E" w:rsidRPr="00C02C60">
        <w:rPr>
          <w:lang w:val="en-CA"/>
        </w:rPr>
        <w:t>and neighbouring</w:t>
      </w:r>
      <w:r w:rsidR="00BE140E" w:rsidRPr="00853C9F">
        <w:rPr>
          <w:lang w:val="en-US"/>
        </w:rPr>
        <w:t xml:space="preserve"> countries. </w:t>
      </w:r>
    </w:p>
    <w:p w14:paraId="41E69E69" w14:textId="31F96CDE" w:rsidR="00844CEA" w:rsidRPr="00604A14" w:rsidRDefault="00844CEA" w:rsidP="00844CEA">
      <w:proofErr w:type="gramStart"/>
      <w:r w:rsidRPr="00604A14">
        <w:t xml:space="preserve">In addition to the Article </w:t>
      </w:r>
      <w:r w:rsidRPr="00990A5C">
        <w:rPr>
          <w:b/>
          <w:bCs/>
        </w:rPr>
        <w:t>5</w:t>
      </w:r>
      <w:r w:rsidRPr="00604A14">
        <w:t xml:space="preserve"> allocation to the broadcasting service in Region 1 mentioned in </w:t>
      </w:r>
      <w:r w:rsidRPr="006F3AAD">
        <w:rPr>
          <w:i/>
          <w:iCs/>
        </w:rPr>
        <w:t>noting</w:t>
      </w:r>
      <w:r w:rsidR="006F3AAD">
        <w:rPr>
          <w:i/>
          <w:iCs/>
        </w:rPr>
        <w:t> </w:t>
      </w:r>
      <w:r w:rsidRPr="006F3AAD">
        <w:rPr>
          <w:i/>
          <w:iCs/>
        </w:rPr>
        <w:t>d)</w:t>
      </w:r>
      <w:r w:rsidRPr="00604A14">
        <w:t xml:space="preserve">, the band continues to be subject to both the Final Acts of the European Broadcasting Conference (Stockholm, 1961 as revised in Geneva, 2006) (“ST61”) in the European Broadcasting </w:t>
      </w:r>
      <w:r w:rsidRPr="00604A14">
        <w:lastRenderedPageBreak/>
        <w:t>Area and the Final Acts of the African Broadcasting Conference (Geneva, 1989 as revised in Geneva, 2006) (“GE89”) in the African Broadcasting Area and neighbouring countries.</w:t>
      </w:r>
      <w:proofErr w:type="gramEnd"/>
    </w:p>
    <w:p w14:paraId="1498EDAA" w14:textId="35D37818" w:rsidR="00844CEA" w:rsidRPr="00D51610" w:rsidRDefault="00844CEA" w:rsidP="00990A5C">
      <w:pPr>
        <w:spacing w:after="240"/>
        <w:rPr>
          <w:szCs w:val="24"/>
        </w:rPr>
      </w:pPr>
      <w:r w:rsidRPr="00604A14">
        <w:rPr>
          <w:szCs w:val="24"/>
        </w:rPr>
        <w:t xml:space="preserve">The ITU-R eQry database also shows that there are </w:t>
      </w:r>
      <w:proofErr w:type="gramStart"/>
      <w:r w:rsidRPr="00604A14">
        <w:rPr>
          <w:szCs w:val="24"/>
        </w:rPr>
        <w:t>a total of 353</w:t>
      </w:r>
      <w:proofErr w:type="gramEnd"/>
      <w:r w:rsidRPr="00604A14">
        <w:rPr>
          <w:szCs w:val="24"/>
        </w:rPr>
        <w:t xml:space="preserve"> broadcasting assignments recorded in the ST61 and GE89 plans still using the </w:t>
      </w:r>
      <w:r>
        <w:rPr>
          <w:szCs w:val="24"/>
        </w:rPr>
        <w:t>frequency range 50-54 MHz in 41 </w:t>
      </w:r>
      <w:r w:rsidRPr="00604A14">
        <w:rPr>
          <w:szCs w:val="24"/>
        </w:rPr>
        <w:t>admini</w:t>
      </w:r>
      <w:r w:rsidR="00BE140E">
        <w:rPr>
          <w:szCs w:val="24"/>
        </w:rPr>
        <w:t>strations. The MIFR contains 555</w:t>
      </w:r>
      <w:r w:rsidRPr="00604A14">
        <w:rPr>
          <w:szCs w:val="24"/>
        </w:rPr>
        <w:t xml:space="preserve"> broadcasting transmitters in that band in Region 1.</w:t>
      </w:r>
      <w:r w:rsidR="00192CBB">
        <w:rPr>
          <w:szCs w:val="24"/>
        </w:rPr>
        <w:t xml:space="preserve"> </w:t>
      </w:r>
      <w:r w:rsidR="00192CBB" w:rsidRPr="00D51610">
        <w:rPr>
          <w:szCs w:val="24"/>
        </w:rPr>
        <w:t>This</w:t>
      </w:r>
      <w:r w:rsidR="00990A5C">
        <w:rPr>
          <w:szCs w:val="24"/>
        </w:rPr>
        <w:t> </w:t>
      </w:r>
      <w:r w:rsidR="00192CBB" w:rsidRPr="00D51610">
        <w:rPr>
          <w:szCs w:val="24"/>
        </w:rPr>
        <w:t xml:space="preserve">information </w:t>
      </w:r>
      <w:proofErr w:type="gramStart"/>
      <w:r w:rsidR="00192CBB" w:rsidRPr="00D51610">
        <w:rPr>
          <w:szCs w:val="24"/>
        </w:rPr>
        <w:t>is shown</w:t>
      </w:r>
      <w:proofErr w:type="gramEnd"/>
      <w:r w:rsidR="00192CBB" w:rsidRPr="00D51610">
        <w:rPr>
          <w:szCs w:val="24"/>
        </w:rPr>
        <w:t xml:space="preserve"> in </w:t>
      </w:r>
      <w:r w:rsidR="006F3AAD" w:rsidRPr="00D51610">
        <w:rPr>
          <w:szCs w:val="24"/>
        </w:rPr>
        <w:t xml:space="preserve">Table </w:t>
      </w:r>
      <w:r w:rsidR="00192CBB" w:rsidRPr="00D51610">
        <w:rPr>
          <w:szCs w:val="24"/>
        </w:rPr>
        <w:t>4 below:</w:t>
      </w:r>
    </w:p>
    <w:p w14:paraId="1A93F62D" w14:textId="127E9F98" w:rsidR="00192CBB" w:rsidRPr="006F3AAD" w:rsidRDefault="00192CBB" w:rsidP="00FE46A5">
      <w:pPr>
        <w:spacing w:after="240"/>
        <w:jc w:val="center"/>
        <w:rPr>
          <w:sz w:val="20"/>
        </w:rPr>
      </w:pPr>
      <w:r w:rsidRPr="006F3AAD">
        <w:rPr>
          <w:sz w:val="20"/>
        </w:rPr>
        <w:t>TABLE 4</w:t>
      </w:r>
    </w:p>
    <w:tbl>
      <w:tblPr>
        <w:tblW w:w="8788" w:type="dxa"/>
        <w:tblInd w:w="421" w:type="dxa"/>
        <w:tblLook w:val="04A0" w:firstRow="1" w:lastRow="0" w:firstColumn="1" w:lastColumn="0" w:noHBand="0" w:noVBand="1"/>
      </w:tblPr>
      <w:tblGrid>
        <w:gridCol w:w="1842"/>
        <w:gridCol w:w="1348"/>
        <w:gridCol w:w="1500"/>
        <w:gridCol w:w="1830"/>
        <w:gridCol w:w="2268"/>
      </w:tblGrid>
      <w:tr w:rsidR="00BE140E" w:rsidRPr="006F3AAD" w14:paraId="41EEDF04" w14:textId="77777777" w:rsidTr="002C43D3">
        <w:trPr>
          <w:trHeight w:val="288"/>
        </w:trPr>
        <w:tc>
          <w:tcPr>
            <w:tcW w:w="184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4489AE4" w14:textId="77777777" w:rsidR="00BE140E" w:rsidRPr="006F3AAD" w:rsidRDefault="00BE140E" w:rsidP="00990A5C">
            <w:pPr>
              <w:pStyle w:val="Tablehead"/>
              <w:rPr>
                <w:lang w:val="en-AU" w:eastAsia="en-AU"/>
              </w:rPr>
            </w:pPr>
            <w:r w:rsidRPr="006F3AAD">
              <w:rPr>
                <w:lang w:val="en-AU" w:eastAsia="en-AU"/>
              </w:rPr>
              <w:t>Date</w:t>
            </w:r>
          </w:p>
        </w:tc>
        <w:tc>
          <w:tcPr>
            <w:tcW w:w="1348" w:type="dxa"/>
            <w:tcBorders>
              <w:top w:val="single" w:sz="4" w:space="0" w:color="auto"/>
              <w:left w:val="nil"/>
              <w:bottom w:val="single" w:sz="4" w:space="0" w:color="auto"/>
              <w:right w:val="single" w:sz="4" w:space="0" w:color="auto"/>
            </w:tcBorders>
            <w:shd w:val="clear" w:color="000000" w:fill="D9D9D9"/>
            <w:noWrap/>
            <w:vAlign w:val="bottom"/>
            <w:hideMark/>
          </w:tcPr>
          <w:p w14:paraId="506AFA43" w14:textId="77777777" w:rsidR="00BE140E" w:rsidRPr="006F3AAD" w:rsidRDefault="00BE140E" w:rsidP="00990A5C">
            <w:pPr>
              <w:pStyle w:val="Tablehead"/>
              <w:rPr>
                <w:lang w:val="en-AU" w:eastAsia="en-AU"/>
              </w:rPr>
            </w:pPr>
            <w:r w:rsidRPr="006F3AAD">
              <w:rPr>
                <w:lang w:val="en-AU" w:eastAsia="en-AU"/>
              </w:rPr>
              <w:t>IFIC no.</w:t>
            </w:r>
          </w:p>
        </w:tc>
        <w:tc>
          <w:tcPr>
            <w:tcW w:w="1500" w:type="dxa"/>
            <w:tcBorders>
              <w:top w:val="single" w:sz="4" w:space="0" w:color="auto"/>
              <w:left w:val="nil"/>
              <w:bottom w:val="single" w:sz="4" w:space="0" w:color="auto"/>
              <w:right w:val="single" w:sz="4" w:space="0" w:color="auto"/>
            </w:tcBorders>
            <w:shd w:val="clear" w:color="000000" w:fill="D9D9D9"/>
            <w:noWrap/>
            <w:vAlign w:val="bottom"/>
            <w:hideMark/>
          </w:tcPr>
          <w:p w14:paraId="330FC996" w14:textId="77777777" w:rsidR="00BE140E" w:rsidRPr="006F3AAD" w:rsidRDefault="00BE140E" w:rsidP="00990A5C">
            <w:pPr>
              <w:pStyle w:val="Tablehead"/>
              <w:rPr>
                <w:lang w:val="en-AU" w:eastAsia="en-AU"/>
              </w:rPr>
            </w:pPr>
            <w:r w:rsidRPr="006F3AAD">
              <w:rPr>
                <w:lang w:val="en-AU" w:eastAsia="en-AU"/>
              </w:rPr>
              <w:t>ST61</w:t>
            </w:r>
          </w:p>
        </w:tc>
        <w:tc>
          <w:tcPr>
            <w:tcW w:w="1830" w:type="dxa"/>
            <w:tcBorders>
              <w:top w:val="single" w:sz="4" w:space="0" w:color="auto"/>
              <w:left w:val="nil"/>
              <w:bottom w:val="single" w:sz="4" w:space="0" w:color="auto"/>
              <w:right w:val="single" w:sz="4" w:space="0" w:color="auto"/>
            </w:tcBorders>
            <w:shd w:val="clear" w:color="000000" w:fill="D9D9D9"/>
            <w:noWrap/>
            <w:vAlign w:val="bottom"/>
            <w:hideMark/>
          </w:tcPr>
          <w:p w14:paraId="7FB552E2" w14:textId="77777777" w:rsidR="00BE140E" w:rsidRPr="006F3AAD" w:rsidRDefault="00BE140E" w:rsidP="00990A5C">
            <w:pPr>
              <w:pStyle w:val="Tablehead"/>
              <w:rPr>
                <w:lang w:val="en-AU" w:eastAsia="en-AU"/>
              </w:rPr>
            </w:pPr>
            <w:r w:rsidRPr="006F3AAD">
              <w:rPr>
                <w:lang w:val="en-AU" w:eastAsia="en-AU"/>
              </w:rPr>
              <w:t>GE89 Region 1</w:t>
            </w:r>
          </w:p>
        </w:tc>
        <w:tc>
          <w:tcPr>
            <w:tcW w:w="2268" w:type="dxa"/>
            <w:tcBorders>
              <w:top w:val="single" w:sz="4" w:space="0" w:color="auto"/>
              <w:left w:val="nil"/>
              <w:bottom w:val="single" w:sz="4" w:space="0" w:color="auto"/>
              <w:right w:val="single" w:sz="4" w:space="0" w:color="auto"/>
            </w:tcBorders>
            <w:shd w:val="clear" w:color="000000" w:fill="D9D9D9"/>
            <w:noWrap/>
            <w:vAlign w:val="bottom"/>
            <w:hideMark/>
          </w:tcPr>
          <w:p w14:paraId="6A39AEAC" w14:textId="77777777" w:rsidR="00BE140E" w:rsidRPr="006F3AAD" w:rsidRDefault="00BE140E" w:rsidP="00990A5C">
            <w:pPr>
              <w:pStyle w:val="Tablehead"/>
              <w:rPr>
                <w:lang w:val="en-AU" w:eastAsia="en-AU"/>
              </w:rPr>
            </w:pPr>
            <w:r w:rsidRPr="006F3AAD">
              <w:rPr>
                <w:lang w:val="en-AU" w:eastAsia="en-AU"/>
              </w:rPr>
              <w:t>MIFR Region 1</w:t>
            </w:r>
          </w:p>
        </w:tc>
      </w:tr>
      <w:tr w:rsidR="00BE140E" w:rsidRPr="006F3AAD" w14:paraId="6CCF7844" w14:textId="77777777" w:rsidTr="002C43D3">
        <w:trPr>
          <w:trHeight w:val="288"/>
        </w:trPr>
        <w:tc>
          <w:tcPr>
            <w:tcW w:w="1842" w:type="dxa"/>
            <w:tcBorders>
              <w:top w:val="nil"/>
              <w:left w:val="single" w:sz="4" w:space="0" w:color="auto"/>
              <w:bottom w:val="single" w:sz="4" w:space="0" w:color="auto"/>
              <w:right w:val="single" w:sz="4" w:space="0" w:color="auto"/>
            </w:tcBorders>
            <w:shd w:val="clear" w:color="auto" w:fill="auto"/>
            <w:noWrap/>
            <w:vAlign w:val="bottom"/>
            <w:hideMark/>
          </w:tcPr>
          <w:p w14:paraId="03EE70D4" w14:textId="77777777" w:rsidR="00BE140E" w:rsidRPr="006F3AAD" w:rsidRDefault="00BE140E" w:rsidP="00990A5C">
            <w:pPr>
              <w:pStyle w:val="Tabletext"/>
              <w:jc w:val="center"/>
              <w:rPr>
                <w:lang w:val="en-AU" w:eastAsia="en-AU"/>
              </w:rPr>
            </w:pPr>
            <w:r w:rsidRPr="006F3AAD">
              <w:rPr>
                <w:lang w:val="en-AU" w:eastAsia="en-AU"/>
              </w:rPr>
              <w:t>24/10/2016</w:t>
            </w:r>
          </w:p>
        </w:tc>
        <w:tc>
          <w:tcPr>
            <w:tcW w:w="1348" w:type="dxa"/>
            <w:tcBorders>
              <w:top w:val="nil"/>
              <w:left w:val="nil"/>
              <w:bottom w:val="single" w:sz="4" w:space="0" w:color="auto"/>
              <w:right w:val="single" w:sz="4" w:space="0" w:color="auto"/>
            </w:tcBorders>
            <w:shd w:val="clear" w:color="auto" w:fill="auto"/>
            <w:noWrap/>
            <w:vAlign w:val="bottom"/>
            <w:hideMark/>
          </w:tcPr>
          <w:p w14:paraId="6D6B165B" w14:textId="77777777" w:rsidR="00BE140E" w:rsidRPr="006F3AAD" w:rsidRDefault="00BE140E" w:rsidP="00990A5C">
            <w:pPr>
              <w:pStyle w:val="Tabletext"/>
              <w:jc w:val="center"/>
              <w:rPr>
                <w:lang w:val="en-AU" w:eastAsia="en-AU"/>
              </w:rPr>
            </w:pPr>
            <w:r w:rsidRPr="006F3AAD">
              <w:rPr>
                <w:lang w:val="en-AU" w:eastAsia="en-AU"/>
              </w:rPr>
              <w:t>2831</w:t>
            </w:r>
          </w:p>
        </w:tc>
        <w:tc>
          <w:tcPr>
            <w:tcW w:w="1500" w:type="dxa"/>
            <w:tcBorders>
              <w:top w:val="nil"/>
              <w:left w:val="nil"/>
              <w:bottom w:val="single" w:sz="4" w:space="0" w:color="auto"/>
              <w:right w:val="single" w:sz="4" w:space="0" w:color="auto"/>
            </w:tcBorders>
            <w:shd w:val="clear" w:color="auto" w:fill="auto"/>
            <w:noWrap/>
            <w:vAlign w:val="bottom"/>
            <w:hideMark/>
          </w:tcPr>
          <w:p w14:paraId="40459ABE" w14:textId="77777777" w:rsidR="00BE140E" w:rsidRPr="006F3AAD" w:rsidRDefault="00BE140E" w:rsidP="00990A5C">
            <w:pPr>
              <w:pStyle w:val="Tabletext"/>
              <w:jc w:val="center"/>
              <w:rPr>
                <w:lang w:val="en-AU" w:eastAsia="en-AU"/>
              </w:rPr>
            </w:pPr>
            <w:r w:rsidRPr="006F3AAD">
              <w:rPr>
                <w:lang w:val="en-AU" w:eastAsia="en-AU"/>
              </w:rPr>
              <w:t>292</w:t>
            </w:r>
          </w:p>
        </w:tc>
        <w:tc>
          <w:tcPr>
            <w:tcW w:w="1830" w:type="dxa"/>
            <w:tcBorders>
              <w:top w:val="nil"/>
              <w:left w:val="nil"/>
              <w:bottom w:val="single" w:sz="4" w:space="0" w:color="auto"/>
              <w:right w:val="single" w:sz="4" w:space="0" w:color="auto"/>
            </w:tcBorders>
            <w:shd w:val="clear" w:color="auto" w:fill="auto"/>
            <w:noWrap/>
            <w:vAlign w:val="bottom"/>
            <w:hideMark/>
          </w:tcPr>
          <w:p w14:paraId="494E4443" w14:textId="77777777" w:rsidR="00BE140E" w:rsidRPr="006F3AAD" w:rsidRDefault="00BE140E" w:rsidP="00990A5C">
            <w:pPr>
              <w:pStyle w:val="Tabletext"/>
              <w:jc w:val="center"/>
              <w:rPr>
                <w:lang w:val="en-AU" w:eastAsia="en-AU"/>
              </w:rPr>
            </w:pPr>
            <w:r w:rsidRPr="006F3AAD">
              <w:rPr>
                <w:lang w:val="en-AU" w:eastAsia="en-AU"/>
              </w:rPr>
              <w:t>56</w:t>
            </w:r>
          </w:p>
        </w:tc>
        <w:tc>
          <w:tcPr>
            <w:tcW w:w="2268" w:type="dxa"/>
            <w:tcBorders>
              <w:top w:val="nil"/>
              <w:left w:val="nil"/>
              <w:bottom w:val="single" w:sz="4" w:space="0" w:color="auto"/>
              <w:right w:val="single" w:sz="4" w:space="0" w:color="auto"/>
            </w:tcBorders>
            <w:shd w:val="clear" w:color="auto" w:fill="auto"/>
            <w:noWrap/>
            <w:vAlign w:val="bottom"/>
            <w:hideMark/>
          </w:tcPr>
          <w:p w14:paraId="5A9DA4FE" w14:textId="77777777" w:rsidR="00BE140E" w:rsidRPr="006F3AAD" w:rsidRDefault="00BE140E" w:rsidP="00990A5C">
            <w:pPr>
              <w:pStyle w:val="Tabletext"/>
              <w:jc w:val="center"/>
              <w:rPr>
                <w:lang w:val="en-AU" w:eastAsia="en-AU"/>
              </w:rPr>
            </w:pPr>
            <w:r w:rsidRPr="006F3AAD">
              <w:rPr>
                <w:lang w:val="en-AU" w:eastAsia="en-AU"/>
              </w:rPr>
              <w:t>555</w:t>
            </w:r>
          </w:p>
        </w:tc>
      </w:tr>
      <w:tr w:rsidR="00BE140E" w:rsidRPr="006F3AAD" w14:paraId="0408B72D" w14:textId="77777777" w:rsidTr="002C43D3">
        <w:trPr>
          <w:trHeight w:val="419"/>
        </w:trPr>
        <w:tc>
          <w:tcPr>
            <w:tcW w:w="8788" w:type="dxa"/>
            <w:gridSpan w:val="5"/>
            <w:tcBorders>
              <w:top w:val="nil"/>
              <w:left w:val="nil"/>
              <w:bottom w:val="nil"/>
              <w:right w:val="nil"/>
            </w:tcBorders>
            <w:shd w:val="clear" w:color="auto" w:fill="auto"/>
            <w:noWrap/>
            <w:hideMark/>
          </w:tcPr>
          <w:p w14:paraId="6E45BA4B" w14:textId="77777777" w:rsidR="00BE140E" w:rsidRPr="006F3AAD" w:rsidRDefault="00BE140E" w:rsidP="00990A5C">
            <w:pPr>
              <w:pStyle w:val="Tablelegend"/>
              <w:rPr>
                <w:lang w:val="en-AU" w:eastAsia="en-AU"/>
              </w:rPr>
            </w:pPr>
            <w:r w:rsidRPr="006F3AAD">
              <w:rPr>
                <w:lang w:val="en-AU" w:eastAsia="en-AU"/>
              </w:rPr>
              <w:t xml:space="preserve">TV entries falling into or overlapping with frequency range 50 MHz-54 MHz. The information submitted to the BR for recording in the MIFR may not necessarily include all broadcasting stations in operation thus it </w:t>
            </w:r>
            <w:proofErr w:type="gramStart"/>
            <w:r w:rsidRPr="006F3AAD">
              <w:rPr>
                <w:lang w:val="en-AU" w:eastAsia="en-AU"/>
              </w:rPr>
              <w:t>may</w:t>
            </w:r>
            <w:proofErr w:type="gramEnd"/>
            <w:r w:rsidRPr="006F3AAD">
              <w:rPr>
                <w:lang w:val="en-AU" w:eastAsia="en-AU"/>
              </w:rPr>
              <w:t xml:space="preserve"> not reflect the actual use of the frequency band. </w:t>
            </w:r>
          </w:p>
        </w:tc>
      </w:tr>
    </w:tbl>
    <w:p w14:paraId="7CD3CC11" w14:textId="77777777" w:rsidR="00BE140E" w:rsidRPr="00FE46A5" w:rsidRDefault="00BE140E" w:rsidP="00990A5C">
      <w:pPr>
        <w:pStyle w:val="Tablefin"/>
      </w:pPr>
    </w:p>
    <w:p w14:paraId="49E23FB7" w14:textId="0DB9C8BD" w:rsidR="00844CEA" w:rsidRPr="00192CBB" w:rsidRDefault="00651F08" w:rsidP="00990A5C">
      <w:pPr>
        <w:pStyle w:val="Heading2"/>
      </w:pPr>
      <w:bookmarkStart w:id="63" w:name="_Toc467231970"/>
      <w:bookmarkStart w:id="64" w:name="_Toc467487681"/>
      <w:r w:rsidRPr="00192CBB">
        <w:t>9.1</w:t>
      </w:r>
      <w:r w:rsidR="00844CEA" w:rsidRPr="00192CBB">
        <w:tab/>
      </w:r>
      <w:r w:rsidR="003B66CD" w:rsidRPr="00192CBB">
        <w:t xml:space="preserve">The </w:t>
      </w:r>
      <w:r w:rsidR="00B935AF" w:rsidRPr="00990A5C">
        <w:t>2016</w:t>
      </w:r>
      <w:r w:rsidR="00B935AF" w:rsidRPr="00192CBB">
        <w:t xml:space="preserve"> </w:t>
      </w:r>
      <w:r w:rsidR="00844CEA" w:rsidRPr="00192CBB">
        <w:t>Situation</w:t>
      </w:r>
      <w:bookmarkEnd w:id="63"/>
      <w:bookmarkEnd w:id="64"/>
      <w:r w:rsidR="00570E14" w:rsidRPr="00192CBB">
        <w:t xml:space="preserve"> </w:t>
      </w:r>
    </w:p>
    <w:p w14:paraId="07B328B9" w14:textId="77777777" w:rsidR="00844CEA" w:rsidRPr="00604A14" w:rsidRDefault="00844CEA" w:rsidP="00844CEA">
      <w:r w:rsidRPr="00604A14">
        <w:t xml:space="preserve">In the European Regional Telecommunications Organisation (RTO), CEPT administrations </w:t>
      </w:r>
      <w:proofErr w:type="gramStart"/>
      <w:r w:rsidRPr="00604A14">
        <w:t>have been urged</w:t>
      </w:r>
      <w:proofErr w:type="gramEnd"/>
      <w:r w:rsidRPr="00604A14">
        <w:t xml:space="preserve"> to remove their unused assignments to the broadcasting service in the band 50-54 MHz in view of agenda item 1.1 of WRC-19. This action will be in line with an earlier decision to protect assignments according to the Stockholm Agreement 1961 Plan. </w:t>
      </w:r>
    </w:p>
    <w:p w14:paraId="7F2E017E" w14:textId="77777777" w:rsidR="00844CEA" w:rsidRPr="00604A14" w:rsidRDefault="00844CEA" w:rsidP="00844CEA">
      <w:r w:rsidRPr="00604A14">
        <w:t xml:space="preserve">The CEPT over a number of decades has developed a European Common Allocation (ECA) table, which </w:t>
      </w:r>
      <w:proofErr w:type="gramStart"/>
      <w:r w:rsidRPr="00604A14">
        <w:t>is reviewed</w:t>
      </w:r>
      <w:proofErr w:type="gramEnd"/>
      <w:r w:rsidRPr="00604A14">
        <w:t xml:space="preserve"> annually. Footnote ECA3 states 'CEPT administrations are urged to take all practic</w:t>
      </w:r>
      <w:r>
        <w:t>al steps to clear the band 47-</w:t>
      </w:r>
      <w:r w:rsidRPr="00604A14">
        <w:t xml:space="preserve">68 MHz of assignments to the broadcasting service. The broadcasting assignments according to Stockholm Agreement 1961 shall be protected.' At a recent </w:t>
      </w:r>
      <w:proofErr w:type="gramStart"/>
      <w:r w:rsidRPr="00604A14">
        <w:t>CEPT</w:t>
      </w:r>
      <w:proofErr w:type="gramEnd"/>
      <w:r w:rsidRPr="00604A14">
        <w:t xml:space="preserve"> meeting administrations agreed that it could be useful if the totality of Broadcasting Band 1 could be addressed in accordance with ECA3 and unused assignments listed in the MIFR suppressed. ECA3 </w:t>
      </w:r>
      <w:proofErr w:type="gramStart"/>
      <w:r w:rsidRPr="00604A14">
        <w:t>will therefore be reviewed</w:t>
      </w:r>
      <w:proofErr w:type="gramEnd"/>
      <w:r w:rsidRPr="00604A14">
        <w:t xml:space="preserve"> at future meetings when the ECA is addressed.</w:t>
      </w:r>
    </w:p>
    <w:p w14:paraId="22FC3922" w14:textId="54FE3D0A" w:rsidR="00844CEA" w:rsidRPr="00604A14" w:rsidRDefault="00844CEA" w:rsidP="00844CEA">
      <w:bookmarkStart w:id="65" w:name="Heading4"/>
      <w:bookmarkEnd w:id="65"/>
      <w:r w:rsidRPr="00604A14">
        <w:rPr>
          <w:bCs/>
        </w:rPr>
        <w:t xml:space="preserve">The closure </w:t>
      </w:r>
      <w:r>
        <w:rPr>
          <w:bCs/>
        </w:rPr>
        <w:t xml:space="preserve">of analogue television in </w:t>
      </w:r>
      <w:r w:rsidR="003B66CD">
        <w:rPr>
          <w:bCs/>
        </w:rPr>
        <w:t xml:space="preserve">the </w:t>
      </w:r>
      <w:r>
        <w:rPr>
          <w:bCs/>
        </w:rPr>
        <w:t>47–</w:t>
      </w:r>
      <w:r w:rsidRPr="00604A14">
        <w:rPr>
          <w:bCs/>
        </w:rPr>
        <w:t>68 MHz</w:t>
      </w:r>
      <w:r w:rsidR="003B66CD">
        <w:rPr>
          <w:bCs/>
        </w:rPr>
        <w:t xml:space="preserve"> frequency band</w:t>
      </w:r>
      <w:r w:rsidRPr="00604A14">
        <w:rPr>
          <w:bCs/>
        </w:rPr>
        <w:t xml:space="preserve"> relates directly to the introduction of digital television</w:t>
      </w:r>
      <w:bookmarkStart w:id="66" w:name="Heading7"/>
      <w:bookmarkEnd w:id="66"/>
      <w:r w:rsidRPr="00604A14">
        <w:rPr>
          <w:bCs/>
        </w:rPr>
        <w:t xml:space="preserve">. In </w:t>
      </w:r>
      <w:r w:rsidR="003A5E32" w:rsidRPr="00604A14">
        <w:rPr>
          <w:bCs/>
        </w:rPr>
        <w:t>2009,</w:t>
      </w:r>
      <w:r w:rsidRPr="00604A14">
        <w:rPr>
          <w:bCs/>
        </w:rPr>
        <w:t xml:space="preserve"> the European Commission promoted a coordinated approach to the freeing up and future use of the radio spectrum because it wanted to ensure that EU citizens could enjoy the benefits of digital television. For that to happen, Member States (and other CEPT countries) closed analogue transmissions and moved to digital broadcasting. The switch-off of analogue terrestrial TV transmission was completed by 2009 in Germany, Finland, Luxembourg, </w:t>
      </w:r>
      <w:proofErr w:type="gramStart"/>
      <w:r w:rsidRPr="00604A14">
        <w:rPr>
          <w:bCs/>
        </w:rPr>
        <w:t>Sweden</w:t>
      </w:r>
      <w:proofErr w:type="gramEnd"/>
      <w:r w:rsidRPr="00604A14">
        <w:rPr>
          <w:bCs/>
        </w:rPr>
        <w:t xml:space="preserve"> and the Netherlands. </w:t>
      </w:r>
      <w:proofErr w:type="gramStart"/>
      <w:r w:rsidRPr="00604A14">
        <w:rPr>
          <w:bCs/>
        </w:rPr>
        <w:t>The 2012 EU target for switch-off was met by almost all Member States of the European Union</w:t>
      </w:r>
      <w:proofErr w:type="gramEnd"/>
      <w:r w:rsidRPr="00604A14">
        <w:rPr>
          <w:bCs/>
        </w:rPr>
        <w:t>.</w:t>
      </w:r>
    </w:p>
    <w:p w14:paraId="2361C08F" w14:textId="506BE1E1" w:rsidR="00844CEA" w:rsidRPr="00B935AF" w:rsidRDefault="00844CEA" w:rsidP="00FE46A5">
      <w:pPr>
        <w:rPr>
          <w:bCs/>
        </w:rPr>
      </w:pPr>
      <w:r w:rsidRPr="00604A14">
        <w:rPr>
          <w:bCs/>
        </w:rPr>
        <w:t xml:space="preserve">The MIFR does not reflect this result. The </w:t>
      </w:r>
      <w:r w:rsidR="003B66CD">
        <w:rPr>
          <w:bCs/>
        </w:rPr>
        <w:t>current</w:t>
      </w:r>
      <w:r w:rsidRPr="00604A14">
        <w:rPr>
          <w:bCs/>
        </w:rPr>
        <w:t xml:space="preserve"> situation is that </w:t>
      </w:r>
      <w:r>
        <w:rPr>
          <w:bCs/>
        </w:rPr>
        <w:t>in Western Europe the 47</w:t>
      </w:r>
      <w:r>
        <w:rPr>
          <w:bCs/>
        </w:rPr>
        <w:noBreakHyphen/>
        <w:t>68 </w:t>
      </w:r>
      <w:r w:rsidRPr="00604A14">
        <w:rPr>
          <w:bCs/>
        </w:rPr>
        <w:t xml:space="preserve">MHz </w:t>
      </w:r>
      <w:r w:rsidR="003B66CD">
        <w:rPr>
          <w:bCs/>
        </w:rPr>
        <w:t>frequency band</w:t>
      </w:r>
      <w:r w:rsidR="003B66CD" w:rsidRPr="00604A14">
        <w:rPr>
          <w:bCs/>
        </w:rPr>
        <w:t xml:space="preserve"> </w:t>
      </w:r>
      <w:r w:rsidRPr="00604A14">
        <w:rPr>
          <w:bCs/>
        </w:rPr>
        <w:t xml:space="preserve">is no longer used for </w:t>
      </w:r>
      <w:r w:rsidR="00290A59">
        <w:rPr>
          <w:bCs/>
        </w:rPr>
        <w:t>terrestrial</w:t>
      </w:r>
      <w:r w:rsidRPr="00604A14">
        <w:rPr>
          <w:bCs/>
        </w:rPr>
        <w:t xml:space="preserve"> television broad</w:t>
      </w:r>
      <w:r w:rsidR="00651F08">
        <w:rPr>
          <w:bCs/>
        </w:rPr>
        <w:t xml:space="preserve">casting to the </w:t>
      </w:r>
      <w:proofErr w:type="gramStart"/>
      <w:r w:rsidR="00651F08">
        <w:rPr>
          <w:bCs/>
        </w:rPr>
        <w:t>general public</w:t>
      </w:r>
      <w:proofErr w:type="gramEnd"/>
      <w:r w:rsidR="00651F08">
        <w:rPr>
          <w:bCs/>
        </w:rPr>
        <w:t xml:space="preserve">. </w:t>
      </w:r>
    </w:p>
    <w:p w14:paraId="78250038" w14:textId="0400B4EC" w:rsidR="00844CEA" w:rsidRPr="00192CBB" w:rsidRDefault="00651F08" w:rsidP="0032086F">
      <w:pPr>
        <w:pStyle w:val="Heading2"/>
      </w:pPr>
      <w:bookmarkStart w:id="67" w:name="_Toc467231971"/>
      <w:bookmarkStart w:id="68" w:name="_Toc467487682"/>
      <w:r w:rsidRPr="00192CBB">
        <w:t>9.2</w:t>
      </w:r>
      <w:r w:rsidR="00844CEA" w:rsidRPr="00192CBB">
        <w:tab/>
        <w:t xml:space="preserve">Digital Terrestrial Television Broadcasting in </w:t>
      </w:r>
      <w:r w:rsidR="0032086F" w:rsidRPr="00192CBB">
        <w:t xml:space="preserve">Band </w:t>
      </w:r>
      <w:r w:rsidR="00844CEA" w:rsidRPr="00192CBB">
        <w:t xml:space="preserve">1 </w:t>
      </w:r>
      <w:r w:rsidR="0032086F">
        <w:t>–</w:t>
      </w:r>
      <w:r w:rsidR="00844CEA" w:rsidRPr="00192CBB">
        <w:t xml:space="preserve"> 47–68 MHz</w:t>
      </w:r>
      <w:bookmarkEnd w:id="67"/>
      <w:bookmarkEnd w:id="68"/>
    </w:p>
    <w:p w14:paraId="3E864F1E" w14:textId="14685FF2" w:rsidR="00844CEA" w:rsidRPr="00604A14" w:rsidRDefault="00844CEA" w:rsidP="0032086F">
      <w:pPr>
        <w:rPr>
          <w:szCs w:val="24"/>
        </w:rPr>
      </w:pPr>
      <w:r w:rsidRPr="00604A14">
        <w:rPr>
          <w:bCs/>
          <w:szCs w:val="24"/>
        </w:rPr>
        <w:t xml:space="preserve">The Chester July 1997 Multilateral Coordination Agreement (MCA) attended by 34 CEPT administrations </w:t>
      </w:r>
      <w:r w:rsidRPr="00604A14">
        <w:rPr>
          <w:szCs w:val="24"/>
        </w:rPr>
        <w:t>representing Member countries of the</w:t>
      </w:r>
      <w:r w:rsidRPr="00604A14">
        <w:rPr>
          <w:bCs/>
          <w:szCs w:val="24"/>
        </w:rPr>
        <w:t xml:space="preserve"> </w:t>
      </w:r>
      <w:r w:rsidRPr="00604A14">
        <w:rPr>
          <w:szCs w:val="24"/>
        </w:rPr>
        <w:t>ITU</w:t>
      </w:r>
      <w:r w:rsidRPr="00604A14">
        <w:rPr>
          <w:bCs/>
          <w:szCs w:val="24"/>
        </w:rPr>
        <w:t xml:space="preserve"> was </w:t>
      </w:r>
      <w:r w:rsidRPr="00604A14">
        <w:rPr>
          <w:szCs w:val="24"/>
        </w:rPr>
        <w:t>convened under the terms of Article</w:t>
      </w:r>
      <w:r w:rsidR="0032086F">
        <w:rPr>
          <w:szCs w:val="24"/>
        </w:rPr>
        <w:t> </w:t>
      </w:r>
      <w:r w:rsidRPr="0032086F">
        <w:rPr>
          <w:b/>
          <w:bCs/>
          <w:szCs w:val="24"/>
        </w:rPr>
        <w:t>6</w:t>
      </w:r>
      <w:r w:rsidRPr="00604A14">
        <w:rPr>
          <w:szCs w:val="24"/>
        </w:rPr>
        <w:t xml:space="preserve"> of the ITU Radio Regulations and </w:t>
      </w:r>
      <w:r w:rsidRPr="00604A14">
        <w:rPr>
          <w:bCs/>
          <w:szCs w:val="24"/>
        </w:rPr>
        <w:t xml:space="preserve">dealt with the technical criteria as well as coordination principles and procedures for the introduction of </w:t>
      </w:r>
      <w:r w:rsidRPr="00604A14">
        <w:rPr>
          <w:szCs w:val="24"/>
          <w:lang w:eastAsia="en-IE"/>
        </w:rPr>
        <w:t>Digital Terrestrial Television Broadcasting (DTTB)</w:t>
      </w:r>
      <w:r w:rsidR="0032086F">
        <w:rPr>
          <w:bCs/>
          <w:szCs w:val="24"/>
        </w:rPr>
        <w:t xml:space="preserve">. </w:t>
      </w:r>
      <w:r w:rsidRPr="00604A14">
        <w:rPr>
          <w:bCs/>
          <w:szCs w:val="24"/>
        </w:rPr>
        <w:t xml:space="preserve">Article 4 of the Multilateral Co-ordination Agreement states that coordination procedures </w:t>
      </w:r>
      <w:r w:rsidRPr="00604A14">
        <w:rPr>
          <w:szCs w:val="24"/>
        </w:rPr>
        <w:t xml:space="preserve">only deal with the frequency bands in which DTTB </w:t>
      </w:r>
      <w:proofErr w:type="gramStart"/>
      <w:r w:rsidRPr="00604A14">
        <w:rPr>
          <w:szCs w:val="24"/>
        </w:rPr>
        <w:t>is envisaged</w:t>
      </w:r>
      <w:proofErr w:type="gramEnd"/>
      <w:r w:rsidRPr="00604A14">
        <w:rPr>
          <w:szCs w:val="24"/>
        </w:rPr>
        <w:t xml:space="preserve">, i.e. 174 to 230 MHz and 470 to 862 MHz. In the other </w:t>
      </w:r>
      <w:proofErr w:type="gramStart"/>
      <w:r w:rsidRPr="00604A14">
        <w:rPr>
          <w:szCs w:val="24"/>
        </w:rPr>
        <w:t>bands</w:t>
      </w:r>
      <w:proofErr w:type="gramEnd"/>
      <w:r w:rsidRPr="00604A14">
        <w:rPr>
          <w:szCs w:val="24"/>
        </w:rPr>
        <w:t xml:space="preserve"> the procedures of the 1961 Stockholm Agreement (ST61) would apply, without additional procedures.</w:t>
      </w:r>
    </w:p>
    <w:p w14:paraId="41960598" w14:textId="1E308940" w:rsidR="00844CEA" w:rsidRPr="00604A14" w:rsidRDefault="00FE46A5" w:rsidP="00844CEA">
      <w:r w:rsidRPr="00604A14">
        <w:lastRenderedPageBreak/>
        <w:t>Furthermore,</w:t>
      </w:r>
      <w:r w:rsidR="00844CEA" w:rsidRPr="00604A14">
        <w:t xml:space="preserve"> the joint CEPT ERC/EBU Report on Planning and Introduction of Terrestrial Digital Televis</w:t>
      </w:r>
      <w:r w:rsidR="00844CEA">
        <w:t>i</w:t>
      </w:r>
      <w:r w:rsidR="00844CEA" w:rsidRPr="00604A14">
        <w:t xml:space="preserve">on (DVB-T) in Europe, Izmir, December 1997 states in Section D2-2 “Due to long distance propagation effects and the high man-made-noise level, Band I is </w:t>
      </w:r>
      <w:r w:rsidR="00844CEA">
        <w:t>not considered suitable for DVB</w:t>
      </w:r>
      <w:r w:rsidR="00844CEA">
        <w:noBreakHyphen/>
      </w:r>
      <w:r w:rsidR="00844CEA" w:rsidRPr="00604A14">
        <w:t>T”.</w:t>
      </w:r>
    </w:p>
    <w:p w14:paraId="519C6DAA" w14:textId="1AD3BE09" w:rsidR="00844CEA" w:rsidRPr="00604A14" w:rsidRDefault="00844CEA">
      <w:r w:rsidRPr="00604A14">
        <w:t xml:space="preserve">During consultations carried out by ITU Secretary General in </w:t>
      </w:r>
      <w:proofErr w:type="gramStart"/>
      <w:r w:rsidRPr="00604A14">
        <w:t>2000/2001</w:t>
      </w:r>
      <w:proofErr w:type="gramEnd"/>
      <w:r w:rsidRPr="00604A14">
        <w:t xml:space="preserve"> an overwhelming majority of the countries of the European Broadcasting Area indicated their support for the proposed revision of ST61. In addition, Member States from the planning area of the Regional Agreement for VHF/UHF television broadcasting (GE89) in the African Broadcasting Area (ABA) and neighbouring countries also </w:t>
      </w:r>
      <w:r w:rsidR="00290A59">
        <w:t>expressed the wish to convene a</w:t>
      </w:r>
      <w:r w:rsidRPr="00604A14">
        <w:t xml:space="preserve"> </w:t>
      </w:r>
      <w:r w:rsidR="00290A59" w:rsidRPr="00604A14">
        <w:rPr>
          <w:lang w:eastAsia="en-IE"/>
        </w:rPr>
        <w:t xml:space="preserve">Regional Radiocommunication Conference </w:t>
      </w:r>
      <w:r w:rsidR="00290A59">
        <w:rPr>
          <w:lang w:eastAsia="en-IE"/>
        </w:rPr>
        <w:t>(</w:t>
      </w:r>
      <w:r w:rsidRPr="00604A14">
        <w:t>RRC</w:t>
      </w:r>
      <w:r w:rsidR="00290A59">
        <w:t>)</w:t>
      </w:r>
      <w:r w:rsidRPr="00604A14">
        <w:t xml:space="preserve"> for the same purposes.</w:t>
      </w:r>
    </w:p>
    <w:p w14:paraId="7927F2BD" w14:textId="7B11393D" w:rsidR="00844CEA" w:rsidRPr="00604A14" w:rsidRDefault="00844CEA" w:rsidP="00844CEA">
      <w:pPr>
        <w:rPr>
          <w:szCs w:val="24"/>
          <w:lang w:eastAsia="en-IE"/>
        </w:rPr>
      </w:pPr>
      <w:proofErr w:type="gramStart"/>
      <w:r w:rsidRPr="00604A14">
        <w:rPr>
          <w:szCs w:val="24"/>
          <w:lang w:eastAsia="en-IE"/>
        </w:rPr>
        <w:t xml:space="preserve">The ITU Council, at its sessions in 2001 and 2002, adopted Resolutions 1185 and 1180, by which it agreed to the convening of a </w:t>
      </w:r>
      <w:r w:rsidR="00290A59">
        <w:rPr>
          <w:szCs w:val="24"/>
          <w:lang w:eastAsia="en-IE"/>
        </w:rPr>
        <w:t xml:space="preserve">RRC </w:t>
      </w:r>
      <w:r w:rsidRPr="00604A14">
        <w:rPr>
          <w:szCs w:val="24"/>
          <w:lang w:eastAsia="en-IE"/>
        </w:rPr>
        <w:t>on the planning of terrestrial broadcasting in the VHF/UHF bands, for the combined planning area covering the European Broadcasting Area (EBA), the African Broadcasting Area, and the countries outside the African Broadcasting Area which are parties to the Regional Broadcasting Agreement, Geneva, 1989.</w:t>
      </w:r>
      <w:proofErr w:type="gramEnd"/>
    </w:p>
    <w:p w14:paraId="0C9830A7" w14:textId="77777777" w:rsidR="00844CEA" w:rsidRPr="00604A14" w:rsidRDefault="00844CEA" w:rsidP="00844CEA">
      <w:pPr>
        <w:rPr>
          <w:szCs w:val="24"/>
          <w:lang w:eastAsia="en-IE"/>
        </w:rPr>
      </w:pPr>
      <w:proofErr w:type="gramStart"/>
      <w:r w:rsidRPr="00604A14">
        <w:rPr>
          <w:szCs w:val="24"/>
          <w:lang w:eastAsia="en-IE"/>
        </w:rPr>
        <w:t>The Plenipotentiary Conference, Marrakesh, 2002, also considered this issue and decided to extend the planning area to the territories of the following countries that are not or only partially covered by the planning areas of both the ST61 and GE89 Agreements: Armenia, Azerbaijan, Georgia, Kazakhstan, Kyrgyzstan, Russian Federation (the part of the territory to the west from longitude 170° E), Tajikistan, Turkmenistan and Uzbekistan (see Resolution 117 (Marrakesh, 2002)).</w:t>
      </w:r>
      <w:proofErr w:type="gramEnd"/>
    </w:p>
    <w:p w14:paraId="458F3109" w14:textId="77777777" w:rsidR="00844CEA" w:rsidRPr="00604A14" w:rsidRDefault="00844CEA" w:rsidP="00844CEA">
      <w:pPr>
        <w:rPr>
          <w:szCs w:val="24"/>
          <w:lang w:eastAsia="en-IE"/>
        </w:rPr>
      </w:pPr>
      <w:r w:rsidRPr="00604A14">
        <w:rPr>
          <w:szCs w:val="24"/>
          <w:lang w:eastAsia="en-IE"/>
        </w:rPr>
        <w:t>In summary, the planning area comprised those parts of Region 1 that are situated west of the meridian 170° East and north of the parallel 40° South, as well as the whole territory of the Islamic Republic of Iran.</w:t>
      </w:r>
    </w:p>
    <w:p w14:paraId="714302DD" w14:textId="54642F1D" w:rsidR="00844CEA" w:rsidRPr="00604A14" w:rsidRDefault="00844CEA" w:rsidP="00844CEA">
      <w:pPr>
        <w:rPr>
          <w:szCs w:val="24"/>
          <w:lang w:eastAsia="en-IE"/>
        </w:rPr>
      </w:pPr>
      <w:r w:rsidRPr="00604A14">
        <w:rPr>
          <w:szCs w:val="24"/>
          <w:lang w:eastAsia="en-IE"/>
        </w:rPr>
        <w:t>The</w:t>
      </w:r>
      <w:r>
        <w:rPr>
          <w:szCs w:val="24"/>
          <w:lang w:eastAsia="en-IE"/>
        </w:rPr>
        <w:t xml:space="preserve"> expectation that the band 47–</w:t>
      </w:r>
      <w:r w:rsidRPr="00604A14">
        <w:rPr>
          <w:szCs w:val="24"/>
          <w:lang w:eastAsia="en-IE"/>
        </w:rPr>
        <w:t>68 MHz will not be utilised for DTTB in Region 1 continues in the ITU-R documentation</w:t>
      </w:r>
      <w:r>
        <w:rPr>
          <w:szCs w:val="24"/>
          <w:lang w:eastAsia="en-IE"/>
        </w:rPr>
        <w:t>, especially Report ITU-R BT.</w:t>
      </w:r>
      <w:r w:rsidRPr="00604A14">
        <w:rPr>
          <w:szCs w:val="24"/>
          <w:lang w:eastAsia="en-IE"/>
        </w:rPr>
        <w:t>2387-0 (07/2015) which contains information from administrations on the current and future use of various frequency bands, includ</w:t>
      </w:r>
      <w:r w:rsidR="00290A59">
        <w:rPr>
          <w:szCs w:val="24"/>
          <w:lang w:eastAsia="en-IE"/>
        </w:rPr>
        <w:t>ing 50-54 MHz for broadcasting. N</w:t>
      </w:r>
      <w:r w:rsidRPr="00604A14">
        <w:rPr>
          <w:szCs w:val="24"/>
          <w:lang w:eastAsia="en-IE"/>
        </w:rPr>
        <w:t xml:space="preserve">one of the responding administrations identified VHF1 spectrum for their current or future DTTB services. </w:t>
      </w:r>
      <w:proofErr w:type="gramStart"/>
      <w:r w:rsidRPr="00604A14">
        <w:rPr>
          <w:szCs w:val="24"/>
          <w:lang w:eastAsia="en-IE"/>
        </w:rPr>
        <w:t>However</w:t>
      </w:r>
      <w:proofErr w:type="gramEnd"/>
      <w:r w:rsidRPr="00604A14">
        <w:rPr>
          <w:szCs w:val="24"/>
          <w:lang w:eastAsia="en-IE"/>
        </w:rPr>
        <w:t xml:space="preserve"> it is likely that several countries in Region 2 may adopt or have adopted the ATSC DTTB standard in spectrum allocated to the Broadcasting Service above 54 MHz.</w:t>
      </w:r>
    </w:p>
    <w:p w14:paraId="32D1C8FA" w14:textId="6017DF2C" w:rsidR="00844CEA" w:rsidRPr="00192CBB" w:rsidRDefault="00651F08" w:rsidP="0032086F">
      <w:pPr>
        <w:pStyle w:val="Heading2"/>
      </w:pPr>
      <w:bookmarkStart w:id="69" w:name="_Toc467231972"/>
      <w:bookmarkStart w:id="70" w:name="_Toc467487683"/>
      <w:r w:rsidRPr="00192CBB">
        <w:t>9.3</w:t>
      </w:r>
      <w:r w:rsidR="00844CEA" w:rsidRPr="00192CBB">
        <w:tab/>
        <w:t xml:space="preserve">Analogue Television Broadcasting in Band 1 </w:t>
      </w:r>
      <w:r w:rsidR="0032086F">
        <w:t>–</w:t>
      </w:r>
      <w:r w:rsidR="00844CEA" w:rsidRPr="00192CBB">
        <w:t xml:space="preserve"> 47–68 MHz</w:t>
      </w:r>
      <w:bookmarkEnd w:id="69"/>
      <w:bookmarkEnd w:id="70"/>
    </w:p>
    <w:p w14:paraId="3517FFDA" w14:textId="63C6B2A9" w:rsidR="00844CEA" w:rsidRPr="00604A14" w:rsidRDefault="00844CEA" w:rsidP="00844CEA">
      <w:pPr>
        <w:rPr>
          <w:szCs w:val="24"/>
          <w:lang w:eastAsia="en-IE"/>
        </w:rPr>
      </w:pPr>
      <w:r>
        <w:rPr>
          <w:szCs w:val="24"/>
          <w:lang w:eastAsia="en-IE"/>
        </w:rPr>
        <w:t>Report ITU-R BT.</w:t>
      </w:r>
      <w:r w:rsidRPr="00604A14">
        <w:rPr>
          <w:szCs w:val="24"/>
          <w:lang w:eastAsia="en-IE"/>
        </w:rPr>
        <w:t xml:space="preserve">2387-0 (07/2015) clearly indicates that low VHF spectrum </w:t>
      </w:r>
      <w:proofErr w:type="gramStart"/>
      <w:r w:rsidRPr="00604A14">
        <w:rPr>
          <w:szCs w:val="24"/>
          <w:lang w:eastAsia="en-IE"/>
        </w:rPr>
        <w:t>is not generally considered</w:t>
      </w:r>
      <w:proofErr w:type="gramEnd"/>
      <w:r w:rsidRPr="00604A14">
        <w:rPr>
          <w:szCs w:val="24"/>
          <w:lang w:eastAsia="en-IE"/>
        </w:rPr>
        <w:t xml:space="preserve"> by administrations to be suitable for DTTB. As national A</w:t>
      </w:r>
      <w:r w:rsidR="009E7630">
        <w:rPr>
          <w:szCs w:val="24"/>
          <w:lang w:eastAsia="en-IE"/>
        </w:rPr>
        <w:t xml:space="preserve">nalogue </w:t>
      </w:r>
      <w:r w:rsidRPr="00604A14">
        <w:rPr>
          <w:szCs w:val="24"/>
          <w:lang w:eastAsia="en-IE"/>
        </w:rPr>
        <w:t>S</w:t>
      </w:r>
      <w:r w:rsidR="009E7630">
        <w:rPr>
          <w:szCs w:val="24"/>
          <w:lang w:eastAsia="en-IE"/>
        </w:rPr>
        <w:t xml:space="preserve">witch </w:t>
      </w:r>
      <w:proofErr w:type="gramStart"/>
      <w:r w:rsidR="009E7630">
        <w:rPr>
          <w:szCs w:val="24"/>
          <w:lang w:eastAsia="en-IE"/>
        </w:rPr>
        <w:t>Off</w:t>
      </w:r>
      <w:proofErr w:type="gramEnd"/>
      <w:r w:rsidRPr="00604A14">
        <w:rPr>
          <w:szCs w:val="24"/>
          <w:lang w:eastAsia="en-IE"/>
        </w:rPr>
        <w:t xml:space="preserve"> </w:t>
      </w:r>
      <w:r w:rsidR="009E7630">
        <w:rPr>
          <w:szCs w:val="24"/>
          <w:lang w:eastAsia="en-IE"/>
        </w:rPr>
        <w:t xml:space="preserve">(ASO) </w:t>
      </w:r>
      <w:r w:rsidRPr="00604A14">
        <w:rPr>
          <w:szCs w:val="24"/>
          <w:lang w:eastAsia="en-IE"/>
        </w:rPr>
        <w:t>programmes are completed, the number of analogue television stations diminishes in those countries where DTTB has been fully implemented. However there are a large number of analogue stations assigned frequencies in the VHF band below 100 MHz which are still in operation, for example 2</w:t>
      </w:r>
      <w:r w:rsidR="00F60EC2">
        <w:rPr>
          <w:szCs w:val="24"/>
          <w:lang w:eastAsia="en-IE"/>
        </w:rPr>
        <w:t> </w:t>
      </w:r>
      <w:r w:rsidRPr="00604A14">
        <w:rPr>
          <w:szCs w:val="24"/>
          <w:lang w:eastAsia="en-IE"/>
        </w:rPr>
        <w:t>091 in Brazil above 54 MHz and 3</w:t>
      </w:r>
      <w:r w:rsidR="00F60EC2">
        <w:rPr>
          <w:szCs w:val="24"/>
          <w:lang w:eastAsia="en-IE"/>
        </w:rPr>
        <w:t> </w:t>
      </w:r>
      <w:r w:rsidRPr="00604A14">
        <w:rPr>
          <w:szCs w:val="24"/>
          <w:lang w:eastAsia="en-IE"/>
        </w:rPr>
        <w:t>683 in the Russian Federation, some of</w:t>
      </w:r>
      <w:r w:rsidR="009E7630">
        <w:rPr>
          <w:szCs w:val="24"/>
          <w:lang w:eastAsia="en-IE"/>
        </w:rPr>
        <w:t xml:space="preserve"> which will be in the </w:t>
      </w:r>
      <w:r>
        <w:rPr>
          <w:szCs w:val="24"/>
          <w:lang w:eastAsia="en-IE"/>
        </w:rPr>
        <w:t>47</w:t>
      </w:r>
      <w:r>
        <w:rPr>
          <w:szCs w:val="24"/>
          <w:lang w:eastAsia="en-IE"/>
        </w:rPr>
        <w:noBreakHyphen/>
        <w:t>54 </w:t>
      </w:r>
      <w:r w:rsidRPr="00604A14">
        <w:rPr>
          <w:szCs w:val="24"/>
          <w:lang w:eastAsia="en-IE"/>
        </w:rPr>
        <w:t>MHz</w:t>
      </w:r>
      <w:r w:rsidR="009E7630">
        <w:rPr>
          <w:szCs w:val="24"/>
          <w:lang w:eastAsia="en-IE"/>
        </w:rPr>
        <w:t xml:space="preserve"> frequency band</w:t>
      </w:r>
      <w:r w:rsidRPr="00604A14">
        <w:rPr>
          <w:szCs w:val="24"/>
          <w:lang w:eastAsia="en-IE"/>
        </w:rPr>
        <w:t xml:space="preserve">. </w:t>
      </w:r>
      <w:proofErr w:type="gramStart"/>
      <w:r w:rsidRPr="00604A14">
        <w:rPr>
          <w:szCs w:val="24"/>
          <w:lang w:eastAsia="en-IE"/>
        </w:rPr>
        <w:t>It therefore appears that analogue television in VHF1 spectrum remains a cost effective means of reaching viewers in remote areas of large countries.</w:t>
      </w:r>
      <w:proofErr w:type="gramEnd"/>
      <w:r w:rsidRPr="00604A14">
        <w:rPr>
          <w:szCs w:val="24"/>
          <w:lang w:eastAsia="en-IE"/>
        </w:rPr>
        <w:t xml:space="preserve"> </w:t>
      </w:r>
    </w:p>
    <w:p w14:paraId="74BF30A6" w14:textId="5B2FA673" w:rsidR="00844CEA" w:rsidRPr="00604A14" w:rsidRDefault="00844CEA" w:rsidP="00844CEA">
      <w:pPr>
        <w:rPr>
          <w:szCs w:val="24"/>
          <w:lang w:eastAsia="en-IE"/>
        </w:rPr>
      </w:pPr>
      <w:r w:rsidRPr="00604A14">
        <w:rPr>
          <w:szCs w:val="24"/>
          <w:lang w:eastAsia="en-IE"/>
        </w:rPr>
        <w:t xml:space="preserve">Another important consideration is that many of the remaining analogue broadcasting stations in Region 1 </w:t>
      </w:r>
      <w:proofErr w:type="gramStart"/>
      <w:r w:rsidRPr="00604A14">
        <w:rPr>
          <w:szCs w:val="24"/>
          <w:lang w:eastAsia="en-IE"/>
        </w:rPr>
        <w:t>were planned</w:t>
      </w:r>
      <w:proofErr w:type="gramEnd"/>
      <w:r w:rsidRPr="00604A14">
        <w:rPr>
          <w:szCs w:val="24"/>
          <w:lang w:eastAsia="en-IE"/>
        </w:rPr>
        <w:t xml:space="preserve"> using the criteria and Plan assignments detailed in ST61 and GE89. </w:t>
      </w:r>
      <w:proofErr w:type="gramStart"/>
      <w:r w:rsidRPr="00604A14">
        <w:rPr>
          <w:szCs w:val="24"/>
          <w:lang w:eastAsia="en-IE"/>
        </w:rPr>
        <w:t xml:space="preserve">On the assumption that those countries which have completed their ASO have decommissioned their analogue transmitters </w:t>
      </w:r>
      <w:r w:rsidR="009E7630">
        <w:rPr>
          <w:szCs w:val="24"/>
          <w:lang w:eastAsia="en-IE"/>
        </w:rPr>
        <w:t>that th</w:t>
      </w:r>
      <w:r w:rsidRPr="00604A14">
        <w:rPr>
          <w:szCs w:val="24"/>
          <w:lang w:eastAsia="en-IE"/>
        </w:rPr>
        <w:t>e interference environment for those stations which remain operational has as a result significantly improved and the combined interference potential of several hundred amateur stations spread across the countries of central and western Europe is likely to be significantly less than the situation when the band was utilised solely for television broadcasting.</w:t>
      </w:r>
      <w:proofErr w:type="gramEnd"/>
      <w:r w:rsidRPr="00604A14">
        <w:rPr>
          <w:szCs w:val="24"/>
          <w:lang w:eastAsia="en-IE"/>
        </w:rPr>
        <w:t xml:space="preserve"> </w:t>
      </w:r>
    </w:p>
    <w:p w14:paraId="65BA4411" w14:textId="4638E778" w:rsidR="00844CEA" w:rsidRPr="00604A14" w:rsidRDefault="00FE46A5" w:rsidP="003A5E32">
      <w:pPr>
        <w:rPr>
          <w:szCs w:val="24"/>
          <w:lang w:eastAsia="en-IE"/>
        </w:rPr>
      </w:pPr>
      <w:r w:rsidRPr="00604A14">
        <w:rPr>
          <w:szCs w:val="24"/>
          <w:lang w:eastAsia="en-IE"/>
        </w:rPr>
        <w:lastRenderedPageBreak/>
        <w:t>Nevertheless,</w:t>
      </w:r>
      <w:r w:rsidR="00844CEA" w:rsidRPr="00604A14">
        <w:rPr>
          <w:szCs w:val="24"/>
          <w:lang w:eastAsia="en-IE"/>
        </w:rPr>
        <w:t xml:space="preserve"> it </w:t>
      </w:r>
      <w:proofErr w:type="gramStart"/>
      <w:r w:rsidR="00844CEA" w:rsidRPr="00604A14">
        <w:rPr>
          <w:szCs w:val="24"/>
          <w:lang w:eastAsia="en-IE"/>
        </w:rPr>
        <w:t>may in some situations be</w:t>
      </w:r>
      <w:proofErr w:type="gramEnd"/>
      <w:r w:rsidR="00844CEA" w:rsidRPr="00604A14">
        <w:rPr>
          <w:szCs w:val="24"/>
          <w:lang w:eastAsia="en-IE"/>
        </w:rPr>
        <w:t xml:space="preserve"> necessary to develop mechanisms to limit the possibility of harmful interference being caused by the amateur service to broadcas</w:t>
      </w:r>
      <w:r w:rsidR="009E7630">
        <w:rPr>
          <w:szCs w:val="24"/>
          <w:lang w:eastAsia="en-IE"/>
        </w:rPr>
        <w:t xml:space="preserve">ting reception in the </w:t>
      </w:r>
      <w:r w:rsidR="00844CEA">
        <w:rPr>
          <w:szCs w:val="24"/>
          <w:lang w:eastAsia="en-IE"/>
        </w:rPr>
        <w:t>50</w:t>
      </w:r>
      <w:r w:rsidR="003A5E32">
        <w:rPr>
          <w:szCs w:val="24"/>
          <w:lang w:eastAsia="en-IE"/>
        </w:rPr>
        <w:noBreakHyphen/>
      </w:r>
      <w:r w:rsidR="00844CEA" w:rsidRPr="00604A14">
        <w:rPr>
          <w:szCs w:val="24"/>
          <w:lang w:eastAsia="en-IE"/>
        </w:rPr>
        <w:t>54</w:t>
      </w:r>
      <w:r w:rsidR="003A5E32">
        <w:rPr>
          <w:szCs w:val="24"/>
          <w:lang w:eastAsia="en-IE"/>
        </w:rPr>
        <w:t> </w:t>
      </w:r>
      <w:r w:rsidR="00844CEA" w:rsidRPr="00604A14">
        <w:rPr>
          <w:szCs w:val="24"/>
          <w:lang w:eastAsia="en-IE"/>
        </w:rPr>
        <w:t xml:space="preserve">MHz </w:t>
      </w:r>
      <w:r w:rsidR="009E7630">
        <w:rPr>
          <w:szCs w:val="24"/>
          <w:lang w:eastAsia="en-IE"/>
        </w:rPr>
        <w:t xml:space="preserve">frequency band </w:t>
      </w:r>
      <w:r w:rsidR="00844CEA" w:rsidRPr="00604A14">
        <w:rPr>
          <w:szCs w:val="24"/>
          <w:lang w:eastAsia="en-IE"/>
        </w:rPr>
        <w:t>in Region 1, until such time that the broadcasting stations cease operations.</w:t>
      </w:r>
    </w:p>
    <w:p w14:paraId="35D23271" w14:textId="3CAE4E96" w:rsidR="00844CEA" w:rsidRPr="00FE46A5" w:rsidRDefault="00F32260" w:rsidP="00FE46A5">
      <w:pPr>
        <w:pStyle w:val="Heading2"/>
      </w:pPr>
      <w:bookmarkStart w:id="71" w:name="_Toc467231973"/>
      <w:bookmarkStart w:id="72" w:name="_Toc467487684"/>
      <w:r>
        <w:t>9.4</w:t>
      </w:r>
      <w:r w:rsidR="00844CEA" w:rsidRPr="0034349B">
        <w:tab/>
        <w:t>Inter-Regional Sharing Situation</w:t>
      </w:r>
      <w:bookmarkEnd w:id="71"/>
      <w:bookmarkEnd w:id="72"/>
      <w:r w:rsidR="00651F08" w:rsidRPr="00FE46A5">
        <w:t xml:space="preserve"> </w:t>
      </w:r>
    </w:p>
    <w:p w14:paraId="5BE5F2F7" w14:textId="46A4ACC1" w:rsidR="00844CEA" w:rsidRPr="00604A14" w:rsidRDefault="00844CEA" w:rsidP="00844CEA">
      <w:pPr>
        <w:rPr>
          <w:szCs w:val="24"/>
          <w:lang w:eastAsia="en-IE"/>
        </w:rPr>
      </w:pPr>
      <w:r w:rsidRPr="00604A14">
        <w:rPr>
          <w:szCs w:val="24"/>
          <w:lang w:eastAsia="en-IE"/>
        </w:rPr>
        <w:t xml:space="preserve">The </w:t>
      </w:r>
      <w:r>
        <w:rPr>
          <w:szCs w:val="24"/>
          <w:lang w:eastAsia="en-IE"/>
        </w:rPr>
        <w:t>50–</w:t>
      </w:r>
      <w:r w:rsidRPr="00604A14">
        <w:rPr>
          <w:szCs w:val="24"/>
          <w:lang w:eastAsia="en-IE"/>
        </w:rPr>
        <w:t xml:space="preserve">54 MHz </w:t>
      </w:r>
      <w:r w:rsidR="009E7630">
        <w:rPr>
          <w:szCs w:val="24"/>
          <w:lang w:eastAsia="en-IE"/>
        </w:rPr>
        <w:t xml:space="preserve">frequency band </w:t>
      </w:r>
      <w:proofErr w:type="gramStart"/>
      <w:r w:rsidRPr="00604A14">
        <w:rPr>
          <w:szCs w:val="24"/>
          <w:lang w:eastAsia="en-IE"/>
        </w:rPr>
        <w:t>is currently allocated</w:t>
      </w:r>
      <w:proofErr w:type="gramEnd"/>
      <w:r w:rsidRPr="00604A14">
        <w:rPr>
          <w:szCs w:val="24"/>
          <w:lang w:eastAsia="en-IE"/>
        </w:rPr>
        <w:t xml:space="preserve"> to the amateur service in Region 2 and Region 3 on a primary basis. </w:t>
      </w:r>
      <w:proofErr w:type="gramStart"/>
      <w:r w:rsidRPr="00604A14">
        <w:rPr>
          <w:szCs w:val="24"/>
          <w:lang w:eastAsia="en-IE"/>
        </w:rPr>
        <w:t>However</w:t>
      </w:r>
      <w:proofErr w:type="gramEnd"/>
      <w:r w:rsidRPr="00604A14">
        <w:rPr>
          <w:szCs w:val="24"/>
          <w:lang w:eastAsia="en-IE"/>
        </w:rPr>
        <w:t xml:space="preserve"> in Region 3 the</w:t>
      </w:r>
      <w:r>
        <w:rPr>
          <w:szCs w:val="24"/>
          <w:lang w:eastAsia="en-IE"/>
        </w:rPr>
        <w:t xml:space="preserve"> countries specified in numbers</w:t>
      </w:r>
      <w:r w:rsidRPr="00604A14">
        <w:rPr>
          <w:szCs w:val="24"/>
          <w:lang w:eastAsia="en-IE"/>
        </w:rPr>
        <w:t xml:space="preserve"> </w:t>
      </w:r>
      <w:r w:rsidRPr="0032086F">
        <w:rPr>
          <w:b/>
          <w:bCs/>
          <w:szCs w:val="24"/>
          <w:lang w:eastAsia="en-IE"/>
        </w:rPr>
        <w:t>5.167</w:t>
      </w:r>
      <w:r w:rsidRPr="00604A14">
        <w:rPr>
          <w:szCs w:val="24"/>
          <w:lang w:eastAsia="en-IE"/>
        </w:rPr>
        <w:t xml:space="preserve">, </w:t>
      </w:r>
      <w:r w:rsidRPr="0032086F">
        <w:rPr>
          <w:b/>
          <w:bCs/>
          <w:szCs w:val="24"/>
          <w:lang w:eastAsia="en-IE"/>
        </w:rPr>
        <w:t>5.167A</w:t>
      </w:r>
      <w:r w:rsidRPr="00604A14">
        <w:rPr>
          <w:szCs w:val="24"/>
          <w:lang w:eastAsia="en-IE"/>
        </w:rPr>
        <w:t xml:space="preserve">, </w:t>
      </w:r>
      <w:r w:rsidRPr="0032086F">
        <w:rPr>
          <w:b/>
          <w:bCs/>
          <w:szCs w:val="24"/>
          <w:lang w:eastAsia="en-IE"/>
        </w:rPr>
        <w:t>5.168</w:t>
      </w:r>
      <w:r w:rsidRPr="00604A14">
        <w:rPr>
          <w:szCs w:val="24"/>
          <w:lang w:eastAsia="en-IE"/>
        </w:rPr>
        <w:t xml:space="preserve"> and </w:t>
      </w:r>
      <w:r w:rsidRPr="0032086F">
        <w:rPr>
          <w:b/>
          <w:bCs/>
          <w:szCs w:val="24"/>
          <w:lang w:eastAsia="en-IE"/>
        </w:rPr>
        <w:t>5.170</w:t>
      </w:r>
      <w:r w:rsidRPr="00604A14">
        <w:rPr>
          <w:szCs w:val="24"/>
          <w:lang w:eastAsia="en-IE"/>
        </w:rPr>
        <w:t xml:space="preserve"> of the Radio Regulations have alternative allocations to other radiocommunication services. ITU Region 1 has </w:t>
      </w:r>
      <w:r w:rsidR="0032086F">
        <w:rPr>
          <w:szCs w:val="24"/>
          <w:lang w:eastAsia="en-IE"/>
        </w:rPr>
        <w:t xml:space="preserve">a border with Regions 2 and 3. </w:t>
      </w:r>
      <w:r w:rsidRPr="00604A14">
        <w:rPr>
          <w:szCs w:val="24"/>
          <w:lang w:eastAsia="en-IE"/>
        </w:rPr>
        <w:t>Inter-regional sharing between the primary amateur service in Regions 2 and 3 and the primary analogue television broadcasting service in Region 1 seems to have been successful with minimal or no harmful interference occurring to the service areas of analogue television stations.</w:t>
      </w:r>
    </w:p>
    <w:p w14:paraId="1FA6C65F" w14:textId="56CBF04D" w:rsidR="00844CEA" w:rsidRPr="00192CBB" w:rsidRDefault="00F32260">
      <w:pPr>
        <w:pStyle w:val="Heading2"/>
      </w:pPr>
      <w:bookmarkStart w:id="73" w:name="_Toc467231974"/>
      <w:bookmarkStart w:id="74" w:name="_Toc467487685"/>
      <w:r>
        <w:t>9.5</w:t>
      </w:r>
      <w:r w:rsidR="00844CEA" w:rsidRPr="00192CBB">
        <w:tab/>
      </w:r>
      <w:r w:rsidR="009E7630" w:rsidRPr="00192CBB">
        <w:t>Sharing between the b</w:t>
      </w:r>
      <w:r w:rsidR="00844CEA" w:rsidRPr="00192CBB">
        <w:t xml:space="preserve">roadcasting </w:t>
      </w:r>
      <w:r w:rsidR="009E7630" w:rsidRPr="00192CBB">
        <w:t xml:space="preserve">service in Region 1 and </w:t>
      </w:r>
      <w:r>
        <w:t xml:space="preserve">the </w:t>
      </w:r>
      <w:r w:rsidR="009E7630" w:rsidRPr="00192CBB">
        <w:t>a</w:t>
      </w:r>
      <w:r w:rsidR="00844CEA" w:rsidRPr="00192CBB">
        <w:t xml:space="preserve">mateur </w:t>
      </w:r>
      <w:r w:rsidR="009E7630" w:rsidRPr="00192CBB">
        <w:t xml:space="preserve">service </w:t>
      </w:r>
      <w:r w:rsidR="00844CEA" w:rsidRPr="00192CBB">
        <w:t>in Region 3</w:t>
      </w:r>
      <w:bookmarkEnd w:id="73"/>
      <w:bookmarkEnd w:id="74"/>
    </w:p>
    <w:p w14:paraId="5C14FFC7" w14:textId="235C05E5" w:rsidR="00844CEA" w:rsidRDefault="006E75B5" w:rsidP="00F60EC2">
      <w:pPr>
        <w:rPr>
          <w:szCs w:val="24"/>
          <w:lang w:eastAsia="en-IE"/>
        </w:rPr>
      </w:pPr>
      <w:r>
        <w:rPr>
          <w:szCs w:val="24"/>
          <w:lang w:eastAsia="en-IE"/>
        </w:rPr>
        <w:t>[</w:t>
      </w:r>
      <w:r w:rsidR="00844CEA" w:rsidRPr="00604A14">
        <w:rPr>
          <w:szCs w:val="24"/>
          <w:lang w:eastAsia="en-IE"/>
        </w:rPr>
        <w:t>The border between the Russian Federation and Japan is of particular interest since in Region</w:t>
      </w:r>
      <w:r w:rsidR="00844CEA">
        <w:rPr>
          <w:szCs w:val="24"/>
          <w:lang w:eastAsia="en-IE"/>
        </w:rPr>
        <w:t> </w:t>
      </w:r>
      <w:r w:rsidR="00844CEA" w:rsidRPr="00604A14">
        <w:rPr>
          <w:szCs w:val="24"/>
          <w:lang w:eastAsia="en-IE"/>
        </w:rPr>
        <w:t xml:space="preserve">1 the band </w:t>
      </w:r>
      <w:proofErr w:type="gramStart"/>
      <w:r w:rsidR="00844CEA" w:rsidRPr="00604A14">
        <w:rPr>
          <w:szCs w:val="24"/>
          <w:lang w:eastAsia="en-IE"/>
        </w:rPr>
        <w:t>is used</w:t>
      </w:r>
      <w:proofErr w:type="gramEnd"/>
      <w:r w:rsidR="00844CEA" w:rsidRPr="00604A14">
        <w:rPr>
          <w:szCs w:val="24"/>
          <w:lang w:eastAsia="en-IE"/>
        </w:rPr>
        <w:t xml:space="preserve"> extensively for analogue television broadcasting by the Russian Federation. Japan in Region 3 has </w:t>
      </w:r>
      <w:r w:rsidR="00844CEA">
        <w:rPr>
          <w:szCs w:val="24"/>
          <w:lang w:eastAsia="en-IE"/>
        </w:rPr>
        <w:t>authorised the use of band 50–</w:t>
      </w:r>
      <w:r w:rsidR="00844CEA" w:rsidRPr="00604A14">
        <w:rPr>
          <w:szCs w:val="24"/>
          <w:lang w:eastAsia="en-IE"/>
        </w:rPr>
        <w:t>54 MHz by amateur service licensees. The distance between Japan and the Russian Federation at its closest point is 43 km and at its farthest point about 1</w:t>
      </w:r>
      <w:r w:rsidR="00F60EC2">
        <w:rPr>
          <w:szCs w:val="24"/>
          <w:lang w:eastAsia="en-IE"/>
        </w:rPr>
        <w:t> </w:t>
      </w:r>
      <w:r w:rsidR="00844CEA" w:rsidRPr="00604A14">
        <w:rPr>
          <w:szCs w:val="24"/>
          <w:lang w:eastAsia="en-IE"/>
        </w:rPr>
        <w:t>000</w:t>
      </w:r>
      <w:r w:rsidR="00F60EC2">
        <w:rPr>
          <w:szCs w:val="24"/>
          <w:lang w:eastAsia="en-IE"/>
        </w:rPr>
        <w:t> </w:t>
      </w:r>
      <w:r w:rsidR="00844CEA" w:rsidRPr="00604A14">
        <w:rPr>
          <w:szCs w:val="24"/>
          <w:lang w:eastAsia="en-IE"/>
        </w:rPr>
        <w:t xml:space="preserve">km, with a considerable amount of territory within 600 to 800 km </w:t>
      </w:r>
      <w:r w:rsidR="009E7630">
        <w:rPr>
          <w:szCs w:val="24"/>
          <w:lang w:eastAsia="en-IE"/>
        </w:rPr>
        <w:t>across the Sea of Japan. In</w:t>
      </w:r>
      <w:r w:rsidR="00F60EC2">
        <w:rPr>
          <w:szCs w:val="24"/>
          <w:lang w:eastAsia="en-IE"/>
        </w:rPr>
        <w:t> </w:t>
      </w:r>
      <w:r w:rsidR="009E7630">
        <w:rPr>
          <w:szCs w:val="24"/>
          <w:lang w:eastAsia="en-IE"/>
        </w:rPr>
        <w:t>September 2016</w:t>
      </w:r>
      <w:r w:rsidR="00844CEA" w:rsidRPr="00604A14">
        <w:rPr>
          <w:szCs w:val="24"/>
          <w:lang w:eastAsia="en-IE"/>
        </w:rPr>
        <w:t xml:space="preserve"> there were </w:t>
      </w:r>
      <w:r w:rsidR="009E7630">
        <w:rPr>
          <w:szCs w:val="24"/>
          <w:lang w:eastAsia="en-IE"/>
        </w:rPr>
        <w:t>435</w:t>
      </w:r>
      <w:r w:rsidR="003A5E32">
        <w:rPr>
          <w:szCs w:val="24"/>
          <w:lang w:eastAsia="en-IE"/>
        </w:rPr>
        <w:t> </w:t>
      </w:r>
      <w:r w:rsidR="009E7630">
        <w:rPr>
          <w:szCs w:val="24"/>
          <w:lang w:eastAsia="en-IE"/>
        </w:rPr>
        <w:t>565</w:t>
      </w:r>
      <w:r w:rsidR="00844CEA" w:rsidRPr="00604A14">
        <w:rPr>
          <w:szCs w:val="24"/>
          <w:lang w:eastAsia="en-IE"/>
        </w:rPr>
        <w:t xml:space="preserve"> Japanese amateur licensees, about </w:t>
      </w:r>
      <w:r w:rsidR="009E7630">
        <w:rPr>
          <w:szCs w:val="24"/>
          <w:lang w:eastAsia="en-IE"/>
        </w:rPr>
        <w:t>0.34</w:t>
      </w:r>
      <w:r w:rsidR="00844CEA" w:rsidRPr="00604A14">
        <w:rPr>
          <w:szCs w:val="24"/>
          <w:lang w:eastAsia="en-IE"/>
        </w:rPr>
        <w:t xml:space="preserve">% of the Japanese population. </w:t>
      </w:r>
      <w:r w:rsidR="009E7630">
        <w:rPr>
          <w:szCs w:val="24"/>
          <w:lang w:eastAsia="en-IE"/>
        </w:rPr>
        <w:t>With a land area of 378</w:t>
      </w:r>
      <w:r w:rsidR="003A5E32">
        <w:rPr>
          <w:szCs w:val="24"/>
          <w:lang w:eastAsia="en-IE"/>
        </w:rPr>
        <w:t> </w:t>
      </w:r>
      <w:r w:rsidR="009E7630">
        <w:rPr>
          <w:szCs w:val="24"/>
          <w:lang w:eastAsia="en-IE"/>
        </w:rPr>
        <w:t>000</w:t>
      </w:r>
      <w:r w:rsidR="00844CEA" w:rsidRPr="00604A14">
        <w:rPr>
          <w:szCs w:val="24"/>
          <w:lang w:eastAsia="en-IE"/>
        </w:rPr>
        <w:t xml:space="preserve"> </w:t>
      </w:r>
      <w:proofErr w:type="spellStart"/>
      <w:r w:rsidR="009E7630">
        <w:rPr>
          <w:szCs w:val="24"/>
          <w:lang w:eastAsia="en-IE"/>
        </w:rPr>
        <w:t>km</w:t>
      </w:r>
      <w:r w:rsidR="009E7630" w:rsidRPr="00FE46A5">
        <w:rPr>
          <w:szCs w:val="24"/>
          <w:vertAlign w:val="superscript"/>
          <w:lang w:eastAsia="en-IE"/>
        </w:rPr>
        <w:t>2</w:t>
      </w:r>
      <w:proofErr w:type="spellEnd"/>
      <w:r w:rsidR="009E7630">
        <w:rPr>
          <w:szCs w:val="24"/>
          <w:lang w:eastAsia="en-IE"/>
        </w:rPr>
        <w:t xml:space="preserve">, on average one should find </w:t>
      </w:r>
      <w:r w:rsidR="00BE140E">
        <w:rPr>
          <w:szCs w:val="24"/>
          <w:lang w:eastAsia="en-IE"/>
        </w:rPr>
        <w:t xml:space="preserve">more than </w:t>
      </w:r>
      <w:r w:rsidR="009E7630">
        <w:rPr>
          <w:szCs w:val="24"/>
          <w:lang w:eastAsia="en-IE"/>
        </w:rPr>
        <w:t>one amateur station</w:t>
      </w:r>
      <w:r w:rsidR="00844CEA" w:rsidRPr="00604A14">
        <w:rPr>
          <w:szCs w:val="24"/>
          <w:lang w:eastAsia="en-IE"/>
        </w:rPr>
        <w:t xml:space="preserve"> per square kilometre. The maximum permitted power at the antenna of an amateur station in Japan is </w:t>
      </w:r>
      <w:r w:rsidR="009E7630">
        <w:rPr>
          <w:szCs w:val="24"/>
          <w:lang w:eastAsia="en-IE"/>
        </w:rPr>
        <w:t>30</w:t>
      </w:r>
      <w:r w:rsidR="00844CEA" w:rsidRPr="00604A14">
        <w:rPr>
          <w:szCs w:val="24"/>
          <w:lang w:eastAsia="en-IE"/>
        </w:rPr>
        <w:t xml:space="preserve"> dBW. </w:t>
      </w:r>
      <w:r w:rsidR="00104B19">
        <w:rPr>
          <w:szCs w:val="24"/>
          <w:lang w:eastAsia="en-IE"/>
        </w:rPr>
        <w:t>]</w:t>
      </w:r>
    </w:p>
    <w:p w14:paraId="1B7C6422" w14:textId="36C7ABA0" w:rsidR="001E18E1" w:rsidRDefault="001E18E1" w:rsidP="003A5E32">
      <w:pPr>
        <w:rPr>
          <w:szCs w:val="24"/>
          <w:lang w:eastAsia="en-IE"/>
        </w:rPr>
      </w:pPr>
      <w:r>
        <w:rPr>
          <w:szCs w:val="24"/>
          <w:lang w:eastAsia="en-IE"/>
        </w:rPr>
        <w:t>Another similar case is between Mongolia and the Russian Federation in Region 1 and China in Region 3. These three countries share long territorial borders. Currently there are 5</w:t>
      </w:r>
      <w:r w:rsidR="003A5E32">
        <w:rPr>
          <w:szCs w:val="24"/>
          <w:lang w:eastAsia="en-IE"/>
        </w:rPr>
        <w:t> </w:t>
      </w:r>
      <w:r>
        <w:rPr>
          <w:szCs w:val="24"/>
          <w:lang w:eastAsia="en-IE"/>
        </w:rPr>
        <w:t xml:space="preserve">783 amateur licences in the provinces adjacent to that part of the border in China, together with significant numbers of TV broadcasting stations. No complaints on interference issues between stations of the amateur service and the broadcasting service in that part of China </w:t>
      </w:r>
      <w:proofErr w:type="gramStart"/>
      <w:r>
        <w:rPr>
          <w:szCs w:val="24"/>
          <w:lang w:eastAsia="en-IE"/>
        </w:rPr>
        <w:t>have been received</w:t>
      </w:r>
      <w:proofErr w:type="gramEnd"/>
      <w:r>
        <w:rPr>
          <w:szCs w:val="24"/>
          <w:lang w:eastAsia="en-IE"/>
        </w:rPr>
        <w:t xml:space="preserve"> by the administration of China.</w:t>
      </w:r>
    </w:p>
    <w:p w14:paraId="7DA2BFBF" w14:textId="706179F8" w:rsidR="001E18E1" w:rsidRPr="00FE46A5" w:rsidRDefault="001E18E1" w:rsidP="003A5E32">
      <w:pPr>
        <w:spacing w:before="240" w:after="240"/>
        <w:rPr>
          <w:i/>
          <w:szCs w:val="24"/>
          <w:lang w:eastAsia="en-IE"/>
        </w:rPr>
      </w:pPr>
      <w:r w:rsidRPr="00FE46A5">
        <w:rPr>
          <w:i/>
          <w:szCs w:val="24"/>
          <w:highlight w:val="yellow"/>
          <w:lang w:eastAsia="en-IE"/>
        </w:rPr>
        <w:t xml:space="preserve">Editor’s note: </w:t>
      </w:r>
      <w:r w:rsidR="003A5E32" w:rsidRPr="00FE46A5">
        <w:rPr>
          <w:i/>
          <w:szCs w:val="24"/>
          <w:highlight w:val="yellow"/>
          <w:lang w:eastAsia="en-IE"/>
        </w:rPr>
        <w:t xml:space="preserve">Need </w:t>
      </w:r>
      <w:r w:rsidRPr="00FE46A5">
        <w:rPr>
          <w:i/>
          <w:szCs w:val="24"/>
          <w:highlight w:val="yellow"/>
          <w:lang w:eastAsia="en-IE"/>
        </w:rPr>
        <w:t>more information about sharing, when, how and where.</w:t>
      </w:r>
    </w:p>
    <w:p w14:paraId="2CA56A42" w14:textId="68CEA711" w:rsidR="00844CEA" w:rsidRPr="00192CBB" w:rsidRDefault="00F32260" w:rsidP="003A5E32">
      <w:pPr>
        <w:pStyle w:val="Heading2"/>
      </w:pPr>
      <w:bookmarkStart w:id="75" w:name="_Toc467231975"/>
      <w:bookmarkStart w:id="76" w:name="_Toc467487686"/>
      <w:r>
        <w:t>9.6</w:t>
      </w:r>
      <w:r w:rsidR="00844CEA" w:rsidRPr="00192CBB">
        <w:tab/>
        <w:t xml:space="preserve">Sharing </w:t>
      </w:r>
      <w:r w:rsidR="00844CEA" w:rsidRPr="003A5E32">
        <w:t>between</w:t>
      </w:r>
      <w:r w:rsidR="00844CEA" w:rsidRPr="00192CBB">
        <w:t xml:space="preserve"> </w:t>
      </w:r>
      <w:r w:rsidR="009E7630" w:rsidRPr="00192CBB">
        <w:t>the b</w:t>
      </w:r>
      <w:r w:rsidR="00844CEA" w:rsidRPr="00192CBB">
        <w:t>roadcasting</w:t>
      </w:r>
      <w:r w:rsidR="009E7630" w:rsidRPr="00192CBB">
        <w:t xml:space="preserve"> service in Region 1 and </w:t>
      </w:r>
      <w:r>
        <w:t xml:space="preserve">the </w:t>
      </w:r>
      <w:r w:rsidR="009E7630" w:rsidRPr="00192CBB">
        <w:t>a</w:t>
      </w:r>
      <w:r w:rsidR="00844CEA" w:rsidRPr="00192CBB">
        <w:t xml:space="preserve">mateur </w:t>
      </w:r>
      <w:r w:rsidR="009E7630" w:rsidRPr="00192CBB">
        <w:t xml:space="preserve">service </w:t>
      </w:r>
      <w:r w:rsidR="00844CEA" w:rsidRPr="00192CBB">
        <w:t>in Region 2</w:t>
      </w:r>
      <w:bookmarkEnd w:id="75"/>
      <w:bookmarkEnd w:id="76"/>
    </w:p>
    <w:p w14:paraId="5748DBBB" w14:textId="6EA8BD5D" w:rsidR="00104B19" w:rsidRDefault="006E75B5" w:rsidP="00844CEA">
      <w:pPr>
        <w:rPr>
          <w:szCs w:val="24"/>
          <w:lang w:eastAsia="en-IE"/>
        </w:rPr>
      </w:pPr>
      <w:r>
        <w:rPr>
          <w:szCs w:val="24"/>
          <w:lang w:eastAsia="en-IE"/>
        </w:rPr>
        <w:t>[</w:t>
      </w:r>
      <w:r w:rsidR="00844CEA" w:rsidRPr="00604A14">
        <w:rPr>
          <w:szCs w:val="24"/>
          <w:lang w:eastAsia="en-IE"/>
        </w:rPr>
        <w:t>A similar situation exists between the Russian Federation in Region 1 and the United States in Region 2 where the amateur service has operated for many ye</w:t>
      </w:r>
      <w:r w:rsidR="00BE140E">
        <w:rPr>
          <w:szCs w:val="24"/>
          <w:lang w:eastAsia="en-IE"/>
        </w:rPr>
        <w:t xml:space="preserve">ars on a primary basis in the </w:t>
      </w:r>
      <w:r w:rsidR="00844CEA">
        <w:rPr>
          <w:szCs w:val="24"/>
          <w:lang w:eastAsia="en-IE"/>
        </w:rPr>
        <w:t>50</w:t>
      </w:r>
      <w:r w:rsidR="00844CEA">
        <w:rPr>
          <w:szCs w:val="24"/>
          <w:lang w:eastAsia="en-IE"/>
        </w:rPr>
        <w:noBreakHyphen/>
      </w:r>
      <w:r w:rsidR="00844CEA" w:rsidRPr="00604A14">
        <w:rPr>
          <w:szCs w:val="24"/>
          <w:lang w:eastAsia="en-IE"/>
        </w:rPr>
        <w:t>54</w:t>
      </w:r>
      <w:r w:rsidR="006F3AAD">
        <w:rPr>
          <w:szCs w:val="24"/>
          <w:lang w:eastAsia="en-IE"/>
        </w:rPr>
        <w:t> </w:t>
      </w:r>
      <w:r w:rsidR="00844CEA" w:rsidRPr="00604A14">
        <w:rPr>
          <w:szCs w:val="24"/>
          <w:lang w:eastAsia="en-IE"/>
        </w:rPr>
        <w:t>MHz</w:t>
      </w:r>
      <w:r w:rsidR="00BE140E">
        <w:rPr>
          <w:szCs w:val="24"/>
          <w:lang w:eastAsia="en-IE"/>
        </w:rPr>
        <w:t xml:space="preserve"> frequency band</w:t>
      </w:r>
      <w:r w:rsidR="00844CEA" w:rsidRPr="00604A14">
        <w:rPr>
          <w:szCs w:val="24"/>
          <w:lang w:eastAsia="en-IE"/>
        </w:rPr>
        <w:t xml:space="preserve">. Here the closest distance is 83 km across the Bering Strait. The main difference between Japan and the United States would be a smaller density of amateur service </w:t>
      </w:r>
      <w:r w:rsidR="00BE140E">
        <w:rPr>
          <w:szCs w:val="24"/>
          <w:lang w:eastAsia="en-IE"/>
        </w:rPr>
        <w:t>stations</w:t>
      </w:r>
      <w:r w:rsidR="00844CEA" w:rsidRPr="00604A14">
        <w:rPr>
          <w:szCs w:val="24"/>
          <w:lang w:eastAsia="en-IE"/>
        </w:rPr>
        <w:t xml:space="preserve"> per square kilometre in the State of Alaska.</w:t>
      </w:r>
      <w:r w:rsidR="00563A6A">
        <w:rPr>
          <w:szCs w:val="24"/>
          <w:lang w:eastAsia="en-IE"/>
        </w:rPr>
        <w:t xml:space="preserve"> As of November 2016 the US regulator has recorded about 3</w:t>
      </w:r>
      <w:r w:rsidR="00F60EC2">
        <w:rPr>
          <w:szCs w:val="24"/>
          <w:lang w:eastAsia="en-IE"/>
        </w:rPr>
        <w:t> </w:t>
      </w:r>
      <w:r w:rsidR="00563A6A">
        <w:rPr>
          <w:szCs w:val="24"/>
          <w:lang w:eastAsia="en-IE"/>
        </w:rPr>
        <w:t>800 amateur licences in the State of Alaska</w:t>
      </w:r>
      <w:r w:rsidR="00BE140E">
        <w:rPr>
          <w:szCs w:val="24"/>
          <w:lang w:eastAsia="en-IE"/>
        </w:rPr>
        <w:t>]</w:t>
      </w:r>
    </w:p>
    <w:p w14:paraId="60EA2E35" w14:textId="1DC9C416" w:rsidR="00844CEA" w:rsidRPr="00FE46A5" w:rsidRDefault="006F3AAD" w:rsidP="003A5E32">
      <w:pPr>
        <w:spacing w:before="240" w:after="240"/>
        <w:rPr>
          <w:b/>
          <w:i/>
          <w:szCs w:val="24"/>
        </w:rPr>
      </w:pPr>
      <w:r w:rsidRPr="00104B19">
        <w:rPr>
          <w:i/>
          <w:szCs w:val="24"/>
          <w:highlight w:val="yellow"/>
          <w:lang w:eastAsia="en-IE"/>
        </w:rPr>
        <w:t xml:space="preserve">Editor’s </w:t>
      </w:r>
      <w:r w:rsidR="00570E14" w:rsidRPr="00FE46A5">
        <w:rPr>
          <w:i/>
          <w:szCs w:val="24"/>
          <w:highlight w:val="yellow"/>
          <w:lang w:eastAsia="en-IE"/>
        </w:rPr>
        <w:t>note:</w:t>
      </w:r>
      <w:r w:rsidR="00BE140E" w:rsidRPr="00FE46A5">
        <w:rPr>
          <w:i/>
          <w:szCs w:val="24"/>
          <w:highlight w:val="yellow"/>
          <w:lang w:eastAsia="en-IE"/>
        </w:rPr>
        <w:t xml:space="preserve"> </w:t>
      </w:r>
      <w:r w:rsidRPr="00104B19">
        <w:rPr>
          <w:i/>
          <w:szCs w:val="24"/>
          <w:highlight w:val="yellow"/>
          <w:lang w:eastAsia="en-IE"/>
        </w:rPr>
        <w:t xml:space="preserve">Sections </w:t>
      </w:r>
      <w:r w:rsidR="00104B19" w:rsidRPr="00FE46A5">
        <w:rPr>
          <w:i/>
          <w:szCs w:val="24"/>
          <w:highlight w:val="yellow"/>
          <w:lang w:eastAsia="en-IE"/>
        </w:rPr>
        <w:t xml:space="preserve">9.5 &amp; 9.6 need additional information for relevance, esp. if there </w:t>
      </w:r>
      <w:proofErr w:type="gramStart"/>
      <w:r w:rsidR="00104B19" w:rsidRPr="00FE46A5">
        <w:rPr>
          <w:i/>
          <w:szCs w:val="24"/>
          <w:highlight w:val="yellow"/>
          <w:lang w:eastAsia="en-IE"/>
        </w:rPr>
        <w:t>are</w:t>
      </w:r>
      <w:proofErr w:type="gramEnd"/>
      <w:r w:rsidR="00104B19" w:rsidRPr="00FE46A5">
        <w:rPr>
          <w:i/>
          <w:szCs w:val="24"/>
          <w:highlight w:val="yellow"/>
          <w:lang w:eastAsia="en-IE"/>
        </w:rPr>
        <w:t xml:space="preserve"> broadcasting stations in existence or planned near Japan or Alaska.</w:t>
      </w:r>
      <w:r w:rsidR="00104B19" w:rsidRPr="00FE46A5">
        <w:rPr>
          <w:i/>
          <w:szCs w:val="24"/>
          <w:lang w:eastAsia="en-IE"/>
        </w:rPr>
        <w:t xml:space="preserve"> </w:t>
      </w:r>
    </w:p>
    <w:p w14:paraId="73E218EC" w14:textId="3225D9CA" w:rsidR="00F32260" w:rsidRDefault="00F32260" w:rsidP="00844CEA">
      <w:pPr>
        <w:pStyle w:val="Heading1"/>
      </w:pPr>
      <w:bookmarkStart w:id="77" w:name="_Toc467231976"/>
      <w:bookmarkStart w:id="78" w:name="_Toc467487687"/>
      <w:r>
        <w:lastRenderedPageBreak/>
        <w:t>10</w:t>
      </w:r>
      <w:r w:rsidR="00844CEA" w:rsidRPr="00F32260">
        <w:tab/>
        <w:t>Summary</w:t>
      </w:r>
      <w:bookmarkEnd w:id="77"/>
      <w:bookmarkEnd w:id="78"/>
      <w:r w:rsidR="00570E14">
        <w:t xml:space="preserve"> </w:t>
      </w:r>
    </w:p>
    <w:p w14:paraId="12FB84FE" w14:textId="697EFF5E" w:rsidR="00844CEA" w:rsidRPr="00FE46A5" w:rsidRDefault="006F3AAD" w:rsidP="00F60EC2">
      <w:pPr>
        <w:keepNext/>
        <w:keepLines/>
        <w:spacing w:before="240" w:after="240"/>
        <w:rPr>
          <w:i/>
          <w:lang w:eastAsia="en-IE"/>
        </w:rPr>
      </w:pPr>
      <w:r w:rsidRPr="00FE46A5">
        <w:rPr>
          <w:i/>
          <w:highlight w:val="yellow"/>
          <w:lang w:eastAsia="en-IE"/>
        </w:rPr>
        <w:t xml:space="preserve">Editor’s </w:t>
      </w:r>
      <w:r w:rsidR="00570E14" w:rsidRPr="00FE46A5">
        <w:rPr>
          <w:i/>
          <w:highlight w:val="yellow"/>
          <w:lang w:eastAsia="en-IE"/>
        </w:rPr>
        <w:t xml:space="preserve">note: </w:t>
      </w:r>
      <w:r w:rsidRPr="00FE46A5">
        <w:rPr>
          <w:i/>
          <w:highlight w:val="yellow"/>
          <w:lang w:eastAsia="en-IE"/>
        </w:rPr>
        <w:t xml:space="preserve">Summary </w:t>
      </w:r>
      <w:r w:rsidR="00570E14" w:rsidRPr="00FE46A5">
        <w:rPr>
          <w:i/>
          <w:highlight w:val="yellow"/>
          <w:lang w:eastAsia="en-IE"/>
        </w:rPr>
        <w:t>text will change as studies progress</w:t>
      </w:r>
      <w:r w:rsidR="00563A6A" w:rsidRPr="00FE46A5">
        <w:rPr>
          <w:b/>
          <w:i/>
          <w:lang w:eastAsia="en-IE"/>
        </w:rPr>
        <w:t xml:space="preserve"> </w:t>
      </w:r>
    </w:p>
    <w:p w14:paraId="1AD12309" w14:textId="422DE3D3" w:rsidR="00844CEA" w:rsidRPr="00604A14" w:rsidRDefault="0038713A" w:rsidP="00844CEA">
      <w:pPr>
        <w:rPr>
          <w:szCs w:val="24"/>
          <w:lang w:eastAsia="en-IE"/>
        </w:rPr>
      </w:pPr>
      <w:r>
        <w:rPr>
          <w:szCs w:val="24"/>
          <w:lang w:eastAsia="en-IE"/>
        </w:rPr>
        <w:t>[</w:t>
      </w:r>
      <w:r w:rsidR="00844CEA" w:rsidRPr="00604A14">
        <w:rPr>
          <w:szCs w:val="24"/>
          <w:lang w:eastAsia="en-IE"/>
        </w:rPr>
        <w:t>An examination has been made of the switchover from analogue to digital terrestrial television broadcasting and concludes that it is hig</w:t>
      </w:r>
      <w:r w:rsidR="00844CEA">
        <w:rPr>
          <w:szCs w:val="24"/>
          <w:lang w:eastAsia="en-IE"/>
        </w:rPr>
        <w:t>hly unlikely that the band 50–</w:t>
      </w:r>
      <w:r w:rsidR="00844CEA" w:rsidRPr="00604A14">
        <w:rPr>
          <w:szCs w:val="24"/>
          <w:lang w:eastAsia="en-IE"/>
        </w:rPr>
        <w:t xml:space="preserve">54 MHz will be utilised for digital television broadcasting in the future in Region 1. </w:t>
      </w:r>
      <w:proofErr w:type="gramStart"/>
      <w:r w:rsidR="00844CEA" w:rsidRPr="00604A14">
        <w:rPr>
          <w:szCs w:val="24"/>
          <w:lang w:eastAsia="en-IE"/>
        </w:rPr>
        <w:t>Nevertheless</w:t>
      </w:r>
      <w:proofErr w:type="gramEnd"/>
      <w:r w:rsidR="00844CEA" w:rsidRPr="00604A14">
        <w:rPr>
          <w:szCs w:val="24"/>
          <w:lang w:eastAsia="en-IE"/>
        </w:rPr>
        <w:t xml:space="preserve"> there remain a large number of operational analogue television transmitters in a small number of countries.</w:t>
      </w:r>
    </w:p>
    <w:p w14:paraId="6439CB9C" w14:textId="7589DC3B" w:rsidR="00844CEA" w:rsidRDefault="00844CEA" w:rsidP="00844CEA">
      <w:pPr>
        <w:rPr>
          <w:szCs w:val="24"/>
          <w:lang w:eastAsia="en-IE"/>
        </w:rPr>
      </w:pPr>
      <w:r w:rsidRPr="00604A14">
        <w:rPr>
          <w:szCs w:val="24"/>
          <w:lang w:eastAsia="en-IE"/>
        </w:rPr>
        <w:t>Sharing between analogue television and the amateur service is not new in this frequency band and examples have been provided of how sharing currently exists on an inter-regional basis.</w:t>
      </w:r>
      <w:r w:rsidR="0038713A">
        <w:rPr>
          <w:szCs w:val="24"/>
          <w:lang w:eastAsia="en-IE"/>
        </w:rPr>
        <w:t>]</w:t>
      </w:r>
    </w:p>
    <w:sectPr w:rsidR="00844CEA"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8447F" w14:textId="77777777" w:rsidR="00B16FF4" w:rsidRDefault="00B16FF4">
      <w:r>
        <w:separator/>
      </w:r>
    </w:p>
  </w:endnote>
  <w:endnote w:type="continuationSeparator" w:id="0">
    <w:p w14:paraId="31622D51" w14:textId="77777777" w:rsidR="00B16FF4" w:rsidRDefault="00B1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B2C3F" w14:textId="3838AD19" w:rsidR="00B16FF4" w:rsidRPr="00D11754" w:rsidRDefault="00B16FF4" w:rsidP="00B16FF4">
    <w:pPr>
      <w:pStyle w:val="Footer"/>
    </w:pPr>
    <w:fldSimple w:instr=" FILENAME \p  \* MERGEFORMAT ">
      <w:r>
        <w:t>M:\BRSGD\TEXT2016\SG05\WP5A\200\298\298N14e.docx</w:t>
      </w:r>
    </w:fldSimple>
    <w:r>
      <w:tab/>
    </w:r>
    <w:r>
      <w:fldChar w:fldCharType="begin"/>
    </w:r>
    <w:r>
      <w:instrText xml:space="preserve"> SAVEDATE \@ DD.MM.YY </w:instrText>
    </w:r>
    <w:r>
      <w:fldChar w:fldCharType="separate"/>
    </w:r>
    <w:r>
      <w:t>21.11.16</w:t>
    </w:r>
    <w:r>
      <w:fldChar w:fldCharType="end"/>
    </w:r>
    <w:r>
      <w:tab/>
    </w:r>
    <w:r>
      <w:fldChar w:fldCharType="begin"/>
    </w:r>
    <w:r>
      <w:instrText xml:space="preserve"> PRINTDATE \@ DD.MM.YY </w:instrText>
    </w:r>
    <w:r>
      <w:fldChar w:fldCharType="separate"/>
    </w:r>
    <w:r>
      <w:t>21.11.16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959F" w14:textId="69ED0ED9" w:rsidR="00B16FF4" w:rsidRPr="001D3240" w:rsidRDefault="00B16FF4" w:rsidP="00B16FF4">
    <w:pPr>
      <w:pStyle w:val="Footer"/>
    </w:pPr>
    <w:fldSimple w:instr=" FILENAME \p  \* MERGEFORMAT ">
      <w:r>
        <w:t>M:\BRSGD\TEXT2016\SG05\WP5A\200\298\298N14e.docx</w:t>
      </w:r>
    </w:fldSimple>
    <w:r>
      <w:tab/>
    </w:r>
    <w:r>
      <w:fldChar w:fldCharType="begin"/>
    </w:r>
    <w:r>
      <w:instrText xml:space="preserve"> SAVEDATE \@ DD.MM.YY </w:instrText>
    </w:r>
    <w:r>
      <w:fldChar w:fldCharType="separate"/>
    </w:r>
    <w:r>
      <w:t>21.11.16</w:t>
    </w:r>
    <w:r>
      <w:fldChar w:fldCharType="end"/>
    </w:r>
    <w:r>
      <w:tab/>
    </w:r>
    <w:r>
      <w:fldChar w:fldCharType="begin"/>
    </w:r>
    <w:r>
      <w:instrText xml:space="preserve"> PRINTDATE \@ DD.MM.YY </w:instrText>
    </w:r>
    <w:r>
      <w:fldChar w:fldCharType="separate"/>
    </w:r>
    <w:r>
      <w:t>21.11.16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0BDB1" w14:textId="77777777" w:rsidR="00B16FF4" w:rsidRDefault="00B16FF4">
      <w:r>
        <w:t>____________________</w:t>
      </w:r>
    </w:p>
  </w:footnote>
  <w:footnote w:type="continuationSeparator" w:id="0">
    <w:p w14:paraId="7DB911EF" w14:textId="77777777" w:rsidR="00B16FF4" w:rsidRDefault="00B1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D7954" w14:textId="37B01002" w:rsidR="00B16FF4" w:rsidRDefault="00B16FF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72CB5">
      <w:rPr>
        <w:rStyle w:val="PageNumber"/>
        <w:noProof/>
      </w:rPr>
      <w:t>2</w:t>
    </w:r>
    <w:r>
      <w:rPr>
        <w:rStyle w:val="PageNumber"/>
      </w:rPr>
      <w:fldChar w:fldCharType="end"/>
    </w:r>
    <w:r>
      <w:rPr>
        <w:rStyle w:val="PageNumber"/>
      </w:rPr>
      <w:t xml:space="preserve"> -</w:t>
    </w:r>
  </w:p>
  <w:p w14:paraId="061466C8" w14:textId="1AA0F2A0" w:rsidR="00B16FF4" w:rsidRDefault="00B16FF4" w:rsidP="00AE5011">
    <w:pPr>
      <w:pStyle w:val="Header"/>
      <w:rPr>
        <w:lang w:val="en-US"/>
      </w:rPr>
    </w:pPr>
    <w:r>
      <w:rPr>
        <w:lang w:val="en-US"/>
      </w:rPr>
      <w:t>5A/298 (Annex 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26E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6D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018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8C6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A85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4CB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7645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1A5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A08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38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7D17"/>
    <w:multiLevelType w:val="hybridMultilevel"/>
    <w:tmpl w:val="6ECE6478"/>
    <w:lvl w:ilvl="0" w:tplc="4D1EF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32D75"/>
    <w:multiLevelType w:val="hybridMultilevel"/>
    <w:tmpl w:val="2D521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146AB"/>
    <w:multiLevelType w:val="hybridMultilevel"/>
    <w:tmpl w:val="58D44FB2"/>
    <w:lvl w:ilvl="0" w:tplc="4F78110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CC6645"/>
    <w:multiLevelType w:val="hybridMultilevel"/>
    <w:tmpl w:val="48487764"/>
    <w:lvl w:ilvl="0" w:tplc="04090001">
      <w:start w:val="1"/>
      <w:numFmt w:val="bullet"/>
      <w:lvlText w:val=""/>
      <w:lvlJc w:val="left"/>
      <w:pPr>
        <w:ind w:left="1500" w:hanging="11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70625"/>
    <w:multiLevelType w:val="hybridMultilevel"/>
    <w:tmpl w:val="8EA000F2"/>
    <w:lvl w:ilvl="0" w:tplc="83A4CCB4">
      <w:numFmt w:val="bullet"/>
      <w:lvlText w:val="–"/>
      <w:lvlJc w:val="left"/>
      <w:pPr>
        <w:ind w:left="1500" w:hanging="114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B7577"/>
    <w:multiLevelType w:val="hybridMultilevel"/>
    <w:tmpl w:val="5CA2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06F1D"/>
    <w:multiLevelType w:val="hybridMultilevel"/>
    <w:tmpl w:val="1A662FB2"/>
    <w:lvl w:ilvl="0" w:tplc="4D1EF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425D3"/>
    <w:multiLevelType w:val="multilevel"/>
    <w:tmpl w:val="E3608736"/>
    <w:lvl w:ilvl="0">
      <w:start w:val="1"/>
      <w:numFmt w:val="decimal"/>
      <w:lvlText w:val="%1"/>
      <w:lvlJc w:val="left"/>
      <w:pPr>
        <w:ind w:left="1500" w:hanging="1140"/>
      </w:pPr>
      <w:rPr>
        <w:rFonts w:hint="default"/>
      </w:rPr>
    </w:lvl>
    <w:lvl w:ilvl="1">
      <w:start w:val="2"/>
      <w:numFmt w:val="decimal"/>
      <w:isLgl/>
      <w:lvlText w:val="%1.%2"/>
      <w:lvlJc w:val="left"/>
      <w:pPr>
        <w:ind w:left="1875" w:hanging="735"/>
      </w:pPr>
      <w:rPr>
        <w:rFonts w:hint="default"/>
      </w:rPr>
    </w:lvl>
    <w:lvl w:ilvl="2">
      <w:start w:val="1"/>
      <w:numFmt w:val="decimal"/>
      <w:isLgl/>
      <w:lvlText w:val="%1.%2.%3"/>
      <w:lvlJc w:val="left"/>
      <w:pPr>
        <w:ind w:left="2655" w:hanging="735"/>
      </w:pPr>
      <w:rPr>
        <w:rFonts w:hint="default"/>
      </w:rPr>
    </w:lvl>
    <w:lvl w:ilvl="3">
      <w:start w:val="1"/>
      <w:numFmt w:val="decimal"/>
      <w:isLgl/>
      <w:lvlText w:val="%1.%2.%3.%4"/>
      <w:lvlJc w:val="left"/>
      <w:pPr>
        <w:ind w:left="3435" w:hanging="735"/>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8" w15:restartNumberingAfterBreak="0">
    <w:nsid w:val="345F6C8C"/>
    <w:multiLevelType w:val="multilevel"/>
    <w:tmpl w:val="E3608736"/>
    <w:lvl w:ilvl="0">
      <w:start w:val="1"/>
      <w:numFmt w:val="decimal"/>
      <w:lvlText w:val="%1"/>
      <w:lvlJc w:val="left"/>
      <w:pPr>
        <w:ind w:left="1500" w:hanging="1140"/>
      </w:pPr>
      <w:rPr>
        <w:rFonts w:hint="default"/>
      </w:rPr>
    </w:lvl>
    <w:lvl w:ilvl="1">
      <w:start w:val="2"/>
      <w:numFmt w:val="decimal"/>
      <w:isLgl/>
      <w:lvlText w:val="%1.%2"/>
      <w:lvlJc w:val="left"/>
      <w:pPr>
        <w:ind w:left="1875" w:hanging="735"/>
      </w:pPr>
      <w:rPr>
        <w:rFonts w:hint="default"/>
      </w:rPr>
    </w:lvl>
    <w:lvl w:ilvl="2">
      <w:start w:val="1"/>
      <w:numFmt w:val="decimal"/>
      <w:isLgl/>
      <w:lvlText w:val="%1.%2.%3"/>
      <w:lvlJc w:val="left"/>
      <w:pPr>
        <w:ind w:left="2655" w:hanging="735"/>
      </w:pPr>
      <w:rPr>
        <w:rFonts w:hint="default"/>
      </w:rPr>
    </w:lvl>
    <w:lvl w:ilvl="3">
      <w:start w:val="1"/>
      <w:numFmt w:val="decimal"/>
      <w:isLgl/>
      <w:lvlText w:val="%1.%2.%3.%4"/>
      <w:lvlJc w:val="left"/>
      <w:pPr>
        <w:ind w:left="3435" w:hanging="735"/>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19" w15:restartNumberingAfterBreak="0">
    <w:nsid w:val="39E41576"/>
    <w:multiLevelType w:val="hybridMultilevel"/>
    <w:tmpl w:val="24BA71C8"/>
    <w:lvl w:ilvl="0" w:tplc="04090001">
      <w:start w:val="1"/>
      <w:numFmt w:val="bullet"/>
      <w:lvlText w:val=""/>
      <w:lvlJc w:val="left"/>
      <w:pPr>
        <w:ind w:left="1500" w:hanging="11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82752"/>
    <w:multiLevelType w:val="hybridMultilevel"/>
    <w:tmpl w:val="18A6EC22"/>
    <w:lvl w:ilvl="0" w:tplc="80DE27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12B4B"/>
    <w:multiLevelType w:val="hybridMultilevel"/>
    <w:tmpl w:val="49A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837E8"/>
    <w:multiLevelType w:val="hybridMultilevel"/>
    <w:tmpl w:val="3500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B2132"/>
    <w:multiLevelType w:val="hybridMultilevel"/>
    <w:tmpl w:val="4350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A528FE"/>
    <w:multiLevelType w:val="hybridMultilevel"/>
    <w:tmpl w:val="866A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433AC"/>
    <w:multiLevelType w:val="hybridMultilevel"/>
    <w:tmpl w:val="3060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A63C4"/>
    <w:multiLevelType w:val="hybridMultilevel"/>
    <w:tmpl w:val="EAB01AB4"/>
    <w:lvl w:ilvl="0" w:tplc="AB2E9866">
      <w:numFmt w:val="bullet"/>
      <w:lvlText w:val="–"/>
      <w:lvlJc w:val="left"/>
      <w:pPr>
        <w:ind w:left="1500" w:hanging="114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6"/>
  </w:num>
  <w:num w:numId="18">
    <w:abstractNumId w:val="13"/>
  </w:num>
  <w:num w:numId="19">
    <w:abstractNumId w:val="23"/>
  </w:num>
  <w:num w:numId="20">
    <w:abstractNumId w:val="14"/>
  </w:num>
  <w:num w:numId="21">
    <w:abstractNumId w:val="19"/>
  </w:num>
  <w:num w:numId="22">
    <w:abstractNumId w:val="11"/>
  </w:num>
  <w:num w:numId="23">
    <w:abstractNumId w:val="25"/>
  </w:num>
  <w:num w:numId="24">
    <w:abstractNumId w:val="20"/>
  </w:num>
  <w:num w:numId="25">
    <w:abstractNumId w:val="24"/>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activeWritingStyle w:appName="MSWord" w:lang="fr-FR" w:vendorID="64" w:dllVersion="131078" w:nlCheck="1" w:checkStyle="0"/>
  <w:activeWritingStyle w:appName="MSWord" w:lang="fr-CH" w:vendorID="64" w:dllVersion="131078" w:nlCheck="1" w:checkStyle="1"/>
  <w:activeWritingStyle w:appName="MSWord" w:lang="en-AU" w:vendorID="64" w:dllVersion="131078" w:nlCheck="1" w:checkStyle="0"/>
  <w:activeWritingStyle w:appName="MSWord" w:lang="en-CA"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2E"/>
    <w:rsid w:val="0000431D"/>
    <w:rsid w:val="000069D4"/>
    <w:rsid w:val="000174AD"/>
    <w:rsid w:val="0003367A"/>
    <w:rsid w:val="00047A1D"/>
    <w:rsid w:val="000604B9"/>
    <w:rsid w:val="000735B9"/>
    <w:rsid w:val="00094B71"/>
    <w:rsid w:val="000A7D55"/>
    <w:rsid w:val="000C2E8E"/>
    <w:rsid w:val="000E0E7C"/>
    <w:rsid w:val="000E7C77"/>
    <w:rsid w:val="000F1B4B"/>
    <w:rsid w:val="00104B19"/>
    <w:rsid w:val="00112734"/>
    <w:rsid w:val="0012744F"/>
    <w:rsid w:val="00131178"/>
    <w:rsid w:val="001549CF"/>
    <w:rsid w:val="00156F66"/>
    <w:rsid w:val="00163271"/>
    <w:rsid w:val="00182528"/>
    <w:rsid w:val="0018500B"/>
    <w:rsid w:val="00192CBB"/>
    <w:rsid w:val="00196A19"/>
    <w:rsid w:val="001C16FE"/>
    <w:rsid w:val="001D120B"/>
    <w:rsid w:val="001D3240"/>
    <w:rsid w:val="001D46CF"/>
    <w:rsid w:val="001E18E1"/>
    <w:rsid w:val="001E2E92"/>
    <w:rsid w:val="00202DC1"/>
    <w:rsid w:val="002116EE"/>
    <w:rsid w:val="002309D8"/>
    <w:rsid w:val="00230BDC"/>
    <w:rsid w:val="00290A59"/>
    <w:rsid w:val="00295860"/>
    <w:rsid w:val="002A7FE2"/>
    <w:rsid w:val="002B15BD"/>
    <w:rsid w:val="002C03CD"/>
    <w:rsid w:val="002C43D3"/>
    <w:rsid w:val="002E1B4F"/>
    <w:rsid w:val="002F2E67"/>
    <w:rsid w:val="002F7CB3"/>
    <w:rsid w:val="00315546"/>
    <w:rsid w:val="0032086F"/>
    <w:rsid w:val="00330567"/>
    <w:rsid w:val="0034349B"/>
    <w:rsid w:val="00374207"/>
    <w:rsid w:val="00386A9D"/>
    <w:rsid w:val="0038713A"/>
    <w:rsid w:val="00391081"/>
    <w:rsid w:val="00395706"/>
    <w:rsid w:val="003A4530"/>
    <w:rsid w:val="003A5E32"/>
    <w:rsid w:val="003B2789"/>
    <w:rsid w:val="003B66CD"/>
    <w:rsid w:val="003C13CE"/>
    <w:rsid w:val="003E2518"/>
    <w:rsid w:val="003E45D0"/>
    <w:rsid w:val="003E7CEF"/>
    <w:rsid w:val="003F2A61"/>
    <w:rsid w:val="00424761"/>
    <w:rsid w:val="0044267A"/>
    <w:rsid w:val="00446AEC"/>
    <w:rsid w:val="004B1700"/>
    <w:rsid w:val="004B1EF7"/>
    <w:rsid w:val="004B3FAD"/>
    <w:rsid w:val="00501DCA"/>
    <w:rsid w:val="00513A47"/>
    <w:rsid w:val="00521D1B"/>
    <w:rsid w:val="005408DF"/>
    <w:rsid w:val="00563A6A"/>
    <w:rsid w:val="00570E14"/>
    <w:rsid w:val="005718A9"/>
    <w:rsid w:val="00573344"/>
    <w:rsid w:val="0057692F"/>
    <w:rsid w:val="00583F9B"/>
    <w:rsid w:val="005E5C10"/>
    <w:rsid w:val="005F2C78"/>
    <w:rsid w:val="006144E4"/>
    <w:rsid w:val="0064603D"/>
    <w:rsid w:val="00650299"/>
    <w:rsid w:val="00651F08"/>
    <w:rsid w:val="00655FC5"/>
    <w:rsid w:val="006E75B5"/>
    <w:rsid w:val="006F3AAD"/>
    <w:rsid w:val="00707FE1"/>
    <w:rsid w:val="0077304C"/>
    <w:rsid w:val="007775E0"/>
    <w:rsid w:val="007C7F64"/>
    <w:rsid w:val="007D6865"/>
    <w:rsid w:val="007E20ED"/>
    <w:rsid w:val="00814E0A"/>
    <w:rsid w:val="00822581"/>
    <w:rsid w:val="008309DD"/>
    <w:rsid w:val="0083227A"/>
    <w:rsid w:val="00844CEA"/>
    <w:rsid w:val="00853C9F"/>
    <w:rsid w:val="008563C4"/>
    <w:rsid w:val="00866900"/>
    <w:rsid w:val="00881BA1"/>
    <w:rsid w:val="008C26B8"/>
    <w:rsid w:val="008F208F"/>
    <w:rsid w:val="00982084"/>
    <w:rsid w:val="00990A5C"/>
    <w:rsid w:val="00990A80"/>
    <w:rsid w:val="00995963"/>
    <w:rsid w:val="009B61EB"/>
    <w:rsid w:val="009C2064"/>
    <w:rsid w:val="009D1697"/>
    <w:rsid w:val="009D2F73"/>
    <w:rsid w:val="009E7630"/>
    <w:rsid w:val="009F3A46"/>
    <w:rsid w:val="00A014F8"/>
    <w:rsid w:val="00A20F98"/>
    <w:rsid w:val="00A5173C"/>
    <w:rsid w:val="00A61AEF"/>
    <w:rsid w:val="00A81607"/>
    <w:rsid w:val="00A86133"/>
    <w:rsid w:val="00AD2345"/>
    <w:rsid w:val="00AD405D"/>
    <w:rsid w:val="00AE5011"/>
    <w:rsid w:val="00AE72CB"/>
    <w:rsid w:val="00AF173A"/>
    <w:rsid w:val="00B00E16"/>
    <w:rsid w:val="00B02723"/>
    <w:rsid w:val="00B04B8F"/>
    <w:rsid w:val="00B066A4"/>
    <w:rsid w:val="00B07A13"/>
    <w:rsid w:val="00B1239A"/>
    <w:rsid w:val="00B16FF4"/>
    <w:rsid w:val="00B4279B"/>
    <w:rsid w:val="00B45FC9"/>
    <w:rsid w:val="00B81138"/>
    <w:rsid w:val="00B935AF"/>
    <w:rsid w:val="00BC7CCF"/>
    <w:rsid w:val="00BD5BAF"/>
    <w:rsid w:val="00BE140E"/>
    <w:rsid w:val="00BE470B"/>
    <w:rsid w:val="00BE6647"/>
    <w:rsid w:val="00C02C60"/>
    <w:rsid w:val="00C40E63"/>
    <w:rsid w:val="00C45CE0"/>
    <w:rsid w:val="00C57A91"/>
    <w:rsid w:val="00C66D09"/>
    <w:rsid w:val="00C72CB5"/>
    <w:rsid w:val="00C7761F"/>
    <w:rsid w:val="00CB7422"/>
    <w:rsid w:val="00CC01C2"/>
    <w:rsid w:val="00CC515C"/>
    <w:rsid w:val="00CD2473"/>
    <w:rsid w:val="00CD5CAF"/>
    <w:rsid w:val="00CF21F2"/>
    <w:rsid w:val="00D02712"/>
    <w:rsid w:val="00D046A7"/>
    <w:rsid w:val="00D11754"/>
    <w:rsid w:val="00D156D6"/>
    <w:rsid w:val="00D214D0"/>
    <w:rsid w:val="00D23162"/>
    <w:rsid w:val="00D50DB1"/>
    <w:rsid w:val="00D51610"/>
    <w:rsid w:val="00D6546B"/>
    <w:rsid w:val="00D77959"/>
    <w:rsid w:val="00DB178B"/>
    <w:rsid w:val="00DC17D3"/>
    <w:rsid w:val="00DD4BED"/>
    <w:rsid w:val="00DE39F0"/>
    <w:rsid w:val="00DF0AF3"/>
    <w:rsid w:val="00DF7E9F"/>
    <w:rsid w:val="00E00D7C"/>
    <w:rsid w:val="00E22BB5"/>
    <w:rsid w:val="00E27D7E"/>
    <w:rsid w:val="00E34289"/>
    <w:rsid w:val="00E42E13"/>
    <w:rsid w:val="00E56922"/>
    <w:rsid w:val="00E56D5C"/>
    <w:rsid w:val="00E6257C"/>
    <w:rsid w:val="00E63C59"/>
    <w:rsid w:val="00EB242E"/>
    <w:rsid w:val="00EE3BC3"/>
    <w:rsid w:val="00EF1D1A"/>
    <w:rsid w:val="00F25662"/>
    <w:rsid w:val="00F32260"/>
    <w:rsid w:val="00F324D9"/>
    <w:rsid w:val="00F456BA"/>
    <w:rsid w:val="00F502B4"/>
    <w:rsid w:val="00F60EC2"/>
    <w:rsid w:val="00F94FA9"/>
    <w:rsid w:val="00FA124A"/>
    <w:rsid w:val="00FC08DD"/>
    <w:rsid w:val="00FC1C89"/>
    <w:rsid w:val="00FC2316"/>
    <w:rsid w:val="00FC2CFD"/>
    <w:rsid w:val="00FC453B"/>
    <w:rsid w:val="00FE46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CB5E2"/>
  <w15:docId w15:val="{24D501E1-B39C-4AF7-9595-04D076F4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90A5C"/>
    <w:pPr>
      <w:tabs>
        <w:tab w:val="left" w:pos="284"/>
      </w:tabs>
      <w:spacing w:before="40" w:after="40"/>
    </w:pPr>
    <w:rPr>
      <w:sz w:val="18"/>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1549CF"/>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unhideWhenUsed/>
    <w:rsid w:val="00EB242E"/>
    <w:rPr>
      <w:color w:val="0000FF" w:themeColor="hyperlink"/>
      <w:u w:val="single"/>
    </w:rPr>
  </w:style>
  <w:style w:type="paragraph" w:styleId="ListParagraph">
    <w:name w:val="List Paragraph"/>
    <w:basedOn w:val="Normal"/>
    <w:uiPriority w:val="34"/>
    <w:qFormat/>
    <w:rsid w:val="00EB242E"/>
    <w:pPr>
      <w:ind w:left="720"/>
      <w:contextualSpacing/>
    </w:pPr>
  </w:style>
  <w:style w:type="paragraph" w:styleId="BalloonText">
    <w:name w:val="Balloon Text"/>
    <w:basedOn w:val="Normal"/>
    <w:link w:val="BalloonTextChar"/>
    <w:semiHidden/>
    <w:unhideWhenUsed/>
    <w:rsid w:val="00EB242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B242E"/>
    <w:rPr>
      <w:rFonts w:ascii="Tahoma" w:hAnsi="Tahoma" w:cs="Tahoma"/>
      <w:sz w:val="16"/>
      <w:szCs w:val="16"/>
      <w:lang w:val="en-GB" w:eastAsia="en-US"/>
    </w:rPr>
  </w:style>
  <w:style w:type="character" w:styleId="CommentReference">
    <w:name w:val="annotation reference"/>
    <w:basedOn w:val="DefaultParagraphFont"/>
    <w:semiHidden/>
    <w:unhideWhenUsed/>
    <w:rsid w:val="00EB242E"/>
    <w:rPr>
      <w:sz w:val="16"/>
      <w:szCs w:val="16"/>
    </w:rPr>
  </w:style>
  <w:style w:type="paragraph" w:styleId="CommentText">
    <w:name w:val="annotation text"/>
    <w:basedOn w:val="Normal"/>
    <w:link w:val="CommentTextChar"/>
    <w:semiHidden/>
    <w:unhideWhenUsed/>
    <w:rsid w:val="00EB242E"/>
    <w:rPr>
      <w:sz w:val="20"/>
    </w:rPr>
  </w:style>
  <w:style w:type="character" w:customStyle="1" w:styleId="CommentTextChar">
    <w:name w:val="Comment Text Char"/>
    <w:basedOn w:val="DefaultParagraphFont"/>
    <w:link w:val="CommentText"/>
    <w:semiHidden/>
    <w:rsid w:val="00EB24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B242E"/>
    <w:rPr>
      <w:b/>
      <w:bCs/>
    </w:rPr>
  </w:style>
  <w:style w:type="character" w:customStyle="1" w:styleId="CommentSubjectChar">
    <w:name w:val="Comment Subject Char"/>
    <w:basedOn w:val="CommentTextChar"/>
    <w:link w:val="CommentSubject"/>
    <w:semiHidden/>
    <w:rsid w:val="00EB242E"/>
    <w:rPr>
      <w:rFonts w:ascii="Times New Roman" w:hAnsi="Times New Roman"/>
      <w:b/>
      <w:bCs/>
      <w:lang w:val="en-GB" w:eastAsia="en-US"/>
    </w:rPr>
  </w:style>
  <w:style w:type="character" w:customStyle="1" w:styleId="apple-converted-space">
    <w:name w:val="apple-converted-space"/>
    <w:basedOn w:val="DefaultParagraphFont"/>
    <w:rsid w:val="00EB242E"/>
  </w:style>
  <w:style w:type="character" w:customStyle="1" w:styleId="TabletextChar">
    <w:name w:val="Table_text Char"/>
    <w:basedOn w:val="DefaultParagraphFont"/>
    <w:link w:val="Tabletext"/>
    <w:uiPriority w:val="99"/>
    <w:locked/>
    <w:rsid w:val="00EB242E"/>
    <w:rPr>
      <w:rFonts w:ascii="Times New Roman" w:hAnsi="Times New Roman"/>
      <w:lang w:val="en-GB" w:eastAsia="en-US"/>
    </w:rPr>
  </w:style>
  <w:style w:type="paragraph" w:styleId="NormalWeb">
    <w:name w:val="Normal (Web)"/>
    <w:basedOn w:val="Normal"/>
    <w:uiPriority w:val="99"/>
    <w:unhideWhenUsed/>
    <w:rsid w:val="00EB242E"/>
    <w:pPr>
      <w:tabs>
        <w:tab w:val="clear" w:pos="1134"/>
        <w:tab w:val="clear" w:pos="1871"/>
        <w:tab w:val="clear" w:pos="2268"/>
      </w:tabs>
      <w:overflowPunct/>
      <w:autoSpaceDE/>
      <w:autoSpaceDN/>
      <w:adjustRightInd/>
      <w:spacing w:before="100" w:beforeAutospacing="1" w:after="138" w:line="249" w:lineRule="atLeast"/>
      <w:textAlignment w:val="auto"/>
    </w:pPr>
    <w:rPr>
      <w:rFonts w:ascii="Arial" w:hAnsi="Arial" w:cs="Arial"/>
      <w:sz w:val="17"/>
      <w:szCs w:val="17"/>
      <w:lang w:val="ru-RU" w:eastAsia="ru-RU"/>
    </w:rPr>
  </w:style>
  <w:style w:type="character" w:styleId="Strong">
    <w:name w:val="Strong"/>
    <w:basedOn w:val="DefaultParagraphFont"/>
    <w:uiPriority w:val="22"/>
    <w:qFormat/>
    <w:rsid w:val="00EB242E"/>
    <w:rPr>
      <w:b/>
      <w:bCs/>
    </w:rPr>
  </w:style>
  <w:style w:type="paragraph" w:styleId="TOCHeading">
    <w:name w:val="TOC Heading"/>
    <w:basedOn w:val="Heading1"/>
    <w:next w:val="Normal"/>
    <w:uiPriority w:val="39"/>
    <w:semiHidden/>
    <w:unhideWhenUsed/>
    <w:qFormat/>
    <w:rsid w:val="00EB242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Tablefin">
    <w:name w:val="Table_fin"/>
    <w:basedOn w:val="Normal"/>
    <w:rsid w:val="00C66D09"/>
    <w:pPr>
      <w:tabs>
        <w:tab w:val="clear" w:pos="1134"/>
        <w:tab w:val="clear" w:pos="1871"/>
        <w:tab w:val="clear" w:pos="2268"/>
      </w:tabs>
      <w:overflowPunct/>
      <w:autoSpaceDE/>
      <w:autoSpaceDN/>
      <w:adjustRightInd/>
      <w:spacing w:before="0"/>
      <w:textAlignment w:val="auto"/>
    </w:pPr>
    <w:rPr>
      <w:iCs/>
      <w:sz w:val="20"/>
    </w:rPr>
  </w:style>
  <w:style w:type="table" w:styleId="TableGrid">
    <w:name w:val="Table Grid"/>
    <w:basedOn w:val="TableNormal"/>
    <w:uiPriority w:val="59"/>
    <w:rsid w:val="00CC5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basedOn w:val="DefaultParagraphFont"/>
    <w:link w:val="Note"/>
    <w:locked/>
    <w:rsid w:val="003A4530"/>
    <w:rPr>
      <w:rFonts w:ascii="Times New Roman" w:hAnsi="Times New Roman"/>
      <w:sz w:val="24"/>
      <w:lang w:val="en-GB" w:eastAsia="en-US"/>
    </w:rPr>
  </w:style>
  <w:style w:type="paragraph" w:customStyle="1" w:styleId="TableText0">
    <w:name w:val="Table_Text"/>
    <w:basedOn w:val="Tablelegend"/>
    <w:rsid w:val="003A4530"/>
    <w:pPr>
      <w:keepNext/>
      <w:tabs>
        <w:tab w:val="clear" w:pos="1134"/>
        <w:tab w:val="clear" w:pos="1871"/>
        <w:tab w:val="clear" w:pos="2268"/>
        <w:tab w:val="left" w:pos="794"/>
        <w:tab w:val="left" w:pos="1191"/>
        <w:tab w:val="left" w:pos="1588"/>
        <w:tab w:val="left" w:pos="1985"/>
      </w:tabs>
      <w:spacing w:before="100" w:after="100" w:line="190" w:lineRule="exact"/>
      <w:jc w:val="both"/>
      <w:textAlignment w:val="auto"/>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98358">
      <w:bodyDiv w:val="1"/>
      <w:marLeft w:val="0"/>
      <w:marRight w:val="0"/>
      <w:marTop w:val="0"/>
      <w:marBottom w:val="0"/>
      <w:divBdr>
        <w:top w:val="none" w:sz="0" w:space="0" w:color="auto"/>
        <w:left w:val="none" w:sz="0" w:space="0" w:color="auto"/>
        <w:bottom w:val="none" w:sz="0" w:space="0" w:color="auto"/>
        <w:right w:val="none" w:sz="0" w:space="0" w:color="auto"/>
      </w:divBdr>
    </w:div>
    <w:div w:id="1603222126">
      <w:bodyDiv w:val="1"/>
      <w:marLeft w:val="0"/>
      <w:marRight w:val="0"/>
      <w:marTop w:val="0"/>
      <w:marBottom w:val="0"/>
      <w:divBdr>
        <w:top w:val="none" w:sz="0" w:space="0" w:color="auto"/>
        <w:left w:val="none" w:sz="0" w:space="0" w:color="auto"/>
        <w:bottom w:val="none" w:sz="0" w:space="0" w:color="auto"/>
        <w:right w:val="none" w:sz="0" w:space="0" w:color="auto"/>
      </w:divBdr>
    </w:div>
    <w:div w:id="1633707717">
      <w:bodyDiv w:val="1"/>
      <w:marLeft w:val="0"/>
      <w:marRight w:val="0"/>
      <w:marTop w:val="0"/>
      <w:marBottom w:val="0"/>
      <w:divBdr>
        <w:top w:val="none" w:sz="0" w:space="0" w:color="auto"/>
        <w:left w:val="none" w:sz="0" w:space="0" w:color="auto"/>
        <w:bottom w:val="none" w:sz="0" w:space="0" w:color="auto"/>
        <w:right w:val="none" w:sz="0" w:space="0" w:color="auto"/>
      </w:divBdr>
    </w:div>
    <w:div w:id="19610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cee1133c6e756a25d3204d788b69016d">
  <xsd:schema xmlns:xsd="http://www.w3.org/2001/XMLSchema" xmlns:xs="http://www.w3.org/2001/XMLSchema" xmlns:p="http://schemas.microsoft.com/office/2006/metadata/properties" xmlns:ns2="4c6a61cb-1973-4fc6-92ae-f4d7a4471404" targetNamespace="http://schemas.microsoft.com/office/2006/metadata/properties" ma:root="true" ma:fieldsID="256a109c578fe0901469f77075d675b5"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50777-8452-473E-8C03-B5E6F304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07872-0688-4CAE-BB03-B0C42237A671}">
  <ds:schemaRefs>
    <ds:schemaRef ds:uri="http://schemas.microsoft.com/sharepoint/v3/contenttype/forms"/>
  </ds:schemaRefs>
</ds:datastoreItem>
</file>

<file path=customXml/itemProps3.xml><?xml version="1.0" encoding="utf-8"?>
<ds:datastoreItem xmlns:ds="http://schemas.openxmlformats.org/officeDocument/2006/customXml" ds:itemID="{FF718DEC-2209-4489-8DBD-056D0F839423}">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E661969E-7E37-4994-8B92-A261D622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PE_BR110.dotm</Template>
  <TotalTime>25</TotalTime>
  <Pages>12</Pages>
  <Words>5118</Words>
  <Characters>28550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 T U</dc:creator>
  <cp:lastModifiedBy>I .T. U.</cp:lastModifiedBy>
  <cp:revision>4</cp:revision>
  <cp:lastPrinted>2016-11-21T08:14:00Z</cp:lastPrinted>
  <dcterms:created xsi:type="dcterms:W3CDTF">2016-11-21T09:17:00Z</dcterms:created>
  <dcterms:modified xsi:type="dcterms:W3CDTF">2016-11-21T09:41:00Z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