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14:paraId="3F8DD146" w14:textId="77777777" w:rsidTr="00D046A7">
        <w:trPr>
          <w:cantSplit/>
        </w:trPr>
        <w:tc>
          <w:tcPr>
            <w:tcW w:w="1526" w:type="dxa"/>
            <w:vAlign w:val="center"/>
          </w:tcPr>
          <w:p w14:paraId="45BD6114" w14:textId="77777777" w:rsidR="00DB178B" w:rsidRPr="00D8032B" w:rsidRDefault="001D092A" w:rsidP="001D092A">
            <w:pPr>
              <w:shd w:val="solid" w:color="FFFFFF" w:fill="FFFFFF"/>
              <w:spacing w:before="0"/>
              <w:rPr>
                <w:rFonts w:ascii="Verdana" w:hAnsi="Verdana" w:cs="Times New Roman Bold"/>
                <w:b/>
                <w:bCs/>
                <w:sz w:val="26"/>
                <w:szCs w:val="26"/>
              </w:rPr>
            </w:pPr>
            <w:bookmarkStart w:id="0" w:name="ditulogo"/>
            <w:bookmarkEnd w:id="0"/>
            <w:r w:rsidRPr="001D092A">
              <w:rPr>
                <w:rFonts w:ascii="Verdana" w:hAnsi="Verdana" w:cs="Times New Roman Bold"/>
                <w:b/>
                <w:bCs/>
                <w:noProof/>
                <w:sz w:val="20"/>
                <w:szCs w:val="26"/>
                <w:lang w:val="en-US" w:eastAsia="zh-CN"/>
              </w:rPr>
              <w:drawing>
                <wp:inline distT="0" distB="0" distL="0" distR="0" wp14:anchorId="2A4E93A9" wp14:editId="23838FE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0D42107D" w14:textId="77777777"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3A7F452E" w14:textId="77777777"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933DAF9" wp14:editId="25643E5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14:paraId="572AA604" w14:textId="77777777" w:rsidTr="00D046A7">
        <w:trPr>
          <w:cantSplit/>
        </w:trPr>
        <w:tc>
          <w:tcPr>
            <w:tcW w:w="6438" w:type="dxa"/>
            <w:gridSpan w:val="2"/>
            <w:tcBorders>
              <w:bottom w:val="single" w:sz="12" w:space="0" w:color="auto"/>
            </w:tcBorders>
          </w:tcPr>
          <w:p w14:paraId="3EA242EC" w14:textId="77777777"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71EE1F1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6B38A75" w14:textId="77777777" w:rsidTr="00D046A7">
        <w:trPr>
          <w:cantSplit/>
        </w:trPr>
        <w:tc>
          <w:tcPr>
            <w:tcW w:w="6438" w:type="dxa"/>
            <w:gridSpan w:val="2"/>
            <w:tcBorders>
              <w:top w:val="single" w:sz="12" w:space="0" w:color="auto"/>
            </w:tcBorders>
          </w:tcPr>
          <w:p w14:paraId="1A2FD56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38198942" w14:textId="77777777" w:rsidR="000069D4" w:rsidRPr="00710D66" w:rsidRDefault="000069D4" w:rsidP="00A5173C">
            <w:pPr>
              <w:shd w:val="solid" w:color="FFFFFF" w:fill="FFFFFF"/>
              <w:spacing w:before="0" w:after="48" w:line="240" w:lineRule="atLeast"/>
              <w:rPr>
                <w:lang w:val="en-US"/>
              </w:rPr>
            </w:pPr>
          </w:p>
        </w:tc>
      </w:tr>
      <w:tr w:rsidR="000069D4" w14:paraId="648D0670" w14:textId="77777777" w:rsidTr="00D046A7">
        <w:trPr>
          <w:cantSplit/>
        </w:trPr>
        <w:tc>
          <w:tcPr>
            <w:tcW w:w="6438" w:type="dxa"/>
            <w:gridSpan w:val="2"/>
            <w:vMerge w:val="restart"/>
          </w:tcPr>
          <w:p w14:paraId="70D39067" w14:textId="0905B920" w:rsidR="001D092A" w:rsidRPr="00982084" w:rsidRDefault="00127290" w:rsidP="00DF597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t xml:space="preserve"> </w:t>
            </w:r>
            <w:r w:rsidRPr="00127290">
              <w:rPr>
                <w:rFonts w:ascii="Verdana" w:hAnsi="Verdana"/>
                <w:sz w:val="20"/>
              </w:rPr>
              <w:t>Document 5A/TEMP/98</w:t>
            </w:r>
          </w:p>
        </w:tc>
        <w:tc>
          <w:tcPr>
            <w:tcW w:w="3451" w:type="dxa"/>
            <w:gridSpan w:val="2"/>
          </w:tcPr>
          <w:p w14:paraId="0BC9C94A" w14:textId="77777777" w:rsidR="00127290" w:rsidRDefault="00127290"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15 to</w:t>
            </w:r>
          </w:p>
          <w:p w14:paraId="7F57C0D1" w14:textId="7EE68D07" w:rsidR="00DF5973" w:rsidRPr="001D092A" w:rsidRDefault="005C4BB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127290">
              <w:rPr>
                <w:rFonts w:ascii="Verdana" w:hAnsi="Verdana"/>
                <w:b/>
                <w:sz w:val="20"/>
                <w:lang w:eastAsia="zh-CN"/>
              </w:rPr>
              <w:t>2</w:t>
            </w:r>
            <w:r w:rsidR="000B3A03">
              <w:rPr>
                <w:rFonts w:ascii="Verdana" w:hAnsi="Verdana"/>
                <w:b/>
                <w:sz w:val="20"/>
                <w:lang w:eastAsia="zh-CN"/>
              </w:rPr>
              <w:t>98</w:t>
            </w:r>
            <w:r w:rsidR="00DF5973">
              <w:rPr>
                <w:rFonts w:ascii="Verdana" w:hAnsi="Verdana"/>
                <w:b/>
                <w:sz w:val="20"/>
                <w:lang w:eastAsia="zh-CN"/>
              </w:rPr>
              <w:t>-E</w:t>
            </w:r>
          </w:p>
        </w:tc>
      </w:tr>
      <w:tr w:rsidR="000069D4" w14:paraId="6C10E880" w14:textId="77777777" w:rsidTr="00D046A7">
        <w:trPr>
          <w:cantSplit/>
        </w:trPr>
        <w:tc>
          <w:tcPr>
            <w:tcW w:w="6438" w:type="dxa"/>
            <w:gridSpan w:val="2"/>
            <w:vMerge/>
          </w:tcPr>
          <w:p w14:paraId="113CE1EA" w14:textId="77777777"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14:paraId="67B37EB6" w14:textId="1994AB12" w:rsidR="000069D4" w:rsidRPr="001D092A" w:rsidRDefault="00B35573"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127290">
              <w:rPr>
                <w:rFonts w:ascii="Verdana" w:hAnsi="Verdana"/>
                <w:b/>
                <w:sz w:val="20"/>
                <w:lang w:eastAsia="zh-CN"/>
              </w:rPr>
              <w:t>8</w:t>
            </w:r>
            <w:r>
              <w:rPr>
                <w:rFonts w:ascii="Verdana" w:hAnsi="Verdana"/>
                <w:b/>
                <w:sz w:val="20"/>
                <w:lang w:eastAsia="zh-CN"/>
              </w:rPr>
              <w:t xml:space="preserve"> November</w:t>
            </w:r>
            <w:r w:rsidR="001D092A">
              <w:rPr>
                <w:rFonts w:ascii="Verdana" w:hAnsi="Verdana"/>
                <w:b/>
                <w:sz w:val="20"/>
                <w:lang w:eastAsia="zh-CN"/>
              </w:rPr>
              <w:t xml:space="preserve"> 2016</w:t>
            </w:r>
          </w:p>
        </w:tc>
      </w:tr>
      <w:tr w:rsidR="000069D4" w14:paraId="1B3AC848" w14:textId="77777777" w:rsidTr="00D046A7">
        <w:trPr>
          <w:cantSplit/>
        </w:trPr>
        <w:tc>
          <w:tcPr>
            <w:tcW w:w="6438" w:type="dxa"/>
            <w:gridSpan w:val="2"/>
            <w:vMerge/>
          </w:tcPr>
          <w:p w14:paraId="5FB47547" w14:textId="77777777"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14:paraId="29040B85" w14:textId="77777777" w:rsidR="000069D4" w:rsidRPr="001D092A" w:rsidRDefault="001D092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0FBA7A3" w14:textId="77777777" w:rsidTr="00D046A7">
        <w:trPr>
          <w:cantSplit/>
        </w:trPr>
        <w:tc>
          <w:tcPr>
            <w:tcW w:w="9889" w:type="dxa"/>
            <w:gridSpan w:val="4"/>
          </w:tcPr>
          <w:p w14:paraId="39223944" w14:textId="3F48588C" w:rsidR="000069D4" w:rsidRPr="00EC12B8" w:rsidRDefault="00127290" w:rsidP="000B3A03">
            <w:pPr>
              <w:pStyle w:val="Source"/>
              <w:rPr>
                <w:lang w:eastAsia="zh-CN"/>
              </w:rPr>
            </w:pPr>
            <w:bookmarkStart w:id="5" w:name="dsource" w:colFirst="0" w:colLast="0"/>
            <w:bookmarkEnd w:id="4"/>
            <w:r w:rsidRPr="0065561A">
              <w:rPr>
                <w:lang w:eastAsia="zh-CN"/>
              </w:rPr>
              <w:t xml:space="preserve">Annex </w:t>
            </w:r>
            <w:r>
              <w:rPr>
                <w:lang w:eastAsia="zh-CN"/>
              </w:rPr>
              <w:t>15</w:t>
            </w:r>
            <w:r w:rsidRPr="0065561A">
              <w:rPr>
                <w:lang w:eastAsia="zh-CN"/>
              </w:rPr>
              <w:t xml:space="preserve"> to Working Party 5A Chairman’s Report</w:t>
            </w:r>
          </w:p>
        </w:tc>
      </w:tr>
      <w:tr w:rsidR="000B3A03" w14:paraId="0D56F455" w14:textId="77777777" w:rsidTr="00D046A7">
        <w:trPr>
          <w:cantSplit/>
        </w:trPr>
        <w:tc>
          <w:tcPr>
            <w:tcW w:w="9889" w:type="dxa"/>
            <w:gridSpan w:val="4"/>
          </w:tcPr>
          <w:p w14:paraId="40836F70" w14:textId="3F7E6427" w:rsidR="000B3A03" w:rsidRDefault="000B3A03" w:rsidP="00EE57B0">
            <w:pPr>
              <w:pStyle w:val="RepNo"/>
              <w:rPr>
                <w:lang w:eastAsia="zh-CN"/>
              </w:rPr>
            </w:pPr>
            <w:bookmarkStart w:id="6" w:name="_GoBack" w:colFirst="0" w:colLast="0"/>
            <w:r>
              <w:rPr>
                <w:lang w:eastAsia="zh-CN"/>
              </w:rPr>
              <w:t xml:space="preserve">WORKING DOCUMENT TOWARDS A PRELIMINARY </w:t>
            </w:r>
            <w:r w:rsidR="00EE57B0">
              <w:rPr>
                <w:lang w:eastAsia="zh-CN"/>
              </w:rPr>
              <w:br/>
            </w:r>
            <w:r>
              <w:rPr>
                <w:lang w:eastAsia="zh-CN"/>
              </w:rPr>
              <w:t>DRAFT NEW REPORT ITU-R M.[DPLMR]</w:t>
            </w:r>
          </w:p>
        </w:tc>
      </w:tr>
      <w:tr w:rsidR="000B3A03" w14:paraId="06317BFF" w14:textId="77777777" w:rsidTr="00D046A7">
        <w:trPr>
          <w:cantSplit/>
        </w:trPr>
        <w:tc>
          <w:tcPr>
            <w:tcW w:w="9889" w:type="dxa"/>
            <w:gridSpan w:val="4"/>
          </w:tcPr>
          <w:p w14:paraId="70B2609E" w14:textId="42486F79" w:rsidR="000B3A03" w:rsidRDefault="000B3A03" w:rsidP="00EE57B0">
            <w:pPr>
              <w:pStyle w:val="Reptitle"/>
              <w:rPr>
                <w:lang w:eastAsia="zh-CN"/>
              </w:rPr>
            </w:pPr>
            <w:r w:rsidRPr="0005384D">
              <w:rPr>
                <w:rFonts w:eastAsia="Malgun Gothic"/>
                <w:lang w:eastAsia="ko-KR"/>
              </w:rPr>
              <w:t>D</w:t>
            </w:r>
            <w:r w:rsidRPr="0005384D">
              <w:t>igital</w:t>
            </w:r>
            <w:r>
              <w:t xml:space="preserve"> private land mobile radios systems</w:t>
            </w:r>
          </w:p>
        </w:tc>
      </w:tr>
      <w:bookmarkEnd w:id="5"/>
      <w:bookmarkEnd w:id="6"/>
    </w:tbl>
    <w:p w14:paraId="64B63D59" w14:textId="531F6A6A" w:rsidR="001D092A" w:rsidRDefault="001D092A">
      <w:pPr>
        <w:tabs>
          <w:tab w:val="clear" w:pos="1134"/>
          <w:tab w:val="clear" w:pos="1871"/>
          <w:tab w:val="clear" w:pos="2268"/>
        </w:tabs>
        <w:overflowPunct/>
        <w:autoSpaceDE/>
        <w:autoSpaceDN/>
        <w:adjustRightInd/>
        <w:spacing w:before="0"/>
        <w:textAlignment w:val="auto"/>
        <w:rPr>
          <w:lang w:eastAsia="zh-CN"/>
        </w:rPr>
      </w:pPr>
    </w:p>
    <w:p w14:paraId="753E166C" w14:textId="045A1B95" w:rsidR="001D092A" w:rsidRPr="00C7793D" w:rsidRDefault="001D092A" w:rsidP="00DD0F45">
      <w:pPr>
        <w:pStyle w:val="Heading1"/>
      </w:pPr>
      <w:r>
        <w:t>1</w:t>
      </w:r>
      <w:r>
        <w:tab/>
        <w:t>Scope</w:t>
      </w:r>
    </w:p>
    <w:p w14:paraId="69EF2471" w14:textId="413A9F05" w:rsidR="001D092A" w:rsidRDefault="001D092A" w:rsidP="00EE57B0">
      <w:r w:rsidRPr="00B07884">
        <w:t>This Report deals with the technical and operational characteristics of digital</w:t>
      </w:r>
      <w:r w:rsidR="0021409B">
        <w:t xml:space="preserve"> private land mobile</w:t>
      </w:r>
      <w:r w:rsidR="006B3CAE">
        <w:t xml:space="preserve"> radios</w:t>
      </w:r>
      <w:r w:rsidR="0021409B">
        <w:t xml:space="preserve"> systems</w:t>
      </w:r>
      <w:r w:rsidRPr="00B07884">
        <w:t xml:space="preserve"> </w:t>
      </w:r>
      <w:r>
        <w:t xml:space="preserve">that </w:t>
      </w:r>
      <w:r w:rsidRPr="00B07884">
        <w:t xml:space="preserve">provide capabilities required </w:t>
      </w:r>
      <w:r>
        <w:t>for</w:t>
      </w:r>
      <w:r w:rsidRPr="00B07884">
        <w:t xml:space="preserve"> specific user groups/applications, such as governmental, mining, health, hospitality, </w:t>
      </w:r>
      <w:r>
        <w:t xml:space="preserve">transportations, </w:t>
      </w:r>
      <w:r w:rsidRPr="00B07884">
        <w:t>disaster relief</w:t>
      </w:r>
      <w:r>
        <w:t xml:space="preserve"> </w:t>
      </w:r>
      <w:r w:rsidR="005E6CBA">
        <w:t>,</w:t>
      </w:r>
      <w:r>
        <w:t xml:space="preserve"> industrial, </w:t>
      </w:r>
      <w:r w:rsidRPr="00B07884">
        <w:t>manufacturing, etc.</w:t>
      </w:r>
    </w:p>
    <w:p w14:paraId="165602F5" w14:textId="51B4D454" w:rsidR="001D092A" w:rsidRDefault="001D092A" w:rsidP="00EE57B0">
      <w:r>
        <w:t>Issues relating to PPDR are covered in Report ITU-R M.2009, Report ITU-R M.2377 and Recommendation ITU-R M.2015</w:t>
      </w:r>
      <w:r w:rsidR="009E330F">
        <w:t>.</w:t>
      </w:r>
    </w:p>
    <w:p w14:paraId="1600020B" w14:textId="7B7F20BC" w:rsidR="00681424" w:rsidRDefault="00681424" w:rsidP="00EE57B0">
      <w:r>
        <w:t>Issues relating to PLMR for dispatch applications are covered in Report ITU-R M.2014</w:t>
      </w:r>
      <w:r w:rsidR="009E330F">
        <w:t>.</w:t>
      </w:r>
    </w:p>
    <w:p w14:paraId="7CBC26CD" w14:textId="77777777" w:rsidR="001D092A" w:rsidRPr="004A2431" w:rsidRDefault="001D092A" w:rsidP="00DD0F45">
      <w:pPr>
        <w:rPr>
          <w:rFonts w:eastAsia="Malgun Gothic"/>
          <w:i/>
          <w:iCs/>
          <w:highlight w:val="yellow"/>
        </w:rPr>
      </w:pPr>
      <w:r w:rsidRPr="004A2431">
        <w:rPr>
          <w:rFonts w:eastAsia="Malgun Gothic"/>
          <w:i/>
          <w:iCs/>
          <w:highlight w:val="yellow"/>
        </w:rPr>
        <w:t>Editor notes:</w:t>
      </w:r>
    </w:p>
    <w:p w14:paraId="59297058" w14:textId="77777777" w:rsidR="001D092A" w:rsidRPr="004A2431" w:rsidRDefault="001D092A" w:rsidP="00DD0F45">
      <w:pPr>
        <w:pStyle w:val="enumlev1"/>
        <w:rPr>
          <w:rFonts w:eastAsia="Malgun Gothic"/>
          <w:i/>
          <w:iCs/>
          <w:highlight w:val="yellow"/>
        </w:rPr>
      </w:pPr>
      <w:r w:rsidRPr="004A2431">
        <w:rPr>
          <w:rFonts w:eastAsia="Malgun Gothic"/>
          <w:i/>
          <w:iCs/>
          <w:highlight w:val="yellow"/>
        </w:rPr>
        <w:t>–</w:t>
      </w:r>
      <w:r w:rsidRPr="004A2431">
        <w:rPr>
          <w:rFonts w:eastAsia="Malgun Gothic"/>
          <w:i/>
          <w:iCs/>
          <w:highlight w:val="yellow"/>
        </w:rPr>
        <w:tab/>
        <w:t xml:space="preserve">Keep in mind to make appropriate references to other specific docs related to PPDR and Machine to Machine communications. </w:t>
      </w:r>
    </w:p>
    <w:p w14:paraId="25C7D323" w14:textId="77777777" w:rsidR="001D092A" w:rsidRPr="004A2431" w:rsidRDefault="001D092A" w:rsidP="00DD0F45">
      <w:pPr>
        <w:pStyle w:val="enumlev1"/>
        <w:rPr>
          <w:rFonts w:eastAsia="Malgun Gothic"/>
          <w:i/>
          <w:iCs/>
          <w:highlight w:val="yellow"/>
        </w:rPr>
      </w:pPr>
      <w:r w:rsidRPr="004A2431">
        <w:rPr>
          <w:rFonts w:eastAsia="Malgun Gothic"/>
          <w:i/>
          <w:iCs/>
          <w:highlight w:val="yellow"/>
        </w:rPr>
        <w:t>–</w:t>
      </w:r>
      <w:r w:rsidRPr="004A2431">
        <w:rPr>
          <w:rFonts w:eastAsia="Malgun Gothic"/>
          <w:i/>
          <w:iCs/>
          <w:highlight w:val="yellow"/>
        </w:rPr>
        <w:tab/>
        <w:t>It should be discussed further where the frequency bands and channel arrangements would be included, either in this PDNR or in a separate report.</w:t>
      </w:r>
    </w:p>
    <w:p w14:paraId="7DFBA028" w14:textId="4FE12CD8" w:rsidR="00127290" w:rsidRDefault="001D092A" w:rsidP="00DD0F45">
      <w:pPr>
        <w:pStyle w:val="enumlev1"/>
        <w:rPr>
          <w:rFonts w:eastAsia="Malgun Gothic"/>
          <w:i/>
          <w:iCs/>
          <w:highlight w:val="yellow"/>
        </w:rPr>
      </w:pPr>
      <w:r w:rsidRPr="004A2431">
        <w:rPr>
          <w:rFonts w:eastAsia="Malgun Gothic"/>
          <w:i/>
          <w:iCs/>
          <w:highlight w:val="yellow"/>
        </w:rPr>
        <w:t>–</w:t>
      </w:r>
      <w:r w:rsidRPr="004A2431">
        <w:rPr>
          <w:rFonts w:eastAsia="Malgun Gothic"/>
          <w:i/>
          <w:iCs/>
          <w:highlight w:val="yellow"/>
        </w:rPr>
        <w:tab/>
        <w:t>Make clear in the body of this PDNR that IMT is covered in other documents.</w:t>
      </w:r>
    </w:p>
    <w:p w14:paraId="393C1272" w14:textId="6A1EAD29" w:rsidR="0021409B" w:rsidRDefault="004F2B8C" w:rsidP="00EE57B0">
      <w:pPr>
        <w:pStyle w:val="enumlev1"/>
        <w:rPr>
          <w:rFonts w:eastAsia="Malgun Gothic"/>
          <w:i/>
          <w:iCs/>
          <w:highlight w:val="yellow"/>
        </w:rPr>
      </w:pPr>
      <w:r w:rsidRPr="00127290">
        <w:rPr>
          <w:rFonts w:eastAsia="Malgun Gothic"/>
          <w:iCs/>
          <w:highlight w:val="yellow"/>
        </w:rPr>
        <w:t xml:space="preserve">– </w:t>
      </w:r>
      <w:r w:rsidR="00EE57B0">
        <w:rPr>
          <w:rFonts w:eastAsia="Malgun Gothic"/>
          <w:iCs/>
          <w:highlight w:val="yellow"/>
        </w:rPr>
        <w:tab/>
      </w:r>
      <w:r w:rsidR="0021409B" w:rsidRPr="004F2B8C">
        <w:rPr>
          <w:rFonts w:eastAsia="Malgun Gothic"/>
          <w:i/>
          <w:iCs/>
          <w:highlight w:val="yellow"/>
        </w:rPr>
        <w:t>Base</w:t>
      </w:r>
      <w:r w:rsidR="00681424">
        <w:rPr>
          <w:rFonts w:eastAsia="Malgun Gothic"/>
          <w:i/>
          <w:iCs/>
          <w:highlight w:val="yellow"/>
        </w:rPr>
        <w:t>d</w:t>
      </w:r>
      <w:r w:rsidR="0021409B" w:rsidRPr="004F2B8C">
        <w:rPr>
          <w:rFonts w:eastAsia="Malgun Gothic"/>
          <w:i/>
          <w:iCs/>
          <w:highlight w:val="yellow"/>
        </w:rPr>
        <w:t xml:space="preserve"> on the discussion</w:t>
      </w:r>
      <w:r w:rsidR="00681424">
        <w:rPr>
          <w:rFonts w:eastAsia="Malgun Gothic"/>
          <w:i/>
          <w:iCs/>
          <w:highlight w:val="yellow"/>
        </w:rPr>
        <w:t>s</w:t>
      </w:r>
      <w:r w:rsidR="0021409B" w:rsidRPr="004F2B8C">
        <w:rPr>
          <w:rFonts w:eastAsia="Malgun Gothic"/>
          <w:i/>
          <w:iCs/>
          <w:highlight w:val="yellow"/>
        </w:rPr>
        <w:t xml:space="preserve"> </w:t>
      </w:r>
      <w:r w:rsidR="00C22138">
        <w:rPr>
          <w:rFonts w:eastAsia="Malgun Gothic"/>
          <w:i/>
          <w:iCs/>
          <w:highlight w:val="yellow"/>
        </w:rPr>
        <w:t>in the WP</w:t>
      </w:r>
      <w:r w:rsidR="005E299F">
        <w:rPr>
          <w:rFonts w:eastAsia="Malgun Gothic"/>
          <w:i/>
          <w:iCs/>
          <w:highlight w:val="yellow"/>
        </w:rPr>
        <w:t> </w:t>
      </w:r>
      <w:r w:rsidR="00C22138">
        <w:rPr>
          <w:rFonts w:eastAsia="Malgun Gothic"/>
          <w:i/>
          <w:iCs/>
          <w:highlight w:val="yellow"/>
        </w:rPr>
        <w:t>5A November meeting,</w:t>
      </w:r>
      <w:r w:rsidR="0021409B" w:rsidRPr="004F2B8C">
        <w:rPr>
          <w:rFonts w:eastAsia="Malgun Gothic"/>
          <w:i/>
          <w:iCs/>
          <w:highlight w:val="yellow"/>
        </w:rPr>
        <w:t xml:space="preserve"> the scope of the report </w:t>
      </w:r>
      <w:r w:rsidR="000D2FFB" w:rsidRPr="004F2B8C">
        <w:rPr>
          <w:rFonts w:eastAsia="Malgun Gothic"/>
          <w:i/>
          <w:iCs/>
          <w:highlight w:val="yellow"/>
        </w:rPr>
        <w:t xml:space="preserve">DLMSA </w:t>
      </w:r>
      <w:r w:rsidR="00681424">
        <w:rPr>
          <w:rFonts w:eastAsia="Malgun Gothic"/>
          <w:i/>
          <w:iCs/>
          <w:highlight w:val="yellow"/>
        </w:rPr>
        <w:t>is</w:t>
      </w:r>
      <w:r w:rsidR="00E76C85" w:rsidRPr="004F2B8C">
        <w:rPr>
          <w:rFonts w:eastAsia="Malgun Gothic"/>
          <w:i/>
          <w:iCs/>
          <w:highlight w:val="yellow"/>
        </w:rPr>
        <w:t xml:space="preserve"> limited</w:t>
      </w:r>
      <w:r w:rsidR="0021409B" w:rsidRPr="000A2CCD">
        <w:rPr>
          <w:rFonts w:eastAsia="Malgun Gothic"/>
          <w:i/>
          <w:iCs/>
          <w:highlight w:val="yellow"/>
        </w:rPr>
        <w:t xml:space="preserve"> to DPLMR</w:t>
      </w:r>
      <w:r w:rsidR="00DF5973" w:rsidRPr="000A2CCD">
        <w:rPr>
          <w:rFonts w:eastAsia="Malgun Gothic"/>
          <w:i/>
          <w:iCs/>
          <w:highlight w:val="yellow"/>
        </w:rPr>
        <w:t>.</w:t>
      </w:r>
    </w:p>
    <w:p w14:paraId="2F1C0498" w14:textId="50553927" w:rsidR="005E6CBA" w:rsidRDefault="002C5D17" w:rsidP="00EE57B0">
      <w:pPr>
        <w:pStyle w:val="enumlev1"/>
        <w:rPr>
          <w:rFonts w:eastAsia="Malgun Gothic"/>
          <w:i/>
          <w:iCs/>
          <w:highlight w:val="yellow"/>
        </w:rPr>
      </w:pPr>
      <w:r w:rsidRPr="0059020D">
        <w:rPr>
          <w:rFonts w:eastAsia="Malgun Gothic"/>
          <w:iCs/>
          <w:highlight w:val="yellow"/>
        </w:rPr>
        <w:t>–</w:t>
      </w:r>
      <w:r>
        <w:rPr>
          <w:rFonts w:eastAsia="Malgun Gothic"/>
          <w:i/>
          <w:iCs/>
          <w:highlight w:val="yellow"/>
        </w:rPr>
        <w:t xml:space="preserve"> </w:t>
      </w:r>
      <w:r w:rsidR="00EE57B0">
        <w:rPr>
          <w:rFonts w:eastAsia="Malgun Gothic"/>
          <w:i/>
          <w:iCs/>
          <w:highlight w:val="yellow"/>
        </w:rPr>
        <w:tab/>
      </w:r>
      <w:r w:rsidR="005E6CBA" w:rsidRPr="00127290">
        <w:rPr>
          <w:rFonts w:eastAsia="Malgun Gothic"/>
          <w:i/>
          <w:iCs/>
          <w:highlight w:val="yellow"/>
        </w:rPr>
        <w:t>Review and make reference to documents related to disaster relief</w:t>
      </w:r>
    </w:p>
    <w:p w14:paraId="509C7941" w14:textId="2591118D" w:rsidR="001D092A" w:rsidRPr="00EE57B0" w:rsidRDefault="00C22138" w:rsidP="008D7B45">
      <w:pPr>
        <w:pStyle w:val="Headingb"/>
        <w:spacing w:after="120"/>
        <w:rPr>
          <w:lang w:val="en-US"/>
        </w:rPr>
      </w:pPr>
      <w:r w:rsidRPr="00EE57B0">
        <w:rPr>
          <w:lang w:val="en-US"/>
        </w:rPr>
        <w:t>Acronyms</w:t>
      </w:r>
    </w:p>
    <w:p w14:paraId="495B0332" w14:textId="295FC2C9" w:rsidR="00EE57B0" w:rsidRPr="00EE57B0" w:rsidRDefault="00EE57B0" w:rsidP="00EE57B0">
      <w:pPr>
        <w:rPr>
          <w:lang w:val="en-US"/>
        </w:rPr>
      </w:pPr>
      <w:r>
        <w:rPr>
          <w:lang w:val="en-US"/>
        </w:rPr>
        <w:t>LMR</w:t>
      </w:r>
      <w:r>
        <w:rPr>
          <w:lang w:val="en-US"/>
        </w:rPr>
        <w:tab/>
      </w:r>
      <w:r>
        <w:rPr>
          <w:lang w:val="en-US"/>
        </w:rPr>
        <w:t>Land Mobile Radio</w:t>
      </w:r>
    </w:p>
    <w:p w14:paraId="43967F1D" w14:textId="655BB56E" w:rsidR="00EE57B0" w:rsidRPr="00EE57B0" w:rsidRDefault="00EE57B0" w:rsidP="00EE57B0">
      <w:pPr>
        <w:rPr>
          <w:lang w:val="en-US"/>
        </w:rPr>
      </w:pPr>
      <w:r>
        <w:rPr>
          <w:lang w:val="en-US"/>
        </w:rPr>
        <w:t>PPDR</w:t>
      </w:r>
      <w:r>
        <w:rPr>
          <w:lang w:val="en-US"/>
        </w:rPr>
        <w:tab/>
      </w:r>
      <w:r w:rsidRPr="00B07884">
        <w:rPr>
          <w:szCs w:val="24"/>
        </w:rPr>
        <w:t xml:space="preserve">Public Protection </w:t>
      </w:r>
      <w:r w:rsidRPr="00B07884">
        <w:rPr>
          <w:szCs w:val="24"/>
        </w:rPr>
        <w:t xml:space="preserve">and </w:t>
      </w:r>
      <w:r w:rsidRPr="00B07884">
        <w:rPr>
          <w:szCs w:val="24"/>
        </w:rPr>
        <w:t>Disaster Relief</w:t>
      </w:r>
    </w:p>
    <w:p w14:paraId="7F974F3A" w14:textId="10036E63" w:rsidR="00EE57B0" w:rsidRPr="00EE57B0" w:rsidRDefault="00EE57B0" w:rsidP="00EE57B0">
      <w:pPr>
        <w:rPr>
          <w:lang w:val="en-US"/>
        </w:rPr>
      </w:pPr>
      <w:r w:rsidRPr="000A2CCD">
        <w:rPr>
          <w:lang w:val="en-US"/>
        </w:rPr>
        <w:t>PLMR</w:t>
      </w:r>
      <w:r>
        <w:rPr>
          <w:lang w:val="en-US"/>
        </w:rPr>
        <w:tab/>
      </w:r>
      <w:r w:rsidRPr="000A2CCD">
        <w:rPr>
          <w:lang w:val="en-US"/>
        </w:rPr>
        <w:t>Private Land Mobile Radio</w:t>
      </w:r>
    </w:p>
    <w:p w14:paraId="305B0C94" w14:textId="1BD031A1" w:rsidR="005E6CBA" w:rsidRPr="00A5643B" w:rsidRDefault="005E6CBA" w:rsidP="00EE57B0">
      <w:r w:rsidRPr="00A5643B">
        <w:rPr>
          <w:b/>
          <w:bCs/>
        </w:rPr>
        <w:t>Private Land Mobile Radio</w:t>
      </w:r>
      <w:r>
        <w:rPr>
          <w:b/>
          <w:bCs/>
        </w:rPr>
        <w:t>s (PLMR)</w:t>
      </w:r>
      <w:r w:rsidRPr="00A5643B">
        <w:rPr>
          <w:b/>
          <w:bCs/>
        </w:rPr>
        <w:t xml:space="preserve">. </w:t>
      </w:r>
      <w:r w:rsidRPr="00A5643B">
        <w:t>In this report, PLMR are la</w:t>
      </w:r>
      <w:r>
        <w:t>nd mobile stations that are utilized</w:t>
      </w:r>
      <w:r w:rsidRPr="00A5643B">
        <w:t xml:space="preserve"> by closed groups of users to meet their own specific </w:t>
      </w:r>
      <w:r>
        <w:t>radiocommunication requirements.</w:t>
      </w:r>
    </w:p>
    <w:p w14:paraId="31B11E19" w14:textId="77777777" w:rsidR="001D092A" w:rsidRPr="005A5B31" w:rsidRDefault="001D092A" w:rsidP="008D7B45">
      <w:pPr>
        <w:pStyle w:val="Heading1"/>
      </w:pPr>
      <w:r w:rsidRPr="005A5B31">
        <w:lastRenderedPageBreak/>
        <w:t>2</w:t>
      </w:r>
      <w:r w:rsidRPr="005A5B31">
        <w:tab/>
        <w:t>Introduction</w:t>
      </w:r>
    </w:p>
    <w:p w14:paraId="72DC6E36" w14:textId="71CD2B6E" w:rsidR="001D092A" w:rsidRDefault="00791710" w:rsidP="00315863">
      <w:pPr>
        <w:rPr>
          <w:szCs w:val="24"/>
        </w:rPr>
      </w:pPr>
      <w:r w:rsidRPr="005A5B31">
        <w:rPr>
          <w:szCs w:val="24"/>
        </w:rPr>
        <w:t xml:space="preserve">Private </w:t>
      </w:r>
      <w:r w:rsidR="006B3CAE" w:rsidRPr="00127290">
        <w:rPr>
          <w:szCs w:val="24"/>
        </w:rPr>
        <w:t>l</w:t>
      </w:r>
      <w:r w:rsidR="001D092A" w:rsidRPr="005A5B31">
        <w:rPr>
          <w:szCs w:val="24"/>
        </w:rPr>
        <w:t xml:space="preserve">and </w:t>
      </w:r>
      <w:r w:rsidR="006B3CAE" w:rsidRPr="00127290">
        <w:rPr>
          <w:szCs w:val="24"/>
        </w:rPr>
        <w:t>m</w:t>
      </w:r>
      <w:r w:rsidR="001D092A" w:rsidRPr="005A5B31">
        <w:rPr>
          <w:szCs w:val="24"/>
        </w:rPr>
        <w:t>obile adios have been providing two way communications for many industries for decades and continue to empower millions of businesses and industries around the world. From schools to seaports, construction sites to convention halls, factories to delivery services, they are synonymous with reliability, durability and convenience.</w:t>
      </w:r>
      <w:r w:rsidR="001D092A" w:rsidRPr="00791710">
        <w:rPr>
          <w:szCs w:val="24"/>
        </w:rPr>
        <w:t xml:space="preserve"> </w:t>
      </w:r>
    </w:p>
    <w:p w14:paraId="0D7CF240" w14:textId="7DA4C8C6" w:rsidR="00791710" w:rsidRPr="009E330F" w:rsidRDefault="004F2B8C" w:rsidP="00315863">
      <w:pPr>
        <w:rPr>
          <w:i/>
          <w:szCs w:val="24"/>
        </w:rPr>
      </w:pPr>
      <w:r w:rsidRPr="009E330F">
        <w:rPr>
          <w:i/>
          <w:szCs w:val="24"/>
          <w:highlight w:val="yellow"/>
        </w:rPr>
        <w:t xml:space="preserve">Editor´s </w:t>
      </w:r>
      <w:r w:rsidR="00545874" w:rsidRPr="009E330F">
        <w:rPr>
          <w:i/>
          <w:szCs w:val="24"/>
          <w:highlight w:val="yellow"/>
        </w:rPr>
        <w:t>note</w:t>
      </w:r>
      <w:r w:rsidRPr="009E330F">
        <w:rPr>
          <w:i/>
          <w:szCs w:val="24"/>
          <w:highlight w:val="yellow"/>
        </w:rPr>
        <w:t xml:space="preserve">: </w:t>
      </w:r>
      <w:r w:rsidR="00EE57B0" w:rsidRPr="009E330F">
        <w:rPr>
          <w:i/>
          <w:szCs w:val="24"/>
          <w:highlight w:val="yellow"/>
        </w:rPr>
        <w:t xml:space="preserve">Is </w:t>
      </w:r>
      <w:r w:rsidRPr="009E330F">
        <w:rPr>
          <w:i/>
          <w:szCs w:val="24"/>
          <w:highlight w:val="yellow"/>
        </w:rPr>
        <w:t>necessary to develop some paragraph regarding to the analog to digital</w:t>
      </w:r>
      <w:r w:rsidR="00791710" w:rsidRPr="009E330F">
        <w:rPr>
          <w:i/>
          <w:szCs w:val="24"/>
          <w:highlight w:val="yellow"/>
        </w:rPr>
        <w:t xml:space="preserve"> transition</w:t>
      </w:r>
    </w:p>
    <w:p w14:paraId="0D6632A2" w14:textId="06B26A4A" w:rsidR="001D092A" w:rsidRPr="005A5B31" w:rsidRDefault="001D092A" w:rsidP="00315863">
      <w:pPr>
        <w:rPr>
          <w:szCs w:val="24"/>
        </w:rPr>
      </w:pPr>
      <w:r w:rsidRPr="005A5B31">
        <w:rPr>
          <w:szCs w:val="24"/>
        </w:rPr>
        <w:t xml:space="preserve">In the recent years, </w:t>
      </w:r>
      <w:r w:rsidR="006B3CAE" w:rsidRPr="00127290">
        <w:rPr>
          <w:szCs w:val="24"/>
        </w:rPr>
        <w:t>p</w:t>
      </w:r>
      <w:r w:rsidR="00791710" w:rsidRPr="005A5B31">
        <w:rPr>
          <w:szCs w:val="24"/>
        </w:rPr>
        <w:t xml:space="preserve">rivate </w:t>
      </w:r>
      <w:r w:rsidR="006B3CAE" w:rsidRPr="00127290">
        <w:rPr>
          <w:szCs w:val="24"/>
        </w:rPr>
        <w:t>l</w:t>
      </w:r>
      <w:r w:rsidRPr="005A5B31">
        <w:rPr>
          <w:szCs w:val="24"/>
        </w:rPr>
        <w:t xml:space="preserve">and </w:t>
      </w:r>
      <w:r w:rsidR="006B3CAE" w:rsidRPr="00127290">
        <w:rPr>
          <w:szCs w:val="24"/>
        </w:rPr>
        <w:t>m</w:t>
      </w:r>
      <w:r w:rsidRPr="005A5B31">
        <w:rPr>
          <w:szCs w:val="24"/>
        </w:rPr>
        <w:t xml:space="preserve">obile </w:t>
      </w:r>
      <w:r w:rsidR="00791710" w:rsidRPr="005A5B31">
        <w:rPr>
          <w:szCs w:val="24"/>
        </w:rPr>
        <w:t>R</w:t>
      </w:r>
      <w:r w:rsidRPr="005A5B31">
        <w:rPr>
          <w:szCs w:val="24"/>
        </w:rPr>
        <w:t>adios have been transitioning from analog to digital to meet the needs of greater spectrum efficiency. Digital land mobile radios are highly bandwidth-efficient and can accommodate two completely separate “channels” in one 12.5 kHz channel making more efficient use of precious radio spectrum. Digital land mobile radios therefore provide double the capacity of existing 12.5 kHz channel and enable many more people to communicate in the same spectrum.</w:t>
      </w:r>
    </w:p>
    <w:p w14:paraId="24B118DE" w14:textId="02D461CA" w:rsidR="001D092A" w:rsidRPr="005A5B31" w:rsidRDefault="001D092A" w:rsidP="00B35573">
      <w:r w:rsidRPr="005A5B31">
        <w:t>Many administrations around the world have therefore mandated the use of digital</w:t>
      </w:r>
      <w:r w:rsidR="006B3CAE" w:rsidRPr="00127290">
        <w:t xml:space="preserve"> private</w:t>
      </w:r>
      <w:r w:rsidRPr="005A5B31">
        <w:t xml:space="preserve"> land mobile radios when authorizing any new licenses </w:t>
      </w:r>
      <w:r w:rsidRPr="005A5B31">
        <w:rPr>
          <w:rStyle w:val="m-509392738352997423msoins"/>
        </w:rPr>
        <w:t>and that new designs of two-way radios must be based on digital standards</w:t>
      </w:r>
      <w:r w:rsidRPr="005A5B31">
        <w:t>.</w:t>
      </w:r>
    </w:p>
    <w:p w14:paraId="3913AFFA" w14:textId="7C95D5E1" w:rsidR="001D092A" w:rsidRDefault="001D092A" w:rsidP="008D7B45">
      <w:r w:rsidRPr="005A5B31">
        <w:t>In addition, digital</w:t>
      </w:r>
      <w:r w:rsidR="006B3CAE" w:rsidRPr="00127290">
        <w:t xml:space="preserve"> private</w:t>
      </w:r>
      <w:r w:rsidRPr="005A5B31">
        <w:t xml:space="preserve"> land mobile radios</w:t>
      </w:r>
      <w:r w:rsidR="00791710" w:rsidRPr="005A5B31">
        <w:t xml:space="preserve"> </w:t>
      </w:r>
      <w:r w:rsidRPr="005A5B31">
        <w:t xml:space="preserve">offer many advantages over analog, including improved voice quality with greater coverage, better privacy, better battery life and more. In a normal analog radio, every sound that’s picked up by the microphone is transmitted. If there’s a lot of background noise, it can be very difficult to understand the message. Digital technology uses software that focuses purely on voice or data, paying no attention to the machine clatter or the crowd noise around </w:t>
      </w:r>
      <w:r w:rsidR="00C92E94" w:rsidRPr="005A5B31">
        <w:t>the users</w:t>
      </w:r>
      <w:r w:rsidRPr="005A5B31">
        <w:t xml:space="preserve">. The result is exceptional voice clarity. Radio interference creates static on an analog radio and makes the conversation less intelligible. Voice gets garbled and the message must be repeated. Because a digital radio has automatic error correction, it rebuilds voice sounds and maintains the clarity of the voice, even if a signal is badly corrupted. And since speech is digitally-encoded, </w:t>
      </w:r>
      <w:r w:rsidR="00C92E94" w:rsidRPr="005A5B31">
        <w:t>the users</w:t>
      </w:r>
      <w:r w:rsidRPr="005A5B31">
        <w:t xml:space="preserve"> benefit from smarter capabilities, such as advanced software algorithms that can deliver clear voice in the most extreme conditions. See figure 1 below</w:t>
      </w:r>
      <w:r w:rsidR="001A6768">
        <w:t>.</w:t>
      </w:r>
    </w:p>
    <w:p w14:paraId="4352CD8E" w14:textId="3ABB0EE6" w:rsidR="00C92E94" w:rsidRPr="009E330F" w:rsidRDefault="004F2B8C" w:rsidP="008D7B45">
      <w:pPr>
        <w:rPr>
          <w:i/>
        </w:rPr>
      </w:pPr>
      <w:r w:rsidRPr="009E330F">
        <w:rPr>
          <w:i/>
          <w:highlight w:val="yellow"/>
        </w:rPr>
        <w:t xml:space="preserve">Editor´s </w:t>
      </w:r>
      <w:r w:rsidR="00545874" w:rsidRPr="009E330F">
        <w:rPr>
          <w:i/>
          <w:highlight w:val="yellow"/>
        </w:rPr>
        <w:t>note</w:t>
      </w:r>
      <w:r w:rsidRPr="009E330F">
        <w:rPr>
          <w:i/>
          <w:highlight w:val="yellow"/>
        </w:rPr>
        <w:t xml:space="preserve">: </w:t>
      </w:r>
      <w:r w:rsidR="00545874" w:rsidRPr="009E330F">
        <w:rPr>
          <w:i/>
          <w:highlight w:val="yellow"/>
        </w:rPr>
        <w:t>The above</w:t>
      </w:r>
      <w:r w:rsidRPr="009E330F">
        <w:rPr>
          <w:i/>
          <w:highlight w:val="yellow"/>
        </w:rPr>
        <w:t xml:space="preserve"> information c</w:t>
      </w:r>
      <w:r w:rsidR="00C92E94" w:rsidRPr="009E330F">
        <w:rPr>
          <w:i/>
          <w:highlight w:val="yellow"/>
        </w:rPr>
        <w:t>ould be</w:t>
      </w:r>
      <w:r w:rsidRPr="009E330F">
        <w:rPr>
          <w:i/>
          <w:highlight w:val="yellow"/>
        </w:rPr>
        <w:t xml:space="preserve"> used in the</w:t>
      </w:r>
      <w:r w:rsidR="00C92E94" w:rsidRPr="009E330F">
        <w:rPr>
          <w:i/>
          <w:highlight w:val="yellow"/>
        </w:rPr>
        <w:t xml:space="preserve"> </w:t>
      </w:r>
      <w:r w:rsidR="00545874" w:rsidRPr="009E330F">
        <w:rPr>
          <w:i/>
          <w:highlight w:val="yellow"/>
        </w:rPr>
        <w:t>Item</w:t>
      </w:r>
      <w:r w:rsidR="00C92E94" w:rsidRPr="009E330F">
        <w:rPr>
          <w:i/>
          <w:highlight w:val="yellow"/>
        </w:rPr>
        <w:t xml:space="preserve"> </w:t>
      </w:r>
      <w:r w:rsidR="00545874" w:rsidRPr="009E330F">
        <w:rPr>
          <w:i/>
          <w:highlight w:val="yellow"/>
        </w:rPr>
        <w:t>7</w:t>
      </w:r>
    </w:p>
    <w:p w14:paraId="5AA4A237" w14:textId="77777777" w:rsidR="008D7B45" w:rsidRDefault="008D7B45" w:rsidP="008D7B45">
      <w:pPr>
        <w:pStyle w:val="FigureNo"/>
      </w:pPr>
      <w:r>
        <w:lastRenderedPageBreak/>
        <w:t>Figure 1</w:t>
      </w:r>
    </w:p>
    <w:p w14:paraId="78F00BD1" w14:textId="1B3B12E0" w:rsidR="008D7B45" w:rsidRPr="008D7B45" w:rsidRDefault="00B3653A" w:rsidP="00EE57B0">
      <w:pPr>
        <w:pStyle w:val="Figuretitle"/>
      </w:pPr>
      <w:r>
        <w:t xml:space="preserve">Conceptual diagram showing </w:t>
      </w:r>
      <w:r w:rsidR="00DF5973" w:rsidRPr="00EE57B0">
        <w:t>i</w:t>
      </w:r>
      <w:r w:rsidR="008D7B45" w:rsidRPr="00EE57B0">
        <w:t>mprovements</w:t>
      </w:r>
      <w:r w:rsidR="008D7B45">
        <w:t xml:space="preserve"> in audio quality with digital </w:t>
      </w:r>
      <w:r>
        <w:t>P</w:t>
      </w:r>
      <w:r w:rsidR="008D7B45">
        <w:t>LMR</w:t>
      </w:r>
    </w:p>
    <w:p w14:paraId="2C024A16" w14:textId="77777777" w:rsidR="001D092A" w:rsidRDefault="001D092A" w:rsidP="00EE57B0">
      <w:pPr>
        <w:jc w:val="center"/>
      </w:pPr>
      <w:r w:rsidRPr="008D7B45">
        <w:drawing>
          <wp:inline distT="0" distB="0" distL="0" distR="0" wp14:anchorId="11B7D504" wp14:editId="5473AC48">
            <wp:extent cx="5167630" cy="318008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cstate="print"/>
                    <a:srcRect l="20000" t="32222" r="34500" b="20667"/>
                    <a:stretch>
                      <a:fillRect/>
                    </a:stretch>
                  </pic:blipFill>
                  <pic:spPr bwMode="auto">
                    <a:xfrm>
                      <a:off x="0" y="0"/>
                      <a:ext cx="5166526" cy="3179401"/>
                    </a:xfrm>
                    <a:prstGeom prst="rect">
                      <a:avLst/>
                    </a:prstGeom>
                    <a:noFill/>
                    <a:ln w="9525">
                      <a:noFill/>
                      <a:miter lim="800000"/>
                      <a:headEnd/>
                      <a:tailEnd/>
                    </a:ln>
                  </pic:spPr>
                </pic:pic>
              </a:graphicData>
            </a:graphic>
          </wp:inline>
        </w:drawing>
      </w:r>
    </w:p>
    <w:p w14:paraId="5E6B32F9" w14:textId="77777777" w:rsidR="000A2CCD" w:rsidRDefault="000A2CCD" w:rsidP="00127290"/>
    <w:p w14:paraId="6EE0FCE4" w14:textId="77777777" w:rsidR="001D092A" w:rsidRPr="008D7B45" w:rsidRDefault="001D092A" w:rsidP="008D7B45">
      <w:pPr>
        <w:pStyle w:val="Heading1"/>
      </w:pPr>
      <w:r w:rsidRPr="000A2CCD">
        <w:t>3</w:t>
      </w:r>
      <w:r w:rsidRPr="000A2CCD">
        <w:tab/>
        <w:t>General technical and operational considerations</w:t>
      </w:r>
    </w:p>
    <w:p w14:paraId="48529AEF" w14:textId="794D0114" w:rsidR="001D092A" w:rsidRDefault="001D092A" w:rsidP="004852E4">
      <w:r>
        <w:rPr>
          <w:b/>
          <w:bCs/>
        </w:rPr>
        <w:t>3</w:t>
      </w:r>
      <w:r w:rsidRPr="007E5D75">
        <w:rPr>
          <w:b/>
          <w:bCs/>
        </w:rPr>
        <w:t>.1</w:t>
      </w:r>
      <w:r w:rsidRPr="007E5D75">
        <w:tab/>
      </w:r>
    </w:p>
    <w:p w14:paraId="240E9014" w14:textId="1A2F61B7" w:rsidR="001D092A" w:rsidRDefault="001D092A" w:rsidP="00DD0F45">
      <w:r>
        <w:rPr>
          <w:b/>
        </w:rPr>
        <w:t>3</w:t>
      </w:r>
      <w:r w:rsidRPr="008B4441">
        <w:rPr>
          <w:b/>
        </w:rPr>
        <w:t>.2</w:t>
      </w:r>
      <w:r>
        <w:tab/>
      </w:r>
      <w:r w:rsidRPr="007E5D75">
        <w:t>The system</w:t>
      </w:r>
      <w:r>
        <w:t>s</w:t>
      </w:r>
      <w:r w:rsidRPr="007E5D75">
        <w:t xml:space="preserve"> require </w:t>
      </w:r>
      <w:r>
        <w:t>using digital techniques and have better spectrum efficiency than existing analog private land mobile radio systems.</w:t>
      </w:r>
    </w:p>
    <w:p w14:paraId="5DBA0D28" w14:textId="77777777" w:rsidR="001D092A" w:rsidRDefault="001D092A" w:rsidP="00DD0F45">
      <w:r>
        <w:rPr>
          <w:b/>
          <w:bCs/>
        </w:rPr>
        <w:t>3</w:t>
      </w:r>
      <w:r w:rsidRPr="007E5D75">
        <w:rPr>
          <w:b/>
          <w:bCs/>
        </w:rPr>
        <w:t>.</w:t>
      </w:r>
      <w:r>
        <w:rPr>
          <w:b/>
          <w:bCs/>
        </w:rPr>
        <w:t>3</w:t>
      </w:r>
      <w:r w:rsidRPr="007E5D75">
        <w:tab/>
        <w:t>The system</w:t>
      </w:r>
      <w:r>
        <w:t>s</w:t>
      </w:r>
      <w:r w:rsidRPr="007E5D75">
        <w:t xml:space="preserve"> </w:t>
      </w:r>
      <w:r>
        <w:t xml:space="preserve">will be based on open standards for the benefit of end users. </w:t>
      </w:r>
    </w:p>
    <w:p w14:paraId="616F2709" w14:textId="53BE75A3" w:rsidR="00545874" w:rsidRPr="009E330F" w:rsidRDefault="00545874" w:rsidP="00545874">
      <w:pPr>
        <w:rPr>
          <w:i/>
          <w:lang w:eastAsia="zh-CN"/>
        </w:rPr>
      </w:pPr>
      <w:r w:rsidRPr="009E330F">
        <w:rPr>
          <w:i/>
          <w:highlight w:val="yellow"/>
          <w:lang w:eastAsia="zh-CN"/>
        </w:rPr>
        <w:t>Editor´s note: To be enhanced and complemented</w:t>
      </w:r>
    </w:p>
    <w:p w14:paraId="62E478DB" w14:textId="77777777" w:rsidR="001D092A" w:rsidRPr="00C7793D" w:rsidRDefault="001D092A" w:rsidP="00DD0F45">
      <w:pPr>
        <w:pStyle w:val="Heading1"/>
      </w:pPr>
      <w:r w:rsidRPr="00C7793D">
        <w:t>4</w:t>
      </w:r>
      <w:r w:rsidRPr="00C7793D">
        <w:tab/>
        <w:t>Systems technical characteristics and operational features</w:t>
      </w:r>
    </w:p>
    <w:p w14:paraId="1F2AB2C5" w14:textId="77777777" w:rsidR="00545874" w:rsidRPr="009E330F" w:rsidRDefault="00545874" w:rsidP="00545874">
      <w:pPr>
        <w:rPr>
          <w:i/>
          <w:lang w:eastAsia="zh-CN"/>
        </w:rPr>
      </w:pPr>
      <w:r w:rsidRPr="009E330F">
        <w:rPr>
          <w:i/>
          <w:highlight w:val="yellow"/>
          <w:lang w:eastAsia="zh-CN"/>
        </w:rPr>
        <w:t>Editor´s note: To be enhanced and complemented</w:t>
      </w:r>
    </w:p>
    <w:p w14:paraId="1C5FEE1C" w14:textId="5914934F" w:rsidR="001D092A" w:rsidRPr="00C7793D" w:rsidRDefault="001D092A" w:rsidP="00C16136">
      <w:pPr>
        <w:pStyle w:val="Heading1"/>
      </w:pPr>
      <w:r w:rsidRPr="00C7793D">
        <w:t>5</w:t>
      </w:r>
      <w:r w:rsidRPr="00C7793D">
        <w:tab/>
      </w:r>
      <w:r>
        <w:t>F</w:t>
      </w:r>
      <w:r w:rsidRPr="00C7793D">
        <w:t>requency bands</w:t>
      </w:r>
    </w:p>
    <w:p w14:paraId="273E5B0D" w14:textId="20BE31DB" w:rsidR="001D092A" w:rsidRDefault="001D092A" w:rsidP="007554DF">
      <w:r>
        <w:rPr>
          <w:b/>
        </w:rPr>
        <w:t>5</w:t>
      </w:r>
      <w:r w:rsidRPr="008B4441">
        <w:rPr>
          <w:b/>
        </w:rPr>
        <w:t>.1</w:t>
      </w:r>
      <w:r w:rsidR="00EE57B0">
        <w:rPr>
          <w:b/>
        </w:rPr>
        <w:tab/>
      </w:r>
    </w:p>
    <w:p w14:paraId="6D05800E" w14:textId="72FBE099" w:rsidR="002031C5" w:rsidRDefault="00A05FCD" w:rsidP="002031C5">
      <w:r>
        <w:t>P</w:t>
      </w:r>
      <w:r w:rsidR="002031C5">
        <w:t>LMR</w:t>
      </w:r>
      <w:r>
        <w:t xml:space="preserve"> utilizes various frequency bands across regions </w:t>
      </w:r>
      <w:r w:rsidR="002031C5">
        <w:t>in the mobile service</w:t>
      </w:r>
      <w:r>
        <w:t>,</w:t>
      </w:r>
      <w:r w:rsidR="002031C5">
        <w:t xml:space="preserve"> subject to provisions in the Radio Regulations, regional harmonization measures and </w:t>
      </w:r>
      <w:r>
        <w:t>national conditions</w:t>
      </w:r>
      <w:r w:rsidR="002031C5">
        <w:rPr>
          <w:rStyle w:val="FootnoteReference"/>
        </w:rPr>
        <w:footnoteReference w:id="1"/>
      </w:r>
      <w:r>
        <w:t>.</w:t>
      </w:r>
    </w:p>
    <w:p w14:paraId="1E37C203" w14:textId="5CA07A42" w:rsidR="001D092A" w:rsidRPr="009E330F" w:rsidRDefault="007247D5" w:rsidP="00DD0F45">
      <w:pPr>
        <w:rPr>
          <w:i/>
          <w:lang w:eastAsia="zh-CN"/>
        </w:rPr>
      </w:pPr>
      <w:r w:rsidRPr="009E330F">
        <w:rPr>
          <w:i/>
          <w:highlight w:val="yellow"/>
          <w:lang w:eastAsia="zh-CN"/>
        </w:rPr>
        <w:t>Editor´s note</w:t>
      </w:r>
      <w:r w:rsidR="00545874" w:rsidRPr="009E330F">
        <w:rPr>
          <w:i/>
          <w:highlight w:val="yellow"/>
          <w:lang w:eastAsia="zh-CN"/>
        </w:rPr>
        <w:t>: To be enhanced and complemented</w:t>
      </w:r>
    </w:p>
    <w:p w14:paraId="5C1AC115" w14:textId="77777777" w:rsidR="001D092A" w:rsidRPr="00C7793D" w:rsidRDefault="001D092A" w:rsidP="00DD0F45">
      <w:pPr>
        <w:pStyle w:val="Heading1"/>
      </w:pPr>
      <w:r w:rsidRPr="00C7793D">
        <w:t>6</w:t>
      </w:r>
      <w:r w:rsidRPr="00C7793D">
        <w:tab/>
        <w:t>Channelization</w:t>
      </w:r>
    </w:p>
    <w:p w14:paraId="096E3439" w14:textId="20F4AE45" w:rsidR="001D092A" w:rsidRDefault="003B07C1" w:rsidP="00EE57B0">
      <w:pPr>
        <w:rPr>
          <w:lang w:eastAsia="zh-CN"/>
        </w:rPr>
      </w:pPr>
      <w:r>
        <w:rPr>
          <w:lang w:eastAsia="zh-CN"/>
        </w:rPr>
        <w:t>[</w:t>
      </w:r>
      <w:r w:rsidR="001D092A">
        <w:rPr>
          <w:lang w:eastAsia="zh-CN"/>
        </w:rPr>
        <w:t>Channel raster should be compatible with existing channelization and must be technology inclusive</w:t>
      </w:r>
      <w:r w:rsidR="00A05FCD">
        <w:rPr>
          <w:lang w:eastAsia="zh-CN"/>
        </w:rPr>
        <w:t>]</w:t>
      </w:r>
      <w:r w:rsidR="001D092A">
        <w:rPr>
          <w:lang w:eastAsia="zh-CN"/>
        </w:rPr>
        <w:t>.</w:t>
      </w:r>
    </w:p>
    <w:p w14:paraId="2A7FB983" w14:textId="2299E905" w:rsidR="00545874" w:rsidRPr="009E330F" w:rsidRDefault="007247D5" w:rsidP="00545874">
      <w:pPr>
        <w:rPr>
          <w:i/>
          <w:lang w:eastAsia="zh-CN"/>
        </w:rPr>
      </w:pPr>
      <w:r w:rsidRPr="009E330F">
        <w:rPr>
          <w:i/>
          <w:highlight w:val="yellow"/>
          <w:lang w:eastAsia="zh-CN"/>
        </w:rPr>
        <w:lastRenderedPageBreak/>
        <w:t>Editor´s note</w:t>
      </w:r>
      <w:r w:rsidR="00545874" w:rsidRPr="009E330F">
        <w:rPr>
          <w:i/>
          <w:highlight w:val="yellow"/>
          <w:lang w:eastAsia="zh-CN"/>
        </w:rPr>
        <w:t>: To be enhanced and complemented</w:t>
      </w:r>
    </w:p>
    <w:p w14:paraId="1596B63D" w14:textId="27254266" w:rsidR="00681424" w:rsidRPr="00127290" w:rsidRDefault="00545874" w:rsidP="00127290">
      <w:pPr>
        <w:pStyle w:val="Heading1"/>
        <w:rPr>
          <w:rFonts w:eastAsia="Times New Roman"/>
        </w:rPr>
      </w:pPr>
      <w:r>
        <w:t>7</w:t>
      </w:r>
      <w:r>
        <w:tab/>
      </w:r>
      <w:r w:rsidR="00681424" w:rsidRPr="00127290">
        <w:rPr>
          <w:rFonts w:eastAsia="Times New Roman"/>
        </w:rPr>
        <w:t>Analog to digital transition</w:t>
      </w:r>
    </w:p>
    <w:p w14:paraId="51DA0824" w14:textId="77777777" w:rsidR="00681424" w:rsidRPr="00127290" w:rsidRDefault="00681424" w:rsidP="00EE57B0">
      <w:r w:rsidRPr="00127290">
        <w:t>When planning to introduce digital PLMR for the first time, considerations for both data and voice, spectrum channeling plans, type approval and regulatory requirements need to be considered and to ensure  the operation of digital radio in existing (or planned) LMR frequency bands.</w:t>
      </w:r>
    </w:p>
    <w:p w14:paraId="34773FF2" w14:textId="4277AA63" w:rsidR="00681424" w:rsidRPr="00127290" w:rsidRDefault="00545874" w:rsidP="00127290">
      <w:pPr>
        <w:pStyle w:val="Heading2"/>
      </w:pPr>
      <w:r w:rsidRPr="00127290">
        <w:t>7</w:t>
      </w:r>
      <w:r w:rsidR="00681424" w:rsidRPr="00127290">
        <w:t>.1</w:t>
      </w:r>
      <w:r>
        <w:tab/>
      </w:r>
      <w:r w:rsidR="00681424" w:rsidRPr="00127290">
        <w:t>Digital Voice and Data</w:t>
      </w:r>
    </w:p>
    <w:p w14:paraId="5DDCEBD9" w14:textId="18F3A62A" w:rsidR="00681424" w:rsidRPr="00CB49DE" w:rsidRDefault="00681424" w:rsidP="00EE57B0">
      <w:r w:rsidRPr="00127290">
        <w:t>Digital PLMR systems support both voice and data services, in time or in frequency domain. Data applications in PLMR are becoming an important aspect of PLMR applications. In scenarios where analog only radio interface are included in the national PLMR requirements, PLMR systems that support both data and voice or improved voice channel will have to wait for changes to benefit from the improved channel usage or to benefit from bot</w:t>
      </w:r>
      <w:r w:rsidR="00CB49DE" w:rsidRPr="00CB49DE">
        <w:t>h data and voice capabilities.</w:t>
      </w:r>
    </w:p>
    <w:p w14:paraId="7F50C1DD" w14:textId="63A15E4C" w:rsidR="00681424" w:rsidRPr="00127290" w:rsidRDefault="00545874" w:rsidP="00127290">
      <w:pPr>
        <w:pStyle w:val="Heading2"/>
      </w:pPr>
      <w:r w:rsidRPr="00127290">
        <w:t>7</w:t>
      </w:r>
      <w:r w:rsidR="00681424" w:rsidRPr="00127290">
        <w:t>.2</w:t>
      </w:r>
      <w:r>
        <w:tab/>
      </w:r>
      <w:r w:rsidR="00681424" w:rsidRPr="00127290">
        <w:t>Spectrum</w:t>
      </w:r>
    </w:p>
    <w:p w14:paraId="582A39EA" w14:textId="77777777" w:rsidR="00681424" w:rsidRDefault="00681424" w:rsidP="00EE57B0">
      <w:r w:rsidRPr="00127290">
        <w:t xml:space="preserve">Digital radio equipment that use 25 kHz and 12.5 kHz can operate in existing LMR frequency bands using existing channel arrangements (transmit power, channel assignment plan, channel raster, etc.). </w:t>
      </w:r>
    </w:p>
    <w:p w14:paraId="66FC9EF2" w14:textId="0B0FF912" w:rsidR="00681424" w:rsidRPr="00127290" w:rsidRDefault="00545874" w:rsidP="00127290">
      <w:pPr>
        <w:pStyle w:val="Heading2"/>
      </w:pPr>
      <w:r w:rsidRPr="00127290">
        <w:t>7</w:t>
      </w:r>
      <w:r w:rsidR="00681424" w:rsidRPr="00127290">
        <w:t>.3</w:t>
      </w:r>
      <w:r>
        <w:tab/>
      </w:r>
      <w:r w:rsidR="00681424" w:rsidRPr="00127290">
        <w:t>Standards</w:t>
      </w:r>
    </w:p>
    <w:p w14:paraId="046A9B0F" w14:textId="77777777" w:rsidR="00681424" w:rsidRPr="00127290" w:rsidRDefault="00681424" w:rsidP="00EE57B0">
      <w:r w:rsidRPr="00127290">
        <w:t xml:space="preserve">There are a number of standards and technologies that support digital PLMR applications and detail conformity requirements. A list of some of standards has been provided in Annex 1 as a guide for users, administrations and industry. </w:t>
      </w:r>
    </w:p>
    <w:p w14:paraId="08CB4C92" w14:textId="058955CF" w:rsidR="00681424" w:rsidRPr="00EE57B0" w:rsidRDefault="00681424" w:rsidP="00EE57B0">
      <w:pPr>
        <w:rPr>
          <w:i/>
          <w:iCs/>
        </w:rPr>
      </w:pPr>
      <w:r w:rsidRPr="00EE57B0">
        <w:rPr>
          <w:i/>
          <w:iCs/>
          <w:highlight w:val="yellow"/>
        </w:rPr>
        <w:t>Note to editor: This section can be relocated to improve the layout/flow of the report. Material for Annex 1 will be provided in the next revision of this working document</w:t>
      </w:r>
    </w:p>
    <w:p w14:paraId="18F7CE44" w14:textId="6C641859" w:rsidR="001D092A" w:rsidRPr="00C7793D" w:rsidRDefault="001D092A" w:rsidP="00EE57B0">
      <w:r w:rsidRPr="00C7793D">
        <w:t>...</w:t>
      </w:r>
    </w:p>
    <w:p w14:paraId="75B0C20B" w14:textId="77777777" w:rsidR="000069D4" w:rsidRDefault="000069D4" w:rsidP="00DD4BED"/>
    <w:p w14:paraId="57070325" w14:textId="77777777" w:rsidR="00EE57B0" w:rsidRDefault="00EE57B0" w:rsidP="0032202E">
      <w:pPr>
        <w:pStyle w:val="Reasons"/>
      </w:pPr>
    </w:p>
    <w:p w14:paraId="4310832D" w14:textId="77777777" w:rsidR="00EE57B0" w:rsidRDefault="00EE57B0">
      <w:pPr>
        <w:jc w:val="center"/>
      </w:pPr>
      <w:r>
        <w:t>______________</w:t>
      </w:r>
    </w:p>
    <w:p w14:paraId="19111ACE" w14:textId="77777777" w:rsidR="008D7B45" w:rsidRDefault="008D7B45" w:rsidP="0032202E">
      <w:pPr>
        <w:pStyle w:val="Reasons"/>
      </w:pPr>
    </w:p>
    <w:sectPr w:rsidR="008D7B45"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641BF" w14:textId="77777777" w:rsidR="005B4303" w:rsidRDefault="005B4303">
      <w:r>
        <w:separator/>
      </w:r>
    </w:p>
  </w:endnote>
  <w:endnote w:type="continuationSeparator" w:id="0">
    <w:p w14:paraId="54598A1C" w14:textId="77777777" w:rsidR="005B4303" w:rsidRDefault="005B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Courier New"/>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C97D" w14:textId="2B8D723B" w:rsidR="00FA124A" w:rsidRPr="002F7CB3" w:rsidRDefault="00EE57B0" w:rsidP="000B3A03">
    <w:pPr>
      <w:pStyle w:val="Footer"/>
      <w:rPr>
        <w:lang w:val="en-US"/>
      </w:rPr>
    </w:pPr>
    <w:fldSimple w:instr=" FILENAME \p  \* MERGEFORMAT ">
      <w:r w:rsidR="000F6065">
        <w:t>M:\BRSGD\TEXT2016\SG05\WP5A\200\298\298N015e.docx</w:t>
      </w:r>
    </w:fldSimple>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0C02" w14:textId="0D2E6597" w:rsidR="00FA124A" w:rsidRPr="002F7CB3" w:rsidRDefault="00EE57B0" w:rsidP="00EE57B0">
    <w:pPr>
      <w:pStyle w:val="Footer"/>
      <w:rPr>
        <w:lang w:val="en-US"/>
      </w:rPr>
    </w:pPr>
    <w:fldSimple w:instr=" FILENAME \p  \* MERGEFORMAT ">
      <w:r w:rsidR="000F6065">
        <w:t>M:\BRSGD\TEXT2016\SG05\WP5A\200\298\298N015e.docx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0A663" w14:textId="77777777" w:rsidR="005B4303" w:rsidRDefault="005B4303">
      <w:r>
        <w:t>____________________</w:t>
      </w:r>
    </w:p>
  </w:footnote>
  <w:footnote w:type="continuationSeparator" w:id="0">
    <w:p w14:paraId="3D966BD1" w14:textId="77777777" w:rsidR="005B4303" w:rsidRDefault="005B4303">
      <w:r>
        <w:continuationSeparator/>
      </w:r>
    </w:p>
  </w:footnote>
  <w:footnote w:id="1">
    <w:p w14:paraId="45DE5189" w14:textId="6B851BEE" w:rsidR="002031C5" w:rsidRPr="00127290" w:rsidRDefault="002031C5" w:rsidP="00EE57B0">
      <w:pPr>
        <w:rPr>
          <w:lang w:val="en-US"/>
        </w:rPr>
      </w:pPr>
      <w:r>
        <w:rPr>
          <w:rStyle w:val="FootnoteReference"/>
        </w:rPr>
        <w:footnoteRef/>
      </w:r>
      <w:r>
        <w:t xml:space="preserve"> For example</w:t>
      </w:r>
      <w:r w:rsidR="00A05FCD">
        <w:t>, in</w:t>
      </w:r>
      <w:r>
        <w:t xml:space="preserve"> some countr</w:t>
      </w:r>
      <w:r w:rsidR="00A05FCD">
        <w:t>ies the following bands are used</w:t>
      </w:r>
      <w:r>
        <w:t xml:space="preserve"> for PLMR:</w:t>
      </w:r>
      <w:r w:rsidRPr="002031C5">
        <w:t xml:space="preserve"> </w:t>
      </w:r>
      <w:r>
        <w:t>136 to 144 MHz, 148 to 174 MHz, 350 to 470 MHz</w:t>
      </w:r>
      <w:r w:rsidR="00A05FCD">
        <w:t xml:space="preserve">, 806 to </w:t>
      </w:r>
      <w:r>
        <w:t xml:space="preserve">869 MHz.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7913" w14:textId="3D516633"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F6065">
      <w:rPr>
        <w:rStyle w:val="PageNumber"/>
        <w:noProof/>
      </w:rPr>
      <w:t>4</w:t>
    </w:r>
    <w:r w:rsidR="00D02712">
      <w:rPr>
        <w:rStyle w:val="PageNumber"/>
      </w:rPr>
      <w:fldChar w:fldCharType="end"/>
    </w:r>
    <w:r>
      <w:rPr>
        <w:rStyle w:val="PageNumber"/>
      </w:rPr>
      <w:t xml:space="preserve"> -</w:t>
    </w:r>
  </w:p>
  <w:p w14:paraId="7CF39F45" w14:textId="2B091AC4" w:rsidR="00FA124A" w:rsidRDefault="001D092A" w:rsidP="000B3A03">
    <w:pPr>
      <w:pStyle w:val="Header"/>
      <w:rPr>
        <w:lang w:val="en-US"/>
      </w:rPr>
    </w:pPr>
    <w:r>
      <w:rPr>
        <w:lang w:val="en-US"/>
      </w:rPr>
      <w:t>5A/</w:t>
    </w:r>
    <w:r w:rsidR="00127290">
      <w:rPr>
        <w:lang w:val="en-US"/>
      </w:rPr>
      <w:t>2</w:t>
    </w:r>
    <w:r w:rsidR="000B3A03">
      <w:rPr>
        <w:lang w:val="en-US"/>
      </w:rPr>
      <w:t>98</w:t>
    </w:r>
    <w:r w:rsidR="00127290">
      <w:rPr>
        <w:lang w:val="en-US"/>
      </w:rPr>
      <w:t xml:space="preserve"> (Annex 15)</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F19"/>
    <w:multiLevelType w:val="hybridMultilevel"/>
    <w:tmpl w:val="37066FCC"/>
    <w:lvl w:ilvl="0" w:tplc="55C4D948">
      <w:start w:val="5"/>
      <w:numFmt w:val="bullet"/>
      <w:lvlText w:val="–"/>
      <w:lvlJc w:val="left"/>
      <w:pPr>
        <w:ind w:left="720" w:hanging="360"/>
      </w:pPr>
      <w:rPr>
        <w:rFonts w:ascii="Times New Roman" w:eastAsia="Malgun Gothic"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581D6B"/>
    <w:multiLevelType w:val="hybridMultilevel"/>
    <w:tmpl w:val="E8B85F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70097D"/>
    <w:multiLevelType w:val="hybridMultilevel"/>
    <w:tmpl w:val="DAA445F0"/>
    <w:lvl w:ilvl="0" w:tplc="2D1E672E">
      <w:start w:val="21"/>
      <w:numFmt w:val="bullet"/>
      <w:lvlText w:val="-"/>
      <w:lvlJc w:val="left"/>
      <w:pPr>
        <w:ind w:left="720" w:hanging="360"/>
      </w:pPr>
      <w:rPr>
        <w:rFonts w:ascii="Times New Roman" w:eastAsia="Malgun Gothic"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A856C0"/>
    <w:multiLevelType w:val="hybridMultilevel"/>
    <w:tmpl w:val="7EBC63D0"/>
    <w:lvl w:ilvl="0" w:tplc="7DD494AE">
      <w:start w:val="21"/>
      <w:numFmt w:val="bullet"/>
      <w:lvlText w:val="-"/>
      <w:lvlJc w:val="left"/>
      <w:pPr>
        <w:ind w:left="720" w:hanging="360"/>
      </w:pPr>
      <w:rPr>
        <w:rFonts w:ascii="Times New Roman" w:eastAsia="Malgun Gothic" w:hAnsi="Times New Roman"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994C6B"/>
    <w:multiLevelType w:val="hybridMultilevel"/>
    <w:tmpl w:val="0190738C"/>
    <w:lvl w:ilvl="0" w:tplc="2640AF48">
      <w:start w:val="1"/>
      <w:numFmt w:val="bullet"/>
      <w:lvlText w:val="-"/>
      <w:lvlJc w:val="left"/>
      <w:pPr>
        <w:ind w:left="720" w:hanging="360"/>
      </w:pPr>
      <w:rPr>
        <w:rFonts w:ascii="Times New Roman" w:eastAsia="Malgun Gothic"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1840C2"/>
    <w:multiLevelType w:val="hybridMultilevel"/>
    <w:tmpl w:val="E3A2575C"/>
    <w:lvl w:ilvl="0" w:tplc="B322B248">
      <w:start w:val="1"/>
      <w:numFmt w:val="bullet"/>
      <w:lvlText w:val="-"/>
      <w:lvlJc w:val="left"/>
      <w:pPr>
        <w:ind w:left="720" w:hanging="360"/>
      </w:pPr>
      <w:rPr>
        <w:rFonts w:ascii="Times New Roman" w:eastAsia="Malgun Gothic"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73647C"/>
    <w:multiLevelType w:val="hybridMultilevel"/>
    <w:tmpl w:val="EA58C5E0"/>
    <w:lvl w:ilvl="0" w:tplc="6D889490">
      <w:numFmt w:val="bullet"/>
      <w:lvlText w:val="-"/>
      <w:lvlJc w:val="left"/>
      <w:pPr>
        <w:ind w:left="720" w:hanging="360"/>
      </w:pPr>
      <w:rPr>
        <w:rFonts w:ascii="Times New Roman" w:eastAsia="Malgun Gothic"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9D7625"/>
    <w:multiLevelType w:val="hybridMultilevel"/>
    <w:tmpl w:val="3444A1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2A"/>
    <w:rsid w:val="000069D4"/>
    <w:rsid w:val="000174AD"/>
    <w:rsid w:val="00047A1D"/>
    <w:rsid w:val="000604B9"/>
    <w:rsid w:val="000A2CCD"/>
    <w:rsid w:val="000A7D55"/>
    <w:rsid w:val="000B3A03"/>
    <w:rsid w:val="000C2E8E"/>
    <w:rsid w:val="000D2FFB"/>
    <w:rsid w:val="000E0E7C"/>
    <w:rsid w:val="000F1B4B"/>
    <w:rsid w:val="000F6065"/>
    <w:rsid w:val="00127290"/>
    <w:rsid w:val="0012744F"/>
    <w:rsid w:val="00131178"/>
    <w:rsid w:val="00156F66"/>
    <w:rsid w:val="00163271"/>
    <w:rsid w:val="00182528"/>
    <w:rsid w:val="0018500B"/>
    <w:rsid w:val="00196A19"/>
    <w:rsid w:val="001A6768"/>
    <w:rsid w:val="001D092A"/>
    <w:rsid w:val="001D5E30"/>
    <w:rsid w:val="00202DC1"/>
    <w:rsid w:val="002031C5"/>
    <w:rsid w:val="002116EE"/>
    <w:rsid w:val="0021409B"/>
    <w:rsid w:val="002309D8"/>
    <w:rsid w:val="002642E6"/>
    <w:rsid w:val="002A7FE2"/>
    <w:rsid w:val="002B6B24"/>
    <w:rsid w:val="002C5D17"/>
    <w:rsid w:val="002E1B4F"/>
    <w:rsid w:val="002F2E67"/>
    <w:rsid w:val="002F7CB3"/>
    <w:rsid w:val="00315546"/>
    <w:rsid w:val="00317102"/>
    <w:rsid w:val="00330567"/>
    <w:rsid w:val="00386A9D"/>
    <w:rsid w:val="00391081"/>
    <w:rsid w:val="003B07C1"/>
    <w:rsid w:val="003B1A3F"/>
    <w:rsid w:val="003B2789"/>
    <w:rsid w:val="003C13CE"/>
    <w:rsid w:val="003E2518"/>
    <w:rsid w:val="003E7CEF"/>
    <w:rsid w:val="00406BD8"/>
    <w:rsid w:val="004B1414"/>
    <w:rsid w:val="004B1EF7"/>
    <w:rsid w:val="004B3FAD"/>
    <w:rsid w:val="004F2B8C"/>
    <w:rsid w:val="00501DCA"/>
    <w:rsid w:val="00513A47"/>
    <w:rsid w:val="005313DF"/>
    <w:rsid w:val="005408DF"/>
    <w:rsid w:val="00545874"/>
    <w:rsid w:val="00573344"/>
    <w:rsid w:val="00583F9B"/>
    <w:rsid w:val="00587467"/>
    <w:rsid w:val="00592D47"/>
    <w:rsid w:val="005A5B31"/>
    <w:rsid w:val="005B4303"/>
    <w:rsid w:val="005C4BB3"/>
    <w:rsid w:val="005E299F"/>
    <w:rsid w:val="005E5C10"/>
    <w:rsid w:val="005E6CBA"/>
    <w:rsid w:val="005F2167"/>
    <w:rsid w:val="005F2C78"/>
    <w:rsid w:val="006144E4"/>
    <w:rsid w:val="00650299"/>
    <w:rsid w:val="00655829"/>
    <w:rsid w:val="00655FC5"/>
    <w:rsid w:val="006642B3"/>
    <w:rsid w:val="00681424"/>
    <w:rsid w:val="006B3CAE"/>
    <w:rsid w:val="007247D5"/>
    <w:rsid w:val="00791710"/>
    <w:rsid w:val="007E3E14"/>
    <w:rsid w:val="00803365"/>
    <w:rsid w:val="00814E0A"/>
    <w:rsid w:val="00822581"/>
    <w:rsid w:val="008309DD"/>
    <w:rsid w:val="0083227A"/>
    <w:rsid w:val="00866900"/>
    <w:rsid w:val="00881BA1"/>
    <w:rsid w:val="008B4FD0"/>
    <w:rsid w:val="008C26B8"/>
    <w:rsid w:val="008D7B45"/>
    <w:rsid w:val="008E125E"/>
    <w:rsid w:val="008F208F"/>
    <w:rsid w:val="00982084"/>
    <w:rsid w:val="00995963"/>
    <w:rsid w:val="009B61EB"/>
    <w:rsid w:val="009C2064"/>
    <w:rsid w:val="009D1697"/>
    <w:rsid w:val="009E330F"/>
    <w:rsid w:val="009F3A46"/>
    <w:rsid w:val="00A014F8"/>
    <w:rsid w:val="00A05FCD"/>
    <w:rsid w:val="00A5173C"/>
    <w:rsid w:val="00A61AEF"/>
    <w:rsid w:val="00AD2345"/>
    <w:rsid w:val="00AD56DC"/>
    <w:rsid w:val="00AF173A"/>
    <w:rsid w:val="00B066A4"/>
    <w:rsid w:val="00B07A13"/>
    <w:rsid w:val="00B35573"/>
    <w:rsid w:val="00B3653A"/>
    <w:rsid w:val="00B4279B"/>
    <w:rsid w:val="00B45FC9"/>
    <w:rsid w:val="00B7566D"/>
    <w:rsid w:val="00B81138"/>
    <w:rsid w:val="00B86976"/>
    <w:rsid w:val="00B9379B"/>
    <w:rsid w:val="00BC7CCF"/>
    <w:rsid w:val="00BE470B"/>
    <w:rsid w:val="00C039C0"/>
    <w:rsid w:val="00C22138"/>
    <w:rsid w:val="00C57A91"/>
    <w:rsid w:val="00C92E94"/>
    <w:rsid w:val="00CB49DE"/>
    <w:rsid w:val="00CC01C2"/>
    <w:rsid w:val="00CE5442"/>
    <w:rsid w:val="00CF21F2"/>
    <w:rsid w:val="00D02712"/>
    <w:rsid w:val="00D046A7"/>
    <w:rsid w:val="00D214D0"/>
    <w:rsid w:val="00D6546B"/>
    <w:rsid w:val="00D81EC9"/>
    <w:rsid w:val="00DB178B"/>
    <w:rsid w:val="00DC17D3"/>
    <w:rsid w:val="00DC6131"/>
    <w:rsid w:val="00DD4BED"/>
    <w:rsid w:val="00DD4CBA"/>
    <w:rsid w:val="00DE39F0"/>
    <w:rsid w:val="00DF0AF3"/>
    <w:rsid w:val="00DF5973"/>
    <w:rsid w:val="00DF7E9F"/>
    <w:rsid w:val="00E02762"/>
    <w:rsid w:val="00E27D7E"/>
    <w:rsid w:val="00E42E13"/>
    <w:rsid w:val="00E56D5C"/>
    <w:rsid w:val="00E6257C"/>
    <w:rsid w:val="00E63C59"/>
    <w:rsid w:val="00E76C85"/>
    <w:rsid w:val="00EC072E"/>
    <w:rsid w:val="00EC12B8"/>
    <w:rsid w:val="00EE57B0"/>
    <w:rsid w:val="00F25662"/>
    <w:rsid w:val="00F2726C"/>
    <w:rsid w:val="00F4335F"/>
    <w:rsid w:val="00FA124A"/>
    <w:rsid w:val="00FA6A9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B503D"/>
  <w15:docId w15:val="{53EAF764-351A-4D56-BC6D-6F2B33E7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D7B45"/>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D7B45"/>
    <w:pPr>
      <w:spacing w:after="240"/>
      <w:jc w:val="center"/>
    </w:pPr>
    <w:rPr>
      <w:noProof/>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rsid w:val="008D7B45"/>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1D092A"/>
    <w:pPr>
      <w:ind w:left="720"/>
      <w:contextualSpacing/>
    </w:pPr>
    <w:rPr>
      <w:lang w:val="en-NZ"/>
    </w:rPr>
  </w:style>
  <w:style w:type="character" w:customStyle="1" w:styleId="Heading1Char">
    <w:name w:val="Heading 1 Char"/>
    <w:basedOn w:val="DefaultParagraphFont"/>
    <w:link w:val="Heading1"/>
    <w:rsid w:val="001D092A"/>
    <w:rPr>
      <w:rFonts w:ascii="Times New Roman" w:hAnsi="Times New Roman"/>
      <w:b/>
      <w:sz w:val="28"/>
      <w:lang w:val="en-GB" w:eastAsia="en-US"/>
    </w:rPr>
  </w:style>
  <w:style w:type="paragraph" w:styleId="NormalWeb">
    <w:name w:val="Normal (Web)"/>
    <w:basedOn w:val="Normal"/>
    <w:uiPriority w:val="99"/>
    <w:semiHidden/>
    <w:unhideWhenUsed/>
    <w:rsid w:val="001D092A"/>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val="en-US"/>
    </w:rPr>
  </w:style>
  <w:style w:type="character" w:customStyle="1" w:styleId="m-509392738352997423msoins">
    <w:name w:val="m_-509392738352997423msoins"/>
    <w:basedOn w:val="DefaultParagraphFont"/>
    <w:rsid w:val="001D092A"/>
  </w:style>
  <w:style w:type="character" w:styleId="Hyperlink">
    <w:name w:val="Hyperlink"/>
    <w:basedOn w:val="DefaultParagraphFont"/>
    <w:unhideWhenUsed/>
    <w:rsid w:val="005313DF"/>
    <w:rPr>
      <w:color w:val="0000FF" w:themeColor="hyperlink"/>
      <w:u w:val="single"/>
    </w:rPr>
  </w:style>
  <w:style w:type="paragraph" w:styleId="BalloonText">
    <w:name w:val="Balloon Text"/>
    <w:basedOn w:val="Normal"/>
    <w:link w:val="BalloonTextChar"/>
    <w:semiHidden/>
    <w:unhideWhenUsed/>
    <w:rsid w:val="00D81E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1EC9"/>
    <w:rPr>
      <w:rFonts w:ascii="Segoe UI" w:hAnsi="Segoe UI" w:cs="Segoe UI"/>
      <w:sz w:val="18"/>
      <w:szCs w:val="18"/>
      <w:lang w:val="en-GB" w:eastAsia="en-US"/>
    </w:rPr>
  </w:style>
  <w:style w:type="character" w:styleId="CommentReference">
    <w:name w:val="annotation reference"/>
    <w:basedOn w:val="DefaultParagraphFont"/>
    <w:semiHidden/>
    <w:unhideWhenUsed/>
    <w:rsid w:val="000D2FFB"/>
    <w:rPr>
      <w:sz w:val="16"/>
      <w:szCs w:val="16"/>
    </w:rPr>
  </w:style>
  <w:style w:type="paragraph" w:styleId="CommentText">
    <w:name w:val="annotation text"/>
    <w:basedOn w:val="Normal"/>
    <w:link w:val="CommentTextChar"/>
    <w:semiHidden/>
    <w:unhideWhenUsed/>
    <w:rsid w:val="000D2FFB"/>
    <w:rPr>
      <w:sz w:val="20"/>
    </w:rPr>
  </w:style>
  <w:style w:type="character" w:customStyle="1" w:styleId="CommentTextChar">
    <w:name w:val="Comment Text Char"/>
    <w:basedOn w:val="DefaultParagraphFont"/>
    <w:link w:val="CommentText"/>
    <w:semiHidden/>
    <w:rsid w:val="000D2FF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D2FFB"/>
    <w:rPr>
      <w:b/>
      <w:bCs/>
    </w:rPr>
  </w:style>
  <w:style w:type="character" w:customStyle="1" w:styleId="CommentSubjectChar">
    <w:name w:val="Comment Subject Char"/>
    <w:basedOn w:val="CommentTextChar"/>
    <w:link w:val="CommentSubject"/>
    <w:semiHidden/>
    <w:rsid w:val="000D2FF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228313">
      <w:bodyDiv w:val="1"/>
      <w:marLeft w:val="0"/>
      <w:marRight w:val="0"/>
      <w:marTop w:val="0"/>
      <w:marBottom w:val="0"/>
      <w:divBdr>
        <w:top w:val="none" w:sz="0" w:space="0" w:color="auto"/>
        <w:left w:val="none" w:sz="0" w:space="0" w:color="auto"/>
        <w:bottom w:val="none" w:sz="0" w:space="0" w:color="auto"/>
        <w:right w:val="none" w:sz="0" w:space="0" w:color="auto"/>
      </w:divBdr>
    </w:div>
    <w:div w:id="17495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D005-456A-44A1-AA87-99EFC2782847}">
  <ds:schemaRefs>
    <ds:schemaRef ds:uri="http://schemas.microsoft.com/sharepoint/v3/contenttype/forms"/>
  </ds:schemaRefs>
</ds:datastoreItem>
</file>

<file path=customXml/itemProps2.xml><?xml version="1.0" encoding="utf-8"?>
<ds:datastoreItem xmlns:ds="http://schemas.openxmlformats.org/officeDocument/2006/customXml" ds:itemID="{EE34C837-4A46-404D-9A35-F241979B8819}">
  <ds:schemaRef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2D727442-9130-4168-96E9-8104214F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3CE1A-7BA0-4404-8B7F-F12078BF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PE_BR110.dotm</Template>
  <TotalTime>13</TotalTime>
  <Pages>4</Pages>
  <Words>962</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Fernandez Jimenez, Virginia</cp:lastModifiedBy>
  <cp:revision>4</cp:revision>
  <cp:lastPrinted>2016-11-15T14:30:00Z</cp:lastPrinted>
  <dcterms:created xsi:type="dcterms:W3CDTF">2016-11-18T09:16:00Z</dcterms:created>
  <dcterms:modified xsi:type="dcterms:W3CDTF">2016-11-18T09:21:00Z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