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186B24" w:rsidP="00186B2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en-US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504487" w:rsidTr="00876A8A">
        <w:trPr>
          <w:cantSplit/>
        </w:trPr>
        <w:tc>
          <w:tcPr>
            <w:tcW w:w="6487" w:type="dxa"/>
            <w:vMerge w:val="restart"/>
          </w:tcPr>
          <w:p w:rsidR="00186B24" w:rsidRPr="00982084" w:rsidRDefault="00504487" w:rsidP="00186B2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BF2443">
              <w:rPr>
                <w:rFonts w:ascii="Verdana" w:hAnsi="Verdana"/>
                <w:sz w:val="20"/>
                <w:lang w:val="fr-FR"/>
              </w:rPr>
              <w:t>Source:</w:t>
            </w:r>
            <w:r w:rsidRPr="00BF2443">
              <w:rPr>
                <w:rFonts w:ascii="Verdana" w:hAnsi="Verdana"/>
                <w:sz w:val="20"/>
                <w:lang w:val="fr-FR"/>
              </w:rPr>
              <w:tab/>
              <w:t>Document 5A/TEMP/2</w:t>
            </w:r>
            <w:r>
              <w:rPr>
                <w:rFonts w:ascii="Verdana" w:hAnsi="Verdana"/>
                <w:sz w:val="20"/>
                <w:lang w:val="fr-FR"/>
              </w:rPr>
              <w:t>28</w:t>
            </w:r>
          </w:p>
        </w:tc>
        <w:tc>
          <w:tcPr>
            <w:tcW w:w="3402" w:type="dxa"/>
          </w:tcPr>
          <w:p w:rsidR="00504487" w:rsidRPr="00504487" w:rsidRDefault="0050448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pt-BR" w:eastAsia="zh-CN"/>
              </w:rPr>
            </w:pPr>
            <w:r w:rsidRPr="00504487">
              <w:rPr>
                <w:rFonts w:ascii="Verdana" w:hAnsi="Verdana"/>
                <w:b/>
                <w:sz w:val="20"/>
                <w:lang w:val="pt-BR" w:eastAsia="zh-CN"/>
              </w:rPr>
              <w:t>Annex 12 to</w:t>
            </w:r>
          </w:p>
          <w:p w:rsidR="000069D4" w:rsidRPr="00504487" w:rsidRDefault="00186B2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BR" w:eastAsia="zh-CN"/>
              </w:rPr>
            </w:pPr>
            <w:r w:rsidRPr="00504487">
              <w:rPr>
                <w:rFonts w:ascii="Verdana" w:hAnsi="Verdana"/>
                <w:b/>
                <w:sz w:val="20"/>
                <w:lang w:val="pt-BR" w:eastAsia="zh-CN"/>
              </w:rPr>
              <w:t>Document 5A/</w:t>
            </w:r>
            <w:r w:rsidR="00504487">
              <w:rPr>
                <w:rFonts w:ascii="Verdana" w:hAnsi="Verdana"/>
                <w:b/>
                <w:sz w:val="20"/>
                <w:lang w:val="pt-BR" w:eastAsia="zh-CN"/>
              </w:rPr>
              <w:t>650</w:t>
            </w:r>
            <w:r w:rsidRPr="00504487">
              <w:rPr>
                <w:rFonts w:ascii="Verdana" w:hAnsi="Verdana"/>
                <w:b/>
                <w:sz w:val="20"/>
                <w:lang w:val="pt-BR"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504487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pt-B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186B24" w:rsidRDefault="00186B2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504487">
              <w:rPr>
                <w:rFonts w:ascii="Verdana" w:hAnsi="Verdana"/>
                <w:b/>
                <w:sz w:val="20"/>
                <w:lang w:eastAsia="zh-CN"/>
              </w:rPr>
              <w:t>6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November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186B24" w:rsidRDefault="00186B2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186B24" w:rsidTr="00D046A7">
        <w:trPr>
          <w:cantSplit/>
        </w:trPr>
        <w:tc>
          <w:tcPr>
            <w:tcW w:w="9889" w:type="dxa"/>
            <w:gridSpan w:val="2"/>
          </w:tcPr>
          <w:p w:rsidR="00186B24" w:rsidRDefault="00504487" w:rsidP="00186B24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E32490">
              <w:rPr>
                <w:lang w:val="en-US" w:eastAsia="zh-CN"/>
              </w:rPr>
              <w:t xml:space="preserve">Annex </w:t>
            </w:r>
            <w:r>
              <w:rPr>
                <w:lang w:val="en-US" w:eastAsia="zh-CN"/>
              </w:rPr>
              <w:t>12</w:t>
            </w:r>
            <w:r w:rsidRPr="00E32490">
              <w:rPr>
                <w:lang w:val="en-US" w:eastAsia="zh-CN"/>
              </w:rPr>
              <w:t xml:space="preserve"> to Working Party 5A Chairman’s Report</w:t>
            </w:r>
          </w:p>
        </w:tc>
      </w:tr>
      <w:tr w:rsidR="00186B24" w:rsidTr="00D046A7">
        <w:trPr>
          <w:cantSplit/>
        </w:trPr>
        <w:tc>
          <w:tcPr>
            <w:tcW w:w="9889" w:type="dxa"/>
            <w:gridSpan w:val="2"/>
          </w:tcPr>
          <w:p w:rsidR="00186B24" w:rsidRDefault="00186B24" w:rsidP="00186B24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 xml:space="preserve">Preliminary draft CPM text </w:t>
            </w:r>
            <w:r>
              <w:br/>
              <w:t>for WRC-19 Agenda Item 9.1 Issue 9.1.5</w:t>
            </w:r>
          </w:p>
        </w:tc>
      </w:tr>
      <w:tr w:rsidR="00186B24" w:rsidTr="00D046A7">
        <w:trPr>
          <w:cantSplit/>
        </w:trPr>
        <w:tc>
          <w:tcPr>
            <w:tcW w:w="9889" w:type="dxa"/>
            <w:gridSpan w:val="2"/>
          </w:tcPr>
          <w:p w:rsidR="00186B24" w:rsidRDefault="00186B24" w:rsidP="006C42D3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>
              <w:t>Agenda item 9.1 – Issue 9.1.5</w:t>
            </w:r>
          </w:p>
        </w:tc>
      </w:tr>
    </w:tbl>
    <w:p w:rsidR="00186B24" w:rsidRDefault="00186B24" w:rsidP="00186B24">
      <w:pPr>
        <w:spacing w:before="240"/>
        <w:jc w:val="center"/>
        <w:rPr>
          <w:szCs w:val="18"/>
        </w:rPr>
      </w:pPr>
      <w:bookmarkStart w:id="8" w:name="dbreak"/>
      <w:bookmarkEnd w:id="7"/>
      <w:bookmarkEnd w:id="8"/>
      <w:r>
        <w:rPr>
          <w:szCs w:val="18"/>
        </w:rPr>
        <w:t>(</w:t>
      </w:r>
      <w:r>
        <w:rPr>
          <w:b/>
          <w:bCs/>
          <w:szCs w:val="18"/>
        </w:rPr>
        <w:t>WP 5A</w:t>
      </w:r>
      <w:r>
        <w:rPr>
          <w:szCs w:val="18"/>
        </w:rPr>
        <w:t xml:space="preserve"> / </w:t>
      </w:r>
      <w:r>
        <w:rPr>
          <w:b/>
          <w:bCs/>
          <w:szCs w:val="18"/>
        </w:rPr>
        <w:t>WP 5B</w:t>
      </w:r>
      <w:r>
        <w:rPr>
          <w:szCs w:val="18"/>
        </w:rPr>
        <w:t>, (WP 3M))</w:t>
      </w:r>
    </w:p>
    <w:p w:rsidR="00186B24" w:rsidRDefault="00186B24" w:rsidP="00186B24">
      <w:pPr>
        <w:spacing w:before="240"/>
        <w:rPr>
          <w:rFonts w:eastAsia="SimSun"/>
          <w:i/>
          <w:iCs/>
        </w:rPr>
      </w:pPr>
      <w:r>
        <w:rPr>
          <w:i/>
          <w:iCs/>
        </w:rPr>
        <w:t>9.1.5</w:t>
      </w:r>
      <w:r>
        <w:rPr>
          <w:i/>
          <w:iCs/>
        </w:rPr>
        <w:tab/>
      </w:r>
      <w:r>
        <w:t xml:space="preserve">Resolution </w:t>
      </w:r>
      <w:r>
        <w:rPr>
          <w:rFonts w:ascii="Times New Roman Bold" w:hAnsi="Times New Roman Bold" w:cs="Times New Roman Bold"/>
          <w:b/>
          <w:bCs/>
        </w:rPr>
        <w:t xml:space="preserve">764 </w:t>
      </w:r>
      <w:r>
        <w:rPr>
          <w:b/>
          <w:bCs/>
        </w:rPr>
        <w:t>(WRC</w:t>
      </w:r>
      <w:r>
        <w:rPr>
          <w:b/>
          <w:bCs/>
        </w:rPr>
        <w:noBreakHyphen/>
        <w:t>15)</w:t>
      </w:r>
      <w:r>
        <w:t xml:space="preserve"> – </w:t>
      </w:r>
      <w:r>
        <w:rPr>
          <w:rFonts w:eastAsia="SimSun"/>
          <w:i/>
          <w:iCs/>
        </w:rPr>
        <w:t xml:space="preserve">Consideration of the technical and regulatory impacts of referencing Recommendations ITU-R M.1638-1 and ITU-R M.1849-1 in Nos. </w:t>
      </w:r>
      <w:r>
        <w:rPr>
          <w:rFonts w:eastAsia="SimSun"/>
          <w:b/>
          <w:bCs/>
          <w:i/>
          <w:iCs/>
        </w:rPr>
        <w:t>5.447F</w:t>
      </w:r>
      <w:r>
        <w:rPr>
          <w:rFonts w:eastAsia="SimSun"/>
          <w:i/>
          <w:iCs/>
        </w:rPr>
        <w:t xml:space="preserve"> and </w:t>
      </w:r>
      <w:r>
        <w:rPr>
          <w:rFonts w:eastAsia="SimSun"/>
          <w:b/>
          <w:bCs/>
          <w:i/>
          <w:iCs/>
        </w:rPr>
        <w:t>5.450A</w:t>
      </w:r>
      <w:r>
        <w:rPr>
          <w:rFonts w:eastAsia="SimSun"/>
          <w:i/>
          <w:iCs/>
        </w:rPr>
        <w:t xml:space="preserve"> of the Radio Regulations</w:t>
      </w:r>
    </w:p>
    <w:p w:rsidR="00186B24" w:rsidRDefault="00186B24" w:rsidP="00186B24">
      <w:pPr>
        <w:pStyle w:val="Heading1"/>
      </w:pPr>
      <w:r>
        <w:t>2/9.1.5/1</w:t>
      </w:r>
      <w:r>
        <w:tab/>
      </w:r>
      <w:r>
        <w:tab/>
        <w:t>Executive summary</w:t>
      </w:r>
    </w:p>
    <w:p w:rsidR="00186B24" w:rsidRDefault="00186B24" w:rsidP="00186B24">
      <w:pPr>
        <w:tabs>
          <w:tab w:val="left" w:pos="794"/>
          <w:tab w:val="left" w:pos="1191"/>
          <w:tab w:val="left" w:pos="1588"/>
          <w:tab w:val="left" w:pos="1985"/>
        </w:tabs>
        <w:spacing w:before="240" w:after="240"/>
        <w:rPr>
          <w:rFonts w:eastAsia="SimSun"/>
          <w:i/>
          <w:iCs/>
        </w:rPr>
      </w:pPr>
      <w:r>
        <w:rPr>
          <w:rFonts w:eastAsia="SimSun"/>
          <w:i/>
          <w:iCs/>
        </w:rPr>
        <w:t>[Text of the executive summary, not more than half a page of text to describe briefly the purpose of the issue, summarize the results of the studies carried out and provide a conclusion</w:t>
      </w:r>
      <w:r w:rsidR="006C42D3">
        <w:rPr>
          <w:rFonts w:eastAsia="SimSun"/>
          <w:i/>
          <w:iCs/>
        </w:rPr>
        <w:t>.</w:t>
      </w:r>
      <w:r>
        <w:rPr>
          <w:rFonts w:eastAsia="SimSun"/>
          <w:i/>
          <w:iCs/>
        </w:rPr>
        <w:t>]</w:t>
      </w:r>
    </w:p>
    <w:p w:rsidR="00186B24" w:rsidRDefault="00186B24" w:rsidP="00186B24">
      <w:pPr>
        <w:pStyle w:val="Heading1"/>
      </w:pPr>
      <w:r>
        <w:t>2/9.1.5/2</w:t>
      </w:r>
      <w:r>
        <w:tab/>
      </w:r>
      <w:r>
        <w:tab/>
        <w:t>Background</w:t>
      </w:r>
    </w:p>
    <w:p w:rsidR="00186B24" w:rsidRDefault="00186B24" w:rsidP="00186B24">
      <w:pPr>
        <w:tabs>
          <w:tab w:val="left" w:pos="794"/>
          <w:tab w:val="left" w:pos="1191"/>
          <w:tab w:val="left" w:pos="1588"/>
          <w:tab w:val="left" w:pos="1985"/>
        </w:tabs>
        <w:spacing w:before="240" w:after="240"/>
        <w:rPr>
          <w:rFonts w:eastAsia="SimSun"/>
          <w:i/>
          <w:iCs/>
        </w:rPr>
      </w:pPr>
      <w:r>
        <w:rPr>
          <w:rFonts w:eastAsia="SimSun"/>
          <w:i/>
          <w:iCs/>
        </w:rPr>
        <w:t>[Text of the background, not more than half a page of text to provide general information in a concise manner, in order to describe the rationale of the issue</w:t>
      </w:r>
      <w:r w:rsidR="006C42D3">
        <w:rPr>
          <w:rFonts w:eastAsia="SimSun"/>
          <w:i/>
          <w:iCs/>
        </w:rPr>
        <w:t>.</w:t>
      </w:r>
      <w:r>
        <w:rPr>
          <w:rFonts w:eastAsia="SimSun"/>
          <w:i/>
          <w:iCs/>
        </w:rPr>
        <w:t>]</w:t>
      </w:r>
    </w:p>
    <w:p w:rsidR="00186B24" w:rsidRDefault="00186B24" w:rsidP="00186B24">
      <w:pPr>
        <w:rPr>
          <w:rFonts w:eastAsia="SimSun"/>
          <w:spacing w:val="-2"/>
        </w:rPr>
      </w:pPr>
      <w:r>
        <w:rPr>
          <w:rFonts w:eastAsia="SimSun"/>
          <w:spacing w:val="-2"/>
        </w:rPr>
        <w:t xml:space="preserve">WRC-03 allocated the 5 150-5 350 MHz and 5 470-5 725 MHz frequency ranges to the mobile service on a primary basis for the implementation of Wireless Access Systems (WAS) including Radio Local Area Networks (RLANs) subject to Resolution </w:t>
      </w:r>
      <w:r>
        <w:rPr>
          <w:rFonts w:eastAsia="SimSun"/>
          <w:b/>
          <w:bCs/>
          <w:spacing w:val="-2"/>
        </w:rPr>
        <w:t>229</w:t>
      </w:r>
      <w:r>
        <w:rPr>
          <w:rFonts w:eastAsia="SimSun"/>
          <w:spacing w:val="-2"/>
        </w:rPr>
        <w:t xml:space="preserve">. WRC-03 also decided that the radiolocation service, the Earth exploration-satellite service (active) and the space research service (active) (RR No. </w:t>
      </w:r>
      <w:r>
        <w:rPr>
          <w:rFonts w:eastAsia="SimSun"/>
          <w:b/>
          <w:bCs/>
          <w:spacing w:val="-2"/>
        </w:rPr>
        <w:t>5.447F</w:t>
      </w:r>
      <w:r>
        <w:rPr>
          <w:rFonts w:eastAsia="SimSun"/>
          <w:spacing w:val="-2"/>
        </w:rPr>
        <w:t xml:space="preserve">) and the radiodetermination service (RR No. </w:t>
      </w:r>
      <w:r>
        <w:rPr>
          <w:rFonts w:eastAsia="SimSun"/>
          <w:b/>
          <w:bCs/>
          <w:spacing w:val="-2"/>
        </w:rPr>
        <w:t>5.450A</w:t>
      </w:r>
      <w:r>
        <w:rPr>
          <w:rFonts w:eastAsia="SimSun"/>
          <w:spacing w:val="-2"/>
        </w:rPr>
        <w:t xml:space="preserve">) shall not impose on the mobile service more stringent protection criteria, based on system characteristics and interference criteria, than those stated in Recommendations ITU-R </w:t>
      </w:r>
      <w:hyperlink r:id="rId10" w:history="1">
        <w:r w:rsidRPr="004038EC">
          <w:rPr>
            <w:rStyle w:val="Hyperlink"/>
            <w:rFonts w:eastAsia="SimSun"/>
            <w:spacing w:val="-2"/>
          </w:rPr>
          <w:t>M.1638-0</w:t>
        </w:r>
      </w:hyperlink>
      <w:r>
        <w:rPr>
          <w:rFonts w:eastAsia="SimSun"/>
          <w:spacing w:val="-2"/>
        </w:rPr>
        <w:t xml:space="preserve"> and ITU-R </w:t>
      </w:r>
      <w:hyperlink r:id="rId11" w:history="1">
        <w:r w:rsidRPr="004038EC">
          <w:rPr>
            <w:rStyle w:val="Hyperlink"/>
            <w:rFonts w:eastAsia="SimSun"/>
            <w:spacing w:val="-2"/>
          </w:rPr>
          <w:t>RS.1632-0</w:t>
        </w:r>
      </w:hyperlink>
      <w:r>
        <w:rPr>
          <w:rFonts w:eastAsia="SimSun"/>
          <w:spacing w:val="-2"/>
        </w:rPr>
        <w:t xml:space="preserve">, which were incorporated by reference. Since WRC-03, millions of RLAN devices have </w:t>
      </w:r>
      <w:r w:rsidR="004038EC">
        <w:rPr>
          <w:rFonts w:eastAsia="SimSun"/>
          <w:spacing w:val="-2"/>
        </w:rPr>
        <w:t>been widely deployed worldwide.</w:t>
      </w:r>
    </w:p>
    <w:p w:rsidR="00186B24" w:rsidRDefault="00186B24" w:rsidP="004038EC">
      <w:pPr>
        <w:rPr>
          <w:rFonts w:eastAsia="SimSun"/>
        </w:rPr>
      </w:pPr>
      <w:r>
        <w:rPr>
          <w:rFonts w:eastAsia="SimSun"/>
        </w:rPr>
        <w:t xml:space="preserve">During the WRC-15 study cycle, Recommendation ITU-R M.1638-0 was revised. In this revision process, several new radars with different system characteristics were included in Recommendation ITU-R M.1638-1, and the technical characteristics and protection criteria for ground based meteorological radars were removed and are not included in Recommendation ITU-R M.1638-1 and were instead relocated to Recommendation ITU-R </w:t>
      </w:r>
      <w:hyperlink r:id="rId12" w:history="1">
        <w:r w:rsidRPr="004038EC">
          <w:rPr>
            <w:rStyle w:val="Hyperlink"/>
            <w:rFonts w:eastAsia="SimSun"/>
          </w:rPr>
          <w:t>M.1849-1</w:t>
        </w:r>
      </w:hyperlink>
      <w:r>
        <w:rPr>
          <w:rFonts w:eastAsia="SimSun"/>
        </w:rPr>
        <w:t xml:space="preserve"> and several new meteorological radars were added to Recommendation ITU-R M.1849-1 during this revision process (see also section 2/9.1.5/3.2).</w:t>
      </w:r>
    </w:p>
    <w:p w:rsidR="00186B24" w:rsidRDefault="00186B24" w:rsidP="00186B24">
      <w:pPr>
        <w:rPr>
          <w:rFonts w:eastAsia="SimSun"/>
        </w:rPr>
      </w:pPr>
      <w:r>
        <w:rPr>
          <w:rFonts w:eastAsia="SimSun"/>
        </w:rPr>
        <w:lastRenderedPageBreak/>
        <w:t xml:space="preserve">Consistent with the provisions of Resolution </w:t>
      </w:r>
      <w:r>
        <w:rPr>
          <w:rFonts w:eastAsia="SimSun"/>
          <w:b/>
          <w:bCs/>
        </w:rPr>
        <w:t>27 (WRC-07)</w:t>
      </w:r>
      <w:r>
        <w:rPr>
          <w:rFonts w:eastAsia="SimSun"/>
        </w:rPr>
        <w:t>, for an ITU-R Recommendation</w:t>
      </w:r>
      <w:r>
        <w:rPr>
          <w:rFonts w:eastAsia="SimSun"/>
        </w:rPr>
        <w:br/>
        <w:t xml:space="preserve">(e.g. ITU-R </w:t>
      </w:r>
      <w:hyperlink r:id="rId13" w:history="1">
        <w:r w:rsidRPr="004038EC">
          <w:rPr>
            <w:rStyle w:val="Hyperlink"/>
            <w:rFonts w:eastAsia="SimSun"/>
          </w:rPr>
          <w:t>M.1638</w:t>
        </w:r>
      </w:hyperlink>
      <w:r>
        <w:rPr>
          <w:rFonts w:eastAsia="SimSun"/>
        </w:rPr>
        <w:t>), the reference in the Radio Regulations shall continue to apply to the earlier version incorporated by reference until such time as a competent WRC agrees to incorporate the new version. Given the potential impact on the widespread deployment of RLANs in the</w:t>
      </w:r>
      <w:r>
        <w:rPr>
          <w:rFonts w:eastAsia="SimSun"/>
        </w:rPr>
        <w:br/>
        <w:t xml:space="preserve">5 250-5 350 MHz and 5 470-5 725 MHz frequency ranges and the provisions of RR Nos. </w:t>
      </w:r>
      <w:r>
        <w:rPr>
          <w:rFonts w:eastAsia="SimSun"/>
          <w:b/>
          <w:bCs/>
        </w:rPr>
        <w:t>5447F</w:t>
      </w:r>
      <w:r>
        <w:rPr>
          <w:rFonts w:eastAsia="SimSun"/>
        </w:rPr>
        <w:t xml:space="preserve"> and </w:t>
      </w:r>
      <w:r>
        <w:rPr>
          <w:rFonts w:eastAsia="SimSun"/>
          <w:b/>
          <w:bCs/>
        </w:rPr>
        <w:t>5.450A</w:t>
      </w:r>
      <w:r>
        <w:rPr>
          <w:rFonts w:eastAsia="SimSun"/>
        </w:rPr>
        <w:t>, WRC-15 decided to study this matter under WRC-19 agenda item 9.1, issue 9.1.5.</w:t>
      </w:r>
    </w:p>
    <w:p w:rsidR="00186B24" w:rsidRDefault="00186B24" w:rsidP="00186B24">
      <w:pPr>
        <w:pStyle w:val="Heading1"/>
      </w:pPr>
      <w:r>
        <w:t>2/9.1.5/3</w:t>
      </w:r>
      <w:r>
        <w:tab/>
      </w:r>
      <w:r>
        <w:tab/>
        <w:t>Summary and analysis of the results of ITU-R studies</w:t>
      </w:r>
    </w:p>
    <w:p w:rsidR="00186B24" w:rsidRDefault="00186B24" w:rsidP="00186B24">
      <w:pPr>
        <w:tabs>
          <w:tab w:val="left" w:pos="794"/>
          <w:tab w:val="left" w:pos="1191"/>
          <w:tab w:val="left" w:pos="1588"/>
          <w:tab w:val="left" w:pos="1985"/>
        </w:tabs>
        <w:spacing w:before="240" w:after="240"/>
        <w:rPr>
          <w:rFonts w:eastAsia="SimSun"/>
          <w:i/>
          <w:iCs/>
        </w:rPr>
      </w:pPr>
      <w:r>
        <w:rPr>
          <w:rFonts w:eastAsia="SimSun"/>
          <w:i/>
          <w:iCs/>
        </w:rPr>
        <w:t>[This section should contain a summary of the technical and operational studies performed within ITU-R, including a list of relevant ITU-R Recommendations. The results of the ITU-R studies should also be analysed with respect to the possible conclusions, and presented in a concise manner.]</w:t>
      </w:r>
    </w:p>
    <w:p w:rsidR="00186B24" w:rsidRDefault="00186B24" w:rsidP="00186B24">
      <w:pPr>
        <w:pStyle w:val="Heading2"/>
        <w:rPr>
          <w:smallCaps/>
        </w:rPr>
      </w:pPr>
      <w:r>
        <w:rPr>
          <w:smallCaps/>
        </w:rPr>
        <w:t>2/9.1.5/3.1</w:t>
      </w:r>
      <w:r>
        <w:rPr>
          <w:smallCaps/>
        </w:rPr>
        <w:tab/>
      </w:r>
      <w:r>
        <w:rPr>
          <w:smallCaps/>
        </w:rPr>
        <w:tab/>
      </w:r>
      <w:r>
        <w:t>Summary of te</w:t>
      </w:r>
      <w:r w:rsidR="004038EC">
        <w:t>chnical and operational studies</w:t>
      </w:r>
    </w:p>
    <w:p w:rsidR="00186B24" w:rsidRDefault="00186B24" w:rsidP="00186B24">
      <w:r>
        <w:t>To address the situation described in section 2/9.1.5/2 above, an initial study showed that in case of reference replacement of Recommendation ITU-R М.1638-0 by the Recommendation ITU</w:t>
      </w:r>
      <w:r>
        <w:noBreakHyphen/>
        <w:t xml:space="preserve">R М.1638-1 in RR Nos. </w:t>
      </w:r>
      <w:r>
        <w:rPr>
          <w:b/>
          <w:bCs/>
        </w:rPr>
        <w:t>5.447F</w:t>
      </w:r>
      <w:r>
        <w:t xml:space="preserve"> and </w:t>
      </w:r>
      <w:r>
        <w:rPr>
          <w:b/>
          <w:bCs/>
        </w:rPr>
        <w:t>5.450А</w:t>
      </w:r>
      <w:r>
        <w:t xml:space="preserve"> the maximum permissible interference field strength in the frequency band 5 250-5 350 MHz is increased by 10 dB and by 7.2 dB in the frequency band 5 470-5 725 MHz. It should be noted that the protection requirements for meteorological radars are not included in Recommendation ITU-R M.1638-1.</w:t>
      </w:r>
    </w:p>
    <w:p w:rsidR="00186B24" w:rsidRDefault="00186B24" w:rsidP="00186B24">
      <w:r>
        <w:t xml:space="preserve">A similar analysis addressing meteorological radars showed that: </w:t>
      </w:r>
    </w:p>
    <w:p w:rsidR="00186B24" w:rsidRDefault="00186B24" w:rsidP="00186B24">
      <w:pPr>
        <w:pStyle w:val="enumlev1"/>
      </w:pPr>
      <w:r>
        <w:t>–</w:t>
      </w:r>
      <w:r>
        <w:tab/>
        <w:t xml:space="preserve">incorporation by reference of Recommendation ITU-R </w:t>
      </w:r>
      <w:hyperlink r:id="rId14" w:history="1">
        <w:r w:rsidRPr="004038EC">
          <w:rPr>
            <w:rStyle w:val="Hyperlink"/>
          </w:rPr>
          <w:t>M.1849-1</w:t>
        </w:r>
      </w:hyperlink>
      <w:r>
        <w:t xml:space="preserve"> in RR No. </w:t>
      </w:r>
      <w:r>
        <w:rPr>
          <w:b/>
          <w:bCs/>
        </w:rPr>
        <w:t>5.447F</w:t>
      </w:r>
      <w:r>
        <w:t xml:space="preserve"> will result in imposing additional constraints on systems in the mobile service operating in the frequency band 5 250-5 350 MHz and will lead to changes of the conditions under which this frequency band is allocated to radio services. It is due to the fact that Recommendation ITU</w:t>
      </w:r>
      <w:r>
        <w:noBreakHyphen/>
        <w:t>R M.1638-0 does not include all meteorological radars that are incorporated in Recommendation ITU-R M.1849-1;</w:t>
      </w:r>
    </w:p>
    <w:p w:rsidR="00186B24" w:rsidRDefault="00186B24" w:rsidP="00186B24">
      <w:pPr>
        <w:pStyle w:val="enumlev1"/>
      </w:pPr>
      <w:r>
        <w:t>–</w:t>
      </w:r>
      <w:r>
        <w:tab/>
        <w:t xml:space="preserve">incorporation by reference of Recommendation ITU-R M.1849-1 in RR No. </w:t>
      </w:r>
      <w:r>
        <w:rPr>
          <w:b/>
          <w:bCs/>
        </w:rPr>
        <w:t>5.450A</w:t>
      </w:r>
      <w:r>
        <w:t xml:space="preserve"> will not result in imposing additional constraints on systems in the mobile service operating in the frequency band 5 470-5 725 MHz and will not result in changes of the conditions under which the frequency band 5 470-5 725 MHz is allocated to radio services since Recommendation ITU-R М.1638-0 includes all meteorological radars which require the most protection from interference.</w:t>
      </w:r>
    </w:p>
    <w:p w:rsidR="00186B24" w:rsidRDefault="00186B24" w:rsidP="00186B24">
      <w:pPr>
        <w:rPr>
          <w:lang w:eastAsia="ja-JP"/>
        </w:rPr>
      </w:pPr>
      <w:r>
        <w:t xml:space="preserve">Another study/Previous ITU-R studies </w:t>
      </w:r>
      <w:r>
        <w:rPr>
          <w:i/>
        </w:rPr>
        <w:t>[Editor’s note: Add reference to studies for WRC-15 agenda item 1.1]</w:t>
      </w:r>
      <w:r>
        <w:t xml:space="preserve"> showed that protecting certain new radar types contained in Recommendation</w:t>
      </w:r>
      <w:r>
        <w:br/>
        <w:t>ITU-R M.1638-1 would not be feasible. Therefore, the incorporation by reference to Recommendation ITU</w:t>
      </w:r>
      <w:r>
        <w:noBreakHyphen/>
        <w:t>R M.1638</w:t>
      </w:r>
      <w:r>
        <w:noBreakHyphen/>
        <w:t>0 should not be updated to Recommendation ITU</w:t>
      </w:r>
      <w:r>
        <w:noBreakHyphen/>
        <w:t>R M.1638</w:t>
      </w:r>
      <w:r>
        <w:noBreakHyphen/>
        <w:t>1 in</w:t>
      </w:r>
      <w:r>
        <w:rPr>
          <w:lang w:eastAsia="ja-JP"/>
        </w:rPr>
        <w:t xml:space="preserve"> RR Nos. </w:t>
      </w:r>
      <w:r>
        <w:rPr>
          <w:b/>
          <w:bCs/>
          <w:lang w:eastAsia="ja-JP"/>
        </w:rPr>
        <w:t xml:space="preserve">5.447F </w:t>
      </w:r>
      <w:r>
        <w:rPr>
          <w:lang w:eastAsia="ja-JP"/>
        </w:rPr>
        <w:t xml:space="preserve">and </w:t>
      </w:r>
      <w:r>
        <w:rPr>
          <w:b/>
          <w:bCs/>
          <w:lang w:eastAsia="ja-JP"/>
        </w:rPr>
        <w:t>5.450A</w:t>
      </w:r>
      <w:r>
        <w:rPr>
          <w:lang w:eastAsia="ja-JP"/>
        </w:rPr>
        <w:t xml:space="preserve"> until further studies are completed.</w:t>
      </w:r>
    </w:p>
    <w:p w:rsidR="00186B24" w:rsidRDefault="00186B24" w:rsidP="00186B24">
      <w:r>
        <w:t>The comparison of the technical characteristics of the meteorological radars given in Recommendation ITU-R M.1638-0 and Recommendation ITU-R M.1849-1, operating in the frequency band 5 470-5 725 MHz, showed that the technical characteristics of the meteorological radars leading to the most stringent interference protection requirements are c</w:t>
      </w:r>
      <w:r w:rsidR="004038EC">
        <w:t>overed in both Recommendations.</w:t>
      </w:r>
    </w:p>
    <w:p w:rsidR="00186B24" w:rsidRDefault="00186B24" w:rsidP="00186B24">
      <w:r>
        <w:t xml:space="preserve">In addition, analysis of the relevant DFS detection by WAS/RLAN comparing the meteorological radars described in Recommendations ITU-R M.1638-0 and ITU-R M.1849-1 shows that that adding a new reference to Recommendation ITU-R M.1849 1 to RR Nos </w:t>
      </w:r>
      <w:r>
        <w:rPr>
          <w:b/>
        </w:rPr>
        <w:t>5.447F</w:t>
      </w:r>
      <w:r>
        <w:t xml:space="preserve"> and </w:t>
      </w:r>
      <w:r>
        <w:rPr>
          <w:b/>
        </w:rPr>
        <w:t>5.450A</w:t>
      </w:r>
      <w:r>
        <w:t xml:space="preserve"> will </w:t>
      </w:r>
      <w:r>
        <w:lastRenderedPageBreak/>
        <w:t>not impose more stringent protection criteria on the mobile service, in particular RLAN/WAS, and will keep unchanged the protection of meteorological radars.</w:t>
      </w:r>
    </w:p>
    <w:p w:rsidR="00186B24" w:rsidRDefault="00186B24" w:rsidP="00186B24">
      <w:r>
        <w:t xml:space="preserve">Therefore, a reference to Recommendation ITU-R </w:t>
      </w:r>
      <w:hyperlink r:id="rId15" w:history="1">
        <w:r w:rsidRPr="004038EC">
          <w:rPr>
            <w:rStyle w:val="Hyperlink"/>
          </w:rPr>
          <w:t>M.1849-1</w:t>
        </w:r>
      </w:hyperlink>
      <w:r>
        <w:t xml:space="preserve"> in RR No. </w:t>
      </w:r>
      <w:r>
        <w:rPr>
          <w:b/>
        </w:rPr>
        <w:t>5.450A</w:t>
      </w:r>
      <w:r>
        <w:t xml:space="preserve"> will not lead to any changes of the conditions under which the frequency band 5 470-5 725 MHz is allocated to the incumbent radio services.</w:t>
      </w:r>
    </w:p>
    <w:p w:rsidR="00186B24" w:rsidRDefault="00186B24" w:rsidP="00186B24">
      <w:r>
        <w:t xml:space="preserve">Possible reference of Recommendation ITU-R M.1849-1 in RR No. </w:t>
      </w:r>
      <w:r>
        <w:rPr>
          <w:b/>
        </w:rPr>
        <w:t>5.447F</w:t>
      </w:r>
      <w:r>
        <w:t xml:space="preserve"> related to the band 5 250-5 350 MHz is still under consideration.</w:t>
      </w:r>
    </w:p>
    <w:p w:rsidR="00186B24" w:rsidRDefault="00186B24" w:rsidP="00186B24">
      <w:pPr>
        <w:pStyle w:val="Heading2"/>
      </w:pPr>
      <w:r>
        <w:t>2/9.1.5/3.2</w:t>
      </w:r>
      <w:r>
        <w:tab/>
        <w:t>List of relevant ITU-R Recommendations</w:t>
      </w:r>
    </w:p>
    <w:p w:rsidR="00186B24" w:rsidRDefault="00186B24" w:rsidP="00186B24">
      <w:pPr>
        <w:pStyle w:val="enumlev1"/>
      </w:pPr>
      <w:r>
        <w:t>1</w:t>
      </w:r>
      <w:r>
        <w:tab/>
        <w:t xml:space="preserve">Recommendation </w:t>
      </w:r>
      <w:hyperlink r:id="rId16" w:history="1">
        <w:r>
          <w:rPr>
            <w:rStyle w:val="Hyperlink"/>
          </w:rPr>
          <w:t>ITU-R M.1638-0</w:t>
        </w:r>
      </w:hyperlink>
      <w:r>
        <w:t xml:space="preserve"> </w:t>
      </w:r>
      <w:r w:rsidR="00C93EA1">
        <w:t xml:space="preserve">– </w:t>
      </w:r>
      <w:r>
        <w:t>“Characteristics of and protection criteria for sharing studies for radiolocation, aeronautical radionavigation and meteorological radars operating in the frequency bands between 5 250 and 5 850 MHz”;</w:t>
      </w:r>
    </w:p>
    <w:p w:rsidR="00186B24" w:rsidRDefault="00186B24" w:rsidP="00186B24">
      <w:pPr>
        <w:pStyle w:val="enumlev1"/>
      </w:pPr>
      <w:r>
        <w:t>2</w:t>
      </w:r>
      <w:r>
        <w:tab/>
        <w:t xml:space="preserve">Recommendation </w:t>
      </w:r>
      <w:hyperlink r:id="rId17" w:history="1">
        <w:r>
          <w:rPr>
            <w:rStyle w:val="Hyperlink"/>
          </w:rPr>
          <w:t>ITU-R M.1638-1</w:t>
        </w:r>
      </w:hyperlink>
      <w:r>
        <w:t xml:space="preserve"> </w:t>
      </w:r>
      <w:r w:rsidR="00C93EA1">
        <w:t xml:space="preserve">– </w:t>
      </w:r>
      <w:r>
        <w:t>“Characteristics of and protection criteria for sharing studies for radiolocation (except ground based meteorological radars) and aeronautical radionavigation radars operating in the frequency bands between 5 250 and 5 850 MHz”;</w:t>
      </w:r>
    </w:p>
    <w:p w:rsidR="00186B24" w:rsidRDefault="00186B24" w:rsidP="00186B24">
      <w:pPr>
        <w:pStyle w:val="enumlev1"/>
      </w:pPr>
      <w:r>
        <w:t>3</w:t>
      </w:r>
      <w:r>
        <w:tab/>
        <w:t xml:space="preserve">Recommendation </w:t>
      </w:r>
      <w:hyperlink r:id="rId18" w:history="1">
        <w:r>
          <w:rPr>
            <w:rStyle w:val="Hyperlink"/>
          </w:rPr>
          <w:t>ITU-R M.1849-0</w:t>
        </w:r>
      </w:hyperlink>
      <w:r>
        <w:t xml:space="preserve"> </w:t>
      </w:r>
      <w:r w:rsidR="00C93EA1">
        <w:t xml:space="preserve">– </w:t>
      </w:r>
      <w:r>
        <w:t>“Technical and operational aspects of ground-based meteorological radars”;</w:t>
      </w:r>
    </w:p>
    <w:p w:rsidR="00186B24" w:rsidRDefault="00186B24" w:rsidP="00186B24">
      <w:pPr>
        <w:pStyle w:val="enumlev1"/>
      </w:pPr>
      <w:r>
        <w:t>4</w:t>
      </w:r>
      <w:r>
        <w:tab/>
        <w:t xml:space="preserve">Recommendation </w:t>
      </w:r>
      <w:hyperlink r:id="rId19" w:history="1">
        <w:r>
          <w:rPr>
            <w:rStyle w:val="Hyperlink"/>
          </w:rPr>
          <w:t>ITU-R M.1849-1</w:t>
        </w:r>
      </w:hyperlink>
      <w:r>
        <w:t xml:space="preserve"> </w:t>
      </w:r>
      <w:r w:rsidR="00C93EA1">
        <w:t xml:space="preserve">– </w:t>
      </w:r>
      <w:r>
        <w:t>“Technical and operational aspects of ground-based meteorological radars”.</w:t>
      </w:r>
    </w:p>
    <w:p w:rsidR="00186B24" w:rsidRDefault="00186B24" w:rsidP="00186B24">
      <w:pPr>
        <w:pStyle w:val="Heading1"/>
      </w:pPr>
      <w:r>
        <w:t>2/9.1.5/4</w:t>
      </w:r>
      <w:r>
        <w:tab/>
      </w:r>
      <w:r>
        <w:tab/>
        <w:t>Conclusions</w:t>
      </w:r>
    </w:p>
    <w:p w:rsidR="00186B24" w:rsidRDefault="00186B24" w:rsidP="00186B24">
      <w:r>
        <w:t>[One study showed that:</w:t>
      </w:r>
    </w:p>
    <w:p w:rsidR="00186B24" w:rsidRDefault="00186B24" w:rsidP="00186B24">
      <w:pPr>
        <w:pStyle w:val="enumlev1"/>
      </w:pPr>
      <w:r>
        <w:t>–</w:t>
      </w:r>
      <w:r>
        <w:tab/>
        <w:t xml:space="preserve">reference to Recommendation ITU-R М.1638-0 should be kept in RR No. </w:t>
      </w:r>
      <w:r>
        <w:rPr>
          <w:b/>
          <w:bCs/>
        </w:rPr>
        <w:t>5.447F</w:t>
      </w:r>
      <w:r>
        <w:t xml:space="preserve"> since incorporation of references to updated Recommendations ITU-R М.1638-1 and ITU-R М.1849-1 in this footnote will lead to significant changes of the conditions under which the frequency band 5 250-5 350 MHz is allocated;</w:t>
      </w:r>
    </w:p>
    <w:p w:rsidR="00186B24" w:rsidRDefault="00186B24" w:rsidP="00186B24">
      <w:pPr>
        <w:pStyle w:val="enumlev1"/>
      </w:pPr>
      <w:r>
        <w:t>–</w:t>
      </w:r>
      <w:r>
        <w:tab/>
        <w:t xml:space="preserve">with respect to RR No. </w:t>
      </w:r>
      <w:r>
        <w:rPr>
          <w:b/>
          <w:bCs/>
        </w:rPr>
        <w:t>5.450A</w:t>
      </w:r>
      <w:r>
        <w:t xml:space="preserve"> two options can be considered: to keep the reference to Recommendation ITU-R М.1638-0 or to add the reference to Recommendation ITU-R M.1849-1. Both options do not change the conditions under which the frequency band 5 470-5 725 MHz is allocated to the mobile service.</w:t>
      </w:r>
    </w:p>
    <w:p w:rsidR="00186B24" w:rsidRDefault="00186B24" w:rsidP="00186B24">
      <w:r>
        <w:t>Another study showed that the incorporation by reference of Recommendation ITU</w:t>
      </w:r>
      <w:r>
        <w:noBreakHyphen/>
        <w:t>R M.1638</w:t>
      </w:r>
      <w:r>
        <w:noBreakHyphen/>
        <w:t>0 should not be updated in</w:t>
      </w:r>
      <w:r>
        <w:rPr>
          <w:lang w:eastAsia="ja-JP"/>
        </w:rPr>
        <w:t xml:space="preserve"> RR Nos. </w:t>
      </w:r>
      <w:r>
        <w:rPr>
          <w:b/>
          <w:bCs/>
          <w:lang w:eastAsia="ja-JP"/>
        </w:rPr>
        <w:t>5.447F</w:t>
      </w:r>
      <w:r>
        <w:rPr>
          <w:lang w:eastAsia="ja-JP"/>
        </w:rPr>
        <w:t xml:space="preserve"> and </w:t>
      </w:r>
      <w:r>
        <w:rPr>
          <w:b/>
          <w:bCs/>
          <w:lang w:eastAsia="ja-JP"/>
        </w:rPr>
        <w:t>5.450A</w:t>
      </w:r>
      <w:r>
        <w:rPr>
          <w:lang w:eastAsia="ja-JP"/>
        </w:rPr>
        <w:t xml:space="preserve"> until the studies are completed.</w:t>
      </w:r>
    </w:p>
    <w:p w:rsidR="00186B24" w:rsidRDefault="00186B24" w:rsidP="00186B24">
      <w:pPr>
        <w:rPr>
          <w:spacing w:val="-2"/>
        </w:rPr>
      </w:pPr>
      <w:r>
        <w:rPr>
          <w:spacing w:val="-2"/>
        </w:rPr>
        <w:t xml:space="preserve">A further study showed that Recommendation ITU-R M.1849-1 can be referenced in RR No. </w:t>
      </w:r>
      <w:r>
        <w:rPr>
          <w:b/>
          <w:spacing w:val="-2"/>
        </w:rPr>
        <w:t>5.450A</w:t>
      </w:r>
      <w:r>
        <w:rPr>
          <w:spacing w:val="-2"/>
        </w:rPr>
        <w:t xml:space="preserve"> without changes to the conditions under which the frequency band 5 470-5 725 MHz is allocated to the incumbent radio services.]</w:t>
      </w:r>
    </w:p>
    <w:p w:rsidR="000069D4" w:rsidRPr="00186B24" w:rsidRDefault="004038EC" w:rsidP="004038EC">
      <w:pPr>
        <w:jc w:val="center"/>
        <w:rPr>
          <w:lang w:val="en-US"/>
        </w:rPr>
      </w:pPr>
      <w:r>
        <w:rPr>
          <w:lang w:val="en-US"/>
        </w:rPr>
        <w:t>________________</w:t>
      </w:r>
    </w:p>
    <w:sectPr w:rsidR="000069D4" w:rsidRPr="00186B24" w:rsidSect="00D0271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40" w:rsidRDefault="001B4A40">
      <w:r>
        <w:separator/>
      </w:r>
    </w:p>
  </w:endnote>
  <w:endnote w:type="continuationSeparator" w:id="0">
    <w:p w:rsidR="001B4A40" w:rsidRDefault="001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A1" w:rsidRDefault="00C93E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C93EA1" w:rsidP="004038E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C93EA1">
      <w:rPr>
        <w:lang w:val="en-US"/>
      </w:rPr>
      <w:t>M</w:t>
    </w:r>
    <w:r>
      <w:t>:\BRSGD\TEXT2017\SG05\WP5A\600\650\650N12e.docx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20.11.17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C93EA1" w:rsidP="004038E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C93EA1">
      <w:rPr>
        <w:lang w:val="en-US"/>
      </w:rPr>
      <w:t>M</w:t>
    </w:r>
    <w:r>
      <w:t>:\BRSGD\TEXT2017\SG05\WP5A\600\650\650N12e.docx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20.11.17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40" w:rsidRDefault="001B4A40">
      <w:r>
        <w:t>____________________</w:t>
      </w:r>
    </w:p>
  </w:footnote>
  <w:footnote w:type="continuationSeparator" w:id="0">
    <w:p w:rsidR="001B4A40" w:rsidRDefault="001B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A1" w:rsidRDefault="00C93E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C93EA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186B24">
    <w:pPr>
      <w:pStyle w:val="Header"/>
      <w:rPr>
        <w:lang w:val="en-US"/>
      </w:rPr>
    </w:pPr>
    <w:r>
      <w:rPr>
        <w:lang w:val="en-US"/>
      </w:rPr>
      <w:t>5A/</w:t>
    </w:r>
    <w:r w:rsidR="00504487">
      <w:rPr>
        <w:lang w:val="en-US"/>
      </w:rPr>
      <w:t>650 (Ann</w:t>
    </w:r>
    <w:bookmarkStart w:id="9" w:name="_GoBack"/>
    <w:bookmarkEnd w:id="9"/>
    <w:r w:rsidR="00504487">
      <w:rPr>
        <w:lang w:val="en-US"/>
      </w:rPr>
      <w:t>ex 12)</w:t>
    </w:r>
    <w:r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A1" w:rsidRDefault="00C93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24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86B24"/>
    <w:rsid w:val="00196A19"/>
    <w:rsid w:val="001B4A40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038EC"/>
    <w:rsid w:val="00432495"/>
    <w:rsid w:val="004B1EF7"/>
    <w:rsid w:val="004B3FAD"/>
    <w:rsid w:val="004C5749"/>
    <w:rsid w:val="00501DCA"/>
    <w:rsid w:val="00504487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6C42D3"/>
    <w:rsid w:val="00814E0A"/>
    <w:rsid w:val="00822581"/>
    <w:rsid w:val="00822E18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93EA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3A62474-B740-4F60-8820-C28A7AC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basedOn w:val="DefaultParagraphFont"/>
    <w:unhideWhenUsed/>
    <w:rsid w:val="00186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M.1638/en" TargetMode="External"/><Relationship Id="rId18" Type="http://schemas.openxmlformats.org/officeDocument/2006/relationships/hyperlink" Target="http://www.itu.int/rec/R-REC-M.1849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M.1849/en" TargetMode="External"/><Relationship Id="rId17" Type="http://schemas.openxmlformats.org/officeDocument/2006/relationships/hyperlink" Target="http://www.itu.int/rec/R-REC-M.1638/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rec/R-REC-M.163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RS.1632/en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rec/R-REC-M.1849/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rec/R-REC-M.1638/en" TargetMode="External"/><Relationship Id="rId19" Type="http://schemas.openxmlformats.org/officeDocument/2006/relationships/hyperlink" Target="http://www.itu.int/rec/R-REC-M.1849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www.itu.int/rec/R-REC-M.1849/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BBBF9-EE12-41FE-80FD-EAA1816C594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4c6a61cb-1973-4fc6-92ae-f4d7a447140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9EA2F8-6C80-402D-86B7-96758DC66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64624-F794-46ED-AA2D-9749ACC5D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4</TotalTime>
  <Pages>3</Pages>
  <Words>1208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Soto Romero, Alicia</dc:creator>
  <cp:lastModifiedBy>Soto Romero, Alicia</cp:lastModifiedBy>
  <cp:revision>3</cp:revision>
  <cp:lastPrinted>2008-02-21T14:04:00Z</cp:lastPrinted>
  <dcterms:created xsi:type="dcterms:W3CDTF">2017-11-20T07:17:00Z</dcterms:created>
  <dcterms:modified xsi:type="dcterms:W3CDTF">2017-11-20T07:22:00Z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