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jpeg" ContentType="image/jpeg"/>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89268C">
        <w:trPr>
          <w:cantSplit/>
        </w:trPr>
        <w:tc>
          <w:tcPr>
            <w:tcW w:w="6487" w:type="dxa"/>
            <w:vAlign w:val="center"/>
          </w:tcPr>
          <w:p w:rsidR="0089268C" w:rsidRDefault="00C3610E">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89268C" w:rsidRDefault="00C3610E">
            <w:pPr>
              <w:shd w:val="solid" w:color="FFFFFF" w:fill="FFFFFF"/>
              <w:spacing w:before="0" w:line="240" w:lineRule="atLeast"/>
            </w:pPr>
            <w:r>
              <w:rPr>
                <w:b/>
                <w:bCs/>
                <w:noProof/>
                <w:sz w:val="20"/>
                <w:lang w:eastAsia="zh-CN"/>
              </w:rPr>
              <w:drawing>
                <wp:inline distT="0" distB="0" distL="0" distR="0">
                  <wp:extent cx="579396" cy="657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89268C">
        <w:trPr>
          <w:cantSplit/>
        </w:trPr>
        <w:tc>
          <w:tcPr>
            <w:tcW w:w="6487" w:type="dxa"/>
            <w:tcBorders>
              <w:bottom w:val="single" w:sz="12" w:space="0" w:color="auto"/>
            </w:tcBorders>
          </w:tcPr>
          <w:p w:rsidR="0089268C" w:rsidRDefault="0089268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89268C" w:rsidRDefault="0089268C">
            <w:pPr>
              <w:shd w:val="solid" w:color="FFFFFF" w:fill="FFFFFF"/>
              <w:spacing w:before="0" w:after="48" w:line="240" w:lineRule="atLeast"/>
              <w:rPr>
                <w:sz w:val="22"/>
                <w:szCs w:val="22"/>
                <w:lang w:val="en-US"/>
              </w:rPr>
            </w:pPr>
          </w:p>
        </w:tc>
      </w:tr>
      <w:tr w:rsidR="0089268C">
        <w:trPr>
          <w:cantSplit/>
        </w:trPr>
        <w:tc>
          <w:tcPr>
            <w:tcW w:w="6487" w:type="dxa"/>
            <w:tcBorders>
              <w:top w:val="single" w:sz="12" w:space="0" w:color="auto"/>
            </w:tcBorders>
          </w:tcPr>
          <w:p w:rsidR="0089268C" w:rsidRDefault="0089268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89268C" w:rsidRDefault="0089268C">
            <w:pPr>
              <w:shd w:val="solid" w:color="FFFFFF" w:fill="FFFFFF"/>
              <w:spacing w:before="0" w:after="48" w:line="240" w:lineRule="atLeast"/>
              <w:rPr>
                <w:b/>
                <w:lang w:val="en-US"/>
              </w:rPr>
            </w:pPr>
          </w:p>
        </w:tc>
      </w:tr>
      <w:tr w:rsidR="0089268C" w:rsidRPr="001E7D0F">
        <w:trPr>
          <w:cantSplit/>
        </w:trPr>
        <w:tc>
          <w:tcPr>
            <w:tcW w:w="6487" w:type="dxa"/>
            <w:vMerge w:val="restart"/>
          </w:tcPr>
          <w:p w:rsidR="0089268C" w:rsidRPr="001E7D0F" w:rsidRDefault="001E7D0F">
            <w:pPr>
              <w:shd w:val="solid" w:color="FFFFFF" w:fill="FFFFFF"/>
              <w:tabs>
                <w:tab w:val="clear" w:pos="1134"/>
                <w:tab w:val="clear" w:pos="1871"/>
                <w:tab w:val="clear" w:pos="2268"/>
              </w:tabs>
              <w:spacing w:before="0" w:after="240"/>
              <w:ind w:left="1134" w:hanging="1134"/>
              <w:rPr>
                <w:rFonts w:ascii="Verdana" w:hAnsi="Verdana"/>
                <w:sz w:val="20"/>
                <w:lang w:val="fr-FR"/>
              </w:rPr>
            </w:pPr>
            <w:r w:rsidRPr="001E7D0F">
              <w:rPr>
                <w:rFonts w:ascii="Verdana" w:hAnsi="Verdana"/>
                <w:sz w:val="20"/>
                <w:lang w:val="fr-FR"/>
              </w:rPr>
              <w:t>Source:</w:t>
            </w:r>
            <w:r w:rsidRPr="001E7D0F">
              <w:rPr>
                <w:rFonts w:ascii="Verdana" w:hAnsi="Verdana"/>
                <w:sz w:val="20"/>
                <w:lang w:val="fr-FR"/>
              </w:rPr>
              <w:tab/>
              <w:t>Document 5A/TEMP/236(</w:t>
            </w:r>
            <w:r>
              <w:rPr>
                <w:rFonts w:ascii="Verdana" w:hAnsi="Verdana"/>
                <w:sz w:val="20"/>
                <w:lang w:val="fr-FR"/>
              </w:rPr>
              <w:t>Rev</w:t>
            </w:r>
            <w:r w:rsidRPr="001E7D0F">
              <w:rPr>
                <w:rFonts w:ascii="Verdana" w:hAnsi="Verdana"/>
                <w:sz w:val="20"/>
                <w:lang w:val="fr-FR"/>
              </w:rPr>
              <w:t>.1)</w:t>
            </w:r>
          </w:p>
        </w:tc>
        <w:tc>
          <w:tcPr>
            <w:tcW w:w="3402" w:type="dxa"/>
          </w:tcPr>
          <w:p w:rsidR="0089268C" w:rsidRDefault="001E7D0F" w:rsidP="00635AAC">
            <w:pPr>
              <w:shd w:val="solid" w:color="FFFFFF" w:fill="FFFFFF"/>
              <w:spacing w:before="0" w:line="240" w:lineRule="atLeast"/>
              <w:rPr>
                <w:rFonts w:ascii="Verdana" w:hAnsi="Verdana"/>
                <w:sz w:val="20"/>
                <w:lang w:val="pt-BR" w:eastAsia="zh-CN"/>
              </w:rPr>
            </w:pPr>
            <w:r>
              <w:rPr>
                <w:rFonts w:ascii="Verdana" w:hAnsi="Verdana"/>
                <w:b/>
                <w:sz w:val="20"/>
                <w:lang w:val="pt-BR" w:eastAsia="zh-CN"/>
              </w:rPr>
              <w:t>Annex 23 to</w:t>
            </w:r>
            <w:r w:rsidR="00635AAC">
              <w:rPr>
                <w:rFonts w:ascii="Verdana" w:hAnsi="Verdana"/>
                <w:b/>
                <w:sz w:val="20"/>
                <w:lang w:val="pt-BR" w:eastAsia="zh-CN"/>
              </w:rPr>
              <w:br/>
            </w:r>
            <w:r w:rsidR="00C3610E">
              <w:rPr>
                <w:rFonts w:ascii="Verdana" w:hAnsi="Verdana"/>
                <w:b/>
                <w:sz w:val="20"/>
                <w:lang w:val="pt-BR" w:eastAsia="zh-CN"/>
              </w:rPr>
              <w:t>Document 5A/</w:t>
            </w:r>
            <w:r>
              <w:rPr>
                <w:rFonts w:ascii="Verdana" w:hAnsi="Verdana"/>
                <w:b/>
                <w:sz w:val="20"/>
                <w:lang w:val="pt-BR" w:eastAsia="zh-CN"/>
              </w:rPr>
              <w:t>650</w:t>
            </w:r>
            <w:r w:rsidR="00C3610E">
              <w:rPr>
                <w:rFonts w:ascii="Verdana" w:hAnsi="Verdana"/>
                <w:b/>
                <w:sz w:val="20"/>
                <w:lang w:val="pt-BR" w:eastAsia="zh-CN"/>
              </w:rPr>
              <w:t>-E</w:t>
            </w:r>
          </w:p>
        </w:tc>
      </w:tr>
      <w:tr w:rsidR="0089268C">
        <w:trPr>
          <w:cantSplit/>
        </w:trPr>
        <w:tc>
          <w:tcPr>
            <w:tcW w:w="6487" w:type="dxa"/>
            <w:vMerge/>
          </w:tcPr>
          <w:p w:rsidR="0089268C" w:rsidRDefault="0089268C">
            <w:pPr>
              <w:spacing w:before="60"/>
              <w:jc w:val="center"/>
              <w:rPr>
                <w:b/>
                <w:smallCaps/>
                <w:sz w:val="32"/>
                <w:lang w:val="pt-BR" w:eastAsia="zh-CN"/>
              </w:rPr>
            </w:pPr>
          </w:p>
        </w:tc>
        <w:tc>
          <w:tcPr>
            <w:tcW w:w="3402" w:type="dxa"/>
          </w:tcPr>
          <w:p w:rsidR="0089268C" w:rsidRDefault="00635AAC" w:rsidP="00B83746">
            <w:pPr>
              <w:shd w:val="solid" w:color="FFFFFF" w:fill="FFFFFF"/>
              <w:spacing w:before="0" w:line="240" w:lineRule="atLeast"/>
              <w:rPr>
                <w:rFonts w:ascii="Verdana" w:hAnsi="Verdana"/>
                <w:sz w:val="20"/>
                <w:lang w:eastAsia="zh-CN"/>
              </w:rPr>
            </w:pPr>
            <w:r>
              <w:rPr>
                <w:rFonts w:ascii="Verdana" w:hAnsi="Verdana"/>
                <w:b/>
                <w:sz w:val="20"/>
                <w:lang w:eastAsia="zh-CN"/>
              </w:rPr>
              <w:t>2</w:t>
            </w:r>
            <w:r w:rsidR="00B83746">
              <w:rPr>
                <w:rFonts w:ascii="Verdana" w:hAnsi="Verdana"/>
                <w:b/>
                <w:sz w:val="20"/>
                <w:lang w:eastAsia="zh-CN"/>
              </w:rPr>
              <w:t>0</w:t>
            </w:r>
            <w:r w:rsidR="00C3610E">
              <w:rPr>
                <w:rFonts w:ascii="Verdana" w:hAnsi="Verdana"/>
                <w:b/>
                <w:sz w:val="20"/>
                <w:lang w:eastAsia="zh-CN"/>
              </w:rPr>
              <w:t xml:space="preserve"> November 2017</w:t>
            </w:r>
          </w:p>
        </w:tc>
      </w:tr>
      <w:tr w:rsidR="0089268C">
        <w:trPr>
          <w:cantSplit/>
        </w:trPr>
        <w:tc>
          <w:tcPr>
            <w:tcW w:w="6487" w:type="dxa"/>
            <w:vMerge/>
          </w:tcPr>
          <w:p w:rsidR="0089268C" w:rsidRDefault="0089268C">
            <w:pPr>
              <w:spacing w:before="60"/>
              <w:jc w:val="center"/>
              <w:rPr>
                <w:b/>
                <w:smallCaps/>
                <w:sz w:val="32"/>
                <w:lang w:eastAsia="zh-CN"/>
              </w:rPr>
            </w:pPr>
          </w:p>
        </w:tc>
        <w:tc>
          <w:tcPr>
            <w:tcW w:w="3402" w:type="dxa"/>
          </w:tcPr>
          <w:p w:rsidR="0089268C" w:rsidRDefault="00C3610E">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89268C">
        <w:trPr>
          <w:cantSplit/>
        </w:trPr>
        <w:tc>
          <w:tcPr>
            <w:tcW w:w="9889" w:type="dxa"/>
            <w:gridSpan w:val="2"/>
          </w:tcPr>
          <w:p w:rsidR="0089268C" w:rsidRDefault="001E7D0F">
            <w:pPr>
              <w:pStyle w:val="Source"/>
              <w:rPr>
                <w:lang w:val="en-CA" w:eastAsia="zh-CN"/>
              </w:rPr>
            </w:pPr>
            <w:bookmarkStart w:id="0" w:name="ditulogo"/>
            <w:bookmarkStart w:id="1" w:name="dsource" w:colFirst="0" w:colLast="0"/>
            <w:bookmarkEnd w:id="0"/>
            <w:r w:rsidRPr="00E32490">
              <w:rPr>
                <w:lang w:val="en-US" w:eastAsia="zh-CN"/>
              </w:rPr>
              <w:t xml:space="preserve">Annex </w:t>
            </w:r>
            <w:r>
              <w:rPr>
                <w:lang w:val="en-US" w:eastAsia="zh-CN"/>
              </w:rPr>
              <w:t>23</w:t>
            </w:r>
            <w:r w:rsidRPr="00E32490">
              <w:rPr>
                <w:lang w:val="en-US" w:eastAsia="zh-CN"/>
              </w:rPr>
              <w:t xml:space="preserve"> to Working Party 5A Chairman’s Report</w:t>
            </w:r>
          </w:p>
        </w:tc>
      </w:tr>
      <w:tr w:rsidR="0089268C">
        <w:trPr>
          <w:cantSplit/>
        </w:trPr>
        <w:tc>
          <w:tcPr>
            <w:tcW w:w="9889" w:type="dxa"/>
            <w:gridSpan w:val="2"/>
          </w:tcPr>
          <w:p w:rsidR="0089268C" w:rsidRDefault="00C3610E" w:rsidP="00101B2B">
            <w:pPr>
              <w:pStyle w:val="RepNo"/>
              <w:rPr>
                <w:lang w:val="en-US" w:eastAsia="zh-CN"/>
              </w:rPr>
            </w:pPr>
            <w:bookmarkStart w:id="2" w:name="drec" w:colFirst="0" w:colLast="0"/>
            <w:bookmarkEnd w:id="1"/>
            <w:r>
              <w:rPr>
                <w:lang w:val="en-US" w:eastAsia="ja-JP"/>
              </w:rPr>
              <w:t xml:space="preserve">WORKING DOCUMENT TOWARDS A PRELIMINARY DRAFT NEW </w:t>
            </w:r>
            <w:r>
              <w:rPr>
                <w:lang w:val="en-US" w:eastAsia="ja-JP"/>
              </w:rPr>
              <w:br/>
              <w:t>REPORT ITU-R M.[RLAN SHARING 5150-5250 MHz]</w:t>
            </w:r>
          </w:p>
        </w:tc>
      </w:tr>
      <w:tr w:rsidR="0089268C">
        <w:trPr>
          <w:cantSplit/>
        </w:trPr>
        <w:tc>
          <w:tcPr>
            <w:tcW w:w="9889" w:type="dxa"/>
            <w:gridSpan w:val="2"/>
          </w:tcPr>
          <w:p w:rsidR="0089268C" w:rsidRDefault="00C3610E" w:rsidP="00101B2B">
            <w:pPr>
              <w:pStyle w:val="Reptitle"/>
              <w:rPr>
                <w:lang w:val="en-US" w:eastAsia="zh-CN"/>
              </w:rPr>
            </w:pPr>
            <w:bookmarkStart w:id="3" w:name="dtitle1" w:colFirst="0" w:colLast="0"/>
            <w:bookmarkEnd w:id="2"/>
            <w:r>
              <w:rPr>
                <w:lang w:val="en-US"/>
              </w:rPr>
              <w:t xml:space="preserve">Sharing and </w:t>
            </w:r>
            <w:r w:rsidRPr="001E7D0F">
              <w:rPr>
                <w:lang w:val="en-CA" w:eastAsia="zh-CN"/>
              </w:rPr>
              <w:t>compatibility</w:t>
            </w:r>
            <w:r>
              <w:rPr>
                <w:lang w:val="en-US"/>
              </w:rPr>
              <w:t xml:space="preserve"> studies of W</w:t>
            </w:r>
            <w:bookmarkStart w:id="4" w:name="_GoBack"/>
            <w:bookmarkEnd w:id="4"/>
            <w:r>
              <w:rPr>
                <w:lang w:val="en-US"/>
              </w:rPr>
              <w:t>AS/RLAN in</w:t>
            </w:r>
            <w:r>
              <w:rPr>
                <w:lang w:val="en-US"/>
              </w:rPr>
              <w:br/>
              <w:t>the 5 150-5 250 MHz frequency range</w:t>
            </w:r>
          </w:p>
        </w:tc>
      </w:tr>
    </w:tbl>
    <w:p w:rsidR="0089268C" w:rsidRDefault="00C3610E">
      <w:pPr>
        <w:pStyle w:val="Normalaftertitle"/>
        <w:spacing w:before="600"/>
        <w:rPr>
          <w:i/>
          <w:iCs/>
          <w:lang w:val="en-US" w:eastAsia="zh-CN"/>
        </w:rPr>
      </w:pPr>
      <w:bookmarkStart w:id="5" w:name="dbreak"/>
      <w:bookmarkEnd w:id="3"/>
      <w:bookmarkEnd w:id="5"/>
      <w:r>
        <w:rPr>
          <w:iCs/>
          <w:lang w:val="en-US" w:eastAsia="zh-CN"/>
        </w:rPr>
        <w:t>[</w:t>
      </w:r>
      <w:r>
        <w:rPr>
          <w:i/>
          <w:iCs/>
          <w:lang w:val="en-US" w:eastAsia="zh-CN"/>
        </w:rPr>
        <w:t xml:space="preserve">Editor’s </w:t>
      </w:r>
      <w:r w:rsidR="005C1912">
        <w:rPr>
          <w:i/>
          <w:iCs/>
          <w:lang w:val="en-US" w:eastAsia="zh-CN"/>
        </w:rPr>
        <w:t>note</w:t>
      </w:r>
      <w:r>
        <w:rPr>
          <w:i/>
          <w:iCs/>
          <w:lang w:val="en-US" w:eastAsia="zh-CN"/>
        </w:rPr>
        <w:t>: This document is a compilation of material presented in contributions submitted to May and November 2016</w:t>
      </w:r>
      <w:r w:rsidRPr="001E7D0F">
        <w:rPr>
          <w:i/>
          <w:iCs/>
          <w:lang w:val="en-US" w:eastAsia="zh-CN"/>
        </w:rPr>
        <w:t>,</w:t>
      </w:r>
      <w:r>
        <w:rPr>
          <w:i/>
          <w:iCs/>
          <w:lang w:val="en-US" w:eastAsia="zh-CN"/>
        </w:rPr>
        <w:t xml:space="preserve"> and the May </w:t>
      </w:r>
      <w:r w:rsidRPr="001E7D0F">
        <w:rPr>
          <w:i/>
          <w:iCs/>
          <w:lang w:val="en-US" w:eastAsia="zh-CN"/>
        </w:rPr>
        <w:t xml:space="preserve">and November </w:t>
      </w:r>
      <w:r>
        <w:rPr>
          <w:i/>
          <w:iCs/>
          <w:lang w:val="en-US" w:eastAsia="zh-CN"/>
        </w:rPr>
        <w:t>2017 WP 5A meetings (see Source Indication below) that the submitting administrations requested to be considered in developing this document. The content of this document need to be supported by corresponding sharing studies. The material contained in this document has not been agreed by WP 5A.</w:t>
      </w:r>
      <w:r w:rsidR="00FB47C3">
        <w:rPr>
          <w:i/>
          <w:iCs/>
          <w:lang w:val="en-US" w:eastAsia="zh-CN"/>
        </w:rPr>
        <w:t xml:space="preserve"> </w:t>
      </w:r>
      <w:r>
        <w:rPr>
          <w:i/>
          <w:iCs/>
          <w:lang w:val="en-US" w:eastAsia="zh-CN"/>
        </w:rPr>
        <w:t>The material if agreed could be used to satisfy the objective of agenda item 1.16.]</w:t>
      </w:r>
    </w:p>
    <w:p w:rsidR="0089268C" w:rsidRDefault="00C3610E">
      <w:pPr>
        <w:rPr>
          <w:i/>
          <w:lang w:val="en-US" w:eastAsia="zh-CN"/>
        </w:rPr>
      </w:pPr>
      <w:r w:rsidRPr="001E7D0F">
        <w:rPr>
          <w:i/>
          <w:lang w:val="en-US" w:eastAsia="zh-CN"/>
        </w:rPr>
        <w:t xml:space="preserve">[Editor’s </w:t>
      </w:r>
      <w:r w:rsidR="005C1912">
        <w:rPr>
          <w:i/>
          <w:lang w:val="en-US" w:eastAsia="zh-CN"/>
        </w:rPr>
        <w:t>note</w:t>
      </w:r>
      <w:r w:rsidRPr="001E7D0F">
        <w:rPr>
          <w:i/>
          <w:lang w:val="en-US" w:eastAsia="zh-CN"/>
        </w:rPr>
        <w:t>: Document 5A/554 is embedded below for reference.]</w:t>
      </w:r>
    </w:p>
    <w:bookmarkStart w:id="6" w:name="_MON_1572260024"/>
    <w:bookmarkEnd w:id="6"/>
    <w:p w:rsidR="0089268C" w:rsidRPr="001E7D0F" w:rsidRDefault="00635AAC" w:rsidP="005C1912">
      <w:pPr>
        <w:jc w:val="center"/>
        <w:rPr>
          <w:i/>
          <w:lang w:val="en-US" w:eastAsia="zh-CN"/>
        </w:rPr>
      </w:pPr>
      <w:r>
        <w:rPr>
          <w:i/>
          <w:lang w:val="en-US" w:eastAsia="zh-CN"/>
        </w:rPr>
        <w:object w:dxaOrig="1454" w:dyaOrig="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45pt;height:47.1pt" o:ole="">
            <v:imagedata r:id="rId12" o:title=""/>
          </v:shape>
          <o:OLEObject Type="Embed" ProgID="Word.Document.12" ShapeID="_x0000_i1025" DrawAspect="Icon" ObjectID="_1572690768" r:id="rId13">
            <o:FieldCodes>\s</o:FieldCodes>
          </o:OLEObject>
        </w:object>
      </w:r>
    </w:p>
    <w:p w:rsidR="0089268C" w:rsidRDefault="00C3610E">
      <w:pPr>
        <w:pStyle w:val="Heading1"/>
        <w:rPr>
          <w:lang w:val="en-US"/>
        </w:rPr>
      </w:pPr>
      <w:r>
        <w:rPr>
          <w:lang w:val="en-US"/>
        </w:rPr>
        <w:t>1</w:t>
      </w:r>
      <w:r>
        <w:rPr>
          <w:lang w:val="en-US"/>
        </w:rPr>
        <w:tab/>
        <w:t>Introduction</w:t>
      </w:r>
    </w:p>
    <w:p w:rsidR="0089268C" w:rsidRDefault="00C3610E">
      <w:pPr>
        <w:rPr>
          <w:color w:val="000000"/>
          <w:szCs w:val="24"/>
          <w:lang w:val="en-US"/>
        </w:rPr>
      </w:pPr>
      <w:r>
        <w:rPr>
          <w:szCs w:val="24"/>
          <w:lang w:val="en-US" w:eastAsia="ja-JP"/>
        </w:rPr>
        <w:t xml:space="preserve">This Report includes the sharing and compatibilities studies of WAS/RLAN </w:t>
      </w:r>
      <w:r>
        <w:rPr>
          <w:color w:val="000000"/>
          <w:szCs w:val="24"/>
          <w:lang w:val="en-US"/>
        </w:rPr>
        <w:t>in the</w:t>
      </w:r>
      <w:r>
        <w:rPr>
          <w:color w:val="000000"/>
          <w:szCs w:val="24"/>
          <w:lang w:val="en-US"/>
        </w:rPr>
        <w:br/>
        <w:t>5 150-5 250 MHz frequency range.</w:t>
      </w:r>
    </w:p>
    <w:p w:rsidR="0089268C" w:rsidRPr="001E7D0F" w:rsidRDefault="00C3610E">
      <w:pPr>
        <w:rPr>
          <w:szCs w:val="24"/>
          <w:lang w:val="en-US" w:eastAsia="ja-JP"/>
        </w:rPr>
      </w:pPr>
      <w:r w:rsidRPr="001E7D0F">
        <w:rPr>
          <w:szCs w:val="24"/>
          <w:lang w:val="en-US" w:eastAsia="ja-JP"/>
        </w:rPr>
        <w:t>It is intended to represent the response to a part of</w:t>
      </w:r>
      <w:r w:rsidRPr="001E7D0F">
        <w:rPr>
          <w:i/>
          <w:szCs w:val="24"/>
          <w:lang w:val="en-US" w:eastAsia="ja-JP"/>
        </w:rPr>
        <w:t xml:space="preserve"> invites ITU-R c)</w:t>
      </w:r>
      <w:r w:rsidRPr="001E7D0F">
        <w:rPr>
          <w:szCs w:val="24"/>
          <w:lang w:val="en-US" w:eastAsia="ja-JP"/>
        </w:rPr>
        <w:t xml:space="preserve"> “to perform sharing and compatibility studies between WAS/RLAN applications and incumbent services in the frequency band 5 150-5 350 MHz with the possibility of enabling outdoor WAS/RLAN operations including possible associated conditions” of </w:t>
      </w:r>
      <w:r>
        <w:rPr>
          <w:szCs w:val="24"/>
          <w:lang w:val="en-US" w:eastAsia="ja-JP"/>
        </w:rPr>
        <w:t xml:space="preserve">Resolution </w:t>
      </w:r>
      <w:r w:rsidRPr="008D4FC9">
        <w:rPr>
          <w:b/>
          <w:bCs/>
          <w:szCs w:val="24"/>
          <w:lang w:val="en-US" w:eastAsia="ja-JP"/>
        </w:rPr>
        <w:t>239 (WRC</w:t>
      </w:r>
      <w:r w:rsidRPr="008D4FC9">
        <w:rPr>
          <w:b/>
          <w:bCs/>
          <w:szCs w:val="24"/>
          <w:lang w:val="en-US" w:eastAsia="ja-JP"/>
        </w:rPr>
        <w:noBreakHyphen/>
        <w:t>15)</w:t>
      </w:r>
      <w:r w:rsidRPr="001E7D0F">
        <w:rPr>
          <w:szCs w:val="24"/>
          <w:lang w:val="en-US" w:eastAsia="ja-JP"/>
        </w:rPr>
        <w:t xml:space="preserve"> </w:t>
      </w:r>
      <w:r>
        <w:rPr>
          <w:szCs w:val="24"/>
          <w:lang w:val="en-US" w:eastAsia="ja-JP"/>
        </w:rPr>
        <w:t>under WRC-19 agenda item 1.16.</w:t>
      </w:r>
    </w:p>
    <w:p w:rsidR="0089268C" w:rsidRDefault="00C3610E">
      <w:pPr>
        <w:pStyle w:val="Heading1"/>
        <w:spacing w:after="120"/>
        <w:rPr>
          <w:lang w:val="en-US"/>
        </w:rPr>
      </w:pPr>
      <w:r>
        <w:rPr>
          <w:lang w:val="en-US" w:eastAsia="ja-JP"/>
        </w:rPr>
        <w:lastRenderedPageBreak/>
        <w:t>3</w:t>
      </w:r>
      <w:r>
        <w:rPr>
          <w:lang w:val="en-US" w:eastAsia="ja-JP"/>
        </w:rPr>
        <w:tab/>
        <w:t>Overall view of allocations in the 5 150-5 250 MHz range</w:t>
      </w:r>
    </w:p>
    <w:tbl>
      <w:tblPr>
        <w:tblW w:w="10340" w:type="dxa"/>
        <w:jc w:val="center"/>
        <w:tblLayout w:type="fixed"/>
        <w:tblCellMar>
          <w:left w:w="107" w:type="dxa"/>
          <w:right w:w="107" w:type="dxa"/>
        </w:tblCellMar>
        <w:tblLook w:val="04A0" w:firstRow="1" w:lastRow="0" w:firstColumn="1" w:lastColumn="0" w:noHBand="0" w:noVBand="1"/>
      </w:tblPr>
      <w:tblGrid>
        <w:gridCol w:w="2615"/>
        <w:gridCol w:w="2616"/>
        <w:gridCol w:w="2616"/>
        <w:gridCol w:w="2493"/>
      </w:tblGrid>
      <w:tr w:rsidR="0089268C">
        <w:trPr>
          <w:cantSplit/>
          <w:trHeight w:val="375"/>
          <w:tblHeader/>
          <w:jc w:val="center"/>
        </w:trPr>
        <w:tc>
          <w:tcPr>
            <w:tcW w:w="7847" w:type="dxa"/>
            <w:gridSpan w:val="3"/>
            <w:tcBorders>
              <w:top w:val="single" w:sz="4" w:space="0" w:color="auto"/>
              <w:left w:val="single" w:sz="6" w:space="0" w:color="auto"/>
              <w:bottom w:val="single" w:sz="6" w:space="0" w:color="auto"/>
              <w:right w:val="single" w:sz="6" w:space="0" w:color="auto"/>
            </w:tcBorders>
            <w:vAlign w:val="center"/>
            <w:hideMark/>
          </w:tcPr>
          <w:p w:rsidR="0089268C" w:rsidRDefault="00C3610E">
            <w:pPr>
              <w:keepNext/>
              <w:spacing w:before="80" w:after="80"/>
              <w:jc w:val="center"/>
              <w:rPr>
                <w:rFonts w:ascii="Times New Roman Bold" w:hAnsi="Times New Roman Bold" w:cs="Times New Roman Bold"/>
                <w:b/>
                <w:sz w:val="18"/>
                <w:szCs w:val="18"/>
                <w:lang w:val="en-US"/>
              </w:rPr>
            </w:pPr>
            <w:r>
              <w:rPr>
                <w:rFonts w:ascii="Times New Roman Bold" w:hAnsi="Times New Roman Bold" w:cs="Times New Roman Bold"/>
                <w:b/>
                <w:sz w:val="18"/>
                <w:szCs w:val="18"/>
                <w:lang w:val="en-US"/>
              </w:rPr>
              <w:t>Allocation to services</w:t>
            </w:r>
          </w:p>
        </w:tc>
        <w:tc>
          <w:tcPr>
            <w:tcW w:w="2493" w:type="dxa"/>
            <w:vMerge w:val="restart"/>
            <w:tcBorders>
              <w:top w:val="single" w:sz="4" w:space="0" w:color="auto"/>
              <w:left w:val="single" w:sz="6" w:space="0" w:color="auto"/>
              <w:right w:val="single" w:sz="6" w:space="0" w:color="auto"/>
            </w:tcBorders>
            <w:vAlign w:val="center"/>
          </w:tcPr>
          <w:p w:rsidR="0089268C" w:rsidRDefault="00C3610E">
            <w:pPr>
              <w:keepNext/>
              <w:spacing w:before="80" w:after="80"/>
              <w:jc w:val="center"/>
              <w:rPr>
                <w:rFonts w:ascii="Times New Roman Bold" w:hAnsi="Times New Roman Bold" w:cs="Times New Roman Bold"/>
                <w:b/>
                <w:sz w:val="18"/>
                <w:szCs w:val="18"/>
                <w:lang w:val="en-US"/>
              </w:rPr>
            </w:pPr>
            <w:r>
              <w:rPr>
                <w:rFonts w:ascii="Times New Roman Bold" w:hAnsi="Times New Roman Bold" w:cs="Times New Roman Bold"/>
                <w:b/>
                <w:sz w:val="18"/>
                <w:szCs w:val="18"/>
                <w:lang w:val="en-US"/>
              </w:rPr>
              <w:t>Expected studies</w:t>
            </w:r>
          </w:p>
        </w:tc>
      </w:tr>
      <w:tr w:rsidR="0089268C">
        <w:trPr>
          <w:cantSplit/>
          <w:trHeight w:val="375"/>
          <w:tblHeader/>
          <w:jc w:val="center"/>
        </w:trPr>
        <w:tc>
          <w:tcPr>
            <w:tcW w:w="2615" w:type="dxa"/>
            <w:tcBorders>
              <w:top w:val="single" w:sz="6" w:space="0" w:color="auto"/>
              <w:left w:val="single" w:sz="6" w:space="0" w:color="auto"/>
              <w:bottom w:val="single" w:sz="6" w:space="0" w:color="auto"/>
              <w:right w:val="single" w:sz="6" w:space="0" w:color="auto"/>
            </w:tcBorders>
            <w:vAlign w:val="center"/>
            <w:hideMark/>
          </w:tcPr>
          <w:p w:rsidR="0089268C" w:rsidRDefault="00C3610E">
            <w:pPr>
              <w:keepNext/>
              <w:spacing w:before="80" w:after="80"/>
              <w:jc w:val="center"/>
              <w:rPr>
                <w:rFonts w:ascii="Times New Roman Bold" w:hAnsi="Times New Roman Bold" w:cs="Times New Roman Bold"/>
                <w:b/>
                <w:sz w:val="18"/>
                <w:szCs w:val="18"/>
                <w:lang w:val="en-US"/>
              </w:rPr>
            </w:pPr>
            <w:r>
              <w:rPr>
                <w:rFonts w:ascii="Times New Roman Bold" w:hAnsi="Times New Roman Bold" w:cs="Times New Roman Bold"/>
                <w:b/>
                <w:sz w:val="18"/>
                <w:szCs w:val="18"/>
                <w:lang w:val="en-US"/>
              </w:rPr>
              <w:t>Region 1</w:t>
            </w:r>
          </w:p>
        </w:tc>
        <w:tc>
          <w:tcPr>
            <w:tcW w:w="2616" w:type="dxa"/>
            <w:tcBorders>
              <w:top w:val="single" w:sz="6" w:space="0" w:color="auto"/>
              <w:left w:val="single" w:sz="6" w:space="0" w:color="auto"/>
              <w:bottom w:val="single" w:sz="6" w:space="0" w:color="auto"/>
              <w:right w:val="single" w:sz="6" w:space="0" w:color="auto"/>
            </w:tcBorders>
            <w:vAlign w:val="center"/>
            <w:hideMark/>
          </w:tcPr>
          <w:p w:rsidR="0089268C" w:rsidRDefault="00C3610E">
            <w:pPr>
              <w:keepNext/>
              <w:spacing w:before="80" w:after="80"/>
              <w:jc w:val="center"/>
              <w:rPr>
                <w:rFonts w:ascii="Times New Roman Bold" w:hAnsi="Times New Roman Bold" w:cs="Times New Roman Bold"/>
                <w:b/>
                <w:sz w:val="18"/>
                <w:szCs w:val="18"/>
                <w:lang w:val="en-US"/>
              </w:rPr>
            </w:pPr>
            <w:r>
              <w:rPr>
                <w:rFonts w:ascii="Times New Roman Bold" w:hAnsi="Times New Roman Bold" w:cs="Times New Roman Bold"/>
                <w:b/>
                <w:sz w:val="18"/>
                <w:szCs w:val="18"/>
                <w:lang w:val="en-US"/>
              </w:rPr>
              <w:t>Region 2</w:t>
            </w:r>
          </w:p>
        </w:tc>
        <w:tc>
          <w:tcPr>
            <w:tcW w:w="2616" w:type="dxa"/>
            <w:tcBorders>
              <w:top w:val="single" w:sz="6" w:space="0" w:color="auto"/>
              <w:left w:val="single" w:sz="6" w:space="0" w:color="auto"/>
              <w:bottom w:val="single" w:sz="6" w:space="0" w:color="auto"/>
              <w:right w:val="single" w:sz="6" w:space="0" w:color="auto"/>
            </w:tcBorders>
            <w:vAlign w:val="center"/>
            <w:hideMark/>
          </w:tcPr>
          <w:p w:rsidR="0089268C" w:rsidRDefault="00C3610E">
            <w:pPr>
              <w:keepNext/>
              <w:spacing w:before="80" w:after="80"/>
              <w:jc w:val="center"/>
              <w:rPr>
                <w:rFonts w:ascii="Times New Roman Bold" w:hAnsi="Times New Roman Bold" w:cs="Times New Roman Bold"/>
                <w:b/>
                <w:sz w:val="18"/>
                <w:szCs w:val="18"/>
                <w:lang w:val="en-US"/>
              </w:rPr>
            </w:pPr>
            <w:r>
              <w:rPr>
                <w:rFonts w:ascii="Times New Roman Bold" w:hAnsi="Times New Roman Bold" w:cs="Times New Roman Bold"/>
                <w:b/>
                <w:sz w:val="18"/>
                <w:szCs w:val="18"/>
                <w:lang w:val="en-US"/>
              </w:rPr>
              <w:t>Region 3</w:t>
            </w:r>
          </w:p>
        </w:tc>
        <w:tc>
          <w:tcPr>
            <w:tcW w:w="2493" w:type="dxa"/>
            <w:vMerge/>
            <w:tcBorders>
              <w:left w:val="single" w:sz="6" w:space="0" w:color="auto"/>
              <w:bottom w:val="single" w:sz="6" w:space="0" w:color="auto"/>
              <w:right w:val="single" w:sz="6" w:space="0" w:color="auto"/>
            </w:tcBorders>
          </w:tcPr>
          <w:p w:rsidR="0089268C" w:rsidRDefault="0089268C">
            <w:pPr>
              <w:keepNext/>
              <w:spacing w:before="80" w:after="80"/>
              <w:jc w:val="center"/>
              <w:rPr>
                <w:rFonts w:ascii="Times New Roman Bold" w:hAnsi="Times New Roman Bold" w:cs="Times New Roman Bold"/>
                <w:b/>
                <w:sz w:val="18"/>
                <w:szCs w:val="18"/>
                <w:lang w:val="en-US"/>
              </w:rPr>
            </w:pPr>
          </w:p>
        </w:tc>
      </w:tr>
      <w:tr w:rsidR="0089268C">
        <w:trPr>
          <w:cantSplit/>
          <w:trHeight w:val="1335"/>
          <w:jc w:val="center"/>
        </w:trPr>
        <w:tc>
          <w:tcPr>
            <w:tcW w:w="7847" w:type="dxa"/>
            <w:gridSpan w:val="3"/>
            <w:tcBorders>
              <w:top w:val="single" w:sz="6" w:space="0" w:color="auto"/>
              <w:left w:val="single" w:sz="6" w:space="0" w:color="auto"/>
              <w:bottom w:val="single" w:sz="6" w:space="0" w:color="auto"/>
              <w:right w:val="single" w:sz="6" w:space="0" w:color="auto"/>
            </w:tcBorders>
          </w:tcPr>
          <w:p w:rsidR="0089268C" w:rsidRDefault="00C3610E">
            <w:pPr>
              <w:tabs>
                <w:tab w:val="clear" w:pos="1134"/>
                <w:tab w:val="clear" w:pos="1871"/>
                <w:tab w:val="clear" w:pos="2268"/>
                <w:tab w:val="left" w:pos="2977"/>
                <w:tab w:val="left" w:pos="3266"/>
              </w:tabs>
              <w:spacing w:before="40" w:after="40" w:line="210" w:lineRule="exact"/>
              <w:rPr>
                <w:color w:val="000000"/>
                <w:sz w:val="18"/>
                <w:szCs w:val="18"/>
                <w:lang w:val="en-US"/>
              </w:rPr>
            </w:pPr>
            <w:r>
              <w:rPr>
                <w:b/>
                <w:sz w:val="18"/>
                <w:szCs w:val="18"/>
                <w:lang w:val="en-US"/>
              </w:rPr>
              <w:t>5</w:t>
            </w:r>
            <w:r>
              <w:rPr>
                <w:sz w:val="18"/>
                <w:szCs w:val="18"/>
                <w:lang w:val="en-US"/>
              </w:rPr>
              <w:t> </w:t>
            </w:r>
            <w:r>
              <w:rPr>
                <w:b/>
                <w:sz w:val="18"/>
                <w:szCs w:val="18"/>
                <w:lang w:val="en-US"/>
              </w:rPr>
              <w:t>150-5</w:t>
            </w:r>
            <w:r>
              <w:rPr>
                <w:sz w:val="18"/>
                <w:szCs w:val="18"/>
                <w:lang w:val="en-US"/>
              </w:rPr>
              <w:t> </w:t>
            </w:r>
            <w:r>
              <w:rPr>
                <w:b/>
                <w:sz w:val="18"/>
                <w:szCs w:val="18"/>
                <w:lang w:val="en-US"/>
              </w:rPr>
              <w:t>250</w:t>
            </w:r>
            <w:r>
              <w:rPr>
                <w:color w:val="000000"/>
                <w:sz w:val="18"/>
                <w:szCs w:val="18"/>
                <w:lang w:val="en-US"/>
              </w:rPr>
              <w:tab/>
              <w:t>FIXED-SATELLITE (Earth-to-space)  5.447A</w:t>
            </w:r>
          </w:p>
          <w:p w:rsidR="0089268C" w:rsidRDefault="00C3610E">
            <w:pPr>
              <w:tabs>
                <w:tab w:val="clear" w:pos="1134"/>
                <w:tab w:val="clear" w:pos="1871"/>
                <w:tab w:val="clear" w:pos="2268"/>
                <w:tab w:val="left" w:pos="2977"/>
                <w:tab w:val="left" w:pos="3266"/>
              </w:tabs>
              <w:spacing w:before="40" w:after="40" w:line="210" w:lineRule="exact"/>
              <w:rPr>
                <w:color w:val="000000"/>
                <w:sz w:val="18"/>
                <w:szCs w:val="18"/>
                <w:lang w:val="fr-CH"/>
              </w:rPr>
            </w:pPr>
            <w:r>
              <w:rPr>
                <w:color w:val="000000"/>
                <w:sz w:val="18"/>
                <w:szCs w:val="18"/>
                <w:lang w:val="en-US"/>
              </w:rPr>
              <w:tab/>
            </w:r>
            <w:r>
              <w:rPr>
                <w:color w:val="000000"/>
                <w:sz w:val="18"/>
                <w:szCs w:val="18"/>
                <w:lang w:val="fr-CH"/>
              </w:rPr>
              <w:t>MOBILE except aeronautical mobile  5.446A  5.446B</w:t>
            </w:r>
          </w:p>
          <w:p w:rsidR="0089268C" w:rsidRDefault="00C3610E">
            <w:pPr>
              <w:tabs>
                <w:tab w:val="clear" w:pos="1134"/>
                <w:tab w:val="clear" w:pos="1871"/>
                <w:tab w:val="clear" w:pos="2268"/>
                <w:tab w:val="left" w:pos="2977"/>
                <w:tab w:val="left" w:pos="3266"/>
              </w:tabs>
              <w:spacing w:before="40" w:after="40" w:line="210" w:lineRule="exact"/>
              <w:rPr>
                <w:color w:val="000000"/>
                <w:sz w:val="18"/>
                <w:szCs w:val="18"/>
                <w:lang w:val="en-US"/>
              </w:rPr>
            </w:pPr>
            <w:r>
              <w:rPr>
                <w:color w:val="000000"/>
                <w:sz w:val="18"/>
                <w:szCs w:val="18"/>
                <w:lang w:val="fr-CH"/>
              </w:rPr>
              <w:tab/>
            </w:r>
            <w:r>
              <w:rPr>
                <w:color w:val="000000"/>
                <w:sz w:val="18"/>
                <w:szCs w:val="18"/>
                <w:lang w:val="en-US"/>
              </w:rPr>
              <w:t>AERONAUTICAL RADIONAVIGATION</w:t>
            </w:r>
          </w:p>
          <w:p w:rsidR="0089268C" w:rsidRDefault="00C3610E">
            <w:pPr>
              <w:tabs>
                <w:tab w:val="clear" w:pos="1134"/>
                <w:tab w:val="clear" w:pos="1871"/>
                <w:tab w:val="clear" w:pos="2268"/>
                <w:tab w:val="left" w:pos="2977"/>
                <w:tab w:val="left" w:pos="3266"/>
              </w:tabs>
              <w:spacing w:before="40" w:after="40" w:line="210" w:lineRule="exact"/>
              <w:rPr>
                <w:b/>
                <w:color w:val="000000"/>
                <w:sz w:val="18"/>
                <w:szCs w:val="18"/>
                <w:lang w:val="en-US"/>
              </w:rPr>
            </w:pPr>
            <w:r>
              <w:rPr>
                <w:color w:val="000000"/>
                <w:sz w:val="18"/>
                <w:szCs w:val="18"/>
                <w:lang w:val="en-US"/>
              </w:rPr>
              <w:tab/>
              <w:t>5.446  5.446C  5.447  5.447B  5.447C</w:t>
            </w:r>
          </w:p>
        </w:tc>
        <w:tc>
          <w:tcPr>
            <w:tcW w:w="2493" w:type="dxa"/>
            <w:tcBorders>
              <w:top w:val="single" w:sz="6" w:space="0" w:color="auto"/>
              <w:left w:val="single" w:sz="6" w:space="0" w:color="auto"/>
              <w:bottom w:val="single" w:sz="6" w:space="0" w:color="auto"/>
              <w:right w:val="single" w:sz="6" w:space="0" w:color="auto"/>
            </w:tcBorders>
            <w:vAlign w:val="center"/>
          </w:tcPr>
          <w:p w:rsidR="0089268C" w:rsidRDefault="00C3610E">
            <w:pPr>
              <w:tabs>
                <w:tab w:val="clear" w:pos="1134"/>
                <w:tab w:val="clear" w:pos="1871"/>
                <w:tab w:val="clear" w:pos="2268"/>
                <w:tab w:val="left" w:pos="2977"/>
                <w:tab w:val="left" w:pos="3266"/>
              </w:tabs>
              <w:spacing w:before="60" w:after="60" w:line="210" w:lineRule="exact"/>
              <w:jc w:val="center"/>
              <w:rPr>
                <w:b/>
                <w:sz w:val="18"/>
                <w:szCs w:val="18"/>
                <w:lang w:val="en-US"/>
              </w:rPr>
            </w:pPr>
            <w:r>
              <w:rPr>
                <w:color w:val="000000"/>
                <w:sz w:val="18"/>
                <w:szCs w:val="18"/>
                <w:lang w:val="en-US"/>
              </w:rPr>
              <w:t>Coexistence between WAS/RLAN outdoor operations and FSS (feederlinks for non-GSO) and Aeronautical Radionavigation</w:t>
            </w:r>
          </w:p>
        </w:tc>
      </w:tr>
    </w:tbl>
    <w:p w:rsidR="0089268C" w:rsidRDefault="00C3610E">
      <w:pPr>
        <w:pStyle w:val="Heading1"/>
        <w:rPr>
          <w:lang w:val="en-US"/>
        </w:rPr>
      </w:pPr>
      <w:r>
        <w:rPr>
          <w:lang w:val="en-US" w:eastAsia="ja-JP"/>
        </w:rPr>
        <w:t>4</w:t>
      </w:r>
      <w:r>
        <w:rPr>
          <w:lang w:val="en-US" w:eastAsia="ja-JP"/>
        </w:rPr>
        <w:tab/>
        <w:t xml:space="preserve">Assumptions on technical and operational elements for the sharing and compatibility of </w:t>
      </w:r>
      <w:r>
        <w:rPr>
          <w:lang w:val="en-US"/>
        </w:rPr>
        <w:t>WAS/RLAN with other services</w:t>
      </w:r>
    </w:p>
    <w:p w:rsidR="0089268C" w:rsidRDefault="00C3610E">
      <w:pPr>
        <w:pStyle w:val="Heading2"/>
        <w:rPr>
          <w:szCs w:val="24"/>
          <w:lang w:val="en-US"/>
        </w:rPr>
      </w:pPr>
      <w:r>
        <w:rPr>
          <w:szCs w:val="24"/>
          <w:lang w:val="en-US"/>
        </w:rPr>
        <w:t>4.1</w:t>
      </w:r>
      <w:r>
        <w:rPr>
          <w:szCs w:val="24"/>
          <w:lang w:val="en-US"/>
        </w:rPr>
        <w:tab/>
        <w:t>Technical and operational characteristics of the WAS/RLAN operating in the 5 150- 5 250 MHz ranges</w:t>
      </w:r>
    </w:p>
    <w:p w:rsidR="0089268C" w:rsidRPr="005C1912" w:rsidRDefault="00C3610E" w:rsidP="005C1912">
      <w:pPr>
        <w:rPr>
          <w:i/>
          <w:iCs/>
          <w:lang w:val="en-US" w:eastAsia="zh-CN"/>
        </w:rPr>
      </w:pPr>
      <w:r w:rsidRPr="005C1912">
        <w:rPr>
          <w:i/>
          <w:iCs/>
          <w:lang w:val="en-US" w:eastAsia="zh-CN"/>
        </w:rPr>
        <w:t xml:space="preserve">[Editor’ </w:t>
      </w:r>
      <w:r w:rsidR="005C1912" w:rsidRPr="005C1912">
        <w:rPr>
          <w:i/>
          <w:iCs/>
          <w:lang w:val="en-US" w:eastAsia="zh-CN"/>
        </w:rPr>
        <w:t>note</w:t>
      </w:r>
      <w:r w:rsidRPr="005C1912">
        <w:rPr>
          <w:i/>
          <w:iCs/>
          <w:lang w:val="en-US" w:eastAsia="zh-CN"/>
        </w:rPr>
        <w:t xml:space="preserve">: </w:t>
      </w:r>
      <w:r w:rsidR="005C1912" w:rsidRPr="005C1912">
        <w:rPr>
          <w:i/>
          <w:iCs/>
          <w:lang w:val="en-US" w:eastAsia="zh-CN"/>
        </w:rPr>
        <w:t xml:space="preserve">The </w:t>
      </w:r>
      <w:r w:rsidRPr="005C1912">
        <w:rPr>
          <w:i/>
          <w:iCs/>
          <w:lang w:val="en-US" w:eastAsia="zh-CN"/>
        </w:rPr>
        <w:t xml:space="preserve">text below needs to be modified after finalization of the document Report </w:t>
      </w:r>
      <w:r w:rsidR="005C1912" w:rsidRPr="005C1912">
        <w:rPr>
          <w:i/>
          <w:iCs/>
          <w:lang w:val="en-US" w:eastAsia="zh-CN"/>
        </w:rPr>
        <w:t xml:space="preserve">ITU-R </w:t>
      </w:r>
      <w:r w:rsidRPr="005C1912">
        <w:rPr>
          <w:i/>
          <w:iCs/>
          <w:lang w:val="en-US" w:eastAsia="zh-CN"/>
        </w:rPr>
        <w:t>M.[RLAN REQ-PAR]]</w:t>
      </w:r>
    </w:p>
    <w:p w:rsidR="0089268C" w:rsidRDefault="00C3610E">
      <w:pPr>
        <w:rPr>
          <w:lang w:val="en-US"/>
        </w:rPr>
      </w:pPr>
      <w:r>
        <w:rPr>
          <w:lang w:val="en-US"/>
        </w:rPr>
        <w:t>[Option 1</w:t>
      </w:r>
    </w:p>
    <w:p w:rsidR="0089268C" w:rsidRPr="005C1912" w:rsidRDefault="00C3610E">
      <w:pPr>
        <w:rPr>
          <w:i/>
          <w:iCs/>
          <w:lang w:val="en-US" w:eastAsia="zh-CN"/>
        </w:rPr>
      </w:pPr>
      <w:r w:rsidRPr="005C1912">
        <w:rPr>
          <w:i/>
          <w:iCs/>
          <w:lang w:val="en-US" w:eastAsia="zh-CN"/>
        </w:rPr>
        <w:t>[RUS</w:t>
      </w:r>
      <w:r w:rsidRPr="005C1912">
        <w:rPr>
          <w:rFonts w:eastAsia="Calibri"/>
          <w:i/>
          <w:iCs/>
          <w:lang w:val="en-US" w:eastAsia="es-ES"/>
        </w:rPr>
        <w:t xml:space="preserve"> </w:t>
      </w:r>
      <w:hyperlink r:id="rId14" w:history="1">
        <w:r w:rsidRPr="005C1912">
          <w:rPr>
            <w:rStyle w:val="Hyperlink"/>
            <w:rFonts w:eastAsia="Calibri"/>
            <w:i/>
            <w:iCs/>
            <w:lang w:val="en-US" w:eastAsia="es-ES"/>
          </w:rPr>
          <w:t>5A/196</w:t>
        </w:r>
      </w:hyperlink>
      <w:r w:rsidRPr="005C1912">
        <w:rPr>
          <w:i/>
          <w:iCs/>
          <w:lang w:val="en-US" w:eastAsia="zh-CN"/>
        </w:rPr>
        <w:t>]</w:t>
      </w:r>
    </w:p>
    <w:p w:rsidR="0089268C" w:rsidRDefault="00C3610E">
      <w:pPr>
        <w:rPr>
          <w:lang w:val="en-US"/>
        </w:rPr>
      </w:pPr>
      <w:r>
        <w:rPr>
          <w:lang w:val="en-US"/>
        </w:rPr>
        <w:t xml:space="preserve">Technical and operational characteristics of RLANs are presented in Recommendation ITU-R M.1450 «Characteristics of broadband radio local area networks».In Canada, the e.i.r.p. of RLANs operating in the frequency band 5 150-5 250 MHz is 250 mW conducted (-6 dBW).  In the U.S., the e.i.r.p. of RLANs operating in the frequency band 5 150-5 250 MHz is 1 000 mW conducted (0 dBW), however outdoor </w:t>
      </w:r>
      <w:r>
        <w:rPr>
          <w:sz w:val="22"/>
          <w:szCs w:val="22"/>
        </w:rPr>
        <w:t>operations with antenna elevation angles in excess of 30 degrees from the horizon must not exceed 125 mW e.i.r.p</w:t>
      </w:r>
      <w:r>
        <w:rPr>
          <w:lang w:val="en-US"/>
        </w:rPr>
        <w:t>., and all WAS/RLAN emissions outside of that band must be below -27 dBm/MHz.  At the same time RLANs operating in the territory of Europe, and in numerous Region 3 countries including Australia, are restricted to an e.i.r.p. of 200 mW (-7 dBW) in the frequency bands 5 150-5 250 MHz</w:t>
      </w:r>
      <w:r w:rsidR="00FB47C3">
        <w:rPr>
          <w:lang w:val="en-US"/>
        </w:rPr>
        <w:t xml:space="preserve"> </w:t>
      </w:r>
      <w:r>
        <w:rPr>
          <w:lang w:val="en-US"/>
        </w:rPr>
        <w:t xml:space="preserve">and </w:t>
      </w:r>
      <w:r>
        <w:rPr>
          <w:i/>
          <w:lang w:val="en-US"/>
        </w:rPr>
        <w:t>indoor only</w:t>
      </w:r>
      <w:r>
        <w:rPr>
          <w:lang w:val="en-US"/>
        </w:rPr>
        <w:t xml:space="preserve"> operation.</w:t>
      </w:r>
    </w:p>
    <w:p w:rsidR="0089268C" w:rsidRDefault="00C3610E">
      <w:pPr>
        <w:rPr>
          <w:lang w:val="en-US"/>
        </w:rPr>
      </w:pPr>
      <w:r>
        <w:rPr>
          <w:lang w:val="en-US"/>
        </w:rPr>
        <w:t>e.i.r.p. spectral densities specified in Recommendation ITU-R М.1450 shows that it addresses RLANs having carrier bandwidth of 20 MHz. However taking in account the achievements in RLANs development such as IEEE standard 802.11ac, the considered Report includes analysis of networks having carrier bandwidth of both 20 MHz and 160 MHz.</w:t>
      </w:r>
    </w:p>
    <w:p w:rsidR="0089268C" w:rsidRPr="005C1912" w:rsidRDefault="00C3610E">
      <w:pPr>
        <w:rPr>
          <w:i/>
          <w:iCs/>
          <w:lang w:val="en-US"/>
        </w:rPr>
      </w:pPr>
      <w:r w:rsidRPr="005C1912">
        <w:rPr>
          <w:i/>
          <w:iCs/>
          <w:lang w:val="en-US"/>
        </w:rPr>
        <w:t>[UK and ESA</w:t>
      </w:r>
      <w:r w:rsidRPr="005C1912">
        <w:rPr>
          <w:rFonts w:eastAsia="Calibri"/>
          <w:i/>
          <w:iCs/>
          <w:lang w:val="en-US" w:eastAsia="es-ES"/>
        </w:rPr>
        <w:t xml:space="preserve"> </w:t>
      </w:r>
      <w:hyperlink r:id="rId15" w:history="1">
        <w:r w:rsidRPr="005C1912">
          <w:rPr>
            <w:rStyle w:val="Hyperlink"/>
            <w:rFonts w:eastAsia="Calibri"/>
            <w:i/>
            <w:iCs/>
            <w:lang w:val="en-US" w:eastAsia="es-ES"/>
          </w:rPr>
          <w:t>5A/246</w:t>
        </w:r>
      </w:hyperlink>
      <w:r w:rsidRPr="005C1912">
        <w:rPr>
          <w:rFonts w:eastAsia="Calibri"/>
          <w:i/>
          <w:iCs/>
          <w:lang w:val="en-US" w:eastAsia="es-ES"/>
        </w:rPr>
        <w:t xml:space="preserve">, </w:t>
      </w:r>
      <w:hyperlink r:id="rId16" w:history="1">
        <w:r w:rsidRPr="005C1912">
          <w:rPr>
            <w:rStyle w:val="Hyperlink"/>
            <w:rFonts w:eastAsia="Calibri"/>
            <w:i/>
            <w:iCs/>
            <w:lang w:val="en-US" w:eastAsia="es-ES"/>
          </w:rPr>
          <w:t>96</w:t>
        </w:r>
      </w:hyperlink>
      <w:r w:rsidRPr="005C1912">
        <w:rPr>
          <w:i/>
          <w:iCs/>
          <w:lang w:val="en-US"/>
        </w:rPr>
        <w:t>]</w:t>
      </w:r>
    </w:p>
    <w:p w:rsidR="0089268C" w:rsidRPr="005C1912" w:rsidRDefault="00C3610E">
      <w:pPr>
        <w:rPr>
          <w:lang w:val="en-US"/>
        </w:rPr>
      </w:pPr>
      <w:r w:rsidRPr="005C1912">
        <w:rPr>
          <w:lang w:val="en-US"/>
        </w:rPr>
        <w:t>Option 2</w:t>
      </w:r>
    </w:p>
    <w:p w:rsidR="0089268C" w:rsidRDefault="00C3610E">
      <w:pPr>
        <w:pStyle w:val="Heading3"/>
        <w:rPr>
          <w:lang w:val="en-US"/>
        </w:rPr>
      </w:pPr>
      <w:r>
        <w:rPr>
          <w:lang w:val="en-US"/>
        </w:rPr>
        <w:t>4.1.1</w:t>
      </w:r>
      <w:r>
        <w:rPr>
          <w:lang w:val="en-US"/>
        </w:rPr>
        <w:tab/>
      </w:r>
      <w:r>
        <w:rPr>
          <w:lang w:val="en-US" w:eastAsia="zh-CN"/>
        </w:rPr>
        <w:t xml:space="preserve">Characteristics of RLAN in </w:t>
      </w:r>
      <w:r>
        <w:rPr>
          <w:lang w:val="en-US"/>
        </w:rPr>
        <w:t>5 150-5 250 MHz Band</w:t>
      </w:r>
    </w:p>
    <w:p w:rsidR="0089268C" w:rsidRDefault="00C3610E">
      <w:pPr>
        <w:pStyle w:val="Heading2"/>
        <w:keepNext w:val="0"/>
        <w:keepLines w:val="0"/>
        <w:rPr>
          <w:szCs w:val="24"/>
          <w:lang w:val="en-US"/>
        </w:rPr>
      </w:pPr>
      <w:r w:rsidRPr="001E7D0F">
        <w:rPr>
          <w:szCs w:val="24"/>
          <w:lang w:val="en-CA"/>
        </w:rPr>
        <w:t>]</w:t>
      </w:r>
      <w:r>
        <w:rPr>
          <w:szCs w:val="24"/>
          <w:lang w:val="en-US"/>
        </w:rPr>
        <w:t>4.2</w:t>
      </w:r>
      <w:r>
        <w:rPr>
          <w:szCs w:val="24"/>
          <w:lang w:val="en-US"/>
        </w:rPr>
        <w:tab/>
        <w:t>Technical and operational characteristics of FSS links used for MSS feeder links in the 5 150-5 250 MHz</w:t>
      </w:r>
    </w:p>
    <w:p w:rsidR="0089268C" w:rsidRPr="005C1912" w:rsidRDefault="00C3610E">
      <w:pPr>
        <w:rPr>
          <w:i/>
          <w:iCs/>
          <w:lang w:val="en-US" w:eastAsia="zh-CN"/>
        </w:rPr>
      </w:pPr>
      <w:r w:rsidRPr="005C1912">
        <w:rPr>
          <w:i/>
          <w:iCs/>
          <w:lang w:val="en-US" w:eastAsia="zh-CN"/>
        </w:rPr>
        <w:t>[Globalstar</w:t>
      </w:r>
      <w:r w:rsidRPr="005C1912">
        <w:rPr>
          <w:i/>
          <w:iCs/>
          <w:lang w:eastAsia="zh-CN"/>
        </w:rPr>
        <w:t xml:space="preserve"> 5A/</w:t>
      </w:r>
      <w:hyperlink r:id="rId17" w:history="1">
        <w:r w:rsidRPr="005C1912">
          <w:rPr>
            <w:rStyle w:val="Hyperlink"/>
            <w:i/>
            <w:iCs/>
            <w:lang w:eastAsia="zh-CN"/>
          </w:rPr>
          <w:t>395</w:t>
        </w:r>
      </w:hyperlink>
      <w:r w:rsidRPr="005C1912">
        <w:rPr>
          <w:i/>
          <w:iCs/>
          <w:lang w:val="en-US" w:eastAsia="zh-CN"/>
        </w:rPr>
        <w:t>]</w:t>
      </w:r>
    </w:p>
    <w:p w:rsidR="0089268C" w:rsidRDefault="00C3610E">
      <w:pPr>
        <w:rPr>
          <w:lang w:val="en-US" w:eastAsia="zh-CN"/>
        </w:rPr>
      </w:pPr>
      <w:r>
        <w:rPr>
          <w:lang w:val="en-US" w:eastAsia="zh-CN"/>
        </w:rPr>
        <w:t>The parameters of the feeder uplinks of the HIBLEO-X MSS system are summarized in the Table below.</w:t>
      </w:r>
    </w:p>
    <w:p w:rsidR="0089268C" w:rsidRDefault="00C3610E">
      <w:pPr>
        <w:pStyle w:val="TableNo"/>
      </w:pPr>
      <w:r>
        <w:lastRenderedPageBreak/>
        <w:t>TABLE 2</w:t>
      </w:r>
    </w:p>
    <w:p w:rsidR="0089268C" w:rsidRDefault="00C3610E">
      <w:pPr>
        <w:pStyle w:val="Tabletitle"/>
      </w:pPr>
      <w:r>
        <w:t>MSS Feeder Link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103"/>
        <w:gridCol w:w="2268"/>
      </w:tblGrid>
      <w:tr w:rsidR="0089268C">
        <w:trPr>
          <w:jc w:val="center"/>
        </w:trPr>
        <w:tc>
          <w:tcPr>
            <w:tcW w:w="5103" w:type="dxa"/>
          </w:tcPr>
          <w:p w:rsidR="0089268C" w:rsidRDefault="00C3610E">
            <w:pPr>
              <w:pStyle w:val="Tablehead"/>
            </w:pPr>
            <w:r>
              <w:t>Parameter</w:t>
            </w:r>
          </w:p>
        </w:tc>
        <w:tc>
          <w:tcPr>
            <w:tcW w:w="2268" w:type="dxa"/>
          </w:tcPr>
          <w:p w:rsidR="0089268C" w:rsidRDefault="00C3610E">
            <w:pPr>
              <w:pStyle w:val="Tablehead"/>
            </w:pPr>
            <w:r>
              <w:t>HIBLEO-X</w:t>
            </w:r>
          </w:p>
        </w:tc>
      </w:tr>
      <w:tr w:rsidR="0089268C">
        <w:trPr>
          <w:jc w:val="center"/>
        </w:trPr>
        <w:tc>
          <w:tcPr>
            <w:tcW w:w="5103" w:type="dxa"/>
          </w:tcPr>
          <w:p w:rsidR="0089268C" w:rsidRDefault="00C3610E">
            <w:pPr>
              <w:pStyle w:val="Tabletext"/>
              <w:rPr>
                <w:lang w:val="fr-CH"/>
              </w:rPr>
            </w:pPr>
            <w:r>
              <w:rPr>
                <w:lang w:val="fr-CH"/>
              </w:rPr>
              <w:t xml:space="preserve">Satellite orbit altitude </w:t>
            </w:r>
            <w:r>
              <w:rPr>
                <w:i/>
                <w:lang w:val="fr-CH"/>
              </w:rPr>
              <w:t>h</w:t>
            </w:r>
            <w:r>
              <w:rPr>
                <w:lang w:val="fr-CH"/>
              </w:rPr>
              <w:t xml:space="preserve"> (km)</w:t>
            </w:r>
          </w:p>
        </w:tc>
        <w:tc>
          <w:tcPr>
            <w:tcW w:w="2268" w:type="dxa"/>
          </w:tcPr>
          <w:p w:rsidR="0089268C" w:rsidRDefault="00C3610E">
            <w:pPr>
              <w:pStyle w:val="Tabletext"/>
              <w:jc w:val="center"/>
            </w:pPr>
            <w:r>
              <w:t>1 414</w:t>
            </w:r>
          </w:p>
        </w:tc>
      </w:tr>
      <w:tr w:rsidR="0089268C">
        <w:trPr>
          <w:jc w:val="center"/>
        </w:trPr>
        <w:tc>
          <w:tcPr>
            <w:tcW w:w="5103" w:type="dxa"/>
          </w:tcPr>
          <w:p w:rsidR="0089268C" w:rsidRDefault="00C3610E">
            <w:pPr>
              <w:pStyle w:val="Tabletext"/>
            </w:pPr>
            <w:r>
              <w:t>Satellite Inclination (degrees)</w:t>
            </w:r>
          </w:p>
        </w:tc>
        <w:tc>
          <w:tcPr>
            <w:tcW w:w="2268" w:type="dxa"/>
          </w:tcPr>
          <w:p w:rsidR="0089268C" w:rsidRDefault="00C3610E">
            <w:pPr>
              <w:pStyle w:val="Tabletext"/>
              <w:jc w:val="center"/>
            </w:pPr>
            <w:r>
              <w:t>52</w:t>
            </w:r>
          </w:p>
        </w:tc>
      </w:tr>
      <w:tr w:rsidR="0089268C">
        <w:trPr>
          <w:jc w:val="center"/>
        </w:trPr>
        <w:tc>
          <w:tcPr>
            <w:tcW w:w="5103" w:type="dxa"/>
          </w:tcPr>
          <w:p w:rsidR="0089268C" w:rsidRDefault="00C3610E">
            <w:pPr>
              <w:pStyle w:val="Tabletext"/>
            </w:pPr>
            <w:r>
              <w:t>Frequency Range (MHz)</w:t>
            </w:r>
          </w:p>
        </w:tc>
        <w:tc>
          <w:tcPr>
            <w:tcW w:w="2268" w:type="dxa"/>
          </w:tcPr>
          <w:p w:rsidR="0089268C" w:rsidRDefault="00C3610E">
            <w:pPr>
              <w:pStyle w:val="Tabletext"/>
              <w:jc w:val="center"/>
            </w:pPr>
            <w:r>
              <w:t xml:space="preserve">5 091-5 250 </w:t>
            </w:r>
          </w:p>
        </w:tc>
      </w:tr>
      <w:tr w:rsidR="0089268C">
        <w:trPr>
          <w:jc w:val="center"/>
        </w:trPr>
        <w:tc>
          <w:tcPr>
            <w:tcW w:w="5103" w:type="dxa"/>
          </w:tcPr>
          <w:p w:rsidR="0089268C" w:rsidRDefault="00C3610E">
            <w:pPr>
              <w:pStyle w:val="Tabletext"/>
            </w:pPr>
            <w:r>
              <w:t xml:space="preserve">Satellite receiver bandwidth </w:t>
            </w:r>
            <w:r>
              <w:rPr>
                <w:i/>
              </w:rPr>
              <w:t>B</w:t>
            </w:r>
            <w:r>
              <w:t xml:space="preserve"> (MHz)</w:t>
            </w:r>
          </w:p>
        </w:tc>
        <w:tc>
          <w:tcPr>
            <w:tcW w:w="2268" w:type="dxa"/>
          </w:tcPr>
          <w:p w:rsidR="0089268C" w:rsidRDefault="00C3610E">
            <w:pPr>
              <w:pStyle w:val="Tabletext"/>
              <w:jc w:val="center"/>
            </w:pPr>
            <w:r>
              <w:t>1.23, 16.5, 19.38</w:t>
            </w:r>
          </w:p>
        </w:tc>
      </w:tr>
      <w:tr w:rsidR="0089268C">
        <w:trPr>
          <w:jc w:val="center"/>
        </w:trPr>
        <w:tc>
          <w:tcPr>
            <w:tcW w:w="5103" w:type="dxa"/>
          </w:tcPr>
          <w:p w:rsidR="0089268C" w:rsidRDefault="00C3610E">
            <w:pPr>
              <w:pStyle w:val="Tabletext"/>
            </w:pPr>
            <w:r>
              <w:t>I/N (dB) for time invariant sources of interference</w:t>
            </w:r>
          </w:p>
        </w:tc>
        <w:tc>
          <w:tcPr>
            <w:tcW w:w="2268" w:type="dxa"/>
          </w:tcPr>
          <w:p w:rsidR="0089268C" w:rsidRDefault="00C3610E">
            <w:pPr>
              <w:pStyle w:val="Tabletext"/>
              <w:jc w:val="center"/>
            </w:pPr>
            <w:r>
              <w:t>-12.2</w:t>
            </w:r>
          </w:p>
        </w:tc>
      </w:tr>
      <w:tr w:rsidR="0089268C">
        <w:trPr>
          <w:jc w:val="center"/>
        </w:trPr>
        <w:tc>
          <w:tcPr>
            <w:tcW w:w="5103" w:type="dxa"/>
          </w:tcPr>
          <w:p w:rsidR="0089268C" w:rsidRDefault="00C3610E">
            <w:pPr>
              <w:pStyle w:val="Tabletext"/>
            </w:pPr>
            <w:r>
              <w:t>I/N (dB) for time variant</w:t>
            </w:r>
            <w:r>
              <w:rPr>
                <w:sz w:val="24"/>
              </w:rPr>
              <w:t xml:space="preserve"> </w:t>
            </w:r>
            <w:r>
              <w:t>sources of interference</w:t>
            </w:r>
          </w:p>
        </w:tc>
        <w:tc>
          <w:tcPr>
            <w:tcW w:w="2268" w:type="dxa"/>
          </w:tcPr>
          <w:p w:rsidR="0089268C" w:rsidRDefault="00C3610E">
            <w:pPr>
              <w:pStyle w:val="Tabletext"/>
              <w:jc w:val="center"/>
            </w:pPr>
            <w:r>
              <w:rPr>
                <w:lang w:val="en-US"/>
              </w:rPr>
              <w:t>For further study</w:t>
            </w:r>
          </w:p>
        </w:tc>
      </w:tr>
      <w:tr w:rsidR="0089268C">
        <w:trPr>
          <w:jc w:val="center"/>
        </w:trPr>
        <w:tc>
          <w:tcPr>
            <w:tcW w:w="5103" w:type="dxa"/>
          </w:tcPr>
          <w:p w:rsidR="0089268C" w:rsidRDefault="00C3610E">
            <w:pPr>
              <w:pStyle w:val="Tabletext"/>
              <w:rPr>
                <w:lang w:val="fr-CH"/>
              </w:rPr>
            </w:pPr>
            <w:r>
              <w:rPr>
                <w:lang w:val="fr-CH"/>
              </w:rPr>
              <w:t xml:space="preserve">Satellite receiver noise temperature </w:t>
            </w:r>
            <w:r>
              <w:rPr>
                <w:i/>
                <w:lang w:val="fr-CH"/>
              </w:rPr>
              <w:t>T</w:t>
            </w:r>
            <w:r>
              <w:rPr>
                <w:lang w:val="fr-CH"/>
              </w:rPr>
              <w:t xml:space="preserve"> (K)</w:t>
            </w:r>
          </w:p>
        </w:tc>
        <w:tc>
          <w:tcPr>
            <w:tcW w:w="2268" w:type="dxa"/>
          </w:tcPr>
          <w:p w:rsidR="0089268C" w:rsidRDefault="00C3610E">
            <w:pPr>
              <w:pStyle w:val="Tabletext"/>
              <w:jc w:val="center"/>
            </w:pPr>
            <w:r>
              <w:t>550</w:t>
            </w:r>
          </w:p>
        </w:tc>
      </w:tr>
      <w:tr w:rsidR="0089268C">
        <w:trPr>
          <w:jc w:val="center"/>
        </w:trPr>
        <w:tc>
          <w:tcPr>
            <w:tcW w:w="5103" w:type="dxa"/>
          </w:tcPr>
          <w:p w:rsidR="0089268C" w:rsidRDefault="00C3610E">
            <w:pPr>
              <w:pStyle w:val="Tabletext"/>
            </w:pPr>
            <w:r>
              <w:t xml:space="preserve">Polarization discrimination </w:t>
            </w:r>
            <w:r>
              <w:rPr>
                <w:i/>
              </w:rPr>
              <w:t>L</w:t>
            </w:r>
            <w:r>
              <w:rPr>
                <w:i/>
                <w:vertAlign w:val="subscript"/>
              </w:rPr>
              <w:t>p</w:t>
            </w:r>
            <w:r>
              <w:t xml:space="preserve"> (dB)</w:t>
            </w:r>
          </w:p>
        </w:tc>
        <w:tc>
          <w:tcPr>
            <w:tcW w:w="2268" w:type="dxa"/>
          </w:tcPr>
          <w:p w:rsidR="0089268C" w:rsidRDefault="00C3610E">
            <w:pPr>
              <w:pStyle w:val="Tabletext"/>
              <w:jc w:val="center"/>
            </w:pPr>
            <w:r>
              <w:rPr>
                <w:lang w:val="en-US"/>
              </w:rPr>
              <w:t>1.4</w:t>
            </w:r>
          </w:p>
        </w:tc>
      </w:tr>
    </w:tbl>
    <w:p w:rsidR="005C1912" w:rsidRDefault="005C1912" w:rsidP="005C1912">
      <w:pPr>
        <w:pStyle w:val="Tablefin"/>
        <w:rPr>
          <w:lang w:val="en-US"/>
        </w:rPr>
      </w:pPr>
    </w:p>
    <w:p w:rsidR="0089268C" w:rsidRDefault="00C3610E">
      <w:pPr>
        <w:rPr>
          <w:lang w:val="en-US" w:eastAsia="zh-CN"/>
        </w:rPr>
      </w:pPr>
      <w:r>
        <w:rPr>
          <w:lang w:val="en-US" w:eastAsia="zh-CN"/>
        </w:rPr>
        <w:t>The spacecraft receive antenna is an “iso-flux” antenna and the gain pattern is shown below.</w:t>
      </w:r>
    </w:p>
    <w:p w:rsidR="0089268C" w:rsidRDefault="00C3610E">
      <w:pPr>
        <w:pStyle w:val="FigureNo"/>
        <w:rPr>
          <w:lang w:val="en-US" w:eastAsia="zh-CN"/>
        </w:rPr>
      </w:pPr>
      <w:r>
        <w:rPr>
          <w:lang w:val="en-US" w:eastAsia="zh-CN"/>
        </w:rPr>
        <w:t>Figure 3</w:t>
      </w:r>
    </w:p>
    <w:p w:rsidR="0089268C" w:rsidRPr="005C1912" w:rsidRDefault="00C3610E" w:rsidP="005C1912">
      <w:pPr>
        <w:pStyle w:val="Figuretitle"/>
      </w:pPr>
      <w:r w:rsidRPr="005C1912">
        <w:t>Spacecraft Receive Antenna Pattern</w:t>
      </w:r>
    </w:p>
    <w:p w:rsidR="0089268C" w:rsidRDefault="00C3610E" w:rsidP="005C1912">
      <w:pPr>
        <w:pStyle w:val="Figure"/>
      </w:pPr>
      <w:r w:rsidRPr="001E7D0F">
        <w:rPr>
          <w:lang w:val="en-GB"/>
        </w:rPr>
        <w:drawing>
          <wp:inline distT="0" distB="0" distL="0" distR="0">
            <wp:extent cx="5943600" cy="4043680"/>
            <wp:effectExtent l="0" t="0" r="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9268C" w:rsidRDefault="00C3610E">
      <w:pPr>
        <w:pStyle w:val="Heading2"/>
        <w:keepNext w:val="0"/>
        <w:keepLines w:val="0"/>
        <w:rPr>
          <w:shd w:val="clear" w:color="auto" w:fill="FFFFFF"/>
          <w:lang w:val="en-US"/>
        </w:rPr>
      </w:pPr>
      <w:r>
        <w:rPr>
          <w:shd w:val="clear" w:color="auto" w:fill="FFFFFF"/>
          <w:lang w:val="en-US"/>
        </w:rPr>
        <w:t>4.3</w:t>
      </w:r>
      <w:r>
        <w:rPr>
          <w:shd w:val="clear" w:color="auto" w:fill="FFFFFF"/>
          <w:lang w:val="en-US"/>
        </w:rPr>
        <w:tab/>
        <w:t>Technical and operational characteristics of the Aeronautical Radionavigation service operating in the 5 150-5 250 MHz</w:t>
      </w:r>
    </w:p>
    <w:p w:rsidR="0089268C" w:rsidRPr="001E7D0F" w:rsidRDefault="00C3610E">
      <w:pPr>
        <w:rPr>
          <w:lang w:val="en-US" w:eastAsia="zh-CN"/>
        </w:rPr>
      </w:pPr>
      <w:r w:rsidRPr="001E7D0F">
        <w:rPr>
          <w:lang w:val="en-US" w:eastAsia="zh-CN"/>
        </w:rPr>
        <w:t>[</w:t>
      </w:r>
      <w:r w:rsidRPr="001E7D0F">
        <w:rPr>
          <w:i/>
          <w:iCs/>
          <w:lang w:val="en-US" w:eastAsia="zh-CN"/>
        </w:rPr>
        <w:t>Editor’s Note: Parameters below need confirmation from WP 5B</w:t>
      </w:r>
      <w:r w:rsidRPr="001E7D0F">
        <w:rPr>
          <w:lang w:val="en-US" w:eastAsia="zh-CN"/>
        </w:rPr>
        <w:t>]</w:t>
      </w:r>
    </w:p>
    <w:p w:rsidR="0089268C" w:rsidRPr="005C1912" w:rsidRDefault="00C3610E">
      <w:pPr>
        <w:rPr>
          <w:i/>
          <w:iCs/>
          <w:lang w:val="en-US" w:eastAsia="zh-CN"/>
        </w:rPr>
      </w:pPr>
      <w:r w:rsidRPr="005C1912">
        <w:rPr>
          <w:i/>
          <w:iCs/>
          <w:lang w:val="en-US" w:eastAsia="zh-CN"/>
        </w:rPr>
        <w:t>[RUS</w:t>
      </w:r>
      <w:r w:rsidRPr="005C1912">
        <w:rPr>
          <w:i/>
          <w:iCs/>
          <w:lang w:eastAsia="zh-CN"/>
        </w:rPr>
        <w:t xml:space="preserve"> 5A/</w:t>
      </w:r>
      <w:hyperlink r:id="rId19" w:history="1">
        <w:r w:rsidRPr="005C1912">
          <w:rPr>
            <w:rStyle w:val="Hyperlink"/>
            <w:i/>
            <w:iCs/>
            <w:lang w:eastAsia="zh-CN"/>
          </w:rPr>
          <w:t>397</w:t>
        </w:r>
      </w:hyperlink>
      <w:r w:rsidRPr="005C1912">
        <w:rPr>
          <w:i/>
          <w:iCs/>
          <w:lang w:val="en-US" w:eastAsia="zh-CN"/>
        </w:rPr>
        <w:t>]</w:t>
      </w:r>
    </w:p>
    <w:p w:rsidR="0089268C" w:rsidRDefault="00C3610E">
      <w:pPr>
        <w:rPr>
          <w:lang w:val="en-US"/>
        </w:rPr>
      </w:pPr>
      <w:r>
        <w:rPr>
          <w:lang w:val="en-US"/>
        </w:rPr>
        <w:lastRenderedPageBreak/>
        <w:t xml:space="preserve">In accordance with Recommendation ITU-R </w:t>
      </w:r>
      <w:r>
        <w:t>М</w:t>
      </w:r>
      <w:r>
        <w:rPr>
          <w:lang w:val="en-US"/>
        </w:rPr>
        <w:t>.2007, ARNS systems operate in the frequency band 5 150−5 250 MHz all over the world. In compliance with</w:t>
      </w:r>
      <w:r>
        <w:rPr>
          <w:i/>
          <w:lang w:val="en-US"/>
        </w:rPr>
        <w:t xml:space="preserve"> recommends 1</w:t>
      </w:r>
      <w:r>
        <w:rPr>
          <w:lang w:val="en-US"/>
        </w:rPr>
        <w:t xml:space="preserve"> Recommendation ITU-R M. 2007 that the technical and operational characteristics of the radars operating in the ARNS described in Annex 1 should be considered representative of those operating in the frequency band 5 150-5 250 MHz and used in studies of compatibility with systems in other services. Table 1 below provides the technical parameters of airborne sense and avoid systems to be used for consequence assessment of outdoor WAS/RLAN usage.</w:t>
      </w:r>
    </w:p>
    <w:p w:rsidR="0089268C" w:rsidRDefault="00C3610E">
      <w:pPr>
        <w:pStyle w:val="TableNo"/>
        <w:rPr>
          <w:lang w:val="en-US"/>
        </w:rPr>
      </w:pPr>
      <w:r>
        <w:rPr>
          <w:lang w:val="en-US"/>
        </w:rPr>
        <w:t>TABLE 1</w:t>
      </w:r>
    </w:p>
    <w:p w:rsidR="0089268C" w:rsidRDefault="00C3610E">
      <w:pPr>
        <w:pStyle w:val="Tabletitle"/>
        <w:rPr>
          <w:lang w:val="en-US"/>
        </w:rPr>
      </w:pPr>
      <w:r>
        <w:rPr>
          <w:lang w:val="en-US"/>
        </w:rPr>
        <w:t>Technical parameters of aircraft based sense and avoid radar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5"/>
        <w:gridCol w:w="2492"/>
        <w:gridCol w:w="4672"/>
      </w:tblGrid>
      <w:tr w:rsidR="0089268C">
        <w:trPr>
          <w:jc w:val="center"/>
        </w:trPr>
        <w:tc>
          <w:tcPr>
            <w:tcW w:w="4967" w:type="dxa"/>
            <w:gridSpan w:val="2"/>
          </w:tcPr>
          <w:p w:rsidR="0089268C" w:rsidRDefault="00C3610E">
            <w:pPr>
              <w:pStyle w:val="Tablehead"/>
              <w:rPr>
                <w:lang w:val="fr-FR"/>
              </w:rPr>
            </w:pPr>
            <w:r>
              <w:rPr>
                <w:lang w:val="fr-FR"/>
              </w:rPr>
              <w:t>Parameter</w:t>
            </w:r>
          </w:p>
        </w:tc>
        <w:tc>
          <w:tcPr>
            <w:tcW w:w="4672" w:type="dxa"/>
          </w:tcPr>
          <w:p w:rsidR="0089268C" w:rsidRDefault="00C3610E">
            <w:pPr>
              <w:pStyle w:val="Tablehead"/>
              <w:rPr>
                <w:lang w:val="fr-FR"/>
              </w:rPr>
            </w:pPr>
            <w:r>
              <w:rPr>
                <w:lang w:val="fr-FR"/>
              </w:rPr>
              <w:t>Radar No. 1</w:t>
            </w:r>
          </w:p>
        </w:tc>
      </w:tr>
      <w:tr w:rsidR="0089268C">
        <w:trPr>
          <w:jc w:val="center"/>
        </w:trPr>
        <w:tc>
          <w:tcPr>
            <w:tcW w:w="4967" w:type="dxa"/>
            <w:gridSpan w:val="2"/>
          </w:tcPr>
          <w:p w:rsidR="0089268C" w:rsidRDefault="00C3610E">
            <w:pPr>
              <w:pStyle w:val="Tabletext"/>
              <w:rPr>
                <w:lang w:val="fr-FR"/>
              </w:rPr>
            </w:pPr>
            <w:r>
              <w:rPr>
                <w:lang w:val="fr-FR"/>
              </w:rPr>
              <w:t>Platform height (km)</w:t>
            </w:r>
          </w:p>
        </w:tc>
        <w:tc>
          <w:tcPr>
            <w:tcW w:w="4672" w:type="dxa"/>
          </w:tcPr>
          <w:p w:rsidR="0089268C" w:rsidRDefault="00C3610E">
            <w:pPr>
              <w:pStyle w:val="Tabletext"/>
              <w:jc w:val="center"/>
              <w:rPr>
                <w:lang w:val="fr-FR"/>
              </w:rPr>
            </w:pPr>
            <w:r>
              <w:rPr>
                <w:lang w:val="fr-FR"/>
              </w:rPr>
              <w:t>Up to 20</w:t>
            </w:r>
          </w:p>
        </w:tc>
      </w:tr>
      <w:tr w:rsidR="0089268C">
        <w:trPr>
          <w:jc w:val="center"/>
        </w:trPr>
        <w:tc>
          <w:tcPr>
            <w:tcW w:w="4967" w:type="dxa"/>
            <w:gridSpan w:val="2"/>
          </w:tcPr>
          <w:p w:rsidR="0089268C" w:rsidRDefault="00C3610E">
            <w:pPr>
              <w:pStyle w:val="Tabletext"/>
              <w:rPr>
                <w:lang w:val="fr-FR"/>
              </w:rPr>
            </w:pPr>
            <w:r>
              <w:rPr>
                <w:lang w:val="fr-FR"/>
              </w:rPr>
              <w:t>Radar type</w:t>
            </w:r>
          </w:p>
        </w:tc>
        <w:tc>
          <w:tcPr>
            <w:tcW w:w="4672" w:type="dxa"/>
          </w:tcPr>
          <w:p w:rsidR="0089268C" w:rsidRDefault="00C3610E">
            <w:pPr>
              <w:pStyle w:val="Tabletext"/>
              <w:jc w:val="center"/>
              <w:rPr>
                <w:lang w:val="en-US"/>
              </w:rPr>
            </w:pPr>
            <w:r>
              <w:rPr>
                <w:lang w:val="en-US"/>
              </w:rPr>
              <w:t>Air to air traffic collision avoidance system</w:t>
            </w:r>
          </w:p>
        </w:tc>
      </w:tr>
      <w:tr w:rsidR="0089268C">
        <w:trPr>
          <w:jc w:val="center"/>
        </w:trPr>
        <w:tc>
          <w:tcPr>
            <w:tcW w:w="4967" w:type="dxa"/>
            <w:gridSpan w:val="2"/>
          </w:tcPr>
          <w:p w:rsidR="0089268C" w:rsidRDefault="00C3610E">
            <w:pPr>
              <w:pStyle w:val="Tabletext"/>
              <w:rPr>
                <w:lang w:val="en-US"/>
              </w:rPr>
            </w:pPr>
            <w:r>
              <w:rPr>
                <w:lang w:val="en-US"/>
              </w:rPr>
              <w:t>The range of measured ground speed (km/h)</w:t>
            </w:r>
          </w:p>
        </w:tc>
        <w:tc>
          <w:tcPr>
            <w:tcW w:w="4672" w:type="dxa"/>
          </w:tcPr>
          <w:p w:rsidR="0089268C" w:rsidRDefault="00C3610E">
            <w:pPr>
              <w:pStyle w:val="Tabletext"/>
              <w:jc w:val="center"/>
              <w:rPr>
                <w:lang w:val="fr-FR"/>
              </w:rPr>
            </w:pPr>
            <w:r>
              <w:rPr>
                <w:lang w:val="fr-FR"/>
              </w:rPr>
              <w:t>Up to 1 500</w:t>
            </w:r>
          </w:p>
        </w:tc>
      </w:tr>
      <w:tr w:rsidR="0089268C">
        <w:trPr>
          <w:jc w:val="center"/>
        </w:trPr>
        <w:tc>
          <w:tcPr>
            <w:tcW w:w="4967" w:type="dxa"/>
            <w:gridSpan w:val="2"/>
          </w:tcPr>
          <w:p w:rsidR="0089268C" w:rsidRDefault="00C3610E">
            <w:pPr>
              <w:pStyle w:val="Tabletext"/>
              <w:rPr>
                <w:lang w:val="fr-FR"/>
              </w:rPr>
            </w:pPr>
            <w:r>
              <w:rPr>
                <w:lang w:val="fr-FR"/>
              </w:rPr>
              <w:t>Frequency tuning range (MHz)</w:t>
            </w:r>
          </w:p>
        </w:tc>
        <w:tc>
          <w:tcPr>
            <w:tcW w:w="4672" w:type="dxa"/>
          </w:tcPr>
          <w:p w:rsidR="0089268C" w:rsidRDefault="00C3610E">
            <w:pPr>
              <w:pStyle w:val="Tabletext"/>
              <w:jc w:val="center"/>
              <w:rPr>
                <w:lang w:val="fr-FR"/>
              </w:rPr>
            </w:pPr>
            <w:r>
              <w:rPr>
                <w:lang w:val="fr-FR"/>
              </w:rPr>
              <w:t>5 150-5 250</w:t>
            </w:r>
          </w:p>
        </w:tc>
      </w:tr>
      <w:tr w:rsidR="0089268C">
        <w:trPr>
          <w:jc w:val="center"/>
        </w:trPr>
        <w:tc>
          <w:tcPr>
            <w:tcW w:w="4967" w:type="dxa"/>
            <w:gridSpan w:val="2"/>
            <w:tcBorders>
              <w:bottom w:val="single" w:sz="4" w:space="0" w:color="auto"/>
            </w:tcBorders>
          </w:tcPr>
          <w:p w:rsidR="0089268C" w:rsidRDefault="00C3610E">
            <w:pPr>
              <w:pStyle w:val="Tabletext"/>
              <w:rPr>
                <w:lang w:val="fr-FR"/>
              </w:rPr>
            </w:pPr>
            <w:r>
              <w:rPr>
                <w:lang w:val="fr-FR"/>
              </w:rPr>
              <w:t>Emission type</w:t>
            </w:r>
          </w:p>
        </w:tc>
        <w:tc>
          <w:tcPr>
            <w:tcW w:w="4672" w:type="dxa"/>
            <w:tcBorders>
              <w:bottom w:val="single" w:sz="4" w:space="0" w:color="auto"/>
            </w:tcBorders>
          </w:tcPr>
          <w:p w:rsidR="0089268C" w:rsidRDefault="00C3610E">
            <w:pPr>
              <w:pStyle w:val="Tabletext"/>
              <w:jc w:val="center"/>
              <w:rPr>
                <w:lang w:val="fr-FR"/>
              </w:rPr>
            </w:pPr>
            <w:r>
              <w:rPr>
                <w:lang w:val="fr-FR"/>
              </w:rPr>
              <w:t>Linear FM (LFM) pulse</w:t>
            </w:r>
          </w:p>
        </w:tc>
      </w:tr>
      <w:tr w:rsidR="0089268C">
        <w:trPr>
          <w:jc w:val="center"/>
        </w:trPr>
        <w:tc>
          <w:tcPr>
            <w:tcW w:w="4967" w:type="dxa"/>
            <w:gridSpan w:val="2"/>
            <w:shd w:val="clear" w:color="auto" w:fill="auto"/>
          </w:tcPr>
          <w:p w:rsidR="0089268C" w:rsidRDefault="00C3610E">
            <w:pPr>
              <w:pStyle w:val="Tabletext"/>
              <w:rPr>
                <w:lang w:val="fr-FR"/>
              </w:rPr>
            </w:pPr>
            <w:r>
              <w:rPr>
                <w:lang w:val="fr-FR"/>
              </w:rPr>
              <w:t>LFM chirp bandwidth (MHz)</w:t>
            </w:r>
          </w:p>
        </w:tc>
        <w:tc>
          <w:tcPr>
            <w:tcW w:w="4672" w:type="dxa"/>
            <w:shd w:val="clear" w:color="auto" w:fill="auto"/>
          </w:tcPr>
          <w:p w:rsidR="0089268C" w:rsidRDefault="00C3610E">
            <w:pPr>
              <w:pStyle w:val="Tabletext"/>
              <w:jc w:val="center"/>
              <w:rPr>
                <w:lang w:val="fr-FR"/>
              </w:rPr>
            </w:pPr>
            <w:r>
              <w:rPr>
                <w:lang w:val="fr-FR"/>
              </w:rPr>
              <w:t>20</w:t>
            </w:r>
          </w:p>
        </w:tc>
      </w:tr>
      <w:tr w:rsidR="0089268C">
        <w:trPr>
          <w:jc w:val="center"/>
        </w:trPr>
        <w:tc>
          <w:tcPr>
            <w:tcW w:w="4967" w:type="dxa"/>
            <w:gridSpan w:val="2"/>
          </w:tcPr>
          <w:p w:rsidR="0089268C" w:rsidRDefault="00C3610E">
            <w:pPr>
              <w:pStyle w:val="Tabletext"/>
              <w:rPr>
                <w:lang w:val="en-US"/>
              </w:rPr>
            </w:pPr>
            <w:r>
              <w:rPr>
                <w:lang w:val="en-US"/>
              </w:rPr>
              <w:t>Pulse rise and fall times (</w:t>
            </w:r>
            <w:r>
              <w:rPr>
                <w:lang w:val="fr-FR"/>
              </w:rPr>
              <w:sym w:font="Symbol" w:char="F06D"/>
            </w:r>
            <w:r>
              <w:rPr>
                <w:lang w:val="en-US"/>
              </w:rPr>
              <w:t>s)</w:t>
            </w:r>
          </w:p>
        </w:tc>
        <w:tc>
          <w:tcPr>
            <w:tcW w:w="4672" w:type="dxa"/>
          </w:tcPr>
          <w:p w:rsidR="0089268C" w:rsidRDefault="00C3610E">
            <w:pPr>
              <w:pStyle w:val="Tabletext"/>
              <w:jc w:val="center"/>
              <w:rPr>
                <w:lang w:val="fr-FR"/>
              </w:rPr>
            </w:pPr>
            <w:r>
              <w:rPr>
                <w:lang w:val="fr-FR"/>
              </w:rPr>
              <w:t>0.1-0.2</w:t>
            </w:r>
          </w:p>
        </w:tc>
      </w:tr>
      <w:tr w:rsidR="0089268C">
        <w:trPr>
          <w:jc w:val="center"/>
        </w:trPr>
        <w:tc>
          <w:tcPr>
            <w:tcW w:w="2475" w:type="dxa"/>
            <w:tcBorders>
              <w:right w:val="nil"/>
            </w:tcBorders>
            <w:tcMar>
              <w:left w:w="108" w:type="dxa"/>
              <w:right w:w="28" w:type="dxa"/>
            </w:tcMar>
          </w:tcPr>
          <w:p w:rsidR="0089268C" w:rsidRDefault="00C3610E">
            <w:pPr>
              <w:pStyle w:val="Tabletext"/>
              <w:rPr>
                <w:lang w:val="fr-FR"/>
              </w:rPr>
            </w:pPr>
            <w:r>
              <w:rPr>
                <w:lang w:val="fr-FR"/>
              </w:rPr>
              <w:t>RF emission bandwidth</w:t>
            </w:r>
          </w:p>
        </w:tc>
        <w:tc>
          <w:tcPr>
            <w:tcW w:w="2492" w:type="dxa"/>
            <w:tcBorders>
              <w:left w:val="nil"/>
            </w:tcBorders>
            <w:tcMar>
              <w:left w:w="28" w:type="dxa"/>
              <w:right w:w="28" w:type="dxa"/>
            </w:tcMar>
          </w:tcPr>
          <w:p w:rsidR="0089268C" w:rsidRDefault="00C3610E">
            <w:pPr>
              <w:pStyle w:val="Tabletext"/>
              <w:rPr>
                <w:lang w:val="fr-FR"/>
              </w:rPr>
            </w:pPr>
            <w:r>
              <w:rPr>
                <w:lang w:val="fr-FR"/>
              </w:rPr>
              <w:t>–3 dB</w:t>
            </w:r>
          </w:p>
          <w:p w:rsidR="0089268C" w:rsidRDefault="00C3610E">
            <w:pPr>
              <w:pStyle w:val="Tabletext"/>
              <w:rPr>
                <w:lang w:val="fr-FR"/>
              </w:rPr>
            </w:pPr>
            <w:r>
              <w:rPr>
                <w:lang w:val="fr-FR"/>
              </w:rPr>
              <w:t>–20 dB</w:t>
            </w:r>
            <w:r>
              <w:rPr>
                <w:lang w:val="fr-FR"/>
              </w:rPr>
              <w:tab/>
              <w:t>(MHz)</w:t>
            </w:r>
          </w:p>
          <w:p w:rsidR="0089268C" w:rsidRDefault="00C3610E">
            <w:pPr>
              <w:pStyle w:val="Tabletext"/>
              <w:rPr>
                <w:lang w:val="fr-FR"/>
              </w:rPr>
            </w:pPr>
            <w:r>
              <w:rPr>
                <w:lang w:val="fr-FR"/>
              </w:rPr>
              <w:t>–40 dB</w:t>
            </w:r>
          </w:p>
        </w:tc>
        <w:tc>
          <w:tcPr>
            <w:tcW w:w="4672" w:type="dxa"/>
          </w:tcPr>
          <w:p w:rsidR="0089268C" w:rsidRDefault="00C3610E">
            <w:pPr>
              <w:pStyle w:val="Tabletext"/>
              <w:jc w:val="center"/>
              <w:rPr>
                <w:lang w:val="fr-FR"/>
              </w:rPr>
            </w:pPr>
            <w:r>
              <w:rPr>
                <w:lang w:val="fr-FR"/>
              </w:rPr>
              <w:t>18</w:t>
            </w:r>
          </w:p>
          <w:p w:rsidR="0089268C" w:rsidRDefault="00C3610E">
            <w:pPr>
              <w:pStyle w:val="Tabletext"/>
              <w:jc w:val="center"/>
              <w:rPr>
                <w:lang w:val="fr-FR"/>
              </w:rPr>
            </w:pPr>
            <w:r>
              <w:rPr>
                <w:lang w:val="fr-FR"/>
              </w:rPr>
              <w:t>22</w:t>
            </w:r>
          </w:p>
          <w:p w:rsidR="0089268C" w:rsidRDefault="00C3610E">
            <w:pPr>
              <w:pStyle w:val="Tabletext"/>
              <w:jc w:val="center"/>
              <w:rPr>
                <w:lang w:val="fr-FR"/>
              </w:rPr>
            </w:pPr>
            <w:r>
              <w:rPr>
                <w:lang w:val="fr-FR"/>
              </w:rPr>
              <w:t>26</w:t>
            </w:r>
          </w:p>
        </w:tc>
      </w:tr>
      <w:tr w:rsidR="0089268C">
        <w:trPr>
          <w:jc w:val="center"/>
        </w:trPr>
        <w:tc>
          <w:tcPr>
            <w:tcW w:w="4967" w:type="dxa"/>
            <w:gridSpan w:val="2"/>
          </w:tcPr>
          <w:p w:rsidR="0089268C" w:rsidRDefault="00C3610E">
            <w:pPr>
              <w:pStyle w:val="Tabletext"/>
              <w:rPr>
                <w:lang w:val="en-US"/>
              </w:rPr>
            </w:pPr>
            <w:r>
              <w:rPr>
                <w:lang w:val="en-US"/>
              </w:rPr>
              <w:t>Receiver IF –3 dB bandwidth (MHz)</w:t>
            </w:r>
          </w:p>
        </w:tc>
        <w:tc>
          <w:tcPr>
            <w:tcW w:w="4672" w:type="dxa"/>
          </w:tcPr>
          <w:p w:rsidR="0089268C" w:rsidRDefault="00C3610E">
            <w:pPr>
              <w:pStyle w:val="Tabletext"/>
              <w:jc w:val="center"/>
              <w:rPr>
                <w:lang w:val="fr-FR"/>
              </w:rPr>
            </w:pPr>
            <w:r>
              <w:rPr>
                <w:lang w:val="fr-FR"/>
              </w:rPr>
              <w:t>30</w:t>
            </w:r>
          </w:p>
        </w:tc>
      </w:tr>
      <w:tr w:rsidR="0089268C">
        <w:trPr>
          <w:jc w:val="center"/>
        </w:trPr>
        <w:tc>
          <w:tcPr>
            <w:tcW w:w="4967" w:type="dxa"/>
            <w:gridSpan w:val="2"/>
          </w:tcPr>
          <w:p w:rsidR="0089268C" w:rsidRDefault="00C3610E">
            <w:pPr>
              <w:pStyle w:val="Tabletext"/>
              <w:rPr>
                <w:lang w:val="en-US"/>
              </w:rPr>
            </w:pPr>
            <w:r>
              <w:rPr>
                <w:lang w:val="en-US"/>
              </w:rPr>
              <w:t>Receiver noise figure (dB)</w:t>
            </w:r>
          </w:p>
        </w:tc>
        <w:tc>
          <w:tcPr>
            <w:tcW w:w="4672" w:type="dxa"/>
          </w:tcPr>
          <w:p w:rsidR="0089268C" w:rsidRDefault="00C3610E">
            <w:pPr>
              <w:pStyle w:val="Tabletext"/>
              <w:jc w:val="center"/>
              <w:rPr>
                <w:lang w:val="en-US"/>
              </w:rPr>
            </w:pPr>
            <w:r>
              <w:rPr>
                <w:lang w:val="en-US"/>
              </w:rPr>
              <w:t>5</w:t>
            </w:r>
          </w:p>
        </w:tc>
      </w:tr>
      <w:tr w:rsidR="0089268C">
        <w:trPr>
          <w:jc w:val="center"/>
        </w:trPr>
        <w:tc>
          <w:tcPr>
            <w:tcW w:w="4967" w:type="dxa"/>
            <w:gridSpan w:val="2"/>
          </w:tcPr>
          <w:p w:rsidR="0089268C" w:rsidRDefault="00C3610E">
            <w:pPr>
              <w:pStyle w:val="Tabletext"/>
              <w:rPr>
                <w:lang w:val="fr-FR"/>
              </w:rPr>
            </w:pPr>
            <w:r>
              <w:rPr>
                <w:lang w:val="en-US"/>
              </w:rPr>
              <w:t>Antenna g</w:t>
            </w:r>
            <w:r>
              <w:rPr>
                <w:lang w:val="fr-FR"/>
              </w:rPr>
              <w:t>ain (dBi)</w:t>
            </w:r>
          </w:p>
        </w:tc>
        <w:tc>
          <w:tcPr>
            <w:tcW w:w="4672" w:type="dxa"/>
          </w:tcPr>
          <w:p w:rsidR="0089268C" w:rsidRDefault="00C3610E">
            <w:pPr>
              <w:pStyle w:val="Tabletext"/>
              <w:jc w:val="center"/>
              <w:rPr>
                <w:lang w:val="fr-FR"/>
              </w:rPr>
            </w:pPr>
            <w:r>
              <w:rPr>
                <w:lang w:val="fr-FR"/>
              </w:rPr>
              <w:t>33-36</w:t>
            </w:r>
          </w:p>
        </w:tc>
      </w:tr>
      <w:tr w:rsidR="0089268C">
        <w:trPr>
          <w:jc w:val="center"/>
        </w:trPr>
        <w:tc>
          <w:tcPr>
            <w:tcW w:w="4967" w:type="dxa"/>
            <w:gridSpan w:val="2"/>
          </w:tcPr>
          <w:p w:rsidR="0089268C" w:rsidRDefault="00C3610E">
            <w:pPr>
              <w:pStyle w:val="Tabletext"/>
              <w:rPr>
                <w:lang w:val="en-US"/>
              </w:rPr>
            </w:pPr>
            <w:r>
              <w:rPr>
                <w:lang w:val="en-US"/>
              </w:rPr>
              <w:t>First antenna side lobe (dBi)</w:t>
            </w:r>
          </w:p>
        </w:tc>
        <w:tc>
          <w:tcPr>
            <w:tcW w:w="4672" w:type="dxa"/>
          </w:tcPr>
          <w:p w:rsidR="0089268C" w:rsidRDefault="00C3610E">
            <w:pPr>
              <w:pStyle w:val="Tabletext"/>
              <w:jc w:val="center"/>
              <w:rPr>
                <w:lang w:val="fr-FR"/>
              </w:rPr>
            </w:pPr>
            <w:r>
              <w:rPr>
                <w:lang w:val="fr-FR"/>
              </w:rPr>
              <w:t>18-20</w:t>
            </w:r>
          </w:p>
        </w:tc>
      </w:tr>
      <w:tr w:rsidR="0089268C">
        <w:trPr>
          <w:jc w:val="center"/>
        </w:trPr>
        <w:tc>
          <w:tcPr>
            <w:tcW w:w="4967" w:type="dxa"/>
            <w:gridSpan w:val="2"/>
          </w:tcPr>
          <w:p w:rsidR="0089268C" w:rsidRDefault="00C3610E">
            <w:pPr>
              <w:pStyle w:val="Tabletext"/>
              <w:rPr>
                <w:lang w:val="fr-FR"/>
              </w:rPr>
            </w:pPr>
            <w:r>
              <w:rPr>
                <w:lang w:val="fr-FR"/>
              </w:rPr>
              <w:t>Horizontal beamwidth (degrees)</w:t>
            </w:r>
          </w:p>
        </w:tc>
        <w:tc>
          <w:tcPr>
            <w:tcW w:w="4672" w:type="dxa"/>
          </w:tcPr>
          <w:p w:rsidR="0089268C" w:rsidRDefault="00C3610E">
            <w:pPr>
              <w:pStyle w:val="Tabletext"/>
              <w:jc w:val="center"/>
              <w:rPr>
                <w:lang w:val="fr-FR"/>
              </w:rPr>
            </w:pPr>
            <w:r>
              <w:rPr>
                <w:lang w:val="fr-FR"/>
              </w:rPr>
              <w:t>8</w:t>
            </w:r>
          </w:p>
        </w:tc>
      </w:tr>
      <w:tr w:rsidR="0089268C">
        <w:trPr>
          <w:jc w:val="center"/>
        </w:trPr>
        <w:tc>
          <w:tcPr>
            <w:tcW w:w="4967" w:type="dxa"/>
            <w:gridSpan w:val="2"/>
          </w:tcPr>
          <w:p w:rsidR="0089268C" w:rsidRDefault="00C3610E">
            <w:pPr>
              <w:pStyle w:val="Tabletext"/>
              <w:rPr>
                <w:lang w:val="fr-FR"/>
              </w:rPr>
            </w:pPr>
            <w:r>
              <w:rPr>
                <w:lang w:val="fr-FR"/>
              </w:rPr>
              <w:t>Vertical beamwidth (degrees)</w:t>
            </w:r>
          </w:p>
        </w:tc>
        <w:tc>
          <w:tcPr>
            <w:tcW w:w="4672" w:type="dxa"/>
          </w:tcPr>
          <w:p w:rsidR="0089268C" w:rsidRDefault="00C3610E">
            <w:pPr>
              <w:pStyle w:val="Tabletext"/>
              <w:jc w:val="center"/>
              <w:rPr>
                <w:lang w:val="fr-FR"/>
              </w:rPr>
            </w:pPr>
            <w:r>
              <w:rPr>
                <w:lang w:val="fr-FR"/>
              </w:rPr>
              <w:t>8</w:t>
            </w:r>
          </w:p>
        </w:tc>
      </w:tr>
      <w:tr w:rsidR="0089268C">
        <w:trPr>
          <w:jc w:val="center"/>
        </w:trPr>
        <w:tc>
          <w:tcPr>
            <w:tcW w:w="4967" w:type="dxa"/>
            <w:gridSpan w:val="2"/>
          </w:tcPr>
          <w:p w:rsidR="0089268C" w:rsidRDefault="00C3610E">
            <w:pPr>
              <w:pStyle w:val="Tabletext"/>
              <w:rPr>
                <w:lang w:val="fr-FR"/>
              </w:rPr>
            </w:pPr>
            <w:r>
              <w:rPr>
                <w:lang w:val="fr-FR"/>
              </w:rPr>
              <w:t>Polarization</w:t>
            </w:r>
          </w:p>
        </w:tc>
        <w:tc>
          <w:tcPr>
            <w:tcW w:w="4672" w:type="dxa"/>
          </w:tcPr>
          <w:p w:rsidR="0089268C" w:rsidRDefault="00C3610E">
            <w:pPr>
              <w:pStyle w:val="Tabletext"/>
              <w:jc w:val="center"/>
              <w:rPr>
                <w:lang w:val="fr-FR"/>
              </w:rPr>
            </w:pPr>
            <w:r>
              <w:rPr>
                <w:lang w:val="fr-FR"/>
              </w:rPr>
              <w:t>Vertical</w:t>
            </w:r>
          </w:p>
        </w:tc>
      </w:tr>
      <w:tr w:rsidR="0089268C">
        <w:trPr>
          <w:jc w:val="center"/>
        </w:trPr>
        <w:tc>
          <w:tcPr>
            <w:tcW w:w="4967" w:type="dxa"/>
            <w:gridSpan w:val="2"/>
          </w:tcPr>
          <w:p w:rsidR="0089268C" w:rsidRDefault="00C3610E">
            <w:pPr>
              <w:pStyle w:val="Tabletext"/>
              <w:rPr>
                <w:lang w:val="fr-FR"/>
              </w:rPr>
            </w:pPr>
            <w:r>
              <w:rPr>
                <w:lang w:val="fr-FR"/>
              </w:rPr>
              <w:t>Vertical antenna scan (degrees)</w:t>
            </w:r>
          </w:p>
        </w:tc>
        <w:tc>
          <w:tcPr>
            <w:tcW w:w="4672" w:type="dxa"/>
          </w:tcPr>
          <w:p w:rsidR="0089268C" w:rsidRDefault="00C3610E">
            <w:pPr>
              <w:pStyle w:val="Tabletext"/>
              <w:jc w:val="center"/>
              <w:rPr>
                <w:lang w:val="fr-FR"/>
              </w:rPr>
            </w:pPr>
            <w:r>
              <w:rPr>
                <w:lang w:val="fr-FR"/>
              </w:rPr>
              <w:t>±45</w:t>
            </w:r>
          </w:p>
        </w:tc>
      </w:tr>
      <w:tr w:rsidR="0089268C">
        <w:trPr>
          <w:jc w:val="center"/>
        </w:trPr>
        <w:tc>
          <w:tcPr>
            <w:tcW w:w="4967" w:type="dxa"/>
            <w:gridSpan w:val="2"/>
          </w:tcPr>
          <w:p w:rsidR="0089268C" w:rsidRDefault="00C3610E">
            <w:pPr>
              <w:pStyle w:val="Tabletext"/>
              <w:rPr>
                <w:lang w:val="fr-FR"/>
              </w:rPr>
            </w:pPr>
            <w:r>
              <w:rPr>
                <w:lang w:val="fr-FR"/>
              </w:rPr>
              <w:t>Horizontal antenna scan (degrees)</w:t>
            </w:r>
          </w:p>
        </w:tc>
        <w:tc>
          <w:tcPr>
            <w:tcW w:w="4672" w:type="dxa"/>
          </w:tcPr>
          <w:p w:rsidR="0089268C" w:rsidRDefault="00C3610E">
            <w:pPr>
              <w:pStyle w:val="Tabletext"/>
              <w:jc w:val="center"/>
              <w:rPr>
                <w:lang w:val="fr-FR"/>
              </w:rPr>
            </w:pPr>
            <w:r>
              <w:rPr>
                <w:lang w:val="fr-FR"/>
              </w:rPr>
              <w:t>±45</w:t>
            </w:r>
          </w:p>
        </w:tc>
      </w:tr>
      <w:tr w:rsidR="0089268C">
        <w:trPr>
          <w:jc w:val="center"/>
        </w:trPr>
        <w:tc>
          <w:tcPr>
            <w:tcW w:w="4967" w:type="dxa"/>
            <w:gridSpan w:val="2"/>
          </w:tcPr>
          <w:p w:rsidR="0089268C" w:rsidRDefault="00C3610E">
            <w:pPr>
              <w:pStyle w:val="Tabletext"/>
              <w:rPr>
                <w:lang w:val="fr-FR"/>
              </w:rPr>
            </w:pPr>
            <w:r>
              <w:rPr>
                <w:lang w:val="fr-FR"/>
              </w:rPr>
              <w:t>Protection criteria (dB)</w:t>
            </w:r>
          </w:p>
        </w:tc>
        <w:tc>
          <w:tcPr>
            <w:tcW w:w="4672" w:type="dxa"/>
          </w:tcPr>
          <w:p w:rsidR="0089268C" w:rsidRDefault="00C3610E">
            <w:pPr>
              <w:pStyle w:val="Tabletext"/>
              <w:jc w:val="center"/>
              <w:rPr>
                <w:lang w:val="fr-FR"/>
              </w:rPr>
            </w:pPr>
            <w:r>
              <w:rPr>
                <w:lang w:val="fr-FR"/>
              </w:rPr>
              <w:t>−6</w:t>
            </w:r>
          </w:p>
        </w:tc>
      </w:tr>
    </w:tbl>
    <w:p w:rsidR="005C1912" w:rsidRDefault="005C1912" w:rsidP="005C1912">
      <w:pPr>
        <w:pStyle w:val="Tablefin"/>
        <w:rPr>
          <w:shd w:val="clear" w:color="auto" w:fill="FFFFFF"/>
          <w:lang w:val="en-US"/>
        </w:rPr>
      </w:pPr>
    </w:p>
    <w:p w:rsidR="0089268C" w:rsidRDefault="00C3610E">
      <w:pPr>
        <w:pStyle w:val="Heading2"/>
        <w:rPr>
          <w:lang w:val="en-US"/>
        </w:rPr>
      </w:pPr>
      <w:r>
        <w:rPr>
          <w:shd w:val="clear" w:color="auto" w:fill="FFFFFF"/>
          <w:lang w:val="en-US"/>
        </w:rPr>
        <w:t>4.4</w:t>
      </w:r>
      <w:r>
        <w:rPr>
          <w:shd w:val="clear" w:color="auto" w:fill="FFFFFF"/>
          <w:lang w:val="en-US"/>
        </w:rPr>
        <w:tab/>
        <w:t xml:space="preserve">Technical and operational characteristics of </w:t>
      </w:r>
      <w:r>
        <w:rPr>
          <w:lang w:val="en-US"/>
        </w:rPr>
        <w:t xml:space="preserve">aeronautical mobile service systems </w:t>
      </w:r>
      <w:r>
        <w:rPr>
          <w:iCs/>
          <w:szCs w:val="28"/>
          <w:lang w:val="en-US"/>
        </w:rPr>
        <w:t>limited to aircraft transmissions of aeronautical mobile telemetry (AMT) for flight testing</w:t>
      </w:r>
      <w:r>
        <w:rPr>
          <w:lang w:val="en-US"/>
        </w:rPr>
        <w:t xml:space="preserve"> in the frequency ranges 5 </w:t>
      </w:r>
      <w:r>
        <w:t>150</w:t>
      </w:r>
      <w:r>
        <w:rPr>
          <w:lang w:val="en-US"/>
        </w:rPr>
        <w:t>-5 160 MHz</w:t>
      </w:r>
    </w:p>
    <w:p w:rsidR="0089268C" w:rsidRPr="001E7D0F" w:rsidRDefault="00C3610E">
      <w:pPr>
        <w:rPr>
          <w:lang w:val="en-US" w:eastAsia="zh-CN"/>
        </w:rPr>
      </w:pPr>
      <w:r w:rsidRPr="001E7D0F">
        <w:rPr>
          <w:lang w:val="en-US" w:eastAsia="zh-CN"/>
        </w:rPr>
        <w:t>[</w:t>
      </w:r>
      <w:r w:rsidRPr="001E7D0F">
        <w:rPr>
          <w:i/>
          <w:iCs/>
          <w:lang w:val="en-US" w:eastAsia="zh-CN"/>
        </w:rPr>
        <w:t>Editor’s Note: Parameters below need confirmation from WP 5B</w:t>
      </w:r>
      <w:r w:rsidRPr="001E7D0F">
        <w:rPr>
          <w:lang w:val="en-US" w:eastAsia="zh-CN"/>
        </w:rPr>
        <w:t>]</w:t>
      </w:r>
    </w:p>
    <w:p w:rsidR="0089268C" w:rsidRDefault="00C3610E">
      <w:pPr>
        <w:rPr>
          <w:lang w:val="en-US"/>
        </w:rPr>
      </w:pPr>
      <w:r>
        <w:rPr>
          <w:lang w:val="en-US"/>
        </w:rPr>
        <w:t xml:space="preserve">The following table provides the aeronautical mobile telemetry transmitting and receiving stations characteristics relevant for preforming sharing analysis with other services in co-frequency. </w:t>
      </w:r>
    </w:p>
    <w:p w:rsidR="0089268C" w:rsidRDefault="00C3610E">
      <w:pPr>
        <w:pStyle w:val="TableNo"/>
        <w:rPr>
          <w:lang w:val="en-US"/>
        </w:rPr>
      </w:pPr>
      <w:r>
        <w:rPr>
          <w:lang w:val="en-US"/>
        </w:rPr>
        <w:lastRenderedPageBreak/>
        <w:t xml:space="preserve">Table </w:t>
      </w:r>
      <w:r w:rsidRPr="001E7D0F">
        <w:rPr>
          <w:lang w:val="en-US"/>
        </w:rPr>
        <w:fldChar w:fldCharType="begin"/>
      </w:r>
      <w:r>
        <w:rPr>
          <w:lang w:val="en-US"/>
        </w:rPr>
        <w:instrText xml:space="preserve"> SEQ Table \* ARABIC </w:instrText>
      </w:r>
      <w:r w:rsidRPr="001E7D0F">
        <w:rPr>
          <w:lang w:val="en-US"/>
        </w:rPr>
        <w:fldChar w:fldCharType="separate"/>
      </w:r>
      <w:r>
        <w:rPr>
          <w:noProof/>
          <w:lang w:val="en-US"/>
        </w:rPr>
        <w:t>1</w:t>
      </w:r>
      <w:r w:rsidRPr="001E7D0F">
        <w:rPr>
          <w:lang w:val="en-US"/>
        </w:rPr>
        <w:fldChar w:fldCharType="end"/>
      </w:r>
    </w:p>
    <w:p w:rsidR="0089268C" w:rsidRDefault="00C3610E">
      <w:pPr>
        <w:pStyle w:val="Tabletitle"/>
        <w:rPr>
          <w:lang w:val="en-US"/>
        </w:rPr>
      </w:pPr>
      <w:r>
        <w:rPr>
          <w:lang w:val="en-US"/>
        </w:rPr>
        <w:t>Aeronautical mobile telemetry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674"/>
        <w:gridCol w:w="6828"/>
      </w:tblGrid>
      <w:tr w:rsidR="0089268C">
        <w:trPr>
          <w:jc w:val="center"/>
        </w:trPr>
        <w:tc>
          <w:tcPr>
            <w:tcW w:w="9629" w:type="dxa"/>
            <w:gridSpan w:val="3"/>
            <w:tcBorders>
              <w:bottom w:val="single" w:sz="4" w:space="0" w:color="auto"/>
            </w:tcBorders>
            <w:shd w:val="clear" w:color="auto" w:fill="auto"/>
            <w:vAlign w:val="center"/>
          </w:tcPr>
          <w:p w:rsidR="0089268C" w:rsidRDefault="00C3610E" w:rsidP="005C1912">
            <w:pPr>
              <w:pStyle w:val="Tablehead"/>
              <w:jc w:val="left"/>
              <w:rPr>
                <w:lang w:val="en-US"/>
              </w:rPr>
            </w:pPr>
            <w:r>
              <w:rPr>
                <w:lang w:val="en-US"/>
              </w:rPr>
              <w:t>Transmitter (onboard aircraft)</w:t>
            </w:r>
          </w:p>
        </w:tc>
      </w:tr>
      <w:tr w:rsidR="0089268C">
        <w:trPr>
          <w:jc w:val="center"/>
        </w:trPr>
        <w:tc>
          <w:tcPr>
            <w:tcW w:w="2127" w:type="dxa"/>
            <w:tcBorders>
              <w:bottom w:val="single" w:sz="4" w:space="0" w:color="auto"/>
            </w:tcBorders>
            <w:shd w:val="clear" w:color="auto" w:fill="auto"/>
            <w:vAlign w:val="center"/>
          </w:tcPr>
          <w:p w:rsidR="0089268C" w:rsidRDefault="00C3610E">
            <w:pPr>
              <w:pStyle w:val="Tabletext"/>
              <w:rPr>
                <w:lang w:val="en-US"/>
              </w:rPr>
            </w:pPr>
            <w:r>
              <w:rPr>
                <w:lang w:val="en-US"/>
              </w:rPr>
              <w:t>Frequency range</w:t>
            </w:r>
          </w:p>
        </w:tc>
        <w:tc>
          <w:tcPr>
            <w:tcW w:w="674" w:type="dxa"/>
          </w:tcPr>
          <w:p w:rsidR="0089268C" w:rsidRDefault="00C3610E">
            <w:pPr>
              <w:pStyle w:val="Tabletext"/>
              <w:rPr>
                <w:lang w:val="en-US"/>
              </w:rPr>
            </w:pPr>
            <w:r>
              <w:rPr>
                <w:lang w:val="en-US"/>
              </w:rPr>
              <w:t>MHz</w:t>
            </w:r>
          </w:p>
        </w:tc>
        <w:tc>
          <w:tcPr>
            <w:tcW w:w="6828" w:type="dxa"/>
            <w:shd w:val="clear" w:color="auto" w:fill="auto"/>
            <w:vAlign w:val="center"/>
          </w:tcPr>
          <w:p w:rsidR="0089268C" w:rsidRDefault="00C3610E">
            <w:pPr>
              <w:pStyle w:val="Tabletext"/>
              <w:rPr>
                <w:lang w:val="en-US"/>
              </w:rPr>
            </w:pPr>
            <w:r>
              <w:rPr>
                <w:lang w:val="en-US"/>
              </w:rPr>
              <w:t>5 091-5 160</w:t>
            </w:r>
          </w:p>
        </w:tc>
      </w:tr>
      <w:tr w:rsidR="0089268C">
        <w:trPr>
          <w:jc w:val="center"/>
        </w:trPr>
        <w:tc>
          <w:tcPr>
            <w:tcW w:w="2127" w:type="dxa"/>
            <w:tcBorders>
              <w:bottom w:val="single" w:sz="4" w:space="0" w:color="auto"/>
            </w:tcBorders>
            <w:shd w:val="clear" w:color="auto" w:fill="auto"/>
            <w:vAlign w:val="center"/>
          </w:tcPr>
          <w:p w:rsidR="0089268C" w:rsidRDefault="00C3610E">
            <w:pPr>
              <w:pStyle w:val="Tabletext"/>
              <w:rPr>
                <w:lang w:val="en-US"/>
              </w:rPr>
            </w:pPr>
            <w:r>
              <w:rPr>
                <w:lang w:val="en-US"/>
              </w:rPr>
              <w:t>Channel bandwidth</w:t>
            </w:r>
          </w:p>
        </w:tc>
        <w:tc>
          <w:tcPr>
            <w:tcW w:w="674" w:type="dxa"/>
          </w:tcPr>
          <w:p w:rsidR="0089268C" w:rsidRDefault="00C3610E">
            <w:pPr>
              <w:pStyle w:val="Tabletext"/>
              <w:rPr>
                <w:lang w:val="en-US"/>
              </w:rPr>
            </w:pPr>
            <w:r>
              <w:rPr>
                <w:lang w:val="en-US"/>
              </w:rPr>
              <w:t>MHz</w:t>
            </w:r>
          </w:p>
        </w:tc>
        <w:tc>
          <w:tcPr>
            <w:tcW w:w="6828" w:type="dxa"/>
            <w:shd w:val="clear" w:color="auto" w:fill="auto"/>
            <w:vAlign w:val="center"/>
          </w:tcPr>
          <w:p w:rsidR="0089268C" w:rsidRDefault="00C3610E">
            <w:pPr>
              <w:pStyle w:val="Tabletext"/>
              <w:rPr>
                <w:lang w:val="en-US"/>
              </w:rPr>
            </w:pPr>
            <w:r>
              <w:rPr>
                <w:lang w:val="en-US"/>
              </w:rPr>
              <w:t xml:space="preserve">8 </w:t>
            </w:r>
          </w:p>
        </w:tc>
      </w:tr>
      <w:tr w:rsidR="0089268C">
        <w:trPr>
          <w:jc w:val="center"/>
        </w:trPr>
        <w:tc>
          <w:tcPr>
            <w:tcW w:w="2127" w:type="dxa"/>
            <w:shd w:val="clear" w:color="auto" w:fill="auto"/>
            <w:vAlign w:val="center"/>
          </w:tcPr>
          <w:p w:rsidR="0089268C" w:rsidRDefault="00C3610E">
            <w:pPr>
              <w:pStyle w:val="Tabletext"/>
              <w:rPr>
                <w:lang w:val="en-US"/>
              </w:rPr>
            </w:pPr>
            <w:r>
              <w:rPr>
                <w:lang w:val="en-US"/>
              </w:rPr>
              <w:t>Modulation</w:t>
            </w:r>
          </w:p>
        </w:tc>
        <w:tc>
          <w:tcPr>
            <w:tcW w:w="674" w:type="dxa"/>
          </w:tcPr>
          <w:p w:rsidR="0089268C" w:rsidRDefault="0089268C">
            <w:pPr>
              <w:pStyle w:val="Tabletext"/>
              <w:rPr>
                <w:lang w:val="en-US"/>
              </w:rPr>
            </w:pPr>
          </w:p>
        </w:tc>
        <w:tc>
          <w:tcPr>
            <w:tcW w:w="6828" w:type="dxa"/>
            <w:shd w:val="clear" w:color="auto" w:fill="auto"/>
            <w:vAlign w:val="center"/>
          </w:tcPr>
          <w:p w:rsidR="0089268C" w:rsidRDefault="00C3610E">
            <w:pPr>
              <w:pStyle w:val="Tabletext"/>
              <w:rPr>
                <w:lang w:val="en-US"/>
              </w:rPr>
            </w:pPr>
            <w:r>
              <w:rPr>
                <w:lang w:val="en-US"/>
              </w:rPr>
              <w:t>Single Carrier-SOQPSK or COFDM-QPSK</w:t>
            </w:r>
          </w:p>
        </w:tc>
      </w:tr>
      <w:tr w:rsidR="0089268C">
        <w:trPr>
          <w:jc w:val="center"/>
        </w:trPr>
        <w:tc>
          <w:tcPr>
            <w:tcW w:w="2127" w:type="dxa"/>
            <w:shd w:val="clear" w:color="auto" w:fill="auto"/>
            <w:vAlign w:val="center"/>
          </w:tcPr>
          <w:p w:rsidR="0089268C" w:rsidRDefault="00C3610E">
            <w:pPr>
              <w:pStyle w:val="Tabletext"/>
              <w:rPr>
                <w:lang w:val="en-US"/>
              </w:rPr>
            </w:pPr>
            <w:r>
              <w:rPr>
                <w:lang w:val="en-US"/>
              </w:rPr>
              <w:t xml:space="preserve">Maximum transmit power </w:t>
            </w:r>
            <w:r>
              <w:rPr>
                <w:vertAlign w:val="superscript"/>
                <w:lang w:val="en-US"/>
              </w:rPr>
              <w:t>1</w:t>
            </w:r>
          </w:p>
        </w:tc>
        <w:tc>
          <w:tcPr>
            <w:tcW w:w="674" w:type="dxa"/>
          </w:tcPr>
          <w:p w:rsidR="0089268C" w:rsidRDefault="00C3610E">
            <w:pPr>
              <w:pStyle w:val="Tabletext"/>
              <w:rPr>
                <w:lang w:val="en-US"/>
              </w:rPr>
            </w:pPr>
            <w:r>
              <w:rPr>
                <w:lang w:val="en-US"/>
              </w:rPr>
              <w:t>dBW</w:t>
            </w:r>
          </w:p>
        </w:tc>
        <w:tc>
          <w:tcPr>
            <w:tcW w:w="6828" w:type="dxa"/>
            <w:shd w:val="clear" w:color="auto" w:fill="auto"/>
            <w:vAlign w:val="center"/>
          </w:tcPr>
          <w:p w:rsidR="0089268C" w:rsidRDefault="00C3610E">
            <w:pPr>
              <w:pStyle w:val="Tabletext"/>
              <w:rPr>
                <w:lang w:val="en-US"/>
              </w:rPr>
            </w:pPr>
            <w:r>
              <w:rPr>
                <w:lang w:val="en-US"/>
              </w:rPr>
              <w:t xml:space="preserve">20 </w:t>
            </w:r>
          </w:p>
        </w:tc>
      </w:tr>
      <w:tr w:rsidR="0089268C">
        <w:trPr>
          <w:jc w:val="center"/>
        </w:trPr>
        <w:tc>
          <w:tcPr>
            <w:tcW w:w="2127" w:type="dxa"/>
            <w:shd w:val="clear" w:color="auto" w:fill="auto"/>
            <w:vAlign w:val="center"/>
          </w:tcPr>
          <w:p w:rsidR="0089268C" w:rsidRDefault="00C3610E">
            <w:pPr>
              <w:pStyle w:val="Tabletext"/>
              <w:rPr>
                <w:lang w:val="en-US"/>
              </w:rPr>
            </w:pPr>
            <w:r>
              <w:rPr>
                <w:lang w:val="en-US"/>
              </w:rPr>
              <w:t>Aircraft antennas location</w:t>
            </w:r>
          </w:p>
        </w:tc>
        <w:tc>
          <w:tcPr>
            <w:tcW w:w="674" w:type="dxa"/>
          </w:tcPr>
          <w:p w:rsidR="0089268C" w:rsidRDefault="0089268C">
            <w:pPr>
              <w:pStyle w:val="Tabletext"/>
              <w:rPr>
                <w:lang w:val="en-US"/>
              </w:rPr>
            </w:pPr>
          </w:p>
        </w:tc>
        <w:tc>
          <w:tcPr>
            <w:tcW w:w="6828" w:type="dxa"/>
            <w:shd w:val="clear" w:color="auto" w:fill="auto"/>
            <w:vAlign w:val="center"/>
          </w:tcPr>
          <w:p w:rsidR="0089268C" w:rsidRDefault="00C3610E">
            <w:pPr>
              <w:pStyle w:val="Tabletext"/>
              <w:rPr>
                <w:lang w:val="en-US"/>
              </w:rPr>
            </w:pPr>
            <w:r>
              <w:rPr>
                <w:lang w:val="en-US"/>
              </w:rPr>
              <w:t>One antenna on the bottom of the aircraft and another antenna on the top of the aircraft</w:t>
            </w:r>
          </w:p>
        </w:tc>
      </w:tr>
      <w:tr w:rsidR="0089268C">
        <w:trPr>
          <w:jc w:val="center"/>
        </w:trPr>
        <w:tc>
          <w:tcPr>
            <w:tcW w:w="2127" w:type="dxa"/>
            <w:shd w:val="clear" w:color="auto" w:fill="auto"/>
            <w:vAlign w:val="center"/>
          </w:tcPr>
          <w:p w:rsidR="0089268C" w:rsidRDefault="00C3610E">
            <w:pPr>
              <w:pStyle w:val="Tabletext"/>
              <w:rPr>
                <w:lang w:val="en-US"/>
              </w:rPr>
            </w:pPr>
            <w:r>
              <w:rPr>
                <w:lang w:val="en-US"/>
              </w:rPr>
              <w:t>Tx antenna gain</w:t>
            </w:r>
          </w:p>
        </w:tc>
        <w:tc>
          <w:tcPr>
            <w:tcW w:w="674" w:type="dxa"/>
          </w:tcPr>
          <w:p w:rsidR="0089268C" w:rsidRDefault="00C3610E">
            <w:pPr>
              <w:pStyle w:val="Tabletext"/>
              <w:rPr>
                <w:lang w:val="en-US"/>
              </w:rPr>
            </w:pPr>
            <w:r>
              <w:rPr>
                <w:lang w:val="en-US"/>
              </w:rPr>
              <w:t>dBi</w:t>
            </w:r>
          </w:p>
        </w:tc>
        <w:tc>
          <w:tcPr>
            <w:tcW w:w="6828" w:type="dxa"/>
            <w:shd w:val="clear" w:color="auto" w:fill="auto"/>
            <w:vAlign w:val="center"/>
          </w:tcPr>
          <w:p w:rsidR="0089268C" w:rsidRDefault="00C3610E">
            <w:pPr>
              <w:pStyle w:val="Tabletext"/>
              <w:rPr>
                <w:lang w:val="en-US"/>
              </w:rPr>
            </w:pPr>
            <w:r>
              <w:rPr>
                <w:lang w:val="en-US"/>
              </w:rPr>
              <w:t>0</w:t>
            </w:r>
          </w:p>
        </w:tc>
      </w:tr>
      <w:tr w:rsidR="0089268C">
        <w:trPr>
          <w:jc w:val="center"/>
        </w:trPr>
        <w:tc>
          <w:tcPr>
            <w:tcW w:w="2127" w:type="dxa"/>
            <w:shd w:val="clear" w:color="auto" w:fill="auto"/>
            <w:vAlign w:val="center"/>
          </w:tcPr>
          <w:p w:rsidR="0089268C" w:rsidRDefault="00C3610E">
            <w:pPr>
              <w:pStyle w:val="Tabletext"/>
              <w:rPr>
                <w:lang w:val="en-US"/>
              </w:rPr>
            </w:pPr>
            <w:r>
              <w:rPr>
                <w:lang w:val="en-US"/>
              </w:rPr>
              <w:t>Cable loss</w:t>
            </w:r>
          </w:p>
        </w:tc>
        <w:tc>
          <w:tcPr>
            <w:tcW w:w="674" w:type="dxa"/>
          </w:tcPr>
          <w:p w:rsidR="0089268C" w:rsidRDefault="00C3610E">
            <w:pPr>
              <w:pStyle w:val="Tabletext"/>
              <w:rPr>
                <w:lang w:val="en-US"/>
              </w:rPr>
            </w:pPr>
            <w:r>
              <w:rPr>
                <w:lang w:val="en-US"/>
              </w:rPr>
              <w:t>dB</w:t>
            </w:r>
          </w:p>
        </w:tc>
        <w:tc>
          <w:tcPr>
            <w:tcW w:w="6828" w:type="dxa"/>
            <w:shd w:val="clear" w:color="auto" w:fill="auto"/>
            <w:vAlign w:val="center"/>
          </w:tcPr>
          <w:p w:rsidR="0089268C" w:rsidRDefault="00C3610E">
            <w:pPr>
              <w:pStyle w:val="Tabletext"/>
              <w:rPr>
                <w:lang w:val="en-US"/>
              </w:rPr>
            </w:pPr>
            <w:r>
              <w:rPr>
                <w:lang w:val="en-US"/>
              </w:rPr>
              <w:t xml:space="preserve">2 </w:t>
            </w:r>
          </w:p>
        </w:tc>
      </w:tr>
      <w:tr w:rsidR="0089268C">
        <w:trPr>
          <w:jc w:val="center"/>
        </w:trPr>
        <w:tc>
          <w:tcPr>
            <w:tcW w:w="2127" w:type="dxa"/>
            <w:shd w:val="clear" w:color="auto" w:fill="auto"/>
            <w:vAlign w:val="center"/>
          </w:tcPr>
          <w:p w:rsidR="0089268C" w:rsidRDefault="00C3610E">
            <w:pPr>
              <w:pStyle w:val="Tabletext"/>
              <w:rPr>
                <w:lang w:val="en-US"/>
              </w:rPr>
            </w:pPr>
            <w:r>
              <w:rPr>
                <w:lang w:val="en-US"/>
              </w:rPr>
              <w:t>Aircraft altitude</w:t>
            </w:r>
          </w:p>
        </w:tc>
        <w:tc>
          <w:tcPr>
            <w:tcW w:w="674" w:type="dxa"/>
          </w:tcPr>
          <w:p w:rsidR="0089268C" w:rsidRDefault="00C3610E">
            <w:pPr>
              <w:pStyle w:val="Tabletext"/>
              <w:rPr>
                <w:lang w:val="en-US"/>
              </w:rPr>
            </w:pPr>
            <w:r>
              <w:rPr>
                <w:lang w:val="en-US"/>
              </w:rPr>
              <w:t>m</w:t>
            </w:r>
          </w:p>
        </w:tc>
        <w:tc>
          <w:tcPr>
            <w:tcW w:w="6828" w:type="dxa"/>
            <w:shd w:val="clear" w:color="auto" w:fill="auto"/>
            <w:vAlign w:val="center"/>
          </w:tcPr>
          <w:p w:rsidR="0089268C" w:rsidRDefault="00C3610E">
            <w:pPr>
              <w:pStyle w:val="Tabletext"/>
              <w:rPr>
                <w:lang w:val="en-US"/>
              </w:rPr>
            </w:pPr>
            <w:r>
              <w:rPr>
                <w:lang w:val="en-US"/>
              </w:rPr>
              <w:t>0 – 15 000</w:t>
            </w:r>
          </w:p>
        </w:tc>
      </w:tr>
      <w:tr w:rsidR="0089268C">
        <w:trPr>
          <w:jc w:val="center"/>
        </w:trPr>
        <w:tc>
          <w:tcPr>
            <w:tcW w:w="2127" w:type="dxa"/>
            <w:shd w:val="clear" w:color="auto" w:fill="auto"/>
            <w:vAlign w:val="center"/>
          </w:tcPr>
          <w:p w:rsidR="0089268C" w:rsidRDefault="00C3610E">
            <w:pPr>
              <w:pStyle w:val="Tabletext"/>
              <w:rPr>
                <w:lang w:val="en-US"/>
              </w:rPr>
            </w:pPr>
            <w:r>
              <w:rPr>
                <w:lang w:val="en-US"/>
              </w:rPr>
              <w:t>Aircraft deployment</w:t>
            </w:r>
          </w:p>
        </w:tc>
        <w:tc>
          <w:tcPr>
            <w:tcW w:w="674" w:type="dxa"/>
          </w:tcPr>
          <w:p w:rsidR="0089268C" w:rsidRDefault="0089268C">
            <w:pPr>
              <w:pStyle w:val="Tabletext"/>
              <w:rPr>
                <w:lang w:val="en-US"/>
              </w:rPr>
            </w:pPr>
          </w:p>
        </w:tc>
        <w:tc>
          <w:tcPr>
            <w:tcW w:w="6828" w:type="dxa"/>
            <w:shd w:val="clear" w:color="auto" w:fill="auto"/>
            <w:vAlign w:val="center"/>
          </w:tcPr>
          <w:p w:rsidR="0089268C" w:rsidRDefault="00C3610E">
            <w:pPr>
              <w:pStyle w:val="Tabletext"/>
              <w:rPr>
                <w:lang w:val="en-US"/>
              </w:rPr>
            </w:pPr>
            <w:r>
              <w:rPr>
                <w:lang w:val="en-US"/>
              </w:rPr>
              <w:t>Typical: 3 Aircraft in flight at the same time but not co-frequency (each aircraft use different channels)</w:t>
            </w:r>
          </w:p>
          <w:p w:rsidR="0089268C" w:rsidRDefault="00C3610E">
            <w:pPr>
              <w:pStyle w:val="Tabletext"/>
              <w:rPr>
                <w:lang w:val="en-US"/>
              </w:rPr>
            </w:pPr>
            <w:r>
              <w:rPr>
                <w:lang w:val="en-US"/>
              </w:rPr>
              <w:t>Maximum: 5 Aircraft in flight at the same time but not co-frequency (each aircraft use different channels)</w:t>
            </w:r>
          </w:p>
        </w:tc>
      </w:tr>
      <w:tr w:rsidR="0089268C">
        <w:trPr>
          <w:jc w:val="center"/>
        </w:trPr>
        <w:tc>
          <w:tcPr>
            <w:tcW w:w="9629" w:type="dxa"/>
            <w:gridSpan w:val="3"/>
            <w:shd w:val="clear" w:color="auto" w:fill="auto"/>
            <w:vAlign w:val="center"/>
          </w:tcPr>
          <w:p w:rsidR="0089268C" w:rsidRDefault="00C3610E" w:rsidP="005C1912">
            <w:pPr>
              <w:pStyle w:val="Tablehead"/>
              <w:jc w:val="left"/>
              <w:rPr>
                <w:lang w:val="en-US"/>
              </w:rPr>
            </w:pPr>
            <w:r>
              <w:rPr>
                <w:lang w:val="en-US"/>
              </w:rPr>
              <w:t>Receiver (on ground)</w:t>
            </w:r>
          </w:p>
        </w:tc>
      </w:tr>
      <w:tr w:rsidR="0089268C">
        <w:trPr>
          <w:jc w:val="center"/>
        </w:trPr>
        <w:tc>
          <w:tcPr>
            <w:tcW w:w="2127" w:type="dxa"/>
            <w:shd w:val="clear" w:color="auto" w:fill="auto"/>
            <w:vAlign w:val="center"/>
          </w:tcPr>
          <w:p w:rsidR="0089268C" w:rsidRDefault="00C3610E">
            <w:pPr>
              <w:pStyle w:val="Tabletext"/>
              <w:rPr>
                <w:lang w:val="en-US"/>
              </w:rPr>
            </w:pPr>
            <w:r>
              <w:rPr>
                <w:lang w:val="en-US"/>
              </w:rPr>
              <w:t>Antenna pattern</w:t>
            </w:r>
          </w:p>
        </w:tc>
        <w:tc>
          <w:tcPr>
            <w:tcW w:w="674" w:type="dxa"/>
          </w:tcPr>
          <w:p w:rsidR="0089268C" w:rsidRDefault="0089268C">
            <w:pPr>
              <w:pStyle w:val="Tabletext"/>
              <w:rPr>
                <w:lang w:val="en-US"/>
              </w:rPr>
            </w:pPr>
          </w:p>
        </w:tc>
        <w:tc>
          <w:tcPr>
            <w:tcW w:w="6828" w:type="dxa"/>
            <w:shd w:val="clear" w:color="auto" w:fill="auto"/>
            <w:vAlign w:val="center"/>
          </w:tcPr>
          <w:p w:rsidR="0089268C" w:rsidRDefault="00C3610E">
            <w:pPr>
              <w:pStyle w:val="Tabletext"/>
              <w:rPr>
                <w:lang w:val="en-US"/>
              </w:rPr>
            </w:pPr>
            <w:r>
              <w:rPr>
                <w:lang w:val="en-US"/>
              </w:rPr>
              <w:t xml:space="preserve">Steering Parabolic antenna </w:t>
            </w:r>
          </w:p>
          <w:p w:rsidR="0089268C" w:rsidRDefault="00C3610E">
            <w:pPr>
              <w:pStyle w:val="Tabletext"/>
              <w:rPr>
                <w:lang w:val="en-US"/>
              </w:rPr>
            </w:pPr>
            <w:r>
              <w:rPr>
                <w:lang w:val="en-US"/>
              </w:rPr>
              <w:t>Recommendation ITU-R S 580-6</w:t>
            </w:r>
          </w:p>
        </w:tc>
      </w:tr>
      <w:tr w:rsidR="0089268C">
        <w:trPr>
          <w:jc w:val="center"/>
        </w:trPr>
        <w:tc>
          <w:tcPr>
            <w:tcW w:w="2127" w:type="dxa"/>
            <w:shd w:val="clear" w:color="auto" w:fill="auto"/>
            <w:vAlign w:val="center"/>
          </w:tcPr>
          <w:p w:rsidR="0089268C" w:rsidRDefault="00C3610E">
            <w:pPr>
              <w:pStyle w:val="Tabletext"/>
              <w:rPr>
                <w:lang w:val="en-US"/>
              </w:rPr>
            </w:pPr>
            <w:r>
              <w:rPr>
                <w:lang w:val="en-US"/>
              </w:rPr>
              <w:t>Receiver antenna gain</w:t>
            </w:r>
          </w:p>
        </w:tc>
        <w:tc>
          <w:tcPr>
            <w:tcW w:w="674" w:type="dxa"/>
          </w:tcPr>
          <w:p w:rsidR="0089268C" w:rsidRDefault="00C3610E">
            <w:pPr>
              <w:pStyle w:val="Tabletext"/>
              <w:rPr>
                <w:lang w:val="en-US"/>
              </w:rPr>
            </w:pPr>
            <w:r>
              <w:rPr>
                <w:lang w:val="en-US"/>
              </w:rPr>
              <w:t>dBi</w:t>
            </w:r>
          </w:p>
        </w:tc>
        <w:tc>
          <w:tcPr>
            <w:tcW w:w="6828" w:type="dxa"/>
            <w:shd w:val="clear" w:color="auto" w:fill="auto"/>
            <w:vAlign w:val="center"/>
          </w:tcPr>
          <w:p w:rsidR="0089268C" w:rsidRDefault="00C3610E">
            <w:pPr>
              <w:pStyle w:val="Tabletext"/>
              <w:rPr>
                <w:lang w:val="en-US"/>
              </w:rPr>
            </w:pPr>
            <w:r>
              <w:rPr>
                <w:lang w:val="en-US"/>
              </w:rPr>
              <w:t>40</w:t>
            </w:r>
          </w:p>
        </w:tc>
      </w:tr>
      <w:tr w:rsidR="0089268C">
        <w:trPr>
          <w:jc w:val="center"/>
        </w:trPr>
        <w:tc>
          <w:tcPr>
            <w:tcW w:w="2127" w:type="dxa"/>
            <w:shd w:val="clear" w:color="auto" w:fill="auto"/>
            <w:vAlign w:val="center"/>
          </w:tcPr>
          <w:p w:rsidR="0089268C" w:rsidRDefault="00C3610E">
            <w:pPr>
              <w:pStyle w:val="Tabletext"/>
              <w:rPr>
                <w:lang w:val="en-US"/>
              </w:rPr>
            </w:pPr>
            <w:r>
              <w:rPr>
                <w:lang w:val="en-US"/>
              </w:rPr>
              <w:t xml:space="preserve">Receiver noise temperature </w:t>
            </w:r>
          </w:p>
        </w:tc>
        <w:tc>
          <w:tcPr>
            <w:tcW w:w="674" w:type="dxa"/>
          </w:tcPr>
          <w:p w:rsidR="0089268C" w:rsidRDefault="00C3610E">
            <w:pPr>
              <w:pStyle w:val="Tabletext"/>
              <w:rPr>
                <w:lang w:val="en-US"/>
              </w:rPr>
            </w:pPr>
            <w:r>
              <w:rPr>
                <w:lang w:val="en-US"/>
              </w:rPr>
              <w:t>K</w:t>
            </w:r>
          </w:p>
        </w:tc>
        <w:tc>
          <w:tcPr>
            <w:tcW w:w="6828" w:type="dxa"/>
            <w:shd w:val="clear" w:color="auto" w:fill="auto"/>
            <w:vAlign w:val="center"/>
          </w:tcPr>
          <w:p w:rsidR="0089268C" w:rsidRDefault="00C3610E">
            <w:pPr>
              <w:pStyle w:val="Tabletext"/>
              <w:rPr>
                <w:lang w:val="en-US"/>
              </w:rPr>
            </w:pPr>
            <w:r>
              <w:rPr>
                <w:lang w:val="en-US"/>
              </w:rPr>
              <w:t>310</w:t>
            </w:r>
          </w:p>
        </w:tc>
      </w:tr>
      <w:tr w:rsidR="0089268C">
        <w:trPr>
          <w:jc w:val="center"/>
        </w:trPr>
        <w:tc>
          <w:tcPr>
            <w:tcW w:w="2127" w:type="dxa"/>
            <w:shd w:val="clear" w:color="auto" w:fill="auto"/>
            <w:vAlign w:val="center"/>
          </w:tcPr>
          <w:p w:rsidR="0089268C" w:rsidRDefault="00C3610E">
            <w:pPr>
              <w:pStyle w:val="Tabletext"/>
              <w:rPr>
                <w:lang w:val="en-US"/>
              </w:rPr>
            </w:pPr>
            <w:r>
              <w:rPr>
                <w:lang w:val="en-US"/>
              </w:rPr>
              <w:t>Receiver altitude from ground level</w:t>
            </w:r>
          </w:p>
        </w:tc>
        <w:tc>
          <w:tcPr>
            <w:tcW w:w="674" w:type="dxa"/>
          </w:tcPr>
          <w:p w:rsidR="0089268C" w:rsidRDefault="00C3610E">
            <w:pPr>
              <w:pStyle w:val="Tabletext"/>
              <w:rPr>
                <w:lang w:val="en-US"/>
              </w:rPr>
            </w:pPr>
            <w:r>
              <w:rPr>
                <w:lang w:val="en-US"/>
              </w:rPr>
              <w:t>m</w:t>
            </w:r>
          </w:p>
        </w:tc>
        <w:tc>
          <w:tcPr>
            <w:tcW w:w="6828" w:type="dxa"/>
            <w:shd w:val="clear" w:color="auto" w:fill="auto"/>
            <w:vAlign w:val="center"/>
          </w:tcPr>
          <w:p w:rsidR="0089268C" w:rsidRDefault="00C3610E">
            <w:pPr>
              <w:pStyle w:val="Tabletext"/>
              <w:rPr>
                <w:lang w:val="en-US"/>
              </w:rPr>
            </w:pPr>
            <w:r>
              <w:rPr>
                <w:lang w:val="en-US"/>
              </w:rPr>
              <w:t>Between 6 and 40</w:t>
            </w:r>
          </w:p>
        </w:tc>
      </w:tr>
      <w:tr w:rsidR="0089268C">
        <w:trPr>
          <w:jc w:val="center"/>
        </w:trPr>
        <w:tc>
          <w:tcPr>
            <w:tcW w:w="2127" w:type="dxa"/>
            <w:shd w:val="clear" w:color="auto" w:fill="auto"/>
            <w:vAlign w:val="center"/>
          </w:tcPr>
          <w:p w:rsidR="0089268C" w:rsidRDefault="00C3610E">
            <w:pPr>
              <w:pStyle w:val="Tabletext"/>
              <w:rPr>
                <w:lang w:val="en-US"/>
              </w:rPr>
            </w:pPr>
            <w:r>
              <w:rPr>
                <w:lang w:val="en-US"/>
              </w:rPr>
              <w:t>Receiver antenna elevation range</w:t>
            </w:r>
          </w:p>
        </w:tc>
        <w:tc>
          <w:tcPr>
            <w:tcW w:w="674" w:type="dxa"/>
          </w:tcPr>
          <w:p w:rsidR="0089268C" w:rsidRDefault="00C3610E">
            <w:pPr>
              <w:pStyle w:val="Tabletext"/>
              <w:rPr>
                <w:lang w:val="en-US"/>
              </w:rPr>
            </w:pPr>
            <w:r>
              <w:rPr>
                <w:lang w:val="en-US"/>
              </w:rPr>
              <w:t>°</w:t>
            </w:r>
          </w:p>
        </w:tc>
        <w:tc>
          <w:tcPr>
            <w:tcW w:w="6828" w:type="dxa"/>
            <w:shd w:val="clear" w:color="auto" w:fill="auto"/>
            <w:vAlign w:val="center"/>
          </w:tcPr>
          <w:p w:rsidR="0089268C" w:rsidRDefault="00C3610E">
            <w:pPr>
              <w:pStyle w:val="Tabletext"/>
              <w:rPr>
                <w:lang w:val="en-US"/>
              </w:rPr>
            </w:pPr>
            <w:r>
              <w:rPr>
                <w:lang w:val="en-US"/>
              </w:rPr>
              <w:t>Between -5 and 90 (99% of time the elevation is between -2° and 5°)</w:t>
            </w:r>
          </w:p>
        </w:tc>
      </w:tr>
      <w:tr w:rsidR="0089268C">
        <w:trPr>
          <w:jc w:val="center"/>
        </w:trPr>
        <w:tc>
          <w:tcPr>
            <w:tcW w:w="2127" w:type="dxa"/>
            <w:shd w:val="clear" w:color="auto" w:fill="auto"/>
            <w:vAlign w:val="center"/>
          </w:tcPr>
          <w:p w:rsidR="0089268C" w:rsidRDefault="00C3610E">
            <w:pPr>
              <w:pStyle w:val="Tabletext"/>
              <w:rPr>
                <w:lang w:val="en-US"/>
              </w:rPr>
            </w:pPr>
            <w:r>
              <w:rPr>
                <w:lang w:val="en-US"/>
              </w:rPr>
              <w:t>Protection criteria I/N</w:t>
            </w:r>
          </w:p>
        </w:tc>
        <w:tc>
          <w:tcPr>
            <w:tcW w:w="674" w:type="dxa"/>
          </w:tcPr>
          <w:p w:rsidR="0089268C" w:rsidRDefault="00C3610E">
            <w:pPr>
              <w:pStyle w:val="Tabletext"/>
              <w:rPr>
                <w:lang w:val="en-US"/>
              </w:rPr>
            </w:pPr>
            <w:r>
              <w:rPr>
                <w:lang w:val="en-US"/>
              </w:rPr>
              <w:t>dB</w:t>
            </w:r>
          </w:p>
        </w:tc>
        <w:tc>
          <w:tcPr>
            <w:tcW w:w="6828" w:type="dxa"/>
            <w:shd w:val="clear" w:color="auto" w:fill="auto"/>
            <w:vAlign w:val="center"/>
          </w:tcPr>
          <w:p w:rsidR="0089268C" w:rsidRDefault="00C3610E">
            <w:pPr>
              <w:pStyle w:val="Tabletext"/>
              <w:rPr>
                <w:lang w:val="en-US"/>
              </w:rPr>
            </w:pPr>
            <w:r>
              <w:rPr>
                <w:lang w:val="en-US"/>
              </w:rPr>
              <w:t>-6</w:t>
            </w:r>
          </w:p>
        </w:tc>
      </w:tr>
      <w:tr w:rsidR="0089268C">
        <w:trPr>
          <w:jc w:val="center"/>
        </w:trPr>
        <w:tc>
          <w:tcPr>
            <w:tcW w:w="9629" w:type="dxa"/>
            <w:gridSpan w:val="3"/>
          </w:tcPr>
          <w:p w:rsidR="0089268C" w:rsidRDefault="00C3610E" w:rsidP="005C1912">
            <w:pPr>
              <w:pStyle w:val="Tablelegend"/>
              <w:rPr>
                <w:vertAlign w:val="superscript"/>
                <w:lang w:val="en-US"/>
              </w:rPr>
            </w:pPr>
            <w:r>
              <w:rPr>
                <w:vertAlign w:val="superscript"/>
                <w:lang w:val="en-US"/>
              </w:rPr>
              <w:t>1</w:t>
            </w:r>
            <w:r>
              <w:rPr>
                <w:lang w:val="en-US"/>
              </w:rPr>
              <w:t xml:space="preserve"> </w:t>
            </w:r>
            <w:r w:rsidR="005C1912">
              <w:rPr>
                <w:lang w:val="en-US"/>
              </w:rPr>
              <w:t xml:space="preserve">The </w:t>
            </w:r>
            <w:r>
              <w:rPr>
                <w:lang w:val="en-US"/>
              </w:rPr>
              <w:t xml:space="preserve">effective power is adjusted to comply with the pfd limits defined in Annex 1 of Resolution </w:t>
            </w:r>
            <w:r w:rsidRPr="005C1912">
              <w:rPr>
                <w:b/>
                <w:bCs/>
                <w:lang w:val="en-US"/>
              </w:rPr>
              <w:t>418 (Rev.WRC-15)</w:t>
            </w:r>
            <w:r>
              <w:rPr>
                <w:lang w:val="en-US"/>
              </w:rPr>
              <w:t>.</w:t>
            </w:r>
          </w:p>
        </w:tc>
      </w:tr>
    </w:tbl>
    <w:p w:rsidR="0089268C" w:rsidRDefault="0089268C" w:rsidP="005C1912">
      <w:pPr>
        <w:pStyle w:val="Tablefin"/>
        <w:rPr>
          <w:lang w:val="en-US"/>
        </w:rPr>
      </w:pPr>
    </w:p>
    <w:p w:rsidR="0089268C" w:rsidRDefault="00C3610E">
      <w:pPr>
        <w:pStyle w:val="Heading1"/>
        <w:keepNext w:val="0"/>
        <w:keepLines w:val="0"/>
        <w:rPr>
          <w:shd w:val="clear" w:color="auto" w:fill="FFFFFF"/>
          <w:lang w:val="en-US"/>
        </w:rPr>
      </w:pPr>
      <w:r>
        <w:rPr>
          <w:shd w:val="clear" w:color="auto" w:fill="FFFFFF"/>
          <w:lang w:val="en-US"/>
        </w:rPr>
        <w:t>5</w:t>
      </w:r>
      <w:r>
        <w:rPr>
          <w:shd w:val="clear" w:color="auto" w:fill="FFFFFF"/>
          <w:lang w:val="en-US"/>
        </w:rPr>
        <w:tab/>
        <w:t>Sharing studies per service</w:t>
      </w:r>
    </w:p>
    <w:p w:rsidR="0089268C" w:rsidRDefault="00C3610E">
      <w:pPr>
        <w:pStyle w:val="Heading2"/>
        <w:keepNext w:val="0"/>
        <w:keepLines w:val="0"/>
        <w:rPr>
          <w:shd w:val="clear" w:color="auto" w:fill="FFFFFF"/>
          <w:lang w:val="en-US"/>
        </w:rPr>
      </w:pPr>
      <w:r>
        <w:rPr>
          <w:shd w:val="clear" w:color="auto" w:fill="FFFFFF"/>
          <w:lang w:val="en-US"/>
        </w:rPr>
        <w:t>5.1</w:t>
      </w:r>
      <w:r>
        <w:rPr>
          <w:shd w:val="clear" w:color="auto" w:fill="FFFFFF"/>
          <w:lang w:val="en-US"/>
        </w:rPr>
        <w:tab/>
        <w:t>Sharing and compatibility of MSS feeder links versus WAS/RLANs in the 5 150</w:t>
      </w:r>
      <w:r>
        <w:rPr>
          <w:shd w:val="clear" w:color="auto" w:fill="FFFFFF"/>
          <w:lang w:val="en-US"/>
        </w:rPr>
        <w:noBreakHyphen/>
        <w:t>5 250 MHz band</w:t>
      </w:r>
    </w:p>
    <w:p w:rsidR="0089268C" w:rsidRPr="001E7D0F" w:rsidRDefault="00C3610E">
      <w:pPr>
        <w:rPr>
          <w:i/>
          <w:iCs/>
          <w:shd w:val="clear" w:color="auto" w:fill="FFFFFF"/>
          <w:lang w:val="en-US"/>
        </w:rPr>
      </w:pPr>
      <w:r w:rsidRPr="001E7D0F">
        <w:rPr>
          <w:i/>
          <w:iCs/>
          <w:shd w:val="clear" w:color="auto" w:fill="FFFFFF"/>
          <w:lang w:val="en-US"/>
        </w:rPr>
        <w:t xml:space="preserve">[Editor’s </w:t>
      </w:r>
      <w:r w:rsidR="00BB16AF" w:rsidRPr="00BB16AF">
        <w:rPr>
          <w:i/>
          <w:iCs/>
          <w:shd w:val="clear" w:color="auto" w:fill="FFFFFF"/>
          <w:lang w:val="en-US"/>
        </w:rPr>
        <w:t>note</w:t>
      </w:r>
      <w:r w:rsidRPr="001E7D0F">
        <w:rPr>
          <w:i/>
          <w:iCs/>
          <w:shd w:val="clear" w:color="auto" w:fill="FFFFFF"/>
          <w:lang w:val="en-US"/>
        </w:rPr>
        <w:t>:</w:t>
      </w:r>
      <w:r w:rsidRPr="001E7D0F">
        <w:rPr>
          <w:i/>
          <w:iCs/>
          <w:color w:val="000000"/>
          <w:shd w:val="clear" w:color="auto" w:fill="FFFF00"/>
        </w:rPr>
        <w:t xml:space="preserve"> </w:t>
      </w:r>
      <w:bookmarkStart w:id="7" w:name="_Hlk483747107"/>
      <w:r w:rsidRPr="001E7D0F">
        <w:rPr>
          <w:i/>
          <w:iCs/>
          <w:color w:val="000000"/>
          <w:shd w:val="clear" w:color="auto" w:fill="FFFF00"/>
        </w:rPr>
        <w:t>Further discussions and potential future input contributions are invited</w:t>
      </w:r>
      <w:bookmarkEnd w:id="7"/>
      <w:r w:rsidRPr="001E7D0F">
        <w:rPr>
          <w:i/>
          <w:iCs/>
          <w:color w:val="000000"/>
          <w:shd w:val="clear" w:color="auto" w:fill="FFFF00"/>
        </w:rPr>
        <w:t xml:space="preserve"> to improve the text below extracted from </w:t>
      </w:r>
      <w:r w:rsidR="0067647E" w:rsidRPr="001E7D0F">
        <w:rPr>
          <w:i/>
          <w:iCs/>
          <w:color w:val="000000"/>
          <w:shd w:val="clear" w:color="auto" w:fill="FFFF00"/>
        </w:rPr>
        <w:t>D</w:t>
      </w:r>
      <w:r w:rsidRPr="001E7D0F">
        <w:rPr>
          <w:i/>
          <w:iCs/>
          <w:color w:val="000000"/>
          <w:shd w:val="clear" w:color="auto" w:fill="FFFF00"/>
        </w:rPr>
        <w:t>ocuments 5A/</w:t>
      </w:r>
      <w:hyperlink r:id="rId20" w:history="1">
        <w:r w:rsidRPr="0067647E">
          <w:rPr>
            <w:rStyle w:val="Hyperlink"/>
            <w:i/>
            <w:iCs/>
            <w:shd w:val="clear" w:color="auto" w:fill="FFFF00"/>
          </w:rPr>
          <w:t>381</w:t>
        </w:r>
      </w:hyperlink>
      <w:r w:rsidRPr="001E7D0F">
        <w:rPr>
          <w:i/>
          <w:iCs/>
          <w:color w:val="000000"/>
          <w:shd w:val="clear" w:color="auto" w:fill="FFFF00"/>
        </w:rPr>
        <w:t xml:space="preserve"> and 5A/</w:t>
      </w:r>
      <w:hyperlink r:id="rId21" w:history="1">
        <w:r w:rsidRPr="0067647E">
          <w:rPr>
            <w:rStyle w:val="Hyperlink"/>
            <w:i/>
            <w:iCs/>
            <w:shd w:val="clear" w:color="auto" w:fill="FFFF00"/>
          </w:rPr>
          <w:t>404</w:t>
        </w:r>
      </w:hyperlink>
      <w:r w:rsidRPr="001E7D0F">
        <w:rPr>
          <w:i/>
          <w:iCs/>
          <w:shd w:val="clear" w:color="auto" w:fill="FFFFFF"/>
          <w:lang w:val="en-US"/>
        </w:rPr>
        <w:t>]</w:t>
      </w:r>
    </w:p>
    <w:p w:rsidR="0089268C" w:rsidRPr="00BB16AF" w:rsidRDefault="00C3610E">
      <w:pPr>
        <w:rPr>
          <w:i/>
          <w:iCs/>
          <w:shd w:val="clear" w:color="auto" w:fill="FFFFFF"/>
          <w:lang w:val="en-US" w:eastAsia="zh-CN"/>
        </w:rPr>
      </w:pPr>
      <w:r w:rsidRPr="00BB16AF">
        <w:rPr>
          <w:b/>
          <w:i/>
          <w:iCs/>
          <w:shd w:val="clear" w:color="auto" w:fill="FFFFFF"/>
          <w:lang w:val="en-US" w:eastAsia="zh-CN"/>
        </w:rPr>
        <w:t>[AUS</w:t>
      </w:r>
      <w:r w:rsidRPr="00BB16AF">
        <w:rPr>
          <w:rFonts w:eastAsia="Calibri"/>
          <w:i/>
          <w:iCs/>
          <w:lang w:val="en-US" w:eastAsia="es-ES"/>
        </w:rPr>
        <w:t xml:space="preserve"> 5A/</w:t>
      </w:r>
      <w:hyperlink r:id="rId22" w:history="1">
        <w:r w:rsidRPr="00BB16AF">
          <w:rPr>
            <w:rStyle w:val="Hyperlink"/>
            <w:rFonts w:eastAsia="Calibri"/>
            <w:i/>
            <w:iCs/>
            <w:lang w:val="en-US" w:eastAsia="es-ES"/>
          </w:rPr>
          <w:t>81</w:t>
        </w:r>
      </w:hyperlink>
      <w:r w:rsidRPr="00BB16AF">
        <w:rPr>
          <w:b/>
          <w:i/>
          <w:iCs/>
          <w:shd w:val="clear" w:color="auto" w:fill="FFFFFF"/>
          <w:lang w:val="en-US" w:eastAsia="zh-CN"/>
        </w:rPr>
        <w:t>]</w:t>
      </w:r>
    </w:p>
    <w:p w:rsidR="0089268C" w:rsidRDefault="00C3610E">
      <w:pPr>
        <w:rPr>
          <w:shd w:val="clear" w:color="auto" w:fill="FFFFFF"/>
          <w:lang w:val="en-US"/>
        </w:rPr>
      </w:pPr>
      <w:r>
        <w:rPr>
          <w:shd w:val="clear" w:color="auto" w:fill="FFFFFF"/>
          <w:lang w:val="en-US"/>
        </w:rPr>
        <w:t xml:space="preserve">The current, worldwide sharing rules, in the lower 5 150-5 250 MHz band, to protect co-band non-GSO MSS E-to-s feeder links, appear in Resolution </w:t>
      </w:r>
      <w:r>
        <w:rPr>
          <w:b/>
          <w:bCs/>
          <w:shd w:val="clear" w:color="auto" w:fill="FFFFFF"/>
          <w:lang w:val="en-US"/>
        </w:rPr>
        <w:t>229 (Rev.WRC-12)</w:t>
      </w:r>
      <w:r>
        <w:rPr>
          <w:shd w:val="clear" w:color="auto" w:fill="FFFFFF"/>
          <w:lang w:val="en-US"/>
        </w:rPr>
        <w:t xml:space="preserve"> which, inter alia, requires individual WAS/RLAN transmitters to </w:t>
      </w:r>
      <w:r>
        <w:rPr>
          <w:b/>
          <w:i/>
          <w:shd w:val="clear" w:color="auto" w:fill="FFFFFF"/>
          <w:lang w:val="en-US"/>
        </w:rPr>
        <w:t>“be restricted to indoor use with a maximum mean e.i.r.p. of 200 mW and a maximum mean e.i.r.p. density of 10 mW/MHz in any 1 MHz band or equivalently 0.25 mW/25 kHz in any 25 kHz band</w:t>
      </w:r>
      <w:r>
        <w:rPr>
          <w:i/>
          <w:shd w:val="clear" w:color="auto" w:fill="FFFFFF"/>
          <w:lang w:val="en-US"/>
        </w:rPr>
        <w:t>”</w:t>
      </w:r>
      <w:r>
        <w:rPr>
          <w:shd w:val="clear" w:color="auto" w:fill="FFFFFF"/>
          <w:lang w:val="en-US"/>
        </w:rPr>
        <w:t xml:space="preserve">. </w:t>
      </w:r>
    </w:p>
    <w:p w:rsidR="0089268C" w:rsidRDefault="00C3610E">
      <w:pPr>
        <w:rPr>
          <w:shd w:val="clear" w:color="auto" w:fill="FFFFFF"/>
          <w:lang w:val="en-US"/>
        </w:rPr>
      </w:pPr>
      <w:r>
        <w:rPr>
          <w:shd w:val="clear" w:color="auto" w:fill="FFFFFF"/>
          <w:lang w:val="en-US"/>
        </w:rPr>
        <w:t xml:space="preserve">Further background on the development of Resolution </w:t>
      </w:r>
      <w:r>
        <w:rPr>
          <w:b/>
          <w:bCs/>
          <w:shd w:val="clear" w:color="auto" w:fill="FFFFFF"/>
          <w:lang w:val="en-US"/>
        </w:rPr>
        <w:t>229 (Rev.WRC-12)</w:t>
      </w:r>
      <w:r>
        <w:rPr>
          <w:shd w:val="clear" w:color="auto" w:fill="FFFFFF"/>
          <w:lang w:val="en-US"/>
        </w:rPr>
        <w:t xml:space="preserve">, together with information on related ITU-R Recommendations, can be found in </w:t>
      </w:r>
      <w:r w:rsidR="008D4FC9">
        <w:rPr>
          <w:shd w:val="clear" w:color="auto" w:fill="FFFFFF"/>
          <w:lang w:val="en-US"/>
        </w:rPr>
        <w:t>D</w:t>
      </w:r>
      <w:r>
        <w:rPr>
          <w:shd w:val="clear" w:color="auto" w:fill="FFFFFF"/>
          <w:lang w:val="en-US"/>
        </w:rPr>
        <w:t xml:space="preserve">ocument 5A/81 from Australia.  Importantly, Resolution </w:t>
      </w:r>
      <w:r>
        <w:rPr>
          <w:b/>
          <w:bCs/>
          <w:shd w:val="clear" w:color="auto" w:fill="FFFFFF"/>
          <w:lang w:val="en-US"/>
        </w:rPr>
        <w:t>229 (Rev.WRC-12)</w:t>
      </w:r>
      <w:r>
        <w:rPr>
          <w:shd w:val="clear" w:color="auto" w:fill="FFFFFF"/>
          <w:lang w:val="en-US"/>
        </w:rPr>
        <w:t xml:space="preserve"> assumes that only 1% of RLAN deployments would </w:t>
      </w:r>
      <w:r>
        <w:rPr>
          <w:shd w:val="clear" w:color="auto" w:fill="FFFFFF"/>
          <w:lang w:val="en-US"/>
        </w:rPr>
        <w:lastRenderedPageBreak/>
        <w:t>operate outdoors and that the aggregate noise from WAS/RLANs into victim non-GSO MSS E-to-s feeder link satellite receivers would likely come from multiple countries.</w:t>
      </w:r>
    </w:p>
    <w:p w:rsidR="0089268C" w:rsidRPr="00BB16AF" w:rsidRDefault="00C3610E">
      <w:pPr>
        <w:rPr>
          <w:b/>
          <w:bCs/>
          <w:i/>
          <w:iCs/>
          <w:shd w:val="clear" w:color="auto" w:fill="FFFFFF"/>
          <w:lang w:val="en-US"/>
        </w:rPr>
      </w:pPr>
      <w:r w:rsidRPr="00BB16AF">
        <w:rPr>
          <w:i/>
          <w:iCs/>
          <w:shd w:val="clear" w:color="auto" w:fill="FFFFFF"/>
          <w:lang w:val="en-US"/>
        </w:rPr>
        <w:t>[</w:t>
      </w:r>
      <w:r w:rsidRPr="00BB16AF">
        <w:rPr>
          <w:b/>
          <w:bCs/>
          <w:i/>
          <w:iCs/>
          <w:shd w:val="clear" w:color="auto" w:fill="FFFFFF"/>
          <w:lang w:val="en-US"/>
        </w:rPr>
        <w:t>USA</w:t>
      </w:r>
      <w:r w:rsidRPr="00BB16AF">
        <w:rPr>
          <w:rFonts w:eastAsia="Calibri"/>
          <w:i/>
          <w:iCs/>
          <w:lang w:val="en-US" w:eastAsia="es-ES"/>
        </w:rPr>
        <w:t xml:space="preserve"> 5A/</w:t>
      </w:r>
      <w:hyperlink r:id="rId23" w:history="1">
        <w:r w:rsidRPr="00BB16AF">
          <w:rPr>
            <w:rStyle w:val="Hyperlink"/>
            <w:rFonts w:eastAsia="Calibri"/>
            <w:i/>
            <w:iCs/>
            <w:lang w:val="en-US" w:eastAsia="es-ES"/>
          </w:rPr>
          <w:t>381</w:t>
        </w:r>
      </w:hyperlink>
      <w:r w:rsidRPr="00BB16AF">
        <w:rPr>
          <w:b/>
          <w:bCs/>
          <w:i/>
          <w:iCs/>
          <w:shd w:val="clear" w:color="auto" w:fill="FFFFFF"/>
          <w:lang w:val="en-US"/>
        </w:rPr>
        <w:t>]</w:t>
      </w:r>
    </w:p>
    <w:p w:rsidR="0089268C" w:rsidRDefault="00C3610E">
      <w:pPr>
        <w:rPr>
          <w:lang w:val="en-US"/>
        </w:rPr>
      </w:pPr>
      <w:r>
        <w:rPr>
          <w:rFonts w:eastAsiaTheme="minorHAnsi"/>
          <w:szCs w:val="22"/>
          <w:lang w:val="en-US"/>
        </w:rPr>
        <w:t xml:space="preserve">The Resolution </w:t>
      </w:r>
      <w:r>
        <w:rPr>
          <w:rFonts w:eastAsiaTheme="minorHAnsi"/>
          <w:b/>
          <w:bCs/>
          <w:szCs w:val="22"/>
          <w:lang w:val="en-US"/>
        </w:rPr>
        <w:t>229 (WRC-12)</w:t>
      </w:r>
      <w:r>
        <w:rPr>
          <w:rFonts w:eastAsiaTheme="minorHAnsi"/>
          <w:szCs w:val="22"/>
          <w:lang w:val="en-US"/>
        </w:rPr>
        <w:t xml:space="preserve"> indoor use restriction on WAS/RLAN transmitters was </w:t>
      </w:r>
      <w:r>
        <w:t xml:space="preserve">based on the assumption that many different MSS companies would share the </w:t>
      </w:r>
      <w:r>
        <w:rPr>
          <w:rFonts w:eastAsiaTheme="minorHAnsi"/>
          <w:szCs w:val="22"/>
          <w:lang w:val="en-US"/>
        </w:rPr>
        <w:t xml:space="preserve">5 150-5 250 MHz </w:t>
      </w:r>
      <w:r>
        <w:t xml:space="preserve">band, whereas today </w:t>
      </w:r>
      <w:r>
        <w:rPr>
          <w:lang w:val="en-US"/>
        </w:rPr>
        <w:t xml:space="preserve">there </w:t>
      </w:r>
      <w:r>
        <w:t>is only one satellite operator that operates feeder link stations in the 5 096-5 250 MHz band.</w:t>
      </w:r>
      <w:r>
        <w:rPr>
          <w:lang w:val="en-US"/>
        </w:rPr>
        <w:t xml:space="preserve">  </w:t>
      </w:r>
    </w:p>
    <w:p w:rsidR="0089268C" w:rsidRPr="00BB16AF" w:rsidRDefault="00C3610E">
      <w:pPr>
        <w:rPr>
          <w:i/>
          <w:iCs/>
          <w:lang w:val="en-US" w:eastAsia="zh-CN"/>
        </w:rPr>
      </w:pPr>
      <w:r w:rsidRPr="00BB16AF">
        <w:rPr>
          <w:i/>
          <w:iCs/>
          <w:lang w:val="en-US" w:eastAsia="zh-CN"/>
        </w:rPr>
        <w:t xml:space="preserve">[Editor’s </w:t>
      </w:r>
      <w:r w:rsidR="00BB16AF" w:rsidRPr="00BB16AF">
        <w:rPr>
          <w:i/>
          <w:iCs/>
          <w:lang w:val="en-US" w:eastAsia="zh-CN"/>
        </w:rPr>
        <w:t>note</w:t>
      </w:r>
      <w:r w:rsidRPr="00BB16AF">
        <w:rPr>
          <w:i/>
          <w:iCs/>
          <w:lang w:val="en-US" w:eastAsia="zh-CN"/>
        </w:rPr>
        <w:t>: Studies supporting the text below have not been received yet.]</w:t>
      </w:r>
    </w:p>
    <w:p w:rsidR="0089268C" w:rsidRDefault="00C3610E">
      <w:pPr>
        <w:rPr>
          <w:lang w:val="en-US"/>
        </w:rPr>
      </w:pPr>
      <w:r>
        <w:rPr>
          <w:lang w:val="en-US"/>
        </w:rPr>
        <w:t xml:space="preserve">[Studies conducted by one administration concluded that </w:t>
      </w:r>
      <w:r>
        <w:t xml:space="preserve">the noise floor increase seen by the satellite will be a function of the aggregated energy from </w:t>
      </w:r>
      <w:r>
        <w:rPr>
          <w:lang w:val="en-US"/>
        </w:rPr>
        <w:t xml:space="preserve">WAS/RLAN </w:t>
      </w:r>
      <w:r>
        <w:t xml:space="preserve">emissions at elevation angles above 30 degrees. </w:t>
      </w:r>
      <w:r>
        <w:rPr>
          <w:lang w:val="en-US"/>
        </w:rPr>
        <w:t>By a</w:t>
      </w:r>
      <w:r>
        <w:t>pplying technological measures to operations above this elevation angle</w:t>
      </w:r>
      <w:r>
        <w:rPr>
          <w:lang w:val="en-US"/>
        </w:rPr>
        <w:t>, the</w:t>
      </w:r>
      <w:r>
        <w:t xml:space="preserve"> energy that will be received by the satellite from each individual access point</w:t>
      </w:r>
      <w:r>
        <w:rPr>
          <w:lang w:val="en-US"/>
        </w:rPr>
        <w:t xml:space="preserve"> </w:t>
      </w:r>
      <w:r>
        <w:t>w</w:t>
      </w:r>
      <w:r>
        <w:rPr>
          <w:lang w:val="en-US"/>
        </w:rPr>
        <w:t>ould be sharply reduced</w:t>
      </w:r>
      <w:r>
        <w:t>, resulting in reduced aggregate noise at the satellite.  As a result, it is far less likely that harmful interference will occur, even with proliferation of access points greater than that originally presumed.</w:t>
      </w:r>
    </w:p>
    <w:p w:rsidR="0089268C" w:rsidRDefault="00C3610E">
      <w:pPr>
        <w:rPr>
          <w:szCs w:val="22"/>
        </w:rPr>
      </w:pPr>
      <w:r>
        <w:rPr>
          <w:lang w:val="en-US"/>
        </w:rPr>
        <w:t>Permitting</w:t>
      </w:r>
      <w:r>
        <w:t xml:space="preserve"> </w:t>
      </w:r>
      <w:r>
        <w:rPr>
          <w:szCs w:val="22"/>
        </w:rPr>
        <w:t xml:space="preserve">fixed access point </w:t>
      </w:r>
      <w:r>
        <w:t xml:space="preserve">outdoor operations at a conducted power level of </w:t>
      </w:r>
      <w:r>
        <w:rPr>
          <w:szCs w:val="22"/>
        </w:rPr>
        <w:t>up to 1 W (30 dBm), and a PSD of 17 dBm/MHz</w:t>
      </w:r>
      <w:r>
        <w:t xml:space="preserve"> with an allowance for a 6 dBi antenna gain </w:t>
      </w:r>
      <w:r>
        <w:rPr>
          <w:szCs w:val="22"/>
        </w:rPr>
        <w:t>(</w:t>
      </w:r>
      <w:r>
        <w:rPr>
          <w:i/>
          <w:szCs w:val="22"/>
        </w:rPr>
        <w:t>i.e.</w:t>
      </w:r>
      <w:r>
        <w:rPr>
          <w:szCs w:val="22"/>
        </w:rPr>
        <w:t xml:space="preserve"> a total 36 dBm e.i.r.p.), and limiting the maximum e.i.r.p. above 30 degrees elevation to 125 mW (21 dBm) e.i.r.p., </w:t>
      </w:r>
      <w:r>
        <w:t xml:space="preserve">provides reasonable protection from harmful interference to </w:t>
      </w:r>
      <w:r>
        <w:rPr>
          <w:lang w:val="en-US"/>
        </w:rPr>
        <w:t>the MSS</w:t>
      </w:r>
      <w:r>
        <w:t xml:space="preserve"> system</w:t>
      </w:r>
      <w:r>
        <w:rPr>
          <w:szCs w:val="22"/>
        </w:rPr>
        <w:t>.</w:t>
      </w:r>
      <w:r>
        <w:t xml:space="preserve"> ]</w:t>
      </w:r>
    </w:p>
    <w:p w:rsidR="0089268C" w:rsidRDefault="00C3610E">
      <w:pPr>
        <w:rPr>
          <w:szCs w:val="22"/>
        </w:rPr>
      </w:pPr>
      <w:r>
        <w:rPr>
          <w:szCs w:val="22"/>
        </w:rPr>
        <w:t xml:space="preserve">Expressing </w:t>
      </w:r>
      <w:r>
        <w:rPr>
          <w:szCs w:val="22"/>
          <w:lang w:val="en-US"/>
        </w:rPr>
        <w:t>this</w:t>
      </w:r>
      <w:r>
        <w:rPr>
          <w:szCs w:val="22"/>
        </w:rPr>
        <w:t xml:space="preserve"> limit in terms of e.i.r.p. </w:t>
      </w:r>
      <w:r>
        <w:rPr>
          <w:szCs w:val="22"/>
          <w:lang w:val="en-US"/>
        </w:rPr>
        <w:t>provides</w:t>
      </w:r>
      <w:r>
        <w:rPr>
          <w:szCs w:val="22"/>
        </w:rPr>
        <w:t xml:space="preserve"> flexibility regarding how to design </w:t>
      </w:r>
      <w:r>
        <w:rPr>
          <w:szCs w:val="22"/>
          <w:lang w:val="en-US"/>
        </w:rPr>
        <w:t xml:space="preserve">WAS/RLAN </w:t>
      </w:r>
      <w:r>
        <w:rPr>
          <w:szCs w:val="22"/>
        </w:rPr>
        <w:t xml:space="preserve">equipment, while still achieving the required levels of protection.  </w:t>
      </w:r>
      <w:r>
        <w:rPr>
          <w:szCs w:val="22"/>
          <w:lang w:val="en-US"/>
        </w:rPr>
        <w:t>WAS/RLAN m</w:t>
      </w:r>
      <w:r>
        <w:rPr>
          <w:szCs w:val="22"/>
        </w:rPr>
        <w:t>anufacturers will be able to demonstrate compliance with the e.i.r.p. limit by reducing antenna gain</w:t>
      </w:r>
      <w:r>
        <w:t xml:space="preserve"> in the </w:t>
      </w:r>
      <w:r>
        <w:rPr>
          <w:szCs w:val="22"/>
        </w:rPr>
        <w:t>upward direction, or by limiting the transmitter power, or a combination of the two, as best suits their particular purpose.</w:t>
      </w:r>
      <w:r>
        <w:rPr>
          <w:szCs w:val="22"/>
          <w:lang w:val="en-US"/>
        </w:rPr>
        <w:t xml:space="preserve"> </w:t>
      </w:r>
      <w:r>
        <w:rPr>
          <w:szCs w:val="22"/>
        </w:rPr>
        <w:t xml:space="preserve"> </w:t>
      </w:r>
      <w:r>
        <w:rPr>
          <w:szCs w:val="22"/>
          <w:lang w:val="en-US"/>
        </w:rPr>
        <w:t xml:space="preserve">Additionally, the national authority implemented a reporting requirement on any </w:t>
      </w:r>
      <w:r>
        <w:rPr>
          <w:szCs w:val="22"/>
        </w:rPr>
        <w:t>widespread deployments of outdoor access points</w:t>
      </w:r>
      <w:r>
        <w:rPr>
          <w:szCs w:val="22"/>
          <w:lang w:val="en-US"/>
        </w:rPr>
        <w:t xml:space="preserve"> and required WAS/RLAN operators </w:t>
      </w:r>
      <w:r>
        <w:rPr>
          <w:szCs w:val="22"/>
        </w:rPr>
        <w:t>to take corrective action</w:t>
      </w:r>
      <w:r>
        <w:rPr>
          <w:szCs w:val="22"/>
          <w:lang w:val="en-US"/>
        </w:rPr>
        <w:t xml:space="preserve"> in the event of any claims of harmful interference, to include</w:t>
      </w:r>
      <w:r>
        <w:rPr>
          <w:szCs w:val="22"/>
        </w:rPr>
        <w:t xml:space="preserve"> reducing power, turning off devices, changing frequency bands, and/or further reducing power in the vertical direction.  To date, none such claims of interference have been made. </w:t>
      </w:r>
      <w:r>
        <w:rPr>
          <w:szCs w:val="22"/>
          <w:lang w:val="en-US"/>
        </w:rPr>
        <w:t>The</w:t>
      </w:r>
      <w:r>
        <w:rPr>
          <w:szCs w:val="22"/>
        </w:rPr>
        <w:t xml:space="preserve"> power limits above 30 degrees described above for individual devices, combined with the filing requirement for deployments of large numbers of devices will provide </w:t>
      </w:r>
      <w:r>
        <w:rPr>
          <w:szCs w:val="22"/>
          <w:lang w:val="en-US"/>
        </w:rPr>
        <w:t xml:space="preserve">a </w:t>
      </w:r>
      <w:r>
        <w:rPr>
          <w:szCs w:val="22"/>
        </w:rPr>
        <w:t xml:space="preserve">sufficient means for avoiding harmful interference and addressing it if it does occur.  It is important to note that while in-band WAS/RLAN emissions were increased, emissions outside that band were maintained at a level of </w:t>
      </w:r>
      <w:r>
        <w:rPr>
          <w:szCs w:val="22"/>
        </w:rPr>
        <w:br/>
        <w:t>-27 dBm/MHz.</w:t>
      </w:r>
    </w:p>
    <w:p w:rsidR="0089268C" w:rsidRPr="00BB16AF" w:rsidRDefault="00C3610E" w:rsidP="00867DC6">
      <w:r w:rsidRPr="00BB16AF">
        <w:rPr>
          <w:rFonts w:eastAsiaTheme="minorHAnsi"/>
          <w:b/>
          <w:i/>
          <w:iCs/>
          <w:szCs w:val="22"/>
        </w:rPr>
        <w:t>[AUS</w:t>
      </w:r>
      <w:r w:rsidRPr="00BB16AF">
        <w:rPr>
          <w:rFonts w:eastAsia="Calibri"/>
          <w:i/>
          <w:iCs/>
          <w:lang w:val="en-US" w:eastAsia="es-ES"/>
        </w:rPr>
        <w:t xml:space="preserve"> 5A/</w:t>
      </w:r>
      <w:hyperlink r:id="rId24" w:history="1">
        <w:r w:rsidRPr="00BB16AF">
          <w:rPr>
            <w:rStyle w:val="Hyperlink"/>
            <w:rFonts w:eastAsia="Calibri"/>
            <w:i/>
            <w:iCs/>
            <w:lang w:val="en-US" w:eastAsia="es-ES"/>
          </w:rPr>
          <w:t>404</w:t>
        </w:r>
      </w:hyperlink>
      <w:r w:rsidRPr="00BB16AF">
        <w:rPr>
          <w:rFonts w:eastAsiaTheme="minorHAnsi"/>
          <w:b/>
          <w:i/>
          <w:iCs/>
          <w:szCs w:val="22"/>
        </w:rPr>
        <w:t>]</w:t>
      </w:r>
    </w:p>
    <w:p w:rsidR="0089268C" w:rsidRDefault="00C3610E" w:rsidP="008D4FC9">
      <w:r>
        <w:t xml:space="preserve">In its </w:t>
      </w:r>
      <w:r w:rsidR="008D4FC9">
        <w:t xml:space="preserve">Document </w:t>
      </w:r>
      <w:r>
        <w:t xml:space="preserve">5A/404 contribution, one administration (as a major operator of LEO-D, non-GSO MSS feeder uplinks in the 5 150-5 250 MHz band) raised concerns with the </w:t>
      </w:r>
      <w:r w:rsidR="008D4FC9">
        <w:t xml:space="preserve">Doc. </w:t>
      </w:r>
      <w:r>
        <w:t>5A/210, as has now been now been reflected in the above text</w:t>
      </w:r>
      <w:proofErr w:type="gramStart"/>
      <w:r>
        <w:t xml:space="preserve">.  </w:t>
      </w:r>
      <w:proofErr w:type="gramEnd"/>
      <w:r>
        <w:t xml:space="preserve">This administration provided the following Tables to compare the domestic rules described in </w:t>
      </w:r>
      <w:r w:rsidR="008D4FC9">
        <w:t>D</w:t>
      </w:r>
      <w:r>
        <w:t xml:space="preserve">ocument 5A/210 for RLANs in this frequency band and the mandatory requirements of Resolution </w:t>
      </w:r>
      <w:r w:rsidRPr="008D4FC9">
        <w:rPr>
          <w:b/>
          <w:bCs/>
        </w:rPr>
        <w:t>229 (Rev.WRC-12).</w:t>
      </w:r>
      <w:r>
        <w:t xml:space="preserve">  </w:t>
      </w:r>
    </w:p>
    <w:p w:rsidR="0089268C" w:rsidRDefault="00C3610E">
      <w:pPr>
        <w:rPr>
          <w:rFonts w:eastAsia="Times New Roman"/>
        </w:rPr>
      </w:pPr>
      <w:r>
        <w:rPr>
          <w:rFonts w:eastAsia="Times New Roman"/>
        </w:rPr>
        <w:t xml:space="preserve">Table 1 provides a comparison of the US and Resolution </w:t>
      </w:r>
      <w:r>
        <w:rPr>
          <w:rFonts w:eastAsia="Times New Roman"/>
          <w:b/>
        </w:rPr>
        <w:t>229 (Rev.WRC-12)</w:t>
      </w:r>
      <w:r>
        <w:rPr>
          <w:rFonts w:eastAsia="Times New Roman"/>
        </w:rPr>
        <w:t xml:space="preserve"> rules for RLAN emission elevation angles less than or equal to </w:t>
      </w:r>
      <w:r>
        <w:rPr>
          <w:rFonts w:eastAsia="Times New Roman"/>
          <w:szCs w:val="24"/>
        </w:rPr>
        <w:t>30</w:t>
      </w:r>
      <w:r>
        <w:rPr>
          <w:rFonts w:eastAsia="Times New Roman"/>
          <w:szCs w:val="24"/>
          <w:vertAlign w:val="superscript"/>
        </w:rPr>
        <w:t>0</w:t>
      </w:r>
      <w:r>
        <w:rPr>
          <w:rFonts w:eastAsia="Times New Roman"/>
        </w:rPr>
        <w:t xml:space="preserve"> and Table 2 for RLAN emission elevation angles greater than 30</w:t>
      </w:r>
      <w:r>
        <w:rPr>
          <w:rFonts w:eastAsia="Times New Roman"/>
          <w:vertAlign w:val="superscript"/>
        </w:rPr>
        <w:t xml:space="preserve">0 </w:t>
      </w:r>
      <w:r>
        <w:rPr>
          <w:rFonts w:eastAsia="Times New Roman"/>
        </w:rPr>
        <w:t>elevation.</w:t>
      </w:r>
    </w:p>
    <w:p w:rsidR="0089268C" w:rsidRDefault="00C3610E">
      <w:pPr>
        <w:keepNext/>
        <w:spacing w:before="560" w:after="120"/>
        <w:jc w:val="center"/>
        <w:rPr>
          <w:rFonts w:eastAsia="Times New Roman"/>
          <w:caps/>
          <w:sz w:val="20"/>
        </w:rPr>
      </w:pPr>
      <w:r>
        <w:rPr>
          <w:rFonts w:eastAsia="Times New Roman"/>
          <w:caps/>
          <w:sz w:val="20"/>
        </w:rPr>
        <w:lastRenderedPageBreak/>
        <w:t xml:space="preserve">TABLE 1 </w:t>
      </w:r>
    </w:p>
    <w:p w:rsidR="0089268C" w:rsidRDefault="00C3610E">
      <w:pPr>
        <w:keepNext/>
        <w:keepLines/>
        <w:spacing w:before="0" w:after="120"/>
        <w:jc w:val="center"/>
        <w:rPr>
          <w:rFonts w:ascii="Times New Roman Bold" w:eastAsia="Times New Roman" w:hAnsi="Times New Roman Bold"/>
          <w:b/>
          <w:sz w:val="20"/>
        </w:rPr>
      </w:pPr>
      <w:r>
        <w:rPr>
          <w:rFonts w:ascii="Times New Roman Bold" w:eastAsia="Times New Roman" w:hAnsi="Times New Roman Bold"/>
          <w:b/>
          <w:sz w:val="20"/>
        </w:rPr>
        <w:t>RLAN emission elevation angles between 0</w:t>
      </w:r>
      <w:r>
        <w:rPr>
          <w:rFonts w:ascii="Times New Roman Bold" w:eastAsia="Times New Roman" w:hAnsi="Times New Roman Bold"/>
          <w:b/>
          <w:sz w:val="20"/>
          <w:vertAlign w:val="superscript"/>
        </w:rPr>
        <w:t>0</w:t>
      </w:r>
      <w:r>
        <w:rPr>
          <w:rFonts w:ascii="Times New Roman Bold" w:eastAsia="Times New Roman" w:hAnsi="Times New Roman Bold"/>
          <w:b/>
          <w:sz w:val="20"/>
        </w:rPr>
        <w:t xml:space="preserve"> and 30</w:t>
      </w:r>
      <w:r>
        <w:rPr>
          <w:rFonts w:ascii="Times New Roman Bold" w:eastAsia="Times New Roman" w:hAnsi="Times New Roman Bold"/>
          <w:b/>
          <w:sz w:val="20"/>
          <w:vertAlign w:val="superscript"/>
        </w:rPr>
        <w:t>0</w:t>
      </w:r>
    </w:p>
    <w:tbl>
      <w:tblPr>
        <w:tblW w:w="9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4"/>
        <w:gridCol w:w="2651"/>
        <w:gridCol w:w="2381"/>
        <w:gridCol w:w="2022"/>
      </w:tblGrid>
      <w:tr w:rsidR="0089268C" w:rsidTr="00BE0084">
        <w:trPr>
          <w:jc w:val="center"/>
        </w:trPr>
        <w:tc>
          <w:tcPr>
            <w:tcW w:w="2144" w:type="dxa"/>
          </w:tcPr>
          <w:p w:rsidR="0089268C" w:rsidRDefault="00C3610E" w:rsidP="00BE0084">
            <w:pPr>
              <w:pStyle w:val="Tabletext"/>
            </w:pPr>
            <w:r>
              <w:t>Parameter</w:t>
            </w:r>
          </w:p>
        </w:tc>
        <w:tc>
          <w:tcPr>
            <w:tcW w:w="2651" w:type="dxa"/>
          </w:tcPr>
          <w:p w:rsidR="0089268C" w:rsidRDefault="00C3610E" w:rsidP="00BE0084">
            <w:pPr>
              <w:pStyle w:val="Tabletext"/>
            </w:pPr>
            <w:r>
              <w:t xml:space="preserve">Resolution </w:t>
            </w:r>
            <w:r>
              <w:rPr>
                <w:b/>
              </w:rPr>
              <w:t xml:space="preserve">229 </w:t>
            </w:r>
            <w:r w:rsidR="00A778A3">
              <w:rPr>
                <w:b/>
              </w:rPr>
              <w:br/>
            </w:r>
            <w:r>
              <w:rPr>
                <w:b/>
              </w:rPr>
              <w:t>(Rev.WRC-12)</w:t>
            </w:r>
            <w:r>
              <w:t xml:space="preserve"> </w:t>
            </w:r>
          </w:p>
        </w:tc>
        <w:tc>
          <w:tcPr>
            <w:tcW w:w="2381" w:type="dxa"/>
          </w:tcPr>
          <w:p w:rsidR="0089268C" w:rsidRDefault="00C3610E" w:rsidP="00BE0084">
            <w:pPr>
              <w:pStyle w:val="Tabletext"/>
            </w:pPr>
            <w:r>
              <w:t>USA</w:t>
            </w:r>
          </w:p>
        </w:tc>
        <w:tc>
          <w:tcPr>
            <w:tcW w:w="2022" w:type="dxa"/>
          </w:tcPr>
          <w:p w:rsidR="0089268C" w:rsidRDefault="00C3610E" w:rsidP="00BE0084">
            <w:pPr>
              <w:pStyle w:val="Tabletext"/>
            </w:pPr>
            <w:r>
              <w:t xml:space="preserve">Difference </w:t>
            </w:r>
          </w:p>
        </w:tc>
      </w:tr>
      <w:tr w:rsidR="0089268C" w:rsidTr="00BE0084">
        <w:trPr>
          <w:jc w:val="center"/>
        </w:trPr>
        <w:tc>
          <w:tcPr>
            <w:tcW w:w="2144" w:type="dxa"/>
          </w:tcPr>
          <w:p w:rsidR="0089268C" w:rsidRDefault="00C3610E" w:rsidP="00BE0084">
            <w:pPr>
              <w:pStyle w:val="Tabletext"/>
            </w:pPr>
            <w:r>
              <w:t>Maximum e.i.r.p.</w:t>
            </w:r>
          </w:p>
        </w:tc>
        <w:tc>
          <w:tcPr>
            <w:tcW w:w="2651" w:type="dxa"/>
          </w:tcPr>
          <w:p w:rsidR="0089268C" w:rsidRDefault="00C3610E" w:rsidP="00BE0084">
            <w:pPr>
              <w:pStyle w:val="Tabletext"/>
            </w:pPr>
            <w:r>
              <w:t>200 mW (23 dBm)</w:t>
            </w:r>
          </w:p>
        </w:tc>
        <w:tc>
          <w:tcPr>
            <w:tcW w:w="2381" w:type="dxa"/>
          </w:tcPr>
          <w:p w:rsidR="0089268C" w:rsidRDefault="00C3610E" w:rsidP="00BE0084">
            <w:pPr>
              <w:pStyle w:val="Tabletext"/>
            </w:pPr>
            <w:r>
              <w:t xml:space="preserve">4 W (36 dBm) </w:t>
            </w:r>
          </w:p>
        </w:tc>
        <w:tc>
          <w:tcPr>
            <w:tcW w:w="2022" w:type="dxa"/>
          </w:tcPr>
          <w:p w:rsidR="0089268C" w:rsidRDefault="00C3610E" w:rsidP="00BE0084">
            <w:pPr>
              <w:pStyle w:val="Tabletext"/>
            </w:pPr>
            <w:r>
              <w:t>13 dB</w:t>
            </w:r>
          </w:p>
        </w:tc>
      </w:tr>
      <w:tr w:rsidR="0089268C" w:rsidTr="00BE0084">
        <w:trPr>
          <w:jc w:val="center"/>
        </w:trPr>
        <w:tc>
          <w:tcPr>
            <w:tcW w:w="2144" w:type="dxa"/>
          </w:tcPr>
          <w:p w:rsidR="0089268C" w:rsidRDefault="00C3610E" w:rsidP="00BE0084">
            <w:pPr>
              <w:pStyle w:val="Tabletext"/>
            </w:pPr>
            <w:r>
              <w:t xml:space="preserve">Location constraint </w:t>
            </w:r>
          </w:p>
        </w:tc>
        <w:tc>
          <w:tcPr>
            <w:tcW w:w="2651" w:type="dxa"/>
          </w:tcPr>
          <w:p w:rsidR="0089268C" w:rsidRDefault="00C3610E" w:rsidP="00BE0084">
            <w:pPr>
              <w:pStyle w:val="Tabletext"/>
            </w:pPr>
            <w:r>
              <w:t>Yes, indoor only</w:t>
            </w:r>
          </w:p>
        </w:tc>
        <w:tc>
          <w:tcPr>
            <w:tcW w:w="2381" w:type="dxa"/>
          </w:tcPr>
          <w:p w:rsidR="0089268C" w:rsidRDefault="00C3610E" w:rsidP="00BE0084">
            <w:pPr>
              <w:pStyle w:val="Tabletext"/>
            </w:pPr>
            <w:r>
              <w:t>No, outdoor permitted</w:t>
            </w:r>
          </w:p>
        </w:tc>
        <w:tc>
          <w:tcPr>
            <w:tcW w:w="2022" w:type="dxa"/>
          </w:tcPr>
          <w:p w:rsidR="0089268C" w:rsidRDefault="0089268C" w:rsidP="00BE0084">
            <w:pPr>
              <w:pStyle w:val="Tabletext"/>
            </w:pPr>
          </w:p>
        </w:tc>
      </w:tr>
      <w:tr w:rsidR="0089268C" w:rsidTr="00BE0084">
        <w:trPr>
          <w:jc w:val="center"/>
        </w:trPr>
        <w:tc>
          <w:tcPr>
            <w:tcW w:w="2144" w:type="dxa"/>
          </w:tcPr>
          <w:p w:rsidR="0089268C" w:rsidRDefault="00C3610E" w:rsidP="00BE0084">
            <w:pPr>
              <w:pStyle w:val="Tabletext"/>
            </w:pPr>
            <w:r>
              <w:t>Resultant max. outdoor e.i.r.p.</w:t>
            </w:r>
          </w:p>
        </w:tc>
        <w:tc>
          <w:tcPr>
            <w:tcW w:w="2651" w:type="dxa"/>
          </w:tcPr>
          <w:p w:rsidR="0089268C" w:rsidRDefault="00C3610E" w:rsidP="00BE0084">
            <w:pPr>
              <w:pStyle w:val="Tabletext"/>
            </w:pPr>
            <w:r>
              <w:t>6 dBm*</w:t>
            </w:r>
          </w:p>
        </w:tc>
        <w:tc>
          <w:tcPr>
            <w:tcW w:w="2381" w:type="dxa"/>
          </w:tcPr>
          <w:p w:rsidR="0089268C" w:rsidRDefault="00C3610E" w:rsidP="00BE0084">
            <w:pPr>
              <w:pStyle w:val="Tabletext"/>
            </w:pPr>
            <w:r>
              <w:t>36 dBm</w:t>
            </w:r>
          </w:p>
        </w:tc>
        <w:tc>
          <w:tcPr>
            <w:tcW w:w="2022" w:type="dxa"/>
          </w:tcPr>
          <w:p w:rsidR="0089268C" w:rsidRDefault="00C3610E" w:rsidP="00BE0084">
            <w:pPr>
              <w:pStyle w:val="Tabletext"/>
            </w:pPr>
            <w:r>
              <w:t>30 dB*</w:t>
            </w:r>
          </w:p>
        </w:tc>
      </w:tr>
    </w:tbl>
    <w:p w:rsidR="0089268C" w:rsidRDefault="00C3610E" w:rsidP="00BB16AF">
      <w:pPr>
        <w:pStyle w:val="Tablelegend"/>
      </w:pPr>
      <w:r>
        <w:t>* Assumes building loss of 17 dB</w:t>
      </w:r>
    </w:p>
    <w:p w:rsidR="0089268C" w:rsidRDefault="00C3610E">
      <w:pPr>
        <w:keepNext/>
        <w:spacing w:before="560" w:after="120"/>
        <w:jc w:val="center"/>
        <w:rPr>
          <w:rFonts w:eastAsia="Times New Roman"/>
          <w:caps/>
          <w:sz w:val="20"/>
        </w:rPr>
      </w:pPr>
      <w:r>
        <w:rPr>
          <w:rFonts w:eastAsia="Times New Roman"/>
          <w:caps/>
          <w:sz w:val="20"/>
        </w:rPr>
        <w:t>TABLE 2</w:t>
      </w:r>
    </w:p>
    <w:p w:rsidR="0089268C" w:rsidRDefault="00C3610E">
      <w:pPr>
        <w:keepNext/>
        <w:keepLines/>
        <w:spacing w:before="0" w:after="120"/>
        <w:jc w:val="center"/>
        <w:rPr>
          <w:rFonts w:ascii="Times New Roman Bold" w:eastAsia="Times New Roman" w:hAnsi="Times New Roman Bold"/>
          <w:b/>
          <w:sz w:val="20"/>
        </w:rPr>
      </w:pPr>
      <w:r>
        <w:rPr>
          <w:rFonts w:ascii="Times New Roman Bold" w:eastAsia="Times New Roman" w:hAnsi="Times New Roman Bold"/>
          <w:b/>
          <w:sz w:val="20"/>
        </w:rPr>
        <w:t>RLAN emission elevation angles &gt;30</w:t>
      </w:r>
      <w:r>
        <w:rPr>
          <w:rFonts w:ascii="Times New Roman Bold" w:eastAsia="Times New Roman" w:hAnsi="Times New Roman Bold"/>
          <w:b/>
          <w:sz w:val="20"/>
          <w:vertAlign w:val="superscript"/>
        </w:rPr>
        <w:t>0</w:t>
      </w:r>
    </w:p>
    <w:tbl>
      <w:tblPr>
        <w:tblW w:w="9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2665"/>
        <w:gridCol w:w="2381"/>
        <w:gridCol w:w="1984"/>
      </w:tblGrid>
      <w:tr w:rsidR="0089268C" w:rsidTr="00BE0084">
        <w:trPr>
          <w:jc w:val="center"/>
        </w:trPr>
        <w:tc>
          <w:tcPr>
            <w:tcW w:w="2154" w:type="dxa"/>
          </w:tcPr>
          <w:p w:rsidR="0089268C" w:rsidRDefault="00C3610E" w:rsidP="00BE0084">
            <w:pPr>
              <w:pStyle w:val="Tabletext"/>
            </w:pPr>
            <w:r>
              <w:t>Parameter</w:t>
            </w:r>
          </w:p>
        </w:tc>
        <w:tc>
          <w:tcPr>
            <w:tcW w:w="2665" w:type="dxa"/>
          </w:tcPr>
          <w:p w:rsidR="0089268C" w:rsidRDefault="00C3610E" w:rsidP="00BE0084">
            <w:pPr>
              <w:pStyle w:val="Tabletext"/>
            </w:pPr>
            <w:r>
              <w:t xml:space="preserve">Resolution </w:t>
            </w:r>
            <w:r>
              <w:rPr>
                <w:b/>
              </w:rPr>
              <w:t>229</w:t>
            </w:r>
            <w:r>
              <w:rPr>
                <w:b/>
              </w:rPr>
              <w:br/>
              <w:t xml:space="preserve"> (Rev.WRC-12)</w:t>
            </w:r>
            <w:r>
              <w:t xml:space="preserve"> </w:t>
            </w:r>
          </w:p>
        </w:tc>
        <w:tc>
          <w:tcPr>
            <w:tcW w:w="2381" w:type="dxa"/>
          </w:tcPr>
          <w:p w:rsidR="0089268C" w:rsidRDefault="00C3610E" w:rsidP="00BE0084">
            <w:pPr>
              <w:pStyle w:val="Tabletext"/>
            </w:pPr>
            <w:r>
              <w:t>USA</w:t>
            </w:r>
          </w:p>
        </w:tc>
        <w:tc>
          <w:tcPr>
            <w:tcW w:w="1984" w:type="dxa"/>
          </w:tcPr>
          <w:p w:rsidR="0089268C" w:rsidRDefault="00C3610E" w:rsidP="00BE0084">
            <w:pPr>
              <w:pStyle w:val="Tabletext"/>
            </w:pPr>
            <w:r>
              <w:t>Difference</w:t>
            </w:r>
          </w:p>
        </w:tc>
      </w:tr>
      <w:tr w:rsidR="0089268C" w:rsidTr="00BE0084">
        <w:trPr>
          <w:jc w:val="center"/>
        </w:trPr>
        <w:tc>
          <w:tcPr>
            <w:tcW w:w="2154" w:type="dxa"/>
          </w:tcPr>
          <w:p w:rsidR="0089268C" w:rsidRDefault="00C3610E" w:rsidP="00BE0084">
            <w:pPr>
              <w:pStyle w:val="Tabletext"/>
            </w:pPr>
            <w:r>
              <w:t>Maximum e.i.r.p.</w:t>
            </w:r>
          </w:p>
        </w:tc>
        <w:tc>
          <w:tcPr>
            <w:tcW w:w="2665" w:type="dxa"/>
          </w:tcPr>
          <w:p w:rsidR="0089268C" w:rsidRDefault="00C3610E" w:rsidP="00BE0084">
            <w:pPr>
              <w:pStyle w:val="Tabletext"/>
            </w:pPr>
            <w:r>
              <w:t>200 mW (23 dBm)</w:t>
            </w:r>
          </w:p>
        </w:tc>
        <w:tc>
          <w:tcPr>
            <w:tcW w:w="2381" w:type="dxa"/>
          </w:tcPr>
          <w:p w:rsidR="0089268C" w:rsidRDefault="00C3610E" w:rsidP="00BE0084">
            <w:pPr>
              <w:pStyle w:val="Tabletext"/>
            </w:pPr>
            <w:r>
              <w:t>125 mW (21 dBm)</w:t>
            </w:r>
          </w:p>
        </w:tc>
        <w:tc>
          <w:tcPr>
            <w:tcW w:w="1984" w:type="dxa"/>
          </w:tcPr>
          <w:p w:rsidR="0089268C" w:rsidRDefault="00C3610E" w:rsidP="00BE0084">
            <w:pPr>
              <w:pStyle w:val="Tabletext"/>
            </w:pPr>
            <w:r>
              <w:t>-2 dB</w:t>
            </w:r>
          </w:p>
        </w:tc>
      </w:tr>
      <w:tr w:rsidR="0089268C" w:rsidTr="00BE0084">
        <w:trPr>
          <w:jc w:val="center"/>
        </w:trPr>
        <w:tc>
          <w:tcPr>
            <w:tcW w:w="2154" w:type="dxa"/>
          </w:tcPr>
          <w:p w:rsidR="0089268C" w:rsidRDefault="00C3610E" w:rsidP="00BE0084">
            <w:pPr>
              <w:pStyle w:val="Tabletext"/>
            </w:pPr>
            <w:r>
              <w:t xml:space="preserve">Location constraint </w:t>
            </w:r>
          </w:p>
        </w:tc>
        <w:tc>
          <w:tcPr>
            <w:tcW w:w="2665" w:type="dxa"/>
          </w:tcPr>
          <w:p w:rsidR="0089268C" w:rsidRDefault="00C3610E" w:rsidP="00BE0084">
            <w:pPr>
              <w:pStyle w:val="Tabletext"/>
            </w:pPr>
            <w:r>
              <w:t>Yes, indoor only</w:t>
            </w:r>
          </w:p>
        </w:tc>
        <w:tc>
          <w:tcPr>
            <w:tcW w:w="2381" w:type="dxa"/>
          </w:tcPr>
          <w:p w:rsidR="0089268C" w:rsidRDefault="00C3610E" w:rsidP="00BE0084">
            <w:pPr>
              <w:pStyle w:val="Tabletext"/>
            </w:pPr>
            <w:r>
              <w:t>No, outdoor permitted</w:t>
            </w:r>
          </w:p>
        </w:tc>
        <w:tc>
          <w:tcPr>
            <w:tcW w:w="1984" w:type="dxa"/>
          </w:tcPr>
          <w:p w:rsidR="0089268C" w:rsidRDefault="0089268C" w:rsidP="00BE0084">
            <w:pPr>
              <w:pStyle w:val="Tabletext"/>
            </w:pPr>
          </w:p>
        </w:tc>
      </w:tr>
      <w:tr w:rsidR="0089268C" w:rsidTr="00BE0084">
        <w:trPr>
          <w:jc w:val="center"/>
        </w:trPr>
        <w:tc>
          <w:tcPr>
            <w:tcW w:w="2154" w:type="dxa"/>
          </w:tcPr>
          <w:p w:rsidR="0089268C" w:rsidRDefault="00C3610E" w:rsidP="00BE0084">
            <w:pPr>
              <w:pStyle w:val="Tabletext"/>
            </w:pPr>
            <w:r>
              <w:t>Resultant max. outdoor e.i.r.p.</w:t>
            </w:r>
          </w:p>
        </w:tc>
        <w:tc>
          <w:tcPr>
            <w:tcW w:w="2665" w:type="dxa"/>
          </w:tcPr>
          <w:p w:rsidR="0089268C" w:rsidRDefault="00C3610E" w:rsidP="00BE0084">
            <w:pPr>
              <w:pStyle w:val="Tabletext"/>
            </w:pPr>
            <w:r>
              <w:t>6 dBm*</w:t>
            </w:r>
          </w:p>
        </w:tc>
        <w:tc>
          <w:tcPr>
            <w:tcW w:w="2381" w:type="dxa"/>
          </w:tcPr>
          <w:p w:rsidR="0089268C" w:rsidRDefault="00C3610E" w:rsidP="00BE0084">
            <w:pPr>
              <w:pStyle w:val="Tabletext"/>
            </w:pPr>
            <w:r>
              <w:t>21 dBm</w:t>
            </w:r>
          </w:p>
        </w:tc>
        <w:tc>
          <w:tcPr>
            <w:tcW w:w="1984" w:type="dxa"/>
          </w:tcPr>
          <w:p w:rsidR="0089268C" w:rsidRDefault="00C3610E" w:rsidP="00BE0084">
            <w:pPr>
              <w:pStyle w:val="Tabletext"/>
            </w:pPr>
            <w:r>
              <w:t>+15 dB*</w:t>
            </w:r>
          </w:p>
        </w:tc>
      </w:tr>
    </w:tbl>
    <w:p w:rsidR="0089268C" w:rsidRDefault="00C3610E" w:rsidP="00BB16AF">
      <w:pPr>
        <w:pStyle w:val="Tablelegend"/>
      </w:pPr>
      <w:r>
        <w:t>* Assumes building loss of 17 dB</w:t>
      </w:r>
    </w:p>
    <w:p w:rsidR="00BB16AF" w:rsidRDefault="00BB16AF" w:rsidP="00BB16AF">
      <w:pPr>
        <w:pStyle w:val="Tablefin"/>
      </w:pPr>
    </w:p>
    <w:p w:rsidR="0089268C" w:rsidRPr="00BB16AF" w:rsidRDefault="00C3610E">
      <w:pPr>
        <w:rPr>
          <w:i/>
          <w:iCs/>
          <w:lang w:eastAsia="zh-CN"/>
        </w:rPr>
      </w:pPr>
      <w:r w:rsidRPr="00BB16AF">
        <w:rPr>
          <w:i/>
          <w:iCs/>
          <w:lang w:eastAsia="zh-CN"/>
        </w:rPr>
        <w:t xml:space="preserve">[Editor’s </w:t>
      </w:r>
      <w:r w:rsidR="00BB16AF" w:rsidRPr="00BB16AF">
        <w:rPr>
          <w:i/>
          <w:iCs/>
          <w:lang w:eastAsia="zh-CN"/>
        </w:rPr>
        <w:t>note</w:t>
      </w:r>
      <w:r w:rsidRPr="00BB16AF">
        <w:rPr>
          <w:i/>
          <w:iCs/>
          <w:lang w:eastAsia="zh-CN"/>
        </w:rPr>
        <w:t>: These are views from administrations rather than technical material.]</w:t>
      </w:r>
    </w:p>
    <w:p w:rsidR="0089268C" w:rsidRDefault="00C3610E">
      <w:r>
        <w:t xml:space="preserve">One administration noted that the domestic rules described in </w:t>
      </w:r>
      <w:r w:rsidR="008D4FC9">
        <w:t>D</w:t>
      </w:r>
      <w:r>
        <w:t xml:space="preserve">ocument </w:t>
      </w:r>
      <w:r>
        <w:rPr>
          <w:rFonts w:eastAsiaTheme="minorHAnsi"/>
          <w:szCs w:val="22"/>
        </w:rPr>
        <w:t>5A/</w:t>
      </w:r>
      <w:hyperlink r:id="rId25" w:history="1">
        <w:r w:rsidRPr="008D4FC9">
          <w:rPr>
            <w:rStyle w:val="Hyperlink"/>
            <w:rFonts w:eastAsiaTheme="minorHAnsi"/>
            <w:szCs w:val="22"/>
          </w:rPr>
          <w:t>210</w:t>
        </w:r>
      </w:hyperlink>
      <w:r>
        <w:rPr>
          <w:rFonts w:eastAsiaTheme="minorHAnsi"/>
          <w:szCs w:val="22"/>
        </w:rPr>
        <w:t xml:space="preserve"> </w:t>
      </w:r>
      <w:r>
        <w:t xml:space="preserve">that apply to RLANs in the 5 150-5 250 MHz frequency band potentially result in up to 30 dB (i.e. 1,000 times) more radiated power for RLAN emission elevation angles </w:t>
      </w:r>
      <w:r>
        <w:rPr>
          <w:rFonts w:hint="eastAsia"/>
        </w:rPr>
        <w:t>≤</w:t>
      </w:r>
      <w:r>
        <w:rPr>
          <w:rFonts w:hint="eastAsia"/>
        </w:rPr>
        <w:t>30</w:t>
      </w:r>
      <w:r>
        <w:rPr>
          <w:vertAlign w:val="superscript"/>
        </w:rPr>
        <w:t xml:space="preserve">0 </w:t>
      </w:r>
      <w:r>
        <w:t>and up to 15 dB more radiated power for elevation angles &gt;30</w:t>
      </w:r>
      <w:r>
        <w:rPr>
          <w:vertAlign w:val="superscript"/>
        </w:rPr>
        <w:t xml:space="preserve">0 </w:t>
      </w:r>
      <w:r>
        <w:t xml:space="preserve">when compared with that prescribed in Resolution </w:t>
      </w:r>
      <w:r>
        <w:rPr>
          <w:b/>
        </w:rPr>
        <w:t>229 (Rev.WRC-12)</w:t>
      </w:r>
      <w:r>
        <w:t xml:space="preserve">. </w:t>
      </w:r>
    </w:p>
    <w:p w:rsidR="0089268C" w:rsidRDefault="00C3610E">
      <w:r>
        <w:t xml:space="preserve">[One administration also noted that the </w:t>
      </w:r>
      <w:r w:rsidR="0067647E">
        <w:t>D</w:t>
      </w:r>
      <w:r>
        <w:t xml:space="preserve">ocument </w:t>
      </w:r>
      <w:r>
        <w:rPr>
          <w:rFonts w:eastAsiaTheme="minorHAnsi"/>
          <w:szCs w:val="22"/>
        </w:rPr>
        <w:t>5A/</w:t>
      </w:r>
      <w:hyperlink r:id="rId26" w:history="1">
        <w:r w:rsidRPr="0067647E">
          <w:rPr>
            <w:rStyle w:val="Hyperlink"/>
            <w:rFonts w:eastAsiaTheme="minorHAnsi"/>
            <w:szCs w:val="22"/>
          </w:rPr>
          <w:t>210</w:t>
        </w:r>
      </w:hyperlink>
      <w:r>
        <w:rPr>
          <w:rFonts w:eastAsiaTheme="minorHAnsi"/>
          <w:szCs w:val="22"/>
        </w:rPr>
        <w:t xml:space="preserve"> </w:t>
      </w:r>
      <w:r>
        <w:t>had not provided any technical, operational, sharing or compatibility studies to support the e.i.r.p. increase or for removing the indoor only requirement. Further, the choice of a 30</w:t>
      </w:r>
      <w:r>
        <w:rPr>
          <w:vertAlign w:val="superscript"/>
        </w:rPr>
        <w:t>0</w:t>
      </w:r>
      <w:r>
        <w:t xml:space="preserve"> elevation angle breakpoint for maximum e.i.r.p. was not supported by reference to any studies and was inconsistent with the operation of the Australian LEO-D feeder uplinks which carry commercial traffic from 10</w:t>
      </w:r>
      <w:r>
        <w:rPr>
          <w:vertAlign w:val="superscript"/>
        </w:rPr>
        <w:t xml:space="preserve">0 </w:t>
      </w:r>
      <w:r>
        <w:t>to the opposite 10</w:t>
      </w:r>
      <w:r>
        <w:rPr>
          <w:vertAlign w:val="superscript"/>
        </w:rPr>
        <w:t xml:space="preserve">0 </w:t>
      </w:r>
      <w:r>
        <w:t>in elevation.</w:t>
      </w:r>
    </w:p>
    <w:p w:rsidR="0089268C" w:rsidRDefault="00C3610E" w:rsidP="0067647E">
      <w:pPr>
        <w:rPr>
          <w:rFonts w:eastAsia="Calibri"/>
          <w:szCs w:val="24"/>
        </w:rPr>
      </w:pPr>
      <w:r>
        <w:t xml:space="preserve">This administration </w:t>
      </w:r>
      <w:r>
        <w:rPr>
          <w:rFonts w:eastAsia="Calibri"/>
          <w:szCs w:val="24"/>
        </w:rPr>
        <w:t xml:space="preserve">asked the contributor of </w:t>
      </w:r>
      <w:r w:rsidR="008D4FC9">
        <w:t>D</w:t>
      </w:r>
      <w:r>
        <w:t xml:space="preserve">ocument </w:t>
      </w:r>
      <w:r>
        <w:rPr>
          <w:rFonts w:eastAsiaTheme="minorHAnsi"/>
          <w:szCs w:val="22"/>
        </w:rPr>
        <w:t xml:space="preserve">5A/210 </w:t>
      </w:r>
      <w:r>
        <w:rPr>
          <w:rFonts w:eastAsia="Calibri"/>
          <w:szCs w:val="24"/>
        </w:rPr>
        <w:t>to advise WP 5A how the 30</w:t>
      </w:r>
      <w:r>
        <w:rPr>
          <w:rFonts w:eastAsia="Calibri"/>
          <w:szCs w:val="24"/>
          <w:vertAlign w:val="superscript"/>
        </w:rPr>
        <w:t>0</w:t>
      </w:r>
      <w:r>
        <w:rPr>
          <w:rFonts w:eastAsia="Calibri"/>
          <w:szCs w:val="24"/>
        </w:rPr>
        <w:t xml:space="preserve"> elevation angle was chosen and to provide an analysis of the aggregate noise that would be received by LEO-D as a result of RLANs operating outdoors at the 21 dBm e.i.r.p. level (and also at the 36</w:t>
      </w:r>
      <w:r w:rsidR="0067647E">
        <w:rPr>
          <w:rFonts w:eastAsia="Calibri"/>
          <w:szCs w:val="24"/>
        </w:rPr>
        <w:t> </w:t>
      </w:r>
      <w:r>
        <w:rPr>
          <w:rFonts w:eastAsia="Calibri"/>
          <w:szCs w:val="24"/>
        </w:rPr>
        <w:t>dBm e.i.r.p. level). ]</w:t>
      </w:r>
    </w:p>
    <w:p w:rsidR="0089268C" w:rsidRDefault="00C3610E">
      <w:pPr>
        <w:pStyle w:val="Heading3"/>
        <w:rPr>
          <w:lang w:val="en-US"/>
        </w:rPr>
      </w:pPr>
      <w:r>
        <w:rPr>
          <w:lang w:val="en-US"/>
        </w:rPr>
        <w:t>5.1.1</w:t>
      </w:r>
      <w:r>
        <w:rPr>
          <w:lang w:val="en-US"/>
        </w:rPr>
        <w:tab/>
      </w:r>
      <w:r w:rsidR="00BB16AF">
        <w:rPr>
          <w:lang w:val="en-US"/>
        </w:rPr>
        <w:t xml:space="preserve">Study </w:t>
      </w:r>
      <w:r>
        <w:rPr>
          <w:lang w:val="en-US"/>
        </w:rPr>
        <w:t>1 (USA 5A/</w:t>
      </w:r>
      <w:hyperlink r:id="rId27" w:history="1">
        <w:r w:rsidRPr="0067647E">
          <w:rPr>
            <w:rStyle w:val="Hyperlink"/>
            <w:lang w:val="en-US"/>
          </w:rPr>
          <w:t>534)</w:t>
        </w:r>
      </w:hyperlink>
    </w:p>
    <w:p w:rsidR="0089268C" w:rsidRPr="001E7D0F" w:rsidRDefault="00C3610E" w:rsidP="00E5537E">
      <w:pPr>
        <w:pStyle w:val="Heading4"/>
      </w:pPr>
      <w:bookmarkStart w:id="8" w:name="_Toc496516367"/>
      <w:r w:rsidRPr="001E7D0F">
        <w:t>5.1.1.</w:t>
      </w:r>
      <w:r w:rsidR="00E5537E">
        <w:t>2</w:t>
      </w:r>
      <w:r w:rsidRPr="001E7D0F">
        <w:tab/>
        <w:t>Sharing Cases</w:t>
      </w:r>
      <w:bookmarkEnd w:id="8"/>
    </w:p>
    <w:p w:rsidR="0089268C" w:rsidRDefault="00C3610E">
      <w:pPr>
        <w:rPr>
          <w:szCs w:val="24"/>
          <w:lang w:val="en-US" w:eastAsia="zh-CN"/>
        </w:rPr>
      </w:pPr>
      <w:r>
        <w:rPr>
          <w:szCs w:val="24"/>
          <w:lang w:val="en-US" w:eastAsia="zh-CN"/>
        </w:rPr>
        <w:t>[Editor’s Note: Beamforming was not used in this simulation, but future studies may be available to take account of such technologies.]</w:t>
      </w:r>
    </w:p>
    <w:p w:rsidR="0089268C" w:rsidRDefault="00C3610E">
      <w:pPr>
        <w:rPr>
          <w:rFonts w:eastAsia="Calibri"/>
          <w:szCs w:val="24"/>
          <w:lang w:val="en-US"/>
        </w:rPr>
      </w:pPr>
      <w:r>
        <w:rPr>
          <w:szCs w:val="24"/>
          <w:lang w:val="en-US"/>
        </w:rPr>
        <w:t xml:space="preserve">Actual real-world system interactions and impacts are often not available when considering new allocations or where conditions of use are concerned. Often, only simplified, assumption-driven analyses outlining worst case interference risks are provided. A better technical understanding of </w:t>
      </w:r>
      <w:r>
        <w:rPr>
          <w:szCs w:val="24"/>
          <w:lang w:val="en-US"/>
        </w:rPr>
        <w:lastRenderedPageBreak/>
        <w:t xml:space="preserve">risks is crucial when attempting to expand access for new uses. </w:t>
      </w:r>
      <w:r>
        <w:rPr>
          <w:rFonts w:eastAsia="Calibri"/>
          <w:szCs w:val="24"/>
          <w:lang w:val="en-US"/>
        </w:rPr>
        <w:t xml:space="preserve">Consistent with Res. </w:t>
      </w:r>
      <w:r>
        <w:rPr>
          <w:rFonts w:eastAsia="Calibri"/>
          <w:b/>
          <w:szCs w:val="24"/>
          <w:lang w:val="en-US"/>
        </w:rPr>
        <w:t>239</w:t>
      </w:r>
      <w:r>
        <w:rPr>
          <w:rFonts w:eastAsia="Calibri"/>
          <w:szCs w:val="24"/>
          <w:lang w:val="en-US"/>
        </w:rPr>
        <w:t>, we must also consider further new developments in RLAN technologies, such as beam forming that will allow for lower transmit power and provide higher directivity, improving the interference condition over time.</w:t>
      </w:r>
    </w:p>
    <w:p w:rsidR="0089268C" w:rsidRDefault="00C3610E">
      <w:pPr>
        <w:rPr>
          <w:szCs w:val="24"/>
          <w:lang w:val="en-US"/>
        </w:rPr>
      </w:pPr>
      <w:r>
        <w:rPr>
          <w:szCs w:val="24"/>
          <w:lang w:val="en-US"/>
        </w:rPr>
        <w:t xml:space="preserve">Consistent with Res. </w:t>
      </w:r>
      <w:r>
        <w:rPr>
          <w:b/>
          <w:szCs w:val="24"/>
          <w:lang w:val="en-US"/>
        </w:rPr>
        <w:t>239</w:t>
      </w:r>
      <w:r>
        <w:rPr>
          <w:szCs w:val="24"/>
          <w:lang w:val="en-US"/>
        </w:rPr>
        <w:t xml:space="preserve">, this study attempts to provide as accurate and realistic analysis on the impact of band sharing between RLANs and MSS given our present understanding of all parameters, as described in this document, assuming </w:t>
      </w:r>
      <w:proofErr w:type="gramStart"/>
      <w:r>
        <w:rPr>
          <w:szCs w:val="24"/>
          <w:lang w:val="en-US"/>
        </w:rPr>
        <w:t>RLANs  parameters</w:t>
      </w:r>
      <w:proofErr w:type="gramEnd"/>
      <w:r>
        <w:rPr>
          <w:szCs w:val="24"/>
          <w:lang w:val="en-US"/>
        </w:rPr>
        <w:t xml:space="preserve"> in Table 1A in annex 27 of W</w:t>
      </w:r>
      <w:r w:rsidR="008D4FC9">
        <w:rPr>
          <w:szCs w:val="24"/>
          <w:lang w:val="en-US"/>
        </w:rPr>
        <w:t> </w:t>
      </w:r>
      <w:r>
        <w:rPr>
          <w:szCs w:val="24"/>
          <w:lang w:val="en-US"/>
        </w:rPr>
        <w:t>P5A chairman’s report (5A/</w:t>
      </w:r>
      <w:hyperlink r:id="rId28" w:history="1">
        <w:r w:rsidRPr="0067647E">
          <w:rPr>
            <w:rStyle w:val="Hyperlink"/>
            <w:szCs w:val="24"/>
            <w:lang w:val="en-US"/>
          </w:rPr>
          <w:t>469</w:t>
        </w:r>
      </w:hyperlink>
      <w:r>
        <w:rPr>
          <w:szCs w:val="24"/>
          <w:lang w:val="en-US"/>
        </w:rPr>
        <w:t>).</w:t>
      </w:r>
    </w:p>
    <w:p w:rsidR="0089268C" w:rsidRDefault="00C3610E">
      <w:pPr>
        <w:rPr>
          <w:szCs w:val="24"/>
          <w:lang w:val="en-US" w:eastAsia="zh-CN"/>
        </w:rPr>
      </w:pPr>
      <w:r>
        <w:rPr>
          <w:szCs w:val="24"/>
          <w:lang w:val="en-US" w:eastAsia="zh-CN"/>
        </w:rPr>
        <w:t>There are two cases of possible interference that could result when RLANs and FSS feeder links operate simultaneously in the 5 150-5 250 MHz band.</w:t>
      </w:r>
    </w:p>
    <w:p w:rsidR="0089268C" w:rsidRDefault="00C3610E" w:rsidP="00E5537E">
      <w:pPr>
        <w:pStyle w:val="Heading5"/>
      </w:pPr>
      <w:bookmarkStart w:id="9" w:name="_Toc496516368"/>
      <w:r>
        <w:t>5.1.1.</w:t>
      </w:r>
      <w:r w:rsidR="00E5537E">
        <w:t>2</w:t>
      </w:r>
      <w:r>
        <w:t>.1</w:t>
      </w:r>
      <w:r>
        <w:tab/>
        <w:t>Aggregate RLAN Transmitters-to-FSS Feeder Uplink of MSS Satellite System</w:t>
      </w:r>
      <w:bookmarkEnd w:id="9"/>
    </w:p>
    <w:p w:rsidR="0089268C" w:rsidRDefault="00C3610E">
      <w:pPr>
        <w:rPr>
          <w:szCs w:val="24"/>
          <w:lang w:val="en-US" w:eastAsia="zh-CN"/>
        </w:rPr>
      </w:pPr>
      <w:r>
        <w:rPr>
          <w:szCs w:val="24"/>
          <w:lang w:val="en-US" w:eastAsia="zh-CN"/>
        </w:rPr>
        <w:t xml:space="preserve">In the first case we will undertake a sharing analysis to ascertain the impact of incidental Earth-to-space transmissions of the aggregate of RLAN devices operating within line of sight of the FSS feeder antenna. </w:t>
      </w:r>
    </w:p>
    <w:p w:rsidR="0089268C" w:rsidRDefault="00C3610E" w:rsidP="00E5537E">
      <w:pPr>
        <w:pStyle w:val="Heading5"/>
      </w:pPr>
      <w:bookmarkStart w:id="10" w:name="_Toc496516369"/>
      <w:r>
        <w:t>5.1.1.</w:t>
      </w:r>
      <w:r w:rsidR="00E5537E">
        <w:t>2</w:t>
      </w:r>
      <w:r>
        <w:t>.2</w:t>
      </w:r>
      <w:r>
        <w:tab/>
        <w:t>MSS Gateway Transmitter-to- RLAN Receiver</w:t>
      </w:r>
      <w:bookmarkEnd w:id="10"/>
    </w:p>
    <w:p w:rsidR="0089268C" w:rsidRDefault="00C3610E">
      <w:pPr>
        <w:rPr>
          <w:szCs w:val="24"/>
          <w:lang w:val="en-US" w:eastAsia="zh-CN"/>
        </w:rPr>
      </w:pPr>
      <w:r>
        <w:rPr>
          <w:szCs w:val="24"/>
          <w:lang w:val="en-US" w:eastAsia="zh-CN"/>
        </w:rPr>
        <w:t xml:space="preserve">It might also be appropriate to examine interference by MSS gateway transmitters to RLAN receivers. However, while this form of interference may be possible, the number of these gateways is very small. It is possible to establish exclusion zones utilizing standard procedures around the small number of gateways, since they are fixed. This, however, is not the focus of this study and will not be treated further. </w:t>
      </w:r>
    </w:p>
    <w:p w:rsidR="0089268C" w:rsidRPr="001E7D0F" w:rsidRDefault="00C3610E" w:rsidP="00E5537E">
      <w:pPr>
        <w:pStyle w:val="Heading4"/>
      </w:pPr>
      <w:bookmarkStart w:id="11" w:name="_Toc496516370"/>
      <w:r w:rsidRPr="001E7D0F">
        <w:t>5.1.1.</w:t>
      </w:r>
      <w:r w:rsidR="00E5537E">
        <w:t>3</w:t>
      </w:r>
      <w:r w:rsidRPr="001E7D0F">
        <w:tab/>
        <w:t>Technical Characteristics</w:t>
      </w:r>
      <w:bookmarkEnd w:id="11"/>
    </w:p>
    <w:p w:rsidR="0089268C" w:rsidRDefault="00C3610E">
      <w:pPr>
        <w:rPr>
          <w:szCs w:val="24"/>
          <w:lang w:val="en-US"/>
        </w:rPr>
      </w:pPr>
      <w:r>
        <w:rPr>
          <w:szCs w:val="24"/>
          <w:lang w:val="en-US"/>
        </w:rPr>
        <w:t xml:space="preserve">The following sections summarize the FSS/MSS and RLAN parameters as considered in this study.   </w:t>
      </w:r>
    </w:p>
    <w:p w:rsidR="0089268C" w:rsidRPr="001E7D0F" w:rsidRDefault="00C3610E" w:rsidP="00E5537E">
      <w:pPr>
        <w:pStyle w:val="Heading5"/>
      </w:pPr>
      <w:bookmarkStart w:id="12" w:name="_Toc496516371"/>
      <w:r>
        <w:t>5.1.1.</w:t>
      </w:r>
      <w:r w:rsidR="00E5537E">
        <w:t>3</w:t>
      </w:r>
      <w:r w:rsidRPr="001E7D0F">
        <w:t>.1</w:t>
      </w:r>
      <w:r w:rsidRPr="001E7D0F">
        <w:tab/>
        <w:t>Characteristics of MSS System</w:t>
      </w:r>
      <w:bookmarkEnd w:id="12"/>
    </w:p>
    <w:p w:rsidR="0089268C" w:rsidRDefault="00C3610E">
      <w:pPr>
        <w:rPr>
          <w:szCs w:val="24"/>
          <w:lang w:val="en-US"/>
        </w:rPr>
      </w:pPr>
      <w:r>
        <w:rPr>
          <w:szCs w:val="24"/>
          <w:lang w:val="en-US"/>
        </w:rPr>
        <w:t>This contribution will focus on the study of the MSS system referred to as LEO-D in a number of ITU-R Recommendations and Reports. The system consists of 34 active</w:t>
      </w:r>
      <w:r>
        <w:rPr>
          <w:rStyle w:val="FootnoteReference"/>
          <w:szCs w:val="24"/>
          <w:lang w:val="en-US"/>
        </w:rPr>
        <w:footnoteReference w:id="1"/>
      </w:r>
      <w:r>
        <w:rPr>
          <w:szCs w:val="24"/>
          <w:lang w:val="en-US"/>
        </w:rPr>
        <w:t xml:space="preserve"> spacecraft at an altitude of 1 414 kilometers and an inclination angle of the orbits of 52 degrees, with respect to the Equator. The spacecraft antenna has a full Earth-coverage beam with an approximate radius of 2 900 kilometers (0 dBi contour) on the surface of the Earth. </w:t>
      </w:r>
    </w:p>
    <w:p w:rsidR="0089268C" w:rsidRDefault="00C3610E">
      <w:pPr>
        <w:rPr>
          <w:szCs w:val="24"/>
          <w:lang w:val="en-US"/>
        </w:rPr>
      </w:pPr>
      <w:r>
        <w:rPr>
          <w:szCs w:val="24"/>
          <w:lang w:val="en-US"/>
        </w:rPr>
        <w:t xml:space="preserve">This system can be characterized as a “bent-pipe satellite system” (see Figure 1). In the forward path the feeder uplink uses the C-band between the gateway and the satellites to transmit eight 16.5 MHz channels on each right hand and left hand circular polarizations. The sixteen channels are received at the satellite transponder, converted to S-band and each mapped to one of sixteen downlink service beams. Within each of the beams, there are thirteen 1.23 MHz frequency division multiplexed (FDM) carrier channels. Each 1.23 MHz carrier employs code division multiple access (CDMA) to provide multiple voice or data circuits to user terminals. The return path is provided in a similar manner with L-band employed on the service uplink and C-band on the feeder downlink; however, RLANs operating in the 5 150-5 250 MHz band overlap the C-band frequencies utilized in the forward path and thus are the focus of this analysis. </w:t>
      </w:r>
    </w:p>
    <w:p w:rsidR="0089268C" w:rsidRDefault="00C3610E">
      <w:pPr>
        <w:rPr>
          <w:szCs w:val="24"/>
          <w:lang w:val="en-US"/>
        </w:rPr>
      </w:pPr>
      <w:r>
        <w:rPr>
          <w:szCs w:val="24"/>
          <w:lang w:val="en-US"/>
        </w:rPr>
        <w:t xml:space="preserve">Additional MSS system characteristics as provided throughout this document are taken from several sources and noted. </w:t>
      </w:r>
    </w:p>
    <w:p w:rsidR="0089268C" w:rsidRDefault="00C3610E">
      <w:pPr>
        <w:pStyle w:val="FigureNo"/>
      </w:pPr>
      <w:bookmarkStart w:id="13" w:name="_Toc495068566"/>
      <w:bookmarkStart w:id="14" w:name="_Toc495069093"/>
      <w:bookmarkStart w:id="15" w:name="_Toc495069308"/>
      <w:r>
        <w:lastRenderedPageBreak/>
        <w:t xml:space="preserve">Figure </w:t>
      </w:r>
      <w:r w:rsidRPr="001E7D0F">
        <w:fldChar w:fldCharType="begin"/>
      </w:r>
      <w:r>
        <w:instrText xml:space="preserve"> SEQ Figure \* ARABIC </w:instrText>
      </w:r>
      <w:r w:rsidRPr="001E7D0F">
        <w:fldChar w:fldCharType="separate"/>
      </w:r>
      <w:r>
        <w:rPr>
          <w:noProof/>
        </w:rPr>
        <w:t>1</w:t>
      </w:r>
      <w:r w:rsidRPr="001E7D0F">
        <w:fldChar w:fldCharType="end"/>
      </w:r>
    </w:p>
    <w:p w:rsidR="0089268C" w:rsidRDefault="00C3610E" w:rsidP="005C1912">
      <w:pPr>
        <w:pStyle w:val="Figuretitle"/>
      </w:pPr>
      <w:r>
        <w:t>Single MSS satellite system with Feeder Links at 5.1-5.2 GHz</w:t>
      </w:r>
      <w:bookmarkEnd w:id="13"/>
      <w:bookmarkEnd w:id="14"/>
      <w:bookmarkEnd w:id="15"/>
    </w:p>
    <w:p w:rsidR="0089268C" w:rsidRDefault="00C3610E" w:rsidP="005C1912">
      <w:pPr>
        <w:pStyle w:val="Figure"/>
      </w:pPr>
      <w:r w:rsidRPr="001E7D0F">
        <w:rPr>
          <w:lang w:val="en-GB"/>
        </w:rPr>
        <w:drawing>
          <wp:inline distT="0" distB="0" distL="0" distR="0">
            <wp:extent cx="5934075" cy="3076575"/>
            <wp:effectExtent l="0" t="0" r="9525" b="9525"/>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4075" cy="3076575"/>
                    </a:xfrm>
                    <a:prstGeom prst="rect">
                      <a:avLst/>
                    </a:prstGeom>
                    <a:noFill/>
                    <a:ln>
                      <a:noFill/>
                    </a:ln>
                  </pic:spPr>
                </pic:pic>
              </a:graphicData>
            </a:graphic>
          </wp:inline>
        </w:drawing>
      </w:r>
    </w:p>
    <w:p w:rsidR="0089268C" w:rsidRDefault="00C3610E">
      <w:pPr>
        <w:rPr>
          <w:lang w:val="en-US" w:eastAsia="zh-CN"/>
        </w:rPr>
      </w:pPr>
      <w:r>
        <w:rPr>
          <w:lang w:val="en-US" w:eastAsia="zh-CN"/>
        </w:rPr>
        <w:t>Most recent parameter values of the MSS satellite system under study were extracted from an MSS study included in WP</w:t>
      </w:r>
      <w:r w:rsidR="008D4FC9">
        <w:rPr>
          <w:lang w:val="en-US" w:eastAsia="zh-CN"/>
        </w:rPr>
        <w:t> </w:t>
      </w:r>
      <w:r>
        <w:rPr>
          <w:lang w:val="en-US" w:eastAsia="zh-CN"/>
        </w:rPr>
        <w:t>5A Document 5A/</w:t>
      </w:r>
      <w:hyperlink r:id="rId30" w:history="1">
        <w:r w:rsidRPr="008D4FC9">
          <w:rPr>
            <w:rStyle w:val="Hyperlink"/>
            <w:lang w:val="en-US" w:eastAsia="zh-CN"/>
          </w:rPr>
          <w:t>395</w:t>
        </w:r>
      </w:hyperlink>
      <w:r>
        <w:rPr>
          <w:lang w:val="en-US" w:eastAsia="zh-CN"/>
        </w:rPr>
        <w:t xml:space="preserve"> or other sources</w:t>
      </w:r>
      <w:r>
        <w:rPr>
          <w:rStyle w:val="FootnoteReference"/>
          <w:szCs w:val="24"/>
          <w:lang w:val="en-US" w:eastAsia="zh-CN"/>
        </w:rPr>
        <w:footnoteReference w:id="2"/>
      </w:r>
      <w:r>
        <w:rPr>
          <w:lang w:val="en-US" w:eastAsia="zh-CN"/>
        </w:rPr>
        <w:t>, and are summarized in the Table 1 and Figure 2.</w:t>
      </w:r>
    </w:p>
    <w:p w:rsidR="0089268C" w:rsidRDefault="00C3610E">
      <w:pPr>
        <w:pStyle w:val="TableNo"/>
        <w:rPr>
          <w:lang w:val="en-US"/>
        </w:rPr>
      </w:pPr>
      <w:bookmarkStart w:id="16" w:name="_Toc495068567"/>
      <w:bookmarkStart w:id="17" w:name="_Toc495069094"/>
      <w:bookmarkStart w:id="18" w:name="_Toc495069309"/>
      <w:r>
        <w:rPr>
          <w:lang w:val="en-US"/>
        </w:rPr>
        <w:t xml:space="preserve">Table </w:t>
      </w:r>
      <w:r w:rsidRPr="001E7D0F">
        <w:rPr>
          <w:lang w:val="en-US"/>
        </w:rPr>
        <w:fldChar w:fldCharType="begin"/>
      </w:r>
      <w:r>
        <w:rPr>
          <w:lang w:val="en-US"/>
        </w:rPr>
        <w:instrText xml:space="preserve"> SEQ Table \* ARABIC </w:instrText>
      </w:r>
      <w:r w:rsidRPr="001E7D0F">
        <w:rPr>
          <w:lang w:val="en-US"/>
        </w:rPr>
        <w:fldChar w:fldCharType="separate"/>
      </w:r>
      <w:r>
        <w:rPr>
          <w:noProof/>
          <w:lang w:val="en-US"/>
        </w:rPr>
        <w:t>2</w:t>
      </w:r>
      <w:r w:rsidRPr="001E7D0F">
        <w:rPr>
          <w:lang w:val="en-US"/>
        </w:rPr>
        <w:fldChar w:fldCharType="end"/>
      </w:r>
    </w:p>
    <w:bookmarkEnd w:id="16"/>
    <w:bookmarkEnd w:id="17"/>
    <w:bookmarkEnd w:id="18"/>
    <w:p w:rsidR="0089268C" w:rsidRDefault="00C3610E">
      <w:pPr>
        <w:pStyle w:val="Tabletitle"/>
      </w:pPr>
      <w:r>
        <w:rPr>
          <w:lang w:val="en-US"/>
        </w:rPr>
        <w:t>Feeder Up-link Parameters</w:t>
      </w:r>
    </w:p>
    <w:p w:rsidR="0089268C" w:rsidRDefault="00C3610E" w:rsidP="005C1912">
      <w:pPr>
        <w:pStyle w:val="Figure"/>
      </w:pPr>
      <w:r w:rsidRPr="001E7D0F">
        <w:rPr>
          <w:lang w:val="en-GB"/>
        </w:rPr>
        <w:drawing>
          <wp:inline distT="0" distB="0" distL="0" distR="0">
            <wp:extent cx="4960620" cy="1759809"/>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87050" cy="1769185"/>
                    </a:xfrm>
                    <a:prstGeom prst="rect">
                      <a:avLst/>
                    </a:prstGeom>
                    <a:noFill/>
                  </pic:spPr>
                </pic:pic>
              </a:graphicData>
            </a:graphic>
          </wp:inline>
        </w:drawing>
      </w:r>
    </w:p>
    <w:p w:rsidR="0089268C" w:rsidRDefault="00C3610E">
      <w:pPr>
        <w:rPr>
          <w:color w:val="000000"/>
        </w:rPr>
      </w:pPr>
      <w:r>
        <w:rPr>
          <w:color w:val="000000"/>
        </w:rPr>
        <w:t>For the purposes of this study, the -12.2 dB value was used for comparison reasons only. The I/N protection value for the FSS feeder link applicable to time variant source of interference such as RLANs is still under consideration by WP</w:t>
      </w:r>
      <w:r w:rsidR="0067647E">
        <w:rPr>
          <w:color w:val="000000"/>
        </w:rPr>
        <w:t> </w:t>
      </w:r>
      <w:r>
        <w:rPr>
          <w:color w:val="000000"/>
        </w:rPr>
        <w:t>4A.</w:t>
      </w:r>
    </w:p>
    <w:p w:rsidR="0089268C" w:rsidRDefault="00C3610E">
      <w:pPr>
        <w:rPr>
          <w:lang w:val="en-US" w:eastAsia="zh-CN"/>
        </w:rPr>
      </w:pPr>
      <w:r>
        <w:rPr>
          <w:lang w:val="en-US" w:eastAsia="zh-CN"/>
        </w:rPr>
        <w:t xml:space="preserve">The spacecraft receive antenna is an “iso-flux” antenna, and the gain pattern is shown below. </w:t>
      </w:r>
    </w:p>
    <w:p w:rsidR="0089268C" w:rsidRDefault="00C3610E">
      <w:pPr>
        <w:pStyle w:val="FigureNo"/>
        <w:rPr>
          <w:lang w:val="en-US"/>
        </w:rPr>
      </w:pPr>
      <w:bookmarkStart w:id="19" w:name="_Toc495068569"/>
      <w:bookmarkStart w:id="20" w:name="_Toc495069096"/>
      <w:bookmarkStart w:id="21" w:name="_Toc495069311"/>
      <w:r>
        <w:rPr>
          <w:lang w:val="en-US"/>
        </w:rPr>
        <w:lastRenderedPageBreak/>
        <w:t xml:space="preserve">Figure </w:t>
      </w:r>
      <w:r w:rsidRPr="001E7D0F">
        <w:rPr>
          <w:lang w:val="en-US"/>
        </w:rPr>
        <w:fldChar w:fldCharType="begin"/>
      </w:r>
      <w:r>
        <w:rPr>
          <w:lang w:val="en-US"/>
        </w:rPr>
        <w:instrText xml:space="preserve"> SEQ Figure \* ARABIC </w:instrText>
      </w:r>
      <w:r w:rsidRPr="001E7D0F">
        <w:rPr>
          <w:lang w:val="en-US"/>
        </w:rPr>
        <w:fldChar w:fldCharType="separate"/>
      </w:r>
      <w:r>
        <w:rPr>
          <w:noProof/>
          <w:lang w:val="en-US"/>
        </w:rPr>
        <w:t>2</w:t>
      </w:r>
      <w:r w:rsidRPr="001E7D0F">
        <w:rPr>
          <w:lang w:val="en-US"/>
        </w:rPr>
        <w:fldChar w:fldCharType="end"/>
      </w:r>
    </w:p>
    <w:p w:rsidR="0089268C" w:rsidRDefault="00C3610E" w:rsidP="005C1912">
      <w:pPr>
        <w:pStyle w:val="Figuretitle"/>
      </w:pPr>
      <w:r>
        <w:rPr>
          <w:lang w:val="en-US"/>
        </w:rPr>
        <w:t>Spacecraft receive antenna pattern</w:t>
      </w:r>
      <w:bookmarkEnd w:id="19"/>
      <w:bookmarkEnd w:id="20"/>
      <w:bookmarkEnd w:id="21"/>
      <w:r>
        <w:rPr>
          <w:lang w:val="en-US"/>
        </w:rPr>
        <w:t xml:space="preserve"> (feeder loss included)</w:t>
      </w:r>
    </w:p>
    <w:p w:rsidR="0089268C" w:rsidRDefault="00C3610E" w:rsidP="005C1912">
      <w:pPr>
        <w:pStyle w:val="Figure"/>
      </w:pPr>
      <w:r w:rsidRPr="001E7D0F">
        <w:rPr>
          <w:lang w:val="en-GB"/>
        </w:rPr>
        <w:drawing>
          <wp:inline distT="0" distB="0" distL="0" distR="0">
            <wp:extent cx="5943600" cy="3482340"/>
            <wp:effectExtent l="0" t="0" r="0" b="3810"/>
            <wp:docPr id="2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943600" cy="3482340"/>
                    </a:xfrm>
                    <a:prstGeom prst="rect">
                      <a:avLst/>
                    </a:prstGeom>
                  </pic:spPr>
                </pic:pic>
              </a:graphicData>
            </a:graphic>
          </wp:inline>
        </w:drawing>
      </w:r>
    </w:p>
    <w:p w:rsidR="0089268C" w:rsidRPr="001E7D0F" w:rsidRDefault="00C3610E" w:rsidP="00E5537E">
      <w:pPr>
        <w:pStyle w:val="Heading5"/>
      </w:pPr>
      <w:bookmarkStart w:id="22" w:name="_Toc496516372"/>
      <w:r>
        <w:t>5.1.1.</w:t>
      </w:r>
      <w:r w:rsidR="00E5537E">
        <w:t>3</w:t>
      </w:r>
      <w:r>
        <w:t>.2</w:t>
      </w:r>
      <w:r>
        <w:tab/>
        <w:t>Characteristics of RLANs</w:t>
      </w:r>
      <w:bookmarkEnd w:id="22"/>
    </w:p>
    <w:p w:rsidR="0089268C" w:rsidRDefault="00C3610E">
      <w:pPr>
        <w:rPr>
          <w:szCs w:val="24"/>
          <w:lang w:val="en-US"/>
        </w:rPr>
      </w:pPr>
      <w:r>
        <w:rPr>
          <w:szCs w:val="24"/>
          <w:lang w:val="en-US"/>
        </w:rPr>
        <w:t>In order to accurately calculate the aggregate power contributed by the multitude of RLANs within the large coverage footprint of the FSS feeder antenna for each MSS satellite, the area is subdivided into grids so that factors such as antenna discriminations, path loss, busy hour, clutter loss, and building entrance loss can be accounted for in a reasonably high resolution manner thereby accurately representing the link interference contribution. To this end the Oak Ridge National Laboratory’s (ORNL) LandScan™ provides 30" X 30" grid resolution (approximately 1 km</w:t>
      </w:r>
      <w:r>
        <w:rPr>
          <w:szCs w:val="24"/>
          <w:vertAlign w:val="superscript"/>
          <w:lang w:val="en-US"/>
        </w:rPr>
        <w:t>2</w:t>
      </w:r>
      <w:r>
        <w:rPr>
          <w:szCs w:val="24"/>
          <w:lang w:val="en-US"/>
        </w:rPr>
        <w:t>) global population distribution data.</w:t>
      </w:r>
      <w:r>
        <w:rPr>
          <w:rStyle w:val="FootnoteReference"/>
          <w:szCs w:val="24"/>
          <w:lang w:val="en-US"/>
        </w:rPr>
        <w:footnoteReference w:id="3"/>
      </w:r>
      <w:r>
        <w:rPr>
          <w:szCs w:val="24"/>
          <w:lang w:val="en-US"/>
        </w:rPr>
        <w:t xml:space="preserve"> In order to have a more manageable number of population centers and compute the area associated with a given population sample, granularity of this data was reduced. The grids associated with the new population centers vary in size from 14 km</w:t>
      </w:r>
      <w:r>
        <w:rPr>
          <w:szCs w:val="24"/>
          <w:vertAlign w:val="superscript"/>
          <w:lang w:val="en-US"/>
        </w:rPr>
        <w:t>2</w:t>
      </w:r>
      <w:r>
        <w:rPr>
          <w:szCs w:val="24"/>
          <w:lang w:val="en-US"/>
        </w:rPr>
        <w:t xml:space="preserve"> to 50 km</w:t>
      </w:r>
      <w:r>
        <w:rPr>
          <w:szCs w:val="24"/>
          <w:vertAlign w:val="superscript"/>
          <w:lang w:val="en-US"/>
        </w:rPr>
        <w:t>2</w:t>
      </w:r>
      <w:r>
        <w:rPr>
          <w:szCs w:val="24"/>
          <w:lang w:val="en-US"/>
        </w:rPr>
        <w:t xml:space="preserve"> and results in a grid count of 278,248. Characteristic location and population data for each grid is utilized to compute its RLAN interference contribution to the FSS feeder link. </w:t>
      </w:r>
    </w:p>
    <w:p w:rsidR="0089268C" w:rsidRDefault="00C3610E">
      <w:pPr>
        <w:rPr>
          <w:szCs w:val="24"/>
          <w:lang w:val="en-US"/>
        </w:rPr>
      </w:pPr>
      <w:r>
        <w:rPr>
          <w:szCs w:val="24"/>
          <w:lang w:val="en-US"/>
        </w:rPr>
        <w:t>For the purpose of applying representative parameters the analysis categorizes each grid as one of three demographics: urban, suburban, and rural based on population density of the grid. During the JTG one administration proposed a distribution of populations over a defined area for the three demographics</w:t>
      </w:r>
      <w:r>
        <w:rPr>
          <w:rStyle w:val="FootnoteReference"/>
          <w:szCs w:val="24"/>
          <w:lang w:val="en-US"/>
        </w:rPr>
        <w:footnoteReference w:id="4"/>
      </w:r>
      <w:r>
        <w:rPr>
          <w:szCs w:val="24"/>
          <w:lang w:val="en-US"/>
        </w:rPr>
        <w:t>. Using this information we define grids in the following manner:</w:t>
      </w:r>
    </w:p>
    <w:p w:rsidR="0089268C" w:rsidRDefault="00C3610E">
      <w:pPr>
        <w:pStyle w:val="enumlev1"/>
      </w:pPr>
      <w:r>
        <w:rPr>
          <w:szCs w:val="24"/>
          <w:lang w:val="en-US"/>
        </w:rPr>
        <w:t>–</w:t>
      </w:r>
      <w:r>
        <w:rPr>
          <w:szCs w:val="24"/>
          <w:lang w:val="en-US"/>
        </w:rPr>
        <w:tab/>
        <w:t>Rural, for grids with population density less than or equal to 495 people/km</w:t>
      </w:r>
      <w:r>
        <w:rPr>
          <w:szCs w:val="24"/>
          <w:vertAlign w:val="superscript"/>
          <w:lang w:val="en-US"/>
        </w:rPr>
        <w:t>2</w:t>
      </w:r>
      <w:r>
        <w:rPr>
          <w:szCs w:val="24"/>
          <w:lang w:val="en-US"/>
        </w:rPr>
        <w:t>;</w:t>
      </w:r>
    </w:p>
    <w:p w:rsidR="0089268C" w:rsidRDefault="00C3610E">
      <w:pPr>
        <w:pStyle w:val="enumlev1"/>
      </w:pPr>
      <w:r>
        <w:t>–</w:t>
      </w:r>
      <w:r>
        <w:tab/>
        <w:t>Suburban, for grids with population density greater than 495 but less than or equal to 4 177 people/km</w:t>
      </w:r>
      <w:r>
        <w:rPr>
          <w:vertAlign w:val="superscript"/>
        </w:rPr>
        <w:t>2</w:t>
      </w:r>
      <w:r>
        <w:rPr>
          <w:szCs w:val="24"/>
          <w:lang w:val="en-US"/>
        </w:rPr>
        <w:t>;</w:t>
      </w:r>
    </w:p>
    <w:p w:rsidR="0089268C" w:rsidRDefault="00C3610E">
      <w:pPr>
        <w:pStyle w:val="enumlev1"/>
      </w:pPr>
      <w:r>
        <w:t>–</w:t>
      </w:r>
      <w:r>
        <w:tab/>
        <w:t>Urban, for grids with population density greater than 4 177 people/km</w:t>
      </w:r>
      <w:r>
        <w:rPr>
          <w:vertAlign w:val="superscript"/>
        </w:rPr>
        <w:t>2</w:t>
      </w:r>
      <w:r>
        <w:rPr>
          <w:szCs w:val="24"/>
          <w:lang w:val="en-US"/>
        </w:rPr>
        <w:t>.</w:t>
      </w:r>
    </w:p>
    <w:p w:rsidR="0089268C" w:rsidRDefault="00C3610E">
      <w:pPr>
        <w:rPr>
          <w:szCs w:val="24"/>
          <w:lang w:val="en-US"/>
        </w:rPr>
      </w:pPr>
      <w:r>
        <w:rPr>
          <w:szCs w:val="24"/>
          <w:lang w:val="en-US"/>
        </w:rPr>
        <w:lastRenderedPageBreak/>
        <w:t xml:space="preserve">For this analysis the study assumes that interference from WAS/RLAN would be primarily from RLANs and more specifically from access points (AP) in RLAN systems. The RLAN parameters given below are based upon this assumption. As there are potentially millions of RLAN access points in the 5 150-5 250 MHz band, it is impractical to simulate each access point as an individual interferer. Hence, the power from the individual access points has been aggregated as an input to the satellite receiver. </w:t>
      </w:r>
    </w:p>
    <w:p w:rsidR="0089268C" w:rsidRDefault="00C3610E" w:rsidP="00E5537E">
      <w:pPr>
        <w:pStyle w:val="Heading6"/>
      </w:pPr>
      <w:bookmarkStart w:id="23" w:name="_Toc496516373"/>
      <w:r>
        <w:t>5.1.1.</w:t>
      </w:r>
      <w:r w:rsidR="00E5537E">
        <w:t>3</w:t>
      </w:r>
      <w:r>
        <w:t>.2.1</w:t>
      </w:r>
      <w:r>
        <w:tab/>
        <w:t>RLAN e.i.r.p level distributions</w:t>
      </w:r>
      <w:bookmarkEnd w:id="23"/>
    </w:p>
    <w:p w:rsidR="0089268C" w:rsidRDefault="00C3610E">
      <w:pPr>
        <w:rPr>
          <w:i/>
          <w:szCs w:val="24"/>
          <w:lang w:val="en-US"/>
        </w:rPr>
      </w:pPr>
      <w:r>
        <w:rPr>
          <w:szCs w:val="24"/>
          <w:lang w:val="en-US"/>
        </w:rPr>
        <w:t>Table 2 provides a summary of e.i.r.p. level distributions from R15-WP5A-C-0</w:t>
      </w:r>
      <w:hyperlink r:id="rId33" w:history="1">
        <w:r w:rsidRPr="0067647E">
          <w:rPr>
            <w:rStyle w:val="Hyperlink"/>
            <w:szCs w:val="24"/>
            <w:lang w:val="en-US"/>
          </w:rPr>
          <w:t>469</w:t>
        </w:r>
      </w:hyperlink>
      <w:r>
        <w:rPr>
          <w:szCs w:val="24"/>
          <w:lang w:val="en-US"/>
        </w:rPr>
        <w:t>, Annex 27, M</w:t>
      </w:r>
      <w:proofErr w:type="gramStart"/>
      <w:r>
        <w:rPr>
          <w:szCs w:val="24"/>
          <w:lang w:val="en-US"/>
        </w:rPr>
        <w:t>.[</w:t>
      </w:r>
      <w:proofErr w:type="gramEnd"/>
      <w:r>
        <w:rPr>
          <w:szCs w:val="24"/>
          <w:lang w:val="en-US"/>
        </w:rPr>
        <w:t>RLAN REQ-PAR] Table 1a. The e.i.r.p level distributions were developed for RLANs operating in the 5</w:t>
      </w:r>
      <w:r w:rsidR="008D4FC9">
        <w:rPr>
          <w:szCs w:val="24"/>
          <w:lang w:val="en-US"/>
        </w:rPr>
        <w:t> </w:t>
      </w:r>
      <w:r>
        <w:rPr>
          <w:szCs w:val="24"/>
          <w:lang w:val="en-US"/>
        </w:rPr>
        <w:t>725-5</w:t>
      </w:r>
      <w:r w:rsidR="008D4FC9">
        <w:rPr>
          <w:szCs w:val="24"/>
          <w:lang w:val="en-US"/>
        </w:rPr>
        <w:t> </w:t>
      </w:r>
      <w:r>
        <w:rPr>
          <w:szCs w:val="24"/>
          <w:lang w:val="en-US"/>
        </w:rPr>
        <w:t>850 MHz band in both indoor and outdoor environments.</w:t>
      </w:r>
    </w:p>
    <w:p w:rsidR="0089268C" w:rsidRDefault="00C3610E">
      <w:pPr>
        <w:rPr>
          <w:szCs w:val="24"/>
          <w:lang w:val="en-US"/>
        </w:rPr>
      </w:pPr>
      <w:r>
        <w:rPr>
          <w:szCs w:val="24"/>
          <w:lang w:val="en-US"/>
        </w:rPr>
        <w:t xml:space="preserve">Percentage of devices in each environment was calculated to be 94.7% and 5.3% for indoor and outdoor respectively (see Table 2). These are the values applied to grid RLAN device counts to so that the appropriate e.i.r.p. and accompanying losses are applied when calculating aggregate interference to the satellite system. </w:t>
      </w:r>
    </w:p>
    <w:p w:rsidR="0089268C" w:rsidRDefault="00C3610E">
      <w:pPr>
        <w:pStyle w:val="TableNo"/>
        <w:rPr>
          <w:b/>
          <w:bCs/>
          <w:lang w:val="en-US"/>
        </w:rPr>
      </w:pPr>
      <w:bookmarkStart w:id="24" w:name="_Toc495068570"/>
      <w:bookmarkStart w:id="25" w:name="_Toc495069097"/>
      <w:bookmarkStart w:id="26" w:name="_Toc495069312"/>
      <w:r>
        <w:rPr>
          <w:lang w:val="en-US"/>
        </w:rPr>
        <w:t>Table 2</w:t>
      </w:r>
    </w:p>
    <w:p w:rsidR="0089268C" w:rsidRDefault="00C3610E">
      <w:pPr>
        <w:pStyle w:val="Tabletitle"/>
      </w:pPr>
      <w:r>
        <w:rPr>
          <w:lang w:val="en-US"/>
        </w:rPr>
        <w:t>RLAN e.i.r.p level distributions</w:t>
      </w:r>
      <w:bookmarkEnd w:id="24"/>
      <w:bookmarkEnd w:id="25"/>
      <w:bookmarkEnd w:id="26"/>
      <w:r>
        <w:rPr>
          <w:lang w:val="en-US"/>
        </w:rPr>
        <w:t xml:space="preserve"> </w:t>
      </w:r>
    </w:p>
    <w:p w:rsidR="0089268C" w:rsidRDefault="00C3610E" w:rsidP="005C1912">
      <w:pPr>
        <w:pStyle w:val="Figure"/>
      </w:pPr>
      <w:r w:rsidRPr="001E7D0F">
        <w:rPr>
          <w:lang w:val="en-GB"/>
        </w:rPr>
        <w:drawing>
          <wp:inline distT="0" distB="0" distL="0" distR="0">
            <wp:extent cx="5943600" cy="941627"/>
            <wp:effectExtent l="0" t="0" r="0" b="0"/>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941627"/>
                    </a:xfrm>
                    <a:prstGeom prst="rect">
                      <a:avLst/>
                    </a:prstGeom>
                    <a:noFill/>
                    <a:ln>
                      <a:noFill/>
                    </a:ln>
                  </pic:spPr>
                </pic:pic>
              </a:graphicData>
            </a:graphic>
          </wp:inline>
        </w:drawing>
      </w:r>
    </w:p>
    <w:p w:rsidR="0089268C" w:rsidRDefault="00C3610E" w:rsidP="00E5537E">
      <w:pPr>
        <w:pStyle w:val="Heading6"/>
      </w:pPr>
      <w:bookmarkStart w:id="27" w:name="_Toc496516374"/>
      <w:r>
        <w:t>5.1.1.</w:t>
      </w:r>
      <w:r w:rsidR="00E5537E">
        <w:t>3</w:t>
      </w:r>
      <w:r>
        <w:t>.2.2</w:t>
      </w:r>
      <w:r>
        <w:tab/>
        <w:t>RLAN antenna discrimination</w:t>
      </w:r>
      <w:bookmarkEnd w:id="27"/>
    </w:p>
    <w:p w:rsidR="0089268C" w:rsidRDefault="00C3610E">
      <w:pPr>
        <w:rPr>
          <w:szCs w:val="24"/>
          <w:lang w:val="en-US"/>
        </w:rPr>
      </w:pPr>
      <w:r>
        <w:rPr>
          <w:szCs w:val="24"/>
          <w:lang w:val="en-US"/>
        </w:rPr>
        <w:t>As has been previously noted</w:t>
      </w:r>
      <w:r>
        <w:rPr>
          <w:rStyle w:val="FootnoteReference"/>
          <w:szCs w:val="24"/>
          <w:lang w:val="en-US"/>
        </w:rPr>
        <w:footnoteReference w:id="5"/>
      </w:r>
      <w:r>
        <w:rPr>
          <w:szCs w:val="24"/>
          <w:lang w:val="en-US"/>
        </w:rPr>
        <w:t>, when considering the RLAN antenna discrimination to be used in the sharing studies, the following factors should be considered:</w:t>
      </w:r>
    </w:p>
    <w:p w:rsidR="0089268C" w:rsidRDefault="00C3610E">
      <w:pPr>
        <w:pStyle w:val="enumlev1"/>
      </w:pPr>
      <w:r>
        <w:rPr>
          <w:szCs w:val="24"/>
          <w:lang w:val="en-US"/>
        </w:rPr>
        <w:t>–</w:t>
      </w:r>
      <w:r>
        <w:rPr>
          <w:szCs w:val="24"/>
          <w:lang w:val="en-US"/>
        </w:rPr>
        <w:tab/>
        <w:t>For simplification, only AP emissions are considered in the technical studies, but it is recognized that this is based on the fact that either the AP or the client terminal is transmitting. Therefore, in order to accurately represent this condition, a composite of AP and terminal antennas is employed.</w:t>
      </w:r>
    </w:p>
    <w:p w:rsidR="0089268C" w:rsidRDefault="00C3610E">
      <w:pPr>
        <w:pStyle w:val="enumlev1"/>
      </w:pPr>
      <w:r>
        <w:t>–</w:t>
      </w:r>
      <w:r>
        <w:tab/>
        <w:t>In addition, when considering the discrimination of the AP antennas, positioning needs to be considered. Indoor antennas may be located on the ceiling facing downward, on the wall facing horizontal or on a desk facing upward. Outdoor antennas may be pole mounted, strand mounted or wall mounted and likewise may face up, down or horizontal. A composite discrimination value in the direction of the satellite is assumed, based on the patterns resulting from the various antenna placements.</w:t>
      </w:r>
    </w:p>
    <w:p w:rsidR="0089268C" w:rsidRDefault="00C3610E">
      <w:pPr>
        <w:pStyle w:val="enumlev1"/>
      </w:pPr>
      <w:r>
        <w:t>–</w:t>
      </w:r>
      <w:r>
        <w:tab/>
        <w:t>While client terminal antennas may have some gain greater than zero, it is impossible to determine which direction they are facing during each transmission, so for simplicity’s sake it is assumed that over time they appear omnidirectional with 0 dBi gain. However, terminal antennas are likely to be blocked by the user from the satellite approximately 50% of the time. A proposed value for body loss of 4 dB is provided in Table 4 of Report ITU</w:t>
      </w:r>
      <w:r>
        <w:noBreakHyphen/>
        <w:t>R M.2292 and is representative of all different user cases (</w:t>
      </w:r>
      <w:r>
        <w:rPr>
          <w:i/>
        </w:rPr>
        <w:t>i.e.</w:t>
      </w:r>
      <w:r>
        <w:t xml:space="preserve"> speech position, browsing position, etc.).</w:t>
      </w:r>
    </w:p>
    <w:p w:rsidR="0089268C" w:rsidRDefault="00C3610E">
      <w:pPr>
        <w:rPr>
          <w:szCs w:val="24"/>
          <w:lang w:val="en-US"/>
        </w:rPr>
      </w:pPr>
      <w:r>
        <w:rPr>
          <w:szCs w:val="24"/>
          <w:lang w:val="en-US"/>
        </w:rPr>
        <w:lastRenderedPageBreak/>
        <w:t xml:space="preserve">An analysis was done taking into account the above considerations with the following assumptions: </w:t>
      </w:r>
    </w:p>
    <w:p w:rsidR="0089268C" w:rsidRDefault="00C3610E">
      <w:pPr>
        <w:pStyle w:val="enumlev1"/>
      </w:pPr>
      <w:r>
        <w:rPr>
          <w:szCs w:val="24"/>
          <w:lang w:val="en-US"/>
        </w:rPr>
        <w:t>–</w:t>
      </w:r>
      <w:r>
        <w:rPr>
          <w:szCs w:val="24"/>
          <w:lang w:val="en-US"/>
        </w:rPr>
        <w:tab/>
        <w:t xml:space="preserve">For indoor AP antennas both consumer and enterprise omni-antenna patterns from the United Kingdom, Document </w:t>
      </w:r>
      <w:hyperlink r:id="rId35" w:history="1">
        <w:r>
          <w:rPr>
            <w:rStyle w:val="Hyperlink"/>
            <w:szCs w:val="24"/>
            <w:lang w:val="en-US"/>
          </w:rPr>
          <w:t>5A/246</w:t>
        </w:r>
      </w:hyperlink>
      <w:r>
        <w:rPr>
          <w:szCs w:val="24"/>
          <w:lang w:val="en-US"/>
        </w:rPr>
        <w:t>, were used. All consumer APs were assumed to be desk mount, 80% of enterprise devices were split between ceiling and surface mount and the other 20% were wall mount with a 50/50 split between ±90</w:t>
      </w:r>
      <w:r>
        <w:rPr>
          <w:szCs w:val="24"/>
          <w:vertAlign w:val="superscript"/>
          <w:lang w:val="en-US"/>
        </w:rPr>
        <w:t>o</w:t>
      </w:r>
      <w:r>
        <w:rPr>
          <w:szCs w:val="24"/>
          <w:lang w:val="en-US"/>
        </w:rPr>
        <w:t xml:space="preserve"> rotation.</w:t>
      </w:r>
    </w:p>
    <w:p w:rsidR="0089268C" w:rsidRDefault="00C3610E">
      <w:pPr>
        <w:pStyle w:val="enumlev1"/>
      </w:pPr>
      <w:r>
        <w:t>–</w:t>
      </w:r>
      <w:r>
        <w:tab/>
        <w:t xml:space="preserve">For outdoor AP antennas, omni-directional patterns typical of those used by some U.S. cable operators were used along with the directional antennas, described in Document </w:t>
      </w:r>
      <w:hyperlink r:id="rId36" w:history="1">
        <w:r>
          <w:rPr>
            <w:rStyle w:val="Hyperlink"/>
          </w:rPr>
          <w:t>5A/469</w:t>
        </w:r>
      </w:hyperlink>
      <w:r>
        <w:t xml:space="preserve"> Annex 29, pointed in the horizontal direction. The outdoor omni devices were split 40% facing up, 40% facing down and 20% directional facing horizontally. </w:t>
      </w:r>
    </w:p>
    <w:p w:rsidR="0089268C" w:rsidRDefault="00C3610E">
      <w:pPr>
        <w:rPr>
          <w:szCs w:val="24"/>
          <w:lang w:val="en-US"/>
        </w:rPr>
      </w:pPr>
      <w:r>
        <w:rPr>
          <w:szCs w:val="24"/>
          <w:lang w:val="en-US"/>
        </w:rPr>
        <w:t xml:space="preserve">The result was a weighted average loss toward the satellite; </w:t>
      </w:r>
      <w:r>
        <w:rPr>
          <w:i/>
          <w:szCs w:val="24"/>
          <w:lang w:val="en-US"/>
        </w:rPr>
        <w:t>i.e.</w:t>
      </w:r>
      <w:r>
        <w:rPr>
          <w:szCs w:val="24"/>
          <w:lang w:val="en-US"/>
        </w:rPr>
        <w:t>, above 0 degree elevation, of 1.8 dB.</w:t>
      </w:r>
    </w:p>
    <w:p w:rsidR="0089268C" w:rsidRDefault="00C3610E" w:rsidP="00E5537E">
      <w:pPr>
        <w:pStyle w:val="Heading6"/>
      </w:pPr>
      <w:bookmarkStart w:id="28" w:name="_Toc496516375"/>
      <w:r>
        <w:t>5.1.1.</w:t>
      </w:r>
      <w:r w:rsidR="00E5537E">
        <w:t>3</w:t>
      </w:r>
      <w:r>
        <w:t>.2.3</w:t>
      </w:r>
      <w:r>
        <w:tab/>
        <w:t>RLAN antenna heights</w:t>
      </w:r>
      <w:bookmarkEnd w:id="28"/>
    </w:p>
    <w:p w:rsidR="0089268C" w:rsidRDefault="00C3610E">
      <w:pPr>
        <w:rPr>
          <w:szCs w:val="24"/>
          <w:lang w:val="en-US"/>
        </w:rPr>
      </w:pPr>
      <w:r>
        <w:rPr>
          <w:szCs w:val="24"/>
          <w:lang w:val="en-US"/>
        </w:rPr>
        <w:t>Table 3 provides a summary of the RLAN access point antenna heights. The antenna heights were extracted from R15-WP5A-C-0</w:t>
      </w:r>
      <w:hyperlink r:id="rId37" w:history="1">
        <w:r w:rsidRPr="008D4FC9">
          <w:rPr>
            <w:rStyle w:val="Hyperlink"/>
            <w:szCs w:val="24"/>
            <w:lang w:val="en-US"/>
          </w:rPr>
          <w:t>114</w:t>
        </w:r>
      </w:hyperlink>
      <w:r>
        <w:rPr>
          <w:szCs w:val="24"/>
          <w:lang w:val="en-US"/>
        </w:rPr>
        <w:t xml:space="preserve"> Annex 24, an earlier version of M</w:t>
      </w:r>
      <w:proofErr w:type="gramStart"/>
      <w:r>
        <w:rPr>
          <w:szCs w:val="24"/>
          <w:lang w:val="en-US"/>
        </w:rPr>
        <w:t>.[</w:t>
      </w:r>
      <w:proofErr w:type="gramEnd"/>
      <w:r>
        <w:rPr>
          <w:szCs w:val="24"/>
          <w:lang w:val="en-US"/>
        </w:rPr>
        <w:t xml:space="preserve">RLAN REQ-PAR]. The antenna heights are employed along with elevation angle to determine clutter loss to apply to the propagation path. In determining clutter loss non-client antenna heights are randomly selected, using a uniform probability, in 3 meter steps distributed across the range shown. For practical reasons the height randomly selected is applied on a grid basis. </w:t>
      </w:r>
    </w:p>
    <w:p w:rsidR="0089268C" w:rsidRDefault="00C3610E">
      <w:pPr>
        <w:pStyle w:val="TableNo"/>
        <w:rPr>
          <w:lang w:val="en-US"/>
        </w:rPr>
      </w:pPr>
      <w:bookmarkStart w:id="29" w:name="_Toc495068571"/>
      <w:bookmarkStart w:id="30" w:name="_Toc495069098"/>
      <w:bookmarkStart w:id="31" w:name="_Toc495069313"/>
      <w:r>
        <w:rPr>
          <w:lang w:val="en-US"/>
        </w:rPr>
        <w:t>Table 3</w:t>
      </w:r>
    </w:p>
    <w:p w:rsidR="0089268C" w:rsidRDefault="00C3610E">
      <w:pPr>
        <w:pStyle w:val="Tabletitle"/>
      </w:pPr>
      <w:r>
        <w:rPr>
          <w:lang w:val="en-US"/>
        </w:rPr>
        <w:t>RLAN antenna heights</w:t>
      </w:r>
      <w:bookmarkEnd w:id="29"/>
      <w:bookmarkEnd w:id="30"/>
      <w:bookmarkEnd w:id="31"/>
    </w:p>
    <w:p w:rsidR="0089268C" w:rsidRDefault="00C3610E" w:rsidP="005C1912">
      <w:pPr>
        <w:pStyle w:val="Figure"/>
      </w:pPr>
      <w:r w:rsidRPr="001E7D0F">
        <w:rPr>
          <w:lang w:val="en-GB"/>
        </w:rPr>
        <w:drawing>
          <wp:inline distT="0" distB="0" distL="0" distR="0">
            <wp:extent cx="2980055" cy="736600"/>
            <wp:effectExtent l="0" t="0" r="0" b="6350"/>
            <wp:docPr id="3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0055" cy="736600"/>
                    </a:xfrm>
                    <a:prstGeom prst="rect">
                      <a:avLst/>
                    </a:prstGeom>
                    <a:noFill/>
                    <a:ln>
                      <a:noFill/>
                    </a:ln>
                  </pic:spPr>
                </pic:pic>
              </a:graphicData>
            </a:graphic>
          </wp:inline>
        </w:drawing>
      </w:r>
    </w:p>
    <w:p w:rsidR="0089268C" w:rsidRDefault="00C3610E" w:rsidP="00E5537E">
      <w:pPr>
        <w:pStyle w:val="Heading6"/>
      </w:pPr>
      <w:bookmarkStart w:id="32" w:name="_Toc496516376"/>
      <w:r>
        <w:t>5.1.1.</w:t>
      </w:r>
      <w:r w:rsidR="00E5537E">
        <w:t>3</w:t>
      </w:r>
      <w:r>
        <w:t>.2.4</w:t>
      </w:r>
      <w:r>
        <w:tab/>
        <w:t>Path loss</w:t>
      </w:r>
      <w:bookmarkEnd w:id="32"/>
      <w:r>
        <w:t xml:space="preserve"> </w:t>
      </w:r>
    </w:p>
    <w:p w:rsidR="0089268C" w:rsidRDefault="00C3610E">
      <w:pPr>
        <w:rPr>
          <w:szCs w:val="24"/>
          <w:lang w:val="en-US"/>
        </w:rPr>
      </w:pPr>
      <w:r>
        <w:rPr>
          <w:szCs w:val="24"/>
          <w:lang w:val="en-US"/>
        </w:rPr>
        <w:t>Path loss is characteristic for each grid to satellite path defined by a number of contributing factors and accounted for in the following formula:</w:t>
      </w:r>
    </w:p>
    <w:p w:rsidR="0089268C" w:rsidRPr="009E45DB" w:rsidRDefault="00C3610E">
      <w:pPr>
        <w:pStyle w:val="Equation"/>
        <w:rPr>
          <w:lang w:val="de-CH"/>
        </w:rPr>
      </w:pPr>
      <w:r>
        <w:rPr>
          <w:lang w:val="en-US"/>
        </w:rPr>
        <w:tab/>
      </w:r>
      <w:r>
        <w:rPr>
          <w:lang w:val="en-US"/>
        </w:rPr>
        <w:tab/>
      </w:r>
      <w:r w:rsidRPr="009E45DB">
        <w:rPr>
          <w:i/>
          <w:iCs/>
          <w:lang w:val="de-CH"/>
        </w:rPr>
        <w:t>L</w:t>
      </w:r>
      <w:r w:rsidRPr="009E45DB">
        <w:rPr>
          <w:i/>
          <w:iCs/>
          <w:vertAlign w:val="subscript"/>
          <w:lang w:val="de-CH"/>
        </w:rPr>
        <w:t xml:space="preserve">G </w:t>
      </w:r>
      <w:r w:rsidRPr="009E45DB">
        <w:rPr>
          <w:i/>
          <w:iCs/>
          <w:lang w:val="de-CH"/>
        </w:rPr>
        <w:t xml:space="preserve"> = L</w:t>
      </w:r>
      <w:r w:rsidRPr="009E45DB">
        <w:rPr>
          <w:i/>
          <w:iCs/>
          <w:vertAlign w:val="subscript"/>
          <w:lang w:val="de-CH"/>
        </w:rPr>
        <w:t>b</w:t>
      </w:r>
      <w:r w:rsidRPr="009E45DB">
        <w:rPr>
          <w:i/>
          <w:iCs/>
          <w:lang w:val="de-CH"/>
        </w:rPr>
        <w:t xml:space="preserve"> + L</w:t>
      </w:r>
      <w:r w:rsidRPr="009E45DB">
        <w:rPr>
          <w:i/>
          <w:iCs/>
          <w:vertAlign w:val="subscript"/>
          <w:lang w:val="de-CH"/>
        </w:rPr>
        <w:t xml:space="preserve">CES </w:t>
      </w:r>
      <w:r w:rsidRPr="009E45DB">
        <w:rPr>
          <w:i/>
          <w:iCs/>
          <w:lang w:val="de-CH"/>
        </w:rPr>
        <w:t>+ L</w:t>
      </w:r>
      <w:r w:rsidRPr="009E45DB">
        <w:rPr>
          <w:i/>
          <w:iCs/>
          <w:vertAlign w:val="subscript"/>
          <w:lang w:val="de-CH"/>
        </w:rPr>
        <w:t>BEL</w:t>
      </w:r>
      <w:r w:rsidRPr="009E45DB">
        <w:rPr>
          <w:i/>
          <w:iCs/>
          <w:lang w:val="de-CH"/>
        </w:rPr>
        <w:t xml:space="preserve"> + L</w:t>
      </w:r>
      <w:r w:rsidRPr="009E45DB">
        <w:rPr>
          <w:i/>
          <w:iCs/>
          <w:vertAlign w:val="subscript"/>
          <w:lang w:val="de-CH"/>
        </w:rPr>
        <w:t>X</w:t>
      </w:r>
      <w:r w:rsidRPr="009E45DB">
        <w:rPr>
          <w:lang w:val="de-CH"/>
        </w:rPr>
        <w:tab/>
        <w:t>(1)</w:t>
      </w:r>
    </w:p>
    <w:p w:rsidR="0089268C" w:rsidRDefault="00C3610E">
      <w:pPr>
        <w:spacing w:after="120"/>
        <w:rPr>
          <w:szCs w:val="24"/>
          <w:lang w:val="en-US"/>
        </w:rPr>
      </w:pPr>
      <w:r>
        <w:rPr>
          <w:szCs w:val="24"/>
          <w:lang w:val="en-US"/>
        </w:rPr>
        <w:t>where:</w:t>
      </w:r>
    </w:p>
    <w:p w:rsidR="0089268C" w:rsidRDefault="00C3610E">
      <w:pPr>
        <w:pStyle w:val="Equationlegend"/>
        <w:rPr>
          <w:lang w:val="en-US"/>
        </w:rPr>
      </w:pPr>
      <w:r>
        <w:rPr>
          <w:lang w:val="en-US"/>
        </w:rPr>
        <w:tab/>
      </w:r>
      <w:r>
        <w:rPr>
          <w:i/>
          <w:iCs/>
          <w:lang w:val="en-US"/>
        </w:rPr>
        <w:t>L</w:t>
      </w:r>
      <w:r>
        <w:rPr>
          <w:i/>
          <w:iCs/>
          <w:vertAlign w:val="subscript"/>
          <w:lang w:val="en-US"/>
        </w:rPr>
        <w:t>b</w:t>
      </w:r>
      <w:r>
        <w:rPr>
          <w:lang w:val="en-US"/>
        </w:rPr>
        <w:t>:</w:t>
      </w:r>
      <w:r>
        <w:rPr>
          <w:lang w:val="en-US"/>
        </w:rPr>
        <w:tab/>
        <w:t>Transmission loss for slant distance computed;</w:t>
      </w:r>
    </w:p>
    <w:p w:rsidR="0089268C" w:rsidRDefault="00C3610E">
      <w:pPr>
        <w:pStyle w:val="Equationlegend"/>
        <w:rPr>
          <w:szCs w:val="24"/>
          <w:lang w:val="en-US"/>
        </w:rPr>
      </w:pPr>
      <w:r>
        <w:rPr>
          <w:szCs w:val="24"/>
          <w:lang w:val="en-US"/>
        </w:rPr>
        <w:tab/>
      </w:r>
      <w:r>
        <w:rPr>
          <w:i/>
          <w:iCs/>
          <w:szCs w:val="24"/>
          <w:lang w:val="en-US"/>
        </w:rPr>
        <w:t>L</w:t>
      </w:r>
      <w:r>
        <w:rPr>
          <w:i/>
          <w:iCs/>
          <w:szCs w:val="24"/>
          <w:vertAlign w:val="subscript"/>
          <w:lang w:val="en-US"/>
        </w:rPr>
        <w:t>CES</w:t>
      </w:r>
      <w:r>
        <w:rPr>
          <w:szCs w:val="24"/>
          <w:lang w:val="en-US"/>
        </w:rPr>
        <w:t>:</w:t>
      </w:r>
      <w:r>
        <w:rPr>
          <w:szCs w:val="24"/>
          <w:lang w:val="en-US"/>
        </w:rPr>
        <w:tab/>
        <w:t xml:space="preserve">Earth </w:t>
      </w:r>
      <w:r>
        <w:rPr>
          <w:lang w:val="en-US"/>
        </w:rPr>
        <w:t>t</w:t>
      </w:r>
      <w:r>
        <w:rPr>
          <w:szCs w:val="24"/>
          <w:lang w:val="en-US"/>
        </w:rPr>
        <w:t>o space clutter loss;</w:t>
      </w:r>
    </w:p>
    <w:p w:rsidR="0089268C" w:rsidRDefault="00C3610E">
      <w:pPr>
        <w:pStyle w:val="Equationlegend"/>
        <w:rPr>
          <w:szCs w:val="24"/>
          <w:lang w:val="en-US"/>
        </w:rPr>
      </w:pPr>
      <w:r>
        <w:rPr>
          <w:szCs w:val="24"/>
          <w:lang w:val="en-US"/>
        </w:rPr>
        <w:tab/>
      </w:r>
      <w:r>
        <w:rPr>
          <w:i/>
          <w:iCs/>
          <w:szCs w:val="24"/>
          <w:lang w:val="en-US"/>
        </w:rPr>
        <w:t>L</w:t>
      </w:r>
      <w:r>
        <w:rPr>
          <w:i/>
          <w:iCs/>
          <w:szCs w:val="24"/>
          <w:vertAlign w:val="subscript"/>
          <w:lang w:val="en-US"/>
        </w:rPr>
        <w:t>BEL</w:t>
      </w:r>
      <w:r>
        <w:rPr>
          <w:szCs w:val="24"/>
          <w:lang w:val="en-US"/>
        </w:rPr>
        <w:t>:</w:t>
      </w:r>
      <w:r>
        <w:rPr>
          <w:szCs w:val="24"/>
          <w:lang w:val="en-US"/>
        </w:rPr>
        <w:tab/>
        <w:t>Building entrance loss;</w:t>
      </w:r>
    </w:p>
    <w:p w:rsidR="0089268C" w:rsidRDefault="00C3610E">
      <w:pPr>
        <w:pStyle w:val="Equationlegend"/>
        <w:rPr>
          <w:szCs w:val="24"/>
          <w:lang w:val="en-US"/>
        </w:rPr>
      </w:pPr>
      <w:r>
        <w:rPr>
          <w:szCs w:val="24"/>
          <w:lang w:val="en-US"/>
        </w:rPr>
        <w:tab/>
      </w:r>
      <w:r>
        <w:rPr>
          <w:i/>
          <w:iCs/>
          <w:szCs w:val="24"/>
          <w:lang w:val="en-US"/>
        </w:rPr>
        <w:t>L</w:t>
      </w:r>
      <w:r>
        <w:rPr>
          <w:i/>
          <w:iCs/>
          <w:szCs w:val="24"/>
          <w:vertAlign w:val="subscript"/>
          <w:lang w:val="en-US"/>
        </w:rPr>
        <w:t>x</w:t>
      </w:r>
      <w:r>
        <w:rPr>
          <w:szCs w:val="24"/>
          <w:lang w:val="en-US"/>
        </w:rPr>
        <w:t>:</w:t>
      </w:r>
      <w:r>
        <w:rPr>
          <w:szCs w:val="24"/>
          <w:lang w:val="en-US"/>
        </w:rPr>
        <w:tab/>
        <w:t>Cross-</w:t>
      </w:r>
      <w:r>
        <w:rPr>
          <w:lang w:val="en-US"/>
        </w:rPr>
        <w:t>polarization</w:t>
      </w:r>
      <w:r>
        <w:rPr>
          <w:szCs w:val="24"/>
          <w:lang w:val="en-US"/>
        </w:rPr>
        <w:t xml:space="preserve"> discrimination.</w:t>
      </w:r>
    </w:p>
    <w:p w:rsidR="0089268C" w:rsidRDefault="00C3610E">
      <w:pPr>
        <w:rPr>
          <w:lang w:val="en-US"/>
        </w:rPr>
      </w:pPr>
      <w:r>
        <w:rPr>
          <w:lang w:val="en-US"/>
        </w:rPr>
        <w:t>Each of these factors is discussed below.</w:t>
      </w:r>
    </w:p>
    <w:p w:rsidR="0089268C" w:rsidRDefault="00C3610E">
      <w:pPr>
        <w:rPr>
          <w:szCs w:val="24"/>
          <w:lang w:val="en-US"/>
        </w:rPr>
      </w:pPr>
      <w:r>
        <w:rPr>
          <w:szCs w:val="24"/>
          <w:lang w:val="en-US"/>
        </w:rPr>
        <w:t>A liaison statement from ITU-R Working Party (WP) 3K and 3M to Document 5A/</w:t>
      </w:r>
      <w:hyperlink r:id="rId39" w:history="1">
        <w:r w:rsidRPr="008D4FC9">
          <w:rPr>
            <w:rStyle w:val="Hyperlink"/>
            <w:szCs w:val="24"/>
            <w:lang w:val="en-US"/>
          </w:rPr>
          <w:t>337</w:t>
        </w:r>
      </w:hyperlink>
      <w:r>
        <w:rPr>
          <w:szCs w:val="24"/>
          <w:lang w:val="en-US"/>
        </w:rPr>
        <w:t xml:space="preserve"> provides the following path loss advice for conducting agenda item 1.16 studies:</w:t>
      </w:r>
    </w:p>
    <w:p w:rsidR="0089268C" w:rsidRDefault="00C3610E">
      <w:pPr>
        <w:pStyle w:val="enumlev1"/>
      </w:pPr>
      <w:r>
        <w:rPr>
          <w:szCs w:val="24"/>
          <w:lang w:val="en-US"/>
        </w:rPr>
        <w:t>–</w:t>
      </w:r>
      <w:r>
        <w:rPr>
          <w:szCs w:val="24"/>
          <w:lang w:val="en-US"/>
        </w:rPr>
        <w:tab/>
        <w:t>With regard to the propagation model, Recommendation ITU-R P.619 should be used for earth-to-space paths.</w:t>
      </w:r>
    </w:p>
    <w:p w:rsidR="0089268C" w:rsidRDefault="00C3610E">
      <w:pPr>
        <w:pStyle w:val="enumlev1"/>
      </w:pPr>
      <w:r>
        <w:t>–</w:t>
      </w:r>
      <w:r>
        <w:tab/>
        <w:t>For building entrance loss Recommendation ITU R P</w:t>
      </w:r>
      <w:proofErr w:type="gramStart"/>
      <w:r>
        <w:t>.[</w:t>
      </w:r>
      <w:proofErr w:type="gramEnd"/>
      <w:r>
        <w:t xml:space="preserve">BEL] (see Document </w:t>
      </w:r>
      <w:hyperlink r:id="rId40" w:history="1">
        <w:r w:rsidRPr="0067647E">
          <w:rPr>
            <w:rStyle w:val="Hyperlink"/>
          </w:rPr>
          <w:t>3/57(Rev.1)</w:t>
        </w:r>
      </w:hyperlink>
      <w:r>
        <w:t>) should be used.</w:t>
      </w:r>
    </w:p>
    <w:p w:rsidR="0089268C" w:rsidRDefault="00C3610E">
      <w:pPr>
        <w:pStyle w:val="enumlev1"/>
      </w:pPr>
      <w:r>
        <w:lastRenderedPageBreak/>
        <w:t>–</w:t>
      </w:r>
      <w:r>
        <w:tab/>
        <w:t>For clutter Recommendation ITU R P</w:t>
      </w:r>
      <w:proofErr w:type="gramStart"/>
      <w:r>
        <w:t>.[</w:t>
      </w:r>
      <w:proofErr w:type="gramEnd"/>
      <w:r>
        <w:t xml:space="preserve">CLUTTER] (see Document </w:t>
      </w:r>
      <w:hyperlink r:id="rId41" w:history="1">
        <w:r w:rsidRPr="0067647E">
          <w:rPr>
            <w:rStyle w:val="Hyperlink"/>
          </w:rPr>
          <w:t>3/51(Rev.1)</w:t>
        </w:r>
      </w:hyperlink>
      <w:r>
        <w:t xml:space="preserve">) should be used. While the lower limit of the frequency does not include 5 GHz at this time, progress is being made to extend this. The current frequency range of applicability of section 3.3 of draft new Recommendation ITU-R P.[CLUTTER] is 10-100 GHz; however, if the deployment scenario is similar to that in section 3.3 of draft new Recommendation ITU R P.[CLUTTER] and in draft new Report ITU-R P.[CLUTTER_REP] (see Document </w:t>
      </w:r>
      <w:hyperlink r:id="rId42" w:history="1">
        <w:r w:rsidRPr="002829F6">
          <w:rPr>
            <w:rStyle w:val="Hyperlink"/>
          </w:rPr>
          <w:t>3/52</w:t>
        </w:r>
      </w:hyperlink>
      <w:r>
        <w:t>), the model could reasonably be applied to frequencies as low as 5 GHz but limited to suburban and urban environments and antenna heights up to 6 meters. It is expected that extending draft new Recommendation ITU-R P</w:t>
      </w:r>
      <w:proofErr w:type="gramStart"/>
      <w:r>
        <w:t>.[</w:t>
      </w:r>
      <w:proofErr w:type="gramEnd"/>
      <w:r>
        <w:t>CLUTTER] down to 5 GHz would provide more accurate results tha</w:t>
      </w:r>
      <w:r w:rsidR="001800D2">
        <w:t>n Recommendation ITU-R P.452.</w:t>
      </w:r>
    </w:p>
    <w:p w:rsidR="0089268C" w:rsidRDefault="00C3610E">
      <w:pPr>
        <w:rPr>
          <w:szCs w:val="24"/>
          <w:lang w:val="en-US"/>
        </w:rPr>
      </w:pPr>
      <w:r>
        <w:rPr>
          <w:szCs w:val="24"/>
          <w:lang w:val="en-US"/>
        </w:rPr>
        <w:t>Provided with a note from Chairmen of Study Group 3 and Working Parties 3J, 3K and 3M to Chairman of Task Group 5/1 and various working parties (see Document 5A/357) is an embedded attachment containing an spreadsheet implementation of P</w:t>
      </w:r>
      <w:proofErr w:type="gramStart"/>
      <w:r>
        <w:rPr>
          <w:szCs w:val="24"/>
          <w:lang w:val="en-US"/>
        </w:rPr>
        <w:t>.[</w:t>
      </w:r>
      <w:proofErr w:type="gramEnd"/>
      <w:r>
        <w:rPr>
          <w:szCs w:val="24"/>
          <w:lang w:val="en-US"/>
        </w:rPr>
        <w:t>Clutter] and P.[BEL].</w:t>
      </w:r>
    </w:p>
    <w:p w:rsidR="0089268C" w:rsidRDefault="00C3610E">
      <w:pPr>
        <w:rPr>
          <w:szCs w:val="24"/>
          <w:lang w:val="en-US"/>
        </w:rPr>
      </w:pPr>
      <w:r>
        <w:rPr>
          <w:szCs w:val="24"/>
          <w:lang w:val="en-US"/>
        </w:rPr>
        <w:t>However with respect to the above the following editor’s note was provided in Document 5A/469 Annex 27, M.[RLAN REQ-PAR]:</w:t>
      </w:r>
    </w:p>
    <w:p w:rsidR="0089268C" w:rsidRDefault="00C3610E">
      <w:pPr>
        <w:pStyle w:val="enumlev1"/>
        <w:rPr>
          <w:i/>
          <w:iCs/>
          <w:lang w:val="en-US"/>
        </w:rPr>
      </w:pPr>
      <w:r>
        <w:rPr>
          <w:lang w:val="en-US"/>
        </w:rPr>
        <w:tab/>
      </w:r>
      <w:r>
        <w:rPr>
          <w:i/>
          <w:iCs/>
          <w:lang w:val="en-US"/>
        </w:rPr>
        <w:t xml:space="preserve">Editor’s note: Guidance was received from WPs 3K and 3M as shown below, WP 5A is seeking further clarification on applicability of clutter loss in 5 GHz range. </w:t>
      </w:r>
    </w:p>
    <w:p w:rsidR="0089268C" w:rsidRDefault="00C3610E" w:rsidP="006E6D2F">
      <w:pPr>
        <w:pStyle w:val="Headingi"/>
      </w:pPr>
      <w:r>
        <w:t>Transmission Loss</w:t>
      </w:r>
    </w:p>
    <w:p w:rsidR="0089268C" w:rsidRDefault="00C3610E">
      <w:pPr>
        <w:rPr>
          <w:szCs w:val="24"/>
          <w:lang w:val="en-US"/>
        </w:rPr>
      </w:pPr>
      <w:r>
        <w:rPr>
          <w:szCs w:val="24"/>
          <w:lang w:val="en-US"/>
        </w:rPr>
        <w:t>Transmission loss is computed for slant distance, and climate and other factors specific to each grid. Recommendation ITU-R P.619 provides the following propagation model for calculating transmission loss and can be expressed as:</w:t>
      </w:r>
    </w:p>
    <w:p w:rsidR="0089268C" w:rsidRPr="001E7D0F" w:rsidRDefault="00C3610E">
      <w:pPr>
        <w:pStyle w:val="Equation"/>
        <w:rPr>
          <w:lang w:val="sv-SE"/>
        </w:rPr>
      </w:pPr>
      <w:r>
        <w:rPr>
          <w:lang w:val="en-US"/>
        </w:rPr>
        <w:tab/>
      </w:r>
      <w:r>
        <w:rPr>
          <w:lang w:val="en-US"/>
        </w:rPr>
        <w:tab/>
      </w:r>
      <w:r w:rsidRPr="001E7D0F">
        <w:rPr>
          <w:i/>
          <w:iCs/>
          <w:lang w:val="sv-SE"/>
        </w:rPr>
        <w:t>L</w:t>
      </w:r>
      <w:r w:rsidRPr="001E7D0F">
        <w:rPr>
          <w:i/>
          <w:iCs/>
          <w:vertAlign w:val="subscript"/>
          <w:lang w:val="sv-SE"/>
        </w:rPr>
        <w:t>b</w:t>
      </w:r>
      <w:r w:rsidRPr="001E7D0F">
        <w:rPr>
          <w:lang w:val="sv-SE"/>
        </w:rPr>
        <w:t xml:space="preserve"> = 92.5 + 20 log </w:t>
      </w:r>
      <w:r w:rsidRPr="001E7D0F">
        <w:rPr>
          <w:i/>
          <w:iCs/>
          <w:lang w:val="sv-SE"/>
        </w:rPr>
        <w:t>f</w:t>
      </w:r>
      <w:r w:rsidRPr="001E7D0F">
        <w:rPr>
          <w:lang w:val="sv-SE"/>
        </w:rPr>
        <w:t xml:space="preserve"> + 20 log </w:t>
      </w:r>
      <w:r w:rsidRPr="001E7D0F">
        <w:rPr>
          <w:i/>
          <w:iCs/>
          <w:lang w:val="sv-SE"/>
        </w:rPr>
        <w:t>d</w:t>
      </w:r>
      <w:r w:rsidRPr="001E7D0F">
        <w:rPr>
          <w:lang w:val="sv-SE"/>
        </w:rPr>
        <w:t xml:space="preserve"> + </w:t>
      </w:r>
      <w:r w:rsidRPr="001E7D0F">
        <w:rPr>
          <w:i/>
          <w:iCs/>
          <w:lang w:val="sv-SE"/>
        </w:rPr>
        <w:t>A</w:t>
      </w:r>
      <w:r w:rsidRPr="001E7D0F">
        <w:rPr>
          <w:i/>
          <w:iCs/>
          <w:vertAlign w:val="subscript"/>
          <w:lang w:val="sv-SE"/>
        </w:rPr>
        <w:t>g</w:t>
      </w:r>
      <w:r w:rsidRPr="001E7D0F">
        <w:rPr>
          <w:i/>
          <w:iCs/>
          <w:lang w:val="sv-SE"/>
        </w:rPr>
        <w:t xml:space="preserve"> + A</w:t>
      </w:r>
      <w:r w:rsidRPr="001E7D0F">
        <w:rPr>
          <w:i/>
          <w:iCs/>
          <w:vertAlign w:val="subscript"/>
          <w:lang w:val="sv-SE"/>
        </w:rPr>
        <w:t>D</w:t>
      </w:r>
      <w:r w:rsidRPr="001E7D0F">
        <w:rPr>
          <w:i/>
          <w:iCs/>
          <w:lang w:val="sv-SE"/>
        </w:rPr>
        <w:t xml:space="preserve"> – G</w:t>
      </w:r>
      <w:r w:rsidRPr="001E7D0F">
        <w:rPr>
          <w:i/>
          <w:iCs/>
          <w:vertAlign w:val="subscript"/>
          <w:lang w:val="sv-SE"/>
        </w:rPr>
        <w:t>S</w:t>
      </w:r>
      <w:r w:rsidRPr="001E7D0F">
        <w:rPr>
          <w:lang w:val="sv-SE"/>
        </w:rPr>
        <w:t xml:space="preserve">   dB</w:t>
      </w:r>
      <w:r w:rsidRPr="001E7D0F">
        <w:rPr>
          <w:lang w:val="sv-SE"/>
        </w:rPr>
        <w:tab/>
        <w:t>(2)</w:t>
      </w:r>
    </w:p>
    <w:p w:rsidR="0089268C" w:rsidRDefault="00C3610E">
      <w:pPr>
        <w:spacing w:after="120"/>
        <w:rPr>
          <w:szCs w:val="24"/>
          <w:lang w:val="en-US"/>
        </w:rPr>
      </w:pPr>
      <w:r>
        <w:rPr>
          <w:szCs w:val="24"/>
          <w:lang w:val="en-US"/>
        </w:rPr>
        <w:t>where:</w:t>
      </w:r>
    </w:p>
    <w:p w:rsidR="0089268C" w:rsidRDefault="00C3610E">
      <w:pPr>
        <w:pStyle w:val="Equationlegend"/>
        <w:rPr>
          <w:lang w:val="en-US"/>
        </w:rPr>
      </w:pPr>
      <w:r>
        <w:rPr>
          <w:lang w:val="en-US"/>
        </w:rPr>
        <w:tab/>
        <w:t>ƒ:</w:t>
      </w:r>
      <w:r>
        <w:rPr>
          <w:lang w:val="en-US"/>
        </w:rPr>
        <w:tab/>
        <w:t>frequency (5.2 GHz);</w:t>
      </w:r>
    </w:p>
    <w:p w:rsidR="0089268C" w:rsidRDefault="00C3610E">
      <w:pPr>
        <w:pStyle w:val="Equationlegend"/>
        <w:rPr>
          <w:szCs w:val="24"/>
          <w:lang w:val="en-US"/>
        </w:rPr>
      </w:pPr>
      <w:r>
        <w:rPr>
          <w:szCs w:val="24"/>
          <w:lang w:val="en-US"/>
        </w:rPr>
        <w:tab/>
      </w:r>
      <w:r>
        <w:rPr>
          <w:i/>
          <w:iCs/>
          <w:szCs w:val="24"/>
          <w:lang w:val="en-US"/>
        </w:rPr>
        <w:t>d</w:t>
      </w:r>
      <w:r>
        <w:rPr>
          <w:szCs w:val="24"/>
          <w:lang w:val="en-US"/>
        </w:rPr>
        <w:t>:</w:t>
      </w:r>
      <w:r>
        <w:rPr>
          <w:szCs w:val="24"/>
          <w:lang w:val="en-US"/>
        </w:rPr>
        <w:tab/>
        <w:t xml:space="preserve">path </w:t>
      </w:r>
      <w:r>
        <w:rPr>
          <w:lang w:val="en-US"/>
        </w:rPr>
        <w:t>length</w:t>
      </w:r>
      <w:r>
        <w:rPr>
          <w:szCs w:val="24"/>
          <w:lang w:val="en-US"/>
        </w:rPr>
        <w:t xml:space="preserve"> (km), slant distance from center of grid to satellite;</w:t>
      </w:r>
    </w:p>
    <w:p w:rsidR="0089268C" w:rsidRDefault="00C3610E">
      <w:pPr>
        <w:pStyle w:val="Equationlegend"/>
        <w:rPr>
          <w:szCs w:val="24"/>
          <w:lang w:val="en-US"/>
        </w:rPr>
      </w:pPr>
      <w:r>
        <w:rPr>
          <w:szCs w:val="24"/>
          <w:lang w:val="en-US"/>
        </w:rPr>
        <w:tab/>
      </w:r>
      <w:r>
        <w:rPr>
          <w:i/>
          <w:iCs/>
          <w:szCs w:val="24"/>
          <w:lang w:val="en-US"/>
        </w:rPr>
        <w:t>A</w:t>
      </w:r>
      <w:r>
        <w:rPr>
          <w:i/>
          <w:iCs/>
          <w:szCs w:val="24"/>
          <w:vertAlign w:val="subscript"/>
          <w:lang w:val="en-US"/>
        </w:rPr>
        <w:t>g</w:t>
      </w:r>
      <w:r>
        <w:rPr>
          <w:szCs w:val="24"/>
          <w:lang w:val="en-US"/>
        </w:rPr>
        <w:t>:</w:t>
      </w:r>
      <w:r>
        <w:rPr>
          <w:szCs w:val="24"/>
          <w:lang w:val="en-US"/>
        </w:rPr>
        <w:tab/>
      </w:r>
      <w:r>
        <w:rPr>
          <w:lang w:val="en-US"/>
        </w:rPr>
        <w:t>attenuation</w:t>
      </w:r>
      <w:r>
        <w:rPr>
          <w:szCs w:val="24"/>
          <w:lang w:val="en-US"/>
        </w:rPr>
        <w:t xml:space="preserve"> due to atmospheric gases (0.6 dB);</w:t>
      </w:r>
    </w:p>
    <w:p w:rsidR="0089268C" w:rsidRDefault="00C3610E">
      <w:pPr>
        <w:pStyle w:val="Equationlegend"/>
        <w:rPr>
          <w:szCs w:val="24"/>
          <w:lang w:val="en-US"/>
        </w:rPr>
      </w:pPr>
      <w:r>
        <w:rPr>
          <w:szCs w:val="24"/>
          <w:lang w:val="en-US"/>
        </w:rPr>
        <w:tab/>
      </w:r>
      <w:r>
        <w:rPr>
          <w:i/>
          <w:iCs/>
          <w:szCs w:val="24"/>
          <w:lang w:val="en-US"/>
        </w:rPr>
        <w:t>A</w:t>
      </w:r>
      <w:r>
        <w:rPr>
          <w:i/>
          <w:iCs/>
          <w:szCs w:val="24"/>
          <w:vertAlign w:val="subscript"/>
          <w:lang w:val="en-US"/>
        </w:rPr>
        <w:t>D</w:t>
      </w:r>
      <w:r>
        <w:rPr>
          <w:szCs w:val="24"/>
          <w:lang w:val="en-US"/>
        </w:rPr>
        <w:t>:</w:t>
      </w:r>
      <w:r>
        <w:rPr>
          <w:szCs w:val="24"/>
          <w:lang w:val="en-US"/>
        </w:rPr>
        <w:tab/>
      </w:r>
      <w:r>
        <w:rPr>
          <w:lang w:val="en-US"/>
        </w:rPr>
        <w:t>attenuation</w:t>
      </w:r>
      <w:r>
        <w:rPr>
          <w:szCs w:val="24"/>
          <w:lang w:val="en-US"/>
        </w:rPr>
        <w:t xml:space="preserve"> (dB) due to beam spreading (0 dB);</w:t>
      </w:r>
    </w:p>
    <w:p w:rsidR="0089268C" w:rsidRDefault="00C3610E">
      <w:pPr>
        <w:pStyle w:val="Equationlegend"/>
        <w:rPr>
          <w:szCs w:val="24"/>
          <w:lang w:val="en-US"/>
        </w:rPr>
      </w:pPr>
      <w:r>
        <w:rPr>
          <w:szCs w:val="24"/>
          <w:lang w:val="en-US"/>
        </w:rPr>
        <w:tab/>
      </w:r>
      <w:r>
        <w:rPr>
          <w:i/>
          <w:iCs/>
          <w:szCs w:val="24"/>
          <w:lang w:val="en-US"/>
        </w:rPr>
        <w:t>G</w:t>
      </w:r>
      <w:r>
        <w:rPr>
          <w:i/>
          <w:iCs/>
          <w:szCs w:val="24"/>
          <w:vertAlign w:val="subscript"/>
          <w:lang w:val="en-US"/>
        </w:rPr>
        <w:t>S</w:t>
      </w:r>
      <w:r>
        <w:rPr>
          <w:szCs w:val="24"/>
          <w:lang w:val="en-US"/>
        </w:rPr>
        <w:t>:</w:t>
      </w:r>
      <w:r>
        <w:rPr>
          <w:szCs w:val="24"/>
          <w:lang w:val="en-US"/>
        </w:rPr>
        <w:tab/>
        <w:t>“gain” (dB) due to scintillation (0.65 dB).</w:t>
      </w:r>
    </w:p>
    <w:p w:rsidR="0089268C" w:rsidRDefault="00C3610E">
      <w:pPr>
        <w:rPr>
          <w:szCs w:val="24"/>
          <w:lang w:val="en-US"/>
        </w:rPr>
      </w:pPr>
      <w:r>
        <w:rPr>
          <w:szCs w:val="24"/>
          <w:lang w:val="en-US"/>
        </w:rPr>
        <w:t>Note that ITU-R P.619 references a number of other recommendations that provide values for the last three variables:</w:t>
      </w:r>
    </w:p>
    <w:p w:rsidR="0089268C" w:rsidRDefault="00C3610E">
      <w:pPr>
        <w:rPr>
          <w:szCs w:val="24"/>
          <w:lang w:val="en-US"/>
        </w:rPr>
      </w:pPr>
      <w:r>
        <w:rPr>
          <w:szCs w:val="24"/>
          <w:lang w:val="en-US"/>
        </w:rPr>
        <w:t>A</w:t>
      </w:r>
      <w:r>
        <w:rPr>
          <w:szCs w:val="24"/>
          <w:vertAlign w:val="subscript"/>
          <w:lang w:val="en-US"/>
        </w:rPr>
        <w:t>g</w:t>
      </w:r>
      <w:r>
        <w:rPr>
          <w:szCs w:val="24"/>
          <w:lang w:val="en-US"/>
        </w:rPr>
        <w:t xml:space="preserve"> may be approximated from Figure 6 and equation 28 of Recommendation ITU-R P.676-11, assuming a 45</w:t>
      </w:r>
      <w:r>
        <w:rPr>
          <w:szCs w:val="24"/>
          <w:vertAlign w:val="superscript"/>
          <w:lang w:val="en-US"/>
        </w:rPr>
        <w:t>o</w:t>
      </w:r>
      <w:r>
        <w:rPr>
          <w:szCs w:val="24"/>
          <w:lang w:val="en-US"/>
        </w:rPr>
        <w:t xml:space="preserve"> elevation, as 0.6 dB.</w:t>
      </w:r>
    </w:p>
    <w:p w:rsidR="0089268C" w:rsidRDefault="00C3610E">
      <w:pPr>
        <w:rPr>
          <w:szCs w:val="24"/>
          <w:lang w:val="en-US"/>
        </w:rPr>
      </w:pPr>
      <w:r>
        <w:rPr>
          <w:szCs w:val="24"/>
          <w:lang w:val="en-US"/>
        </w:rPr>
        <w:t>The loss A</w:t>
      </w:r>
      <w:r>
        <w:rPr>
          <w:szCs w:val="24"/>
          <w:vertAlign w:val="subscript"/>
          <w:lang w:val="en-US"/>
        </w:rPr>
        <w:t>D</w:t>
      </w:r>
      <w:r>
        <w:rPr>
          <w:szCs w:val="24"/>
          <w:lang w:val="en-US"/>
        </w:rPr>
        <w:t xml:space="preserve"> due to beam spreading may be calculated from equation 40 of Recommendation ITU-R P.618-12, with the following note: in regular refractive conditions, A</w:t>
      </w:r>
      <w:r>
        <w:rPr>
          <w:szCs w:val="24"/>
          <w:vertAlign w:val="subscript"/>
          <w:lang w:val="en-US"/>
        </w:rPr>
        <w:t>D</w:t>
      </w:r>
      <w:r>
        <w:rPr>
          <w:szCs w:val="24"/>
          <w:lang w:val="en-US"/>
        </w:rPr>
        <w:t xml:space="preserve"> can be ignored at elevation angles above about 3° at latitudes less than 53°. Therefore it is assumed for the purpose of this study that </w:t>
      </w:r>
      <w:r>
        <w:rPr>
          <w:i/>
          <w:iCs/>
          <w:szCs w:val="24"/>
          <w:lang w:val="en-US"/>
        </w:rPr>
        <w:t>A</w:t>
      </w:r>
      <w:r>
        <w:rPr>
          <w:i/>
          <w:iCs/>
          <w:szCs w:val="24"/>
          <w:vertAlign w:val="subscript"/>
          <w:lang w:val="en-US"/>
        </w:rPr>
        <w:t>D</w:t>
      </w:r>
      <w:r>
        <w:rPr>
          <w:i/>
          <w:iCs/>
          <w:szCs w:val="24"/>
          <w:lang w:val="en-US"/>
        </w:rPr>
        <w:t xml:space="preserve"> </w:t>
      </w:r>
      <w:r>
        <w:rPr>
          <w:szCs w:val="24"/>
          <w:lang w:val="en-US"/>
        </w:rPr>
        <w:t>is equals 0 dB.</w:t>
      </w:r>
    </w:p>
    <w:p w:rsidR="0089268C" w:rsidRDefault="00C3610E">
      <w:pPr>
        <w:rPr>
          <w:b/>
          <w:szCs w:val="24"/>
          <w:lang w:val="en-US"/>
        </w:rPr>
      </w:pPr>
      <w:r>
        <w:rPr>
          <w:szCs w:val="24"/>
          <w:lang w:val="en-US"/>
        </w:rPr>
        <w:t xml:space="preserve">Referring to Figure 12 and employing methods described in Recommendation ITU-R P.531-13, including its Figure 12, </w:t>
      </w:r>
      <w:r>
        <w:rPr>
          <w:i/>
          <w:iCs/>
          <w:szCs w:val="24"/>
          <w:lang w:val="en-US"/>
        </w:rPr>
        <w:t>P</w:t>
      </w:r>
      <w:r>
        <w:rPr>
          <w:i/>
          <w:iCs/>
          <w:szCs w:val="24"/>
          <w:vertAlign w:val="subscript"/>
          <w:lang w:val="en-US"/>
        </w:rPr>
        <w:t>fluc</w:t>
      </w:r>
      <w:r>
        <w:rPr>
          <w:szCs w:val="24"/>
          <w:lang w:val="en-US"/>
        </w:rPr>
        <w:t xml:space="preserve"> for 99% of the time was averaged over 6 years, adjusted for frequency and translated to gain/loss. The result is </w:t>
      </w:r>
      <w:r>
        <w:rPr>
          <w:i/>
          <w:iCs/>
          <w:szCs w:val="24"/>
          <w:lang w:val="en-US"/>
        </w:rPr>
        <w:t>G</w:t>
      </w:r>
      <w:r>
        <w:rPr>
          <w:i/>
          <w:iCs/>
          <w:szCs w:val="24"/>
          <w:vertAlign w:val="subscript"/>
          <w:lang w:val="en-US"/>
        </w:rPr>
        <w:t>S</w:t>
      </w:r>
      <w:r>
        <w:rPr>
          <w:szCs w:val="24"/>
          <w:lang w:val="en-US"/>
        </w:rPr>
        <w:t xml:space="preserve"> = 0.65 dB.</w:t>
      </w:r>
    </w:p>
    <w:p w:rsidR="0089268C" w:rsidRPr="006E6D2F" w:rsidRDefault="00C3610E" w:rsidP="006E6D2F">
      <w:pPr>
        <w:pStyle w:val="Headingi"/>
      </w:pPr>
      <w:r w:rsidRPr="006E6D2F">
        <w:t>Clutter Loss</w:t>
      </w:r>
    </w:p>
    <w:p w:rsidR="0089268C" w:rsidRDefault="00C3610E">
      <w:pPr>
        <w:rPr>
          <w:spacing w:val="-2"/>
          <w:szCs w:val="24"/>
          <w:lang w:val="en-US"/>
        </w:rPr>
      </w:pPr>
      <w:r>
        <w:rPr>
          <w:spacing w:val="-2"/>
          <w:szCs w:val="24"/>
          <w:lang w:val="en-US"/>
        </w:rPr>
        <w:t>The scenario (Earth/ to space) under study is in accord with the deployment scenario defined in section 3.3 of Recommendation ITU-R P.[CLUTTER]</w:t>
      </w:r>
      <w:r>
        <w:rPr>
          <w:rFonts w:hint="eastAsia"/>
          <w:spacing w:val="-2"/>
          <w:szCs w:val="24"/>
          <w:lang w:val="en-US" w:eastAsia="zh-CN"/>
        </w:rPr>
        <w:t>（</w:t>
      </w:r>
      <w:r>
        <w:rPr>
          <w:spacing w:val="-2"/>
          <w:szCs w:val="24"/>
          <w:lang w:val="en-US"/>
        </w:rPr>
        <w:t>ITU-R P.2108</w:t>
      </w:r>
      <w:r>
        <w:rPr>
          <w:rFonts w:hint="eastAsia"/>
          <w:spacing w:val="-2"/>
          <w:szCs w:val="24"/>
          <w:lang w:val="en-US" w:eastAsia="zh-CN"/>
        </w:rPr>
        <w:t>）</w:t>
      </w:r>
      <w:r>
        <w:rPr>
          <w:spacing w:val="-2"/>
          <w:szCs w:val="24"/>
          <w:lang w:val="en-US"/>
        </w:rPr>
        <w:t xml:space="preserve">. Therefore, it is used for </w:t>
      </w:r>
      <w:r>
        <w:rPr>
          <w:spacing w:val="-2"/>
          <w:szCs w:val="24"/>
          <w:lang w:val="en-US"/>
        </w:rPr>
        <w:lastRenderedPageBreak/>
        <w:t>the calculation of clutter loss for urban grids where the randomly selected antenna heights are at or below 6 meters and for all suburban grids since the maximum height defined in Table 3 is 4.5 meters.</w:t>
      </w:r>
    </w:p>
    <w:p w:rsidR="0089268C" w:rsidRDefault="00C3610E">
      <w:pPr>
        <w:rPr>
          <w:szCs w:val="24"/>
          <w:lang w:val="en-US"/>
        </w:rPr>
      </w:pPr>
      <w:r>
        <w:rPr>
          <w:szCs w:val="24"/>
          <w:lang w:val="en-US"/>
        </w:rPr>
        <w:t>For a study of this type where interference is aggregated from a large number of devices a 50th percentile clutter loss curve was developed from the P.[Clutter] model. In such a scenario the clutter loss will be greater than that shown for 50% of the grids and at or lower than that shown for 50% of the grids thus any differences are averaged out when aggregated.</w:t>
      </w:r>
    </w:p>
    <w:p w:rsidR="0089268C" w:rsidRDefault="00C3610E">
      <w:pPr>
        <w:pStyle w:val="FigureNo"/>
        <w:rPr>
          <w:lang w:val="en-US"/>
        </w:rPr>
      </w:pPr>
      <w:bookmarkStart w:id="33" w:name="_Toc495068572"/>
      <w:bookmarkStart w:id="34" w:name="_Toc495069099"/>
      <w:bookmarkStart w:id="35" w:name="_Toc495069314"/>
      <w:r>
        <w:rPr>
          <w:lang w:val="en-US"/>
        </w:rPr>
        <w:t xml:space="preserve">Figure </w:t>
      </w:r>
      <w:r w:rsidRPr="001E7D0F">
        <w:rPr>
          <w:lang w:val="en-US"/>
        </w:rPr>
        <w:fldChar w:fldCharType="begin"/>
      </w:r>
      <w:r>
        <w:rPr>
          <w:lang w:val="en-US"/>
        </w:rPr>
        <w:instrText xml:space="preserve"> SEQ Figure \* ARABIC </w:instrText>
      </w:r>
      <w:r w:rsidRPr="001E7D0F">
        <w:rPr>
          <w:lang w:val="en-US"/>
        </w:rPr>
        <w:fldChar w:fldCharType="separate"/>
      </w:r>
      <w:r>
        <w:rPr>
          <w:noProof/>
          <w:lang w:val="en-US"/>
        </w:rPr>
        <w:t>3</w:t>
      </w:r>
      <w:r w:rsidRPr="001E7D0F">
        <w:rPr>
          <w:lang w:val="en-US"/>
        </w:rPr>
        <w:fldChar w:fldCharType="end"/>
      </w:r>
    </w:p>
    <w:p w:rsidR="0089268C" w:rsidRDefault="00C3610E" w:rsidP="005C1912">
      <w:pPr>
        <w:pStyle w:val="Figuretitle"/>
      </w:pPr>
      <w:r>
        <w:rPr>
          <w:lang w:val="en-US"/>
        </w:rPr>
        <w:t xml:space="preserve">P.[Clutter] for suburban and urban grids with antenna heights </w:t>
      </w:r>
      <w:r>
        <w:rPr>
          <w:rFonts w:hint="eastAsia"/>
          <w:lang w:val="en-US"/>
        </w:rPr>
        <w:t>≤</w:t>
      </w:r>
      <w:r>
        <w:rPr>
          <w:lang w:val="en-US"/>
        </w:rPr>
        <w:t xml:space="preserve"> 6 meters</w:t>
      </w:r>
      <w:bookmarkEnd w:id="33"/>
      <w:bookmarkEnd w:id="34"/>
      <w:bookmarkEnd w:id="35"/>
    </w:p>
    <w:p w:rsidR="0089268C" w:rsidRDefault="00C3610E" w:rsidP="005C1912">
      <w:pPr>
        <w:pStyle w:val="Figure"/>
      </w:pPr>
      <w:r w:rsidRPr="001E7D0F">
        <w:rPr>
          <w:lang w:val="en-GB"/>
        </w:rPr>
        <w:drawing>
          <wp:inline distT="0" distB="0" distL="0" distR="0">
            <wp:extent cx="4579620" cy="2743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79620" cy="2743200"/>
                    </a:xfrm>
                    <a:prstGeom prst="rect">
                      <a:avLst/>
                    </a:prstGeom>
                    <a:noFill/>
                    <a:ln>
                      <a:noFill/>
                    </a:ln>
                  </pic:spPr>
                </pic:pic>
              </a:graphicData>
            </a:graphic>
          </wp:inline>
        </w:drawing>
      </w:r>
    </w:p>
    <w:p w:rsidR="0089268C" w:rsidRDefault="00C3610E">
      <w:pPr>
        <w:rPr>
          <w:szCs w:val="24"/>
          <w:lang w:val="en-US"/>
        </w:rPr>
      </w:pPr>
      <w:r>
        <w:rPr>
          <w:szCs w:val="24"/>
          <w:lang w:val="en-US"/>
        </w:rPr>
        <w:t xml:space="preserve">Embedded in Document </w:t>
      </w:r>
      <w:hyperlink r:id="rId44" w:history="1">
        <w:r>
          <w:rPr>
            <w:rStyle w:val="Hyperlink"/>
            <w:szCs w:val="24"/>
            <w:lang w:val="en-US"/>
          </w:rPr>
          <w:t>5A/114</w:t>
        </w:r>
      </w:hyperlink>
      <w:r>
        <w:rPr>
          <w:szCs w:val="24"/>
          <w:lang w:val="en-US"/>
        </w:rPr>
        <w:t xml:space="preserve"> Annex 24</w:t>
      </w:r>
      <w:r>
        <w:rPr>
          <w:rStyle w:val="FootnoteReference"/>
          <w:szCs w:val="24"/>
          <w:lang w:val="en-US"/>
        </w:rPr>
        <w:footnoteReference w:id="6"/>
      </w:r>
      <w:r>
        <w:rPr>
          <w:szCs w:val="24"/>
          <w:lang w:val="en-US"/>
        </w:rPr>
        <w:t>, is a spreadsheet implementation of ITU-R P.452. Per the advice from WP 3M and 3K on restrictions for use of P.[Clutter], this study employs P.452 for all rural grids and for urban grids where the antenna height randomly selected is greater than 6 meters. The clutter loss values are calculated for the “sparse houses”, and “urban” clutter (ground-cover) categories were applied to the rural and urban grids respectively. Theta max (</w:t>
      </w:r>
      <w:r>
        <w:rPr>
          <w:rFonts w:ascii="Symbol" w:hAnsi="Symbol"/>
          <w:szCs w:val="24"/>
          <w:lang w:val="en-US"/>
        </w:rPr>
        <w:t></w:t>
      </w:r>
      <w:r>
        <w:rPr>
          <w:szCs w:val="24"/>
          <w:lang w:val="en-US"/>
        </w:rPr>
        <w:t>°) provides the angle from the RLAN transmitter to the top of the clutter height. Therefore, if the spacecraft is at an elevation angle at or below theta max (</w:t>
      </w:r>
      <w:r>
        <w:rPr>
          <w:rFonts w:ascii="Symbol" w:hAnsi="Symbol"/>
          <w:szCs w:val="24"/>
          <w:lang w:val="en-US"/>
        </w:rPr>
        <w:t></w:t>
      </w:r>
      <w:r>
        <w:rPr>
          <w:szCs w:val="24"/>
          <w:lang w:val="en-US"/>
        </w:rPr>
        <w:t>°), clutter loss should be added. If the spacecraft is above theta max (</w:t>
      </w:r>
      <w:r>
        <w:rPr>
          <w:rFonts w:ascii="Symbol" w:hAnsi="Symbol"/>
          <w:szCs w:val="24"/>
          <w:lang w:val="en-US"/>
        </w:rPr>
        <w:t></w:t>
      </w:r>
      <w:r>
        <w:rPr>
          <w:szCs w:val="24"/>
          <w:lang w:val="en-US"/>
        </w:rPr>
        <w:t>°) of the respective clutter category, there is no clutter loss.</w:t>
      </w:r>
    </w:p>
    <w:p w:rsidR="0089268C" w:rsidRDefault="00C3610E">
      <w:pPr>
        <w:rPr>
          <w:szCs w:val="24"/>
          <w:lang w:val="en-US"/>
        </w:rPr>
      </w:pPr>
      <w:r>
        <w:rPr>
          <w:szCs w:val="24"/>
          <w:lang w:val="en-US"/>
        </w:rPr>
        <w:t xml:space="preserve">For rural grids only the lower 1.5 meter antenna height results in a possible clutter loss of 17.3 dB and only if the elevation angle is </w:t>
      </w:r>
      <w:r>
        <w:rPr>
          <w:szCs w:val="24"/>
          <w:u w:val="single"/>
          <w:lang w:val="en-US"/>
        </w:rPr>
        <w:t>&lt;</w:t>
      </w:r>
      <w:r>
        <w:rPr>
          <w:szCs w:val="24"/>
          <w:lang w:val="en-US"/>
        </w:rPr>
        <w:t xml:space="preserve"> 1.4 deg. For urban grids Figure 4 provides clutter losses on the left vertical axis and maximum elevation angle theta max (</w:t>
      </w:r>
      <w:r>
        <w:rPr>
          <w:rFonts w:ascii="Symbol" w:hAnsi="Symbol"/>
          <w:szCs w:val="24"/>
          <w:lang w:val="en-US"/>
        </w:rPr>
        <w:t></w:t>
      </w:r>
      <w:r>
        <w:rPr>
          <w:szCs w:val="24"/>
          <w:lang w:val="en-US"/>
        </w:rPr>
        <w:t>°) on the right vertical axis versus the antenna heights displayed on the horizontal axis. When the randomly selected antenna height exceeds 6 meters for urban grids the clutter loss value corresponding to the antenna height is added to the path loss only if the elevation angle is equal to or less than theta max (</w:t>
      </w:r>
      <w:r>
        <w:rPr>
          <w:rFonts w:ascii="Symbol" w:hAnsi="Symbol"/>
          <w:szCs w:val="24"/>
          <w:lang w:val="en-US"/>
        </w:rPr>
        <w:t></w:t>
      </w:r>
      <w:r>
        <w:rPr>
          <w:szCs w:val="24"/>
          <w:lang w:val="en-US"/>
        </w:rPr>
        <w:t>°).</w:t>
      </w:r>
    </w:p>
    <w:p w:rsidR="0089268C" w:rsidRDefault="00C3610E">
      <w:pPr>
        <w:pStyle w:val="FigureNo"/>
        <w:rPr>
          <w:lang w:val="en-US"/>
        </w:rPr>
      </w:pPr>
      <w:bookmarkStart w:id="36" w:name="_Toc495068573"/>
      <w:bookmarkStart w:id="37" w:name="_Toc495069100"/>
      <w:bookmarkStart w:id="38" w:name="_Toc495069315"/>
      <w:r>
        <w:rPr>
          <w:lang w:val="en-US"/>
        </w:rPr>
        <w:lastRenderedPageBreak/>
        <w:t xml:space="preserve">Figure </w:t>
      </w:r>
      <w:r w:rsidRPr="001E7D0F">
        <w:rPr>
          <w:lang w:val="en-US"/>
        </w:rPr>
        <w:fldChar w:fldCharType="begin"/>
      </w:r>
      <w:r>
        <w:rPr>
          <w:lang w:val="en-US"/>
        </w:rPr>
        <w:instrText xml:space="preserve"> SEQ Figure \* ARABIC </w:instrText>
      </w:r>
      <w:r w:rsidRPr="001E7D0F">
        <w:rPr>
          <w:lang w:val="en-US"/>
        </w:rPr>
        <w:fldChar w:fldCharType="separate"/>
      </w:r>
      <w:r>
        <w:rPr>
          <w:noProof/>
          <w:lang w:val="en-US"/>
        </w:rPr>
        <w:t>4</w:t>
      </w:r>
      <w:r w:rsidRPr="001E7D0F">
        <w:rPr>
          <w:lang w:val="en-US"/>
        </w:rPr>
        <w:fldChar w:fldCharType="end"/>
      </w:r>
    </w:p>
    <w:p w:rsidR="0089268C" w:rsidRDefault="00C3610E" w:rsidP="005C1912">
      <w:pPr>
        <w:pStyle w:val="Figuretitle"/>
      </w:pPr>
      <w:r>
        <w:rPr>
          <w:lang w:val="en-US"/>
        </w:rPr>
        <w:t xml:space="preserve">P.452 clutter loss for urban grids with antenna heights </w:t>
      </w:r>
      <w:r>
        <w:rPr>
          <w:rFonts w:hint="eastAsia"/>
          <w:lang w:val="en-US"/>
        </w:rPr>
        <w:t>≥</w:t>
      </w:r>
      <w:r>
        <w:rPr>
          <w:lang w:val="en-US"/>
        </w:rPr>
        <w:t xml:space="preserve"> 6 meters</w:t>
      </w:r>
      <w:bookmarkEnd w:id="36"/>
      <w:bookmarkEnd w:id="37"/>
      <w:bookmarkEnd w:id="38"/>
    </w:p>
    <w:p w:rsidR="0089268C" w:rsidRDefault="00C3610E" w:rsidP="005C1912">
      <w:pPr>
        <w:pStyle w:val="Figure"/>
      </w:pPr>
      <w:r w:rsidRPr="001E7D0F">
        <w:rPr>
          <w:lang w:val="en-GB"/>
        </w:rPr>
        <w:drawing>
          <wp:inline distT="0" distB="0" distL="0" distR="0">
            <wp:extent cx="4579620" cy="2743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9620" cy="2743200"/>
                    </a:xfrm>
                    <a:prstGeom prst="rect">
                      <a:avLst/>
                    </a:prstGeom>
                    <a:noFill/>
                    <a:ln>
                      <a:noFill/>
                    </a:ln>
                  </pic:spPr>
                </pic:pic>
              </a:graphicData>
            </a:graphic>
          </wp:inline>
        </w:drawing>
      </w:r>
    </w:p>
    <w:p w:rsidR="0089268C" w:rsidRDefault="00C3610E" w:rsidP="006E6D2F">
      <w:pPr>
        <w:pStyle w:val="Headingi"/>
      </w:pPr>
      <w:r>
        <w:t>Building Loss</w:t>
      </w:r>
    </w:p>
    <w:p w:rsidR="0089268C" w:rsidRDefault="00C3610E">
      <w:pPr>
        <w:rPr>
          <w:szCs w:val="24"/>
          <w:lang w:val="en-US"/>
        </w:rPr>
      </w:pPr>
      <w:r>
        <w:rPr>
          <w:szCs w:val="24"/>
          <w:lang w:val="en-US"/>
        </w:rPr>
        <w:t>The spreadsheet implementation of P.[Bel]</w:t>
      </w:r>
      <w:r>
        <w:rPr>
          <w:rFonts w:hint="eastAsia"/>
          <w:szCs w:val="24"/>
          <w:lang w:val="en-US" w:eastAsia="zh-CN"/>
        </w:rPr>
        <w:t>（</w:t>
      </w:r>
      <w:r>
        <w:rPr>
          <w:szCs w:val="24"/>
          <w:lang w:val="en-US" w:eastAsia="zh-CN"/>
        </w:rPr>
        <w:t>ITU-R P.2109</w:t>
      </w:r>
      <w:r>
        <w:rPr>
          <w:rFonts w:hint="eastAsia"/>
          <w:szCs w:val="24"/>
          <w:lang w:val="en-US" w:eastAsia="zh-CN"/>
        </w:rPr>
        <w:t>）</w:t>
      </w:r>
      <w:r>
        <w:rPr>
          <w:szCs w:val="24"/>
          <w:lang w:val="en-US"/>
        </w:rPr>
        <w:t xml:space="preserve"> provided by ITU-R Study Group 3 was used to generate a 50</w:t>
      </w:r>
      <w:r>
        <w:rPr>
          <w:szCs w:val="24"/>
          <w:vertAlign w:val="superscript"/>
          <w:lang w:val="en-US"/>
        </w:rPr>
        <w:t>th</w:t>
      </w:r>
      <w:r>
        <w:rPr>
          <w:szCs w:val="24"/>
          <w:lang w:val="en-US"/>
        </w:rPr>
        <w:t xml:space="preserve"> percentile building entrance loss curve for traditional buildings; thermally-efficient buildings were not considered (see Figure 5). As previously noted in the clutter discussion above the actual loss will be greater than that shown for 50% of the grids and at or lower than that shown for 50% of the grids – thus any differences are averaged out when aggregated. </w:t>
      </w:r>
    </w:p>
    <w:p w:rsidR="0089268C" w:rsidRDefault="00C3610E">
      <w:pPr>
        <w:rPr>
          <w:szCs w:val="24"/>
          <w:lang w:val="en-US"/>
        </w:rPr>
      </w:pPr>
      <w:r>
        <w:rPr>
          <w:szCs w:val="24"/>
          <w:lang w:val="en-US"/>
        </w:rPr>
        <w:t>[Editor’s Note: Other distributions of the building loss in Recommendation ITU-R P.2109 may be considered in the further study.]</w:t>
      </w:r>
    </w:p>
    <w:p w:rsidR="0089268C" w:rsidRDefault="00C3610E">
      <w:pPr>
        <w:pStyle w:val="FigureNo"/>
        <w:rPr>
          <w:lang w:val="en-US"/>
        </w:rPr>
      </w:pPr>
      <w:bookmarkStart w:id="39" w:name="_Toc495068574"/>
      <w:bookmarkStart w:id="40" w:name="_Toc495069101"/>
      <w:bookmarkStart w:id="41" w:name="_Toc495069316"/>
      <w:r>
        <w:rPr>
          <w:lang w:val="en-US"/>
        </w:rPr>
        <w:t xml:space="preserve">Figure </w:t>
      </w:r>
      <w:r w:rsidRPr="001E7D0F">
        <w:rPr>
          <w:lang w:val="en-US"/>
        </w:rPr>
        <w:fldChar w:fldCharType="begin"/>
      </w:r>
      <w:r>
        <w:rPr>
          <w:lang w:val="en-US"/>
        </w:rPr>
        <w:instrText xml:space="preserve"> SEQ Figure \* ARABIC </w:instrText>
      </w:r>
      <w:r w:rsidRPr="001E7D0F">
        <w:rPr>
          <w:lang w:val="en-US"/>
        </w:rPr>
        <w:fldChar w:fldCharType="separate"/>
      </w:r>
      <w:r>
        <w:rPr>
          <w:noProof/>
          <w:lang w:val="en-US"/>
        </w:rPr>
        <w:t>5</w:t>
      </w:r>
      <w:r w:rsidRPr="001E7D0F">
        <w:rPr>
          <w:lang w:val="en-US"/>
        </w:rPr>
        <w:fldChar w:fldCharType="end"/>
      </w:r>
    </w:p>
    <w:p w:rsidR="0089268C" w:rsidRDefault="00C3610E" w:rsidP="005C1912">
      <w:pPr>
        <w:pStyle w:val="Figuretitle"/>
      </w:pPr>
      <w:r>
        <w:rPr>
          <w:lang w:val="en-US"/>
        </w:rPr>
        <w:t>P.[BEL] for indoor locations</w:t>
      </w:r>
      <w:bookmarkEnd w:id="39"/>
      <w:bookmarkEnd w:id="40"/>
      <w:bookmarkEnd w:id="41"/>
    </w:p>
    <w:p w:rsidR="0089268C" w:rsidRDefault="00C3610E" w:rsidP="005C1912">
      <w:pPr>
        <w:pStyle w:val="Figure"/>
      </w:pPr>
      <w:r w:rsidRPr="001E7D0F">
        <w:rPr>
          <w:lang w:val="en-GB"/>
        </w:rPr>
        <w:drawing>
          <wp:inline distT="0" distB="0" distL="0" distR="0">
            <wp:extent cx="4579620" cy="274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79620" cy="2743200"/>
                    </a:xfrm>
                    <a:prstGeom prst="rect">
                      <a:avLst/>
                    </a:prstGeom>
                    <a:noFill/>
                    <a:ln>
                      <a:noFill/>
                    </a:ln>
                  </pic:spPr>
                </pic:pic>
              </a:graphicData>
            </a:graphic>
          </wp:inline>
        </w:drawing>
      </w:r>
    </w:p>
    <w:p w:rsidR="0089268C" w:rsidRDefault="00C3610E" w:rsidP="006E6D2F">
      <w:pPr>
        <w:pStyle w:val="Headingi"/>
      </w:pPr>
      <w:r>
        <w:lastRenderedPageBreak/>
        <w:t>Polarization Discrimination</w:t>
      </w:r>
    </w:p>
    <w:p w:rsidR="0089268C" w:rsidRDefault="00C3610E">
      <w:pPr>
        <w:rPr>
          <w:szCs w:val="24"/>
          <w:lang w:val="en-US"/>
        </w:rPr>
      </w:pPr>
      <w:r>
        <w:rPr>
          <w:szCs w:val="24"/>
          <w:lang w:val="en-US"/>
        </w:rPr>
        <w:t>Polarization mismatch discrimination is the ratio at the receiving point between received power in the expected polarization and received power from a wave transmitted with a different polarization. Since RLAN devices are linearly polarized and the single system’s satellite feeder links utilize circular polarization, some level of discrimination will exist. In the case of an interfering wave in linear polarization (the linear polarization vector can be derived from two circular polarization vectors, right- and left-hand rotation), the discrimination obtained at the victim receive antenna operating in circular polarization is provided in ITU-R S.736-3 as:</w:t>
      </w:r>
    </w:p>
    <w:p w:rsidR="0089268C" w:rsidRDefault="00C3610E">
      <w:pPr>
        <w:pStyle w:val="Equation"/>
        <w:rPr>
          <w:lang w:val="en-US"/>
        </w:rPr>
      </w:pPr>
      <w:r>
        <w:rPr>
          <w:lang w:val="en-US"/>
        </w:rPr>
        <w:tab/>
      </w:r>
      <w:r>
        <w:rPr>
          <w:lang w:val="en-US"/>
        </w:rPr>
        <w:tab/>
      </w:r>
      <w:r>
        <w:rPr>
          <w:i/>
          <w:iCs/>
          <w:lang w:val="en-US"/>
        </w:rPr>
        <w:t>L</w:t>
      </w:r>
      <w:r>
        <w:rPr>
          <w:i/>
          <w:iCs/>
          <w:vertAlign w:val="subscript"/>
          <w:lang w:val="en-US"/>
        </w:rPr>
        <w:t>x</w:t>
      </w:r>
      <w:r>
        <w:rPr>
          <w:lang w:val="en-US"/>
        </w:rPr>
        <w:t xml:space="preserve"> = –10 log [1/2 (1 + 10-</w:t>
      </w:r>
      <w:r>
        <w:rPr>
          <w:vertAlign w:val="superscript"/>
          <w:lang w:val="en-US"/>
        </w:rPr>
        <w:t>Dp(</w:t>
      </w:r>
      <w:r>
        <w:rPr>
          <w:rFonts w:ascii="Symbol" w:hAnsi="Symbol"/>
          <w:vertAlign w:val="superscript"/>
          <w:lang w:val="en-US"/>
        </w:rPr>
        <w:t></w:t>
      </w:r>
      <w:r>
        <w:rPr>
          <w:vertAlign w:val="superscript"/>
          <w:lang w:val="en-US"/>
        </w:rPr>
        <w:t>)/10</w:t>
      </w:r>
      <w:r>
        <w:rPr>
          <w:lang w:val="en-US"/>
        </w:rPr>
        <w:t>) dB]</w:t>
      </w:r>
      <w:r>
        <w:rPr>
          <w:lang w:val="en-US"/>
        </w:rPr>
        <w:tab/>
        <w:t>(3)</w:t>
      </w:r>
    </w:p>
    <w:p w:rsidR="0089268C" w:rsidRDefault="00C3610E">
      <w:pPr>
        <w:rPr>
          <w:szCs w:val="24"/>
          <w:lang w:val="en-US"/>
        </w:rPr>
      </w:pPr>
      <w:r>
        <w:rPr>
          <w:szCs w:val="24"/>
          <w:lang w:val="en-US"/>
        </w:rPr>
        <w:t>where:</w:t>
      </w:r>
    </w:p>
    <w:p w:rsidR="0089268C" w:rsidRDefault="00C3610E">
      <w:pPr>
        <w:pStyle w:val="Equationlegend"/>
        <w:rPr>
          <w:lang w:val="en-US"/>
        </w:rPr>
      </w:pPr>
      <w:r>
        <w:rPr>
          <w:lang w:val="en-US"/>
        </w:rPr>
        <w:tab/>
      </w:r>
      <w:r>
        <w:rPr>
          <w:i/>
          <w:iCs/>
          <w:lang w:val="en-US"/>
        </w:rPr>
        <w:t>Dp</w:t>
      </w:r>
      <w:r>
        <w:rPr>
          <w:lang w:val="en-US"/>
        </w:rPr>
        <w:t>(</w:t>
      </w:r>
      <w:r>
        <w:rPr>
          <w:rFonts w:ascii="Symbol" w:hAnsi="Symbol"/>
          <w:lang w:val="en-US"/>
        </w:rPr>
        <w:t></w:t>
      </w:r>
      <w:r>
        <w:rPr>
          <w:lang w:val="en-US"/>
        </w:rPr>
        <w:t>):</w:t>
      </w:r>
      <w:r>
        <w:rPr>
          <w:lang w:val="en-US"/>
        </w:rPr>
        <w:tab/>
        <w:t>polarization decoupling of the receive antenna (dB).</w:t>
      </w:r>
    </w:p>
    <w:p w:rsidR="0089268C" w:rsidRDefault="00C3610E">
      <w:pPr>
        <w:rPr>
          <w:szCs w:val="24"/>
          <w:lang w:val="en-US"/>
        </w:rPr>
      </w:pPr>
      <w:r>
        <w:rPr>
          <w:szCs w:val="24"/>
          <w:lang w:val="en-US"/>
        </w:rPr>
        <w:t xml:space="preserve">This would result in 3 dB discrimination in the case of perfect decoupling. Since the operational environment will result in less than perfect decoupling, most studies will assume less than 3 dB. For this study we assumes 1.4 dB per ITU RR Appendix </w:t>
      </w:r>
      <w:r>
        <w:rPr>
          <w:b/>
          <w:bCs/>
          <w:szCs w:val="24"/>
          <w:lang w:val="en-US"/>
        </w:rPr>
        <w:t>8</w:t>
      </w:r>
      <w:r>
        <w:rPr>
          <w:szCs w:val="24"/>
          <w:lang w:val="en-US"/>
        </w:rPr>
        <w:t xml:space="preserve"> (2.2.3).</w:t>
      </w:r>
    </w:p>
    <w:p w:rsidR="0089268C" w:rsidRDefault="00C3610E" w:rsidP="00E5537E">
      <w:pPr>
        <w:pStyle w:val="Heading6"/>
      </w:pPr>
      <w:bookmarkStart w:id="42" w:name="_Toc496516377"/>
      <w:r>
        <w:t>5.1.1.</w:t>
      </w:r>
      <w:r w:rsidR="00E5537E">
        <w:t>3</w:t>
      </w:r>
      <w:r>
        <w:t>.2.5</w:t>
      </w:r>
      <w:r>
        <w:tab/>
        <w:t>Number of RLAN devices simultaneously transmitting in the 5 150</w:t>
      </w:r>
      <w:r>
        <w:noBreakHyphen/>
        <w:t>5 250 MHz band</w:t>
      </w:r>
      <w:bookmarkEnd w:id="42"/>
    </w:p>
    <w:p w:rsidR="0089268C" w:rsidRDefault="00C3610E">
      <w:pPr>
        <w:rPr>
          <w:szCs w:val="24"/>
          <w:lang w:val="en-US"/>
        </w:rPr>
      </w:pPr>
      <w:r>
        <w:rPr>
          <w:szCs w:val="24"/>
          <w:lang w:val="en-US"/>
        </w:rPr>
        <w:t>In order to calculate the contribution of RLANs in a grid to the aggregate interference into a 1.23 MHz CDMA carrier channel contained within the sole MSS system’s FSS feeder link the density of RLAN transmissions in the 5 150</w:t>
      </w:r>
      <w:r>
        <w:rPr>
          <w:szCs w:val="24"/>
          <w:lang w:val="en-US"/>
        </w:rPr>
        <w:noBreakHyphen/>
        <w:t>5 250 MHz band must first be determined. To calculate this number each grid is first categorized as belonging to one of three demographics, urban, suburban or rural. Then the demographic appropriate factors, shown in Table 4, are applied to the grid population count. As a starting point the factors summarized in the tables in R12-JTG4567-C-0715-Annex 36 were reviewed and adjusted as discussed below. Three additional factors are also included: a time zone factor, a 5 GHz factor, and an overlap factor. These demographic factors are defined as follows with additional discussion following as needed:</w:t>
      </w:r>
    </w:p>
    <w:p w:rsidR="0089268C" w:rsidRDefault="00C3610E">
      <w:pPr>
        <w:pStyle w:val="enumlev1"/>
      </w:pPr>
      <w:r>
        <w:rPr>
          <w:szCs w:val="24"/>
          <w:lang w:val="en-US"/>
        </w:rPr>
        <w:t>–</w:t>
      </w:r>
      <w:r>
        <w:rPr>
          <w:szCs w:val="24"/>
          <w:lang w:val="en-US"/>
        </w:rPr>
        <w:tab/>
        <w:t>Busy Hour factor is the percent of the population connected to an AP during the busy hour, but not necessarily transmitting or receiving;</w:t>
      </w:r>
    </w:p>
    <w:p w:rsidR="0089268C" w:rsidRDefault="00C3610E">
      <w:pPr>
        <w:pStyle w:val="enumlev1"/>
      </w:pPr>
      <w:r>
        <w:t>–</w:t>
      </w:r>
      <w:r>
        <w:tab/>
        <w:t xml:space="preserve">Time zone adjustment to account for satellite footprint covering multiple time zones. There are two different adjustments one for daytime and one for nighttime; </w:t>
      </w:r>
    </w:p>
    <w:p w:rsidR="0089268C" w:rsidRDefault="00C3610E">
      <w:pPr>
        <w:pStyle w:val="enumlev1"/>
      </w:pPr>
      <w:r>
        <w:t>–</w:t>
      </w:r>
      <w:r>
        <w:tab/>
        <w:t xml:space="preserve">Market Factor is the percent of population with RLAN devices, </w:t>
      </w:r>
      <w:r>
        <w:rPr>
          <w:i/>
        </w:rPr>
        <w:t>i.e.</w:t>
      </w:r>
      <w:r>
        <w:t xml:space="preserve">, users; this has been updated to reflect latest information concerning Internet usage that might be expected from users within the FSS feeder antenna footprint; </w:t>
      </w:r>
    </w:p>
    <w:p w:rsidR="0089268C" w:rsidRDefault="00C3610E">
      <w:pPr>
        <w:pStyle w:val="enumlev1"/>
      </w:pPr>
      <w:r>
        <w:t>–</w:t>
      </w:r>
      <w:r>
        <w:tab/>
        <w:t xml:space="preserve">System Factor is the ratio of access points to users where an access point defines an RLAN cell. This has been adjusted to reflect inhabitants per household within the FSS feeder antenna footprint; </w:t>
      </w:r>
    </w:p>
    <w:p w:rsidR="0089268C" w:rsidRDefault="00C3610E">
      <w:pPr>
        <w:pStyle w:val="enumlev1"/>
      </w:pPr>
      <w:r>
        <w:t>–</w:t>
      </w:r>
      <w:r>
        <w:tab/>
        <w:t xml:space="preserve">Activity Factor is the percent of RLANs with transmissions; </w:t>
      </w:r>
    </w:p>
    <w:p w:rsidR="0089268C" w:rsidRDefault="00C3610E">
      <w:pPr>
        <w:pStyle w:val="enumlev1"/>
      </w:pPr>
      <w:r>
        <w:t>–</w:t>
      </w:r>
      <w:r>
        <w:tab/>
        <w:t>5 GHz Factor is the ratio of RLANs that can operate in the 5 GHz range to the total number of RLANs including 2.4 GHz RLANs;</w:t>
      </w:r>
    </w:p>
    <w:p w:rsidR="0089268C" w:rsidRDefault="00C3610E">
      <w:pPr>
        <w:pStyle w:val="enumlev1"/>
      </w:pPr>
      <w:r>
        <w:t>–</w:t>
      </w:r>
      <w:r>
        <w:tab/>
        <w:t>Overlap Factor is the ratio of RLANs operating in the 5 150-5 250 MHz band to those operating across the 5 GHz range;</w:t>
      </w:r>
    </w:p>
    <w:p w:rsidR="0089268C" w:rsidRDefault="00C3610E">
      <w:pPr>
        <w:pStyle w:val="enumlev1"/>
      </w:pPr>
      <w:r>
        <w:t>–</w:t>
      </w:r>
      <w:r>
        <w:tab/>
        <w:t>Density refers to the density of RLAN transmissions in a channel in the 5 150</w:t>
      </w:r>
      <w:r>
        <w:noBreakHyphen/>
        <w:t xml:space="preserve">5 250 MHz band per inhabitant. It is simply the product of all other factors for each demographic. The daytime factors are used when the satellite being simulated passes over North America between the hours of 08:00 and 20:00. The nighttime factors </w:t>
      </w:r>
      <w:r>
        <w:lastRenderedPageBreak/>
        <w:t>are used when the satellite being simulated passes over the North America between the hours of 20:00 and 0</w:t>
      </w:r>
      <w:r w:rsidR="001800D2">
        <w:t>8:00 the remainder of the time.</w:t>
      </w:r>
    </w:p>
    <w:p w:rsidR="0089268C" w:rsidRDefault="00C3610E">
      <w:pPr>
        <w:pStyle w:val="TableNo"/>
        <w:rPr>
          <w:lang w:val="en-US"/>
        </w:rPr>
      </w:pPr>
      <w:bookmarkStart w:id="43" w:name="_Toc495068575"/>
      <w:bookmarkStart w:id="44" w:name="_Toc495069102"/>
      <w:bookmarkStart w:id="45" w:name="_Toc495069317"/>
      <w:r>
        <w:rPr>
          <w:lang w:val="en-US"/>
        </w:rPr>
        <w:t>Table 4</w:t>
      </w:r>
    </w:p>
    <w:p w:rsidR="0089268C" w:rsidRDefault="00C3610E">
      <w:pPr>
        <w:pStyle w:val="Tabletitle"/>
      </w:pPr>
      <w:r>
        <w:rPr>
          <w:lang w:val="en-US"/>
        </w:rPr>
        <w:t>Assumed demographic factors</w:t>
      </w:r>
      <w:bookmarkEnd w:id="43"/>
      <w:bookmarkEnd w:id="44"/>
      <w:bookmarkEnd w:id="45"/>
    </w:p>
    <w:p w:rsidR="0089268C" w:rsidRDefault="00C3610E" w:rsidP="005C1912">
      <w:pPr>
        <w:pStyle w:val="Figure"/>
      </w:pPr>
      <w:r w:rsidRPr="001E7D0F">
        <w:rPr>
          <w:lang w:val="en-GB"/>
        </w:rPr>
        <w:drawing>
          <wp:inline distT="0" distB="0" distL="0" distR="0">
            <wp:extent cx="5051918" cy="1554436"/>
            <wp:effectExtent l="0" t="0" r="0" b="8255"/>
            <wp:docPr id="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2895" cy="1560890"/>
                    </a:xfrm>
                    <a:prstGeom prst="rect">
                      <a:avLst/>
                    </a:prstGeom>
                    <a:noFill/>
                  </pic:spPr>
                </pic:pic>
              </a:graphicData>
            </a:graphic>
          </wp:inline>
        </w:drawing>
      </w:r>
    </w:p>
    <w:p w:rsidR="0089268C" w:rsidRDefault="00C3610E" w:rsidP="006E6D2F">
      <w:pPr>
        <w:pStyle w:val="Headingi"/>
      </w:pPr>
      <w:r>
        <w:t>Time Zone Adjustment</w:t>
      </w:r>
    </w:p>
    <w:p w:rsidR="0089268C" w:rsidRDefault="00C3610E">
      <w:pPr>
        <w:rPr>
          <w:szCs w:val="24"/>
          <w:lang w:val="en-US"/>
        </w:rPr>
      </w:pPr>
      <w:r>
        <w:rPr>
          <w:szCs w:val="24"/>
          <w:lang w:val="en-US"/>
        </w:rPr>
        <w:t>The footprint of the FSS feeder link satellite receive antenna covers a large geographic area spanning five time zones (See Figure 6). During the time the satellite passes over a location, say Lebanon, Kansas, the geographic midpoint of the United States, other RLANS will also be within the beam footprint but located in other time zones and thus will be operating outside their busy hour by as much as 3 hours. Because of this only a fraction of the area inside the footprint will ever be within its local busy hour at a given time. Therefore, peak traffic is determined by taking the highest average traffic across five consecutive time zones. Also, because time variant interference thresholds are defined in terms of outage per month, we need to consider traffic during the off peak hours defining peak traffic, that is, during the evening and early morning hours. The results of a study of traffic patterns for 50 countries</w:t>
      </w:r>
      <w:r>
        <w:rPr>
          <w:rStyle w:val="FootnoteReference"/>
          <w:szCs w:val="24"/>
          <w:lang w:val="en-US"/>
        </w:rPr>
        <w:footnoteReference w:id="7"/>
      </w:r>
      <w:r>
        <w:rPr>
          <w:szCs w:val="24"/>
          <w:lang w:val="en-US"/>
        </w:rPr>
        <w:t xml:space="preserve"> is used as the basis of developing time zone adjustment values. </w:t>
      </w:r>
    </w:p>
    <w:p w:rsidR="0089268C" w:rsidRDefault="00C3610E">
      <w:pPr>
        <w:rPr>
          <w:szCs w:val="24"/>
          <w:lang w:val="en-US"/>
        </w:rPr>
      </w:pPr>
      <w:r>
        <w:rPr>
          <w:szCs w:val="24"/>
          <w:lang w:val="en-US"/>
        </w:rPr>
        <w:t xml:space="preserve">The results of the study are provided in Figures 7 and 8. The curves show the aggregate of pattern from the 50 countries, each normalized to their specific time zones. Figure 7 provides traffic as a percent of the busy hour during the 08:00 to 20:00 time period and figure 8 during the 20:00 to 08:00 time period.  Taking the highest average across five consecutive time zones busiest results in 91.8% of the busy hour during the daytime hours and 44.4% during the evening/early morning hours. These percentages represent the time zone adjustments and are accounted for in Table 4. </w:t>
      </w:r>
    </w:p>
    <w:p w:rsidR="0089268C" w:rsidRDefault="00C3610E">
      <w:pPr>
        <w:pStyle w:val="FigureNo"/>
        <w:rPr>
          <w:lang w:val="en-US"/>
        </w:rPr>
      </w:pPr>
      <w:bookmarkStart w:id="46" w:name="_Toc495068576"/>
      <w:bookmarkStart w:id="47" w:name="_Toc495069103"/>
      <w:bookmarkStart w:id="48" w:name="_Toc495069318"/>
      <w:r>
        <w:rPr>
          <w:lang w:val="en-US"/>
        </w:rPr>
        <w:lastRenderedPageBreak/>
        <w:t xml:space="preserve">Figure </w:t>
      </w:r>
      <w:r w:rsidRPr="001E7D0F">
        <w:rPr>
          <w:lang w:val="en-US"/>
        </w:rPr>
        <w:fldChar w:fldCharType="begin"/>
      </w:r>
      <w:r>
        <w:rPr>
          <w:lang w:val="en-US"/>
        </w:rPr>
        <w:instrText xml:space="preserve"> SEQ Figure \* ARABIC </w:instrText>
      </w:r>
      <w:r w:rsidRPr="001E7D0F">
        <w:rPr>
          <w:lang w:val="en-US"/>
        </w:rPr>
        <w:fldChar w:fldCharType="separate"/>
      </w:r>
      <w:r>
        <w:rPr>
          <w:noProof/>
          <w:lang w:val="en-US"/>
        </w:rPr>
        <w:t>6</w:t>
      </w:r>
      <w:r w:rsidRPr="001E7D0F">
        <w:rPr>
          <w:lang w:val="en-US"/>
        </w:rPr>
        <w:fldChar w:fldCharType="end"/>
      </w:r>
    </w:p>
    <w:p w:rsidR="0089268C" w:rsidRDefault="00C3610E" w:rsidP="005C1912">
      <w:pPr>
        <w:pStyle w:val="Figuretitle"/>
      </w:pPr>
      <w:r>
        <w:rPr>
          <w:lang w:val="en-US"/>
        </w:rPr>
        <w:t>Time zones within the FSS feeder link footprint</w:t>
      </w:r>
      <w:bookmarkEnd w:id="46"/>
      <w:bookmarkEnd w:id="47"/>
      <w:bookmarkEnd w:id="48"/>
    </w:p>
    <w:p w:rsidR="0089268C" w:rsidRDefault="00C3610E" w:rsidP="006E6D2F">
      <w:pPr>
        <w:pStyle w:val="Figure"/>
      </w:pPr>
      <w:r w:rsidRPr="001E7D0F">
        <w:rPr>
          <w:lang w:val="en-GB"/>
        </w:rPr>
        <w:drawing>
          <wp:inline distT="0" distB="0" distL="0" distR="0">
            <wp:extent cx="3131991" cy="2626995"/>
            <wp:effectExtent l="0" t="0" r="0" b="1905"/>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46363" cy="2639050"/>
                    </a:xfrm>
                    <a:prstGeom prst="rect">
                      <a:avLst/>
                    </a:prstGeom>
                    <a:noFill/>
                  </pic:spPr>
                </pic:pic>
              </a:graphicData>
            </a:graphic>
          </wp:inline>
        </w:drawing>
      </w:r>
    </w:p>
    <w:p w:rsidR="0089268C" w:rsidRDefault="00C3610E">
      <w:pPr>
        <w:pStyle w:val="FigureNo"/>
        <w:rPr>
          <w:lang w:val="en-US"/>
        </w:rPr>
      </w:pPr>
      <w:bookmarkStart w:id="49" w:name="_Toc495068578"/>
      <w:bookmarkStart w:id="50" w:name="_Toc495069104"/>
      <w:bookmarkStart w:id="51" w:name="_Toc495069319"/>
      <w:bookmarkStart w:id="52" w:name="_Toc495068577"/>
      <w:r>
        <w:rPr>
          <w:lang w:val="en-US"/>
        </w:rPr>
        <w:t xml:space="preserve">Figure </w:t>
      </w:r>
      <w:r w:rsidRPr="001E7D0F">
        <w:rPr>
          <w:lang w:val="en-US"/>
        </w:rPr>
        <w:fldChar w:fldCharType="begin"/>
      </w:r>
      <w:r>
        <w:rPr>
          <w:lang w:val="en-US"/>
        </w:rPr>
        <w:instrText xml:space="preserve"> SEQ Figure \* ARABIC </w:instrText>
      </w:r>
      <w:r w:rsidRPr="001E7D0F">
        <w:rPr>
          <w:lang w:val="en-US"/>
        </w:rPr>
        <w:fldChar w:fldCharType="separate"/>
      </w:r>
      <w:r>
        <w:rPr>
          <w:noProof/>
          <w:lang w:val="en-US"/>
        </w:rPr>
        <w:t>7</w:t>
      </w:r>
      <w:r w:rsidRPr="001E7D0F">
        <w:rPr>
          <w:lang w:val="en-US"/>
        </w:rPr>
        <w:fldChar w:fldCharType="end"/>
      </w:r>
    </w:p>
    <w:p w:rsidR="0089268C" w:rsidRDefault="00C3610E" w:rsidP="005C1912">
      <w:pPr>
        <w:pStyle w:val="Figuretitle"/>
      </w:pPr>
      <w:r>
        <w:rPr>
          <w:lang w:val="en-US"/>
        </w:rPr>
        <w:t>Daytime RLAN aggregate traffic pattern for 50 countries</w:t>
      </w:r>
      <w:bookmarkEnd w:id="49"/>
      <w:bookmarkEnd w:id="50"/>
      <w:bookmarkEnd w:id="51"/>
    </w:p>
    <w:p w:rsidR="0089268C" w:rsidRDefault="00C3610E" w:rsidP="005C1912">
      <w:pPr>
        <w:pStyle w:val="Figure"/>
      </w:pPr>
      <w:r w:rsidRPr="001E7D0F">
        <w:rPr>
          <w:lang w:val="en-GB"/>
        </w:rPr>
        <w:drawing>
          <wp:inline distT="0" distB="0" distL="0" distR="0">
            <wp:extent cx="5760720" cy="2772539"/>
            <wp:effectExtent l="0" t="0" r="0" b="8890"/>
            <wp:docPr id="9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0649" cy="2782130"/>
                    </a:xfrm>
                    <a:prstGeom prst="rect">
                      <a:avLst/>
                    </a:prstGeom>
                    <a:noFill/>
                  </pic:spPr>
                </pic:pic>
              </a:graphicData>
            </a:graphic>
          </wp:inline>
        </w:drawing>
      </w:r>
      <w:bookmarkEnd w:id="52"/>
    </w:p>
    <w:p w:rsidR="0089268C" w:rsidRDefault="00C3610E">
      <w:pPr>
        <w:pStyle w:val="FigureNo"/>
        <w:rPr>
          <w:lang w:val="en-US"/>
        </w:rPr>
      </w:pPr>
      <w:bookmarkStart w:id="53" w:name="_Toc495068580"/>
      <w:bookmarkStart w:id="54" w:name="_Toc495069105"/>
      <w:bookmarkStart w:id="55" w:name="_Toc495069320"/>
      <w:bookmarkStart w:id="56" w:name="_Toc495068579"/>
      <w:r>
        <w:rPr>
          <w:lang w:val="en-US"/>
        </w:rPr>
        <w:lastRenderedPageBreak/>
        <w:t xml:space="preserve">Figure </w:t>
      </w:r>
      <w:r w:rsidRPr="001E7D0F">
        <w:rPr>
          <w:lang w:val="en-US"/>
        </w:rPr>
        <w:fldChar w:fldCharType="begin"/>
      </w:r>
      <w:r>
        <w:rPr>
          <w:lang w:val="en-US"/>
        </w:rPr>
        <w:instrText xml:space="preserve"> SEQ Figure \* ARABIC </w:instrText>
      </w:r>
      <w:r w:rsidRPr="001E7D0F">
        <w:rPr>
          <w:lang w:val="en-US"/>
        </w:rPr>
        <w:fldChar w:fldCharType="separate"/>
      </w:r>
      <w:r>
        <w:rPr>
          <w:noProof/>
          <w:lang w:val="en-US"/>
        </w:rPr>
        <w:t>8</w:t>
      </w:r>
      <w:r w:rsidRPr="001E7D0F">
        <w:rPr>
          <w:lang w:val="en-US"/>
        </w:rPr>
        <w:fldChar w:fldCharType="end"/>
      </w:r>
    </w:p>
    <w:p w:rsidR="0089268C" w:rsidRDefault="00C3610E" w:rsidP="005C1912">
      <w:pPr>
        <w:pStyle w:val="Figuretitle"/>
      </w:pPr>
      <w:r>
        <w:rPr>
          <w:lang w:val="en-US"/>
        </w:rPr>
        <w:t>Nighttime RLAN aggregate traffic pattern for 50 countries</w:t>
      </w:r>
      <w:bookmarkEnd w:id="53"/>
      <w:bookmarkEnd w:id="54"/>
      <w:bookmarkEnd w:id="55"/>
    </w:p>
    <w:p w:rsidR="0089268C" w:rsidRDefault="00C3610E" w:rsidP="005C1912">
      <w:pPr>
        <w:pStyle w:val="Figure"/>
      </w:pPr>
      <w:r w:rsidRPr="001E7D0F">
        <w:rPr>
          <w:lang w:val="en-GB"/>
        </w:rPr>
        <w:drawing>
          <wp:inline distT="0" distB="0" distL="0" distR="0">
            <wp:extent cx="5204460" cy="2433809"/>
            <wp:effectExtent l="0" t="0" r="0" b="5080"/>
            <wp:docPr id="9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5631" cy="2439033"/>
                    </a:xfrm>
                    <a:prstGeom prst="rect">
                      <a:avLst/>
                    </a:prstGeom>
                    <a:noFill/>
                  </pic:spPr>
                </pic:pic>
              </a:graphicData>
            </a:graphic>
          </wp:inline>
        </w:drawing>
      </w:r>
      <w:bookmarkEnd w:id="56"/>
    </w:p>
    <w:p w:rsidR="0089268C" w:rsidRDefault="00C3610E" w:rsidP="006E6D2F">
      <w:pPr>
        <w:pStyle w:val="Headingi"/>
      </w:pPr>
      <w:r>
        <w:t>Market Factors</w:t>
      </w:r>
    </w:p>
    <w:p w:rsidR="0089268C" w:rsidRDefault="00C3610E">
      <w:pPr>
        <w:rPr>
          <w:lang w:val="en-US"/>
        </w:rPr>
      </w:pPr>
      <w:r>
        <w:rPr>
          <w:lang w:val="en-US"/>
        </w:rPr>
        <w:t>Reviewing data</w:t>
      </w:r>
      <w:r>
        <w:rPr>
          <w:rStyle w:val="FootnoteReference"/>
          <w:lang w:val="en-US"/>
        </w:rPr>
        <w:footnoteReference w:id="8"/>
      </w:r>
      <w:r>
        <w:rPr>
          <w:vertAlign w:val="superscript"/>
          <w:lang w:val="en-US"/>
        </w:rPr>
        <w:t>,</w:t>
      </w:r>
      <w:r>
        <w:rPr>
          <w:rStyle w:val="FootnoteReference"/>
          <w:lang w:val="en-US"/>
        </w:rPr>
        <w:footnoteReference w:id="9"/>
      </w:r>
      <w:r>
        <w:rPr>
          <w:lang w:val="en-US"/>
        </w:rPr>
        <w:t xml:space="preserve"> concerning the number of Internet users and populations of Canada, the U.S. and Mexico</w:t>
      </w:r>
      <w:r>
        <w:rPr>
          <w:rStyle w:val="FootnoteReference"/>
          <w:lang w:val="en-US"/>
        </w:rPr>
        <w:footnoteReference w:id="10"/>
      </w:r>
      <w:r>
        <w:rPr>
          <w:lang w:val="en-US"/>
        </w:rPr>
        <w:t>, it may be shown that the percentage of the population accessing RLANs is 88.5%, 88.4% and 54.1% respectively. We estimate the distribution of population within the FSS feeder antenna footprint centered over the U.S. to be 4% from Canada, 69% from the U.S and 27% from Mexico. From this we compute the weighted average market factor to be 79%.</w:t>
      </w:r>
    </w:p>
    <w:p w:rsidR="0089268C" w:rsidRDefault="00C3610E" w:rsidP="006E6D2F">
      <w:pPr>
        <w:pStyle w:val="Headingi"/>
      </w:pPr>
      <w:r>
        <w:t>System Factors</w:t>
      </w:r>
    </w:p>
    <w:p w:rsidR="0089268C" w:rsidRDefault="00C3610E">
      <w:pPr>
        <w:rPr>
          <w:lang w:val="en-US"/>
        </w:rPr>
      </w:pPr>
      <w:r>
        <w:rPr>
          <w:lang w:val="en-US"/>
        </w:rPr>
        <w:t>Data</w:t>
      </w:r>
      <w:r>
        <w:rPr>
          <w:rStyle w:val="FootnoteReference"/>
          <w:lang w:val="en-US"/>
        </w:rPr>
        <w:footnoteReference w:id="11"/>
      </w:r>
      <w:r>
        <w:rPr>
          <w:vertAlign w:val="superscript"/>
          <w:lang w:val="en-US"/>
        </w:rPr>
        <w:t xml:space="preserve">, </w:t>
      </w:r>
      <w:r>
        <w:rPr>
          <w:rStyle w:val="FootnoteReference"/>
          <w:lang w:val="en-US"/>
        </w:rPr>
        <w:footnoteReference w:id="12"/>
      </w:r>
      <w:r>
        <w:rPr>
          <w:vertAlign w:val="superscript"/>
          <w:lang w:val="en-US"/>
        </w:rPr>
        <w:t xml:space="preserve">, </w:t>
      </w:r>
      <w:r>
        <w:rPr>
          <w:rStyle w:val="FootnoteReference"/>
          <w:lang w:val="en-US"/>
        </w:rPr>
        <w:footnoteReference w:id="13"/>
      </w:r>
      <w:r>
        <w:rPr>
          <w:lang w:val="en-US"/>
        </w:rPr>
        <w:t xml:space="preserve"> concerning inhabitants per household show numbers for Canada, U.S. and Mexico on the order of 2.4, 2.5, and 3.8 respectively. From this, for households with an operating RLAN we can generally assume</w:t>
      </w:r>
      <w:r>
        <w:rPr>
          <w:rStyle w:val="FootnoteReference"/>
          <w:lang w:val="en-US"/>
        </w:rPr>
        <w:footnoteReference w:id="14"/>
      </w:r>
      <w:r>
        <w:rPr>
          <w:lang w:val="en-US"/>
        </w:rPr>
        <w:t xml:space="preserve"> that the </w:t>
      </w:r>
      <w:r>
        <w:rPr>
          <w:szCs w:val="24"/>
          <w:lang w:val="en-US"/>
        </w:rPr>
        <w:t xml:space="preserve">ratio of access points to users for residences is the inverse or 0.417, 0.4, and 0.263. Applying </w:t>
      </w:r>
      <w:r>
        <w:rPr>
          <w:lang w:val="en-US"/>
        </w:rPr>
        <w:t>the population distributions from above we may compute the weighted average ratio for residences to be 0.363. When originally determining system factors for Urban and Suburban areas it was assumed that 50% of the RLANs would be either be corporate or public access based, while the other 50% would be residential based. A review of best practices</w:t>
      </w:r>
      <w:r>
        <w:rPr>
          <w:rStyle w:val="FootnoteReference"/>
          <w:lang w:val="en-US"/>
        </w:rPr>
        <w:footnoteReference w:id="15"/>
      </w:r>
      <w:r>
        <w:rPr>
          <w:lang w:val="en-US"/>
        </w:rPr>
        <w:t xml:space="preserve"> concerning enterprise and public access design show the average number of clients supported by </w:t>
      </w:r>
      <w:r>
        <w:rPr>
          <w:lang w:val="en-US"/>
        </w:rPr>
        <w:lastRenderedPageBreak/>
        <w:t xml:space="preserve">each AP will range from 24 to 100. As a worst case we assume 24 resulting in a </w:t>
      </w:r>
      <w:r>
        <w:rPr>
          <w:szCs w:val="24"/>
          <w:lang w:val="en-US"/>
        </w:rPr>
        <w:t xml:space="preserve">ratio of access points to users for corporate and public access RLANs of 0.042. Applying </w:t>
      </w:r>
      <w:r>
        <w:rPr>
          <w:lang w:val="en-US"/>
        </w:rPr>
        <w:t>50% to 0.042 for corporate and public access RLANs and 50% to 0.363 for residential RLANs then summing the two we get a system factor of 20.2% for both Urban and Suburban demographics. For the rural demographic 100% of the RLANs can be assumed to be residential and hence the system factor is 36.3%.</w:t>
      </w:r>
    </w:p>
    <w:p w:rsidR="0089268C" w:rsidRDefault="00C3610E" w:rsidP="006E6D2F">
      <w:pPr>
        <w:pStyle w:val="Headingi"/>
      </w:pPr>
      <w:r>
        <w:t>5 GHz Factor</w:t>
      </w:r>
    </w:p>
    <w:p w:rsidR="0089268C" w:rsidRDefault="00C3610E" w:rsidP="009D6E81">
      <w:pPr>
        <w:rPr>
          <w:szCs w:val="24"/>
          <w:lang w:val="en-US"/>
        </w:rPr>
      </w:pPr>
      <w:r>
        <w:rPr>
          <w:szCs w:val="24"/>
          <w:lang w:val="en-US"/>
        </w:rPr>
        <w:t>Since the RLAN density, based on other factors, includes all RLANs that operate in both the 2.4</w:t>
      </w:r>
      <w:r w:rsidR="009D6E81">
        <w:rPr>
          <w:szCs w:val="24"/>
          <w:lang w:val="en-US"/>
        </w:rPr>
        <w:t> </w:t>
      </w:r>
      <w:r>
        <w:rPr>
          <w:szCs w:val="24"/>
          <w:lang w:val="en-US"/>
        </w:rPr>
        <w:t>GHz and 5 GHz bands a median factor of 74% from R15-WP5A-C-0</w:t>
      </w:r>
      <w:hyperlink r:id="rId51" w:history="1">
        <w:r w:rsidRPr="0067647E">
          <w:rPr>
            <w:rStyle w:val="Hyperlink"/>
            <w:szCs w:val="24"/>
            <w:lang w:val="en-US"/>
          </w:rPr>
          <w:t>420</w:t>
        </w:r>
      </w:hyperlink>
      <w:r>
        <w:rPr>
          <w:szCs w:val="24"/>
          <w:lang w:val="en-US"/>
        </w:rPr>
        <w:t>, table in section 7 is used to adjust the density to just include only those RLANs operating in the 5 GHz band.</w:t>
      </w:r>
    </w:p>
    <w:p w:rsidR="0089268C" w:rsidRPr="0089268C" w:rsidRDefault="00C3610E" w:rsidP="006E6D2F">
      <w:pPr>
        <w:pStyle w:val="Headingb"/>
      </w:pPr>
      <w:r>
        <w:t>Overlap and Bandwidth factors</w:t>
      </w:r>
    </w:p>
    <w:p w:rsidR="0089268C" w:rsidRDefault="00C3610E">
      <w:pPr>
        <w:rPr>
          <w:szCs w:val="24"/>
          <w:lang w:val="en-US"/>
        </w:rPr>
      </w:pPr>
      <w:r>
        <w:rPr>
          <w:szCs w:val="24"/>
          <w:lang w:val="en-US"/>
        </w:rPr>
        <w:t xml:space="preserve">In order to determine the amount of RLAN interference that will be received by the CDMA carrier channel both overlap and various RLAN channel </w:t>
      </w:r>
      <w:r>
        <w:rPr>
          <w:lang w:val="en-US"/>
        </w:rPr>
        <w:t>power spectral densities</w:t>
      </w:r>
      <w:r>
        <w:rPr>
          <w:szCs w:val="24"/>
          <w:lang w:val="en-US"/>
        </w:rPr>
        <w:t xml:space="preserve"> (PSDs) need to be accounted for. Detailed calculations to account for the overlap and PSDs are provided in the spreadsheet embedded as an attachment to Document 5A/469 Annex 27, M.[RLAN REQ-PAR]. Results applicable to this study are provided utilizing this spreadsheet and are provided in Table 5. It should be noted that for the spreadsheet the “Total number of RLANs in the 5 GHz range” is arbitrary and changing the number does not affect the results.</w:t>
      </w:r>
    </w:p>
    <w:p w:rsidR="0089268C" w:rsidRDefault="00C3610E" w:rsidP="006E6D2F">
      <w:pPr>
        <w:pStyle w:val="Headingi"/>
      </w:pPr>
      <w:r>
        <w:t>Overlap Factor</w:t>
      </w:r>
    </w:p>
    <w:p w:rsidR="0089268C" w:rsidRDefault="00C3610E">
      <w:pPr>
        <w:rPr>
          <w:lang w:val="en-US"/>
        </w:rPr>
      </w:pPr>
      <w:r>
        <w:rPr>
          <w:lang w:val="en-US"/>
        </w:rPr>
        <w:t xml:space="preserve">The 5 GHz factor reduces the total number of RLANs operating to just those operating in the 5 GHz band. This number needs to be further reduced to just those operating in the 5 150 to 5 250 MHz band that is shared with the FSS feeder links. Referring to Figure 9 (taken from </w:t>
      </w:r>
      <w:r>
        <w:rPr>
          <w:szCs w:val="24"/>
          <w:lang w:val="en-US"/>
        </w:rPr>
        <w:t xml:space="preserve">Figure 1 of Document 5A/469 Annex 27, M.[RLAN REQ-PAR] the 5 GHz channels over which the RLAN traffic load is spread are shown. It should be noted that it should exclude all channels in the 5 350 to 5 470 MHz range. Therefore, the spread sheet shown in </w:t>
      </w:r>
      <w:r>
        <w:rPr>
          <w:lang w:val="en-US"/>
        </w:rPr>
        <w:t>Table 5 has been adjusted to only include those channels available or potentially available for carrying RLAN traffic and results in an overlap factor of 14.3% which is included in Table 4 to compute the RLAN transmission density numbers.</w:t>
      </w:r>
    </w:p>
    <w:p w:rsidR="0089268C" w:rsidRDefault="00C3610E">
      <w:pPr>
        <w:pStyle w:val="FigureNo"/>
        <w:rPr>
          <w:lang w:val="en-US"/>
        </w:rPr>
      </w:pPr>
      <w:bookmarkStart w:id="57" w:name="_Toc495068581"/>
      <w:bookmarkStart w:id="58" w:name="_Toc495069106"/>
      <w:bookmarkStart w:id="59" w:name="_Toc495069321"/>
      <w:r>
        <w:rPr>
          <w:lang w:val="en-US"/>
        </w:rPr>
        <w:t xml:space="preserve">Figure </w:t>
      </w:r>
      <w:r w:rsidRPr="001E7D0F">
        <w:rPr>
          <w:lang w:val="en-US"/>
        </w:rPr>
        <w:fldChar w:fldCharType="begin"/>
      </w:r>
      <w:r>
        <w:rPr>
          <w:lang w:val="en-US"/>
        </w:rPr>
        <w:instrText xml:space="preserve"> SEQ Figure \* ARABIC </w:instrText>
      </w:r>
      <w:r w:rsidRPr="001E7D0F">
        <w:rPr>
          <w:lang w:val="en-US"/>
        </w:rPr>
        <w:fldChar w:fldCharType="separate"/>
      </w:r>
      <w:r>
        <w:rPr>
          <w:noProof/>
          <w:lang w:val="en-US"/>
        </w:rPr>
        <w:t>9</w:t>
      </w:r>
      <w:r w:rsidRPr="001E7D0F">
        <w:rPr>
          <w:lang w:val="en-US"/>
        </w:rPr>
        <w:fldChar w:fldCharType="end"/>
      </w:r>
    </w:p>
    <w:p w:rsidR="0089268C" w:rsidRDefault="00C3610E" w:rsidP="005C1912">
      <w:pPr>
        <w:pStyle w:val="Figuretitle"/>
      </w:pPr>
      <w:r>
        <w:rPr>
          <w:lang w:val="en-US"/>
        </w:rPr>
        <w:t>RLAN channel overlap in the 5 150-5 250 band</w:t>
      </w:r>
      <w:bookmarkEnd w:id="57"/>
      <w:bookmarkEnd w:id="58"/>
      <w:bookmarkEnd w:id="59"/>
    </w:p>
    <w:p w:rsidR="0089268C" w:rsidRDefault="00C3610E" w:rsidP="005C1912">
      <w:pPr>
        <w:pStyle w:val="Figure"/>
      </w:pPr>
      <w:r w:rsidRPr="001E7D0F">
        <w:rPr>
          <w:lang w:val="en-GB"/>
        </w:rPr>
        <w:drawing>
          <wp:inline distT="0" distB="0" distL="0" distR="0">
            <wp:extent cx="5447295" cy="2095400"/>
            <wp:effectExtent l="0" t="0" r="127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68454" cy="2103539"/>
                    </a:xfrm>
                    <a:prstGeom prst="rect">
                      <a:avLst/>
                    </a:prstGeom>
                    <a:noFill/>
                  </pic:spPr>
                </pic:pic>
              </a:graphicData>
            </a:graphic>
          </wp:inline>
        </w:drawing>
      </w:r>
    </w:p>
    <w:p w:rsidR="0089268C" w:rsidRDefault="00C3610E" w:rsidP="006E6D2F">
      <w:pPr>
        <w:pStyle w:val="Headingi"/>
      </w:pPr>
      <w:r>
        <w:t>Bandwidth or channelization factor (</w:t>
      </w:r>
      <w:r>
        <w:rPr>
          <w:rFonts w:ascii="Symbol" w:hAnsi="Symbol"/>
        </w:rPr>
        <w:t></w:t>
      </w:r>
      <w:r>
        <w:rPr>
          <w:vertAlign w:val="subscript"/>
        </w:rPr>
        <w:t>f</w:t>
      </w:r>
      <w:r>
        <w:t>)</w:t>
      </w:r>
    </w:p>
    <w:p w:rsidR="0089268C" w:rsidRDefault="00C3610E">
      <w:pPr>
        <w:rPr>
          <w:szCs w:val="24"/>
          <w:lang w:val="en-US"/>
        </w:rPr>
      </w:pPr>
      <w:r>
        <w:rPr>
          <w:lang w:val="en-US"/>
        </w:rPr>
        <w:t xml:space="preserve">Because RLANs can operate with different bandwidths and all are larger than the CDMA carrier bandwidth of 1.23 MHz varying adjustments need to be made to account for differences in PSD </w:t>
      </w:r>
      <w:r>
        <w:rPr>
          <w:lang w:val="en-US"/>
        </w:rPr>
        <w:lastRenderedPageBreak/>
        <w:t>presented to the victim CDMA carrier channel from RLANs transmitting with different bandwidths.</w:t>
      </w:r>
      <w:r>
        <w:rPr>
          <w:szCs w:val="24"/>
          <w:lang w:val="en-US"/>
        </w:rPr>
        <w:t xml:space="preserve"> The 16.5 MHz channel bandwidth originally used to calculate the the MSS bandwidth factor represents thirteen FDM 1.23 MHz CDMA carrier channels however the 1.23 MHz channel bandwidth is more appropriate for calculating any interference contribution to the FSS feeder link. Therefore, the spread sheet shown in Table 5 has been changed from 16.5 MHz to 1.23 MHz and results in a bandwidth factor of 18.04 dB which is treated as a loss when calculating the interference contribution coming from a grid.</w:t>
      </w:r>
    </w:p>
    <w:p w:rsidR="0089268C" w:rsidRDefault="00C3610E">
      <w:pPr>
        <w:pStyle w:val="TableNo"/>
        <w:rPr>
          <w:lang w:val="en-US"/>
        </w:rPr>
      </w:pPr>
      <w:bookmarkStart w:id="60" w:name="_Toc495068582"/>
      <w:bookmarkStart w:id="61" w:name="_Toc495069107"/>
      <w:bookmarkStart w:id="62" w:name="_Toc495069322"/>
      <w:r>
        <w:rPr>
          <w:lang w:val="en-US"/>
        </w:rPr>
        <w:t>Table 5</w:t>
      </w:r>
    </w:p>
    <w:p w:rsidR="0089268C" w:rsidRDefault="00C3610E">
      <w:pPr>
        <w:pStyle w:val="Tabletitle"/>
      </w:pPr>
      <w:r>
        <w:rPr>
          <w:lang w:val="en-US"/>
        </w:rPr>
        <w:t>Bandwidth factor calculation</w:t>
      </w:r>
      <w:bookmarkEnd w:id="60"/>
      <w:bookmarkEnd w:id="61"/>
      <w:bookmarkEnd w:id="62"/>
    </w:p>
    <w:p w:rsidR="0089268C" w:rsidRDefault="00C3610E" w:rsidP="005C1912">
      <w:pPr>
        <w:pStyle w:val="Figure"/>
      </w:pPr>
      <w:r w:rsidRPr="001E7D0F">
        <w:rPr>
          <w:lang w:val="en-GB"/>
        </w:rPr>
        <w:drawing>
          <wp:inline distT="0" distB="0" distL="0" distR="0">
            <wp:extent cx="5532120" cy="32461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32120" cy="3246120"/>
                    </a:xfrm>
                    <a:prstGeom prst="rect">
                      <a:avLst/>
                    </a:prstGeom>
                    <a:noFill/>
                  </pic:spPr>
                </pic:pic>
              </a:graphicData>
            </a:graphic>
          </wp:inline>
        </w:drawing>
      </w:r>
    </w:p>
    <w:p w:rsidR="0089268C" w:rsidRPr="001E7D0F" w:rsidRDefault="00C3610E" w:rsidP="00E5537E">
      <w:pPr>
        <w:pStyle w:val="Heading4"/>
      </w:pPr>
      <w:bookmarkStart w:id="63" w:name="_Toc496516378"/>
      <w:r w:rsidRPr="001E7D0F">
        <w:t>5.1.1.</w:t>
      </w:r>
      <w:r w:rsidR="00E5537E">
        <w:t>4</w:t>
      </w:r>
      <w:r w:rsidRPr="001E7D0F">
        <w:tab/>
        <w:t>Analysis</w:t>
      </w:r>
      <w:bookmarkEnd w:id="63"/>
    </w:p>
    <w:p w:rsidR="0089268C" w:rsidRDefault="00C3610E">
      <w:pPr>
        <w:rPr>
          <w:szCs w:val="24"/>
          <w:lang w:val="en-US"/>
        </w:rPr>
      </w:pPr>
      <w:r>
        <w:rPr>
          <w:szCs w:val="24"/>
          <w:lang w:val="en-US"/>
        </w:rPr>
        <w:t>The analysis is based on a simulation. This simulation involves several large and dynamic data sets, as well as significant computation. Python was used to bring this data together in the simulation and produce results. The simulation tracks the path of 17 of the 34 active satellites in the single MSS system’s constellation as they orbit the Earth. Corresponding to a given satellite position, FSS feeder antenna pattern and population data enables us to calculate how each satellite “sees” the RLANs at any given point in time. With information concerning RLAN deployment and operating characteristics, along with population and demographic distributions, reasonably granular calculations may be made and results aggregated to give an accurate estimation of the interference present at the satellite at any given time.</w:t>
      </w:r>
    </w:p>
    <w:p w:rsidR="0089268C" w:rsidRDefault="00C3610E">
      <w:pPr>
        <w:rPr>
          <w:szCs w:val="24"/>
          <w:lang w:val="en-US"/>
        </w:rPr>
      </w:pPr>
      <w:r>
        <w:rPr>
          <w:szCs w:val="24"/>
          <w:lang w:val="en-US"/>
        </w:rPr>
        <w:t>Using the results of the simulation we calculate I/N ratios present at the satellite.</w:t>
      </w:r>
    </w:p>
    <w:p w:rsidR="0089268C" w:rsidRPr="001E7D0F" w:rsidRDefault="00C3610E" w:rsidP="00E5537E">
      <w:pPr>
        <w:pStyle w:val="Heading5"/>
      </w:pPr>
      <w:bookmarkStart w:id="64" w:name="_Toc496516379"/>
      <w:r>
        <w:t>5.1.1.</w:t>
      </w:r>
      <w:r w:rsidR="00E5537E">
        <w:t>4</w:t>
      </w:r>
      <w:r w:rsidRPr="001E7D0F">
        <w:t>.1</w:t>
      </w:r>
      <w:r w:rsidRPr="001E7D0F">
        <w:tab/>
        <w:t xml:space="preserve">Satellite </w:t>
      </w:r>
      <w:r>
        <w:t>Protection Definition</w:t>
      </w:r>
      <w:bookmarkEnd w:id="64"/>
      <w:r w:rsidRPr="001E7D0F">
        <w:t xml:space="preserve"> </w:t>
      </w:r>
    </w:p>
    <w:p w:rsidR="0089268C" w:rsidRDefault="00C3610E">
      <w:pPr>
        <w:rPr>
          <w:szCs w:val="24"/>
          <w:lang w:val="en-US"/>
        </w:rPr>
      </w:pPr>
      <w:r>
        <w:rPr>
          <w:szCs w:val="24"/>
          <w:lang w:val="en-US"/>
        </w:rPr>
        <w:t xml:space="preserve">Recommendation ITU-R S.1432 Annex 1, Section 3, first paragraph states: “There are currently no Recommendations dealing with interference from co-primary allocated mobile systems into FSS systems.” Nevertheless, WP 4A gave some guidance for FSS systems in their liaison statement, Document 5A/462, from which it appears the protection level of -12.2 dB I/N was extracted. However, it is unclear how this applies in the case of interference protection for a NGSO satellite </w:t>
      </w:r>
      <w:r>
        <w:rPr>
          <w:szCs w:val="24"/>
          <w:lang w:val="en-US"/>
        </w:rPr>
        <w:lastRenderedPageBreak/>
        <w:t xml:space="preserve">that will experience time variant interference from an aggregation of RLANs when passing overhead.  Never the less this study, will assume a protection benchmark of -12.2 dB as a point of comparison to simulation results.  </w:t>
      </w:r>
    </w:p>
    <w:p w:rsidR="0089268C" w:rsidRDefault="00C3610E" w:rsidP="00E5537E">
      <w:pPr>
        <w:pStyle w:val="Heading5"/>
      </w:pPr>
      <w:bookmarkStart w:id="65" w:name="_Toc496516380"/>
      <w:r>
        <w:t>5.1.1.</w:t>
      </w:r>
      <w:r w:rsidR="00E5537E">
        <w:t>4</w:t>
      </w:r>
      <w:r>
        <w:t>.2</w:t>
      </w:r>
      <w:r>
        <w:tab/>
        <w:t>Simulation Details</w:t>
      </w:r>
      <w:bookmarkEnd w:id="65"/>
    </w:p>
    <w:p w:rsidR="0089268C" w:rsidRDefault="00C3610E">
      <w:pPr>
        <w:tabs>
          <w:tab w:val="left" w:pos="1440"/>
        </w:tabs>
        <w:spacing w:after="120"/>
        <w:rPr>
          <w:szCs w:val="24"/>
          <w:lang w:val="en-US"/>
        </w:rPr>
      </w:pPr>
      <w:r>
        <w:rPr>
          <w:szCs w:val="24"/>
          <w:lang w:val="en-US"/>
        </w:rPr>
        <w:t>The single MSS satellite system using 5 150</w:t>
      </w:r>
      <w:r>
        <w:rPr>
          <w:szCs w:val="24"/>
          <w:lang w:val="en-US"/>
        </w:rPr>
        <w:noBreakHyphen/>
        <w:t xml:space="preserve">5 250 MHz for feeder links consists of 34 active satellites in 1 414 km low earth orbits. Satellites complete an orbit approximately every 114 minutes. Therefore it takes approximately 15 minutes for a satellite footprint to pass over a point on the Earth. The simulation considered 17 of the 34 satellites. When any point of the U.S., Canada, or Latin America (as far south as Northern part of Brazil) was </w:t>
      </w:r>
      <w:r>
        <w:rPr>
          <w:szCs w:val="24"/>
          <w:shd w:val="clear" w:color="auto" w:fill="FFFFFF" w:themeFill="background1"/>
          <w:lang w:val="en-US"/>
        </w:rPr>
        <w:t>within line of sight of</w:t>
      </w:r>
      <w:r>
        <w:rPr>
          <w:szCs w:val="24"/>
          <w:lang w:val="en-US"/>
        </w:rPr>
        <w:t xml:space="preserve"> a satellite under study the aggregate interference was calculated every 30 seconds, with each calculation constituting a sample. The simulation was run for a two day period approximately 25 satellite orbits. </w:t>
      </w:r>
    </w:p>
    <w:p w:rsidR="0089268C" w:rsidRDefault="00C3610E" w:rsidP="00E5537E">
      <w:pPr>
        <w:pStyle w:val="Heading5"/>
      </w:pPr>
      <w:bookmarkStart w:id="66" w:name="_Toc496516381"/>
      <w:r>
        <w:t>5.1.1.</w:t>
      </w:r>
      <w:r w:rsidR="00E5537E">
        <w:t>4</w:t>
      </w:r>
      <w:r>
        <w:t>.3</w:t>
      </w:r>
      <w:r>
        <w:tab/>
        <w:t>Calculations</w:t>
      </w:r>
      <w:bookmarkEnd w:id="66"/>
    </w:p>
    <w:p w:rsidR="0089268C" w:rsidRDefault="00C3610E">
      <w:pPr>
        <w:rPr>
          <w:szCs w:val="24"/>
          <w:lang w:val="en-US"/>
        </w:rPr>
      </w:pPr>
      <w:r>
        <w:rPr>
          <w:szCs w:val="24"/>
          <w:lang w:val="en-US"/>
        </w:rPr>
        <w:t xml:space="preserve">The steps below describe the calculations performed to determine interference levels received, interference protection compliance, and related performance degradation experienced by the satellite MSS system. </w:t>
      </w:r>
    </w:p>
    <w:p w:rsidR="0089268C" w:rsidRDefault="00C3610E" w:rsidP="006E6D2F">
      <w:pPr>
        <w:pStyle w:val="Headingb"/>
      </w:pPr>
      <w:r>
        <w:t xml:space="preserve">Step 1: </w:t>
      </w:r>
    </w:p>
    <w:p w:rsidR="0089268C" w:rsidRDefault="00C3610E">
      <w:pPr>
        <w:rPr>
          <w:szCs w:val="24"/>
          <w:lang w:val="en-US"/>
        </w:rPr>
      </w:pPr>
      <w:r>
        <w:rPr>
          <w:szCs w:val="24"/>
          <w:lang w:val="en-US"/>
        </w:rPr>
        <w:t>At any instant in time the FSS receive antenna geographical footprint defines a number of grids containing some number of RLANs transmitting energy in the direction of the MSS satellite. The positions of the satellite and each grid center are used to determine the slant distance (d) and elevation angle (</w:t>
      </w:r>
      <w:r>
        <w:rPr>
          <w:rFonts w:ascii="Symbol" w:hAnsi="Symbol"/>
          <w:szCs w:val="24"/>
          <w:lang w:val="en-US"/>
        </w:rPr>
        <w:t></w:t>
      </w:r>
      <w:r>
        <w:rPr>
          <w:szCs w:val="24"/>
          <w:lang w:val="en-US"/>
        </w:rPr>
        <w:t>) to be associated with each grid. Using the population count and demographic type, obtained from the LandScan™ database, the number of RLANs simultaneou</w:t>
      </w:r>
      <w:r w:rsidR="001800D2">
        <w:rPr>
          <w:szCs w:val="24"/>
          <w:lang w:val="en-US"/>
        </w:rPr>
        <w:t>sly transmitting in the 5 150-</w:t>
      </w:r>
      <w:r>
        <w:rPr>
          <w:szCs w:val="24"/>
          <w:lang w:val="en-US"/>
        </w:rPr>
        <w:t>5 250 MHz band is computed as shown in equation 4.</w:t>
      </w:r>
    </w:p>
    <w:p w:rsidR="0089268C" w:rsidRDefault="00C3610E">
      <w:pPr>
        <w:pStyle w:val="Equation"/>
        <w:rPr>
          <w:lang w:val="en-US"/>
        </w:rPr>
      </w:pPr>
      <w:r>
        <w:rPr>
          <w:lang w:val="en-US"/>
        </w:rPr>
        <w:tab/>
      </w:r>
      <w:r>
        <w:rPr>
          <w:lang w:val="en-US"/>
        </w:rPr>
        <w:tab/>
      </w:r>
      <w:r>
        <w:rPr>
          <w:i/>
          <w:iCs/>
          <w:lang w:val="en-US"/>
        </w:rPr>
        <w:t>R</w:t>
      </w:r>
      <w:r>
        <w:rPr>
          <w:i/>
          <w:iCs/>
          <w:vertAlign w:val="subscript"/>
          <w:lang w:val="en-US"/>
        </w:rPr>
        <w:t>G</w:t>
      </w:r>
      <w:r>
        <w:rPr>
          <w:i/>
          <w:iCs/>
          <w:lang w:val="en-US"/>
        </w:rPr>
        <w:t xml:space="preserve"> </w:t>
      </w:r>
      <w:r>
        <w:rPr>
          <w:lang w:val="en-US"/>
        </w:rPr>
        <w:t xml:space="preserve">= </w:t>
      </w:r>
      <w:r>
        <w:rPr>
          <w:i/>
          <w:iCs/>
          <w:lang w:val="en-US"/>
        </w:rPr>
        <w:t>S</w:t>
      </w:r>
      <w:r>
        <w:rPr>
          <w:i/>
          <w:iCs/>
          <w:vertAlign w:val="subscript"/>
          <w:lang w:val="en-US"/>
        </w:rPr>
        <w:t>p</w:t>
      </w:r>
      <w:r>
        <w:rPr>
          <w:lang w:val="en-US"/>
        </w:rPr>
        <w:t xml:space="preserve"> × </w:t>
      </w:r>
      <w:r>
        <w:rPr>
          <w:i/>
          <w:iCs/>
          <w:lang w:val="en-US"/>
        </w:rPr>
        <w:t>C</w:t>
      </w:r>
      <w:r>
        <w:rPr>
          <w:i/>
          <w:iCs/>
          <w:vertAlign w:val="subscript"/>
          <w:lang w:val="en-US"/>
        </w:rPr>
        <w:t>D</w:t>
      </w:r>
      <w:r>
        <w:rPr>
          <w:lang w:val="en-US"/>
        </w:rPr>
        <w:tab/>
        <w:t>(4)</w:t>
      </w:r>
    </w:p>
    <w:p w:rsidR="0089268C" w:rsidRDefault="00C3610E">
      <w:pPr>
        <w:spacing w:after="120"/>
        <w:rPr>
          <w:szCs w:val="24"/>
          <w:lang w:val="en-US"/>
        </w:rPr>
      </w:pPr>
      <w:r>
        <w:rPr>
          <w:szCs w:val="24"/>
          <w:lang w:val="en-US"/>
        </w:rPr>
        <w:t>where:</w:t>
      </w:r>
    </w:p>
    <w:p w:rsidR="0089268C" w:rsidRDefault="00C3610E">
      <w:pPr>
        <w:pStyle w:val="Equationlegend"/>
        <w:rPr>
          <w:lang w:val="en-US"/>
        </w:rPr>
      </w:pPr>
      <w:r>
        <w:rPr>
          <w:lang w:val="en-US"/>
        </w:rPr>
        <w:tab/>
      </w:r>
      <w:r>
        <w:rPr>
          <w:i/>
          <w:iCs/>
          <w:lang w:val="en-US"/>
        </w:rPr>
        <w:t>R</w:t>
      </w:r>
      <w:r>
        <w:rPr>
          <w:i/>
          <w:iCs/>
          <w:vertAlign w:val="subscript"/>
          <w:lang w:val="en-US"/>
        </w:rPr>
        <w:t>G</w:t>
      </w:r>
      <w:r>
        <w:rPr>
          <w:vertAlign w:val="subscript"/>
          <w:lang w:val="en-US"/>
        </w:rPr>
        <w:t xml:space="preserve"> </w:t>
      </w:r>
      <w:r>
        <w:rPr>
          <w:lang w:val="en-US"/>
        </w:rPr>
        <w:t>:</w:t>
      </w:r>
      <w:r>
        <w:rPr>
          <w:lang w:val="en-US"/>
        </w:rPr>
        <w:tab/>
        <w:t>Number of RLANs transmitting in the  (5 150-5 250 MHz band within a given grid;</w:t>
      </w:r>
    </w:p>
    <w:p w:rsidR="0089268C" w:rsidRDefault="00C3610E">
      <w:pPr>
        <w:pStyle w:val="Equationlegend"/>
        <w:rPr>
          <w:szCs w:val="24"/>
          <w:lang w:val="en-US"/>
        </w:rPr>
      </w:pPr>
      <w:r>
        <w:rPr>
          <w:szCs w:val="24"/>
          <w:lang w:val="en-US"/>
        </w:rPr>
        <w:tab/>
      </w:r>
      <w:r>
        <w:rPr>
          <w:i/>
          <w:iCs/>
          <w:szCs w:val="24"/>
          <w:lang w:val="en-US"/>
        </w:rPr>
        <w:t>S</w:t>
      </w:r>
      <w:r>
        <w:rPr>
          <w:i/>
          <w:iCs/>
          <w:szCs w:val="24"/>
          <w:vertAlign w:val="subscript"/>
          <w:lang w:val="en-US"/>
        </w:rPr>
        <w:t>p</w:t>
      </w:r>
      <w:r>
        <w:rPr>
          <w:szCs w:val="24"/>
          <w:vertAlign w:val="subscript"/>
          <w:lang w:val="en-US"/>
        </w:rPr>
        <w:t xml:space="preserve"> </w:t>
      </w:r>
      <w:r>
        <w:rPr>
          <w:szCs w:val="24"/>
          <w:lang w:val="en-US"/>
        </w:rPr>
        <w:t>:</w:t>
      </w:r>
      <w:r>
        <w:rPr>
          <w:szCs w:val="24"/>
          <w:lang w:val="en-US"/>
        </w:rPr>
        <w:tab/>
      </w:r>
      <w:r>
        <w:rPr>
          <w:lang w:val="en-US"/>
        </w:rPr>
        <w:t>Population</w:t>
      </w:r>
      <w:r>
        <w:rPr>
          <w:szCs w:val="24"/>
          <w:lang w:val="en-US"/>
        </w:rPr>
        <w:t xml:space="preserve"> within a grid;</w:t>
      </w:r>
    </w:p>
    <w:p w:rsidR="0089268C" w:rsidRDefault="00C3610E">
      <w:pPr>
        <w:pStyle w:val="Equationlegend"/>
        <w:rPr>
          <w:szCs w:val="24"/>
          <w:lang w:val="en-US"/>
        </w:rPr>
      </w:pPr>
      <w:r>
        <w:rPr>
          <w:szCs w:val="24"/>
          <w:lang w:val="en-US"/>
        </w:rPr>
        <w:tab/>
      </w:r>
      <w:r>
        <w:rPr>
          <w:i/>
          <w:iCs/>
          <w:szCs w:val="24"/>
          <w:lang w:val="en-US"/>
        </w:rPr>
        <w:t>C</w:t>
      </w:r>
      <w:r>
        <w:rPr>
          <w:i/>
          <w:iCs/>
          <w:szCs w:val="24"/>
          <w:vertAlign w:val="subscript"/>
          <w:lang w:val="en-US"/>
        </w:rPr>
        <w:t>D</w:t>
      </w:r>
      <w:r>
        <w:rPr>
          <w:szCs w:val="24"/>
          <w:vertAlign w:val="subscript"/>
          <w:lang w:val="en-US"/>
        </w:rPr>
        <w:t xml:space="preserve"> </w:t>
      </w:r>
      <w:r>
        <w:rPr>
          <w:szCs w:val="24"/>
          <w:lang w:val="en-US"/>
        </w:rPr>
        <w:t>:</w:t>
      </w:r>
      <w:r>
        <w:rPr>
          <w:szCs w:val="24"/>
          <w:lang w:val="en-US"/>
        </w:rPr>
        <w:tab/>
        <w:t xml:space="preserve">Density </w:t>
      </w:r>
      <w:r>
        <w:rPr>
          <w:lang w:val="en-US"/>
        </w:rPr>
        <w:t>corresponding</w:t>
      </w:r>
      <w:r>
        <w:rPr>
          <w:szCs w:val="24"/>
          <w:lang w:val="en-US"/>
        </w:rPr>
        <w:t xml:space="preserve"> to grid demographic from Table 4.</w:t>
      </w:r>
    </w:p>
    <w:p w:rsidR="0089268C" w:rsidRDefault="00C3610E" w:rsidP="006E6D2F">
      <w:pPr>
        <w:pStyle w:val="Headingb"/>
      </w:pPr>
      <w:r>
        <w:t xml:space="preserve">Step 2: </w:t>
      </w:r>
    </w:p>
    <w:p w:rsidR="0089268C" w:rsidRDefault="00C3610E">
      <w:pPr>
        <w:rPr>
          <w:szCs w:val="24"/>
          <w:lang w:val="en-US"/>
        </w:rPr>
      </w:pPr>
      <w:r>
        <w:rPr>
          <w:szCs w:val="24"/>
          <w:lang w:val="en-US"/>
        </w:rPr>
        <w:t>This step calculates the aggregate power (dBm) from each grid presented to the satellite transponder based on average RLAN e.i.r.p. and all losses characteristic to the link defined by the grid’s slant distance (d) and elevation angle (</w:t>
      </w:r>
      <w:r>
        <w:rPr>
          <w:rFonts w:ascii="Symbol" w:hAnsi="Symbol"/>
          <w:szCs w:val="24"/>
          <w:lang w:val="en-US"/>
        </w:rPr>
        <w:t></w:t>
      </w:r>
      <w:r>
        <w:rPr>
          <w:szCs w:val="24"/>
          <w:lang w:val="en-US"/>
        </w:rPr>
        <w:t>).</w:t>
      </w:r>
    </w:p>
    <w:p w:rsidR="0089268C" w:rsidRPr="001E7D0F" w:rsidRDefault="00C3610E">
      <w:pPr>
        <w:pStyle w:val="Equation"/>
        <w:rPr>
          <w:lang w:val="de-DE"/>
        </w:rPr>
      </w:pPr>
      <w:r>
        <w:rPr>
          <w:lang w:val="en-US"/>
        </w:rPr>
        <w:tab/>
      </w:r>
      <w:r>
        <w:rPr>
          <w:lang w:val="en-US"/>
        </w:rPr>
        <w:tab/>
      </w:r>
      <w:r w:rsidRPr="001E7D0F">
        <w:rPr>
          <w:i/>
          <w:iCs/>
          <w:lang w:val="de-DE"/>
        </w:rPr>
        <w:t>P</w:t>
      </w:r>
      <w:r w:rsidRPr="001E7D0F">
        <w:rPr>
          <w:i/>
          <w:iCs/>
          <w:vertAlign w:val="subscript"/>
          <w:lang w:val="de-DE"/>
        </w:rPr>
        <w:t>G</w:t>
      </w:r>
      <w:r w:rsidRPr="001E7D0F">
        <w:rPr>
          <w:lang w:val="de-DE"/>
        </w:rPr>
        <w:t xml:space="preserve"> = </w:t>
      </w:r>
      <w:r w:rsidRPr="001E7D0F">
        <w:rPr>
          <w:i/>
          <w:iCs/>
          <w:lang w:val="de-DE"/>
        </w:rPr>
        <w:t>E</w:t>
      </w:r>
      <w:r w:rsidRPr="001E7D0F">
        <w:rPr>
          <w:i/>
          <w:iCs/>
          <w:vertAlign w:val="subscript"/>
          <w:lang w:val="de-DE"/>
        </w:rPr>
        <w:t>r</w:t>
      </w:r>
      <w:r w:rsidRPr="001E7D0F">
        <w:rPr>
          <w:vertAlign w:val="subscript"/>
          <w:lang w:val="de-DE"/>
        </w:rPr>
        <w:t xml:space="preserve"> </w:t>
      </w:r>
      <w:r w:rsidRPr="001E7D0F">
        <w:rPr>
          <w:lang w:val="de-DE"/>
        </w:rPr>
        <w:t xml:space="preserve">– </w:t>
      </w:r>
      <w:r w:rsidRPr="001E7D0F">
        <w:rPr>
          <w:i/>
          <w:iCs/>
          <w:lang w:val="de-DE"/>
        </w:rPr>
        <w:t>D</w:t>
      </w:r>
      <w:r w:rsidRPr="001E7D0F">
        <w:rPr>
          <w:i/>
          <w:iCs/>
          <w:vertAlign w:val="subscript"/>
          <w:lang w:val="de-DE"/>
        </w:rPr>
        <w:t>R</w:t>
      </w:r>
      <w:r w:rsidRPr="001E7D0F">
        <w:rPr>
          <w:vertAlign w:val="subscript"/>
          <w:lang w:val="de-DE"/>
        </w:rPr>
        <w:t xml:space="preserve"> </w:t>
      </w:r>
      <w:r w:rsidRPr="001E7D0F">
        <w:rPr>
          <w:lang w:val="de-DE"/>
        </w:rPr>
        <w:t>+ 10log (</w:t>
      </w:r>
      <w:r w:rsidRPr="001E7D0F">
        <w:rPr>
          <w:i/>
          <w:iCs/>
          <w:lang w:val="de-DE"/>
        </w:rPr>
        <w:t>R</w:t>
      </w:r>
      <w:r w:rsidRPr="001E7D0F">
        <w:rPr>
          <w:i/>
          <w:iCs/>
          <w:vertAlign w:val="subscript"/>
          <w:lang w:val="de-DE"/>
        </w:rPr>
        <w:t>G</w:t>
      </w:r>
      <w:r w:rsidRPr="001E7D0F">
        <w:rPr>
          <w:lang w:val="de-DE"/>
        </w:rPr>
        <w:t xml:space="preserve">) – </w:t>
      </w:r>
      <w:r w:rsidRPr="001E7D0F">
        <w:rPr>
          <w:i/>
          <w:iCs/>
          <w:lang w:val="de-DE"/>
        </w:rPr>
        <w:t>L</w:t>
      </w:r>
      <w:r w:rsidRPr="001E7D0F">
        <w:rPr>
          <w:i/>
          <w:iCs/>
          <w:vertAlign w:val="subscript"/>
          <w:lang w:val="de-DE"/>
        </w:rPr>
        <w:t>G</w:t>
      </w:r>
      <w:r w:rsidRPr="001E7D0F">
        <w:rPr>
          <w:lang w:val="de-DE"/>
        </w:rPr>
        <w:t xml:space="preserve"> + </w:t>
      </w:r>
      <w:r w:rsidRPr="001E7D0F">
        <w:rPr>
          <w:i/>
          <w:iCs/>
          <w:lang w:val="de-DE"/>
        </w:rPr>
        <w:t>G</w:t>
      </w:r>
      <w:r w:rsidRPr="001E7D0F">
        <w:rPr>
          <w:i/>
          <w:iCs/>
          <w:vertAlign w:val="subscript"/>
          <w:lang w:val="de-DE"/>
        </w:rPr>
        <w:t>f</w:t>
      </w:r>
      <w:r w:rsidRPr="001E7D0F">
        <w:rPr>
          <w:lang w:val="de-DE"/>
        </w:rPr>
        <w:t xml:space="preserve"> – </w:t>
      </w:r>
      <w:r>
        <w:rPr>
          <w:rFonts w:ascii="Symbol" w:hAnsi="Symbol"/>
          <w:lang w:val="en-US"/>
        </w:rPr>
        <w:t></w:t>
      </w:r>
      <w:r w:rsidRPr="001E7D0F">
        <w:rPr>
          <w:i/>
          <w:iCs/>
          <w:vertAlign w:val="subscript"/>
          <w:lang w:val="de-DE"/>
        </w:rPr>
        <w:t>f</w:t>
      </w:r>
      <w:r w:rsidRPr="001E7D0F">
        <w:rPr>
          <w:lang w:val="de-DE"/>
        </w:rPr>
        <w:t xml:space="preserve"> </w:t>
      </w:r>
      <w:r w:rsidRPr="001E7D0F">
        <w:rPr>
          <w:lang w:val="de-DE"/>
        </w:rPr>
        <w:tab/>
        <w:t xml:space="preserve"> (5)</w:t>
      </w:r>
    </w:p>
    <w:p w:rsidR="0089268C" w:rsidRDefault="00C3610E">
      <w:pPr>
        <w:rPr>
          <w:szCs w:val="24"/>
          <w:lang w:val="en-US"/>
        </w:rPr>
      </w:pPr>
      <w:r>
        <w:rPr>
          <w:szCs w:val="24"/>
          <w:lang w:val="en-US"/>
        </w:rPr>
        <w:t>where:</w:t>
      </w:r>
    </w:p>
    <w:p w:rsidR="0089268C" w:rsidRDefault="00C3610E">
      <w:pPr>
        <w:pStyle w:val="Equationlegend"/>
        <w:rPr>
          <w:lang w:val="en-US"/>
        </w:rPr>
      </w:pPr>
      <w:r>
        <w:rPr>
          <w:lang w:val="en-US"/>
        </w:rPr>
        <w:tab/>
      </w:r>
      <w:r>
        <w:rPr>
          <w:i/>
          <w:iCs/>
          <w:lang w:val="en-US"/>
        </w:rPr>
        <w:t>P</w:t>
      </w:r>
      <w:r>
        <w:rPr>
          <w:i/>
          <w:iCs/>
          <w:vertAlign w:val="subscript"/>
          <w:lang w:val="en-US"/>
        </w:rPr>
        <w:t>G</w:t>
      </w:r>
      <w:r>
        <w:rPr>
          <w:vertAlign w:val="subscript"/>
          <w:lang w:val="en-US"/>
        </w:rPr>
        <w:t>:</w:t>
      </w:r>
      <w:r>
        <w:rPr>
          <w:lang w:val="en-US"/>
        </w:rPr>
        <w:tab/>
        <w:t>Aggregate power at the input of the FSS feeder transponder from a given grid;</w:t>
      </w:r>
    </w:p>
    <w:p w:rsidR="0089268C" w:rsidRDefault="00C3610E">
      <w:pPr>
        <w:pStyle w:val="Equationlegend"/>
        <w:rPr>
          <w:szCs w:val="24"/>
          <w:lang w:val="en-US"/>
        </w:rPr>
      </w:pPr>
      <w:r>
        <w:rPr>
          <w:szCs w:val="24"/>
          <w:lang w:val="en-US"/>
        </w:rPr>
        <w:tab/>
      </w:r>
      <w:r>
        <w:rPr>
          <w:i/>
          <w:szCs w:val="24"/>
          <w:lang w:val="en-US"/>
        </w:rPr>
        <w:t>E</w:t>
      </w:r>
      <w:r>
        <w:rPr>
          <w:i/>
          <w:szCs w:val="24"/>
          <w:vertAlign w:val="subscript"/>
          <w:lang w:val="en-US"/>
        </w:rPr>
        <w:t>r:</w:t>
      </w:r>
      <w:r>
        <w:rPr>
          <w:szCs w:val="24"/>
          <w:lang w:val="en-US"/>
        </w:rPr>
        <w:t xml:space="preserve"> </w:t>
      </w:r>
      <w:r>
        <w:rPr>
          <w:szCs w:val="24"/>
          <w:lang w:val="en-US"/>
        </w:rPr>
        <w:tab/>
        <w:t>Average e.i.r.p of RLANs;</w:t>
      </w:r>
    </w:p>
    <w:p w:rsidR="0089268C" w:rsidRDefault="00C3610E">
      <w:pPr>
        <w:pStyle w:val="Equationlegend"/>
        <w:rPr>
          <w:szCs w:val="24"/>
          <w:lang w:val="en-US"/>
        </w:rPr>
      </w:pPr>
      <w:r>
        <w:rPr>
          <w:i/>
          <w:szCs w:val="24"/>
          <w:lang w:val="en-US"/>
        </w:rPr>
        <w:tab/>
        <w:t>D</w:t>
      </w:r>
      <w:r>
        <w:rPr>
          <w:i/>
          <w:szCs w:val="24"/>
          <w:vertAlign w:val="subscript"/>
          <w:lang w:val="en-US"/>
        </w:rPr>
        <w:t>R:</w:t>
      </w:r>
      <w:r>
        <w:rPr>
          <w:szCs w:val="24"/>
          <w:lang w:val="en-US"/>
        </w:rPr>
        <w:tab/>
        <w:t>Average antenna discrimination of RLANs in a grid in the direction of the MSS satellite;</w:t>
      </w:r>
    </w:p>
    <w:p w:rsidR="0089268C" w:rsidRDefault="00C3610E">
      <w:pPr>
        <w:pStyle w:val="Equationlegend"/>
        <w:rPr>
          <w:szCs w:val="24"/>
          <w:lang w:val="en-US"/>
        </w:rPr>
      </w:pPr>
      <w:r>
        <w:rPr>
          <w:i/>
          <w:szCs w:val="24"/>
          <w:lang w:val="en-US"/>
        </w:rPr>
        <w:tab/>
        <w:t>L</w:t>
      </w:r>
      <w:r>
        <w:rPr>
          <w:i/>
          <w:szCs w:val="24"/>
          <w:vertAlign w:val="subscript"/>
          <w:lang w:val="en-US"/>
        </w:rPr>
        <w:t>G</w:t>
      </w:r>
      <w:r>
        <w:rPr>
          <w:szCs w:val="24"/>
          <w:lang w:val="en-US"/>
        </w:rPr>
        <w:t>:</w:t>
      </w:r>
      <w:r>
        <w:rPr>
          <w:szCs w:val="24"/>
          <w:lang w:val="en-US"/>
        </w:rPr>
        <w:tab/>
        <w:t xml:space="preserve">Total path loss </w:t>
      </w:r>
      <w:r>
        <w:rPr>
          <w:lang w:val="en-US"/>
        </w:rPr>
        <w:t>including</w:t>
      </w:r>
      <w:r>
        <w:rPr>
          <w:szCs w:val="24"/>
          <w:lang w:val="en-US"/>
        </w:rPr>
        <w:t xml:space="preserve"> transmission loss and other propagation losses for grid to satellite slant distance;</w:t>
      </w:r>
    </w:p>
    <w:p w:rsidR="0089268C" w:rsidRDefault="00C3610E">
      <w:pPr>
        <w:pStyle w:val="Equationlegend"/>
        <w:rPr>
          <w:szCs w:val="24"/>
          <w:lang w:val="en-US"/>
        </w:rPr>
      </w:pPr>
      <w:r>
        <w:rPr>
          <w:i/>
          <w:szCs w:val="24"/>
          <w:lang w:val="en-US"/>
        </w:rPr>
        <w:lastRenderedPageBreak/>
        <w:tab/>
        <w:t>G</w:t>
      </w:r>
      <w:r>
        <w:rPr>
          <w:i/>
          <w:szCs w:val="24"/>
          <w:vertAlign w:val="subscript"/>
          <w:lang w:val="en-US"/>
        </w:rPr>
        <w:t>f:</w:t>
      </w:r>
      <w:r>
        <w:rPr>
          <w:szCs w:val="24"/>
          <w:lang w:val="en-US"/>
        </w:rPr>
        <w:tab/>
        <w:t xml:space="preserve">Receive gain of </w:t>
      </w:r>
      <w:r>
        <w:rPr>
          <w:lang w:val="en-US"/>
        </w:rPr>
        <w:t>the</w:t>
      </w:r>
      <w:r>
        <w:rPr>
          <w:szCs w:val="24"/>
          <w:lang w:val="en-US"/>
        </w:rPr>
        <w:t xml:space="preserve"> satellite feeder antenna in the direction of the grid center point (includes feeder loss);</w:t>
      </w:r>
    </w:p>
    <w:p w:rsidR="0089268C" w:rsidRDefault="00C3610E">
      <w:pPr>
        <w:pStyle w:val="Equationlegend"/>
        <w:rPr>
          <w:szCs w:val="24"/>
          <w:lang w:val="en-US"/>
        </w:rPr>
      </w:pPr>
      <w:r>
        <w:rPr>
          <w:rFonts w:ascii="Symbol" w:hAnsi="Symbol"/>
          <w:i/>
          <w:szCs w:val="24"/>
          <w:lang w:val="en-US"/>
        </w:rPr>
        <w:tab/>
      </w:r>
      <w:r>
        <w:rPr>
          <w:rFonts w:ascii="Symbol" w:hAnsi="Symbol"/>
          <w:i/>
          <w:szCs w:val="24"/>
          <w:lang w:val="en-US"/>
        </w:rPr>
        <w:t></w:t>
      </w:r>
      <w:r>
        <w:rPr>
          <w:i/>
          <w:szCs w:val="24"/>
          <w:vertAlign w:val="subscript"/>
          <w:lang w:val="en-US"/>
        </w:rPr>
        <w:t>f:</w:t>
      </w:r>
      <w:r>
        <w:rPr>
          <w:szCs w:val="24"/>
          <w:lang w:val="en-US"/>
        </w:rPr>
        <w:t xml:space="preserve"> </w:t>
      </w:r>
      <w:r>
        <w:rPr>
          <w:szCs w:val="24"/>
          <w:lang w:val="en-US"/>
        </w:rPr>
        <w:tab/>
        <w:t>Bandwidth factor, average ratio of (e.i.r.p. at the receiver (assuming no losses) to the power that would be present in the CDMA carrier receive channel) in dB.</w:t>
      </w:r>
    </w:p>
    <w:p w:rsidR="0089268C" w:rsidRPr="006E6D2F" w:rsidRDefault="00C3610E" w:rsidP="006E6D2F">
      <w:pPr>
        <w:pStyle w:val="Headingb"/>
      </w:pPr>
      <w:r w:rsidRPr="006E6D2F">
        <w:t xml:space="preserve">Step 3: </w:t>
      </w:r>
    </w:p>
    <w:p w:rsidR="0089268C" w:rsidRDefault="00C3610E">
      <w:pPr>
        <w:tabs>
          <w:tab w:val="left" w:pos="-3600"/>
        </w:tabs>
        <w:rPr>
          <w:szCs w:val="24"/>
          <w:lang w:val="en-US"/>
        </w:rPr>
      </w:pPr>
      <w:r>
        <w:rPr>
          <w:szCs w:val="24"/>
          <w:lang w:val="en-US"/>
        </w:rPr>
        <w:t xml:space="preserve">Every 30 seconds this step aggregates the power from each grid located within the FSS feeder link antenna line of sight and converts the result to dBW: </w:t>
      </w:r>
    </w:p>
    <w:p w:rsidR="0089268C" w:rsidRDefault="00C3610E">
      <w:pPr>
        <w:pStyle w:val="Equation"/>
        <w:rPr>
          <w:lang w:val="en-US"/>
        </w:rPr>
      </w:pPr>
      <w:r>
        <w:rPr>
          <w:lang w:val="en-US"/>
        </w:rPr>
        <w:tab/>
      </w:r>
      <w:r>
        <w:rPr>
          <w:lang w:val="en-US"/>
        </w:rPr>
        <w:tab/>
      </w:r>
      <m:oMath>
        <m:sSub>
          <m:sSubPr>
            <m:ctrlPr>
              <w:rPr>
                <w:rFonts w:ascii="Cambria Math" w:hAnsi="Cambria Math"/>
                <w:lang w:val="en-US"/>
              </w:rPr>
            </m:ctrlPr>
          </m:sSubPr>
          <m:e>
            <m:r>
              <m:rPr>
                <m:sty m:val="p"/>
              </m:rPr>
              <w:rPr>
                <w:rFonts w:ascii="Cambria Math" w:hAnsi="Cambria Math"/>
                <w:lang w:val="en-US"/>
              </w:rPr>
              <m:t>I</m:t>
            </m:r>
          </m:e>
          <m:sub>
            <m:r>
              <w:rPr>
                <w:rFonts w:ascii="Cambria Math" w:hAnsi="Cambria Math"/>
                <w:lang w:val="en-US"/>
              </w:rPr>
              <m:t>in</m:t>
            </m:r>
          </m:sub>
        </m:sSub>
        <m:r>
          <m:rPr>
            <m:sty m:val="p"/>
          </m:rPr>
          <w:rPr>
            <w:rFonts w:ascii="Cambria Math" w:eastAsia="Cambria Math" w:hAnsi="Cambria Math"/>
            <w:lang w:val="en-US"/>
          </w:rPr>
          <m:t xml:space="preserve">=10 </m:t>
        </m:r>
        <m:r>
          <w:rPr>
            <w:rFonts w:ascii="Cambria Math" w:eastAsia="Cambria Math" w:hAnsi="Cambria Math"/>
            <w:lang w:val="en-US"/>
          </w:rPr>
          <m:t>x</m:t>
        </m:r>
        <m:r>
          <m:rPr>
            <m:sty m:val="p"/>
          </m:rPr>
          <w:rPr>
            <w:rFonts w:ascii="Cambria Math" w:eastAsia="Cambria Math" w:hAnsi="Cambria Math"/>
            <w:lang w:val="en-US"/>
          </w:rPr>
          <m:t xml:space="preserve"> </m:t>
        </m:r>
        <m:r>
          <w:rPr>
            <w:rFonts w:ascii="Cambria Math" w:eastAsia="Cambria Math" w:hAnsi="Cambria Math"/>
            <w:lang w:val="en-US"/>
          </w:rPr>
          <m:t>log</m:t>
        </m:r>
        <m:d>
          <m:dPr>
            <m:ctrlPr>
              <w:rPr>
                <w:rFonts w:ascii="Cambria Math" w:hAnsi="Cambria Math"/>
                <w:lang w:val="en-US"/>
              </w:rPr>
            </m:ctrlPr>
          </m:dPr>
          <m:e>
            <m:nary>
              <m:naryPr>
                <m:chr m:val="∑"/>
                <m:grow m:val="1"/>
                <m:ctrlPr>
                  <w:rPr>
                    <w:rFonts w:ascii="Cambria Math" w:hAnsi="Cambria Math"/>
                    <w:lang w:val="en-US"/>
                  </w:rPr>
                </m:ctrlPr>
              </m:naryPr>
              <m:sub>
                <m:r>
                  <w:rPr>
                    <w:rFonts w:ascii="Cambria Math" w:eastAsia="Cambria Math" w:hAnsi="Cambria Math"/>
                    <w:lang w:val="en-US"/>
                  </w:rPr>
                  <m:t>k</m:t>
                </m:r>
                <m:r>
                  <m:rPr>
                    <m:sty m:val="p"/>
                  </m:rPr>
                  <w:rPr>
                    <w:rFonts w:ascii="Cambria Math" w:eastAsia="Cambria Math" w:hAnsi="Cambria Math"/>
                    <w:lang w:val="en-US"/>
                  </w:rPr>
                  <m:t>=1</m:t>
                </m:r>
              </m:sub>
              <m:sup>
                <m:sSub>
                  <m:sSubPr>
                    <m:ctrlPr>
                      <w:rPr>
                        <w:rFonts w:ascii="Cambria Math" w:eastAsia="Cambria Math" w:hAnsi="Cambria Math"/>
                        <w:lang w:val="en-US"/>
                      </w:rPr>
                    </m:ctrlPr>
                  </m:sSubPr>
                  <m:e>
                    <m:r>
                      <w:rPr>
                        <w:rFonts w:ascii="Cambria Math" w:eastAsia="Cambria Math" w:hAnsi="Cambria Math"/>
                        <w:lang w:val="en-US"/>
                      </w:rPr>
                      <m:t>N</m:t>
                    </m:r>
                  </m:e>
                  <m:sub>
                    <m:r>
                      <w:rPr>
                        <w:rFonts w:ascii="Cambria Math" w:eastAsia="Cambria Math" w:hAnsi="Cambria Math"/>
                        <w:lang w:val="en-US"/>
                      </w:rPr>
                      <m:t>G</m:t>
                    </m:r>
                  </m:sub>
                </m:sSub>
              </m:sup>
              <m:e>
                <m:sSup>
                  <m:sSupPr>
                    <m:ctrlPr>
                      <w:rPr>
                        <w:rFonts w:ascii="Cambria Math" w:hAnsi="Cambria Math"/>
                        <w:lang w:val="en-US"/>
                      </w:rPr>
                    </m:ctrlPr>
                  </m:sSupPr>
                  <m:e>
                    <m:r>
                      <m:rPr>
                        <m:sty m:val="p"/>
                      </m:rPr>
                      <w:rPr>
                        <w:rFonts w:ascii="Cambria Math" w:eastAsia="Cambria Math" w:hAnsi="Cambria Math"/>
                        <w:lang w:val="en-US"/>
                      </w:rPr>
                      <m:t>10</m:t>
                    </m:r>
                  </m:e>
                  <m:sup>
                    <m:d>
                      <m:dPr>
                        <m:ctrlPr>
                          <w:rPr>
                            <w:rFonts w:ascii="Cambria Math" w:eastAsia="Cambria Math" w:hAnsi="Cambria Math"/>
                            <w:lang w:val="en-US"/>
                          </w:rPr>
                        </m:ctrlPr>
                      </m:dPr>
                      <m:e>
                        <m:sSub>
                          <m:sSubPr>
                            <m:ctrlPr>
                              <w:rPr>
                                <w:rFonts w:ascii="Cambria Math" w:eastAsia="Cambria Math" w:hAnsi="Cambria Math"/>
                                <w:lang w:val="en-US"/>
                              </w:rPr>
                            </m:ctrlPr>
                          </m:sSubPr>
                          <m:e>
                            <m:r>
                              <w:rPr>
                                <w:rFonts w:ascii="Cambria Math" w:eastAsia="Cambria Math" w:hAnsi="Cambria Math"/>
                                <w:lang w:val="en-US"/>
                              </w:rPr>
                              <m:t>P</m:t>
                            </m:r>
                          </m:e>
                          <m:sub>
                            <m:r>
                              <w:rPr>
                                <w:rFonts w:ascii="Cambria Math" w:eastAsia="Cambria Math" w:hAnsi="Cambria Math"/>
                                <w:lang w:val="en-US"/>
                              </w:rPr>
                              <m:t>G</m:t>
                            </m:r>
                          </m:sub>
                        </m:sSub>
                        <m:r>
                          <m:rPr>
                            <m:sty m:val="p"/>
                          </m:rPr>
                          <w:rPr>
                            <w:rFonts w:ascii="Cambria Math" w:eastAsia="Cambria Math" w:hAnsi="Cambria Math"/>
                            <w:lang w:val="en-US"/>
                          </w:rPr>
                          <m:t>/10</m:t>
                        </m:r>
                      </m:e>
                    </m:d>
                  </m:sup>
                </m:sSup>
              </m:e>
            </m:nary>
          </m:e>
        </m:d>
      </m:oMath>
      <w:r>
        <w:rPr>
          <w:lang w:val="en-US"/>
        </w:rPr>
        <w:t xml:space="preserve"> - 30</w:t>
      </w:r>
      <w:r>
        <w:rPr>
          <w:lang w:val="en-US"/>
        </w:rPr>
        <w:tab/>
        <w:t>(6)</w:t>
      </w:r>
    </w:p>
    <w:p w:rsidR="0089268C" w:rsidRDefault="00C3610E">
      <w:pPr>
        <w:rPr>
          <w:szCs w:val="24"/>
          <w:lang w:val="en-US"/>
        </w:rPr>
      </w:pPr>
      <w:r>
        <w:rPr>
          <w:szCs w:val="24"/>
          <w:lang w:val="en-US"/>
        </w:rPr>
        <w:t>where:</w:t>
      </w:r>
    </w:p>
    <w:p w:rsidR="0089268C" w:rsidRDefault="00C3610E">
      <w:pPr>
        <w:pStyle w:val="Equationlegend"/>
        <w:rPr>
          <w:lang w:val="en-US"/>
        </w:rPr>
      </w:pPr>
      <w:r>
        <w:rPr>
          <w:lang w:val="en-US"/>
        </w:rPr>
        <w:tab/>
      </w:r>
      <w:r>
        <w:rPr>
          <w:i/>
          <w:iCs/>
          <w:lang w:val="en-US"/>
        </w:rPr>
        <w:t>I</w:t>
      </w:r>
      <w:r>
        <w:rPr>
          <w:i/>
          <w:iCs/>
          <w:vertAlign w:val="subscript"/>
          <w:lang w:val="en-US"/>
        </w:rPr>
        <w:t>in</w:t>
      </w:r>
      <w:r>
        <w:rPr>
          <w:lang w:val="en-US"/>
        </w:rPr>
        <w:t>:</w:t>
      </w:r>
      <w:r>
        <w:rPr>
          <w:lang w:val="en-US"/>
        </w:rPr>
        <w:tab/>
        <w:t>Simulated external interference power into CDMA carrier feeder channel at satellite transponder including building loss for all grid calculations;</w:t>
      </w:r>
    </w:p>
    <w:p w:rsidR="0089268C" w:rsidRDefault="00C3610E">
      <w:pPr>
        <w:pStyle w:val="Equationlegend"/>
        <w:rPr>
          <w:szCs w:val="24"/>
          <w:lang w:val="en-US"/>
        </w:rPr>
      </w:pPr>
      <w:r>
        <w:rPr>
          <w:szCs w:val="24"/>
          <w:lang w:val="en-US"/>
        </w:rPr>
        <w:tab/>
      </w:r>
      <w:r>
        <w:rPr>
          <w:i/>
          <w:iCs/>
          <w:szCs w:val="24"/>
          <w:lang w:val="en-US"/>
        </w:rPr>
        <w:t>N</w:t>
      </w:r>
      <w:r>
        <w:rPr>
          <w:i/>
          <w:iCs/>
          <w:szCs w:val="24"/>
          <w:vertAlign w:val="subscript"/>
          <w:lang w:val="en-US"/>
        </w:rPr>
        <w:t>G</w:t>
      </w:r>
      <w:r>
        <w:rPr>
          <w:szCs w:val="24"/>
          <w:lang w:val="en-US"/>
        </w:rPr>
        <w:t>:</w:t>
      </w:r>
      <w:r>
        <w:rPr>
          <w:szCs w:val="24"/>
          <w:lang w:val="en-US"/>
        </w:rPr>
        <w:tab/>
        <w:t>Number of grids within FSS feeder antenna footprint.</w:t>
      </w:r>
    </w:p>
    <w:p w:rsidR="0089268C" w:rsidRDefault="00C3610E" w:rsidP="006E6D2F">
      <w:pPr>
        <w:pStyle w:val="Headingb"/>
      </w:pPr>
      <w:r>
        <w:t xml:space="preserve">Step 4: </w:t>
      </w:r>
    </w:p>
    <w:p w:rsidR="0089268C" w:rsidRDefault="00C3610E">
      <w:pPr>
        <w:rPr>
          <w:szCs w:val="24"/>
          <w:lang w:val="en-US"/>
        </w:rPr>
      </w:pPr>
      <w:r>
        <w:rPr>
          <w:szCs w:val="24"/>
          <w:lang w:val="en-US"/>
        </w:rPr>
        <w:t xml:space="preserve">The simulation value </w:t>
      </w:r>
      <w:r>
        <w:rPr>
          <w:i/>
          <w:iCs/>
          <w:szCs w:val="24"/>
          <w:lang w:val="en-US"/>
        </w:rPr>
        <w:t>I</w:t>
      </w:r>
      <w:r>
        <w:rPr>
          <w:i/>
          <w:iCs/>
          <w:szCs w:val="24"/>
          <w:vertAlign w:val="subscript"/>
          <w:lang w:val="en-US"/>
        </w:rPr>
        <w:t>in</w:t>
      </w:r>
      <w:r>
        <w:rPr>
          <w:szCs w:val="24"/>
          <w:lang w:val="en-US"/>
        </w:rPr>
        <w:t xml:space="preserve"> above includes the building loss for all grids. This step takes into account that only 94.7% of RLANs are indoor and 5.3% are outdoor. For the satellite with the highest interference sample I</w:t>
      </w:r>
      <w:r>
        <w:rPr>
          <w:szCs w:val="24"/>
          <w:vertAlign w:val="subscript"/>
          <w:lang w:val="en-US"/>
        </w:rPr>
        <w:t>in</w:t>
      </w:r>
      <w:r>
        <w:rPr>
          <w:szCs w:val="24"/>
          <w:lang w:val="en-US"/>
        </w:rPr>
        <w:t>, calculated in step 3, a simulation without BEL is performed to find the interference from outdoor RLANs (</w:t>
      </w:r>
      <w:r>
        <w:rPr>
          <w:i/>
          <w:iCs/>
          <w:szCs w:val="24"/>
          <w:lang w:val="en-US"/>
        </w:rPr>
        <w:t>I</w:t>
      </w:r>
      <w:r>
        <w:rPr>
          <w:i/>
          <w:iCs/>
          <w:szCs w:val="24"/>
          <w:vertAlign w:val="subscript"/>
          <w:lang w:val="en-US"/>
        </w:rPr>
        <w:t>out</w:t>
      </w:r>
      <w:r>
        <w:rPr>
          <w:szCs w:val="24"/>
          <w:lang w:val="en-US"/>
        </w:rPr>
        <w:t xml:space="preserve">).  Then the worst case combination of </w:t>
      </w:r>
      <w:r>
        <w:rPr>
          <w:i/>
          <w:iCs/>
          <w:szCs w:val="24"/>
          <w:lang w:val="en-US"/>
        </w:rPr>
        <w:t>I</w:t>
      </w:r>
      <w:r>
        <w:rPr>
          <w:i/>
          <w:iCs/>
          <w:szCs w:val="24"/>
          <w:vertAlign w:val="subscript"/>
          <w:lang w:val="en-US"/>
        </w:rPr>
        <w:t>in</w:t>
      </w:r>
      <w:r>
        <w:rPr>
          <w:szCs w:val="24"/>
          <w:lang w:val="en-US"/>
        </w:rPr>
        <w:t xml:space="preserve"> and </w:t>
      </w:r>
      <w:r>
        <w:rPr>
          <w:i/>
          <w:iCs/>
          <w:szCs w:val="24"/>
          <w:lang w:val="en-US"/>
        </w:rPr>
        <w:t>I</w:t>
      </w:r>
      <w:r>
        <w:rPr>
          <w:i/>
          <w:iCs/>
          <w:szCs w:val="24"/>
          <w:vertAlign w:val="subscript"/>
          <w:lang w:val="en-US"/>
        </w:rPr>
        <w:t>out</w:t>
      </w:r>
      <w:r>
        <w:rPr>
          <w:szCs w:val="24"/>
          <w:lang w:val="en-US"/>
        </w:rPr>
        <w:t xml:space="preserve"> is used to determine the effective aggregate interference into the FSS feeder link from both indoor and outdoor RLANs. This may calculated as:</w:t>
      </w:r>
    </w:p>
    <w:p w:rsidR="0089268C" w:rsidRDefault="00C3610E">
      <w:pPr>
        <w:pStyle w:val="Equation"/>
        <w:rPr>
          <w:b/>
          <w:lang w:val="en-US"/>
        </w:rPr>
      </w:pPr>
      <w:r>
        <w:rPr>
          <w:vertAlign w:val="superscript"/>
          <w:lang w:val="en-US"/>
        </w:rPr>
        <w:tab/>
      </w:r>
      <w:r>
        <w:rPr>
          <w:vertAlign w:val="superscript"/>
          <w:lang w:val="en-US"/>
        </w:rPr>
        <w:tab/>
      </w:r>
      <m:oMath>
        <m:sSub>
          <m:sSubPr>
            <m:ctrlPr>
              <w:rPr>
                <w:rFonts w:ascii="Cambria Math" w:hAnsi="Cambria Math"/>
                <w:vertAlign w:val="superscript"/>
                <w:lang w:val="en-US"/>
              </w:rPr>
            </m:ctrlPr>
          </m:sSubPr>
          <m:e>
            <m:r>
              <w:rPr>
                <w:rFonts w:ascii="Cambria Math" w:hAnsi="Cambria Math"/>
                <w:vertAlign w:val="superscript"/>
                <w:lang w:val="en-US"/>
              </w:rPr>
              <m:t>I</m:t>
            </m:r>
          </m:e>
          <m:sub>
            <m:r>
              <w:rPr>
                <w:rFonts w:ascii="Cambria Math" w:hAnsi="Cambria Math"/>
                <w:vertAlign w:val="superscript"/>
                <w:lang w:val="en-US"/>
              </w:rPr>
              <m:t>agg</m:t>
            </m:r>
          </m:sub>
        </m:sSub>
        <m:r>
          <m:rPr>
            <m:sty m:val="p"/>
          </m:rPr>
          <w:rPr>
            <w:rFonts w:ascii="Cambria Math" w:hAnsi="Cambria Math"/>
            <w:vertAlign w:val="superscript"/>
            <w:lang w:val="en-US"/>
          </w:rPr>
          <m:t xml:space="preserve">=10 </m:t>
        </m:r>
        <m:r>
          <w:rPr>
            <w:rFonts w:ascii="Cambria Math" w:hAnsi="Cambria Math"/>
            <w:vertAlign w:val="superscript"/>
            <w:lang w:val="en-US"/>
          </w:rPr>
          <m:t>x</m:t>
        </m:r>
        <m:r>
          <m:rPr>
            <m:sty m:val="p"/>
          </m:rPr>
          <w:rPr>
            <w:rFonts w:ascii="Cambria Math" w:hAnsi="Cambria Math"/>
            <w:vertAlign w:val="superscript"/>
            <w:lang w:val="en-US"/>
          </w:rPr>
          <m:t xml:space="preserve"> log⁡</m:t>
        </m:r>
        <m:d>
          <m:dPr>
            <m:begChr m:val="["/>
            <m:endChr m:val="]"/>
            <m:ctrlPr>
              <w:rPr>
                <w:rFonts w:ascii="Cambria Math" w:hAnsi="Cambria Math"/>
                <w:vertAlign w:val="superscript"/>
                <w:lang w:val="en-US"/>
              </w:rPr>
            </m:ctrlPr>
          </m:dPr>
          <m:e>
            <m:r>
              <m:rPr>
                <m:sty m:val="p"/>
              </m:rPr>
              <w:rPr>
                <w:rFonts w:ascii="Cambria Math" w:hAnsi="Cambria Math"/>
                <w:vertAlign w:val="superscript"/>
                <w:lang w:val="en-US"/>
              </w:rPr>
              <m:t xml:space="preserve">0.947 </m:t>
            </m:r>
            <m:r>
              <w:rPr>
                <w:rFonts w:ascii="Cambria Math" w:hAnsi="Cambria Math"/>
                <w:vertAlign w:val="superscript"/>
                <w:lang w:val="en-US"/>
              </w:rPr>
              <m:t>x</m:t>
            </m:r>
            <m:r>
              <m:rPr>
                <m:sty m:val="p"/>
              </m:rPr>
              <w:rPr>
                <w:rFonts w:ascii="Cambria Math" w:hAnsi="Cambria Math"/>
                <w:vertAlign w:val="superscript"/>
                <w:lang w:val="en-US"/>
              </w:rPr>
              <m:t xml:space="preserve"> </m:t>
            </m:r>
            <m:sSup>
              <m:sSupPr>
                <m:ctrlPr>
                  <w:rPr>
                    <w:rFonts w:ascii="Cambria Math" w:hAnsi="Cambria Math"/>
                    <w:vertAlign w:val="superscript"/>
                    <w:lang w:val="en-US"/>
                  </w:rPr>
                </m:ctrlPr>
              </m:sSupPr>
              <m:e>
                <m:r>
                  <m:rPr>
                    <m:sty m:val="p"/>
                  </m:rPr>
                  <w:rPr>
                    <w:rFonts w:ascii="Cambria Math" w:hAnsi="Cambria Math"/>
                    <w:vertAlign w:val="superscript"/>
                    <w:lang w:val="en-US"/>
                  </w:rPr>
                  <m:t>10</m:t>
                </m:r>
              </m:e>
              <m:sup>
                <m:d>
                  <m:dPr>
                    <m:ctrlPr>
                      <w:rPr>
                        <w:rFonts w:ascii="Cambria Math" w:hAnsi="Cambria Math"/>
                        <w:vertAlign w:val="superscript"/>
                        <w:lang w:val="en-US"/>
                      </w:rPr>
                    </m:ctrlPr>
                  </m:dPr>
                  <m:e>
                    <m:r>
                      <m:rPr>
                        <m:sty m:val="p"/>
                      </m:rPr>
                      <w:rPr>
                        <w:rFonts w:ascii="Cambria Math" w:hAnsi="Cambria Math"/>
                        <w:vertAlign w:val="superscript"/>
                        <w:lang w:val="en-US"/>
                      </w:rPr>
                      <m:t xml:space="preserve"> </m:t>
                    </m:r>
                    <m:f>
                      <m:fPr>
                        <m:ctrlPr>
                          <w:rPr>
                            <w:rFonts w:ascii="Cambria Math" w:hAnsi="Cambria Math"/>
                            <w:vertAlign w:val="superscript"/>
                            <w:lang w:val="en-US"/>
                          </w:rPr>
                        </m:ctrlPr>
                      </m:fPr>
                      <m:num>
                        <m:sSub>
                          <m:sSubPr>
                            <m:ctrlPr>
                              <w:rPr>
                                <w:rFonts w:ascii="Cambria Math" w:hAnsi="Cambria Math"/>
                                <w:vertAlign w:val="superscript"/>
                                <w:lang w:val="en-US"/>
                              </w:rPr>
                            </m:ctrlPr>
                          </m:sSubPr>
                          <m:e>
                            <m:r>
                              <w:rPr>
                                <w:rFonts w:ascii="Cambria Math" w:hAnsi="Cambria Math"/>
                                <w:vertAlign w:val="superscript"/>
                                <w:lang w:val="en-US"/>
                              </w:rPr>
                              <m:t>I</m:t>
                            </m:r>
                          </m:e>
                          <m:sub>
                            <m:r>
                              <w:rPr>
                                <w:rFonts w:ascii="Cambria Math" w:hAnsi="Cambria Math"/>
                                <w:vertAlign w:val="superscript"/>
                                <w:lang w:val="en-US"/>
                              </w:rPr>
                              <m:t>in</m:t>
                            </m:r>
                          </m:sub>
                        </m:sSub>
                      </m:num>
                      <m:den>
                        <m:r>
                          <m:rPr>
                            <m:sty m:val="p"/>
                          </m:rPr>
                          <w:rPr>
                            <w:rFonts w:ascii="Cambria Math" w:hAnsi="Cambria Math"/>
                            <w:vertAlign w:val="superscript"/>
                            <w:lang w:val="en-US"/>
                          </w:rPr>
                          <m:t>10</m:t>
                        </m:r>
                      </m:den>
                    </m:f>
                  </m:e>
                </m:d>
              </m:sup>
            </m:sSup>
            <m:r>
              <m:rPr>
                <m:sty m:val="p"/>
              </m:rPr>
              <w:rPr>
                <w:rFonts w:ascii="Cambria Math" w:hAnsi="Cambria Math"/>
                <w:vertAlign w:val="superscript"/>
                <w:lang w:val="en-US"/>
              </w:rPr>
              <m:t xml:space="preserve">+ 0.053 </m:t>
            </m:r>
            <m:r>
              <w:rPr>
                <w:rFonts w:ascii="Cambria Math" w:hAnsi="Cambria Math"/>
                <w:vertAlign w:val="superscript"/>
                <w:lang w:val="en-US"/>
              </w:rPr>
              <m:t>x</m:t>
            </m:r>
            <m:r>
              <m:rPr>
                <m:sty m:val="p"/>
              </m:rPr>
              <w:rPr>
                <w:rFonts w:ascii="Cambria Math" w:hAnsi="Cambria Math"/>
                <w:vertAlign w:val="superscript"/>
                <w:lang w:val="en-US"/>
              </w:rPr>
              <m:t xml:space="preserve"> </m:t>
            </m:r>
            <m:sSup>
              <m:sSupPr>
                <m:ctrlPr>
                  <w:rPr>
                    <w:rFonts w:ascii="Cambria Math" w:hAnsi="Cambria Math"/>
                    <w:vertAlign w:val="superscript"/>
                    <w:lang w:val="en-US"/>
                  </w:rPr>
                </m:ctrlPr>
              </m:sSupPr>
              <m:e>
                <m:r>
                  <m:rPr>
                    <m:sty m:val="p"/>
                  </m:rPr>
                  <w:rPr>
                    <w:rFonts w:ascii="Cambria Math" w:hAnsi="Cambria Math"/>
                    <w:vertAlign w:val="superscript"/>
                    <w:lang w:val="en-US"/>
                  </w:rPr>
                  <m:t>10</m:t>
                </m:r>
              </m:e>
              <m:sup>
                <m:d>
                  <m:dPr>
                    <m:ctrlPr>
                      <w:rPr>
                        <w:rFonts w:ascii="Cambria Math" w:hAnsi="Cambria Math"/>
                        <w:vertAlign w:val="superscript"/>
                        <w:lang w:val="en-US"/>
                      </w:rPr>
                    </m:ctrlPr>
                  </m:dPr>
                  <m:e>
                    <m:r>
                      <m:rPr>
                        <m:sty m:val="p"/>
                      </m:rPr>
                      <w:rPr>
                        <w:rFonts w:ascii="Cambria Math" w:hAnsi="Cambria Math"/>
                        <w:vertAlign w:val="superscript"/>
                        <w:lang w:val="en-US"/>
                      </w:rPr>
                      <m:t xml:space="preserve"> </m:t>
                    </m:r>
                    <m:f>
                      <m:fPr>
                        <m:ctrlPr>
                          <w:rPr>
                            <w:rFonts w:ascii="Cambria Math" w:hAnsi="Cambria Math"/>
                            <w:vertAlign w:val="superscript"/>
                            <w:lang w:val="en-US"/>
                          </w:rPr>
                        </m:ctrlPr>
                      </m:fPr>
                      <m:num>
                        <m:sSub>
                          <m:sSubPr>
                            <m:ctrlPr>
                              <w:rPr>
                                <w:rFonts w:ascii="Cambria Math" w:hAnsi="Cambria Math"/>
                                <w:vertAlign w:val="superscript"/>
                                <w:lang w:val="en-US"/>
                              </w:rPr>
                            </m:ctrlPr>
                          </m:sSubPr>
                          <m:e>
                            <m:r>
                              <m:rPr>
                                <m:sty m:val="p"/>
                              </m:rPr>
                              <w:rPr>
                                <w:rFonts w:ascii="Cambria Math" w:hAnsi="Cambria Math"/>
                                <w:vertAlign w:val="superscript"/>
                                <w:lang w:val="en-US"/>
                              </w:rPr>
                              <m:t>(</m:t>
                            </m:r>
                            <m:r>
                              <w:rPr>
                                <w:rFonts w:ascii="Cambria Math" w:hAnsi="Cambria Math"/>
                                <w:vertAlign w:val="superscript"/>
                                <w:lang w:val="en-US"/>
                              </w:rPr>
                              <m:t>I</m:t>
                            </m:r>
                          </m:e>
                          <m:sub>
                            <m:r>
                              <w:rPr>
                                <w:rFonts w:ascii="Cambria Math" w:hAnsi="Cambria Math"/>
                                <w:vertAlign w:val="superscript"/>
                                <w:lang w:val="en-US"/>
                              </w:rPr>
                              <m:t>out</m:t>
                            </m:r>
                          </m:sub>
                        </m:sSub>
                      </m:num>
                      <m:den>
                        <m:r>
                          <m:rPr>
                            <m:sty m:val="p"/>
                          </m:rPr>
                          <w:rPr>
                            <w:rFonts w:ascii="Cambria Math" w:hAnsi="Cambria Math"/>
                            <w:vertAlign w:val="superscript"/>
                            <w:lang w:val="en-US"/>
                          </w:rPr>
                          <m:t>10</m:t>
                        </m:r>
                      </m:den>
                    </m:f>
                  </m:e>
                </m:d>
              </m:sup>
            </m:sSup>
          </m:e>
        </m:d>
      </m:oMath>
      <w:r>
        <w:rPr>
          <w:b/>
          <w:lang w:val="en-US"/>
        </w:rPr>
        <w:tab/>
      </w:r>
      <w:r>
        <w:rPr>
          <w:bCs/>
          <w:lang w:val="en-US"/>
        </w:rPr>
        <w:t>(7)</w:t>
      </w:r>
    </w:p>
    <w:p w:rsidR="0089268C" w:rsidRDefault="00C3610E">
      <w:pPr>
        <w:rPr>
          <w:szCs w:val="24"/>
          <w:lang w:val="en-US"/>
        </w:rPr>
      </w:pPr>
      <w:r>
        <w:rPr>
          <w:szCs w:val="24"/>
          <w:lang w:val="en-US"/>
        </w:rPr>
        <w:t>where:</w:t>
      </w:r>
    </w:p>
    <w:p w:rsidR="0089268C" w:rsidRDefault="00C3610E">
      <w:pPr>
        <w:pStyle w:val="Equationlegend"/>
        <w:rPr>
          <w:color w:val="000000"/>
          <w:szCs w:val="24"/>
          <w:lang w:val="en-US"/>
        </w:rPr>
      </w:pPr>
      <w:r>
        <w:rPr>
          <w:color w:val="000000"/>
          <w:szCs w:val="24"/>
          <w:lang w:val="en-US"/>
        </w:rPr>
        <w:tab/>
      </w:r>
      <w:r>
        <w:rPr>
          <w:i/>
          <w:iCs/>
          <w:color w:val="000000"/>
          <w:szCs w:val="24"/>
          <w:lang w:val="en-US"/>
        </w:rPr>
        <w:t>I</w:t>
      </w:r>
      <w:r>
        <w:rPr>
          <w:i/>
          <w:iCs/>
          <w:color w:val="000000"/>
          <w:szCs w:val="24"/>
          <w:vertAlign w:val="subscript"/>
          <w:lang w:val="en-US"/>
        </w:rPr>
        <w:t>out</w:t>
      </w:r>
      <w:r>
        <w:rPr>
          <w:color w:val="000000"/>
          <w:szCs w:val="24"/>
          <w:lang w:val="en-US"/>
        </w:rPr>
        <w:t>:</w:t>
      </w:r>
      <w:r>
        <w:rPr>
          <w:color w:val="000000"/>
          <w:szCs w:val="24"/>
          <w:lang w:val="en-US"/>
        </w:rPr>
        <w:tab/>
        <w:t xml:space="preserve">Simulated external interference power into CDMA carrier feeder channel at satellite </w:t>
      </w:r>
      <w:r>
        <w:rPr>
          <w:szCs w:val="24"/>
          <w:lang w:val="en-US"/>
        </w:rPr>
        <w:t>transponder</w:t>
      </w:r>
      <w:r>
        <w:rPr>
          <w:color w:val="000000"/>
          <w:szCs w:val="24"/>
          <w:lang w:val="en-US"/>
        </w:rPr>
        <w:t xml:space="preserve"> excluding building loss for all grid calculations</w:t>
      </w:r>
    </w:p>
    <w:p w:rsidR="0089268C" w:rsidRDefault="00C3610E">
      <w:pPr>
        <w:pStyle w:val="Equationlegend"/>
        <w:rPr>
          <w:color w:val="000000"/>
          <w:szCs w:val="24"/>
          <w:lang w:val="en-US"/>
        </w:rPr>
      </w:pPr>
      <w:r>
        <w:rPr>
          <w:color w:val="000000"/>
          <w:szCs w:val="24"/>
          <w:lang w:val="en-US"/>
        </w:rPr>
        <w:tab/>
      </w:r>
      <w:r>
        <w:rPr>
          <w:i/>
          <w:iCs/>
          <w:color w:val="000000"/>
          <w:szCs w:val="24"/>
          <w:lang w:val="en-US"/>
        </w:rPr>
        <w:t>I</w:t>
      </w:r>
      <w:r>
        <w:rPr>
          <w:i/>
          <w:iCs/>
          <w:color w:val="000000"/>
          <w:szCs w:val="24"/>
          <w:vertAlign w:val="subscript"/>
          <w:lang w:val="en-US"/>
        </w:rPr>
        <w:t>agg</w:t>
      </w:r>
      <w:r>
        <w:rPr>
          <w:color w:val="000000"/>
          <w:szCs w:val="24"/>
          <w:lang w:val="en-US"/>
        </w:rPr>
        <w:t>:</w:t>
      </w:r>
      <w:r>
        <w:rPr>
          <w:color w:val="000000"/>
          <w:szCs w:val="24"/>
          <w:lang w:val="en-US"/>
        </w:rPr>
        <w:tab/>
        <w:t xml:space="preserve">Effective </w:t>
      </w:r>
      <w:r>
        <w:rPr>
          <w:szCs w:val="24"/>
          <w:lang w:val="en-US"/>
        </w:rPr>
        <w:t>aggregate</w:t>
      </w:r>
      <w:r>
        <w:rPr>
          <w:color w:val="000000"/>
          <w:szCs w:val="24"/>
          <w:lang w:val="en-US"/>
        </w:rPr>
        <w:t xml:space="preserve"> RLAN interference power into a CDMA carrier channel of the FSS FDM feeder channel at satellite, includes impact of both indoor and outdoor RLANs</w:t>
      </w:r>
    </w:p>
    <w:p w:rsidR="0089268C" w:rsidRDefault="00C3610E" w:rsidP="006E6D2F">
      <w:pPr>
        <w:pStyle w:val="Headingb"/>
      </w:pPr>
      <w:r>
        <w:t xml:space="preserve">Step 5: </w:t>
      </w:r>
    </w:p>
    <w:p w:rsidR="0089268C" w:rsidRDefault="00C3610E">
      <w:pPr>
        <w:rPr>
          <w:szCs w:val="24"/>
          <w:lang w:val="en-US"/>
        </w:rPr>
      </w:pPr>
      <w:r>
        <w:rPr>
          <w:szCs w:val="24"/>
          <w:lang w:val="en-US"/>
        </w:rPr>
        <w:t xml:space="preserve">This step calculates aggregate RLAN interference relative to noise levels at the satellite </w:t>
      </w:r>
    </w:p>
    <w:p w:rsidR="0089268C" w:rsidRDefault="00C3610E">
      <w:pPr>
        <w:pStyle w:val="Equation"/>
        <w:rPr>
          <w:lang w:val="en-US"/>
        </w:rPr>
      </w:pPr>
      <w:r>
        <w:rPr>
          <w:lang w:val="en-US"/>
        </w:rPr>
        <w:tab/>
      </w:r>
      <w:r>
        <w:rPr>
          <w:lang w:val="en-US"/>
        </w:rPr>
        <w:tab/>
      </w:r>
      <w:r>
        <w:rPr>
          <w:i/>
          <w:iCs/>
          <w:lang w:val="en-US"/>
        </w:rPr>
        <w:t>I/N</w:t>
      </w:r>
      <w:r>
        <w:rPr>
          <w:lang w:val="en-US"/>
        </w:rPr>
        <w:t xml:space="preserve"> = </w:t>
      </w:r>
      <w:r>
        <w:rPr>
          <w:i/>
          <w:iCs/>
          <w:lang w:val="en-US"/>
        </w:rPr>
        <w:t>I</w:t>
      </w:r>
      <w:r>
        <w:rPr>
          <w:i/>
          <w:iCs/>
          <w:vertAlign w:val="subscript"/>
          <w:lang w:val="en-US"/>
        </w:rPr>
        <w:t>agg</w:t>
      </w:r>
      <w:r>
        <w:rPr>
          <w:lang w:val="en-US"/>
        </w:rPr>
        <w:t xml:space="preserve"> – </w:t>
      </w:r>
      <w:r>
        <w:rPr>
          <w:i/>
          <w:iCs/>
          <w:lang w:val="en-US"/>
        </w:rPr>
        <w:t>N</w:t>
      </w:r>
      <w:r>
        <w:rPr>
          <w:i/>
          <w:iCs/>
          <w:vertAlign w:val="subscript"/>
          <w:lang w:val="en-US"/>
        </w:rPr>
        <w:t>up</w:t>
      </w:r>
      <w:r>
        <w:rPr>
          <w:lang w:val="en-US"/>
        </w:rPr>
        <w:tab/>
        <w:t>(8)</w:t>
      </w:r>
    </w:p>
    <w:p w:rsidR="0089268C" w:rsidRDefault="00C3610E">
      <w:pPr>
        <w:rPr>
          <w:szCs w:val="24"/>
          <w:lang w:val="en-US"/>
        </w:rPr>
      </w:pPr>
      <w:r>
        <w:rPr>
          <w:szCs w:val="24"/>
          <w:lang w:val="en-US"/>
        </w:rPr>
        <w:t>where:</w:t>
      </w:r>
    </w:p>
    <w:p w:rsidR="0089268C" w:rsidRDefault="00C3610E">
      <w:pPr>
        <w:pStyle w:val="Equationlegend"/>
        <w:rPr>
          <w:lang w:val="en-US"/>
        </w:rPr>
      </w:pPr>
      <w:r>
        <w:rPr>
          <w:i/>
          <w:lang w:val="en-US"/>
        </w:rPr>
        <w:tab/>
        <w:t>N</w:t>
      </w:r>
      <w:r>
        <w:rPr>
          <w:i/>
          <w:vertAlign w:val="subscript"/>
          <w:lang w:val="en-US"/>
        </w:rPr>
        <w:t>up</w:t>
      </w:r>
      <w:r>
        <w:rPr>
          <w:lang w:val="en-US"/>
        </w:rPr>
        <w:t>:</w:t>
      </w:r>
      <w:r>
        <w:rPr>
          <w:lang w:val="en-US"/>
        </w:rPr>
        <w:tab/>
        <w:t>Satellite kTB.</w:t>
      </w:r>
    </w:p>
    <w:p w:rsidR="0089268C" w:rsidRPr="001E7D0F" w:rsidRDefault="00C3610E" w:rsidP="00E5537E">
      <w:pPr>
        <w:pStyle w:val="Heading4"/>
      </w:pPr>
      <w:bookmarkStart w:id="67" w:name="_Toc496516382"/>
      <w:r w:rsidRPr="001E7D0F">
        <w:t>5.1.1.</w:t>
      </w:r>
      <w:r w:rsidR="00E5537E">
        <w:t>5</w:t>
      </w:r>
      <w:r w:rsidRPr="001E7D0F">
        <w:tab/>
        <w:t>Results/Conclusions</w:t>
      </w:r>
      <w:bookmarkEnd w:id="67"/>
    </w:p>
    <w:p w:rsidR="0089268C" w:rsidRDefault="00C3610E">
      <w:pPr>
        <w:rPr>
          <w:b/>
          <w:bCs/>
          <w:lang w:val="en-US"/>
        </w:rPr>
      </w:pPr>
      <w:r>
        <w:rPr>
          <w:lang w:val="en-US"/>
        </w:rPr>
        <w:t>Appendix A provides further descriptive information concerning the simulation.</w:t>
      </w:r>
    </w:p>
    <w:p w:rsidR="0089268C" w:rsidRDefault="00C3610E">
      <w:pPr>
        <w:rPr>
          <w:b/>
          <w:lang w:val="en-US"/>
        </w:rPr>
      </w:pPr>
      <w:r>
        <w:rPr>
          <w:lang w:val="en-US"/>
        </w:rPr>
        <w:t xml:space="preserve">Table 6 provides the calculation of worst case aggregate interference </w:t>
      </w:r>
      <w:r>
        <w:rPr>
          <w:i/>
          <w:iCs/>
          <w:lang w:val="en-US"/>
        </w:rPr>
        <w:t>I</w:t>
      </w:r>
      <w:r>
        <w:rPr>
          <w:i/>
          <w:iCs/>
          <w:vertAlign w:val="subscript"/>
          <w:lang w:val="en-US"/>
        </w:rPr>
        <w:t>agg</w:t>
      </w:r>
      <w:r>
        <w:rPr>
          <w:lang w:val="en-US"/>
        </w:rPr>
        <w:t xml:space="preserve"> simulated assuming 5.3% are operating outdoors and 94.7% are operating indoors.</w:t>
      </w:r>
    </w:p>
    <w:p w:rsidR="0089268C" w:rsidRDefault="00C3610E">
      <w:pPr>
        <w:pStyle w:val="TableNo"/>
        <w:rPr>
          <w:lang w:val="en-US"/>
        </w:rPr>
      </w:pPr>
      <w:r>
        <w:rPr>
          <w:lang w:val="en-US"/>
        </w:rPr>
        <w:lastRenderedPageBreak/>
        <w:t>Table 6</w:t>
      </w:r>
    </w:p>
    <w:p w:rsidR="0089268C" w:rsidRDefault="00C3610E">
      <w:pPr>
        <w:pStyle w:val="Tabletitle"/>
        <w:rPr>
          <w:lang w:val="en-US"/>
        </w:rPr>
      </w:pPr>
      <w:r>
        <w:rPr>
          <w:lang w:val="en-US"/>
        </w:rPr>
        <w:t xml:space="preserve">Calculation of total aggregate interference </w:t>
      </w:r>
      <w:r>
        <w:rPr>
          <w:i/>
          <w:iCs/>
          <w:lang w:val="en-US"/>
        </w:rPr>
        <w:t>I</w:t>
      </w:r>
      <w:r>
        <w:rPr>
          <w:i/>
          <w:iCs/>
          <w:vertAlign w:val="subscript"/>
          <w:lang w:val="en-US"/>
        </w:rPr>
        <w:t>agg</w:t>
      </w:r>
    </w:p>
    <w:p w:rsidR="0089268C" w:rsidRDefault="00C3610E" w:rsidP="005C1912">
      <w:pPr>
        <w:pStyle w:val="Figure"/>
      </w:pPr>
      <w:r w:rsidRPr="001E7D0F">
        <w:rPr>
          <w:lang w:val="en-GB"/>
        </w:rPr>
        <w:drawing>
          <wp:inline distT="0" distB="0" distL="0" distR="0">
            <wp:extent cx="5379720" cy="14630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79720" cy="1463040"/>
                    </a:xfrm>
                    <a:prstGeom prst="rect">
                      <a:avLst/>
                    </a:prstGeom>
                    <a:noFill/>
                  </pic:spPr>
                </pic:pic>
              </a:graphicData>
            </a:graphic>
          </wp:inline>
        </w:drawing>
      </w:r>
    </w:p>
    <w:p w:rsidR="0089268C" w:rsidRDefault="00C3610E">
      <w:pPr>
        <w:rPr>
          <w:b/>
          <w:lang w:val="en-US"/>
        </w:rPr>
      </w:pPr>
      <w:r>
        <w:rPr>
          <w:lang w:val="en-US"/>
        </w:rPr>
        <w:t>The maximum value of the aggregate RLAN interference calculated, based on samples collected from both indoor and outdoor RLAN interference simulations was -154.1 dBW and therefore an I/N value of -13.8 dB was never exceeded, safely below the comparison benchmark of -12.2 dB. Considering this outcome, it is evident that allowing RLANs to operate outdoors and at higher powers in the 5 150-5 250 MHz poses no harmful interference to the single operational MSS system, when sharing the band with the system’s FSS feeder uplink.</w:t>
      </w:r>
    </w:p>
    <w:p w:rsidR="0089268C" w:rsidRDefault="00C3610E">
      <w:pPr>
        <w:rPr>
          <w:sz w:val="32"/>
          <w:szCs w:val="32"/>
          <w:lang w:val="en-US"/>
        </w:rPr>
      </w:pPr>
      <w:r>
        <w:rPr>
          <w:sz w:val="32"/>
          <w:szCs w:val="32"/>
          <w:lang w:val="en-US"/>
        </w:rPr>
        <w:br w:type="page"/>
      </w:r>
    </w:p>
    <w:p w:rsidR="0089268C" w:rsidRDefault="00C3610E">
      <w:pPr>
        <w:pStyle w:val="AnnexNo"/>
        <w:rPr>
          <w:b/>
          <w:lang w:val="en-US"/>
        </w:rPr>
      </w:pPr>
      <w:r>
        <w:rPr>
          <w:lang w:val="en-US"/>
        </w:rPr>
        <w:lastRenderedPageBreak/>
        <w:t>APPENDIX 1</w:t>
      </w:r>
    </w:p>
    <w:p w:rsidR="0089268C" w:rsidRDefault="00C3610E">
      <w:pPr>
        <w:pStyle w:val="Annextitle"/>
        <w:rPr>
          <w:lang w:val="en-US"/>
        </w:rPr>
      </w:pPr>
      <w:r>
        <w:rPr>
          <w:lang w:val="en-US"/>
        </w:rPr>
        <w:t>Simulation Details</w:t>
      </w:r>
    </w:p>
    <w:p w:rsidR="0089268C" w:rsidRDefault="00C3610E">
      <w:pPr>
        <w:pStyle w:val="Normalaftertitle"/>
        <w:rPr>
          <w:b/>
          <w:lang w:val="en-US"/>
        </w:rPr>
      </w:pPr>
      <w:r>
        <w:rPr>
          <w:lang w:val="en-US"/>
        </w:rPr>
        <w:t>The simulation tracked 17 of the 34 active MSS satellites over two days. Figure 10 shows the typical path of a satellite with a 52 degree inclination over one 24 hour period.</w:t>
      </w:r>
    </w:p>
    <w:p w:rsidR="0089268C" w:rsidRDefault="00C3610E">
      <w:pPr>
        <w:pStyle w:val="FigureNo"/>
        <w:rPr>
          <w:lang w:val="en-US"/>
        </w:rPr>
      </w:pPr>
      <w:bookmarkStart w:id="68" w:name="_Toc495068588"/>
      <w:bookmarkStart w:id="69" w:name="_Toc495069113"/>
      <w:bookmarkStart w:id="70" w:name="_Toc495069328"/>
      <w:r>
        <w:rPr>
          <w:lang w:val="en-US"/>
        </w:rPr>
        <w:t>Figure 10</w:t>
      </w:r>
    </w:p>
    <w:p w:rsidR="0089268C" w:rsidRDefault="00C3610E" w:rsidP="005C1912">
      <w:pPr>
        <w:pStyle w:val="Figuretitle"/>
      </w:pPr>
      <w:r>
        <w:rPr>
          <w:lang w:val="en-US"/>
        </w:rPr>
        <w:t>24 hour path of satellite (52</w:t>
      </w:r>
      <w:r>
        <w:rPr>
          <w:vertAlign w:val="superscript"/>
          <w:lang w:val="en-US"/>
        </w:rPr>
        <w:t>o</w:t>
      </w:r>
      <w:r>
        <w:rPr>
          <w:lang w:val="en-US"/>
        </w:rPr>
        <w:t xml:space="preserve"> inclination)</w:t>
      </w:r>
      <w:bookmarkEnd w:id="68"/>
      <w:bookmarkEnd w:id="69"/>
      <w:bookmarkEnd w:id="70"/>
    </w:p>
    <w:p w:rsidR="0089268C" w:rsidRDefault="00C3610E" w:rsidP="005C1912">
      <w:pPr>
        <w:pStyle w:val="Figure"/>
      </w:pPr>
      <w:r w:rsidRPr="001E7D0F">
        <w:rPr>
          <w:lang w:val="en-GB"/>
        </w:rPr>
        <w:drawing>
          <wp:inline distT="0" distB="0" distL="0" distR="0">
            <wp:extent cx="4541520" cy="2453670"/>
            <wp:effectExtent l="0" t="0" r="0" b="3810"/>
            <wp:docPr id="9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57357" cy="2462226"/>
                    </a:xfrm>
                    <a:prstGeom prst="rect">
                      <a:avLst/>
                    </a:prstGeom>
                    <a:noFill/>
                  </pic:spPr>
                </pic:pic>
              </a:graphicData>
            </a:graphic>
          </wp:inline>
        </w:drawing>
      </w:r>
    </w:p>
    <w:p w:rsidR="0089268C" w:rsidRDefault="00C3610E">
      <w:pPr>
        <w:rPr>
          <w:lang w:val="en-US"/>
        </w:rPr>
      </w:pPr>
      <w:r>
        <w:rPr>
          <w:szCs w:val="24"/>
          <w:lang w:val="en-US"/>
        </w:rPr>
        <w:t>Figure 11 shows the geo-population data compiled from the Oak Ridge National Laboratory’s (ORNL) LandScan™ database for the study area of interest. Areas in black indicate the presence of population. Whenever the satellite’s feeder receive antenna has line of site to these areas the aggregate power from the corresponding in band RLAN transmissions is calculated. Otherwise a value of -300 dBW is assigned to a sample.</w:t>
      </w:r>
    </w:p>
    <w:p w:rsidR="0089268C" w:rsidRDefault="00C3610E">
      <w:pPr>
        <w:pStyle w:val="FigureNo"/>
        <w:rPr>
          <w:lang w:val="en-US"/>
        </w:rPr>
      </w:pPr>
      <w:bookmarkStart w:id="71" w:name="_Toc495068589"/>
      <w:bookmarkStart w:id="72" w:name="_Toc495069114"/>
      <w:bookmarkStart w:id="73" w:name="_Toc495069329"/>
      <w:r>
        <w:rPr>
          <w:lang w:val="en-US"/>
        </w:rPr>
        <w:t>Figure 11</w:t>
      </w:r>
    </w:p>
    <w:p w:rsidR="0089268C" w:rsidRDefault="00C3610E" w:rsidP="005C1912">
      <w:pPr>
        <w:pStyle w:val="Figuretitle"/>
      </w:pPr>
      <w:r>
        <w:rPr>
          <w:lang w:val="en-US"/>
        </w:rPr>
        <w:t xml:space="preserve"> </w:t>
      </w:r>
      <w:bookmarkEnd w:id="71"/>
      <w:bookmarkEnd w:id="72"/>
      <w:bookmarkEnd w:id="73"/>
      <w:r>
        <w:rPr>
          <w:lang w:val="en-US"/>
        </w:rPr>
        <w:t>Latitude, longitude considered in the simulation</w:t>
      </w:r>
    </w:p>
    <w:p w:rsidR="0089268C" w:rsidRDefault="00C3610E" w:rsidP="005C1912">
      <w:pPr>
        <w:pStyle w:val="Figure"/>
      </w:pPr>
      <w:r w:rsidRPr="001E7D0F">
        <w:rPr>
          <w:lang w:val="en-GB"/>
        </w:rPr>
        <w:drawing>
          <wp:inline distT="0" distB="0" distL="0" distR="0">
            <wp:extent cx="4229100" cy="2571078"/>
            <wp:effectExtent l="0" t="0" r="0" b="1270"/>
            <wp:docPr id="9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270587" cy="2596300"/>
                    </a:xfrm>
                    <a:prstGeom prst="rect">
                      <a:avLst/>
                    </a:prstGeom>
                    <a:noFill/>
                  </pic:spPr>
                </pic:pic>
              </a:graphicData>
            </a:graphic>
          </wp:inline>
        </w:drawing>
      </w:r>
    </w:p>
    <w:p w:rsidR="0089268C" w:rsidRDefault="00C3610E">
      <w:pPr>
        <w:rPr>
          <w:szCs w:val="24"/>
          <w:lang w:val="en-US"/>
        </w:rPr>
      </w:pPr>
      <w:r>
        <w:rPr>
          <w:szCs w:val="24"/>
          <w:lang w:val="en-US"/>
        </w:rPr>
        <w:lastRenderedPageBreak/>
        <w:t xml:space="preserve">Table 7 provides statistics for the simulation study area. Of particular interest is that while rural locations comprise 98% of the area they only account for 40% of the population. It also may be observed that suburban areas will constitute the greatest interference contribution. </w:t>
      </w:r>
    </w:p>
    <w:p w:rsidR="0089268C" w:rsidRDefault="00C3610E">
      <w:pPr>
        <w:pStyle w:val="TableNo"/>
        <w:rPr>
          <w:lang w:val="en-US"/>
        </w:rPr>
      </w:pPr>
      <w:bookmarkStart w:id="74" w:name="_Toc495068590"/>
      <w:bookmarkStart w:id="75" w:name="_Toc495069115"/>
      <w:bookmarkStart w:id="76" w:name="_Toc495069330"/>
      <w:r>
        <w:rPr>
          <w:lang w:val="en-US"/>
        </w:rPr>
        <w:t>Table 7</w:t>
      </w:r>
    </w:p>
    <w:p w:rsidR="0089268C" w:rsidRDefault="00C3610E">
      <w:pPr>
        <w:pStyle w:val="Tabletitle"/>
      </w:pPr>
      <w:r>
        <w:rPr>
          <w:lang w:val="en-US"/>
        </w:rPr>
        <w:t>Geo-population statistics of the study area</w:t>
      </w:r>
      <w:bookmarkEnd w:id="74"/>
      <w:bookmarkEnd w:id="75"/>
      <w:bookmarkEnd w:id="76"/>
    </w:p>
    <w:p w:rsidR="0089268C" w:rsidRDefault="00C3610E" w:rsidP="005C1912">
      <w:pPr>
        <w:pStyle w:val="Figure"/>
      </w:pPr>
      <w:r w:rsidRPr="001E7D0F">
        <w:rPr>
          <w:lang w:val="en-GB"/>
        </w:rPr>
        <w:drawing>
          <wp:inline distT="0" distB="0" distL="0" distR="0">
            <wp:extent cx="4373880" cy="114300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73880" cy="1143000"/>
                    </a:xfrm>
                    <a:prstGeom prst="rect">
                      <a:avLst/>
                    </a:prstGeom>
                    <a:noFill/>
                  </pic:spPr>
                </pic:pic>
              </a:graphicData>
            </a:graphic>
          </wp:inline>
        </w:drawing>
      </w:r>
    </w:p>
    <w:p w:rsidR="0089268C" w:rsidRDefault="00C3610E">
      <w:pPr>
        <w:rPr>
          <w:szCs w:val="24"/>
          <w:lang w:val="en-US"/>
        </w:rPr>
      </w:pPr>
      <w:r>
        <w:rPr>
          <w:szCs w:val="24"/>
          <w:lang w:val="en-US"/>
        </w:rPr>
        <w:t>Figure 12 shows the total aggregate interference power calculated for each pass of satellite M094 over the study area approximately once every 114 minutes. Note time is Greenwich Mean Time (GMT) and 00:00 GMT is 18:00 U.S. mountain time so we see the variation between day and night.</w:t>
      </w:r>
    </w:p>
    <w:p w:rsidR="0089268C" w:rsidRDefault="00C3610E">
      <w:pPr>
        <w:pStyle w:val="FigureNo"/>
        <w:rPr>
          <w:lang w:val="en-US"/>
        </w:rPr>
      </w:pPr>
      <w:bookmarkStart w:id="77" w:name="_Toc495068591"/>
      <w:bookmarkStart w:id="78" w:name="_Toc495069116"/>
      <w:bookmarkStart w:id="79" w:name="_Toc495069331"/>
      <w:r>
        <w:rPr>
          <w:lang w:val="en-US"/>
        </w:rPr>
        <w:t>Figure 12</w:t>
      </w:r>
    </w:p>
    <w:p w:rsidR="0089268C" w:rsidRDefault="00C3610E" w:rsidP="005C1912">
      <w:pPr>
        <w:pStyle w:val="Figuretitle"/>
      </w:pPr>
      <w:r>
        <w:t>M094 satellite simulated aggregate interference</w:t>
      </w:r>
      <w:bookmarkEnd w:id="77"/>
      <w:bookmarkEnd w:id="78"/>
      <w:bookmarkEnd w:id="79"/>
    </w:p>
    <w:p w:rsidR="0089268C" w:rsidRDefault="00C3610E" w:rsidP="005C1912">
      <w:pPr>
        <w:pStyle w:val="Figure"/>
      </w:pPr>
      <w:r w:rsidRPr="001E7D0F">
        <w:rPr>
          <w:lang w:val="en-GB"/>
        </w:rPr>
        <w:drawing>
          <wp:inline distT="0" distB="0" distL="0" distR="0">
            <wp:extent cx="4853940" cy="2506872"/>
            <wp:effectExtent l="0" t="0" r="3810" b="8255"/>
            <wp:docPr id="122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75297" cy="2517902"/>
                    </a:xfrm>
                    <a:prstGeom prst="rect">
                      <a:avLst/>
                    </a:prstGeom>
                    <a:noFill/>
                  </pic:spPr>
                </pic:pic>
              </a:graphicData>
            </a:graphic>
          </wp:inline>
        </w:drawing>
      </w:r>
    </w:p>
    <w:p w:rsidR="0089268C" w:rsidRDefault="00C3610E">
      <w:pPr>
        <w:rPr>
          <w:szCs w:val="24"/>
          <w:lang w:val="en-US"/>
        </w:rPr>
      </w:pPr>
      <w:r>
        <w:rPr>
          <w:szCs w:val="24"/>
          <w:lang w:val="en-US"/>
        </w:rPr>
        <w:t>Figure 13 shows the 0, -3 and -5 dBi feeder receive antenna footprint coverage at one of the sample points in the daytime path of satellite M094. This is the point at which the maximum sample value of aggregate interference was calculated.</w:t>
      </w:r>
    </w:p>
    <w:p w:rsidR="0089268C" w:rsidRDefault="00C3610E">
      <w:pPr>
        <w:pStyle w:val="FigureNo"/>
        <w:rPr>
          <w:lang w:val="en-US"/>
        </w:rPr>
      </w:pPr>
      <w:bookmarkStart w:id="80" w:name="_Toc495068592"/>
      <w:bookmarkStart w:id="81" w:name="_Toc495069117"/>
      <w:bookmarkStart w:id="82" w:name="_Toc495069332"/>
      <w:r>
        <w:rPr>
          <w:lang w:val="en-US"/>
        </w:rPr>
        <w:lastRenderedPageBreak/>
        <w:t>Figure 13</w:t>
      </w:r>
    </w:p>
    <w:p w:rsidR="0089268C" w:rsidRDefault="00C3610E" w:rsidP="005C1912">
      <w:pPr>
        <w:pStyle w:val="Figuretitle"/>
        <w:rPr>
          <w:sz w:val="36"/>
          <w:szCs w:val="36"/>
          <w:lang w:val="en-US"/>
        </w:rPr>
      </w:pPr>
      <w:r>
        <w:rPr>
          <w:lang w:val="en-US"/>
        </w:rPr>
        <w:t>M094 satellite at maximum simulated aggregate interference</w:t>
      </w:r>
      <w:bookmarkEnd w:id="80"/>
      <w:bookmarkEnd w:id="81"/>
      <w:bookmarkEnd w:id="82"/>
    </w:p>
    <w:p w:rsidR="0089268C" w:rsidRDefault="00C3610E" w:rsidP="005C1912">
      <w:pPr>
        <w:pStyle w:val="Figure"/>
      </w:pPr>
      <w:r w:rsidRPr="001E7D0F">
        <w:rPr>
          <w:lang w:val="en-GB"/>
        </w:rPr>
        <w:drawing>
          <wp:inline distT="0" distB="0" distL="0" distR="0">
            <wp:extent cx="3709670" cy="3160437"/>
            <wp:effectExtent l="0" t="0" r="5080" b="1905"/>
            <wp:docPr id="1228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715498" cy="3165402"/>
                    </a:xfrm>
                    <a:prstGeom prst="rect">
                      <a:avLst/>
                    </a:prstGeom>
                    <a:noFill/>
                  </pic:spPr>
                </pic:pic>
              </a:graphicData>
            </a:graphic>
          </wp:inline>
        </w:drawing>
      </w:r>
    </w:p>
    <w:p w:rsidR="0089268C" w:rsidRDefault="00C3610E">
      <w:pPr>
        <w:rPr>
          <w:sz w:val="32"/>
          <w:szCs w:val="32"/>
          <w:lang w:val="en-US"/>
        </w:rPr>
      </w:pPr>
      <w:r>
        <w:rPr>
          <w:sz w:val="32"/>
          <w:szCs w:val="32"/>
          <w:lang w:val="en-US"/>
        </w:rPr>
        <w:br w:type="page"/>
      </w:r>
    </w:p>
    <w:p w:rsidR="0089268C" w:rsidRDefault="00C3610E">
      <w:pPr>
        <w:pStyle w:val="AnnexNo"/>
        <w:rPr>
          <w:b/>
          <w:lang w:val="en-US"/>
        </w:rPr>
      </w:pPr>
      <w:r>
        <w:rPr>
          <w:lang w:val="en-US"/>
        </w:rPr>
        <w:lastRenderedPageBreak/>
        <w:t>APPENDIX 2</w:t>
      </w:r>
    </w:p>
    <w:p w:rsidR="0089268C" w:rsidRDefault="00C3610E">
      <w:pPr>
        <w:pStyle w:val="Annextitle"/>
        <w:rPr>
          <w:lang w:val="en-US"/>
        </w:rPr>
      </w:pPr>
      <w:r>
        <w:rPr>
          <w:lang w:val="en-US"/>
        </w:rPr>
        <w:t>Nomenclature</w:t>
      </w:r>
    </w:p>
    <w:p w:rsidR="0089268C" w:rsidRDefault="00C3610E">
      <w:pPr>
        <w:pStyle w:val="Normalaftertitle"/>
        <w:rPr>
          <w:lang w:val="en-US"/>
        </w:rPr>
      </w:pPr>
      <w:r>
        <w:rPr>
          <w:rFonts w:ascii="Symbol" w:hAnsi="Symbol"/>
          <w:lang w:val="en-US"/>
        </w:rPr>
        <w:t></w:t>
      </w:r>
      <w:r>
        <w:rPr>
          <w:lang w:val="en-US"/>
        </w:rPr>
        <w:t>:</w:t>
      </w:r>
      <w:r>
        <w:rPr>
          <w:lang w:val="en-US"/>
        </w:rPr>
        <w:tab/>
        <w:t>Expected value of channel activity</w:t>
      </w:r>
    </w:p>
    <w:p w:rsidR="0089268C" w:rsidRDefault="00C3610E">
      <w:pPr>
        <w:rPr>
          <w:lang w:val="en-US"/>
        </w:rPr>
      </w:pPr>
      <w:r>
        <w:rPr>
          <w:i/>
          <w:iCs/>
          <w:lang w:val="en-US"/>
        </w:rPr>
        <w:t>B</w:t>
      </w:r>
      <w:r>
        <w:rPr>
          <w:lang w:val="en-US"/>
        </w:rPr>
        <w:t>:</w:t>
      </w:r>
      <w:r>
        <w:rPr>
          <w:lang w:val="en-US"/>
        </w:rPr>
        <w:tab/>
        <w:t>Channel bandwidth</w:t>
      </w:r>
    </w:p>
    <w:p w:rsidR="0089268C" w:rsidRDefault="00C3610E">
      <w:pPr>
        <w:rPr>
          <w:color w:val="000000"/>
          <w:szCs w:val="24"/>
          <w:lang w:val="en-US"/>
        </w:rPr>
      </w:pPr>
      <w:r>
        <w:rPr>
          <w:i/>
          <w:iCs/>
          <w:color w:val="000000"/>
          <w:szCs w:val="24"/>
          <w:lang w:val="en-US"/>
        </w:rPr>
        <w:t>B</w:t>
      </w:r>
      <w:r>
        <w:rPr>
          <w:i/>
          <w:iCs/>
          <w:color w:val="000000"/>
          <w:szCs w:val="24"/>
          <w:vertAlign w:val="subscript"/>
          <w:lang w:val="en-US"/>
        </w:rPr>
        <w:t>adj</w:t>
      </w:r>
      <w:r>
        <w:rPr>
          <w:color w:val="000000"/>
          <w:szCs w:val="24"/>
          <w:lang w:val="en-US"/>
        </w:rPr>
        <w:t>:</w:t>
      </w:r>
      <w:r>
        <w:rPr>
          <w:color w:val="000000"/>
          <w:szCs w:val="24"/>
          <w:lang w:val="en-US"/>
        </w:rPr>
        <w:tab/>
        <w:t xml:space="preserve">Band adjustment to </w:t>
      </w:r>
      <w:r>
        <w:rPr>
          <w:lang w:val="en-US"/>
        </w:rPr>
        <w:t>from</w:t>
      </w:r>
      <w:r>
        <w:rPr>
          <w:color w:val="000000"/>
          <w:szCs w:val="24"/>
          <w:lang w:val="en-US"/>
        </w:rPr>
        <w:t xml:space="preserve"> 5 GHz band to FSS feeder link band</w:t>
      </w:r>
    </w:p>
    <w:p w:rsidR="0089268C" w:rsidRDefault="00C3610E">
      <w:pPr>
        <w:rPr>
          <w:color w:val="000000"/>
          <w:szCs w:val="24"/>
          <w:lang w:val="en-US"/>
        </w:rPr>
      </w:pPr>
      <w:r>
        <w:rPr>
          <w:i/>
          <w:iCs/>
          <w:color w:val="000000"/>
          <w:szCs w:val="24"/>
          <w:lang w:val="en-US"/>
        </w:rPr>
        <w:t>B</w:t>
      </w:r>
      <w:r>
        <w:rPr>
          <w:i/>
          <w:iCs/>
          <w:color w:val="000000"/>
          <w:szCs w:val="24"/>
          <w:vertAlign w:val="subscript"/>
          <w:lang w:val="en-US"/>
        </w:rPr>
        <w:t>c</w:t>
      </w:r>
      <w:r>
        <w:rPr>
          <w:color w:val="000000"/>
          <w:szCs w:val="24"/>
          <w:lang w:val="en-US"/>
        </w:rPr>
        <w:t>:</w:t>
      </w:r>
      <w:r>
        <w:rPr>
          <w:color w:val="000000"/>
          <w:szCs w:val="24"/>
          <w:lang w:val="en-US"/>
        </w:rPr>
        <w:tab/>
        <w:t xml:space="preserve">CDMA carrier </w:t>
      </w:r>
      <w:r>
        <w:rPr>
          <w:lang w:val="en-US"/>
        </w:rPr>
        <w:t>channel</w:t>
      </w:r>
      <w:r>
        <w:rPr>
          <w:color w:val="000000"/>
          <w:szCs w:val="24"/>
          <w:lang w:val="en-US"/>
        </w:rPr>
        <w:t xml:space="preserve"> bandwidth</w:t>
      </w:r>
    </w:p>
    <w:p w:rsidR="0089268C" w:rsidRDefault="00C3610E">
      <w:pPr>
        <w:ind w:left="1134" w:hanging="1134"/>
        <w:rPr>
          <w:color w:val="000000"/>
          <w:szCs w:val="24"/>
          <w:lang w:val="en-US"/>
        </w:rPr>
      </w:pPr>
      <w:r>
        <w:rPr>
          <w:rFonts w:ascii="Symbol" w:hAnsi="Symbol"/>
          <w:color w:val="000000"/>
          <w:szCs w:val="24"/>
          <w:lang w:val="en-US"/>
        </w:rPr>
        <w:t></w:t>
      </w:r>
      <w:r>
        <w:rPr>
          <w:color w:val="000000"/>
          <w:szCs w:val="24"/>
          <w:vertAlign w:val="subscript"/>
          <w:lang w:val="en-US"/>
        </w:rPr>
        <w:t>f</w:t>
      </w:r>
      <w:r>
        <w:rPr>
          <w:color w:val="000000"/>
          <w:szCs w:val="24"/>
          <w:lang w:val="en-US"/>
        </w:rPr>
        <w:t>:</w:t>
      </w:r>
      <w:r>
        <w:rPr>
          <w:color w:val="000000"/>
          <w:szCs w:val="24"/>
          <w:lang w:val="en-US"/>
        </w:rPr>
        <w:tab/>
        <w:t>Bandwidth factor (</w:t>
      </w:r>
      <w:r>
        <w:rPr>
          <w:lang w:val="en-US"/>
        </w:rPr>
        <w:t>average</w:t>
      </w:r>
      <w:r>
        <w:rPr>
          <w:color w:val="000000"/>
          <w:szCs w:val="24"/>
          <w:lang w:val="en-US"/>
        </w:rPr>
        <w:t xml:space="preserve"> ratio of e.i.r.p. at the receiver (assuming no losses) to the power that would be present in the CDMA carrier receive channel) in dB</w:t>
      </w:r>
    </w:p>
    <w:p w:rsidR="0089268C" w:rsidRDefault="00C3610E">
      <w:pPr>
        <w:ind w:left="1134" w:hanging="1134"/>
        <w:rPr>
          <w:color w:val="000000"/>
          <w:szCs w:val="24"/>
          <w:lang w:val="en-US"/>
        </w:rPr>
      </w:pPr>
      <w:r>
        <w:rPr>
          <w:i/>
          <w:iCs/>
          <w:color w:val="000000"/>
          <w:szCs w:val="24"/>
          <w:lang w:val="en-US"/>
        </w:rPr>
        <w:t>C</w:t>
      </w:r>
      <w:r>
        <w:rPr>
          <w:i/>
          <w:iCs/>
          <w:color w:val="000000"/>
          <w:szCs w:val="24"/>
          <w:vertAlign w:val="subscript"/>
          <w:lang w:val="en-US"/>
        </w:rPr>
        <w:t>D</w:t>
      </w:r>
      <w:r>
        <w:rPr>
          <w:color w:val="000000"/>
          <w:szCs w:val="24"/>
          <w:lang w:val="en-US"/>
        </w:rPr>
        <w:t>:</w:t>
      </w:r>
      <w:r>
        <w:rPr>
          <w:color w:val="000000"/>
          <w:szCs w:val="24"/>
          <w:lang w:val="en-US"/>
        </w:rPr>
        <w:tab/>
        <w:t>Density corresponding to grid demographic from table 4</w:t>
      </w:r>
    </w:p>
    <w:p w:rsidR="0089268C" w:rsidRDefault="00C3610E">
      <w:pPr>
        <w:ind w:left="1134" w:hanging="1134"/>
        <w:rPr>
          <w:color w:val="000000"/>
          <w:szCs w:val="24"/>
          <w:lang w:val="en-US"/>
        </w:rPr>
      </w:pPr>
      <w:r>
        <w:rPr>
          <w:i/>
          <w:iCs/>
          <w:color w:val="000000"/>
          <w:szCs w:val="24"/>
          <w:lang w:val="en-US"/>
        </w:rPr>
        <w:t>D</w:t>
      </w:r>
      <w:r>
        <w:rPr>
          <w:i/>
          <w:iCs/>
          <w:color w:val="000000"/>
          <w:szCs w:val="24"/>
          <w:vertAlign w:val="subscript"/>
          <w:lang w:val="en-US"/>
        </w:rPr>
        <w:t>R</w:t>
      </w:r>
      <w:r>
        <w:rPr>
          <w:color w:val="000000"/>
          <w:szCs w:val="24"/>
          <w:lang w:val="en-US"/>
        </w:rPr>
        <w:t>:</w:t>
      </w:r>
      <w:r>
        <w:rPr>
          <w:color w:val="000000"/>
          <w:szCs w:val="24"/>
          <w:lang w:val="en-US"/>
        </w:rPr>
        <w:tab/>
        <w:t>Average antenna discrimination of RLANs in a grid in the direction of the MSS satellite</w:t>
      </w:r>
    </w:p>
    <w:p w:rsidR="0089268C" w:rsidRDefault="00C3610E">
      <w:pPr>
        <w:ind w:left="1134" w:hanging="1134"/>
        <w:rPr>
          <w:color w:val="000000"/>
          <w:szCs w:val="24"/>
          <w:lang w:val="en-US"/>
        </w:rPr>
      </w:pPr>
      <w:r>
        <w:rPr>
          <w:i/>
          <w:iCs/>
          <w:color w:val="000000"/>
          <w:szCs w:val="24"/>
          <w:lang w:val="en-US"/>
        </w:rPr>
        <w:t>E</w:t>
      </w:r>
      <w:r>
        <w:rPr>
          <w:i/>
          <w:iCs/>
          <w:color w:val="000000"/>
          <w:szCs w:val="24"/>
          <w:vertAlign w:val="subscript"/>
          <w:lang w:val="en-US"/>
        </w:rPr>
        <w:t>d</w:t>
      </w:r>
      <w:r>
        <w:rPr>
          <w:color w:val="000000"/>
          <w:szCs w:val="24"/>
          <w:lang w:val="en-US"/>
        </w:rPr>
        <w:t>:</w:t>
      </w:r>
      <w:r>
        <w:rPr>
          <w:color w:val="000000"/>
          <w:szCs w:val="24"/>
          <w:lang w:val="en-US"/>
        </w:rPr>
        <w:tab/>
        <w:t xml:space="preserve">Peak e.i.r.p per user from satellite </w:t>
      </w:r>
    </w:p>
    <w:p w:rsidR="0089268C" w:rsidRDefault="00C3610E">
      <w:pPr>
        <w:ind w:left="1134" w:hanging="1134"/>
        <w:rPr>
          <w:color w:val="000000"/>
          <w:szCs w:val="24"/>
          <w:lang w:val="en-US"/>
        </w:rPr>
      </w:pPr>
      <w:r>
        <w:rPr>
          <w:i/>
          <w:iCs/>
          <w:color w:val="000000"/>
          <w:szCs w:val="24"/>
          <w:lang w:val="en-US"/>
        </w:rPr>
        <w:t>E</w:t>
      </w:r>
      <w:r>
        <w:rPr>
          <w:i/>
          <w:iCs/>
          <w:color w:val="000000"/>
          <w:szCs w:val="24"/>
          <w:vertAlign w:val="subscript"/>
          <w:lang w:val="en-US"/>
        </w:rPr>
        <w:t>r</w:t>
      </w:r>
      <w:r>
        <w:rPr>
          <w:color w:val="000000"/>
          <w:szCs w:val="24"/>
          <w:lang w:val="en-US"/>
        </w:rPr>
        <w:t>:</w:t>
      </w:r>
      <w:r>
        <w:rPr>
          <w:color w:val="000000"/>
          <w:szCs w:val="24"/>
          <w:lang w:val="en-US"/>
        </w:rPr>
        <w:tab/>
        <w:t>Average e.i.r.p. of RLANs</w:t>
      </w:r>
    </w:p>
    <w:p w:rsidR="0089268C" w:rsidRDefault="00C3610E">
      <w:pPr>
        <w:ind w:left="1134" w:hanging="1134"/>
        <w:rPr>
          <w:color w:val="000000"/>
          <w:szCs w:val="24"/>
          <w:lang w:val="en-US"/>
        </w:rPr>
      </w:pPr>
      <w:r>
        <w:rPr>
          <w:i/>
          <w:iCs/>
          <w:color w:val="000000"/>
          <w:szCs w:val="24"/>
          <w:lang w:val="en-US"/>
        </w:rPr>
        <w:t>E</w:t>
      </w:r>
      <w:r>
        <w:rPr>
          <w:i/>
          <w:iCs/>
          <w:color w:val="000000"/>
          <w:szCs w:val="24"/>
          <w:vertAlign w:val="subscript"/>
          <w:lang w:val="en-US"/>
        </w:rPr>
        <w:t>u</w:t>
      </w:r>
      <w:r>
        <w:rPr>
          <w:color w:val="000000"/>
          <w:szCs w:val="24"/>
          <w:lang w:val="en-US"/>
        </w:rPr>
        <w:t>:</w:t>
      </w:r>
      <w:r>
        <w:rPr>
          <w:color w:val="000000"/>
          <w:szCs w:val="24"/>
          <w:lang w:val="en-US"/>
        </w:rPr>
        <w:tab/>
        <w:t>Nominal e.i.r.p. of gateway earth station</w:t>
      </w:r>
    </w:p>
    <w:p w:rsidR="0089268C" w:rsidRDefault="00C3610E">
      <w:pPr>
        <w:ind w:left="1134" w:hanging="1134"/>
        <w:rPr>
          <w:color w:val="000000"/>
          <w:szCs w:val="24"/>
          <w:lang w:val="en-US"/>
        </w:rPr>
      </w:pPr>
      <w:r>
        <w:rPr>
          <w:i/>
          <w:iCs/>
          <w:color w:val="000000"/>
          <w:szCs w:val="24"/>
          <w:lang w:val="en-US"/>
        </w:rPr>
        <w:t>f</w:t>
      </w:r>
      <w:r>
        <w:rPr>
          <w:color w:val="000000"/>
          <w:szCs w:val="24"/>
          <w:lang w:val="en-US"/>
        </w:rPr>
        <w:t>:</w:t>
      </w:r>
      <w:r>
        <w:rPr>
          <w:color w:val="000000"/>
          <w:szCs w:val="24"/>
          <w:lang w:val="en-US"/>
        </w:rPr>
        <w:tab/>
        <w:t>Neighboring cell interference factor</w:t>
      </w:r>
    </w:p>
    <w:p w:rsidR="0089268C" w:rsidRDefault="00C3610E">
      <w:pPr>
        <w:ind w:left="1134" w:hanging="1134"/>
        <w:rPr>
          <w:color w:val="000000"/>
          <w:szCs w:val="24"/>
          <w:lang w:val="en-US"/>
        </w:rPr>
      </w:pPr>
      <w:r>
        <w:rPr>
          <w:i/>
          <w:iCs/>
          <w:color w:val="000000"/>
          <w:szCs w:val="24"/>
          <w:lang w:val="en-US"/>
        </w:rPr>
        <w:t>G</w:t>
      </w:r>
      <w:r>
        <w:rPr>
          <w:i/>
          <w:iCs/>
          <w:color w:val="000000"/>
          <w:szCs w:val="24"/>
          <w:vertAlign w:val="subscript"/>
          <w:lang w:val="en-US"/>
        </w:rPr>
        <w:t>f</w:t>
      </w:r>
      <w:r>
        <w:rPr>
          <w:color w:val="000000"/>
          <w:szCs w:val="24"/>
          <w:lang w:val="en-US"/>
        </w:rPr>
        <w:t>:</w:t>
      </w:r>
      <w:r>
        <w:rPr>
          <w:color w:val="000000"/>
          <w:szCs w:val="24"/>
          <w:lang w:val="en-US"/>
        </w:rPr>
        <w:tab/>
        <w:t>Antenna gain of the satellite feeder antenna in the direction of the grid center point</w:t>
      </w:r>
    </w:p>
    <w:p w:rsidR="0089268C" w:rsidRDefault="00C3610E">
      <w:pPr>
        <w:ind w:left="1134" w:hanging="1134"/>
        <w:rPr>
          <w:color w:val="000000"/>
          <w:szCs w:val="24"/>
          <w:lang w:val="en-US"/>
        </w:rPr>
      </w:pPr>
      <w:r>
        <w:rPr>
          <w:i/>
          <w:iCs/>
          <w:color w:val="000000"/>
          <w:szCs w:val="24"/>
          <w:lang w:val="en-US"/>
        </w:rPr>
        <w:t>G</w:t>
      </w:r>
      <w:r>
        <w:rPr>
          <w:i/>
          <w:iCs/>
          <w:color w:val="000000"/>
          <w:szCs w:val="24"/>
          <w:vertAlign w:val="subscript"/>
          <w:lang w:val="en-US"/>
        </w:rPr>
        <w:t>r</w:t>
      </w:r>
      <w:r>
        <w:rPr>
          <w:color w:val="000000"/>
          <w:szCs w:val="24"/>
          <w:lang w:val="en-US"/>
        </w:rPr>
        <w:t>:</w:t>
      </w:r>
      <w:r>
        <w:rPr>
          <w:color w:val="000000"/>
          <w:szCs w:val="24"/>
          <w:lang w:val="en-US"/>
        </w:rPr>
        <w:tab/>
        <w:t>Receive antenna gain user terminal (service link)</w:t>
      </w:r>
    </w:p>
    <w:p w:rsidR="0089268C" w:rsidRDefault="00C3610E">
      <w:pPr>
        <w:ind w:left="1134" w:hanging="1134"/>
        <w:rPr>
          <w:color w:val="000000"/>
          <w:szCs w:val="24"/>
          <w:lang w:val="en-US"/>
        </w:rPr>
      </w:pPr>
      <w:r>
        <w:rPr>
          <w:i/>
          <w:iCs/>
          <w:color w:val="000000"/>
          <w:szCs w:val="24"/>
          <w:lang w:val="en-US"/>
        </w:rPr>
        <w:t>G</w:t>
      </w:r>
      <w:r>
        <w:rPr>
          <w:i/>
          <w:iCs/>
          <w:color w:val="000000"/>
          <w:szCs w:val="24"/>
          <w:vertAlign w:val="subscript"/>
          <w:lang w:val="en-US"/>
        </w:rPr>
        <w:t>t</w:t>
      </w:r>
      <w:r>
        <w:rPr>
          <w:color w:val="000000"/>
          <w:szCs w:val="24"/>
          <w:lang w:val="en-US"/>
        </w:rPr>
        <w:t>:</w:t>
      </w:r>
      <w:r>
        <w:rPr>
          <w:color w:val="000000"/>
          <w:szCs w:val="24"/>
          <w:lang w:val="en-US"/>
        </w:rPr>
        <w:tab/>
        <w:t>Satellite transmit antenna gain (service link)</w:t>
      </w:r>
    </w:p>
    <w:p w:rsidR="0089268C" w:rsidRDefault="00C3610E">
      <w:pPr>
        <w:ind w:left="1134" w:hanging="1134"/>
        <w:rPr>
          <w:color w:val="000000"/>
          <w:szCs w:val="24"/>
          <w:lang w:val="en-US"/>
        </w:rPr>
      </w:pPr>
      <w:r>
        <w:rPr>
          <w:i/>
          <w:iCs/>
          <w:color w:val="000000"/>
          <w:szCs w:val="24"/>
          <w:lang w:val="en-US"/>
        </w:rPr>
        <w:t>I</w:t>
      </w:r>
      <w:r>
        <w:rPr>
          <w:i/>
          <w:iCs/>
          <w:color w:val="000000"/>
          <w:szCs w:val="24"/>
          <w:vertAlign w:val="subscript"/>
          <w:lang w:val="en-US"/>
        </w:rPr>
        <w:t>agg</w:t>
      </w:r>
      <w:r>
        <w:rPr>
          <w:color w:val="000000"/>
          <w:szCs w:val="24"/>
          <w:lang w:val="en-US"/>
        </w:rPr>
        <w:t>:</w:t>
      </w:r>
      <w:r>
        <w:rPr>
          <w:color w:val="000000"/>
          <w:szCs w:val="24"/>
          <w:lang w:val="en-US"/>
        </w:rPr>
        <w:tab/>
        <w:t>Effective aggregate RLAN interference power into a CDMA carrier channel of the FSS FDM feeder channel at satellite includes impact of both indoor and outdoor RLANs</w:t>
      </w:r>
    </w:p>
    <w:p w:rsidR="0089268C" w:rsidRDefault="00C3610E">
      <w:pPr>
        <w:ind w:left="1134" w:hanging="1134"/>
        <w:rPr>
          <w:color w:val="000000"/>
          <w:szCs w:val="24"/>
          <w:lang w:val="en-US"/>
        </w:rPr>
      </w:pPr>
      <w:r>
        <w:rPr>
          <w:i/>
          <w:iCs/>
          <w:color w:val="000000"/>
          <w:szCs w:val="24"/>
          <w:lang w:val="en-US"/>
        </w:rPr>
        <w:t>I</w:t>
      </w:r>
      <w:r>
        <w:rPr>
          <w:i/>
          <w:iCs/>
          <w:color w:val="000000"/>
          <w:szCs w:val="24"/>
          <w:vertAlign w:val="subscript"/>
          <w:lang w:val="en-US"/>
        </w:rPr>
        <w:t>in</w:t>
      </w:r>
      <w:r>
        <w:rPr>
          <w:color w:val="000000"/>
          <w:szCs w:val="24"/>
          <w:lang w:val="en-US"/>
        </w:rPr>
        <w:t>:</w:t>
      </w:r>
      <w:r>
        <w:rPr>
          <w:color w:val="000000"/>
          <w:szCs w:val="24"/>
          <w:lang w:val="en-US"/>
        </w:rPr>
        <w:tab/>
        <w:t>Simulated external interference power into CDMA carrier feeder channel at satellite transponder including building loss for all grid calculations</w:t>
      </w:r>
    </w:p>
    <w:p w:rsidR="0089268C" w:rsidRDefault="00C3610E">
      <w:pPr>
        <w:ind w:left="1134" w:hanging="1134"/>
        <w:rPr>
          <w:color w:val="000000"/>
          <w:szCs w:val="24"/>
          <w:lang w:val="en-US"/>
        </w:rPr>
      </w:pPr>
      <w:r>
        <w:rPr>
          <w:i/>
          <w:iCs/>
          <w:color w:val="000000"/>
          <w:szCs w:val="24"/>
          <w:lang w:val="en-US"/>
        </w:rPr>
        <w:t>I</w:t>
      </w:r>
      <w:r>
        <w:rPr>
          <w:i/>
          <w:iCs/>
          <w:color w:val="000000"/>
          <w:szCs w:val="24"/>
          <w:vertAlign w:val="subscript"/>
          <w:lang w:val="en-US"/>
        </w:rPr>
        <w:t>out</w:t>
      </w:r>
      <w:r>
        <w:rPr>
          <w:color w:val="000000"/>
          <w:szCs w:val="24"/>
          <w:lang w:val="en-US"/>
        </w:rPr>
        <w:t>:</w:t>
      </w:r>
      <w:r>
        <w:rPr>
          <w:color w:val="000000"/>
          <w:szCs w:val="24"/>
          <w:lang w:val="en-US"/>
        </w:rPr>
        <w:tab/>
        <w:t>Simulated external interference power into CDMA carrier feeder channel at satellite transponder excluding building loss for all grid calculations</w:t>
      </w:r>
    </w:p>
    <w:p w:rsidR="0089268C" w:rsidRDefault="00C3610E">
      <w:pPr>
        <w:ind w:left="1134" w:hanging="1134"/>
        <w:rPr>
          <w:color w:val="000000"/>
          <w:szCs w:val="24"/>
          <w:lang w:val="en-US"/>
        </w:rPr>
      </w:pPr>
      <w:r>
        <w:rPr>
          <w:i/>
          <w:iCs/>
          <w:color w:val="000000"/>
          <w:szCs w:val="24"/>
          <w:lang w:val="en-US"/>
        </w:rPr>
        <w:t>I</w:t>
      </w:r>
      <w:r>
        <w:rPr>
          <w:i/>
          <w:iCs/>
          <w:color w:val="000000"/>
          <w:szCs w:val="24"/>
          <w:vertAlign w:val="subscript"/>
          <w:lang w:val="en-US"/>
        </w:rPr>
        <w:t>e</w:t>
      </w:r>
      <w:r>
        <w:rPr>
          <w:color w:val="000000"/>
          <w:szCs w:val="24"/>
          <w:lang w:val="en-US"/>
        </w:rPr>
        <w:t>:</w:t>
      </w:r>
      <w:r>
        <w:rPr>
          <w:color w:val="000000"/>
          <w:szCs w:val="24"/>
          <w:lang w:val="en-US"/>
        </w:rPr>
        <w:tab/>
        <w:t>Intra-system interference spectral density in service downlink at user terminal</w:t>
      </w:r>
    </w:p>
    <w:p w:rsidR="0089268C" w:rsidRDefault="00C3610E">
      <w:pPr>
        <w:ind w:left="1134" w:hanging="1134"/>
        <w:rPr>
          <w:color w:val="000000"/>
          <w:szCs w:val="24"/>
          <w:lang w:val="en-US"/>
        </w:rPr>
      </w:pPr>
      <w:r>
        <w:rPr>
          <w:i/>
          <w:iCs/>
          <w:color w:val="000000"/>
          <w:szCs w:val="24"/>
          <w:lang w:val="en-US"/>
        </w:rPr>
        <w:t>I</w:t>
      </w:r>
      <w:r>
        <w:rPr>
          <w:i/>
          <w:iCs/>
          <w:color w:val="000000"/>
          <w:szCs w:val="24"/>
          <w:vertAlign w:val="subscript"/>
          <w:lang w:val="en-US"/>
        </w:rPr>
        <w:t>o</w:t>
      </w:r>
      <w:r>
        <w:rPr>
          <w:color w:val="000000"/>
          <w:szCs w:val="24"/>
          <w:lang w:val="en-US"/>
        </w:rPr>
        <w:t>:</w:t>
      </w:r>
      <w:r>
        <w:rPr>
          <w:color w:val="000000"/>
          <w:szCs w:val="24"/>
          <w:lang w:val="en-US"/>
        </w:rPr>
        <w:tab/>
        <w:t>Intra-system interference spectral density</w:t>
      </w:r>
    </w:p>
    <w:p w:rsidR="0089268C" w:rsidRDefault="00C3610E">
      <w:pPr>
        <w:ind w:left="1134" w:hanging="1134"/>
        <w:rPr>
          <w:color w:val="000000"/>
          <w:szCs w:val="24"/>
          <w:lang w:val="en-US"/>
        </w:rPr>
      </w:pPr>
      <w:r>
        <w:rPr>
          <w:i/>
          <w:iCs/>
          <w:color w:val="000000"/>
          <w:szCs w:val="24"/>
          <w:lang w:val="en-US"/>
        </w:rPr>
        <w:t>I</w:t>
      </w:r>
      <w:r>
        <w:rPr>
          <w:i/>
          <w:iCs/>
          <w:color w:val="000000"/>
          <w:szCs w:val="24"/>
          <w:vertAlign w:val="subscript"/>
          <w:lang w:val="en-US"/>
        </w:rPr>
        <w:t>s</w:t>
      </w:r>
      <w:r>
        <w:rPr>
          <w:color w:val="000000"/>
          <w:szCs w:val="24"/>
          <w:lang w:val="en-US"/>
        </w:rPr>
        <w:t>:</w:t>
      </w:r>
      <w:r>
        <w:rPr>
          <w:color w:val="000000"/>
          <w:szCs w:val="24"/>
          <w:lang w:val="en-US"/>
        </w:rPr>
        <w:tab/>
        <w:t>Intra-system interference spectral density in feeder up link at satellite</w:t>
      </w:r>
    </w:p>
    <w:p w:rsidR="0089268C" w:rsidRDefault="00C3610E">
      <w:pPr>
        <w:ind w:left="1134" w:hanging="1134"/>
        <w:rPr>
          <w:color w:val="000000"/>
          <w:szCs w:val="24"/>
          <w:lang w:val="en-US"/>
        </w:rPr>
      </w:pPr>
      <w:r>
        <w:rPr>
          <w:i/>
          <w:iCs/>
          <w:color w:val="000000"/>
          <w:szCs w:val="24"/>
          <w:lang w:val="en-US"/>
        </w:rPr>
        <w:t>I</w:t>
      </w:r>
      <w:r>
        <w:rPr>
          <w:i/>
          <w:iCs/>
          <w:color w:val="000000"/>
          <w:szCs w:val="24"/>
          <w:vertAlign w:val="subscript"/>
          <w:lang w:val="en-US"/>
        </w:rPr>
        <w:t>up</w:t>
      </w:r>
      <w:r>
        <w:rPr>
          <w:color w:val="000000"/>
          <w:szCs w:val="24"/>
          <w:lang w:val="en-US"/>
        </w:rPr>
        <w:t>:</w:t>
      </w:r>
      <w:r>
        <w:rPr>
          <w:color w:val="000000"/>
          <w:szCs w:val="24"/>
          <w:lang w:val="en-US"/>
        </w:rPr>
        <w:tab/>
        <w:t>Intra-system interference feeder uplink</w:t>
      </w:r>
    </w:p>
    <w:p w:rsidR="0089268C" w:rsidRDefault="00C3610E">
      <w:pPr>
        <w:ind w:left="1134" w:hanging="1134"/>
        <w:rPr>
          <w:color w:val="000000"/>
          <w:szCs w:val="24"/>
          <w:lang w:val="en-US"/>
        </w:rPr>
      </w:pPr>
      <w:r>
        <w:rPr>
          <w:i/>
          <w:iCs/>
          <w:color w:val="000000"/>
          <w:szCs w:val="24"/>
          <w:lang w:val="en-US"/>
        </w:rPr>
        <w:t>k</w:t>
      </w:r>
      <w:r>
        <w:rPr>
          <w:color w:val="000000"/>
          <w:szCs w:val="24"/>
          <w:lang w:val="en-US"/>
        </w:rPr>
        <w:t>:</w:t>
      </w:r>
      <w:r>
        <w:rPr>
          <w:color w:val="000000"/>
          <w:szCs w:val="24"/>
          <w:lang w:val="en-US"/>
        </w:rPr>
        <w:tab/>
        <w:t>Boltzmann's constant 1.38 x 10</w:t>
      </w:r>
      <w:r>
        <w:rPr>
          <w:color w:val="000000"/>
          <w:szCs w:val="24"/>
          <w:vertAlign w:val="superscript"/>
          <w:lang w:val="en-US"/>
        </w:rPr>
        <w:t>-23</w:t>
      </w:r>
      <w:r>
        <w:rPr>
          <w:color w:val="000000"/>
          <w:szCs w:val="24"/>
          <w:lang w:val="en-US"/>
        </w:rPr>
        <w:t>W/s/K</w:t>
      </w:r>
    </w:p>
    <w:p w:rsidR="0089268C" w:rsidRDefault="00C3610E">
      <w:pPr>
        <w:ind w:left="1134" w:hanging="1134"/>
        <w:rPr>
          <w:color w:val="000000"/>
          <w:szCs w:val="24"/>
          <w:lang w:val="en-US"/>
        </w:rPr>
      </w:pPr>
      <w:r>
        <w:rPr>
          <w:i/>
          <w:iCs/>
          <w:color w:val="000000"/>
          <w:szCs w:val="24"/>
          <w:lang w:val="en-US"/>
        </w:rPr>
        <w:t>L</w:t>
      </w:r>
      <w:r>
        <w:rPr>
          <w:i/>
          <w:iCs/>
          <w:color w:val="000000"/>
          <w:szCs w:val="24"/>
          <w:vertAlign w:val="subscript"/>
          <w:lang w:val="en-US"/>
        </w:rPr>
        <w:t>b</w:t>
      </w:r>
      <w:r>
        <w:rPr>
          <w:color w:val="000000"/>
          <w:szCs w:val="24"/>
          <w:lang w:val="en-US"/>
        </w:rPr>
        <w:t>:</w:t>
      </w:r>
      <w:r>
        <w:rPr>
          <w:color w:val="000000"/>
          <w:szCs w:val="24"/>
          <w:lang w:val="en-US"/>
        </w:rPr>
        <w:tab/>
        <w:t>Transmission loss for slant distance computed</w:t>
      </w:r>
    </w:p>
    <w:p w:rsidR="0089268C" w:rsidRDefault="00C3610E">
      <w:pPr>
        <w:ind w:left="1134" w:hanging="1134"/>
        <w:rPr>
          <w:color w:val="000000"/>
          <w:szCs w:val="24"/>
          <w:lang w:val="en-US"/>
        </w:rPr>
      </w:pPr>
      <w:r>
        <w:rPr>
          <w:i/>
          <w:iCs/>
          <w:color w:val="000000"/>
          <w:szCs w:val="24"/>
          <w:lang w:val="en-US"/>
        </w:rPr>
        <w:t>L</w:t>
      </w:r>
      <w:r>
        <w:rPr>
          <w:i/>
          <w:iCs/>
          <w:color w:val="000000"/>
          <w:szCs w:val="24"/>
          <w:vertAlign w:val="subscript"/>
          <w:lang w:val="en-US"/>
        </w:rPr>
        <w:t>BEL</w:t>
      </w:r>
      <w:r>
        <w:rPr>
          <w:color w:val="000000"/>
          <w:szCs w:val="24"/>
          <w:lang w:val="en-US"/>
        </w:rPr>
        <w:t>:</w:t>
      </w:r>
      <w:r>
        <w:rPr>
          <w:color w:val="000000"/>
          <w:szCs w:val="24"/>
          <w:lang w:val="en-US"/>
        </w:rPr>
        <w:tab/>
        <w:t>Building entrance loss</w:t>
      </w:r>
    </w:p>
    <w:p w:rsidR="0089268C" w:rsidRDefault="00C3610E">
      <w:pPr>
        <w:ind w:left="1134" w:hanging="1134"/>
        <w:rPr>
          <w:color w:val="000000"/>
          <w:szCs w:val="24"/>
          <w:lang w:val="en-US"/>
        </w:rPr>
      </w:pPr>
      <w:r>
        <w:rPr>
          <w:i/>
          <w:iCs/>
          <w:color w:val="000000"/>
          <w:szCs w:val="24"/>
          <w:lang w:val="en-US"/>
        </w:rPr>
        <w:t>L</w:t>
      </w:r>
      <w:r>
        <w:rPr>
          <w:i/>
          <w:iCs/>
          <w:color w:val="000000"/>
          <w:szCs w:val="24"/>
          <w:vertAlign w:val="subscript"/>
          <w:lang w:val="en-US"/>
        </w:rPr>
        <w:t>CES</w:t>
      </w:r>
      <w:r>
        <w:rPr>
          <w:color w:val="000000"/>
          <w:szCs w:val="24"/>
          <w:lang w:val="en-US"/>
        </w:rPr>
        <w:t>:</w:t>
      </w:r>
      <w:r>
        <w:rPr>
          <w:color w:val="000000"/>
          <w:szCs w:val="24"/>
          <w:lang w:val="en-US"/>
        </w:rPr>
        <w:tab/>
        <w:t>Earth to space clutter loss</w:t>
      </w:r>
    </w:p>
    <w:p w:rsidR="0089268C" w:rsidRDefault="00C3610E">
      <w:pPr>
        <w:ind w:left="1134" w:hanging="1134"/>
        <w:rPr>
          <w:color w:val="000000"/>
          <w:szCs w:val="24"/>
          <w:lang w:val="en-US"/>
        </w:rPr>
      </w:pPr>
      <w:r>
        <w:rPr>
          <w:i/>
          <w:iCs/>
          <w:color w:val="000000"/>
          <w:szCs w:val="24"/>
          <w:lang w:val="en-US"/>
        </w:rPr>
        <w:t>L</w:t>
      </w:r>
      <w:r>
        <w:rPr>
          <w:i/>
          <w:iCs/>
          <w:color w:val="000000"/>
          <w:szCs w:val="24"/>
          <w:vertAlign w:val="subscript"/>
          <w:lang w:val="en-US"/>
        </w:rPr>
        <w:t>G</w:t>
      </w:r>
      <w:r>
        <w:rPr>
          <w:color w:val="000000"/>
          <w:szCs w:val="24"/>
          <w:lang w:val="en-US"/>
        </w:rPr>
        <w:t>:</w:t>
      </w:r>
      <w:r>
        <w:rPr>
          <w:color w:val="000000"/>
          <w:szCs w:val="24"/>
          <w:lang w:val="en-US"/>
        </w:rPr>
        <w:tab/>
        <w:t>Total grid path loss including transmission loss and other propagation losses</w:t>
      </w:r>
    </w:p>
    <w:p w:rsidR="0089268C" w:rsidRDefault="00C3610E">
      <w:pPr>
        <w:ind w:left="1134" w:hanging="1134"/>
        <w:rPr>
          <w:color w:val="000000"/>
          <w:szCs w:val="24"/>
          <w:lang w:val="en-US"/>
        </w:rPr>
      </w:pPr>
      <w:r>
        <w:rPr>
          <w:i/>
          <w:iCs/>
          <w:color w:val="000000"/>
          <w:szCs w:val="24"/>
          <w:lang w:val="en-US"/>
        </w:rPr>
        <w:t>L</w:t>
      </w:r>
      <w:r>
        <w:rPr>
          <w:i/>
          <w:iCs/>
          <w:color w:val="000000"/>
          <w:szCs w:val="24"/>
          <w:vertAlign w:val="subscript"/>
          <w:lang w:val="en-US"/>
        </w:rPr>
        <w:t>f</w:t>
      </w:r>
      <w:r>
        <w:rPr>
          <w:color w:val="000000"/>
          <w:szCs w:val="24"/>
          <w:lang w:val="en-US"/>
        </w:rPr>
        <w:t>:</w:t>
      </w:r>
      <w:r>
        <w:rPr>
          <w:color w:val="000000"/>
          <w:szCs w:val="24"/>
          <w:lang w:val="en-US"/>
        </w:rPr>
        <w:tab/>
        <w:t>Antenna feed loss</w:t>
      </w:r>
    </w:p>
    <w:p w:rsidR="0089268C" w:rsidRDefault="00C3610E">
      <w:pPr>
        <w:ind w:left="1134" w:hanging="1134"/>
        <w:rPr>
          <w:color w:val="000000"/>
          <w:szCs w:val="24"/>
          <w:lang w:val="en-US"/>
        </w:rPr>
      </w:pPr>
      <w:r>
        <w:rPr>
          <w:i/>
          <w:iCs/>
          <w:color w:val="000000"/>
          <w:szCs w:val="24"/>
          <w:lang w:val="en-US"/>
        </w:rPr>
        <w:t>L</w:t>
      </w:r>
      <w:r>
        <w:rPr>
          <w:i/>
          <w:iCs/>
          <w:color w:val="000000"/>
          <w:szCs w:val="24"/>
          <w:vertAlign w:val="subscript"/>
          <w:lang w:val="en-US"/>
        </w:rPr>
        <w:t>fdr</w:t>
      </w:r>
      <w:r>
        <w:rPr>
          <w:color w:val="000000"/>
          <w:szCs w:val="24"/>
          <w:lang w:val="en-US"/>
        </w:rPr>
        <w:t>:</w:t>
      </w:r>
      <w:r>
        <w:rPr>
          <w:color w:val="000000"/>
          <w:szCs w:val="24"/>
          <w:lang w:val="en-US"/>
        </w:rPr>
        <w:tab/>
        <w:t>Path loss computed for feeder uplink</w:t>
      </w:r>
    </w:p>
    <w:p w:rsidR="0089268C" w:rsidRDefault="00C3610E">
      <w:pPr>
        <w:ind w:left="1134" w:hanging="1134"/>
        <w:rPr>
          <w:color w:val="000000"/>
          <w:szCs w:val="24"/>
          <w:lang w:val="en-US"/>
        </w:rPr>
      </w:pPr>
      <w:r>
        <w:rPr>
          <w:i/>
          <w:iCs/>
          <w:color w:val="000000"/>
          <w:szCs w:val="24"/>
          <w:lang w:val="en-US"/>
        </w:rPr>
        <w:t>L</w:t>
      </w:r>
      <w:r>
        <w:rPr>
          <w:i/>
          <w:iCs/>
          <w:color w:val="000000"/>
          <w:szCs w:val="24"/>
          <w:vertAlign w:val="subscript"/>
          <w:lang w:val="en-US"/>
        </w:rPr>
        <w:t>scv</w:t>
      </w:r>
      <w:r>
        <w:rPr>
          <w:color w:val="000000"/>
          <w:szCs w:val="24"/>
          <w:lang w:val="en-US"/>
        </w:rPr>
        <w:t>:</w:t>
      </w:r>
      <w:r>
        <w:rPr>
          <w:color w:val="000000"/>
          <w:szCs w:val="24"/>
          <w:lang w:val="en-US"/>
        </w:rPr>
        <w:tab/>
        <w:t>Path</w:t>
      </w:r>
      <w:r>
        <w:rPr>
          <w:color w:val="000000"/>
          <w:szCs w:val="24"/>
          <w:vertAlign w:val="subscript"/>
          <w:lang w:val="en-US"/>
        </w:rPr>
        <w:t xml:space="preserve"> </w:t>
      </w:r>
      <w:r>
        <w:rPr>
          <w:color w:val="000000"/>
          <w:szCs w:val="24"/>
          <w:lang w:val="en-US"/>
        </w:rPr>
        <w:t>loss computed for service downlink</w:t>
      </w:r>
    </w:p>
    <w:p w:rsidR="0089268C" w:rsidRDefault="00C3610E">
      <w:pPr>
        <w:ind w:left="1134" w:hanging="1134"/>
        <w:rPr>
          <w:color w:val="000000"/>
          <w:szCs w:val="24"/>
          <w:lang w:val="en-US"/>
        </w:rPr>
      </w:pPr>
      <w:r>
        <w:rPr>
          <w:i/>
          <w:iCs/>
          <w:color w:val="000000"/>
          <w:szCs w:val="24"/>
          <w:lang w:val="en-US"/>
        </w:rPr>
        <w:lastRenderedPageBreak/>
        <w:t>L</w:t>
      </w:r>
      <w:r>
        <w:rPr>
          <w:i/>
          <w:iCs/>
          <w:color w:val="000000"/>
          <w:szCs w:val="24"/>
          <w:vertAlign w:val="subscript"/>
          <w:lang w:val="en-US"/>
        </w:rPr>
        <w:t>x</w:t>
      </w:r>
      <w:r>
        <w:rPr>
          <w:color w:val="000000"/>
          <w:szCs w:val="24"/>
          <w:lang w:val="en-US"/>
        </w:rPr>
        <w:t>:</w:t>
      </w:r>
      <w:r>
        <w:rPr>
          <w:color w:val="000000"/>
          <w:szCs w:val="24"/>
          <w:lang w:val="en-US"/>
        </w:rPr>
        <w:tab/>
        <w:t>Cross-polarization discrimination</w:t>
      </w:r>
    </w:p>
    <w:p w:rsidR="0089268C" w:rsidRDefault="00C3610E">
      <w:pPr>
        <w:ind w:left="1134" w:hanging="1134"/>
        <w:rPr>
          <w:color w:val="000000"/>
          <w:szCs w:val="24"/>
          <w:lang w:val="en-US"/>
        </w:rPr>
      </w:pPr>
      <w:r>
        <w:rPr>
          <w:i/>
          <w:iCs/>
          <w:color w:val="000000"/>
          <w:szCs w:val="24"/>
          <w:lang w:val="en-US"/>
        </w:rPr>
        <w:t>m</w:t>
      </w:r>
      <w:r>
        <w:rPr>
          <w:color w:val="000000"/>
          <w:szCs w:val="24"/>
          <w:lang w:val="en-US"/>
        </w:rPr>
        <w:t>:</w:t>
      </w:r>
      <w:r>
        <w:rPr>
          <w:color w:val="000000"/>
          <w:szCs w:val="24"/>
          <w:lang w:val="en-US"/>
        </w:rPr>
        <w:tab/>
        <w:t>Number of times in which the averaged aggregate interference level calculated exceeds the threshold interference level</w:t>
      </w:r>
    </w:p>
    <w:p w:rsidR="0089268C" w:rsidRDefault="00C3610E">
      <w:pPr>
        <w:ind w:left="1134" w:hanging="1134"/>
        <w:rPr>
          <w:color w:val="000000"/>
          <w:szCs w:val="24"/>
          <w:lang w:val="en-US"/>
        </w:rPr>
      </w:pPr>
      <w:r>
        <w:rPr>
          <w:i/>
          <w:iCs/>
          <w:color w:val="000000"/>
          <w:szCs w:val="24"/>
          <w:lang w:val="en-US"/>
        </w:rPr>
        <w:t>M</w:t>
      </w:r>
      <w:r>
        <w:rPr>
          <w:i/>
          <w:iCs/>
          <w:color w:val="000000"/>
          <w:szCs w:val="24"/>
          <w:vertAlign w:val="subscript"/>
          <w:lang w:val="en-US"/>
        </w:rPr>
        <w:t>S</w:t>
      </w:r>
      <w:r>
        <w:rPr>
          <w:color w:val="000000"/>
          <w:szCs w:val="24"/>
          <w:lang w:val="en-US"/>
        </w:rPr>
        <w:t>:</w:t>
      </w:r>
      <w:r>
        <w:rPr>
          <w:color w:val="000000"/>
          <w:szCs w:val="24"/>
          <w:lang w:val="en-US"/>
        </w:rPr>
        <w:tab/>
        <w:t>System margin</w:t>
      </w:r>
    </w:p>
    <w:p w:rsidR="0089268C" w:rsidRDefault="00C3610E">
      <w:pPr>
        <w:ind w:left="1134" w:hanging="1134"/>
        <w:rPr>
          <w:color w:val="000000"/>
          <w:szCs w:val="24"/>
          <w:lang w:val="en-US"/>
        </w:rPr>
      </w:pPr>
      <w:r>
        <w:rPr>
          <w:i/>
          <w:iCs/>
          <w:color w:val="000000"/>
          <w:szCs w:val="24"/>
          <w:lang w:val="en-US"/>
        </w:rPr>
        <w:t>N</w:t>
      </w:r>
      <w:r>
        <w:rPr>
          <w:i/>
          <w:iCs/>
          <w:color w:val="000000"/>
          <w:szCs w:val="24"/>
          <w:vertAlign w:val="subscript"/>
          <w:lang w:val="en-US"/>
        </w:rPr>
        <w:t>b</w:t>
      </w:r>
      <w:r>
        <w:rPr>
          <w:color w:val="000000"/>
          <w:szCs w:val="24"/>
          <w:lang w:val="en-US"/>
        </w:rPr>
        <w:t>:</w:t>
      </w:r>
      <w:r>
        <w:rPr>
          <w:color w:val="000000"/>
          <w:szCs w:val="24"/>
          <w:lang w:val="en-US"/>
        </w:rPr>
        <w:tab/>
        <w:t>Number of simultaneous CDMA user channels a satellite supports in a beam (cell)</w:t>
      </w:r>
    </w:p>
    <w:p w:rsidR="0089268C" w:rsidRDefault="00C3610E">
      <w:pPr>
        <w:ind w:left="1134" w:hanging="1134"/>
        <w:rPr>
          <w:color w:val="000000"/>
          <w:szCs w:val="24"/>
          <w:lang w:val="en-US"/>
        </w:rPr>
      </w:pPr>
      <w:r>
        <w:rPr>
          <w:i/>
          <w:iCs/>
          <w:color w:val="000000"/>
          <w:szCs w:val="24"/>
          <w:lang w:val="en-US"/>
        </w:rPr>
        <w:t>N</w:t>
      </w:r>
      <w:r>
        <w:rPr>
          <w:i/>
          <w:iCs/>
          <w:color w:val="000000"/>
          <w:szCs w:val="24"/>
          <w:vertAlign w:val="subscript"/>
          <w:lang w:val="en-US"/>
        </w:rPr>
        <w:t>c</w:t>
      </w:r>
      <w:r>
        <w:rPr>
          <w:color w:val="000000"/>
          <w:szCs w:val="24"/>
          <w:lang w:val="en-US"/>
        </w:rPr>
        <w:t>:</w:t>
      </w:r>
      <w:r>
        <w:rPr>
          <w:color w:val="000000"/>
          <w:szCs w:val="24"/>
          <w:lang w:val="en-US"/>
        </w:rPr>
        <w:tab/>
        <w:t xml:space="preserve">Number of simultaneous user channels supported in each CDMA carrier channel  </w:t>
      </w:r>
    </w:p>
    <w:p w:rsidR="0089268C" w:rsidRDefault="00C3610E">
      <w:pPr>
        <w:ind w:left="1134" w:hanging="1134"/>
        <w:rPr>
          <w:color w:val="000000"/>
          <w:szCs w:val="24"/>
          <w:lang w:val="fr-CH"/>
        </w:rPr>
      </w:pPr>
      <w:r>
        <w:rPr>
          <w:i/>
          <w:iCs/>
          <w:color w:val="000000"/>
          <w:szCs w:val="24"/>
          <w:lang w:val="fr-CH"/>
        </w:rPr>
        <w:t>N</w:t>
      </w:r>
      <w:r>
        <w:rPr>
          <w:i/>
          <w:iCs/>
          <w:color w:val="000000"/>
          <w:szCs w:val="24"/>
          <w:vertAlign w:val="subscript"/>
          <w:lang w:val="fr-CH"/>
        </w:rPr>
        <w:t>dn</w:t>
      </w:r>
      <w:r>
        <w:rPr>
          <w:color w:val="000000"/>
          <w:szCs w:val="24"/>
          <w:lang w:val="fr-CH"/>
        </w:rPr>
        <w:t>:</w:t>
      </w:r>
      <w:r>
        <w:rPr>
          <w:color w:val="000000"/>
          <w:szCs w:val="24"/>
          <w:lang w:val="fr-CH"/>
        </w:rPr>
        <w:tab/>
        <w:t>KTB noise user terminal</w:t>
      </w:r>
    </w:p>
    <w:p w:rsidR="0089268C" w:rsidRDefault="00C3610E">
      <w:pPr>
        <w:ind w:left="1134" w:hanging="1134"/>
        <w:rPr>
          <w:color w:val="000000"/>
          <w:szCs w:val="24"/>
          <w:lang w:val="fr-CH"/>
        </w:rPr>
      </w:pPr>
      <w:r>
        <w:rPr>
          <w:i/>
          <w:iCs/>
          <w:color w:val="000000"/>
          <w:szCs w:val="24"/>
          <w:lang w:val="fr-CH"/>
        </w:rPr>
        <w:t>N</w:t>
      </w:r>
      <w:r>
        <w:rPr>
          <w:i/>
          <w:iCs/>
          <w:color w:val="000000"/>
          <w:szCs w:val="24"/>
          <w:vertAlign w:val="subscript"/>
          <w:lang w:val="fr-CH"/>
        </w:rPr>
        <w:t>e</w:t>
      </w:r>
      <w:r>
        <w:rPr>
          <w:color w:val="000000"/>
          <w:szCs w:val="24"/>
          <w:lang w:val="fr-CH"/>
        </w:rPr>
        <w:t>:</w:t>
      </w:r>
      <w:r>
        <w:rPr>
          <w:color w:val="000000"/>
          <w:szCs w:val="24"/>
          <w:lang w:val="fr-CH"/>
        </w:rPr>
        <w:tab/>
        <w:t>User terminal noise spectral density</w:t>
      </w:r>
    </w:p>
    <w:p w:rsidR="0089268C" w:rsidRDefault="00C3610E">
      <w:pPr>
        <w:ind w:left="1134" w:hanging="1134"/>
        <w:rPr>
          <w:color w:val="000000"/>
          <w:szCs w:val="24"/>
          <w:lang w:val="en-US"/>
        </w:rPr>
      </w:pPr>
      <w:r>
        <w:rPr>
          <w:i/>
          <w:iCs/>
          <w:color w:val="000000"/>
          <w:szCs w:val="24"/>
          <w:lang w:val="en-US"/>
        </w:rPr>
        <w:t>N</w:t>
      </w:r>
      <w:r>
        <w:rPr>
          <w:i/>
          <w:iCs/>
          <w:color w:val="000000"/>
          <w:szCs w:val="24"/>
          <w:vertAlign w:val="subscript"/>
          <w:lang w:val="en-US"/>
        </w:rPr>
        <w:t>G</w:t>
      </w:r>
      <w:r>
        <w:rPr>
          <w:color w:val="000000"/>
          <w:szCs w:val="24"/>
          <w:lang w:val="en-US"/>
        </w:rPr>
        <w:t>:</w:t>
      </w:r>
      <w:r>
        <w:rPr>
          <w:color w:val="000000"/>
          <w:szCs w:val="24"/>
          <w:lang w:val="en-US"/>
        </w:rPr>
        <w:tab/>
        <w:t>Number of grids within FSS feeder antenna footprint</w:t>
      </w:r>
    </w:p>
    <w:p w:rsidR="0089268C" w:rsidRDefault="00C3610E">
      <w:pPr>
        <w:ind w:left="1134" w:hanging="1134"/>
        <w:rPr>
          <w:color w:val="000000"/>
          <w:szCs w:val="24"/>
          <w:lang w:val="en-US"/>
        </w:rPr>
      </w:pPr>
      <w:r>
        <w:rPr>
          <w:i/>
          <w:iCs/>
          <w:color w:val="000000"/>
          <w:szCs w:val="24"/>
          <w:lang w:val="en-US"/>
        </w:rPr>
        <w:t>N</w:t>
      </w:r>
      <w:r>
        <w:rPr>
          <w:i/>
          <w:iCs/>
          <w:color w:val="000000"/>
          <w:szCs w:val="24"/>
          <w:vertAlign w:val="subscript"/>
          <w:lang w:val="en-US"/>
        </w:rPr>
        <w:t>o</w:t>
      </w:r>
      <w:r>
        <w:rPr>
          <w:color w:val="000000"/>
          <w:szCs w:val="24"/>
          <w:lang w:val="en-US"/>
        </w:rPr>
        <w:t>:</w:t>
      </w:r>
      <w:r>
        <w:rPr>
          <w:color w:val="000000"/>
          <w:szCs w:val="24"/>
          <w:lang w:val="en-US"/>
        </w:rPr>
        <w:tab/>
        <w:t>kT noise spectral density</w:t>
      </w:r>
    </w:p>
    <w:p w:rsidR="0089268C" w:rsidRDefault="00C3610E">
      <w:pPr>
        <w:ind w:left="1134" w:hanging="1134"/>
        <w:rPr>
          <w:color w:val="000000"/>
          <w:szCs w:val="24"/>
          <w:lang w:val="en-US"/>
        </w:rPr>
      </w:pPr>
      <w:r>
        <w:rPr>
          <w:i/>
          <w:iCs/>
          <w:color w:val="000000"/>
          <w:szCs w:val="24"/>
          <w:lang w:val="en-US"/>
        </w:rPr>
        <w:t>N</w:t>
      </w:r>
      <w:r>
        <w:rPr>
          <w:i/>
          <w:iCs/>
          <w:color w:val="000000"/>
          <w:szCs w:val="24"/>
          <w:vertAlign w:val="subscript"/>
          <w:lang w:val="en-US"/>
        </w:rPr>
        <w:t>s</w:t>
      </w:r>
      <w:r>
        <w:rPr>
          <w:color w:val="000000"/>
          <w:szCs w:val="24"/>
          <w:lang w:val="en-US"/>
        </w:rPr>
        <w:t>:</w:t>
      </w:r>
      <w:r>
        <w:rPr>
          <w:color w:val="000000"/>
          <w:szCs w:val="24"/>
          <w:lang w:val="en-US"/>
        </w:rPr>
        <w:tab/>
        <w:t>Satellite noise spectral density</w:t>
      </w:r>
    </w:p>
    <w:p w:rsidR="0089268C" w:rsidRDefault="00C3610E">
      <w:pPr>
        <w:ind w:left="1134" w:hanging="1134"/>
        <w:rPr>
          <w:color w:val="000000"/>
          <w:szCs w:val="24"/>
          <w:lang w:val="en-US"/>
        </w:rPr>
      </w:pPr>
      <w:r>
        <w:rPr>
          <w:i/>
          <w:iCs/>
          <w:color w:val="000000"/>
          <w:szCs w:val="24"/>
          <w:lang w:val="en-US"/>
        </w:rPr>
        <w:t>N</w:t>
      </w:r>
      <w:r>
        <w:rPr>
          <w:i/>
          <w:iCs/>
          <w:color w:val="000000"/>
          <w:szCs w:val="24"/>
          <w:vertAlign w:val="subscript"/>
          <w:lang w:val="en-US"/>
        </w:rPr>
        <w:t>sat</w:t>
      </w:r>
      <w:r>
        <w:rPr>
          <w:color w:val="000000"/>
          <w:szCs w:val="24"/>
          <w:lang w:val="en-US"/>
        </w:rPr>
        <w:t>:</w:t>
      </w:r>
      <w:r>
        <w:rPr>
          <w:color w:val="000000"/>
          <w:szCs w:val="24"/>
          <w:lang w:val="en-US"/>
        </w:rPr>
        <w:tab/>
        <w:t>Number of simultaneous CDMA user channels a satellite supports</w:t>
      </w:r>
    </w:p>
    <w:p w:rsidR="0089268C" w:rsidRDefault="00C3610E">
      <w:pPr>
        <w:ind w:left="1134" w:hanging="1134"/>
        <w:rPr>
          <w:szCs w:val="24"/>
          <w:lang w:val="en-US"/>
        </w:rPr>
      </w:pPr>
      <w:r>
        <w:rPr>
          <w:i/>
          <w:szCs w:val="24"/>
          <w:lang w:val="en-US"/>
        </w:rPr>
        <w:t>N</w:t>
      </w:r>
      <w:r>
        <w:rPr>
          <w:i/>
          <w:szCs w:val="24"/>
          <w:vertAlign w:val="subscript"/>
          <w:lang w:val="en-US"/>
        </w:rPr>
        <w:t>up</w:t>
      </w:r>
      <w:r>
        <w:rPr>
          <w:szCs w:val="24"/>
          <w:lang w:val="en-US"/>
        </w:rPr>
        <w:t>:</w:t>
      </w:r>
      <w:r>
        <w:rPr>
          <w:szCs w:val="24"/>
          <w:lang w:val="en-US"/>
        </w:rPr>
        <w:tab/>
        <w:t xml:space="preserve">Satellite </w:t>
      </w:r>
      <w:r>
        <w:rPr>
          <w:color w:val="000000"/>
          <w:szCs w:val="24"/>
          <w:lang w:val="en-US"/>
        </w:rPr>
        <w:t>kTB</w:t>
      </w:r>
    </w:p>
    <w:p w:rsidR="0089268C" w:rsidRDefault="00C3610E">
      <w:pPr>
        <w:ind w:left="1134" w:hanging="1134"/>
        <w:rPr>
          <w:color w:val="000000" w:themeColor="text1"/>
          <w:szCs w:val="24"/>
          <w:lang w:val="en-US"/>
        </w:rPr>
      </w:pPr>
      <w:r>
        <w:rPr>
          <w:i/>
          <w:iCs/>
          <w:color w:val="000000"/>
          <w:szCs w:val="24"/>
          <w:lang w:val="en-US"/>
        </w:rPr>
        <w:t>p</w:t>
      </w:r>
      <w:r>
        <w:rPr>
          <w:color w:val="000000"/>
          <w:szCs w:val="24"/>
          <w:lang w:val="en-US"/>
        </w:rPr>
        <w:t>:</w:t>
      </w:r>
      <w:r>
        <w:rPr>
          <w:color w:val="000000"/>
          <w:szCs w:val="24"/>
          <w:lang w:val="en-US"/>
        </w:rPr>
        <w:tab/>
      </w:r>
      <w:r>
        <w:rPr>
          <w:color w:val="000000" w:themeColor="text1"/>
          <w:szCs w:val="24"/>
          <w:lang w:val="en-US"/>
        </w:rPr>
        <w:t xml:space="preserve">Period of time for </w:t>
      </w:r>
      <w:r>
        <w:rPr>
          <w:color w:val="000000"/>
          <w:szCs w:val="24"/>
          <w:lang w:val="en-US"/>
        </w:rPr>
        <w:t>which</w:t>
      </w:r>
      <w:r>
        <w:rPr>
          <w:color w:val="000000" w:themeColor="text1"/>
          <w:szCs w:val="24"/>
          <w:lang w:val="en-US"/>
        </w:rPr>
        <w:t xml:space="preserve"> the simulation has effectively run</w:t>
      </w:r>
    </w:p>
    <w:p w:rsidR="0089268C" w:rsidRDefault="00C3610E">
      <w:pPr>
        <w:ind w:left="1134" w:hanging="1134"/>
        <w:rPr>
          <w:color w:val="000000"/>
          <w:szCs w:val="24"/>
          <w:lang w:val="en-US"/>
        </w:rPr>
      </w:pPr>
      <w:r>
        <w:rPr>
          <w:i/>
          <w:iCs/>
          <w:color w:val="000000"/>
          <w:szCs w:val="24"/>
          <w:lang w:val="en-US"/>
        </w:rPr>
        <w:t>P</w:t>
      </w:r>
      <w:r>
        <w:rPr>
          <w:i/>
          <w:iCs/>
          <w:color w:val="000000"/>
          <w:szCs w:val="24"/>
          <w:vertAlign w:val="subscript"/>
          <w:lang w:val="en-US"/>
        </w:rPr>
        <w:t>c</w:t>
      </w:r>
      <w:r>
        <w:rPr>
          <w:color w:val="000000"/>
          <w:szCs w:val="24"/>
          <w:lang w:val="en-US"/>
        </w:rPr>
        <w:t>:</w:t>
      </w:r>
      <w:r>
        <w:rPr>
          <w:color w:val="000000"/>
          <w:szCs w:val="24"/>
          <w:lang w:val="en-US"/>
        </w:rPr>
        <w:tab/>
        <w:t>Average RF power available per beam (cell)</w:t>
      </w:r>
    </w:p>
    <w:p w:rsidR="0089268C" w:rsidRDefault="00C3610E">
      <w:pPr>
        <w:ind w:left="1134" w:hanging="1134"/>
        <w:rPr>
          <w:color w:val="000000"/>
          <w:szCs w:val="24"/>
          <w:lang w:val="en-US"/>
        </w:rPr>
      </w:pPr>
      <w:r>
        <w:rPr>
          <w:i/>
          <w:iCs/>
          <w:color w:val="000000"/>
          <w:szCs w:val="24"/>
          <w:lang w:val="en-US"/>
        </w:rPr>
        <w:t>P</w:t>
      </w:r>
      <w:r>
        <w:rPr>
          <w:i/>
          <w:iCs/>
          <w:color w:val="000000"/>
          <w:szCs w:val="24"/>
          <w:vertAlign w:val="subscript"/>
          <w:lang w:val="en-US"/>
        </w:rPr>
        <w:t>d</w:t>
      </w:r>
      <w:r>
        <w:rPr>
          <w:color w:val="000000"/>
          <w:szCs w:val="24"/>
          <w:lang w:val="en-US"/>
        </w:rPr>
        <w:t>:</w:t>
      </w:r>
      <w:r>
        <w:rPr>
          <w:color w:val="000000"/>
          <w:szCs w:val="24"/>
          <w:lang w:val="en-US"/>
        </w:rPr>
        <w:tab/>
        <w:t>S-band RF power available per user</w:t>
      </w:r>
    </w:p>
    <w:p w:rsidR="0089268C" w:rsidRDefault="00C3610E">
      <w:pPr>
        <w:ind w:left="1134" w:hanging="1134"/>
        <w:rPr>
          <w:color w:val="000000"/>
          <w:szCs w:val="24"/>
          <w:lang w:val="en-US"/>
        </w:rPr>
      </w:pPr>
      <w:r>
        <w:rPr>
          <w:i/>
          <w:iCs/>
          <w:color w:val="000000"/>
          <w:szCs w:val="24"/>
          <w:lang w:val="en-US"/>
        </w:rPr>
        <w:t>P</w:t>
      </w:r>
      <w:r>
        <w:rPr>
          <w:i/>
          <w:iCs/>
          <w:color w:val="000000"/>
          <w:szCs w:val="24"/>
          <w:vertAlign w:val="subscript"/>
          <w:lang w:val="en-US"/>
        </w:rPr>
        <w:t>G</w:t>
      </w:r>
      <w:r>
        <w:rPr>
          <w:color w:val="000000"/>
          <w:szCs w:val="24"/>
          <w:lang w:val="en-US"/>
        </w:rPr>
        <w:t>:</w:t>
      </w:r>
      <w:r>
        <w:rPr>
          <w:color w:val="000000"/>
          <w:szCs w:val="24"/>
          <w:lang w:val="en-US"/>
        </w:rPr>
        <w:tab/>
        <w:t>Aggregate power at the input of the FSS feeder transponder from a given grid</w:t>
      </w:r>
    </w:p>
    <w:p w:rsidR="0089268C" w:rsidRDefault="00C3610E">
      <w:pPr>
        <w:ind w:left="1134" w:hanging="1134"/>
        <w:rPr>
          <w:color w:val="000000"/>
          <w:szCs w:val="24"/>
          <w:lang w:val="en-US"/>
        </w:rPr>
      </w:pPr>
      <w:r>
        <w:rPr>
          <w:i/>
          <w:iCs/>
          <w:color w:val="000000"/>
          <w:szCs w:val="24"/>
          <w:lang w:val="en-US"/>
        </w:rPr>
        <w:t>P</w:t>
      </w:r>
      <w:r>
        <w:rPr>
          <w:i/>
          <w:iCs/>
          <w:color w:val="000000"/>
          <w:szCs w:val="24"/>
          <w:vertAlign w:val="subscript"/>
          <w:lang w:val="en-US"/>
        </w:rPr>
        <w:t>S</w:t>
      </w:r>
      <w:r>
        <w:rPr>
          <w:color w:val="000000"/>
          <w:szCs w:val="24"/>
          <w:lang w:val="en-US"/>
        </w:rPr>
        <w:t>:</w:t>
      </w:r>
      <w:r>
        <w:rPr>
          <w:color w:val="000000"/>
          <w:szCs w:val="24"/>
          <w:lang w:val="en-US"/>
        </w:rPr>
        <w:tab/>
        <w:t xml:space="preserve">RF –band power available per satellite </w:t>
      </w:r>
    </w:p>
    <w:p w:rsidR="0089268C" w:rsidRDefault="00C3610E">
      <w:pPr>
        <w:ind w:left="1134" w:hanging="1134"/>
        <w:rPr>
          <w:color w:val="000000"/>
          <w:szCs w:val="24"/>
          <w:lang w:val="en-US"/>
        </w:rPr>
      </w:pPr>
      <w:r>
        <w:rPr>
          <w:i/>
          <w:iCs/>
          <w:color w:val="000000"/>
          <w:szCs w:val="24"/>
          <w:lang w:val="en-US"/>
        </w:rPr>
        <w:t>R</w:t>
      </w:r>
      <w:r>
        <w:rPr>
          <w:i/>
          <w:iCs/>
          <w:color w:val="000000"/>
          <w:szCs w:val="24"/>
          <w:vertAlign w:val="subscript"/>
          <w:lang w:val="en-US"/>
        </w:rPr>
        <w:t>b</w:t>
      </w:r>
      <w:r>
        <w:rPr>
          <w:color w:val="000000"/>
          <w:szCs w:val="24"/>
          <w:lang w:val="en-US"/>
        </w:rPr>
        <w:t>:</w:t>
      </w:r>
      <w:r>
        <w:rPr>
          <w:color w:val="000000"/>
          <w:szCs w:val="24"/>
          <w:lang w:val="en-US"/>
        </w:rPr>
        <w:tab/>
        <w:t>User channel information data rate (b/s)</w:t>
      </w:r>
    </w:p>
    <w:p w:rsidR="0089268C" w:rsidRDefault="00C3610E">
      <w:pPr>
        <w:ind w:left="1134" w:hanging="1134"/>
        <w:rPr>
          <w:color w:val="000000"/>
          <w:szCs w:val="24"/>
          <w:lang w:val="en-US"/>
        </w:rPr>
      </w:pPr>
      <w:r>
        <w:rPr>
          <w:i/>
          <w:iCs/>
          <w:color w:val="000000"/>
          <w:szCs w:val="24"/>
          <w:lang w:val="en-US"/>
        </w:rPr>
        <w:t>R</w:t>
      </w:r>
      <w:r>
        <w:rPr>
          <w:i/>
          <w:iCs/>
          <w:color w:val="000000"/>
          <w:szCs w:val="24"/>
          <w:vertAlign w:val="subscript"/>
          <w:lang w:val="en-US"/>
        </w:rPr>
        <w:t>G</w:t>
      </w:r>
      <w:r>
        <w:rPr>
          <w:color w:val="000000"/>
          <w:szCs w:val="24"/>
          <w:lang w:val="en-US"/>
        </w:rPr>
        <w:t>:</w:t>
      </w:r>
      <w:r>
        <w:rPr>
          <w:color w:val="000000"/>
          <w:szCs w:val="24"/>
          <w:lang w:val="en-US"/>
        </w:rPr>
        <w:tab/>
        <w:t>Number of RLANs transmitting in the 5 150-5 250 MHz band within a given grid</w:t>
      </w:r>
    </w:p>
    <w:p w:rsidR="0089268C" w:rsidRDefault="00C3610E">
      <w:pPr>
        <w:ind w:left="1134" w:hanging="1134"/>
        <w:rPr>
          <w:color w:val="000000"/>
          <w:szCs w:val="24"/>
          <w:lang w:val="en-US"/>
        </w:rPr>
      </w:pPr>
      <w:r>
        <w:rPr>
          <w:i/>
          <w:iCs/>
          <w:color w:val="000000"/>
          <w:szCs w:val="24"/>
          <w:lang w:val="en-US"/>
        </w:rPr>
        <w:t>S</w:t>
      </w:r>
      <w:r>
        <w:rPr>
          <w:i/>
          <w:iCs/>
          <w:color w:val="000000"/>
          <w:szCs w:val="24"/>
          <w:vertAlign w:val="subscript"/>
          <w:lang w:val="en-US"/>
        </w:rPr>
        <w:t>p</w:t>
      </w:r>
      <w:r>
        <w:rPr>
          <w:color w:val="000000"/>
          <w:szCs w:val="24"/>
          <w:lang w:val="en-US"/>
        </w:rPr>
        <w:t>:</w:t>
      </w:r>
      <w:r>
        <w:rPr>
          <w:color w:val="000000"/>
          <w:szCs w:val="24"/>
          <w:lang w:val="en-US"/>
        </w:rPr>
        <w:tab/>
        <w:t>Population within a grid</w:t>
      </w:r>
    </w:p>
    <w:p w:rsidR="0089268C" w:rsidRDefault="00C3610E">
      <w:pPr>
        <w:ind w:left="1134" w:hanging="1134"/>
        <w:rPr>
          <w:color w:val="000000"/>
          <w:szCs w:val="24"/>
          <w:lang w:val="en-US"/>
        </w:rPr>
      </w:pPr>
      <w:r>
        <w:rPr>
          <w:i/>
          <w:iCs/>
          <w:color w:val="000000"/>
          <w:szCs w:val="24"/>
          <w:lang w:val="en-US"/>
        </w:rPr>
        <w:t>t</w:t>
      </w:r>
      <w:r>
        <w:rPr>
          <w:color w:val="000000"/>
          <w:szCs w:val="24"/>
          <w:lang w:val="en-US"/>
        </w:rPr>
        <w:t>:</w:t>
      </w:r>
      <w:r>
        <w:rPr>
          <w:color w:val="000000"/>
          <w:szCs w:val="24"/>
          <w:lang w:val="en-US"/>
        </w:rPr>
        <w:tab/>
        <w:t>Total period (t) of time in which the interference threshold is exceeded</w:t>
      </w:r>
    </w:p>
    <w:p w:rsidR="0089268C" w:rsidRDefault="00C3610E">
      <w:pPr>
        <w:ind w:left="1134" w:hanging="1134"/>
        <w:rPr>
          <w:color w:val="000000"/>
          <w:szCs w:val="24"/>
          <w:lang w:val="en-US"/>
        </w:rPr>
      </w:pPr>
      <w:r>
        <w:rPr>
          <w:i/>
          <w:iCs/>
          <w:color w:val="000000"/>
          <w:szCs w:val="24"/>
          <w:lang w:val="en-US"/>
        </w:rPr>
        <w:t>T</w:t>
      </w:r>
      <w:r>
        <w:rPr>
          <w:color w:val="000000"/>
          <w:szCs w:val="24"/>
          <w:lang w:val="en-US"/>
        </w:rPr>
        <w:t>:</w:t>
      </w:r>
      <w:r>
        <w:rPr>
          <w:color w:val="000000"/>
          <w:szCs w:val="24"/>
          <w:lang w:val="en-US"/>
        </w:rPr>
        <w:tab/>
        <w:t>Number of CDMA carriers in beam (cell)</w:t>
      </w:r>
    </w:p>
    <w:p w:rsidR="0089268C" w:rsidRDefault="00C3610E">
      <w:pPr>
        <w:ind w:left="1134" w:hanging="1134"/>
        <w:rPr>
          <w:color w:val="000000"/>
          <w:szCs w:val="24"/>
          <w:lang w:val="fr-CH"/>
        </w:rPr>
      </w:pPr>
      <w:r>
        <w:rPr>
          <w:i/>
          <w:iCs/>
          <w:color w:val="000000"/>
          <w:szCs w:val="24"/>
          <w:lang w:val="fr-CH"/>
        </w:rPr>
        <w:t>T</w:t>
      </w:r>
      <w:r>
        <w:rPr>
          <w:i/>
          <w:iCs/>
          <w:color w:val="000000"/>
          <w:szCs w:val="24"/>
          <w:vertAlign w:val="subscript"/>
          <w:lang w:val="fr-CH"/>
        </w:rPr>
        <w:t>e</w:t>
      </w:r>
      <w:r>
        <w:rPr>
          <w:color w:val="000000"/>
          <w:szCs w:val="24"/>
          <w:lang w:val="fr-CH"/>
        </w:rPr>
        <w:t>:</w:t>
      </w:r>
      <w:r>
        <w:rPr>
          <w:color w:val="000000"/>
          <w:szCs w:val="24"/>
          <w:lang w:val="fr-CH"/>
        </w:rPr>
        <w:tab/>
        <w:t>Noise temperature user terminal</w:t>
      </w:r>
    </w:p>
    <w:p w:rsidR="0089268C" w:rsidRDefault="00C3610E">
      <w:pPr>
        <w:ind w:left="1134" w:hanging="1134"/>
        <w:rPr>
          <w:color w:val="000000"/>
          <w:szCs w:val="24"/>
          <w:lang w:val="fr-CH"/>
        </w:rPr>
      </w:pPr>
      <w:r>
        <w:rPr>
          <w:i/>
          <w:iCs/>
          <w:color w:val="000000"/>
          <w:szCs w:val="24"/>
          <w:lang w:val="fr-CH"/>
        </w:rPr>
        <w:t>T</w:t>
      </w:r>
      <w:r>
        <w:rPr>
          <w:i/>
          <w:iCs/>
          <w:color w:val="000000"/>
          <w:szCs w:val="24"/>
          <w:vertAlign w:val="subscript"/>
          <w:lang w:val="fr-CH"/>
        </w:rPr>
        <w:t>s</w:t>
      </w:r>
      <w:r>
        <w:rPr>
          <w:color w:val="000000"/>
          <w:szCs w:val="24"/>
          <w:lang w:val="fr-CH"/>
        </w:rPr>
        <w:t>:</w:t>
      </w:r>
      <w:r>
        <w:rPr>
          <w:color w:val="000000"/>
          <w:szCs w:val="24"/>
          <w:lang w:val="fr-CH"/>
        </w:rPr>
        <w:tab/>
        <w:t>Noise temperature satellite</w:t>
      </w:r>
    </w:p>
    <w:p w:rsidR="0089268C" w:rsidRDefault="00C3610E">
      <w:pPr>
        <w:ind w:left="1134" w:hanging="1134"/>
        <w:rPr>
          <w:rFonts w:ascii="Calibri" w:hAnsi="Calibri"/>
          <w:color w:val="000000"/>
          <w:lang w:val="en-US"/>
        </w:rPr>
      </w:pPr>
      <w:r>
        <w:rPr>
          <w:i/>
          <w:iCs/>
          <w:color w:val="000000"/>
          <w:szCs w:val="24"/>
          <w:lang w:val="en-US"/>
        </w:rPr>
        <w:t>Z</w:t>
      </w:r>
      <w:r>
        <w:rPr>
          <w:color w:val="000000"/>
          <w:szCs w:val="24"/>
          <w:lang w:val="en-US"/>
        </w:rPr>
        <w:t>:</w:t>
      </w:r>
      <w:r>
        <w:rPr>
          <w:color w:val="000000"/>
          <w:szCs w:val="24"/>
          <w:lang w:val="en-US"/>
        </w:rPr>
        <w:tab/>
        <w:t>Number of cells in a satellite's footprint</w:t>
      </w:r>
    </w:p>
    <w:p w:rsidR="0089268C" w:rsidRPr="001E7D0F" w:rsidRDefault="00C3610E" w:rsidP="00BE3B8C">
      <w:pPr>
        <w:pStyle w:val="Heading3"/>
        <w:rPr>
          <w:szCs w:val="24"/>
          <w:lang w:val="en-US"/>
        </w:rPr>
      </w:pPr>
      <w:r w:rsidRPr="001E7D0F">
        <w:rPr>
          <w:szCs w:val="24"/>
          <w:lang w:val="en-US"/>
        </w:rPr>
        <w:t>5.1.2</w:t>
      </w:r>
      <w:r w:rsidRPr="001E7D0F">
        <w:rPr>
          <w:szCs w:val="24"/>
          <w:lang w:val="en-US"/>
        </w:rPr>
        <w:tab/>
        <w:t>Study 2 (Globalstar 5A/550, Document 5A/</w:t>
      </w:r>
      <w:hyperlink r:id="rId60" w:history="1">
        <w:r w:rsidRPr="00BE3B8C">
          <w:rPr>
            <w:rStyle w:val="Hyperlink"/>
            <w:szCs w:val="24"/>
            <w:lang w:val="en-US"/>
          </w:rPr>
          <w:t>554</w:t>
        </w:r>
      </w:hyperlink>
      <w:r w:rsidRPr="001E7D0F">
        <w:rPr>
          <w:szCs w:val="24"/>
          <w:lang w:val="en-US"/>
        </w:rPr>
        <w:t xml:space="preserve"> will be embedded as a separate file into RLAN sharing.)</w:t>
      </w:r>
    </w:p>
    <w:p w:rsidR="006E6D2F" w:rsidRPr="006E6D2F" w:rsidRDefault="00C3610E" w:rsidP="001E7D0F">
      <w:pPr>
        <w:rPr>
          <w:i/>
          <w:iCs/>
          <w:lang w:val="en-US"/>
        </w:rPr>
      </w:pPr>
      <w:r w:rsidRPr="006E6D2F">
        <w:rPr>
          <w:i/>
          <w:iCs/>
          <w:lang w:val="en-US"/>
        </w:rPr>
        <w:t>[Editor’s note: The information presented below from 5A/</w:t>
      </w:r>
      <w:hyperlink r:id="rId61" w:history="1">
        <w:r w:rsidRPr="00E5737A">
          <w:rPr>
            <w:rStyle w:val="Hyperlink"/>
            <w:i/>
            <w:iCs/>
            <w:lang w:val="en-US"/>
          </w:rPr>
          <w:t>550</w:t>
        </w:r>
      </w:hyperlink>
      <w:r w:rsidRPr="006E6D2F">
        <w:rPr>
          <w:i/>
          <w:iCs/>
          <w:lang w:val="en-US"/>
        </w:rPr>
        <w:t xml:space="preserve"> was not reviewed and agreed to by the meeting in November 2017 and appears in square brackets.]</w:t>
      </w:r>
    </w:p>
    <w:p w:rsidR="0089268C" w:rsidRDefault="00C3610E" w:rsidP="006E6D2F">
      <w:pPr>
        <w:rPr>
          <w:lang w:val="en-US"/>
        </w:rPr>
      </w:pPr>
      <w:r>
        <w:t>[In 2014, one Administration allowed potentially unlimited outdoor deployment of unlicensed RLAN access points on frequencies included in IEEE 802.11ac channels in the 5 170-5 250 MHz range which overlaps the FSS 5 096-5 250 MHz feeder uplink of the LEO-D Mobile Satellite Service (MSS) system. Since that time, despite the restrictions imposed by this Administration, for the purpose of limiting the emissions from access points, LEO-D has observed a rising noise floor in the feeder uplink as measured by satellites over the territory of that Administration. LEO-D attributes this noise rise to the aggregated interference of outdoor RLAN access points deployed in the frequency band 5 170-5 250 MHz.</w:t>
      </w:r>
    </w:p>
    <w:p w:rsidR="0089268C" w:rsidRDefault="00C3610E" w:rsidP="006E6D2F">
      <w:pPr>
        <w:rPr>
          <w:strike/>
        </w:rPr>
      </w:pPr>
      <w:r>
        <w:lastRenderedPageBreak/>
        <w:t xml:space="preserve">A </w:t>
      </w:r>
      <w:r>
        <w:rPr>
          <w:strike/>
        </w:rPr>
        <w:t>s</w:t>
      </w:r>
      <w:r>
        <w:t>tatic model of the aggregate interference from outdoor RLANs distributed uniformly within the coverage area of the LEO-D satellite, elaborated in Document 5A/550, shows that the noise rise of 1.8 db in 5</w:t>
      </w:r>
      <w:r w:rsidR="00E5737A">
        <w:t> </w:t>
      </w:r>
      <w:r>
        <w:t>170-5</w:t>
      </w:r>
      <w:r w:rsidR="00E5737A">
        <w:t> </w:t>
      </w:r>
      <w:r>
        <w:t>250 MHz measured by satellites over the territory of that Administration is consistent with the deployment of 1 million outdoor access points that are compliant with the Administration rules of 4 watts EIRP, and operating at a busy hour duty cycle of 10%. The cable TV industry, one group deploying RLANs in the territory of that Administration., reports that 10 million total access points are using 5</w:t>
      </w:r>
      <w:r w:rsidR="00E5737A">
        <w:t> </w:t>
      </w:r>
      <w:r>
        <w:t>170-5</w:t>
      </w:r>
      <w:r w:rsidR="00E5737A">
        <w:t> </w:t>
      </w:r>
      <w:r>
        <w:t>250 MHz as of August of 2017, implying that as many as 10% of access points deployed may be operating outdoors</w:t>
      </w:r>
      <w:proofErr w:type="gramStart"/>
      <w:r>
        <w:t xml:space="preserve">.  </w:t>
      </w:r>
      <w:proofErr w:type="gramEnd"/>
      <w:r>
        <w:t>The static model also shows the variation in noise rise experienced in the LEO-D uplink as a function of the total number of outdoor RLANS deployed and their average duty cycle. Model results indicate that the same noise rise is also produced by 180</w:t>
      </w:r>
      <w:r w:rsidR="009D6E81">
        <w:t> </w:t>
      </w:r>
      <w:r>
        <w:t xml:space="preserve">k outdoor access points operating at an average 40% duty cycle. This would imply that a smaller fraction of 1.8% of the total number of RLANs could also produce the same noise rise. This noise level increase is equivalent to an Interference-to-Noise ratio (I/N) of -3 db and  is 9.2 dB higher than the value given in Recommendation ITU-R S.1432. </w:t>
      </w:r>
    </w:p>
    <w:p w:rsidR="0089268C" w:rsidRDefault="00C3610E" w:rsidP="006E6D2F">
      <w:r>
        <w:t xml:space="preserve">Document 5A/550 further presents an analysis of the relationship between noise rise in the MSS feeder uplink spectrum and degradation to the LEO-D MSS traffic-handling capacity and satellite RF power amplifier capacity. Based on the cable TV industry statements, the deployment of RLANs is increasing at a rate of 37% per year, and the Cisco Virtual Networking  Index indicates that RLAN deployment is increasing as much as 43% per year in the next 5 years. If outdoor unlicensed RLAN deployments in 5 170-5 250 MHz in the territory of the Administration increase at the projected rates of 35-43% per year, LEO-D will suffer substantial degradation to its MSS traffic capacity and satellite power consumption. Since there is no method for limiting the number of RLAN deployments over geographic regions encompassing a 3901 km radius, the area within which outdoor RLANs in 5 170-5 250 MHz could cause aggregate interference to the MSS feeder uplink,  modification of the current Radio Regulations and Recommendations prohibiting outdoor RLAN operation at 5 150-5 250 MHz could be ill advised.. </w:t>
      </w:r>
    </w:p>
    <w:p w:rsidR="0089268C" w:rsidRDefault="00C3610E" w:rsidP="006E6D2F">
      <w:r>
        <w:t>The model in this report (5A/550) assumes (1) access point characteristics and transmitted power levels that are consistent with the regulations of that Administration, (2) antenna gain characteristics representative of actual equipment in the field, and (3) LEO-D operating characteristics as described in filings with the Administration.  This analysis also presents the effects of urban “clutter,” building shadowing, and different access point duty cycles on aggregate interference to the MSS feeder uplinks and the resulting detrimental impact on LEO-D MSS operations.</w:t>
      </w:r>
    </w:p>
    <w:p w:rsidR="0089268C" w:rsidRDefault="00C3610E" w:rsidP="006E6D2F">
      <w:pPr>
        <w:pStyle w:val="Figure"/>
        <w:rPr>
          <w:rFonts w:ascii="Times New Roman" w:hAnsi="Times New Roman"/>
          <w:szCs w:val="24"/>
        </w:rPr>
      </w:pPr>
      <w:r>
        <w:rPr>
          <w:lang w:val="en-GB"/>
        </w:rPr>
        <w:lastRenderedPageBreak/>
        <w:drawing>
          <wp:inline distT="0" distB="0" distL="0" distR="0">
            <wp:extent cx="4806462" cy="3338195"/>
            <wp:effectExtent l="0" t="0" r="0" b="0"/>
            <wp:docPr id="125" name="Picture 125" descr="C:\Users\DWeinreich\Documents\My Documents\My Documents\ITU\WP5A\1117Mtg\MtgDocs\A.I..16\RLAN_Share\Figure550.png"/>
            <wp:cNvGraphicFramePr/>
            <a:graphic xmlns:a="http://schemas.openxmlformats.org/drawingml/2006/main">
              <a:graphicData uri="http://schemas.openxmlformats.org/drawingml/2006/picture">
                <pic:pic xmlns:pic="http://schemas.openxmlformats.org/drawingml/2006/picture">
                  <pic:nvPicPr>
                    <pic:cNvPr id="1" name="Picture 1" descr="C:\Users\DWeinreich\Documents\My Documents\My Documents\ITU\WP5A\1117Mtg\MtgDocs\A.I..16\RLAN_Share\Figure550.png"/>
                    <pic:cNvPicPr/>
                  </pic:nvPicPr>
                  <pic:blipFill rotWithShape="1">
                    <a:blip r:embed="rId62">
                      <a:extLst>
                        <a:ext uri="{28A0092B-C50C-407E-A947-70E740481C1C}">
                          <a14:useLocalDpi xmlns:a14="http://schemas.microsoft.com/office/drawing/2010/main" val="0"/>
                        </a:ext>
                      </a:extLst>
                    </a:blip>
                    <a:srcRect r="19132"/>
                    <a:stretch/>
                  </pic:blipFill>
                  <pic:spPr bwMode="auto">
                    <a:xfrm>
                      <a:off x="0" y="0"/>
                      <a:ext cx="4806462" cy="3338195"/>
                    </a:xfrm>
                    <a:prstGeom prst="rect">
                      <a:avLst/>
                    </a:prstGeom>
                    <a:noFill/>
                    <a:ln>
                      <a:noFill/>
                    </a:ln>
                    <a:extLst>
                      <a:ext uri="{53640926-AAD7-44D8-BBD7-CCE9431645EC}">
                        <a14:shadowObscured xmlns:a14="http://schemas.microsoft.com/office/drawing/2010/main"/>
                      </a:ext>
                    </a:extLst>
                  </pic:spPr>
                </pic:pic>
              </a:graphicData>
            </a:graphic>
          </wp:inline>
        </w:drawing>
      </w:r>
    </w:p>
    <w:p w:rsidR="0089268C" w:rsidRPr="001E7D0F" w:rsidRDefault="00C3610E" w:rsidP="001E7D0F">
      <w:r>
        <w:rPr>
          <w:szCs w:val="24"/>
        </w:rPr>
        <w:t>This figure shows the predicted rise in the noise floor of the LEO-D system as a result of the outdoor deployment of RLAN access points in the frequency range 5</w:t>
      </w:r>
      <w:r w:rsidR="00E5737A">
        <w:t> </w:t>
      </w:r>
      <w:r>
        <w:rPr>
          <w:szCs w:val="24"/>
        </w:rPr>
        <w:t>170-5</w:t>
      </w:r>
      <w:r w:rsidR="00E5737A">
        <w:t> </w:t>
      </w:r>
      <w:r>
        <w:rPr>
          <w:szCs w:val="24"/>
        </w:rPr>
        <w:t>250 MHz.]</w:t>
      </w:r>
    </w:p>
    <w:p w:rsidR="0089268C" w:rsidRDefault="00C3610E">
      <w:pPr>
        <w:pStyle w:val="Heading3"/>
        <w:rPr>
          <w:lang w:val="en-US"/>
        </w:rPr>
      </w:pPr>
      <w:r w:rsidRPr="001E7D0F">
        <w:rPr>
          <w:lang w:val="en-US"/>
        </w:rPr>
        <w:t xml:space="preserve">5.1.3 </w:t>
      </w:r>
      <w:r>
        <w:rPr>
          <w:lang w:val="en-US"/>
        </w:rPr>
        <w:tab/>
      </w:r>
      <w:r w:rsidR="003B5C7D">
        <w:rPr>
          <w:lang w:val="en-US"/>
        </w:rPr>
        <w:t xml:space="preserve">Study </w:t>
      </w:r>
      <w:r w:rsidRPr="001E7D0F">
        <w:rPr>
          <w:lang w:val="en-US"/>
        </w:rPr>
        <w:t>3</w:t>
      </w:r>
      <w:r>
        <w:rPr>
          <w:lang w:val="en-US"/>
        </w:rPr>
        <w:t xml:space="preserve"> (Globalstar 5A/</w:t>
      </w:r>
      <w:hyperlink r:id="rId63" w:history="1">
        <w:r w:rsidRPr="009D6E81">
          <w:rPr>
            <w:rStyle w:val="Hyperlink"/>
            <w:lang w:val="en-US"/>
          </w:rPr>
          <w:t>553</w:t>
        </w:r>
      </w:hyperlink>
      <w:r>
        <w:rPr>
          <w:lang w:val="en-US"/>
        </w:rPr>
        <w:t>)</w:t>
      </w:r>
    </w:p>
    <w:p w:rsidR="0089268C" w:rsidRDefault="00C3610E" w:rsidP="00C720B2">
      <w:pPr>
        <w:pStyle w:val="Heading4"/>
        <w:rPr>
          <w:lang w:val="en-US" w:eastAsia="zh-CN"/>
        </w:rPr>
      </w:pPr>
      <w:r>
        <w:rPr>
          <w:lang w:val="en-US" w:eastAsia="zh-CN"/>
        </w:rPr>
        <w:t>5.1.3.</w:t>
      </w:r>
      <w:r w:rsidR="00C720B2">
        <w:rPr>
          <w:lang w:val="en-US" w:eastAsia="zh-CN"/>
        </w:rPr>
        <w:t>1</w:t>
      </w:r>
      <w:r>
        <w:rPr>
          <w:lang w:val="en-US" w:eastAsia="zh-CN"/>
        </w:rPr>
        <w:tab/>
        <w:t>Interference Analysis</w:t>
      </w:r>
    </w:p>
    <w:p w:rsidR="0089268C" w:rsidRDefault="00C3610E">
      <w:pPr>
        <w:rPr>
          <w:lang w:val="en-US" w:eastAsia="zh-CN"/>
        </w:rPr>
      </w:pPr>
      <w:r>
        <w:rPr>
          <w:lang w:val="en-US" w:eastAsia="zh-CN"/>
        </w:rPr>
        <w:t>The interference situation set out in the previous section was analyzed using a computer simulation that was conducted using the Visualyse simulation tool that is available from Transfinite Systems (</w:t>
      </w:r>
      <w:hyperlink r:id="rId64" w:history="1">
        <w:r>
          <w:rPr>
            <w:rStyle w:val="Hyperlink"/>
            <w:lang w:val="en-US" w:eastAsia="zh-CN"/>
          </w:rPr>
          <w:t>www.transfinite.com</w:t>
        </w:r>
      </w:hyperlink>
      <w:r>
        <w:rPr>
          <w:lang w:val="en-US" w:eastAsia="zh-CN"/>
        </w:rPr>
        <w:t xml:space="preserve">). </w:t>
      </w:r>
    </w:p>
    <w:p w:rsidR="0089268C" w:rsidRDefault="00C3610E" w:rsidP="00C720B2">
      <w:pPr>
        <w:pStyle w:val="Heading5"/>
        <w:rPr>
          <w:lang w:val="en-US" w:eastAsia="zh-CN"/>
        </w:rPr>
      </w:pPr>
      <w:r>
        <w:rPr>
          <w:lang w:val="en-US" w:eastAsia="zh-CN"/>
        </w:rPr>
        <w:t>5.1.3.</w:t>
      </w:r>
      <w:r w:rsidR="00C720B2">
        <w:rPr>
          <w:lang w:val="en-US" w:eastAsia="zh-CN"/>
        </w:rPr>
        <w:t>1</w:t>
      </w:r>
      <w:r>
        <w:rPr>
          <w:lang w:val="en-US" w:eastAsia="zh-CN"/>
        </w:rPr>
        <w:t>.1</w:t>
      </w:r>
      <w:r>
        <w:rPr>
          <w:lang w:val="en-US" w:eastAsia="zh-CN"/>
        </w:rPr>
        <w:tab/>
        <w:t>Simulation Description</w:t>
      </w:r>
    </w:p>
    <w:p w:rsidR="0089268C" w:rsidRDefault="00C3610E">
      <w:pPr>
        <w:rPr>
          <w:lang w:val="en-US" w:eastAsia="zh-CN"/>
        </w:rPr>
      </w:pPr>
      <w:r>
        <w:rPr>
          <w:lang w:val="en-US" w:eastAsia="zh-CN"/>
        </w:rPr>
        <w:t xml:space="preserve">The use of the 5 GHz band by WAS/RLAN beyond what is contained in the current Radio Regulations was treated as part of WRC-2015 agenda item 1.1, and studies were conducted by Joint Task Group (JTG) 4-5-6-7 during the period between WRC-12 and WRC-15. The outcome of these studies is summarized in Reports from the JTG. </w:t>
      </w:r>
    </w:p>
    <w:p w:rsidR="0089268C" w:rsidRDefault="00C3610E">
      <w:pPr>
        <w:rPr>
          <w:lang w:val="en-US" w:eastAsia="zh-CN"/>
        </w:rPr>
      </w:pPr>
      <w:r>
        <w:rPr>
          <w:lang w:val="en-US" w:eastAsia="zh-CN"/>
        </w:rPr>
        <w:t xml:space="preserve">The technical requirements of WAS/RLANs in the 5 GHz frequency range have been captured in a subsequent document from ITU-R Working Party 5A, “Working document towards a preliminary draft new Report ITU-R M.[RLAN REQ-PAR] – </w:t>
      </w:r>
      <w:r>
        <w:rPr>
          <w:i/>
          <w:lang w:val="en-US" w:eastAsia="zh-CN"/>
        </w:rPr>
        <w:t>Technical characteristics and operational requirements of WAS/RLAN in the 5 GHz frequency range</w:t>
      </w:r>
      <w:r>
        <w:rPr>
          <w:lang w:val="en-US" w:eastAsia="zh-CN"/>
        </w:rPr>
        <w:t xml:space="preserve">; (Annex 27 to Document 5A/469). The RLAN parameters used in this study are derived from that document, including RLAN bandwidth and e.i.r.p. distributions and deployment densities. </w:t>
      </w:r>
    </w:p>
    <w:p w:rsidR="0089268C" w:rsidRDefault="00C3610E">
      <w:pPr>
        <w:rPr>
          <w:lang w:val="en-US" w:eastAsia="zh-CN"/>
        </w:rPr>
      </w:pPr>
      <w:r>
        <w:rPr>
          <w:lang w:val="en-US" w:eastAsia="zh-CN"/>
        </w:rPr>
        <w:t>The assumption was made that interference from WAS/RLAN would be primarily from RLANs rather than from WAS. The WAS/RLAN parameters provided below are based upon this assumption. As there are potentially millions of RLANs in the 5</w:t>
      </w:r>
      <w:r>
        <w:rPr>
          <w:lang w:eastAsia="zh-CN"/>
        </w:rPr>
        <w:t> </w:t>
      </w:r>
      <w:r>
        <w:rPr>
          <w:lang w:val="en-US" w:eastAsia="zh-CN"/>
        </w:rPr>
        <w:t>150-5</w:t>
      </w:r>
      <w:r>
        <w:rPr>
          <w:lang w:eastAsia="zh-CN"/>
        </w:rPr>
        <w:t> </w:t>
      </w:r>
      <w:r>
        <w:rPr>
          <w:lang w:val="en-US" w:eastAsia="zh-CN"/>
        </w:rPr>
        <w:t xml:space="preserve">250 MHz band, it is impossible to simulate each RLAN as an individual interferer. Hence, the power from the individual RLANs has been aggregated and this aggregation has been used as the output power from a single terrestrial “pseudo-station” (see Section 5.1.3.4.1.1). This technique is consistent with the “reference System” approach that is used to simulate interference involving terrestrial cellular telephone systems. </w:t>
      </w:r>
    </w:p>
    <w:p w:rsidR="0089268C" w:rsidRDefault="00C3610E">
      <w:pPr>
        <w:rPr>
          <w:lang w:val="en-US" w:eastAsia="zh-CN"/>
        </w:rPr>
      </w:pPr>
      <w:r>
        <w:rPr>
          <w:lang w:val="en-US" w:eastAsia="zh-CN"/>
        </w:rPr>
        <w:lastRenderedPageBreak/>
        <w:t>[Editor’s Note: Further investigation of the effect of pseudo-stations is required.]</w:t>
      </w:r>
    </w:p>
    <w:p w:rsidR="0089268C" w:rsidRDefault="00C3610E">
      <w:pPr>
        <w:rPr>
          <w:lang w:val="en-US" w:eastAsia="zh-CN"/>
        </w:rPr>
      </w:pPr>
      <w:r>
        <w:rPr>
          <w:lang w:val="en-US" w:eastAsia="zh-CN"/>
        </w:rPr>
        <w:t>[The computer simulation focused on the European region since it has a large population of RLANs and the area easily falls within the footprint of the MSS spacecraft antenna. For the purpose of the simulation it was assumed that Europe consists only of the most populous 45 European countries. A separate terrestrial pseudo-station was established to represent the total number of RLANs deployed in both urban and rural areas. There were, thus, a total of 85 different terrestrial stations, 45 urban and 40 rural, established for the simulation. The coordinates for the pseudo-stations were those of the capital of the country for urban stations, and a rural location for the rural pseudo-stations. A list of these cities, their coordinates, and the respective populations of the countries are shown in Appendix 1.]</w:t>
      </w:r>
    </w:p>
    <w:p w:rsidR="0089268C" w:rsidRDefault="00C3610E" w:rsidP="00C720B2">
      <w:pPr>
        <w:pStyle w:val="Heading6"/>
        <w:rPr>
          <w:lang w:val="en-US" w:eastAsia="zh-CN"/>
        </w:rPr>
      </w:pPr>
      <w:r>
        <w:rPr>
          <w:lang w:val="en-US" w:eastAsia="zh-CN"/>
        </w:rPr>
        <w:t>5.1.3.</w:t>
      </w:r>
      <w:r w:rsidR="00C720B2">
        <w:rPr>
          <w:lang w:val="en-US" w:eastAsia="zh-CN"/>
        </w:rPr>
        <w:t>1</w:t>
      </w:r>
      <w:r>
        <w:rPr>
          <w:lang w:val="en-US" w:eastAsia="zh-CN"/>
        </w:rPr>
        <w:t>.1.1</w:t>
      </w:r>
      <w:r>
        <w:rPr>
          <w:lang w:val="en-US" w:eastAsia="zh-CN"/>
        </w:rPr>
        <w:tab/>
        <w:t>Clutter Loss</w:t>
      </w:r>
    </w:p>
    <w:p w:rsidR="0089268C" w:rsidRDefault="00C3610E">
      <w:pPr>
        <w:rPr>
          <w:lang w:val="en-US" w:eastAsia="zh-CN"/>
        </w:rPr>
      </w:pPr>
      <w:r>
        <w:rPr>
          <w:lang w:val="en-US" w:eastAsia="zh-CN"/>
        </w:rPr>
        <w:t xml:space="preserve">In this version of the simulation, the effects of clutter and building entry loss were taken into account by combining these losses with the antenna pattern. The clutter loss was based on the method given in Recommendation ITU-R P.2108, noting the recent advice in Document 5A/499 from Working Parties 3K and 3M. </w:t>
      </w:r>
    </w:p>
    <w:p w:rsidR="0089268C" w:rsidRDefault="00C3610E">
      <w:pPr>
        <w:rPr>
          <w:szCs w:val="24"/>
        </w:rPr>
      </w:pPr>
      <w:r>
        <w:rPr>
          <w:szCs w:val="24"/>
        </w:rPr>
        <w:t>One form of the interference calculation equation in dB is:</w:t>
      </w:r>
    </w:p>
    <w:p w:rsidR="0089268C" w:rsidRDefault="00E122B7" w:rsidP="00222266">
      <w:pPr>
        <w:pStyle w:val="Equation"/>
      </w:pPr>
      <w:r>
        <w:rPr>
          <w:iCs/>
        </w:rPr>
        <w:tab/>
      </w:r>
      <w:r>
        <w:rPr>
          <w:iCs/>
        </w:rPr>
        <w:tab/>
      </w:r>
      <m:oMath>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path</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clutter</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rx</m:t>
            </m:r>
          </m:sub>
        </m:sSub>
      </m:oMath>
    </w:p>
    <w:p w:rsidR="0089268C" w:rsidRDefault="00C3610E">
      <w:pPr>
        <w:rPr>
          <w:szCs w:val="24"/>
        </w:rPr>
      </w:pPr>
      <w:r>
        <w:rPr>
          <w:szCs w:val="24"/>
        </w:rPr>
        <w:t>In absolute / linear representation, this is (using lower case to represent linear / absolute values):</w:t>
      </w:r>
    </w:p>
    <w:p w:rsidR="0089268C" w:rsidRPr="00EE236C" w:rsidRDefault="00EE236C" w:rsidP="00EE236C">
      <w:pPr>
        <w:pStyle w:val="Equation"/>
      </w:pPr>
      <w:r>
        <w:rPr>
          <w:iCs/>
        </w:rPr>
        <w:tab/>
      </w:r>
      <w:r>
        <w:rPr>
          <w:iCs/>
        </w:rPr>
        <w:tab/>
      </w:r>
      <m:oMath>
        <m:r>
          <w:rPr>
            <w:rFonts w:ascii="Cambria Math" w:hAnsi="Cambria Math"/>
          </w:rPr>
          <m:t>i</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tx</m:t>
                </m:r>
              </m:sub>
            </m:sSub>
            <m:sSub>
              <m:sSubPr>
                <m:ctrlPr>
                  <w:rPr>
                    <w:rFonts w:ascii="Cambria Math" w:hAnsi="Cambria Math"/>
                  </w:rPr>
                </m:ctrlPr>
              </m:sSubPr>
              <m:e>
                <m:r>
                  <w:rPr>
                    <w:rFonts w:ascii="Cambria Math" w:hAnsi="Cambria Math"/>
                  </w:rPr>
                  <m:t>g</m:t>
                </m:r>
              </m:e>
              <m:sub>
                <m:r>
                  <w:rPr>
                    <w:rFonts w:ascii="Cambria Math" w:hAnsi="Cambria Math"/>
                  </w:rPr>
                  <m:t>tx</m:t>
                </m:r>
              </m:sub>
            </m:sSub>
            <m:sSub>
              <m:sSubPr>
                <m:ctrlPr>
                  <w:rPr>
                    <w:rFonts w:ascii="Cambria Math" w:hAnsi="Cambria Math"/>
                  </w:rPr>
                </m:ctrlPr>
              </m:sSubPr>
              <m:e>
                <m:r>
                  <w:rPr>
                    <w:rFonts w:ascii="Cambria Math" w:hAnsi="Cambria Math"/>
                  </w:rPr>
                  <m:t>g</m:t>
                </m:r>
              </m:e>
              <m:sub>
                <m:r>
                  <w:rPr>
                    <w:rFonts w:ascii="Cambria Math" w:hAnsi="Cambria Math"/>
                  </w:rPr>
                  <m:t>rx</m:t>
                </m:r>
              </m:sub>
            </m:sSub>
          </m:num>
          <m:den>
            <m:sSub>
              <m:sSubPr>
                <m:ctrlPr>
                  <w:rPr>
                    <w:rFonts w:ascii="Cambria Math" w:hAnsi="Cambria Math"/>
                  </w:rPr>
                </m:ctrlPr>
              </m:sSubPr>
              <m:e>
                <m:r>
                  <w:rPr>
                    <w:rFonts w:ascii="Cambria Math" w:hAnsi="Cambria Math"/>
                  </w:rPr>
                  <m:t>l</m:t>
                </m:r>
              </m:e>
              <m:sub>
                <m:r>
                  <w:rPr>
                    <w:rFonts w:ascii="Cambria Math" w:hAnsi="Cambria Math"/>
                  </w:rPr>
                  <m:t>path</m:t>
                </m:r>
              </m:sub>
            </m:sSub>
            <m:sSub>
              <m:sSubPr>
                <m:ctrlPr>
                  <w:rPr>
                    <w:rFonts w:ascii="Cambria Math" w:hAnsi="Cambria Math"/>
                  </w:rPr>
                </m:ctrlPr>
              </m:sSubPr>
              <m:e>
                <m:r>
                  <w:rPr>
                    <w:rFonts w:ascii="Cambria Math" w:hAnsi="Cambria Math"/>
                  </w:rPr>
                  <m:t>l</m:t>
                </m:r>
              </m:e>
              <m:sub>
                <m:r>
                  <w:rPr>
                    <w:rFonts w:ascii="Cambria Math" w:hAnsi="Cambria Math"/>
                  </w:rPr>
                  <m:t>clutter</m:t>
                </m:r>
              </m:sub>
            </m:sSub>
          </m:den>
        </m:f>
      </m:oMath>
    </w:p>
    <w:p w:rsidR="0089268C" w:rsidRDefault="00C3610E">
      <w:pPr>
        <w:rPr>
          <w:szCs w:val="24"/>
        </w:rPr>
      </w:pPr>
      <w:r>
        <w:rPr>
          <w:szCs w:val="24"/>
        </w:rPr>
        <w:t xml:space="preserve">Interference aggregation should be done using power summation (i.e., in the linear or absolute domain), and hence the equation for aggregate interference from </w:t>
      </w:r>
      <w:r>
        <w:rPr>
          <w:i/>
          <w:szCs w:val="24"/>
        </w:rPr>
        <w:t>N</w:t>
      </w:r>
      <w:r>
        <w:rPr>
          <w:szCs w:val="24"/>
        </w:rPr>
        <w:t xml:space="preserve"> transmitters is:</w:t>
      </w:r>
    </w:p>
    <w:p w:rsidR="0089268C" w:rsidRDefault="00EE236C">
      <w:pPr>
        <w:pStyle w:val="Equation"/>
      </w:pPr>
      <w:r>
        <w:rPr>
          <w:iCs/>
        </w:rPr>
        <w:tab/>
      </w:r>
      <w:r>
        <w:rPr>
          <w:iCs/>
        </w:rPr>
        <w:tab/>
      </w:r>
      <m:oMath>
        <m:sSub>
          <m:sSubPr>
            <m:ctrlPr>
              <w:rPr>
                <w:rFonts w:ascii="Cambria Math" w:hAnsi="Cambria Math"/>
              </w:rPr>
            </m:ctrlPr>
          </m:sSubPr>
          <m:e>
            <m:r>
              <w:rPr>
                <w:rFonts w:ascii="Cambria Math" w:hAnsi="Cambria Math"/>
              </w:rPr>
              <m:t>i</m:t>
            </m:r>
          </m:e>
          <m:sub>
            <m:r>
              <w:rPr>
                <w:rFonts w:ascii="Cambria Math" w:hAnsi="Cambria Math"/>
              </w:rPr>
              <m:t>agg</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i</m:t>
                </m:r>
              </m:e>
              <m:sub>
                <m:r>
                  <w:rPr>
                    <w:rFonts w:ascii="Cambria Math" w:hAnsi="Cambria Math"/>
                  </w:rPr>
                  <m:t>k</m:t>
                </m:r>
              </m:sub>
            </m:sSub>
            <m:r>
              <m:rPr>
                <m:sty m:val="p"/>
              </m:rPr>
              <w:rPr>
                <w:rFonts w:ascii="Cambria Math" w:hAnsi="Cambria Math"/>
              </w:rPr>
              <m:t>=</m:t>
            </m:r>
          </m:e>
        </m:nary>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tx</m:t>
                    </m:r>
                    <m:r>
                      <m:rPr>
                        <m:sty m:val="p"/>
                      </m:rPr>
                      <w:rPr>
                        <w:rFonts w:ascii="Cambria Math" w:hAnsi="Cambria Math"/>
                      </w:rPr>
                      <m:t>,</m:t>
                    </m:r>
                    <m:r>
                      <w:rPr>
                        <w:rFonts w:ascii="Cambria Math" w:hAnsi="Cambria Math"/>
                      </w:rPr>
                      <m:t>k</m:t>
                    </m:r>
                  </m:sub>
                </m:sSub>
                <m:sSub>
                  <m:sSubPr>
                    <m:ctrlPr>
                      <w:rPr>
                        <w:rFonts w:ascii="Cambria Math" w:hAnsi="Cambria Math"/>
                      </w:rPr>
                    </m:ctrlPr>
                  </m:sSubPr>
                  <m:e>
                    <m:r>
                      <w:rPr>
                        <w:rFonts w:ascii="Cambria Math" w:hAnsi="Cambria Math"/>
                      </w:rPr>
                      <m:t>g</m:t>
                    </m:r>
                  </m:e>
                  <m:sub>
                    <m:r>
                      <w:rPr>
                        <w:rFonts w:ascii="Cambria Math" w:hAnsi="Cambria Math"/>
                      </w:rPr>
                      <m:t>tx</m:t>
                    </m:r>
                    <m:r>
                      <m:rPr>
                        <m:sty m:val="p"/>
                      </m:rPr>
                      <w:rPr>
                        <w:rFonts w:ascii="Cambria Math" w:hAnsi="Cambria Math"/>
                      </w:rPr>
                      <m:t>,</m:t>
                    </m:r>
                    <m:r>
                      <w:rPr>
                        <w:rFonts w:ascii="Cambria Math" w:hAnsi="Cambria Math"/>
                      </w:rPr>
                      <m:t>k</m:t>
                    </m:r>
                  </m:sub>
                </m:sSub>
                <m:sSub>
                  <m:sSubPr>
                    <m:ctrlPr>
                      <w:rPr>
                        <w:rFonts w:ascii="Cambria Math" w:hAnsi="Cambria Math"/>
                      </w:rPr>
                    </m:ctrlPr>
                  </m:sSubPr>
                  <m:e>
                    <m:r>
                      <w:rPr>
                        <w:rFonts w:ascii="Cambria Math" w:hAnsi="Cambria Math"/>
                      </w:rPr>
                      <m:t>g</m:t>
                    </m:r>
                  </m:e>
                  <m:sub>
                    <m:r>
                      <w:rPr>
                        <w:rFonts w:ascii="Cambria Math" w:hAnsi="Cambria Math"/>
                      </w:rPr>
                      <m:t>rx</m:t>
                    </m:r>
                    <m:r>
                      <m:rPr>
                        <m:sty m:val="p"/>
                      </m:rPr>
                      <w:rPr>
                        <w:rFonts w:ascii="Cambria Math" w:hAnsi="Cambria Math"/>
                      </w:rPr>
                      <m:t>,</m:t>
                    </m:r>
                    <m:r>
                      <w:rPr>
                        <w:rFonts w:ascii="Cambria Math" w:hAnsi="Cambria Math"/>
                      </w:rPr>
                      <m:t>k</m:t>
                    </m:r>
                  </m:sub>
                </m:sSub>
              </m:num>
              <m:den>
                <m:sSub>
                  <m:sSubPr>
                    <m:ctrlPr>
                      <w:rPr>
                        <w:rFonts w:ascii="Cambria Math" w:hAnsi="Cambria Math"/>
                      </w:rPr>
                    </m:ctrlPr>
                  </m:sSubPr>
                  <m:e>
                    <m:r>
                      <w:rPr>
                        <w:rFonts w:ascii="Cambria Math" w:hAnsi="Cambria Math"/>
                      </w:rPr>
                      <m:t>l</m:t>
                    </m:r>
                  </m:e>
                  <m:sub>
                    <m:r>
                      <w:rPr>
                        <w:rFonts w:ascii="Cambria Math" w:hAnsi="Cambria Math"/>
                      </w:rPr>
                      <m:t>path</m:t>
                    </m:r>
                    <m:r>
                      <m:rPr>
                        <m:sty m:val="p"/>
                      </m:rPr>
                      <w:rPr>
                        <w:rFonts w:ascii="Cambria Math" w:hAnsi="Cambria Math"/>
                      </w:rPr>
                      <m:t>,</m:t>
                    </m:r>
                    <m:r>
                      <w:rPr>
                        <w:rFonts w:ascii="Cambria Math" w:hAnsi="Cambria Math"/>
                      </w:rPr>
                      <m:t>k</m:t>
                    </m:r>
                  </m:sub>
                </m:sSub>
                <m:sSub>
                  <m:sSubPr>
                    <m:ctrlPr>
                      <w:rPr>
                        <w:rFonts w:ascii="Cambria Math" w:hAnsi="Cambria Math"/>
                      </w:rPr>
                    </m:ctrlPr>
                  </m:sSubPr>
                  <m:e>
                    <m:r>
                      <w:rPr>
                        <w:rFonts w:ascii="Cambria Math" w:hAnsi="Cambria Math"/>
                      </w:rPr>
                      <m:t>l</m:t>
                    </m:r>
                  </m:e>
                  <m:sub>
                    <m:r>
                      <w:rPr>
                        <w:rFonts w:ascii="Cambria Math" w:hAnsi="Cambria Math"/>
                      </w:rPr>
                      <m:t>clutter</m:t>
                    </m:r>
                    <m:r>
                      <m:rPr>
                        <m:sty m:val="p"/>
                      </m:rPr>
                      <w:rPr>
                        <w:rFonts w:ascii="Cambria Math" w:hAnsi="Cambria Math"/>
                      </w:rPr>
                      <m:t>,</m:t>
                    </m:r>
                    <m:r>
                      <w:rPr>
                        <w:rFonts w:ascii="Cambria Math" w:hAnsi="Cambria Math"/>
                      </w:rPr>
                      <m:t>k</m:t>
                    </m:r>
                  </m:sub>
                </m:sSub>
              </m:den>
            </m:f>
          </m:e>
        </m:nary>
      </m:oMath>
    </w:p>
    <w:p w:rsidR="0089268C" w:rsidRDefault="00C3610E">
      <w:pPr>
        <w:rPr>
          <w:szCs w:val="24"/>
        </w:rPr>
      </w:pPr>
      <w:r>
        <w:rPr>
          <w:szCs w:val="24"/>
        </w:rPr>
        <w:t xml:space="preserve">If the power, gains and path loss are the same for each of the </w:t>
      </w:r>
      <w:r>
        <w:rPr>
          <w:i/>
          <w:szCs w:val="24"/>
        </w:rPr>
        <w:t>N</w:t>
      </w:r>
      <w:r>
        <w:rPr>
          <w:szCs w:val="24"/>
        </w:rPr>
        <w:t xml:space="preserve"> transmitters then this is simplified to:</w:t>
      </w:r>
    </w:p>
    <w:p w:rsidR="0089268C" w:rsidRDefault="00EE236C">
      <w:pPr>
        <w:pStyle w:val="Equation"/>
      </w:pPr>
      <w:r>
        <w:rPr>
          <w:iCs/>
        </w:rPr>
        <w:tab/>
      </w:r>
      <w:r>
        <w:rPr>
          <w:iCs/>
        </w:rPr>
        <w:tab/>
      </w:r>
      <m:oMath>
        <m:sSub>
          <m:sSubPr>
            <m:ctrlPr>
              <w:rPr>
                <w:rFonts w:ascii="Cambria Math" w:hAnsi="Cambria Math"/>
              </w:rPr>
            </m:ctrlPr>
          </m:sSubPr>
          <m:e>
            <m:r>
              <w:rPr>
                <w:rFonts w:ascii="Cambria Math" w:hAnsi="Cambria Math"/>
              </w:rPr>
              <m:t>i</m:t>
            </m:r>
          </m:e>
          <m:sub>
            <m:r>
              <w:rPr>
                <w:rFonts w:ascii="Cambria Math" w:hAnsi="Cambria Math"/>
              </w:rPr>
              <m:t>agg</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tx</m:t>
                </m:r>
              </m:sub>
            </m:sSub>
            <m:sSub>
              <m:sSubPr>
                <m:ctrlPr>
                  <w:rPr>
                    <w:rFonts w:ascii="Cambria Math" w:hAnsi="Cambria Math"/>
                  </w:rPr>
                </m:ctrlPr>
              </m:sSubPr>
              <m:e>
                <m:r>
                  <w:rPr>
                    <w:rFonts w:ascii="Cambria Math" w:hAnsi="Cambria Math"/>
                  </w:rPr>
                  <m:t>g</m:t>
                </m:r>
              </m:e>
              <m:sub>
                <m:r>
                  <w:rPr>
                    <w:rFonts w:ascii="Cambria Math" w:hAnsi="Cambria Math"/>
                  </w:rPr>
                  <m:t>tx</m:t>
                </m:r>
              </m:sub>
            </m:sSub>
            <m:sSub>
              <m:sSubPr>
                <m:ctrlPr>
                  <w:rPr>
                    <w:rFonts w:ascii="Cambria Math" w:hAnsi="Cambria Math"/>
                  </w:rPr>
                </m:ctrlPr>
              </m:sSubPr>
              <m:e>
                <m:r>
                  <w:rPr>
                    <w:rFonts w:ascii="Cambria Math" w:hAnsi="Cambria Math"/>
                  </w:rPr>
                  <m:t>g</m:t>
                </m:r>
              </m:e>
              <m:sub>
                <m:r>
                  <w:rPr>
                    <w:rFonts w:ascii="Cambria Math" w:hAnsi="Cambria Math"/>
                  </w:rPr>
                  <m:t>rx</m:t>
                </m:r>
              </m:sub>
            </m:sSub>
          </m:num>
          <m:den>
            <m:sSub>
              <m:sSubPr>
                <m:ctrlPr>
                  <w:rPr>
                    <w:rFonts w:ascii="Cambria Math" w:hAnsi="Cambria Math"/>
                  </w:rPr>
                </m:ctrlPr>
              </m:sSubPr>
              <m:e>
                <m:r>
                  <w:rPr>
                    <w:rFonts w:ascii="Cambria Math" w:hAnsi="Cambria Math"/>
                  </w:rPr>
                  <m:t>l</m:t>
                </m:r>
              </m:e>
              <m:sub>
                <m:r>
                  <w:rPr>
                    <w:rFonts w:ascii="Cambria Math" w:hAnsi="Cambria Math"/>
                  </w:rPr>
                  <m:t>path</m:t>
                </m:r>
              </m:sub>
            </m:sSub>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l</m:t>
                    </m:r>
                  </m:e>
                  <m:sub>
                    <m:r>
                      <w:rPr>
                        <w:rFonts w:ascii="Cambria Math" w:hAnsi="Cambria Math"/>
                      </w:rPr>
                      <m:t>clutter</m:t>
                    </m:r>
                    <m:r>
                      <m:rPr>
                        <m:sty m:val="p"/>
                      </m:rPr>
                      <w:rPr>
                        <w:rFonts w:ascii="Cambria Math" w:hAnsi="Cambria Math"/>
                      </w:rPr>
                      <m:t>,</m:t>
                    </m:r>
                    <m:r>
                      <w:rPr>
                        <w:rFonts w:ascii="Cambria Math" w:hAnsi="Cambria Math"/>
                      </w:rPr>
                      <m:t>k</m:t>
                    </m:r>
                  </m:sub>
                </m:sSub>
              </m:den>
            </m:f>
          </m:e>
        </m:nary>
      </m:oMath>
    </w:p>
    <w:p w:rsidR="0089268C" w:rsidRDefault="00C3610E">
      <w:pPr>
        <w:rPr>
          <w:szCs w:val="24"/>
        </w:rPr>
      </w:pPr>
      <w:r>
        <w:rPr>
          <w:szCs w:val="24"/>
        </w:rPr>
        <w:t>The average of the inverse of the clutter loss is:</w:t>
      </w:r>
    </w:p>
    <w:p w:rsidR="0089268C" w:rsidRDefault="00EE236C">
      <w:pPr>
        <w:pStyle w:val="Equation"/>
      </w:pPr>
      <w:r>
        <w:rPr>
          <w:iCs/>
        </w:rPr>
        <w:tab/>
      </w:r>
      <w:r>
        <w:rPr>
          <w:iCs/>
        </w:rPr>
        <w:tab/>
      </w:r>
      <m:oMath>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l</m:t>
                </m:r>
              </m:e>
              <m:sub>
                <m:r>
                  <w:rPr>
                    <w:rFonts w:ascii="Cambria Math" w:hAnsi="Cambria Math"/>
                  </w:rPr>
                  <m:t>clutter</m:t>
                </m:r>
                <m:r>
                  <m:rPr>
                    <m:sty m:val="p"/>
                  </m:rPr>
                  <w:rPr>
                    <w:rFonts w:ascii="Cambria Math" w:hAnsi="Cambria Math"/>
                  </w:rPr>
                  <m:t>,</m:t>
                </m:r>
                <m:r>
                  <w:rPr>
                    <w:rFonts w:ascii="Cambria Math" w:hAnsi="Cambria Math"/>
                  </w:rPr>
                  <m:t>avg</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l</m:t>
                    </m:r>
                  </m:e>
                  <m:sub>
                    <m:r>
                      <w:rPr>
                        <w:rFonts w:ascii="Cambria Math" w:hAnsi="Cambria Math"/>
                      </w:rPr>
                      <m:t>clutter</m:t>
                    </m:r>
                    <m:r>
                      <m:rPr>
                        <m:sty m:val="p"/>
                      </m:rPr>
                      <w:rPr>
                        <w:rFonts w:ascii="Cambria Math" w:hAnsi="Cambria Math"/>
                      </w:rPr>
                      <m:t>,</m:t>
                    </m:r>
                    <m:r>
                      <w:rPr>
                        <w:rFonts w:ascii="Cambria Math" w:hAnsi="Cambria Math"/>
                      </w:rPr>
                      <m:t>k</m:t>
                    </m:r>
                  </m:sub>
                </m:sSub>
              </m:den>
            </m:f>
          </m:e>
        </m:nary>
      </m:oMath>
    </w:p>
    <w:p w:rsidR="0089268C" w:rsidRDefault="00C3610E">
      <w:pPr>
        <w:rPr>
          <w:szCs w:val="24"/>
        </w:rPr>
      </w:pPr>
      <w:r>
        <w:rPr>
          <w:szCs w:val="24"/>
        </w:rPr>
        <w:t>Thus:</w:t>
      </w:r>
    </w:p>
    <w:p w:rsidR="0089268C" w:rsidRDefault="00EE236C">
      <w:pPr>
        <w:pStyle w:val="Equation"/>
      </w:pPr>
      <w:r>
        <w:rPr>
          <w:iCs/>
        </w:rPr>
        <w:tab/>
      </w:r>
      <w:r>
        <w:rPr>
          <w:iCs/>
        </w:rPr>
        <w:tab/>
      </w:r>
      <m:oMath>
        <m:sSub>
          <m:sSubPr>
            <m:ctrlPr>
              <w:rPr>
                <w:rFonts w:ascii="Cambria Math" w:hAnsi="Cambria Math"/>
              </w:rPr>
            </m:ctrlPr>
          </m:sSubPr>
          <m:e>
            <m:r>
              <w:rPr>
                <w:rFonts w:ascii="Cambria Math" w:hAnsi="Cambria Math"/>
              </w:rPr>
              <m:t>l</m:t>
            </m:r>
          </m:e>
          <m:sub>
            <m:r>
              <w:rPr>
                <w:rFonts w:ascii="Cambria Math" w:hAnsi="Cambria Math"/>
              </w:rPr>
              <m:t>clutter</m:t>
            </m:r>
            <m:r>
              <m:rPr>
                <m:sty m:val="p"/>
              </m:rPr>
              <w:rPr>
                <w:rFonts w:ascii="Cambria Math" w:hAnsi="Cambria Math"/>
              </w:rPr>
              <m:t>,</m:t>
            </m:r>
            <m:r>
              <w:rPr>
                <w:rFonts w:ascii="Cambria Math" w:hAnsi="Cambria Math"/>
              </w:rPr>
              <m:t>avg</m:t>
            </m:r>
          </m:sub>
        </m:sSub>
        <m:r>
          <m:rPr>
            <m:sty m:val="p"/>
          </m:rPr>
          <w:rPr>
            <w:rFonts w:ascii="Cambria Math" w:hAnsi="Cambria Math"/>
          </w:rPr>
          <m:t>=</m:t>
        </m:r>
        <m:f>
          <m:fPr>
            <m:ctrlPr>
              <w:rPr>
                <w:rFonts w:ascii="Cambria Math" w:hAnsi="Cambria Math"/>
              </w:rPr>
            </m:ctrlPr>
          </m:fPr>
          <m:num>
            <m:r>
              <w:rPr>
                <w:rFonts w:ascii="Cambria Math" w:hAnsi="Cambria Math"/>
              </w:rPr>
              <m:t>N</m:t>
            </m:r>
          </m:num>
          <m:den>
            <m:nary>
              <m:naryPr>
                <m:chr m:val="∑"/>
                <m:limLoc m:val="undOvr"/>
                <m:ctrlPr>
                  <w:rPr>
                    <w:rFonts w:ascii="Cambria Math" w:hAnsi="Cambria Math"/>
                  </w:rPr>
                </m:ctrlPr>
              </m:naryPr>
              <m:sub>
                <m:r>
                  <w:rPr>
                    <w:rFonts w:ascii="Cambria Math" w:hAnsi="Cambria Math"/>
                  </w:rPr>
                  <m:t>k</m:t>
                </m:r>
                <m:r>
                  <m:rPr>
                    <m:sty m:val="p"/>
                  </m:rPr>
                  <w:rPr>
                    <w:rFonts w:ascii="Cambria Math" w:hAnsi="Cambria Math"/>
                  </w:rPr>
                  <m:t>=1</m:t>
                </m:r>
              </m:sub>
              <m:sup>
                <m:r>
                  <w:rPr>
                    <w:rFonts w:ascii="Cambria Math" w:hAnsi="Cambria Math"/>
                  </w:rPr>
                  <m:t>N</m:t>
                </m:r>
              </m:sup>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l</m:t>
                        </m:r>
                      </m:e>
                      <m:sub>
                        <m:r>
                          <w:rPr>
                            <w:rFonts w:ascii="Cambria Math" w:hAnsi="Cambria Math"/>
                          </w:rPr>
                          <m:t>clutter</m:t>
                        </m:r>
                        <m:r>
                          <m:rPr>
                            <m:sty m:val="p"/>
                          </m:rPr>
                          <w:rPr>
                            <w:rFonts w:ascii="Cambria Math" w:hAnsi="Cambria Math"/>
                          </w:rPr>
                          <m:t>,</m:t>
                        </m:r>
                        <m:r>
                          <w:rPr>
                            <w:rFonts w:ascii="Cambria Math" w:hAnsi="Cambria Math"/>
                          </w:rPr>
                          <m:t>k</m:t>
                        </m:r>
                      </m:sub>
                    </m:sSub>
                  </m:den>
                </m:f>
              </m:e>
            </m:nary>
          </m:den>
        </m:f>
      </m:oMath>
    </w:p>
    <w:p w:rsidR="0089268C" w:rsidRDefault="00C3610E">
      <w:pPr>
        <w:rPr>
          <w:szCs w:val="24"/>
        </w:rPr>
      </w:pPr>
      <w:r>
        <w:rPr>
          <w:szCs w:val="24"/>
        </w:rPr>
        <w:t>This is the average over the sample. As the number of transmitters increases this will tend towards the average over the population. Hence for large numbers it is acceptable to use the average over the population as representative of the average of the sample.</w:t>
      </w:r>
    </w:p>
    <w:p w:rsidR="0089268C" w:rsidRDefault="00C3610E">
      <w:r>
        <w:rPr>
          <w:szCs w:val="24"/>
        </w:rPr>
        <w:t>The aggregate interference from N transmitters is then:</w:t>
      </w:r>
    </w:p>
    <w:p w:rsidR="0089268C" w:rsidRDefault="00E122B7">
      <w:pPr>
        <w:pStyle w:val="Equation"/>
      </w:pPr>
      <w:r>
        <w:rPr>
          <w:iCs/>
        </w:rPr>
        <w:tab/>
      </w:r>
      <w:r>
        <w:rPr>
          <w:iCs/>
        </w:rPr>
        <w:tab/>
      </w:r>
      <m:oMath>
        <m:sSub>
          <m:sSubPr>
            <m:ctrlPr>
              <w:rPr>
                <w:rFonts w:ascii="Cambria Math" w:hAnsi="Cambria Math"/>
              </w:rPr>
            </m:ctrlPr>
          </m:sSubPr>
          <m:e>
            <m:r>
              <w:rPr>
                <w:rFonts w:ascii="Cambria Math" w:hAnsi="Cambria Math"/>
              </w:rPr>
              <m:t>i</m:t>
            </m:r>
          </m:e>
          <m:sub>
            <m:r>
              <w:rPr>
                <w:rFonts w:ascii="Cambria Math" w:hAnsi="Cambria Math"/>
              </w:rPr>
              <m:t>agg</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tx</m:t>
                </m:r>
              </m:sub>
            </m:sSub>
            <m:sSub>
              <m:sSubPr>
                <m:ctrlPr>
                  <w:rPr>
                    <w:rFonts w:ascii="Cambria Math" w:hAnsi="Cambria Math"/>
                  </w:rPr>
                </m:ctrlPr>
              </m:sSubPr>
              <m:e>
                <m:r>
                  <w:rPr>
                    <w:rFonts w:ascii="Cambria Math" w:hAnsi="Cambria Math"/>
                  </w:rPr>
                  <m:t>g</m:t>
                </m:r>
              </m:e>
              <m:sub>
                <m:r>
                  <w:rPr>
                    <w:rFonts w:ascii="Cambria Math" w:hAnsi="Cambria Math"/>
                  </w:rPr>
                  <m:t>tx</m:t>
                </m:r>
              </m:sub>
            </m:sSub>
            <m:sSub>
              <m:sSubPr>
                <m:ctrlPr>
                  <w:rPr>
                    <w:rFonts w:ascii="Cambria Math" w:hAnsi="Cambria Math"/>
                  </w:rPr>
                </m:ctrlPr>
              </m:sSubPr>
              <m:e>
                <m:r>
                  <w:rPr>
                    <w:rFonts w:ascii="Cambria Math" w:hAnsi="Cambria Math"/>
                  </w:rPr>
                  <m:t>g</m:t>
                </m:r>
              </m:e>
              <m:sub>
                <m:r>
                  <w:rPr>
                    <w:rFonts w:ascii="Cambria Math" w:hAnsi="Cambria Math"/>
                  </w:rPr>
                  <m:t>rx</m:t>
                </m:r>
              </m:sub>
            </m:sSub>
          </m:num>
          <m:den>
            <m:sSub>
              <m:sSubPr>
                <m:ctrlPr>
                  <w:rPr>
                    <w:rFonts w:ascii="Cambria Math" w:hAnsi="Cambria Math"/>
                  </w:rPr>
                </m:ctrlPr>
              </m:sSubPr>
              <m:e>
                <m:r>
                  <w:rPr>
                    <w:rFonts w:ascii="Cambria Math" w:hAnsi="Cambria Math"/>
                  </w:rPr>
                  <m:t>l</m:t>
                </m:r>
              </m:e>
              <m:sub>
                <m:r>
                  <w:rPr>
                    <w:rFonts w:ascii="Cambria Math" w:hAnsi="Cambria Math"/>
                  </w:rPr>
                  <m:t>path</m:t>
                </m:r>
              </m:sub>
            </m:sSub>
          </m:den>
        </m:f>
        <m:r>
          <m:rPr>
            <m:sty m:val="p"/>
          </m:rPr>
          <w:rPr>
            <w:rFonts w:ascii="Cambria Math" w:hAnsi="Cambria Math"/>
          </w:rPr>
          <m:t>.</m:t>
        </m:r>
        <m:f>
          <m:fPr>
            <m:ctrlPr>
              <w:rPr>
                <w:rFonts w:ascii="Cambria Math" w:hAnsi="Cambria Math"/>
              </w:rPr>
            </m:ctrlPr>
          </m:fPr>
          <m:num>
            <m:r>
              <w:rPr>
                <w:rFonts w:ascii="Cambria Math" w:hAnsi="Cambria Math"/>
              </w:rPr>
              <m:t>N</m:t>
            </m:r>
          </m:num>
          <m:den>
            <m:sSub>
              <m:sSubPr>
                <m:ctrlPr>
                  <w:rPr>
                    <w:rFonts w:ascii="Cambria Math" w:hAnsi="Cambria Math"/>
                  </w:rPr>
                </m:ctrlPr>
              </m:sSubPr>
              <m:e>
                <m:r>
                  <w:rPr>
                    <w:rFonts w:ascii="Cambria Math" w:hAnsi="Cambria Math"/>
                  </w:rPr>
                  <m:t>l</m:t>
                </m:r>
              </m:e>
              <m:sub>
                <m:r>
                  <w:rPr>
                    <w:rFonts w:ascii="Cambria Math" w:hAnsi="Cambria Math"/>
                  </w:rPr>
                  <m:t>clutter</m:t>
                </m:r>
                <m:r>
                  <m:rPr>
                    <m:sty m:val="p"/>
                  </m:rPr>
                  <w:rPr>
                    <w:rFonts w:ascii="Cambria Math" w:hAnsi="Cambria Math"/>
                  </w:rPr>
                  <m:t>,</m:t>
                </m:r>
                <m:r>
                  <w:rPr>
                    <w:rFonts w:ascii="Cambria Math" w:hAnsi="Cambria Math"/>
                  </w:rPr>
                  <m:t>avg</m:t>
                </m:r>
              </m:sub>
            </m:sSub>
          </m:den>
        </m:f>
      </m:oMath>
    </w:p>
    <w:p w:rsidR="0089268C" w:rsidRDefault="00C3610E">
      <w:pPr>
        <w:rPr>
          <w:szCs w:val="24"/>
        </w:rPr>
      </w:pPr>
      <w:r>
        <w:rPr>
          <w:szCs w:val="24"/>
        </w:rPr>
        <w:t>In dB this is:</w:t>
      </w:r>
    </w:p>
    <w:p w:rsidR="0089268C" w:rsidRDefault="00E122B7">
      <w:pPr>
        <w:pStyle w:val="Equation"/>
      </w:pPr>
      <w:r>
        <w:rPr>
          <w:iCs/>
        </w:rPr>
        <w:tab/>
      </w:r>
      <w:r>
        <w:rPr>
          <w:iCs/>
        </w:rPr>
        <w:tab/>
      </w:r>
      <m:oMath>
        <m:sSub>
          <m:sSubPr>
            <m:ctrlPr>
              <w:rPr>
                <w:rFonts w:ascii="Cambria Math" w:hAnsi="Cambria Math"/>
              </w:rPr>
            </m:ctrlPr>
          </m:sSubPr>
          <m:e>
            <m:r>
              <w:rPr>
                <w:rFonts w:ascii="Cambria Math" w:hAnsi="Cambria Math"/>
              </w:rPr>
              <m:t>I</m:t>
            </m:r>
          </m:e>
          <m:sub>
            <m:r>
              <w:rPr>
                <w:rFonts w:ascii="Cambria Math" w:hAnsi="Cambria Math"/>
              </w:rPr>
              <m:t>agg</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path</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clutter</m:t>
            </m:r>
            <m:r>
              <m:rPr>
                <m:sty m:val="p"/>
              </m:rPr>
              <w:rPr>
                <w:rFonts w:ascii="Cambria Math" w:hAnsi="Cambria Math"/>
              </w:rPr>
              <m:t>,</m:t>
            </m:r>
            <m:r>
              <w:rPr>
                <w:rFonts w:ascii="Cambria Math" w:hAnsi="Cambria Math"/>
              </w:rPr>
              <m:t>avg</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rx</m:t>
            </m:r>
          </m:sub>
        </m:sSub>
        <m:r>
          <m:rPr>
            <m:sty m:val="p"/>
          </m:rPr>
          <w:rPr>
            <w:rFonts w:ascii="Cambria Math" w:hAnsi="Cambria Math"/>
          </w:rPr>
          <m:t>+10</m:t>
        </m:r>
        <m:sSub>
          <m:sSubPr>
            <m:ctrlPr>
              <w:rPr>
                <w:rFonts w:ascii="Cambria Math" w:hAnsi="Cambria Math"/>
              </w:rPr>
            </m:ctrlPr>
          </m:sSubPr>
          <m:e>
            <m:r>
              <w:rPr>
                <w:rFonts w:ascii="Cambria Math" w:hAnsi="Cambria Math"/>
              </w:rPr>
              <m:t>log</m:t>
            </m:r>
          </m:e>
          <m:sub>
            <m:r>
              <m:rPr>
                <m:sty m:val="p"/>
              </m:rPr>
              <w:rPr>
                <w:rFonts w:ascii="Cambria Math" w:hAnsi="Cambria Math"/>
              </w:rPr>
              <m:t>10</m:t>
            </m:r>
          </m:sub>
        </m:sSub>
        <m:r>
          <w:rPr>
            <w:rFonts w:ascii="Cambria Math" w:hAnsi="Cambria Math"/>
          </w:rPr>
          <m:t>N</m:t>
        </m:r>
      </m:oMath>
    </w:p>
    <w:p w:rsidR="0089268C" w:rsidRDefault="00C3610E">
      <w:pPr>
        <w:rPr>
          <w:lang w:val="en-US" w:eastAsia="zh-CN"/>
        </w:rPr>
      </w:pPr>
      <w:r>
        <w:rPr>
          <w:lang w:val="en-US" w:eastAsia="zh-CN"/>
        </w:rPr>
        <w:lastRenderedPageBreak/>
        <w:t>A plot of the average clutter loss versus elevation angle from the horizontal is shown in Figure 1.</w:t>
      </w:r>
    </w:p>
    <w:p w:rsidR="0089268C" w:rsidRDefault="00C3610E" w:rsidP="00222266">
      <w:pPr>
        <w:pStyle w:val="Figure"/>
      </w:pPr>
      <w:r w:rsidRPr="001E7D0F">
        <w:rPr>
          <w:lang w:val="en-GB"/>
        </w:rPr>
        <w:drawing>
          <wp:inline distT="0" distB="0" distL="0" distR="0">
            <wp:extent cx="5943600" cy="4318000"/>
            <wp:effectExtent l="0" t="0" r="19050" b="25400"/>
            <wp:docPr id="1229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9268C" w:rsidRDefault="00C3610E" w:rsidP="00C720B2">
      <w:pPr>
        <w:pStyle w:val="Heading6"/>
        <w:rPr>
          <w:lang w:val="en-US" w:eastAsia="zh-CN"/>
        </w:rPr>
      </w:pPr>
      <w:r>
        <w:rPr>
          <w:lang w:val="en-US" w:eastAsia="zh-CN"/>
        </w:rPr>
        <w:t>5.1.3.</w:t>
      </w:r>
      <w:r w:rsidR="00C720B2">
        <w:rPr>
          <w:lang w:val="en-US" w:eastAsia="zh-CN"/>
        </w:rPr>
        <w:t>1</w:t>
      </w:r>
      <w:r>
        <w:rPr>
          <w:lang w:val="en-US" w:eastAsia="zh-CN"/>
        </w:rPr>
        <w:t>.1.2</w:t>
      </w:r>
      <w:r>
        <w:rPr>
          <w:lang w:val="en-US" w:eastAsia="zh-CN"/>
        </w:rPr>
        <w:tab/>
        <w:t>Building Entry Loss</w:t>
      </w:r>
    </w:p>
    <w:p w:rsidR="0089268C" w:rsidRDefault="00C3610E">
      <w:pPr>
        <w:rPr>
          <w:lang w:val="en-US" w:eastAsia="zh-CN"/>
        </w:rPr>
      </w:pPr>
      <w:r>
        <w:rPr>
          <w:lang w:val="en-US" w:eastAsia="zh-CN"/>
        </w:rPr>
        <w:t>The building entry loss (BEL) was computed based on the guidance provided in Recommendation ITU-R P.2109. The median building entry loss was used for all indoor RLANs. A plot of the building entry loss (BEL) is shown in Figure 2.</w:t>
      </w:r>
    </w:p>
    <w:p w:rsidR="0089268C" w:rsidRDefault="00C3610E" w:rsidP="00222266">
      <w:pPr>
        <w:pStyle w:val="Figure"/>
      </w:pPr>
      <w:r w:rsidRPr="001E7D0F">
        <w:rPr>
          <w:lang w:val="en-GB"/>
        </w:rPr>
        <w:lastRenderedPageBreak/>
        <w:drawing>
          <wp:inline distT="0" distB="0" distL="0" distR="0">
            <wp:extent cx="5943600" cy="4310743"/>
            <wp:effectExtent l="0" t="0" r="0" b="0"/>
            <wp:docPr id="12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3600" cy="4310743"/>
                    </a:xfrm>
                    <a:prstGeom prst="rect">
                      <a:avLst/>
                    </a:prstGeom>
                    <a:noFill/>
                    <a:ln>
                      <a:noFill/>
                    </a:ln>
                  </pic:spPr>
                </pic:pic>
              </a:graphicData>
            </a:graphic>
          </wp:inline>
        </w:drawing>
      </w:r>
    </w:p>
    <w:p w:rsidR="0089268C" w:rsidRDefault="00C3610E" w:rsidP="00C720B2">
      <w:pPr>
        <w:pStyle w:val="Heading6"/>
        <w:rPr>
          <w:lang w:val="en-US" w:eastAsia="zh-CN"/>
        </w:rPr>
      </w:pPr>
      <w:r>
        <w:rPr>
          <w:lang w:val="en-US" w:eastAsia="zh-CN"/>
        </w:rPr>
        <w:t>5.1.3.</w:t>
      </w:r>
      <w:r w:rsidR="00C720B2">
        <w:rPr>
          <w:lang w:val="en-US" w:eastAsia="zh-CN"/>
        </w:rPr>
        <w:t>1</w:t>
      </w:r>
      <w:r>
        <w:rPr>
          <w:lang w:val="en-US" w:eastAsia="zh-CN"/>
        </w:rPr>
        <w:t>.1.3</w:t>
      </w:r>
      <w:r>
        <w:rPr>
          <w:lang w:val="en-US" w:eastAsia="zh-CN"/>
        </w:rPr>
        <w:tab/>
        <w:t>RLAN Transmitter Power</w:t>
      </w:r>
    </w:p>
    <w:p w:rsidR="0089268C" w:rsidRDefault="00C3610E">
      <w:pPr>
        <w:rPr>
          <w:lang w:val="en-US" w:eastAsia="zh-CN"/>
        </w:rPr>
      </w:pPr>
      <w:r>
        <w:rPr>
          <w:lang w:val="en-US" w:eastAsia="zh-CN"/>
        </w:rPr>
        <w:t xml:space="preserve">The power output for each pseudo-station that simulates either the urban or rural population of WAS/RLAN devices is determined using the average RLAN power output and the RLAN density per inhabitant (given in the next section) multiplied by the number of inhabitants of each country that live in either the urban or rural portion of that country. Population data was obtained from data on the Internet (see </w:t>
      </w:r>
      <w:hyperlink r:id="rId67" w:history="1">
        <w:r>
          <w:rPr>
            <w:rStyle w:val="Hyperlink"/>
            <w:lang w:val="en-US" w:eastAsia="zh-CN"/>
          </w:rPr>
          <w:t>www.worldometers.info/population/countries-in-europe-by-population</w:t>
        </w:r>
      </w:hyperlink>
      <w:r>
        <w:rPr>
          <w:lang w:val="en-US" w:eastAsia="zh-CN"/>
        </w:rPr>
        <w:t xml:space="preserve">.  </w:t>
      </w:r>
    </w:p>
    <w:p w:rsidR="0089268C" w:rsidRDefault="00C3610E" w:rsidP="00C720B2">
      <w:pPr>
        <w:pStyle w:val="Heading6"/>
        <w:rPr>
          <w:lang w:val="en-US" w:eastAsia="zh-CN"/>
        </w:rPr>
      </w:pPr>
      <w:r>
        <w:rPr>
          <w:lang w:val="en-US" w:eastAsia="zh-CN"/>
        </w:rPr>
        <w:t>5.1.3.</w:t>
      </w:r>
      <w:r w:rsidR="00C720B2">
        <w:rPr>
          <w:lang w:val="en-US" w:eastAsia="zh-CN"/>
        </w:rPr>
        <w:t>1</w:t>
      </w:r>
      <w:r>
        <w:rPr>
          <w:lang w:val="en-US" w:eastAsia="zh-CN"/>
        </w:rPr>
        <w:t>.2</w:t>
      </w:r>
      <w:r>
        <w:rPr>
          <w:lang w:val="en-US" w:eastAsia="zh-CN"/>
        </w:rPr>
        <w:tab/>
        <w:t>WAS/RLAN Parameters</w:t>
      </w:r>
    </w:p>
    <w:p w:rsidR="0089268C" w:rsidRDefault="00C3610E">
      <w:pPr>
        <w:rPr>
          <w:lang w:val="en-US" w:eastAsia="zh-CN"/>
        </w:rPr>
      </w:pPr>
      <w:r>
        <w:rPr>
          <w:lang w:val="en-US" w:eastAsia="zh-CN"/>
        </w:rPr>
        <w:t xml:space="preserve">The parameters of WAS/RLANs used in the computer simulation were based on Annex 27 to Document 5A/469. As mentioned in the previous section, the parameters chosen for the RLAN transmitters are consistent with those given in Section 3 of Annex 27 of 5A/469. </w:t>
      </w:r>
    </w:p>
    <w:p w:rsidR="0089268C" w:rsidRDefault="00C3610E">
      <w:pPr>
        <w:rPr>
          <w:lang w:val="en-US" w:eastAsia="zh-CN"/>
        </w:rPr>
      </w:pPr>
      <w:r>
        <w:rPr>
          <w:lang w:val="en-US" w:eastAsia="zh-CN"/>
        </w:rPr>
        <w:t>[Editor’s Note: Further discussion on the text below is needed at next meeting.]</w:t>
      </w:r>
    </w:p>
    <w:p w:rsidR="0089268C" w:rsidRDefault="00C3610E">
      <w:pPr>
        <w:rPr>
          <w:lang w:val="en-US" w:eastAsia="zh-CN"/>
        </w:rPr>
      </w:pPr>
      <w:r>
        <w:rPr>
          <w:lang w:val="en-US" w:eastAsia="zh-CN"/>
        </w:rPr>
        <w:t>Under the current Radio Regulations, restricting RLAN deployment to indoors, the e.i.r.p. distribution given in Annex 27 yields an average e.i.r.p. of -11 dBW. One Administration has suggested that RLAN transmitters be authorized to use an e.i.r.p. of +6 dBW. Substituting this high power RLAN transmitter for the currently authorized 200 mW (-7 dBW) transmitter changes the average e.i.r.p. Simulations involving outdoor RLAN transmitters assumed that the 200 mW transmitters shown in TABLE 2A of 5A/469 (Annex 27) were replaced by higher power, outdoor deployed transmitters. Since the outdoor deployment percentages were lower than 19%, a smaller percentage of 200 mW transmitters was retained in the distribution of transmitters and the computation of the average e.i.r.p.. This smaller percentage was equal to the difference between 19% and the percentage of outdoor deployed RLAN transmitters.</w:t>
      </w:r>
    </w:p>
    <w:p w:rsidR="0089268C" w:rsidRDefault="00C3610E">
      <w:pPr>
        <w:rPr>
          <w:lang w:val="en-US" w:eastAsia="zh-CN"/>
        </w:rPr>
      </w:pPr>
      <w:r>
        <w:rPr>
          <w:lang w:val="en-US" w:eastAsia="zh-CN"/>
        </w:rPr>
        <w:lastRenderedPageBreak/>
        <w:t xml:space="preserve">Two different RLAN antenna patterns were used in the simulation. For indoor RLAN transmitters, an omni-directional pattern with a gain of -2 dBi in all directions was used. This type of antenna is referenced in section 3.5 of Document 5A/469 (Annex 27). For the outdoor RLAN transmitters with 6 dBW e.i.r.p., the antenna pattern shown in Figure 3 below was used. This pattern is derived from commercially available omni-directional antennas with 6 dBi gain. </w:t>
      </w:r>
    </w:p>
    <w:p w:rsidR="0089268C" w:rsidRDefault="00C3610E" w:rsidP="00222266">
      <w:pPr>
        <w:pStyle w:val="Figure"/>
      </w:pPr>
      <w:r w:rsidRPr="001E7D0F">
        <w:rPr>
          <w:lang w:val="en-GB"/>
        </w:rPr>
        <w:drawing>
          <wp:inline distT="0" distB="0" distL="0" distR="0">
            <wp:extent cx="5943600" cy="4318000"/>
            <wp:effectExtent l="0" t="0" r="19050" b="25400"/>
            <wp:docPr id="1229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9268C" w:rsidRDefault="00C3610E" w:rsidP="00222266">
      <w:pPr>
        <w:spacing w:after="240"/>
        <w:rPr>
          <w:lang w:val="en-US" w:eastAsia="zh-CN"/>
        </w:rPr>
      </w:pPr>
      <w:r>
        <w:rPr>
          <w:lang w:val="en-US" w:eastAsia="zh-CN"/>
        </w:rPr>
        <w:t>For the simulation presented here, the pertinent factors are summarized:</w:t>
      </w:r>
    </w:p>
    <w:tbl>
      <w:tblPr>
        <w:tblStyle w:val="TableGrid"/>
        <w:tblW w:w="0" w:type="auto"/>
        <w:tblLook w:val="04A0" w:firstRow="1" w:lastRow="0" w:firstColumn="1" w:lastColumn="0" w:noHBand="0" w:noVBand="1"/>
      </w:tblPr>
      <w:tblGrid>
        <w:gridCol w:w="1915"/>
        <w:gridCol w:w="1915"/>
        <w:gridCol w:w="1915"/>
        <w:gridCol w:w="1915"/>
        <w:gridCol w:w="1916"/>
      </w:tblGrid>
      <w:tr w:rsidR="0089268C">
        <w:tc>
          <w:tcPr>
            <w:tcW w:w="1915" w:type="dxa"/>
          </w:tcPr>
          <w:p w:rsidR="0089268C" w:rsidRDefault="00C3610E">
            <w:pPr>
              <w:pStyle w:val="Tablehead"/>
              <w:rPr>
                <w:lang w:val="en-US" w:eastAsia="zh-CN"/>
              </w:rPr>
            </w:pPr>
            <w:r>
              <w:rPr>
                <w:lang w:val="en-US" w:eastAsia="zh-CN"/>
              </w:rPr>
              <w:t>Case under study</w:t>
            </w:r>
          </w:p>
        </w:tc>
        <w:tc>
          <w:tcPr>
            <w:tcW w:w="1915" w:type="dxa"/>
          </w:tcPr>
          <w:p w:rsidR="0089268C" w:rsidRDefault="00C3610E">
            <w:pPr>
              <w:pStyle w:val="Tablehead"/>
              <w:rPr>
                <w:lang w:val="en-US" w:eastAsia="zh-CN"/>
              </w:rPr>
            </w:pPr>
            <w:r>
              <w:rPr>
                <w:lang w:val="en-US" w:eastAsia="zh-CN"/>
              </w:rPr>
              <w:t>Receiver</w:t>
            </w:r>
            <w:r>
              <w:rPr>
                <w:lang w:val="en-US" w:eastAsia="zh-CN"/>
              </w:rPr>
              <w:br/>
              <w:t>Bandwidth</w:t>
            </w:r>
          </w:p>
          <w:p w:rsidR="0089268C" w:rsidRDefault="00C3610E">
            <w:pPr>
              <w:pStyle w:val="Tablehead"/>
              <w:rPr>
                <w:lang w:val="en-US" w:eastAsia="zh-CN"/>
              </w:rPr>
            </w:pPr>
            <w:r>
              <w:rPr>
                <w:lang w:val="en-US" w:eastAsia="zh-CN"/>
              </w:rPr>
              <w:t>(MHz)</w:t>
            </w:r>
          </w:p>
        </w:tc>
        <w:tc>
          <w:tcPr>
            <w:tcW w:w="1915" w:type="dxa"/>
          </w:tcPr>
          <w:p w:rsidR="0089268C" w:rsidRDefault="00C3610E">
            <w:pPr>
              <w:pStyle w:val="Tablehead"/>
              <w:rPr>
                <w:lang w:val="en-US" w:eastAsia="zh-CN"/>
              </w:rPr>
            </w:pPr>
            <w:r>
              <w:rPr>
                <w:lang w:val="en-US" w:eastAsia="zh-CN"/>
              </w:rPr>
              <w:t>Overlapping</w:t>
            </w:r>
            <w:r>
              <w:rPr>
                <w:lang w:val="en-US" w:eastAsia="zh-CN"/>
              </w:rPr>
              <w:br/>
              <w:t>Factor</w:t>
            </w:r>
          </w:p>
        </w:tc>
        <w:tc>
          <w:tcPr>
            <w:tcW w:w="1915" w:type="dxa"/>
          </w:tcPr>
          <w:p w:rsidR="0089268C" w:rsidRDefault="00C3610E">
            <w:pPr>
              <w:pStyle w:val="Tablehead"/>
              <w:rPr>
                <w:lang w:val="en-US" w:eastAsia="zh-CN"/>
              </w:rPr>
            </w:pPr>
            <w:r>
              <w:rPr>
                <w:lang w:val="en-US" w:eastAsia="zh-CN"/>
              </w:rPr>
              <w:t>Resulting density</w:t>
            </w:r>
            <w:r>
              <w:rPr>
                <w:lang w:val="en-US" w:eastAsia="zh-CN"/>
              </w:rPr>
              <w:br/>
              <w:t>(RLAN/inhab.)</w:t>
            </w:r>
          </w:p>
        </w:tc>
        <w:tc>
          <w:tcPr>
            <w:tcW w:w="1916" w:type="dxa"/>
          </w:tcPr>
          <w:p w:rsidR="0089268C" w:rsidRDefault="00C3610E">
            <w:pPr>
              <w:pStyle w:val="Tablehead"/>
              <w:rPr>
                <w:lang w:val="en-US" w:eastAsia="zh-CN"/>
              </w:rPr>
            </w:pPr>
            <w:r>
              <w:rPr>
                <w:lang w:val="en-US" w:eastAsia="zh-CN"/>
              </w:rPr>
              <w:t>Average</w:t>
            </w:r>
            <w:r>
              <w:rPr>
                <w:lang w:val="en-US" w:eastAsia="zh-CN"/>
              </w:rPr>
              <w:br/>
              <w:t>Bandwidth Factor</w:t>
            </w:r>
          </w:p>
        </w:tc>
      </w:tr>
      <w:tr w:rsidR="0089268C">
        <w:tc>
          <w:tcPr>
            <w:tcW w:w="1915" w:type="dxa"/>
          </w:tcPr>
          <w:p w:rsidR="0089268C" w:rsidRDefault="00C3610E" w:rsidP="00222266">
            <w:pPr>
              <w:pStyle w:val="Tabletext"/>
              <w:rPr>
                <w:lang w:val="en-US" w:eastAsia="zh-CN"/>
              </w:rPr>
            </w:pPr>
            <w:r>
              <w:rPr>
                <w:lang w:val="en-US" w:eastAsia="zh-CN"/>
              </w:rPr>
              <w:t>MSS Feeder Links</w:t>
            </w:r>
          </w:p>
        </w:tc>
        <w:tc>
          <w:tcPr>
            <w:tcW w:w="1915" w:type="dxa"/>
          </w:tcPr>
          <w:p w:rsidR="0089268C" w:rsidRDefault="00C3610E" w:rsidP="00222266">
            <w:pPr>
              <w:pStyle w:val="Tabletext"/>
              <w:jc w:val="center"/>
              <w:rPr>
                <w:lang w:val="en-US" w:eastAsia="zh-CN"/>
              </w:rPr>
            </w:pPr>
            <w:r>
              <w:rPr>
                <w:lang w:val="en-US" w:eastAsia="zh-CN"/>
              </w:rPr>
              <w:t>19.38</w:t>
            </w:r>
          </w:p>
        </w:tc>
        <w:tc>
          <w:tcPr>
            <w:tcW w:w="1915" w:type="dxa"/>
          </w:tcPr>
          <w:p w:rsidR="0089268C" w:rsidRDefault="00C3610E" w:rsidP="00222266">
            <w:pPr>
              <w:pStyle w:val="Tabletext"/>
              <w:jc w:val="center"/>
              <w:rPr>
                <w:lang w:val="en-US" w:eastAsia="zh-CN"/>
              </w:rPr>
            </w:pPr>
            <w:r>
              <w:rPr>
                <w:lang w:val="en-US" w:eastAsia="zh-CN"/>
              </w:rPr>
              <w:t>14.0%</w:t>
            </w:r>
          </w:p>
        </w:tc>
        <w:tc>
          <w:tcPr>
            <w:tcW w:w="1915" w:type="dxa"/>
          </w:tcPr>
          <w:p w:rsidR="0089268C" w:rsidRDefault="00C3610E" w:rsidP="00222266">
            <w:pPr>
              <w:pStyle w:val="Tabletext"/>
              <w:jc w:val="center"/>
              <w:rPr>
                <w:lang w:val="en-US" w:eastAsia="zh-CN"/>
              </w:rPr>
            </w:pPr>
            <w:r>
              <w:rPr>
                <w:lang w:val="en-US" w:eastAsia="zh-CN"/>
              </w:rPr>
              <w:t>0.0038</w:t>
            </w:r>
          </w:p>
        </w:tc>
        <w:tc>
          <w:tcPr>
            <w:tcW w:w="1916" w:type="dxa"/>
          </w:tcPr>
          <w:p w:rsidR="0089268C" w:rsidRDefault="00C3610E" w:rsidP="00222266">
            <w:pPr>
              <w:pStyle w:val="Tabletext"/>
              <w:jc w:val="center"/>
              <w:rPr>
                <w:lang w:val="en-US" w:eastAsia="zh-CN"/>
              </w:rPr>
            </w:pPr>
            <w:r>
              <w:rPr>
                <w:lang w:val="en-US" w:eastAsia="zh-CN"/>
              </w:rPr>
              <w:t>6.06 dB</w:t>
            </w:r>
          </w:p>
        </w:tc>
      </w:tr>
    </w:tbl>
    <w:p w:rsidR="0089268C" w:rsidRDefault="0089268C" w:rsidP="00222266">
      <w:pPr>
        <w:pStyle w:val="Tablefin"/>
        <w:rPr>
          <w:lang w:val="en-US"/>
        </w:rPr>
      </w:pPr>
    </w:p>
    <w:p w:rsidR="0089268C" w:rsidRDefault="00C3610E">
      <w:pPr>
        <w:rPr>
          <w:lang w:val="en-US" w:eastAsia="zh-CN"/>
        </w:rPr>
      </w:pPr>
      <w:r>
        <w:rPr>
          <w:lang w:val="en-US" w:eastAsia="zh-CN"/>
        </w:rPr>
        <w:t>Detailed calculations of the overlapping factors and average bandwidth factors are given in the following file.</w:t>
      </w:r>
    </w:p>
    <w:p w:rsidR="0089268C" w:rsidRDefault="00E5737A" w:rsidP="003A438B">
      <w:pPr>
        <w:jc w:val="center"/>
        <w:rPr>
          <w:lang w:val="en-US" w:eastAsia="zh-CN"/>
        </w:rPr>
      </w:pPr>
      <w:r w:rsidRPr="001E7D0F">
        <w:rPr>
          <w:lang w:val="en-US" w:eastAsia="zh-CN"/>
        </w:rPr>
        <w:object w:dxaOrig="2069" w:dyaOrig="1339">
          <v:shape id="_x0000_i1026" type="#_x0000_t75" style="width:104.3pt;height:67.85pt" o:ole="">
            <v:imagedata r:id="rId69" o:title=""/>
          </v:shape>
          <o:OLEObject Type="Embed" ProgID="Excel.Sheet.12" ShapeID="_x0000_i1026" DrawAspect="Icon" ObjectID="_1572690769" r:id="rId70"/>
        </w:object>
      </w:r>
    </w:p>
    <w:p w:rsidR="0089268C" w:rsidRDefault="00C3610E" w:rsidP="009D6E81">
      <w:pPr>
        <w:rPr>
          <w:lang w:val="en-US" w:eastAsia="zh-CN"/>
        </w:rPr>
      </w:pPr>
      <w:r>
        <w:rPr>
          <w:lang w:val="en-US" w:eastAsia="zh-CN"/>
        </w:rPr>
        <w:t>The parameters given assume that RLANs are distributed over the entire 5 150–5 350 MHz and 5</w:t>
      </w:r>
      <w:r w:rsidR="009D6E81">
        <w:rPr>
          <w:lang w:val="en-US" w:eastAsia="zh-CN"/>
        </w:rPr>
        <w:t> </w:t>
      </w:r>
      <w:r>
        <w:rPr>
          <w:lang w:val="en-US" w:eastAsia="zh-CN"/>
        </w:rPr>
        <w:t>470-5</w:t>
      </w:r>
      <w:r w:rsidR="009D6E81">
        <w:rPr>
          <w:lang w:val="en-US" w:eastAsia="zh-CN"/>
        </w:rPr>
        <w:t> </w:t>
      </w:r>
      <w:r>
        <w:rPr>
          <w:lang w:val="en-US" w:eastAsia="zh-CN"/>
        </w:rPr>
        <w:t>925</w:t>
      </w:r>
      <w:r w:rsidR="009D6E81">
        <w:rPr>
          <w:lang w:val="en-US" w:eastAsia="zh-CN"/>
        </w:rPr>
        <w:t> </w:t>
      </w:r>
      <w:r>
        <w:rPr>
          <w:lang w:val="en-US" w:eastAsia="zh-CN"/>
        </w:rPr>
        <w:t>MHz ranges and would have to be recalculated should this overall range change.</w:t>
      </w:r>
    </w:p>
    <w:p w:rsidR="0089268C" w:rsidRDefault="00C3610E" w:rsidP="00C720B2">
      <w:pPr>
        <w:pStyle w:val="Heading5"/>
        <w:rPr>
          <w:lang w:val="en-US" w:eastAsia="zh-CN"/>
        </w:rPr>
      </w:pPr>
      <w:r>
        <w:rPr>
          <w:lang w:val="en-US" w:eastAsia="zh-CN"/>
        </w:rPr>
        <w:lastRenderedPageBreak/>
        <w:t>5.1.3.</w:t>
      </w:r>
      <w:r w:rsidR="00C720B2">
        <w:rPr>
          <w:lang w:val="en-US" w:eastAsia="zh-CN"/>
        </w:rPr>
        <w:t>1</w:t>
      </w:r>
      <w:r>
        <w:rPr>
          <w:lang w:val="en-US" w:eastAsia="zh-CN"/>
        </w:rPr>
        <w:t>.3</w:t>
      </w:r>
      <w:r>
        <w:rPr>
          <w:lang w:val="en-US" w:eastAsia="zh-CN"/>
        </w:rPr>
        <w:tab/>
        <w:t>FSS Feeder link parameters</w:t>
      </w:r>
    </w:p>
    <w:p w:rsidR="0089268C" w:rsidRDefault="00C3610E">
      <w:pPr>
        <w:rPr>
          <w:lang w:val="en-US" w:eastAsia="zh-CN"/>
        </w:rPr>
      </w:pPr>
      <w:r>
        <w:rPr>
          <w:lang w:val="en-US" w:eastAsia="zh-CN"/>
        </w:rPr>
        <w:t>As mentioned above, the parameters of the feeder uplinks of the LEO-D MSS system were used in the computer simulation. These are summarized in the Table below.</w:t>
      </w:r>
    </w:p>
    <w:p w:rsidR="0089268C" w:rsidRDefault="00C3610E">
      <w:pPr>
        <w:pStyle w:val="TableNo"/>
      </w:pPr>
      <w:r>
        <w:t>TABLE 2</w:t>
      </w:r>
    </w:p>
    <w:p w:rsidR="0089268C" w:rsidRDefault="00C3610E">
      <w:pPr>
        <w:pStyle w:val="Tabletitle"/>
      </w:pPr>
      <w:r>
        <w:t>MSS Feeder Link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103"/>
        <w:gridCol w:w="2268"/>
      </w:tblGrid>
      <w:tr w:rsidR="0089268C">
        <w:trPr>
          <w:jc w:val="center"/>
        </w:trPr>
        <w:tc>
          <w:tcPr>
            <w:tcW w:w="5103" w:type="dxa"/>
          </w:tcPr>
          <w:p w:rsidR="0089268C" w:rsidRDefault="00C3610E">
            <w:pPr>
              <w:pStyle w:val="Tablehead"/>
            </w:pPr>
            <w:r>
              <w:t>Parameter</w:t>
            </w:r>
          </w:p>
        </w:tc>
        <w:tc>
          <w:tcPr>
            <w:tcW w:w="2268" w:type="dxa"/>
          </w:tcPr>
          <w:p w:rsidR="0089268C" w:rsidRDefault="00C3610E">
            <w:pPr>
              <w:pStyle w:val="Tablehead"/>
            </w:pPr>
            <w:r>
              <w:t>HIBLEO-4 FL</w:t>
            </w:r>
          </w:p>
        </w:tc>
      </w:tr>
      <w:tr w:rsidR="0089268C">
        <w:trPr>
          <w:jc w:val="center"/>
        </w:trPr>
        <w:tc>
          <w:tcPr>
            <w:tcW w:w="5103" w:type="dxa"/>
          </w:tcPr>
          <w:p w:rsidR="0089268C" w:rsidRDefault="00C3610E">
            <w:pPr>
              <w:pStyle w:val="Tabletext"/>
              <w:rPr>
                <w:lang w:val="fr-CH"/>
              </w:rPr>
            </w:pPr>
            <w:r>
              <w:rPr>
                <w:lang w:val="fr-CH"/>
              </w:rPr>
              <w:t xml:space="preserve">Satellite orbit altitude </w:t>
            </w:r>
            <w:r>
              <w:rPr>
                <w:i/>
                <w:lang w:val="fr-CH"/>
              </w:rPr>
              <w:t>h</w:t>
            </w:r>
            <w:r>
              <w:rPr>
                <w:lang w:val="fr-CH"/>
              </w:rPr>
              <w:t xml:space="preserve"> (km)</w:t>
            </w:r>
          </w:p>
        </w:tc>
        <w:tc>
          <w:tcPr>
            <w:tcW w:w="2268" w:type="dxa"/>
          </w:tcPr>
          <w:p w:rsidR="0089268C" w:rsidRDefault="00C3610E">
            <w:pPr>
              <w:pStyle w:val="Tabletext"/>
              <w:jc w:val="center"/>
            </w:pPr>
            <w:r>
              <w:t>1 414</w:t>
            </w:r>
          </w:p>
        </w:tc>
      </w:tr>
      <w:tr w:rsidR="0089268C">
        <w:trPr>
          <w:jc w:val="center"/>
        </w:trPr>
        <w:tc>
          <w:tcPr>
            <w:tcW w:w="5103" w:type="dxa"/>
          </w:tcPr>
          <w:p w:rsidR="0089268C" w:rsidRDefault="00C3610E">
            <w:pPr>
              <w:pStyle w:val="Tabletext"/>
            </w:pPr>
            <w:r>
              <w:t>Satellite Inclination (degrees)</w:t>
            </w:r>
          </w:p>
        </w:tc>
        <w:tc>
          <w:tcPr>
            <w:tcW w:w="2268" w:type="dxa"/>
          </w:tcPr>
          <w:p w:rsidR="0089268C" w:rsidRDefault="00C3610E">
            <w:pPr>
              <w:pStyle w:val="Tabletext"/>
              <w:jc w:val="center"/>
            </w:pPr>
            <w:r>
              <w:t>52</w:t>
            </w:r>
          </w:p>
        </w:tc>
      </w:tr>
      <w:tr w:rsidR="0089268C">
        <w:trPr>
          <w:jc w:val="center"/>
        </w:trPr>
        <w:tc>
          <w:tcPr>
            <w:tcW w:w="5103" w:type="dxa"/>
          </w:tcPr>
          <w:p w:rsidR="0089268C" w:rsidRDefault="00C3610E">
            <w:pPr>
              <w:pStyle w:val="Tabletext"/>
            </w:pPr>
            <w:r>
              <w:t>Frequency Range (MHz)</w:t>
            </w:r>
          </w:p>
        </w:tc>
        <w:tc>
          <w:tcPr>
            <w:tcW w:w="2268" w:type="dxa"/>
          </w:tcPr>
          <w:p w:rsidR="0089268C" w:rsidRDefault="00C3610E">
            <w:pPr>
              <w:pStyle w:val="Tabletext"/>
              <w:jc w:val="center"/>
            </w:pPr>
            <w:r>
              <w:t xml:space="preserve">5 150-5 250 </w:t>
            </w:r>
          </w:p>
        </w:tc>
      </w:tr>
      <w:tr w:rsidR="0089268C">
        <w:trPr>
          <w:jc w:val="center"/>
        </w:trPr>
        <w:tc>
          <w:tcPr>
            <w:tcW w:w="5103" w:type="dxa"/>
          </w:tcPr>
          <w:p w:rsidR="0089268C" w:rsidRDefault="00C3610E">
            <w:pPr>
              <w:pStyle w:val="Tabletext"/>
            </w:pPr>
            <w:r>
              <w:t xml:space="preserve">Satellite receiver bandwidth </w:t>
            </w:r>
            <w:r>
              <w:rPr>
                <w:i/>
              </w:rPr>
              <w:t>B</w:t>
            </w:r>
            <w:r>
              <w:t xml:space="preserve"> (MHz)</w:t>
            </w:r>
          </w:p>
        </w:tc>
        <w:tc>
          <w:tcPr>
            <w:tcW w:w="2268" w:type="dxa"/>
          </w:tcPr>
          <w:p w:rsidR="0089268C" w:rsidRDefault="00C3610E">
            <w:pPr>
              <w:pStyle w:val="Tabletext"/>
              <w:jc w:val="center"/>
            </w:pPr>
            <w:r>
              <w:t>16.5</w:t>
            </w:r>
          </w:p>
        </w:tc>
      </w:tr>
      <w:tr w:rsidR="0089268C">
        <w:trPr>
          <w:jc w:val="center"/>
        </w:trPr>
        <w:tc>
          <w:tcPr>
            <w:tcW w:w="5103" w:type="dxa"/>
          </w:tcPr>
          <w:p w:rsidR="0089268C" w:rsidRDefault="00C3610E">
            <w:pPr>
              <w:pStyle w:val="Tabletext"/>
            </w:pPr>
            <w:r>
              <w:t>I/N (dB)</w:t>
            </w:r>
          </w:p>
        </w:tc>
        <w:tc>
          <w:tcPr>
            <w:tcW w:w="2268" w:type="dxa"/>
          </w:tcPr>
          <w:p w:rsidR="0089268C" w:rsidRDefault="00C3610E">
            <w:pPr>
              <w:pStyle w:val="Tabletext"/>
              <w:jc w:val="center"/>
            </w:pPr>
            <w:r>
              <w:t>-12.2</w:t>
            </w:r>
          </w:p>
        </w:tc>
      </w:tr>
      <w:tr w:rsidR="0089268C">
        <w:trPr>
          <w:jc w:val="center"/>
        </w:trPr>
        <w:tc>
          <w:tcPr>
            <w:tcW w:w="5103" w:type="dxa"/>
          </w:tcPr>
          <w:p w:rsidR="0089268C" w:rsidRDefault="00C3610E">
            <w:pPr>
              <w:pStyle w:val="Tabletext"/>
              <w:rPr>
                <w:lang w:val="fr-FR"/>
              </w:rPr>
            </w:pPr>
            <w:r>
              <w:rPr>
                <w:lang w:val="fr-FR"/>
              </w:rPr>
              <w:t xml:space="preserve">Satellite receiver noise temperature </w:t>
            </w:r>
            <w:r>
              <w:rPr>
                <w:i/>
                <w:lang w:val="fr-FR"/>
              </w:rPr>
              <w:t>T</w:t>
            </w:r>
            <w:r>
              <w:rPr>
                <w:lang w:val="fr-FR"/>
              </w:rPr>
              <w:t xml:space="preserve"> (K)</w:t>
            </w:r>
          </w:p>
        </w:tc>
        <w:tc>
          <w:tcPr>
            <w:tcW w:w="2268" w:type="dxa"/>
          </w:tcPr>
          <w:p w:rsidR="0089268C" w:rsidRDefault="00C3610E">
            <w:pPr>
              <w:pStyle w:val="Tabletext"/>
              <w:jc w:val="center"/>
            </w:pPr>
            <w:r>
              <w:t>550</w:t>
            </w:r>
          </w:p>
        </w:tc>
      </w:tr>
      <w:tr w:rsidR="0089268C">
        <w:trPr>
          <w:jc w:val="center"/>
        </w:trPr>
        <w:tc>
          <w:tcPr>
            <w:tcW w:w="5103" w:type="dxa"/>
          </w:tcPr>
          <w:p w:rsidR="0089268C" w:rsidRDefault="00C3610E">
            <w:pPr>
              <w:pStyle w:val="Tabletext"/>
            </w:pPr>
            <w:r>
              <w:t>P</w:t>
            </w:r>
            <w:r>
              <w:rPr>
                <w:vertAlign w:val="subscript"/>
              </w:rPr>
              <w:t xml:space="preserve">noise, add </w:t>
            </w:r>
            <w:r>
              <w:t xml:space="preserve"> (dBW)</w:t>
            </w:r>
          </w:p>
        </w:tc>
        <w:tc>
          <w:tcPr>
            <w:tcW w:w="2268" w:type="dxa"/>
          </w:tcPr>
          <w:p w:rsidR="0089268C" w:rsidRDefault="00C3610E">
            <w:pPr>
              <w:pStyle w:val="Tabletext"/>
              <w:jc w:val="center"/>
            </w:pPr>
            <w:r>
              <w:t>-140.3</w:t>
            </w:r>
          </w:p>
        </w:tc>
      </w:tr>
      <w:tr w:rsidR="0089268C">
        <w:trPr>
          <w:jc w:val="center"/>
        </w:trPr>
        <w:tc>
          <w:tcPr>
            <w:tcW w:w="5103" w:type="dxa"/>
          </w:tcPr>
          <w:p w:rsidR="0089268C" w:rsidRDefault="00C3610E">
            <w:pPr>
              <w:pStyle w:val="Tabletext"/>
            </w:pPr>
            <w:r>
              <w:t>I</w:t>
            </w:r>
            <w:r>
              <w:rPr>
                <w:vertAlign w:val="subscript"/>
              </w:rPr>
              <w:t>add</w:t>
            </w:r>
            <w:r>
              <w:t xml:space="preserve"> (dBW)</w:t>
            </w:r>
          </w:p>
        </w:tc>
        <w:tc>
          <w:tcPr>
            <w:tcW w:w="2268" w:type="dxa"/>
          </w:tcPr>
          <w:p w:rsidR="0089268C" w:rsidRDefault="00C3610E">
            <w:pPr>
              <w:pStyle w:val="Tabletext"/>
              <w:jc w:val="center"/>
            </w:pPr>
            <w:r>
              <w:t>-152.5</w:t>
            </w:r>
          </w:p>
        </w:tc>
      </w:tr>
      <w:tr w:rsidR="0089268C">
        <w:trPr>
          <w:jc w:val="center"/>
        </w:trPr>
        <w:tc>
          <w:tcPr>
            <w:tcW w:w="5103" w:type="dxa"/>
          </w:tcPr>
          <w:p w:rsidR="0089268C" w:rsidRDefault="00C3610E">
            <w:pPr>
              <w:pStyle w:val="Tabletext"/>
            </w:pPr>
            <w:r>
              <w:t xml:space="preserve">Polarization discrimination </w:t>
            </w:r>
            <w:r>
              <w:rPr>
                <w:i/>
              </w:rPr>
              <w:t>L</w:t>
            </w:r>
            <w:r>
              <w:rPr>
                <w:i/>
                <w:vertAlign w:val="subscript"/>
              </w:rPr>
              <w:t>p</w:t>
            </w:r>
            <w:r>
              <w:t xml:space="preserve"> (dB)</w:t>
            </w:r>
          </w:p>
        </w:tc>
        <w:tc>
          <w:tcPr>
            <w:tcW w:w="2268" w:type="dxa"/>
          </w:tcPr>
          <w:p w:rsidR="0089268C" w:rsidRDefault="00C3610E">
            <w:pPr>
              <w:pStyle w:val="Tabletext"/>
              <w:jc w:val="center"/>
            </w:pPr>
            <w:r>
              <w:t>1</w:t>
            </w:r>
          </w:p>
        </w:tc>
      </w:tr>
    </w:tbl>
    <w:p w:rsidR="003A438B" w:rsidRDefault="003A438B" w:rsidP="003A438B">
      <w:pPr>
        <w:pStyle w:val="Tablefin"/>
        <w:rPr>
          <w:lang w:val="en-US"/>
        </w:rPr>
      </w:pPr>
    </w:p>
    <w:p w:rsidR="0089268C" w:rsidRDefault="00C3610E">
      <w:pPr>
        <w:rPr>
          <w:lang w:val="en-US" w:eastAsia="zh-CN"/>
        </w:rPr>
      </w:pPr>
      <w:r>
        <w:rPr>
          <w:lang w:val="en-US" w:eastAsia="zh-CN"/>
        </w:rPr>
        <w:t>The spacecraft receive antenna is an “iso-flux” antenna and the gain pattern is shown below.</w:t>
      </w:r>
    </w:p>
    <w:p w:rsidR="0089268C" w:rsidRDefault="00C3610E">
      <w:pPr>
        <w:pStyle w:val="FigureNo"/>
        <w:rPr>
          <w:lang w:val="en-US" w:eastAsia="zh-CN"/>
        </w:rPr>
      </w:pPr>
      <w:r>
        <w:rPr>
          <w:lang w:val="en-US" w:eastAsia="zh-CN"/>
        </w:rPr>
        <w:t>Figure 3</w:t>
      </w:r>
    </w:p>
    <w:p w:rsidR="0089268C" w:rsidRDefault="00C3610E" w:rsidP="005C1912">
      <w:pPr>
        <w:pStyle w:val="Figuretitle"/>
        <w:rPr>
          <w:lang w:val="en-US" w:eastAsia="zh-CN"/>
        </w:rPr>
      </w:pPr>
      <w:r>
        <w:rPr>
          <w:lang w:val="en-US" w:eastAsia="zh-CN"/>
        </w:rPr>
        <w:t>Spacecraft Receive Antenna Pattern</w:t>
      </w:r>
    </w:p>
    <w:p w:rsidR="0089268C" w:rsidRDefault="00C3610E" w:rsidP="003A438B">
      <w:pPr>
        <w:pStyle w:val="Figure"/>
      </w:pPr>
      <w:r w:rsidRPr="001E7D0F">
        <w:rPr>
          <w:lang w:val="en-GB"/>
        </w:rPr>
        <w:drawing>
          <wp:inline distT="0" distB="0" distL="0" distR="0">
            <wp:extent cx="5943600" cy="4043680"/>
            <wp:effectExtent l="0" t="0" r="0" b="0"/>
            <wp:docPr id="1229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9268C" w:rsidRDefault="00C3610E" w:rsidP="00C720B2">
      <w:pPr>
        <w:pStyle w:val="Heading4"/>
        <w:rPr>
          <w:lang w:eastAsia="zh-CN"/>
        </w:rPr>
      </w:pPr>
      <w:r>
        <w:rPr>
          <w:lang w:eastAsia="zh-CN"/>
        </w:rPr>
        <w:lastRenderedPageBreak/>
        <w:t>5.1.3.</w:t>
      </w:r>
      <w:r w:rsidR="00C720B2">
        <w:rPr>
          <w:lang w:eastAsia="zh-CN"/>
        </w:rPr>
        <w:t>2</w:t>
      </w:r>
      <w:r>
        <w:rPr>
          <w:lang w:eastAsia="zh-CN"/>
        </w:rPr>
        <w:tab/>
        <w:t>Computer simulation description</w:t>
      </w:r>
    </w:p>
    <w:p w:rsidR="0089268C" w:rsidRDefault="00C3610E">
      <w:pPr>
        <w:rPr>
          <w:lang w:eastAsia="zh-CN"/>
        </w:rPr>
      </w:pPr>
      <w:r>
        <w:rPr>
          <w:lang w:eastAsia="zh-CN"/>
        </w:rPr>
        <w:t xml:space="preserve">The simulation determined the level of interference that would be experienced by a feeder link carrier that was uplinked from the earth station in Aussaguel, France, near Toulouse. This uplink carrier was switched from one spacecraft to another based on whichever spacecraft was the closest to the earth station. The interference was recorded as an interference-to-noise ratio. </w:t>
      </w:r>
    </w:p>
    <w:p w:rsidR="0089268C" w:rsidRDefault="00C3610E">
      <w:pPr>
        <w:rPr>
          <w:lang w:eastAsia="zh-CN"/>
        </w:rPr>
      </w:pPr>
      <w:r>
        <w:rPr>
          <w:lang w:eastAsia="zh-CN"/>
        </w:rPr>
        <w:t xml:space="preserve">The simulation time step in this version of the simulation was 10 Seconds. A 10 Second interval implied that the area under the footprint changed by 0.139%. The simulation was run for </w:t>
      </w:r>
      <w:proofErr w:type="gramStart"/>
      <w:r>
        <w:rPr>
          <w:lang w:eastAsia="zh-CN"/>
        </w:rPr>
        <w:t>two</w:t>
      </w:r>
      <w:proofErr w:type="gramEnd"/>
      <w:r>
        <w:rPr>
          <w:lang w:eastAsia="zh-CN"/>
        </w:rPr>
        <w:t xml:space="preserve"> simulation days or 17</w:t>
      </w:r>
      <w:r w:rsidR="009D6E81">
        <w:rPr>
          <w:lang w:eastAsia="zh-CN"/>
        </w:rPr>
        <w:t> </w:t>
      </w:r>
      <w:r>
        <w:rPr>
          <w:lang w:eastAsia="zh-CN"/>
        </w:rPr>
        <w:t>280 time steps. This simulated period approximates the ground track repeat for two successive orbital planes of the MSS system.</w:t>
      </w:r>
    </w:p>
    <w:p w:rsidR="0089268C" w:rsidRDefault="00C3610E">
      <w:pPr>
        <w:rPr>
          <w:lang w:eastAsia="zh-CN"/>
        </w:rPr>
      </w:pPr>
      <w:r>
        <w:rPr>
          <w:lang w:eastAsia="zh-CN"/>
        </w:rPr>
        <w:t xml:space="preserve">The antenna parameters included in the computer simulation include the antenna gain pattern and the clutter and building entry losses, where applicable. </w:t>
      </w:r>
    </w:p>
    <w:p w:rsidR="0089268C" w:rsidRDefault="00C3610E" w:rsidP="00C720B2">
      <w:pPr>
        <w:pStyle w:val="Heading4"/>
        <w:rPr>
          <w:lang w:eastAsia="zh-CN"/>
        </w:rPr>
      </w:pPr>
      <w:r>
        <w:rPr>
          <w:lang w:eastAsia="zh-CN"/>
        </w:rPr>
        <w:t>5.1.3.</w:t>
      </w:r>
      <w:r w:rsidR="00C720B2">
        <w:rPr>
          <w:lang w:eastAsia="zh-CN"/>
        </w:rPr>
        <w:t>3</w:t>
      </w:r>
      <w:r>
        <w:rPr>
          <w:lang w:eastAsia="zh-CN"/>
        </w:rPr>
        <w:tab/>
        <w:t>Computer simulation results</w:t>
      </w:r>
    </w:p>
    <w:p w:rsidR="0089268C" w:rsidRDefault="00C3610E">
      <w:pPr>
        <w:rPr>
          <w:lang w:eastAsia="zh-CN"/>
        </w:rPr>
      </w:pPr>
      <w:r>
        <w:rPr>
          <w:lang w:eastAsia="zh-CN"/>
        </w:rPr>
        <w:t xml:space="preserve">The results of this simulation are shown in Figure 4.  All of the results pertain to RLANs operating in Europe. RLANs from other nearby regions are not used in this simulation.  </w:t>
      </w:r>
    </w:p>
    <w:p w:rsidR="0089268C" w:rsidRDefault="00C3610E" w:rsidP="003A438B">
      <w:pPr>
        <w:pStyle w:val="Figure"/>
      </w:pPr>
      <w:r w:rsidRPr="001E7D0F">
        <w:rPr>
          <w:lang w:val="en-GB"/>
        </w:rPr>
        <w:drawing>
          <wp:inline distT="0" distB="0" distL="0" distR="0">
            <wp:extent cx="5943600" cy="4310743"/>
            <wp:effectExtent l="0" t="0" r="0" b="0"/>
            <wp:docPr id="12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4310743"/>
                    </a:xfrm>
                    <a:prstGeom prst="rect">
                      <a:avLst/>
                    </a:prstGeom>
                    <a:noFill/>
                    <a:ln>
                      <a:noFill/>
                    </a:ln>
                  </pic:spPr>
                </pic:pic>
              </a:graphicData>
            </a:graphic>
          </wp:inline>
        </w:drawing>
      </w:r>
    </w:p>
    <w:p w:rsidR="0089268C" w:rsidRDefault="00C3610E">
      <w:pPr>
        <w:rPr>
          <w:szCs w:val="24"/>
        </w:rPr>
      </w:pPr>
      <w:r>
        <w:rPr>
          <w:szCs w:val="24"/>
        </w:rPr>
        <w:t xml:space="preserve">The graph shows the probability of interference for 4 different situations as a function of interference-to-noise ratio (I/N). </w:t>
      </w:r>
    </w:p>
    <w:p w:rsidR="0089268C" w:rsidRDefault="00C3610E">
      <w:pPr>
        <w:rPr>
          <w:szCs w:val="24"/>
        </w:rPr>
      </w:pPr>
      <w:r>
        <w:rPr>
          <w:szCs w:val="24"/>
        </w:rPr>
        <w:t xml:space="preserve">The leftmost plot in Figure 4 shows the potential interference that would be due to a strict adherence to Resolution </w:t>
      </w:r>
      <w:r>
        <w:rPr>
          <w:b/>
          <w:bCs/>
          <w:szCs w:val="24"/>
        </w:rPr>
        <w:t>229</w:t>
      </w:r>
      <w:r>
        <w:rPr>
          <w:szCs w:val="24"/>
        </w:rPr>
        <w:t xml:space="preserve"> and does not include any outdoor RLAN transmitters.</w:t>
      </w:r>
    </w:p>
    <w:p w:rsidR="0089268C" w:rsidRDefault="00C3610E">
      <w:pPr>
        <w:rPr>
          <w:szCs w:val="24"/>
        </w:rPr>
      </w:pPr>
      <w:r>
        <w:rPr>
          <w:szCs w:val="24"/>
        </w:rPr>
        <w:t xml:space="preserve">The next plot to the right shows the potential interference expected if the current Resolution </w:t>
      </w:r>
      <w:r>
        <w:rPr>
          <w:b/>
          <w:szCs w:val="24"/>
        </w:rPr>
        <w:t>229</w:t>
      </w:r>
      <w:r>
        <w:rPr>
          <w:szCs w:val="24"/>
        </w:rPr>
        <w:t xml:space="preserve"> is observed with an “accidental” 5% portion of the European RLANs being outdoors. </w:t>
      </w:r>
    </w:p>
    <w:p w:rsidR="0089268C" w:rsidRDefault="00C3610E">
      <w:pPr>
        <w:rPr>
          <w:szCs w:val="24"/>
        </w:rPr>
      </w:pPr>
      <w:r>
        <w:rPr>
          <w:szCs w:val="24"/>
        </w:rPr>
        <w:lastRenderedPageBreak/>
        <w:t>The next plot to the right shows the potential interference results for RLANs over Europe if 5% of the RLAN transmitters are operated outdoors with omni-directional antennas with 6 dBi gain, pointed at the horizon, and an e.i.r.p. of 6 dBW. RLAN transmitters complying with these characteristics have been proposed by one Administration.</w:t>
      </w:r>
    </w:p>
    <w:p w:rsidR="0089268C" w:rsidRDefault="00C3610E">
      <w:pPr>
        <w:rPr>
          <w:szCs w:val="24"/>
        </w:rPr>
      </w:pPr>
      <w:r>
        <w:rPr>
          <w:szCs w:val="24"/>
        </w:rPr>
        <w:t>The right most plot shows the potential interference results for RLANs over Europe if 15% of the RLAN transmitters are operated outdoors with omni-directional antennas with 6 dBi gain, pointed at the horizon, and an e.i.r.p. of 6 dBW. This percentage of outdoor operation has been proposed by another Administration.</w:t>
      </w:r>
    </w:p>
    <w:p w:rsidR="0089268C" w:rsidRDefault="00C3610E">
      <w:pPr>
        <w:rPr>
          <w:szCs w:val="24"/>
        </w:rPr>
      </w:pPr>
      <w:r>
        <w:rPr>
          <w:szCs w:val="24"/>
        </w:rPr>
        <w:t xml:space="preserve">These simulations assume clutter loss for RLANs operating in urban areas and indoor RLANs include building entry loss (BEL). These losses were explained in Section 5.1.4.1, above. It is assumed that there is no clutter loss in rural areas. </w:t>
      </w:r>
    </w:p>
    <w:p w:rsidR="0089268C" w:rsidRDefault="00C3610E">
      <w:pPr>
        <w:rPr>
          <w:lang w:eastAsia="zh-CN"/>
        </w:rPr>
      </w:pPr>
      <w:r>
        <w:rPr>
          <w:lang w:eastAsia="zh-CN"/>
        </w:rPr>
        <w:t xml:space="preserve">It is worthwhile to note that interference from European RLANs operating at 6 dBW e.i.r.p. will exceed an I/N = -12.2 dB threshold at least 90% of the time.  </w:t>
      </w:r>
    </w:p>
    <w:p w:rsidR="0089268C" w:rsidRDefault="00C3610E" w:rsidP="00C720B2">
      <w:pPr>
        <w:pStyle w:val="Heading4"/>
        <w:rPr>
          <w:lang w:eastAsia="zh-CN"/>
        </w:rPr>
      </w:pPr>
      <w:r>
        <w:rPr>
          <w:lang w:eastAsia="zh-CN"/>
        </w:rPr>
        <w:t>5.1.3.</w:t>
      </w:r>
      <w:r w:rsidR="00C720B2">
        <w:rPr>
          <w:lang w:eastAsia="zh-CN"/>
        </w:rPr>
        <w:t>4</w:t>
      </w:r>
      <w:r>
        <w:rPr>
          <w:lang w:eastAsia="zh-CN"/>
        </w:rPr>
        <w:tab/>
        <w:t>Summary and Assessment of Sharing Feasibility</w:t>
      </w:r>
    </w:p>
    <w:p w:rsidR="0089268C" w:rsidRDefault="00C3610E">
      <w:r>
        <w:t>Computer simulation of the likely effect of outdoor RLAN transmitters has shown that significant interference would be caused to the feeder uplinks of MSS systems. Figure 5 shows the “footprint” of the feeder uplink antenna of the LEO-D system. It is apparent that the spacecraft will “see” all of the RLAN traffic in the European region.</w:t>
      </w:r>
    </w:p>
    <w:p w:rsidR="0089268C" w:rsidRDefault="00C3610E">
      <w:r>
        <w:t xml:space="preserve">The level of interference to feeder uplinks from co-band 5 GHz RLANs will depend on the total number of RLAN devices that are deployed, their e.i.r.p., and whether they are permitted to operate outdoors. </w:t>
      </w:r>
    </w:p>
    <w:p w:rsidR="0089268C" w:rsidRDefault="00C3610E">
      <w:pPr>
        <w:pStyle w:val="FigureNo"/>
        <w:rPr>
          <w:noProof/>
          <w:lang w:val="en-US"/>
        </w:rPr>
      </w:pPr>
      <w:r>
        <w:rPr>
          <w:noProof/>
          <w:lang w:val="en-US"/>
        </w:rPr>
        <w:t>Figure 5</w:t>
      </w:r>
    </w:p>
    <w:p w:rsidR="0089268C" w:rsidRDefault="00C3610E" w:rsidP="005C1912">
      <w:pPr>
        <w:pStyle w:val="Figuretitle"/>
        <w:rPr>
          <w:noProof/>
          <w:lang w:val="en-US"/>
        </w:rPr>
      </w:pPr>
      <w:r>
        <w:rPr>
          <w:noProof/>
          <w:lang w:val="en-US"/>
        </w:rPr>
        <w:t>LEO-D MSS System European Feeder Uplink Coverage</w:t>
      </w:r>
    </w:p>
    <w:p w:rsidR="0089268C" w:rsidRDefault="00C3610E">
      <w:pPr>
        <w:jc w:val="center"/>
      </w:pPr>
      <w:r w:rsidRPr="001E7D0F">
        <w:rPr>
          <w:noProof/>
          <w:lang w:eastAsia="zh-CN"/>
        </w:rPr>
        <w:drawing>
          <wp:inline distT="0" distB="0" distL="0" distR="0">
            <wp:extent cx="5943600" cy="3339199"/>
            <wp:effectExtent l="0" t="0" r="0" b="0"/>
            <wp:docPr id="12299" name="Picture 7" descr="C:\Users\DWeinreich\Documents\My Documents\My Documents\ITU\WP5A\0517Mtg\EUR_G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Weinreich\Documents\My Documents\My Documents\ITU\WP5A\0517Mtg\EUR_Gina.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339199"/>
                    </a:xfrm>
                    <a:prstGeom prst="rect">
                      <a:avLst/>
                    </a:prstGeom>
                    <a:noFill/>
                    <a:ln>
                      <a:noFill/>
                    </a:ln>
                  </pic:spPr>
                </pic:pic>
              </a:graphicData>
            </a:graphic>
          </wp:inline>
        </w:drawing>
      </w:r>
    </w:p>
    <w:p w:rsidR="0089268C" w:rsidRDefault="00C3610E">
      <w:r>
        <w:t xml:space="preserve">The simulations presented here indicate that there will be unacceptable interference to the feeder uplinks of MSS systems using the 5 150-5 250 MHz band. The projected interference levels from outdoor deployment exceed the industry guideline of -12.2 dB I/N by at least 2 dB, with 50% </w:t>
      </w:r>
      <w:r>
        <w:lastRenderedPageBreak/>
        <w:t xml:space="preserve">probability.  Mitigation techniques may be devised and implemented, but it is likely that the proliferation of these devices will, at some time, exceed the capabilities of these techniques and result in unacceptable interference to MSS feeder uplinks. At that time, the only recourse left will be to stop the outdoor deployment of access points. </w:t>
      </w:r>
    </w:p>
    <w:p w:rsidR="0089268C" w:rsidRDefault="00C3610E">
      <w:r>
        <w:t xml:space="preserve">If no records of the deployment of outdoor access points are maintained by Administrations, there will be no way to determine where the interference to the feeder uplinks is emanating from and no way to limit such interfering operations. </w:t>
      </w:r>
    </w:p>
    <w:p w:rsidR="0089268C" w:rsidRDefault="00C3610E">
      <w:r>
        <w:t>The use of outdoor access points would require Administrations to maintain records of deployment so that when interference occurs, remedial action can be taken by the correct Administration. Without a database of deployments, quantitative limits for outdoor deployed access points will be required at the outset.</w:t>
      </w:r>
    </w:p>
    <w:p w:rsidR="0089268C" w:rsidRDefault="00C3610E">
      <w:r>
        <w:t xml:space="preserve">Given the results of this study, it appears that the best way of ensuring reasonable ongoing protection of the worldwide non-GSO MSS feeder uplinks is to make no change in the provisions of Resolution </w:t>
      </w:r>
      <w:r>
        <w:rPr>
          <w:b/>
        </w:rPr>
        <w:t xml:space="preserve">229 (Rev.WRC-12) </w:t>
      </w:r>
      <w:r>
        <w:t>regarding the 5 150-5 250 MHz band.</w:t>
      </w:r>
    </w:p>
    <w:p w:rsidR="0089268C" w:rsidRDefault="0089268C"/>
    <w:p w:rsidR="0089268C" w:rsidRDefault="00C3610E">
      <w:pPr>
        <w:overflowPunct/>
        <w:autoSpaceDE/>
        <w:autoSpaceDN/>
        <w:adjustRightInd/>
        <w:spacing w:before="0" w:after="200" w:line="276" w:lineRule="auto"/>
        <w:textAlignment w:val="auto"/>
      </w:pPr>
      <w:r>
        <w:br w:type="page"/>
      </w:r>
    </w:p>
    <w:p w:rsidR="0089268C" w:rsidRDefault="00C3610E">
      <w:pPr>
        <w:pStyle w:val="AnnexNo"/>
      </w:pPr>
      <w:r>
        <w:lastRenderedPageBreak/>
        <w:t>APPENDIX 1</w:t>
      </w:r>
    </w:p>
    <w:p w:rsidR="0089268C" w:rsidRDefault="00C3610E">
      <w:pPr>
        <w:pStyle w:val="Annextitle"/>
        <w:spacing w:after="120"/>
      </w:pPr>
      <w:r>
        <w:t>Locations of “Pseudo-Stations”</w:t>
      </w:r>
    </w:p>
    <w:tbl>
      <w:tblPr>
        <w:tblW w:w="8400" w:type="dxa"/>
        <w:jc w:val="center"/>
        <w:tblLook w:val="04A0" w:firstRow="1" w:lastRow="0" w:firstColumn="1" w:lastColumn="0" w:noHBand="0" w:noVBand="1"/>
      </w:tblPr>
      <w:tblGrid>
        <w:gridCol w:w="960"/>
        <w:gridCol w:w="1457"/>
        <w:gridCol w:w="1520"/>
        <w:gridCol w:w="1119"/>
        <w:gridCol w:w="1119"/>
        <w:gridCol w:w="1232"/>
        <w:gridCol w:w="1119"/>
      </w:tblGrid>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 GHz</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 xml:space="preserve">Stations </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 xml:space="preserve">for </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 xml:space="preserve">WP 5A </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Simulation</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Country</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City</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Latitude</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Longitude</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Population</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Power</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w:t>
            </w: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Albania</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Tirana</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41.317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19.817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1872048</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Lushnje</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40.851</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19.782</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1039380</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Andorra</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w:t>
            </w: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Andorra la V</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42.5</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1.52</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68728</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Austria</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Vienna</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48.2</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16.37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5670984</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Wels</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48.05</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14</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2921416</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Belarus</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Minsk</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53.9</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27.57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7093901</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Slonim</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53.08</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25.32</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2364634</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Belgium</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8</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Brussels</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50.85</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4.35</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10986077</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9</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Leopoldsburg</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51.11</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5.25</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457753</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Bos&amp;Herz</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10</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Sarajevo</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43.866</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18.417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1524689</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11</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Sanski Most</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44.717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16.667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2268070</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Bulgaria</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12</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Sofia</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41.683</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23.317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5241673</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13</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Yambol</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49.483</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26.467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1803586</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Crotia</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14</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Zagreb</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45.8</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16</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2513260</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15</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Sisak</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45.48</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16.4</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1696555</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Cyprus</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16</w:t>
            </w: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Nicosia</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35.16</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33.367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794646</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17</w:t>
            </w: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Galateia</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35.4222</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34.0722</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394944</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Czech Rep</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lastRenderedPageBreak/>
              <w:t>18</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Prague</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50.083</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14.467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7895237</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19</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Brno</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49.1</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16.55</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2659893</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Denmark</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20</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Copenhagen</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55.717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12.567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4992146</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21</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Hovborg</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55.6069</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8.9411</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719691</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Estonia</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22</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Talinn</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59.417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24.75</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861798</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23</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Rapla</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58.994</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24.801</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443957</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Finland</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24</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Helsinki</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60.166</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24.933</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4621423</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25</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Oulu</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60.067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25.467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919851</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France</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26</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Paris</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48.857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2.351</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52080850</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27</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Guingamp</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48.583</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3.15</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12857866</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Germany</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28</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Berlin</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52.517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13.383</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62251088</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29</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Bremervoerde</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53.483</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9.133</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18385036</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Greece</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30</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Athens</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37.967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23.717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8714345</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31</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Sofades</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39.333</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22.1</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2178586</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Hungary</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32</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Budapest</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47.433</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19.25</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7086443</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33</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Svarvas</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46.864</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20.557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2701462</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Iceland</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34</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Reykjavik</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64.133</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21.933</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320597</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35</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Hella</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63.833</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20.4</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13706</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Ireland</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36</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Dublin</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53.344</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353.732</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3034709</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37</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Mullingar</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53.523</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352.662</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1714444</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Italy</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38</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Milan</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45.467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9.183</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42277170</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39</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Volterra</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43.4</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10.867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17520808</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Lativa</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40</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Riga</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56.95</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24.1</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1361196</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41</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Pope</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57.4</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21.852</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583370</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2942" w:type="dxa"/>
            <w:gridSpan w:val="2"/>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Liechtenstein</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42</w:t>
            </w: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Vaduz</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47.167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9.51</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38022</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Lithuania</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43</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Vilnius</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54.683</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25.317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1987069</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44</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Kretinga</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55.89</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21.242</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843513</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Luxembourg</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45</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Luxembourg</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49.6</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6.117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497072</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46</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Betzdorf</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49.6875</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6.35</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87031</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Macedonia</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47</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Skopje</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42</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21.433</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1623115</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48</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Dolneni</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41.425</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21.454</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1180193</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Malta</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49</w:t>
            </w: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Valletta</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35.9</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14.517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420521</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Moldova</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50</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Chisinau</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28.917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1540763</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51</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Floresti</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47.893</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28.301</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2513877</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Monaco</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52</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Monte Carlo</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43.733</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7.417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38010</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Montenegro</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53</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Podgorica</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42.783</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19.467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398921</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54</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Golubuvci</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42.334</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19.225</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227329</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Netherlands</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55</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Amsterdam</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52.367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4.883</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15363626</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56</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De Koog</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53.098</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4.763</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1669219</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Norway</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57</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Oslo</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59.933</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10.683</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4195340</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58</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Froeya</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63.726</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8.744</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1135460</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Poland</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59</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Warsaw</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52.217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21.033</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23138144</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60</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Wolsztyn</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52.117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16.117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15425429</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Portugal</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61</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Lisbon</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38.767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350.85</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6795296</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62</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Coruche</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38.957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351.473</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3469501</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Romania</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63</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Bucharest</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44.417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26.1</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11773357</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64</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 xml:space="preserve">R </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Faurei</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45.0842</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27.2728</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7641155</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Russian Fed</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65</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Moscow</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55.75</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37.617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80520000</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66</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 xml:space="preserve">R </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Kizhi</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62.0667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35.2381</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29480000</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San Marino</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67</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San Marino</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45.9417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12.4583</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32104</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Serbia</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68</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Belgrade</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44.8</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20.467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5222279</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69</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Opovo</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45.0519</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20.4303</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3554661</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Slovakia</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70</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Bratislava</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48.15</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17.117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2922500</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71</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Surovce</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48.3329</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17.7174</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2509657</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Slovenia</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72</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Ljubljana</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46.05</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14.5</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1033555</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73</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Brezice</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45.904</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15.5922</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1037697</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Spain</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74</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Madrid</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40.433</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356.3</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37777519</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75</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Carmona</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37.467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5.633</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8292626</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Sweden</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76</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Stockholm</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59.35</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18.067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8392848</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77</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Torup</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56.958</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13.081</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1527776</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Switzerland</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78</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Bern</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46.95</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7.45</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6154572</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79</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Gland</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46.42</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6.27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2299511</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Turkey</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80</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Ankara</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39.917</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32.833</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58247209</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81</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Yumurtalik</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36.769</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35.797</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22316012</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Ukraine</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82</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 xml:space="preserve">U </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Kiev</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50.45</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30.5</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30994725</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83</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Vysokopillia</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47.488</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33.532</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13410330</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U.K.</w:t>
            </w:r>
          </w:p>
        </w:tc>
        <w:tc>
          <w:tcPr>
            <w:tcW w:w="1520"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109"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20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84</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 xml:space="preserve">U </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London</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51.5</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0</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53784611</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96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85</w:t>
            </w:r>
          </w:p>
        </w:tc>
        <w:tc>
          <w:tcPr>
            <w:tcW w:w="1422"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w:t>
            </w:r>
          </w:p>
        </w:tc>
        <w:tc>
          <w:tcPr>
            <w:tcW w:w="1520"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Mullaig</w:t>
            </w:r>
          </w:p>
        </w:tc>
        <w:tc>
          <w:tcPr>
            <w:tcW w:w="109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57.004</w:t>
            </w:r>
          </w:p>
        </w:tc>
        <w:tc>
          <w:tcPr>
            <w:tcW w:w="1109"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354.173</w:t>
            </w:r>
          </w:p>
        </w:tc>
        <w:tc>
          <w:tcPr>
            <w:tcW w:w="1203" w:type="dxa"/>
            <w:tcBorders>
              <w:top w:val="nil"/>
              <w:left w:val="nil"/>
              <w:bottom w:val="nil"/>
              <w:right w:val="nil"/>
            </w:tcBorders>
            <w:shd w:val="clear" w:color="auto" w:fill="auto"/>
            <w:noWrap/>
            <w:vAlign w:val="bottom"/>
            <w:hideMark/>
          </w:tcPr>
          <w:p w:rsidR="0089268C" w:rsidRDefault="00C3610E" w:rsidP="003A438B">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11726486</w:t>
            </w:r>
          </w:p>
        </w:tc>
        <w:tc>
          <w:tcPr>
            <w:tcW w:w="1093" w:type="dxa"/>
            <w:tcBorders>
              <w:top w:val="nil"/>
              <w:left w:val="nil"/>
              <w:bottom w:val="nil"/>
              <w:right w:val="nil"/>
            </w:tcBorders>
            <w:shd w:val="clear" w:color="auto" w:fill="auto"/>
            <w:noWrap/>
            <w:vAlign w:val="bottom"/>
            <w:hideMark/>
          </w:tcPr>
          <w:p w:rsidR="0089268C" w:rsidRDefault="0089268C" w:rsidP="003A438B">
            <w:pPr>
              <w:overflowPunct/>
              <w:autoSpaceDE/>
              <w:autoSpaceDN/>
              <w:adjustRightInd/>
              <w:spacing w:before="0"/>
              <w:textAlignment w:val="auto"/>
              <w:rPr>
                <w:rFonts w:asciiTheme="majorBidi" w:hAnsiTheme="majorBidi" w:cstheme="majorBidi"/>
                <w:color w:val="000000"/>
                <w:sz w:val="20"/>
                <w:lang w:val="en-US"/>
              </w:rPr>
            </w:pPr>
          </w:p>
        </w:tc>
      </w:tr>
    </w:tbl>
    <w:p w:rsidR="0089268C" w:rsidRDefault="00C3610E" w:rsidP="003A438B">
      <w:pPr>
        <w:pStyle w:val="AnnexNo"/>
      </w:pPr>
      <w:r>
        <w:lastRenderedPageBreak/>
        <w:t>Appendix 2</w:t>
      </w:r>
    </w:p>
    <w:p w:rsidR="0089268C" w:rsidRDefault="00C3610E" w:rsidP="003A438B">
      <w:pPr>
        <w:pStyle w:val="Annextitle"/>
      </w:pPr>
      <w:r>
        <w:t xml:space="preserve">Sample Link for 5% Outdoor Deployment of 6 dBW RLAN Transmitters </w:t>
      </w:r>
    </w:p>
    <w:tbl>
      <w:tblPr>
        <w:tblW w:w="8740" w:type="dxa"/>
        <w:jc w:val="center"/>
        <w:tblLook w:val="04A0" w:firstRow="1" w:lastRow="0" w:firstColumn="1" w:lastColumn="0" w:noHBand="0" w:noVBand="1"/>
      </w:tblPr>
      <w:tblGrid>
        <w:gridCol w:w="2420"/>
        <w:gridCol w:w="3220"/>
        <w:gridCol w:w="2140"/>
        <w:gridCol w:w="960"/>
      </w:tblGrid>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u w:val="single"/>
                <w:lang w:val="en-US"/>
              </w:rPr>
            </w:pPr>
            <w:r>
              <w:rPr>
                <w:rFonts w:asciiTheme="majorBidi" w:hAnsiTheme="majorBidi" w:cstheme="majorBidi"/>
                <w:color w:val="000000"/>
                <w:sz w:val="20"/>
                <w:u w:val="single"/>
                <w:lang w:val="en-US"/>
              </w:rPr>
              <w:t>Link Calculation</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Transmit Station</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 xml:space="preserve">Aussaguel </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Antenna</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 xml:space="preserve">Antenna </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Transmit Frequency</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9D6E81">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5.192-</w:t>
            </w:r>
            <w:r w:rsidR="00C3610E">
              <w:rPr>
                <w:rFonts w:asciiTheme="majorBidi" w:hAnsiTheme="majorBidi" w:cstheme="majorBidi"/>
                <w:color w:val="000000"/>
                <w:sz w:val="20"/>
                <w:lang w:val="en-US"/>
              </w:rPr>
              <w:t>5.208 GHz</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Centre</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5.200 GHz</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Bandwidth</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16.5 MHz</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Transmit Power</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-4.7 dBW</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EIRP</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42.030 dBW</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Transmit Gain</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46.730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Relative Gain</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0.0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Peak Gain</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46.73 dBi</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Path Loss</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171.121491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ITU-R Rec. P.525</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171.070562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ITU-R Rec. P.618</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0.000331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fr-FR"/>
              </w:rPr>
            </w:pPr>
            <w:r>
              <w:rPr>
                <w:rFonts w:asciiTheme="majorBidi" w:hAnsiTheme="majorBidi" w:cstheme="majorBidi"/>
                <w:color w:val="000000"/>
                <w:sz w:val="20"/>
                <w:lang w:val="fr-FR"/>
              </w:rPr>
              <w:t>ITU-R Rec. P.676 (dry)</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0.046746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ITU-R Rec. P.676 (water)</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0.003852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Receive Station</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 xml:space="preserve">GstarSats-40 </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Antenna</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 xml:space="preserve">Antenna </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Receive Gain</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5.645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Relative Gain</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4.134738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Peak Gain</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1.51 dBi</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N (receive noise)</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-129.021365 dBW</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Noise Temperature</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550.0 K</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Wanted Bandwidth</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16.5 MHz</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Noise/Hz</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-201.196205 dBW/Hz</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C (signal strength)</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-126.346753 dBW</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Margin</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23.653247 dBW</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Threshold</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-150.0 dBW</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C/N</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2.674612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Margin</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-7.325388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Threshold</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10.0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u w:val="single"/>
                <w:lang w:val="en-US"/>
              </w:rPr>
            </w:pPr>
            <w:r>
              <w:rPr>
                <w:rFonts w:asciiTheme="majorBidi" w:hAnsiTheme="majorBidi" w:cstheme="majorBidi"/>
                <w:color w:val="000000"/>
                <w:sz w:val="20"/>
                <w:u w:val="single"/>
                <w:lang w:val="en-US"/>
              </w:rPr>
              <w:t>Worst Interferer</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Station</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 xml:space="preserve">74 Madrid </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Antenna</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 xml:space="preserve">Antenna1 </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Interferer Bandwidth</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16.5 MHz</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Interferer Power</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32.5 dBW</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EIRP</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22.967 dBW</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Interferer Gain</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-9.533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Relative Gain</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1.756608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Peak Gain</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-11.29 dBi</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Path Loss</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170.686701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ITU-R Rec. P.525</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170.639036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ITU-R Rec. P.618</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0.000103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fr-FR"/>
              </w:rPr>
            </w:pPr>
            <w:r>
              <w:rPr>
                <w:rFonts w:asciiTheme="majorBidi" w:hAnsiTheme="majorBidi" w:cstheme="majorBidi"/>
                <w:color w:val="000000"/>
                <w:sz w:val="20"/>
                <w:lang w:val="fr-FR"/>
              </w:rPr>
              <w:t>ITU-R Rec. P.676 (dry)</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0.044865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ITU-R Rec. P.676 (water)</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0.002696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Wanted Gain</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5.131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Relative Gain</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3.62144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Peak Gain</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1.51 dBi</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Wanted Feeder Loss</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2.9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Wanted Bandwidth</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16.5 MHz</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Signal Strength</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-145.488653 dBW</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Bandwidth Advantage</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0.0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Polarisation Advantage</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1.46128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Frequency Adjustments</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0.0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Other Advantages</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0.0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I</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-146.949933 dBW</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C/I</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20.60318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Margin</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-4.39682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Threshold</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25.0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C/(N+I)</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2.605197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Margin</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-22.394803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Threshold</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25.0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I/N</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-17.928568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Margin</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2.728568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Threshold</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-20.657135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u w:val="single"/>
                <w:lang w:val="en-US"/>
              </w:rPr>
            </w:pPr>
            <w:r>
              <w:rPr>
                <w:rFonts w:asciiTheme="majorBidi" w:hAnsiTheme="majorBidi" w:cstheme="majorBidi"/>
                <w:color w:val="000000"/>
                <w:sz w:val="20"/>
                <w:u w:val="single"/>
                <w:lang w:val="en-US"/>
              </w:rPr>
              <w:t>Aggregate Interference</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Number of Interferers</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jc w:val="right"/>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167</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I</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-139.683814 dBW</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C/I</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13.337061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Margin</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-11.662939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Threshold</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25.0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C/(N+I)</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2.316902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Margin</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-22.683098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Threshold</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25.0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I/N</w:t>
            </w:r>
          </w:p>
        </w:tc>
        <w:tc>
          <w:tcPr>
            <w:tcW w:w="32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-10.662449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Margin</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-4.537551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r w:rsidR="0089268C" w:rsidTr="003A438B">
        <w:trPr>
          <w:trHeight w:val="300"/>
          <w:jc w:val="center"/>
        </w:trPr>
        <w:tc>
          <w:tcPr>
            <w:tcW w:w="242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c>
          <w:tcPr>
            <w:tcW w:w="322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Threshold</w:t>
            </w:r>
          </w:p>
        </w:tc>
        <w:tc>
          <w:tcPr>
            <w:tcW w:w="2140" w:type="dxa"/>
            <w:tcBorders>
              <w:top w:val="nil"/>
              <w:left w:val="nil"/>
              <w:bottom w:val="nil"/>
              <w:right w:val="nil"/>
            </w:tcBorders>
            <w:shd w:val="clear" w:color="auto" w:fill="auto"/>
            <w:noWrap/>
            <w:vAlign w:val="bottom"/>
            <w:hideMark/>
          </w:tcPr>
          <w:p w:rsidR="0089268C" w:rsidRDefault="00C3610E">
            <w:pPr>
              <w:overflowPunct/>
              <w:autoSpaceDE/>
              <w:autoSpaceDN/>
              <w:adjustRightInd/>
              <w:spacing w:before="0"/>
              <w:textAlignment w:val="auto"/>
              <w:rPr>
                <w:rFonts w:asciiTheme="majorBidi" w:hAnsiTheme="majorBidi" w:cstheme="majorBidi"/>
                <w:color w:val="000000"/>
                <w:sz w:val="20"/>
                <w:lang w:val="en-US"/>
              </w:rPr>
            </w:pPr>
            <w:r>
              <w:rPr>
                <w:rFonts w:asciiTheme="majorBidi" w:hAnsiTheme="majorBidi" w:cstheme="majorBidi"/>
                <w:color w:val="000000"/>
                <w:sz w:val="20"/>
                <w:lang w:val="en-US"/>
              </w:rPr>
              <w:t>-6.124897 dB</w:t>
            </w:r>
          </w:p>
        </w:tc>
        <w:tc>
          <w:tcPr>
            <w:tcW w:w="960" w:type="dxa"/>
            <w:tcBorders>
              <w:top w:val="nil"/>
              <w:left w:val="nil"/>
              <w:bottom w:val="nil"/>
              <w:right w:val="nil"/>
            </w:tcBorders>
            <w:shd w:val="clear" w:color="auto" w:fill="auto"/>
            <w:noWrap/>
            <w:vAlign w:val="bottom"/>
            <w:hideMark/>
          </w:tcPr>
          <w:p w:rsidR="0089268C" w:rsidRDefault="0089268C">
            <w:pPr>
              <w:overflowPunct/>
              <w:autoSpaceDE/>
              <w:autoSpaceDN/>
              <w:adjustRightInd/>
              <w:spacing w:before="0"/>
              <w:textAlignment w:val="auto"/>
              <w:rPr>
                <w:rFonts w:asciiTheme="majorBidi" w:hAnsiTheme="majorBidi" w:cstheme="majorBidi"/>
                <w:color w:val="000000"/>
                <w:sz w:val="20"/>
                <w:lang w:val="en-US"/>
              </w:rPr>
            </w:pPr>
          </w:p>
        </w:tc>
      </w:tr>
    </w:tbl>
    <w:p w:rsidR="0089268C" w:rsidRDefault="00C3610E">
      <w:pPr>
        <w:pStyle w:val="Heading3"/>
        <w:rPr>
          <w:lang w:val="en-US"/>
        </w:rPr>
      </w:pPr>
      <w:r w:rsidRPr="001E7D0F">
        <w:rPr>
          <w:lang w:val="en-US"/>
        </w:rPr>
        <w:t xml:space="preserve">5.1.4 </w:t>
      </w:r>
      <w:r>
        <w:rPr>
          <w:lang w:val="en-US"/>
        </w:rPr>
        <w:tab/>
      </w:r>
      <w:r w:rsidR="00BE3B8C" w:rsidRPr="001E7D0F">
        <w:rPr>
          <w:lang w:val="en-US"/>
        </w:rPr>
        <w:t>S</w:t>
      </w:r>
      <w:r w:rsidRPr="001E7D0F">
        <w:rPr>
          <w:lang w:val="en-US"/>
        </w:rPr>
        <w:t>tudy 4</w:t>
      </w:r>
      <w:r>
        <w:rPr>
          <w:lang w:val="en-US"/>
        </w:rPr>
        <w:t xml:space="preserve"> (CHN 5A/</w:t>
      </w:r>
      <w:hyperlink r:id="rId74" w:history="1">
        <w:r w:rsidRPr="009D6E81">
          <w:rPr>
            <w:rStyle w:val="Hyperlink"/>
            <w:lang w:val="en-US"/>
          </w:rPr>
          <w:t>574</w:t>
        </w:r>
      </w:hyperlink>
      <w:r>
        <w:rPr>
          <w:lang w:val="en-US"/>
        </w:rPr>
        <w:t>)</w:t>
      </w:r>
    </w:p>
    <w:p w:rsidR="0089268C" w:rsidRPr="003A438B" w:rsidRDefault="00C3610E">
      <w:pPr>
        <w:rPr>
          <w:i/>
          <w:iCs/>
          <w:lang w:val="en-US" w:eastAsia="zh-CN"/>
        </w:rPr>
      </w:pPr>
      <w:r w:rsidRPr="003A438B">
        <w:rPr>
          <w:i/>
          <w:iCs/>
          <w:lang w:val="en-US" w:eastAsia="zh-CN"/>
        </w:rPr>
        <w:t xml:space="preserve">[Editor’s </w:t>
      </w:r>
      <w:r w:rsidR="003A438B" w:rsidRPr="003A438B">
        <w:rPr>
          <w:i/>
          <w:iCs/>
          <w:lang w:val="en-US" w:eastAsia="zh-CN"/>
        </w:rPr>
        <w:t>note</w:t>
      </w:r>
      <w:r w:rsidRPr="003A438B">
        <w:rPr>
          <w:i/>
          <w:iCs/>
          <w:lang w:val="en-US" w:eastAsia="zh-CN"/>
        </w:rPr>
        <w:t>: The information of COMPASS-MSS system in this study needs confirmation from WP 4A.]</w:t>
      </w:r>
    </w:p>
    <w:p w:rsidR="0089268C" w:rsidRPr="003A438B" w:rsidRDefault="00C3610E">
      <w:pPr>
        <w:rPr>
          <w:i/>
          <w:iCs/>
          <w:lang w:val="en-US" w:eastAsia="zh-CN"/>
        </w:rPr>
      </w:pPr>
      <w:r w:rsidRPr="003A438B">
        <w:rPr>
          <w:i/>
          <w:iCs/>
          <w:lang w:val="en-US" w:eastAsia="zh-CN"/>
        </w:rPr>
        <w:t xml:space="preserve">[Editor’s </w:t>
      </w:r>
      <w:r w:rsidR="003A438B" w:rsidRPr="003A438B">
        <w:rPr>
          <w:i/>
          <w:iCs/>
          <w:lang w:val="en-US" w:eastAsia="zh-CN"/>
        </w:rPr>
        <w:t>note</w:t>
      </w:r>
      <w:r w:rsidRPr="003A438B">
        <w:rPr>
          <w:i/>
          <w:iCs/>
          <w:lang w:val="en-US" w:eastAsia="zh-CN"/>
        </w:rPr>
        <w:t>: Further studies are needed for the percentage of outdoor RLAN.]</w:t>
      </w:r>
    </w:p>
    <w:p w:rsidR="0089268C" w:rsidRDefault="00C3610E">
      <w:pPr>
        <w:rPr>
          <w:lang w:val="en-US" w:eastAsia="zh-CN"/>
        </w:rPr>
      </w:pPr>
      <w:r>
        <w:rPr>
          <w:lang w:val="en-US" w:eastAsia="zh-CN"/>
        </w:rPr>
        <w:t xml:space="preserve">This document provides a preliminary analysis of interference from potential outdoor WAS/RLAN applications with the feeder uplinks of the COMPASS-MSS system in the fixed-satellite service (FSS) in the frequency band 5 150-5 250 MHz. </w:t>
      </w:r>
    </w:p>
    <w:p w:rsidR="0089268C" w:rsidRPr="001E7D0F" w:rsidRDefault="00C3610E" w:rsidP="00C720B2">
      <w:pPr>
        <w:pStyle w:val="Heading4"/>
      </w:pPr>
      <w:r w:rsidRPr="001E7D0F">
        <w:lastRenderedPageBreak/>
        <w:t>5.1.4.</w:t>
      </w:r>
      <w:r w:rsidR="00C720B2">
        <w:t>1</w:t>
      </w:r>
      <w:r w:rsidRPr="001E7D0F">
        <w:tab/>
        <w:t>Technical characteristics</w:t>
      </w:r>
    </w:p>
    <w:p w:rsidR="0089268C" w:rsidRPr="001E7D0F" w:rsidRDefault="00C3610E" w:rsidP="00C720B2">
      <w:pPr>
        <w:pStyle w:val="Heading5"/>
      </w:pPr>
      <w:r w:rsidRPr="001E7D0F">
        <w:t>5.1.4.</w:t>
      </w:r>
      <w:r w:rsidR="00C720B2">
        <w:t>1</w:t>
      </w:r>
      <w:r w:rsidRPr="001E7D0F">
        <w:t>.1</w:t>
      </w:r>
      <w:r w:rsidRPr="001E7D0F">
        <w:tab/>
        <w:t>Technical and operational characteristics of WAS/RLAN system operating in the 5 150-5 250 MHz frequency band</w:t>
      </w:r>
    </w:p>
    <w:p w:rsidR="0089268C" w:rsidRDefault="00C3610E">
      <w:pPr>
        <w:rPr>
          <w:lang w:val="en-US" w:eastAsia="zh-CN"/>
        </w:rPr>
      </w:pPr>
      <w:r>
        <w:rPr>
          <w:lang w:val="en-US" w:eastAsia="zh-CN"/>
        </w:rPr>
        <w:t xml:space="preserve">The parameters of WAS/RLAN used in the analysis are based on “Working document towards a preliminary draft new Report ITU-R M.[RLAN REQ-PAR] – </w:t>
      </w:r>
      <w:r>
        <w:rPr>
          <w:i/>
          <w:lang w:val="en-US" w:eastAsia="zh-CN"/>
        </w:rPr>
        <w:t>Technical characteristics and operational requirements of WAS/RLAN in the 5 GHz frequency range</w:t>
      </w:r>
      <w:r>
        <w:rPr>
          <w:lang w:val="en-US" w:eastAsia="zh-CN"/>
        </w:rPr>
        <w:t>; (Annex 27 to Document 5A/469). These parameters are summarized in the Table 1 below.</w:t>
      </w:r>
    </w:p>
    <w:p w:rsidR="0089268C" w:rsidRDefault="00C3610E">
      <w:pPr>
        <w:pStyle w:val="TableNo"/>
        <w:rPr>
          <w:lang w:val="en-US"/>
        </w:rPr>
      </w:pPr>
      <w:r>
        <w:rPr>
          <w:lang w:val="en-US"/>
        </w:rPr>
        <w:t>TABLE 1</w:t>
      </w:r>
    </w:p>
    <w:p w:rsidR="0089268C" w:rsidRDefault="00C3610E">
      <w:pPr>
        <w:pStyle w:val="Tabletitle"/>
        <w:rPr>
          <w:lang w:val="en-US"/>
        </w:rPr>
      </w:pPr>
      <w:r>
        <w:rPr>
          <w:lang w:val="en-US"/>
        </w:rPr>
        <w:t>WAS/RLAN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103"/>
        <w:gridCol w:w="2268"/>
      </w:tblGrid>
      <w:tr w:rsidR="0089268C">
        <w:trPr>
          <w:jc w:val="center"/>
        </w:trPr>
        <w:tc>
          <w:tcPr>
            <w:tcW w:w="5103" w:type="dxa"/>
          </w:tcPr>
          <w:p w:rsidR="0089268C" w:rsidRDefault="00C3610E">
            <w:pPr>
              <w:pStyle w:val="Tablehead"/>
              <w:rPr>
                <w:lang w:val="en-US"/>
              </w:rPr>
            </w:pPr>
            <w:r>
              <w:rPr>
                <w:lang w:val="en-US"/>
              </w:rPr>
              <w:t>Parameter</w:t>
            </w:r>
          </w:p>
        </w:tc>
        <w:tc>
          <w:tcPr>
            <w:tcW w:w="2268" w:type="dxa"/>
          </w:tcPr>
          <w:p w:rsidR="0089268C" w:rsidRDefault="00C3610E">
            <w:pPr>
              <w:pStyle w:val="Tablehead"/>
              <w:rPr>
                <w:lang w:val="en-US"/>
              </w:rPr>
            </w:pPr>
            <w:r>
              <w:rPr>
                <w:lang w:val="en-US"/>
              </w:rPr>
              <w:t>Value</w:t>
            </w:r>
          </w:p>
        </w:tc>
      </w:tr>
      <w:tr w:rsidR="0089268C">
        <w:trPr>
          <w:jc w:val="center"/>
        </w:trPr>
        <w:tc>
          <w:tcPr>
            <w:tcW w:w="5103" w:type="dxa"/>
          </w:tcPr>
          <w:p w:rsidR="0089268C" w:rsidRDefault="00C3610E">
            <w:pPr>
              <w:pStyle w:val="Tabletext"/>
              <w:rPr>
                <w:lang w:val="en-US"/>
              </w:rPr>
            </w:pPr>
            <w:r>
              <w:rPr>
                <w:lang w:val="en-US"/>
              </w:rPr>
              <w:t>Average RLAN e.i.r.p. (dBm)</w:t>
            </w:r>
          </w:p>
        </w:tc>
        <w:tc>
          <w:tcPr>
            <w:tcW w:w="2268" w:type="dxa"/>
          </w:tcPr>
          <w:p w:rsidR="0089268C" w:rsidRDefault="00C3610E">
            <w:pPr>
              <w:pStyle w:val="Tabletext"/>
              <w:jc w:val="center"/>
              <w:rPr>
                <w:lang w:val="en-US"/>
              </w:rPr>
            </w:pPr>
            <w:r>
              <w:rPr>
                <w:lang w:val="en-US"/>
              </w:rPr>
              <w:t>19</w:t>
            </w:r>
            <w:r>
              <w:rPr>
                <w:rStyle w:val="FootnoteReference"/>
                <w:sz w:val="14"/>
                <w:szCs w:val="14"/>
                <w:lang w:val="en-US"/>
              </w:rPr>
              <w:footnoteReference w:id="16"/>
            </w:r>
          </w:p>
        </w:tc>
      </w:tr>
      <w:tr w:rsidR="0089268C">
        <w:trPr>
          <w:jc w:val="center"/>
        </w:trPr>
        <w:tc>
          <w:tcPr>
            <w:tcW w:w="5103" w:type="dxa"/>
          </w:tcPr>
          <w:p w:rsidR="0089268C" w:rsidRDefault="00C3610E">
            <w:pPr>
              <w:pStyle w:val="Tabletext"/>
              <w:rPr>
                <w:lang w:val="en-US"/>
              </w:rPr>
            </w:pPr>
            <w:r>
              <w:rPr>
                <w:lang w:val="en-US"/>
              </w:rPr>
              <w:t xml:space="preserve">Average Antenna Discrimination </w:t>
            </w:r>
            <w:r>
              <w:rPr>
                <w:rFonts w:eastAsia="Batang"/>
                <w:lang w:val="en-US"/>
              </w:rPr>
              <w:t>in Elevation</w:t>
            </w:r>
            <w:r>
              <w:rPr>
                <w:lang w:val="en-US"/>
              </w:rPr>
              <w:t xml:space="preserve"> (dB)</w:t>
            </w:r>
          </w:p>
        </w:tc>
        <w:tc>
          <w:tcPr>
            <w:tcW w:w="2268" w:type="dxa"/>
          </w:tcPr>
          <w:p w:rsidR="0089268C" w:rsidRDefault="00C3610E">
            <w:pPr>
              <w:pStyle w:val="Tabletext"/>
              <w:jc w:val="center"/>
              <w:rPr>
                <w:lang w:val="en-US"/>
              </w:rPr>
            </w:pPr>
            <w:r>
              <w:rPr>
                <w:lang w:val="en-US"/>
              </w:rPr>
              <w:t>2</w:t>
            </w:r>
          </w:p>
        </w:tc>
      </w:tr>
      <w:tr w:rsidR="0089268C">
        <w:trPr>
          <w:jc w:val="center"/>
        </w:trPr>
        <w:tc>
          <w:tcPr>
            <w:tcW w:w="5103" w:type="dxa"/>
          </w:tcPr>
          <w:p w:rsidR="0089268C" w:rsidRDefault="00C3610E">
            <w:pPr>
              <w:pStyle w:val="Tabletext"/>
              <w:rPr>
                <w:lang w:val="en-US"/>
              </w:rPr>
            </w:pPr>
            <w:r>
              <w:rPr>
                <w:lang w:val="en-US" w:eastAsia="zh-CN"/>
              </w:rPr>
              <w:t>Average RLAN Device Densit</w:t>
            </w:r>
            <w:r>
              <w:rPr>
                <w:lang w:val="en-US" w:eastAsia="ja-JP"/>
              </w:rPr>
              <w:t>y (</w:t>
            </w:r>
            <w:r>
              <w:rPr>
                <w:lang w:val="en-US"/>
              </w:rPr>
              <w:t>active devices per inhabitant</w:t>
            </w:r>
            <w:r>
              <w:rPr>
                <w:lang w:val="en-US" w:eastAsia="ja-JP"/>
              </w:rPr>
              <w:t>)</w:t>
            </w:r>
          </w:p>
        </w:tc>
        <w:tc>
          <w:tcPr>
            <w:tcW w:w="2268" w:type="dxa"/>
          </w:tcPr>
          <w:p w:rsidR="0089268C" w:rsidRDefault="00C3610E">
            <w:pPr>
              <w:pStyle w:val="Tabletext"/>
              <w:jc w:val="center"/>
              <w:rPr>
                <w:lang w:val="en-US"/>
              </w:rPr>
            </w:pPr>
            <w:r>
              <w:rPr>
                <w:color w:val="000000"/>
                <w:szCs w:val="24"/>
                <w:lang w:val="en-US"/>
              </w:rPr>
              <w:t>0.0265</w:t>
            </w:r>
          </w:p>
        </w:tc>
      </w:tr>
    </w:tbl>
    <w:p w:rsidR="0089268C" w:rsidRDefault="0089268C">
      <w:pPr>
        <w:pStyle w:val="Tablefin"/>
      </w:pPr>
    </w:p>
    <w:p w:rsidR="0089268C" w:rsidRDefault="00C3610E">
      <w:pPr>
        <w:rPr>
          <w:lang w:val="en-US"/>
        </w:rPr>
      </w:pPr>
      <w:r>
        <w:rPr>
          <w:lang w:val="en-US" w:eastAsia="zh-CN"/>
        </w:rPr>
        <w:t>Besides the parameters in the Table 1,</w:t>
      </w:r>
      <w:bookmarkStart w:id="83" w:name="_Hlk496278296"/>
      <w:r>
        <w:rPr>
          <w:lang w:val="en-US" w:eastAsia="zh-CN"/>
        </w:rPr>
        <w:t xml:space="preserve"> </w:t>
      </w:r>
      <w:r>
        <w:rPr>
          <w:lang w:val="en-US"/>
        </w:rPr>
        <w:t>WAS/RLAN overlapping factors and average bandwidth factors</w:t>
      </w:r>
      <w:bookmarkEnd w:id="83"/>
      <w:r>
        <w:rPr>
          <w:lang w:val="en-US"/>
        </w:rPr>
        <w:t xml:space="preserve"> are given in the working document for satellite service, as showed in the Table 2 below.</w:t>
      </w:r>
    </w:p>
    <w:p w:rsidR="0089268C" w:rsidRDefault="00C3610E">
      <w:pPr>
        <w:pStyle w:val="TableNo"/>
        <w:rPr>
          <w:lang w:val="en-US"/>
        </w:rPr>
      </w:pPr>
      <w:r>
        <w:rPr>
          <w:lang w:val="en-US"/>
        </w:rPr>
        <w:t>TABLE 2</w:t>
      </w:r>
    </w:p>
    <w:p w:rsidR="0089268C" w:rsidRDefault="00C3610E">
      <w:pPr>
        <w:pStyle w:val="Tabletitle"/>
        <w:rPr>
          <w:lang w:val="en-US"/>
        </w:rPr>
      </w:pPr>
      <w:r>
        <w:rPr>
          <w:lang w:val="en-US"/>
        </w:rPr>
        <w:t>WAS/RLAN Overlapping Factors and Average Bandwidth Factors regarding satellite services</w:t>
      </w:r>
    </w:p>
    <w:tbl>
      <w:tblPr>
        <w:tblStyle w:val="TableGrid"/>
        <w:tblW w:w="0" w:type="auto"/>
        <w:jc w:val="center"/>
        <w:tblLook w:val="04A0" w:firstRow="1" w:lastRow="0" w:firstColumn="1" w:lastColumn="0" w:noHBand="0" w:noVBand="1"/>
      </w:tblPr>
      <w:tblGrid>
        <w:gridCol w:w="2405"/>
        <w:gridCol w:w="1555"/>
        <w:gridCol w:w="1555"/>
        <w:gridCol w:w="1690"/>
        <w:gridCol w:w="1555"/>
      </w:tblGrid>
      <w:tr w:rsidR="0089268C" w:rsidTr="00C9739E">
        <w:trPr>
          <w:cantSplit/>
          <w:tblHeader/>
          <w:jc w:val="center"/>
        </w:trPr>
        <w:tc>
          <w:tcPr>
            <w:tcW w:w="2405" w:type="dxa"/>
            <w:vAlign w:val="center"/>
          </w:tcPr>
          <w:p w:rsidR="0089268C" w:rsidRDefault="00C3610E">
            <w:pPr>
              <w:pStyle w:val="Tablehead"/>
              <w:rPr>
                <w:lang w:val="en-US"/>
              </w:rPr>
            </w:pPr>
            <w:r>
              <w:rPr>
                <w:lang w:val="en-US"/>
              </w:rPr>
              <w:t>Case under study</w:t>
            </w:r>
          </w:p>
        </w:tc>
        <w:tc>
          <w:tcPr>
            <w:tcW w:w="1555" w:type="dxa"/>
            <w:vAlign w:val="center"/>
          </w:tcPr>
          <w:p w:rsidR="0089268C" w:rsidRDefault="00C3610E">
            <w:pPr>
              <w:pStyle w:val="Tablehead"/>
              <w:rPr>
                <w:lang w:val="en-US"/>
              </w:rPr>
            </w:pPr>
            <w:r>
              <w:rPr>
                <w:lang w:val="en-US"/>
              </w:rPr>
              <w:t>Receiver Bandwidth (MHz)</w:t>
            </w:r>
          </w:p>
        </w:tc>
        <w:tc>
          <w:tcPr>
            <w:tcW w:w="1555" w:type="dxa"/>
            <w:vAlign w:val="center"/>
          </w:tcPr>
          <w:p w:rsidR="0089268C" w:rsidRDefault="00C3610E">
            <w:pPr>
              <w:pStyle w:val="Tablehead"/>
              <w:rPr>
                <w:lang w:val="en-US"/>
              </w:rPr>
            </w:pPr>
            <w:r>
              <w:rPr>
                <w:lang w:val="en-US"/>
              </w:rPr>
              <w:t>Overlapping factor</w:t>
            </w:r>
          </w:p>
        </w:tc>
        <w:tc>
          <w:tcPr>
            <w:tcW w:w="1690" w:type="dxa"/>
            <w:vAlign w:val="center"/>
          </w:tcPr>
          <w:p w:rsidR="0089268C" w:rsidRDefault="00C3610E">
            <w:pPr>
              <w:pStyle w:val="Tablehead"/>
              <w:rPr>
                <w:lang w:val="en-US"/>
              </w:rPr>
            </w:pPr>
            <w:r>
              <w:rPr>
                <w:lang w:val="en-US"/>
              </w:rPr>
              <w:t>Resulting density (RLAN/inhab.)</w:t>
            </w:r>
          </w:p>
        </w:tc>
        <w:tc>
          <w:tcPr>
            <w:tcW w:w="1555" w:type="dxa"/>
            <w:vAlign w:val="center"/>
          </w:tcPr>
          <w:p w:rsidR="0089268C" w:rsidRDefault="00C3610E">
            <w:pPr>
              <w:pStyle w:val="Tablehead"/>
              <w:rPr>
                <w:lang w:val="en-US"/>
              </w:rPr>
            </w:pPr>
            <w:r>
              <w:rPr>
                <w:lang w:val="en-US"/>
              </w:rPr>
              <w:t>Average Bandwidth factor</w:t>
            </w:r>
          </w:p>
        </w:tc>
      </w:tr>
      <w:tr w:rsidR="0089268C" w:rsidTr="00C9739E">
        <w:trPr>
          <w:cantSplit/>
          <w:jc w:val="center"/>
        </w:trPr>
        <w:tc>
          <w:tcPr>
            <w:tcW w:w="2405" w:type="dxa"/>
            <w:vAlign w:val="center"/>
          </w:tcPr>
          <w:p w:rsidR="0089268C" w:rsidRDefault="00C3610E">
            <w:pPr>
              <w:pStyle w:val="Tabletext"/>
              <w:jc w:val="center"/>
              <w:rPr>
                <w:lang w:val="en-US"/>
              </w:rPr>
            </w:pPr>
            <w:r>
              <w:rPr>
                <w:lang w:val="en-US"/>
              </w:rPr>
              <w:t>FSS</w:t>
            </w:r>
          </w:p>
        </w:tc>
        <w:tc>
          <w:tcPr>
            <w:tcW w:w="1555" w:type="dxa"/>
            <w:vAlign w:val="center"/>
          </w:tcPr>
          <w:p w:rsidR="0089268C" w:rsidRDefault="00C3610E">
            <w:pPr>
              <w:pStyle w:val="Tabletext"/>
              <w:jc w:val="center"/>
              <w:rPr>
                <w:lang w:val="en-US"/>
              </w:rPr>
            </w:pPr>
            <w:r>
              <w:rPr>
                <w:lang w:val="en-US"/>
              </w:rPr>
              <w:t>40</w:t>
            </w:r>
          </w:p>
        </w:tc>
        <w:tc>
          <w:tcPr>
            <w:tcW w:w="1555" w:type="dxa"/>
            <w:vAlign w:val="center"/>
          </w:tcPr>
          <w:p w:rsidR="0089268C" w:rsidRDefault="00C3610E">
            <w:pPr>
              <w:pStyle w:val="Tabletext"/>
              <w:jc w:val="center"/>
              <w:rPr>
                <w:lang w:val="en-US"/>
              </w:rPr>
            </w:pPr>
            <w:r>
              <w:rPr>
                <w:lang w:val="en-US"/>
              </w:rPr>
              <w:t>12.9 %</w:t>
            </w:r>
          </w:p>
        </w:tc>
        <w:tc>
          <w:tcPr>
            <w:tcW w:w="1690" w:type="dxa"/>
            <w:vAlign w:val="center"/>
          </w:tcPr>
          <w:p w:rsidR="0089268C" w:rsidRDefault="00C3610E">
            <w:pPr>
              <w:pStyle w:val="Tabletext"/>
              <w:jc w:val="center"/>
              <w:rPr>
                <w:lang w:val="en-US"/>
              </w:rPr>
            </w:pPr>
            <w:r>
              <w:rPr>
                <w:color w:val="000000"/>
                <w:lang w:val="en-US"/>
              </w:rPr>
              <w:t>0.0034</w:t>
            </w:r>
          </w:p>
        </w:tc>
        <w:tc>
          <w:tcPr>
            <w:tcW w:w="1555" w:type="dxa"/>
            <w:vAlign w:val="center"/>
          </w:tcPr>
          <w:p w:rsidR="0089268C" w:rsidRDefault="00C3610E">
            <w:pPr>
              <w:pStyle w:val="Tabletext"/>
              <w:jc w:val="center"/>
              <w:rPr>
                <w:lang w:val="en-US"/>
              </w:rPr>
            </w:pPr>
            <w:r>
              <w:rPr>
                <w:lang w:val="en-US"/>
              </w:rPr>
              <w:t>3.59 dB</w:t>
            </w:r>
          </w:p>
        </w:tc>
      </w:tr>
      <w:tr w:rsidR="0089268C" w:rsidTr="00C9739E">
        <w:trPr>
          <w:cantSplit/>
          <w:jc w:val="center"/>
        </w:trPr>
        <w:tc>
          <w:tcPr>
            <w:tcW w:w="2405" w:type="dxa"/>
            <w:vAlign w:val="center"/>
          </w:tcPr>
          <w:p w:rsidR="0089268C" w:rsidRDefault="00C3610E">
            <w:pPr>
              <w:pStyle w:val="Tabletext"/>
              <w:jc w:val="center"/>
              <w:rPr>
                <w:lang w:val="en-US"/>
              </w:rPr>
            </w:pPr>
            <w:r>
              <w:rPr>
                <w:lang w:val="en-US"/>
              </w:rPr>
              <w:t>EESS (SAR)</w:t>
            </w:r>
          </w:p>
        </w:tc>
        <w:tc>
          <w:tcPr>
            <w:tcW w:w="1555" w:type="dxa"/>
            <w:vAlign w:val="center"/>
          </w:tcPr>
          <w:p w:rsidR="0089268C" w:rsidRDefault="00C3610E">
            <w:pPr>
              <w:pStyle w:val="Tabletext"/>
              <w:jc w:val="center"/>
              <w:rPr>
                <w:lang w:val="en-US"/>
              </w:rPr>
            </w:pPr>
            <w:r>
              <w:rPr>
                <w:lang w:val="en-US"/>
              </w:rPr>
              <w:t>100</w:t>
            </w:r>
          </w:p>
        </w:tc>
        <w:tc>
          <w:tcPr>
            <w:tcW w:w="1555" w:type="dxa"/>
            <w:vAlign w:val="center"/>
          </w:tcPr>
          <w:p w:rsidR="0089268C" w:rsidRDefault="00C3610E">
            <w:pPr>
              <w:pStyle w:val="Tabletext"/>
              <w:jc w:val="center"/>
              <w:rPr>
                <w:lang w:val="en-US"/>
              </w:rPr>
            </w:pPr>
            <w:r>
              <w:rPr>
                <w:lang w:val="en-US"/>
              </w:rPr>
              <w:t>22 %</w:t>
            </w:r>
          </w:p>
        </w:tc>
        <w:tc>
          <w:tcPr>
            <w:tcW w:w="1690" w:type="dxa"/>
            <w:vAlign w:val="center"/>
          </w:tcPr>
          <w:p w:rsidR="0089268C" w:rsidRDefault="00C3610E">
            <w:pPr>
              <w:pStyle w:val="Tabletext"/>
              <w:jc w:val="center"/>
              <w:rPr>
                <w:lang w:val="en-US"/>
              </w:rPr>
            </w:pPr>
            <w:r>
              <w:rPr>
                <w:color w:val="000000"/>
                <w:lang w:val="en-US"/>
              </w:rPr>
              <w:t>0.0058</w:t>
            </w:r>
          </w:p>
        </w:tc>
        <w:tc>
          <w:tcPr>
            <w:tcW w:w="1555" w:type="dxa"/>
            <w:vAlign w:val="center"/>
          </w:tcPr>
          <w:p w:rsidR="0089268C" w:rsidRDefault="00C3610E">
            <w:pPr>
              <w:pStyle w:val="Tabletext"/>
              <w:jc w:val="center"/>
              <w:rPr>
                <w:lang w:val="en-US"/>
              </w:rPr>
            </w:pPr>
            <w:r>
              <w:rPr>
                <w:lang w:val="en-US"/>
              </w:rPr>
              <w:t>1.94 dB</w:t>
            </w:r>
          </w:p>
        </w:tc>
      </w:tr>
      <w:tr w:rsidR="0089268C" w:rsidTr="00C9739E">
        <w:trPr>
          <w:cantSplit/>
          <w:jc w:val="center"/>
        </w:trPr>
        <w:tc>
          <w:tcPr>
            <w:tcW w:w="2405" w:type="dxa"/>
            <w:vAlign w:val="center"/>
          </w:tcPr>
          <w:p w:rsidR="0089268C" w:rsidRDefault="00C3610E">
            <w:pPr>
              <w:pStyle w:val="Tabletext"/>
              <w:jc w:val="center"/>
              <w:rPr>
                <w:lang w:val="en-US"/>
              </w:rPr>
            </w:pPr>
            <w:r>
              <w:rPr>
                <w:lang w:val="en-US"/>
              </w:rPr>
              <w:t>EESS (Altimeter)</w:t>
            </w:r>
          </w:p>
        </w:tc>
        <w:tc>
          <w:tcPr>
            <w:tcW w:w="1555" w:type="dxa"/>
            <w:vAlign w:val="center"/>
          </w:tcPr>
          <w:p w:rsidR="0089268C" w:rsidRDefault="00C3610E">
            <w:pPr>
              <w:pStyle w:val="Tabletext"/>
              <w:jc w:val="center"/>
              <w:rPr>
                <w:lang w:val="en-US"/>
              </w:rPr>
            </w:pPr>
            <w:r>
              <w:rPr>
                <w:lang w:val="en-US"/>
              </w:rPr>
              <w:t>320</w:t>
            </w:r>
          </w:p>
        </w:tc>
        <w:tc>
          <w:tcPr>
            <w:tcW w:w="1555" w:type="dxa"/>
            <w:vAlign w:val="center"/>
          </w:tcPr>
          <w:p w:rsidR="0089268C" w:rsidRDefault="00C3610E">
            <w:pPr>
              <w:pStyle w:val="Tabletext"/>
              <w:jc w:val="center"/>
              <w:rPr>
                <w:lang w:val="en-US"/>
              </w:rPr>
            </w:pPr>
            <w:r>
              <w:rPr>
                <w:lang w:val="en-US"/>
              </w:rPr>
              <w:t>48.9 %</w:t>
            </w:r>
          </w:p>
        </w:tc>
        <w:tc>
          <w:tcPr>
            <w:tcW w:w="1690" w:type="dxa"/>
            <w:vAlign w:val="center"/>
          </w:tcPr>
          <w:p w:rsidR="0089268C" w:rsidRDefault="00C3610E">
            <w:pPr>
              <w:pStyle w:val="Tabletext"/>
              <w:jc w:val="center"/>
              <w:rPr>
                <w:lang w:val="en-US"/>
              </w:rPr>
            </w:pPr>
            <w:r>
              <w:rPr>
                <w:color w:val="000000"/>
                <w:lang w:val="en-US"/>
              </w:rPr>
              <w:t>0.0130</w:t>
            </w:r>
          </w:p>
        </w:tc>
        <w:tc>
          <w:tcPr>
            <w:tcW w:w="1555" w:type="dxa"/>
            <w:vAlign w:val="center"/>
          </w:tcPr>
          <w:p w:rsidR="0089268C" w:rsidRDefault="00C3610E">
            <w:pPr>
              <w:pStyle w:val="Tabletext"/>
              <w:jc w:val="center"/>
              <w:rPr>
                <w:lang w:val="en-US"/>
              </w:rPr>
            </w:pPr>
            <w:r>
              <w:rPr>
                <w:lang w:val="en-US"/>
              </w:rPr>
              <w:t>0.35 dB</w:t>
            </w:r>
          </w:p>
        </w:tc>
      </w:tr>
      <w:tr w:rsidR="0089268C" w:rsidTr="00C9739E">
        <w:trPr>
          <w:cantSplit/>
          <w:jc w:val="center"/>
        </w:trPr>
        <w:tc>
          <w:tcPr>
            <w:tcW w:w="2405" w:type="dxa"/>
            <w:vAlign w:val="center"/>
          </w:tcPr>
          <w:p w:rsidR="0089268C" w:rsidRDefault="00C3610E">
            <w:pPr>
              <w:pStyle w:val="Tabletext"/>
              <w:jc w:val="center"/>
              <w:rPr>
                <w:lang w:val="en-US"/>
              </w:rPr>
            </w:pPr>
            <w:r>
              <w:rPr>
                <w:lang w:val="en-US"/>
              </w:rPr>
              <w:t>EESS (scatterometer)</w:t>
            </w:r>
          </w:p>
        </w:tc>
        <w:tc>
          <w:tcPr>
            <w:tcW w:w="1555" w:type="dxa"/>
            <w:vAlign w:val="center"/>
          </w:tcPr>
          <w:p w:rsidR="0089268C" w:rsidRDefault="00C3610E">
            <w:pPr>
              <w:pStyle w:val="Tabletext"/>
              <w:jc w:val="center"/>
              <w:rPr>
                <w:lang w:val="en-US"/>
              </w:rPr>
            </w:pPr>
            <w:r>
              <w:rPr>
                <w:lang w:val="en-US"/>
              </w:rPr>
              <w:t>2</w:t>
            </w:r>
          </w:p>
        </w:tc>
        <w:tc>
          <w:tcPr>
            <w:tcW w:w="1555" w:type="dxa"/>
            <w:vAlign w:val="center"/>
          </w:tcPr>
          <w:p w:rsidR="0089268C" w:rsidRDefault="00C3610E">
            <w:pPr>
              <w:pStyle w:val="Tabletext"/>
              <w:jc w:val="center"/>
              <w:rPr>
                <w:lang w:val="en-US"/>
              </w:rPr>
            </w:pPr>
            <w:r>
              <w:rPr>
                <w:lang w:val="en-US"/>
              </w:rPr>
              <w:t>11.0 %</w:t>
            </w:r>
          </w:p>
        </w:tc>
        <w:tc>
          <w:tcPr>
            <w:tcW w:w="1690" w:type="dxa"/>
            <w:vAlign w:val="center"/>
          </w:tcPr>
          <w:p w:rsidR="0089268C" w:rsidRDefault="00C3610E">
            <w:pPr>
              <w:pStyle w:val="Tabletext"/>
              <w:jc w:val="center"/>
              <w:rPr>
                <w:lang w:val="en-US"/>
              </w:rPr>
            </w:pPr>
            <w:r>
              <w:rPr>
                <w:color w:val="000000"/>
                <w:lang w:val="en-US"/>
              </w:rPr>
              <w:t>0.0029</w:t>
            </w:r>
          </w:p>
        </w:tc>
        <w:tc>
          <w:tcPr>
            <w:tcW w:w="1555" w:type="dxa"/>
            <w:vAlign w:val="center"/>
          </w:tcPr>
          <w:p w:rsidR="0089268C" w:rsidRDefault="00C3610E">
            <w:pPr>
              <w:pStyle w:val="Tabletext"/>
              <w:jc w:val="center"/>
              <w:rPr>
                <w:lang w:val="en-US"/>
              </w:rPr>
            </w:pPr>
            <w:r>
              <w:rPr>
                <w:lang w:val="en-US"/>
              </w:rPr>
              <w:t>15.89 dB</w:t>
            </w:r>
          </w:p>
        </w:tc>
      </w:tr>
      <w:tr w:rsidR="0089268C" w:rsidTr="00C9739E">
        <w:trPr>
          <w:cantSplit/>
          <w:jc w:val="center"/>
        </w:trPr>
        <w:tc>
          <w:tcPr>
            <w:tcW w:w="2405" w:type="dxa"/>
            <w:vAlign w:val="center"/>
          </w:tcPr>
          <w:p w:rsidR="0089268C" w:rsidRDefault="00C3610E">
            <w:pPr>
              <w:pStyle w:val="Tabletext"/>
              <w:jc w:val="center"/>
              <w:rPr>
                <w:lang w:val="en-US"/>
              </w:rPr>
            </w:pPr>
            <w:r>
              <w:rPr>
                <w:lang w:val="en-US"/>
              </w:rPr>
              <w:t>MSS Feeder links</w:t>
            </w:r>
          </w:p>
        </w:tc>
        <w:tc>
          <w:tcPr>
            <w:tcW w:w="1555" w:type="dxa"/>
            <w:vAlign w:val="center"/>
          </w:tcPr>
          <w:p w:rsidR="0089268C" w:rsidRDefault="00C3610E">
            <w:pPr>
              <w:pStyle w:val="Tabletext"/>
              <w:jc w:val="center"/>
              <w:rPr>
                <w:lang w:val="en-US"/>
              </w:rPr>
            </w:pPr>
            <w:r>
              <w:rPr>
                <w:lang w:val="en-US"/>
              </w:rPr>
              <w:t>16.5</w:t>
            </w:r>
          </w:p>
        </w:tc>
        <w:tc>
          <w:tcPr>
            <w:tcW w:w="1555" w:type="dxa"/>
            <w:vAlign w:val="center"/>
          </w:tcPr>
          <w:p w:rsidR="0089268C" w:rsidRDefault="00C3610E">
            <w:pPr>
              <w:pStyle w:val="Tabletext"/>
              <w:jc w:val="center"/>
              <w:rPr>
                <w:lang w:val="en-US"/>
              </w:rPr>
            </w:pPr>
            <w:r>
              <w:rPr>
                <w:lang w:val="en-US"/>
              </w:rPr>
              <w:t>11.0 %</w:t>
            </w:r>
          </w:p>
        </w:tc>
        <w:tc>
          <w:tcPr>
            <w:tcW w:w="1690" w:type="dxa"/>
            <w:vAlign w:val="center"/>
          </w:tcPr>
          <w:p w:rsidR="0089268C" w:rsidRDefault="00C3610E">
            <w:pPr>
              <w:pStyle w:val="Tabletext"/>
              <w:jc w:val="center"/>
              <w:rPr>
                <w:lang w:val="en-US"/>
              </w:rPr>
            </w:pPr>
            <w:r>
              <w:rPr>
                <w:color w:val="000000"/>
                <w:lang w:val="en-US"/>
              </w:rPr>
              <w:t>0.0029</w:t>
            </w:r>
          </w:p>
        </w:tc>
        <w:tc>
          <w:tcPr>
            <w:tcW w:w="1555" w:type="dxa"/>
            <w:vAlign w:val="center"/>
          </w:tcPr>
          <w:p w:rsidR="0089268C" w:rsidRDefault="00C3610E">
            <w:pPr>
              <w:pStyle w:val="Tabletext"/>
              <w:jc w:val="center"/>
              <w:rPr>
                <w:lang w:val="en-US"/>
              </w:rPr>
            </w:pPr>
            <w:r>
              <w:rPr>
                <w:lang w:val="en-US"/>
              </w:rPr>
              <w:t>6.73 dB</w:t>
            </w:r>
          </w:p>
        </w:tc>
      </w:tr>
    </w:tbl>
    <w:p w:rsidR="0089268C" w:rsidRDefault="0089268C">
      <w:pPr>
        <w:pStyle w:val="Tablefin"/>
      </w:pPr>
    </w:p>
    <w:p w:rsidR="0089268C" w:rsidRDefault="00C3610E">
      <w:pPr>
        <w:rPr>
          <w:lang w:val="en-US" w:eastAsia="zh-CN"/>
        </w:rPr>
      </w:pPr>
      <w:r>
        <w:rPr>
          <w:lang w:val="en-US" w:eastAsia="zh-CN"/>
        </w:rPr>
        <w:t xml:space="preserve">For the case of COMPASS-MSS system, the satellite receiver bandwidth is 8.2 MHz, which is not included in the table. Following the </w:t>
      </w:r>
      <w:r>
        <w:rPr>
          <w:lang w:val="en-US"/>
        </w:rPr>
        <w:t xml:space="preserve">calculation method in the working document, the overlapping factor and average bandwidth factor of the </w:t>
      </w:r>
      <w:r>
        <w:rPr>
          <w:lang w:val="en-US" w:eastAsia="zh-CN"/>
        </w:rPr>
        <w:t>COMPASS-MSS system</w:t>
      </w:r>
      <w:r>
        <w:rPr>
          <w:lang w:val="en-US"/>
        </w:rPr>
        <w:t xml:space="preserve"> can be derived, as showed in the Table 3 below.</w:t>
      </w:r>
    </w:p>
    <w:p w:rsidR="0089268C" w:rsidRDefault="00C3610E">
      <w:pPr>
        <w:pStyle w:val="TableNo"/>
        <w:rPr>
          <w:lang w:val="en-US"/>
        </w:rPr>
      </w:pPr>
      <w:r>
        <w:rPr>
          <w:lang w:val="en-US"/>
        </w:rPr>
        <w:lastRenderedPageBreak/>
        <w:t>TABLE 3</w:t>
      </w:r>
    </w:p>
    <w:p w:rsidR="0089268C" w:rsidRDefault="00C3610E">
      <w:pPr>
        <w:pStyle w:val="Tabletitle"/>
        <w:rPr>
          <w:lang w:val="en-US"/>
        </w:rPr>
      </w:pPr>
      <w:r>
        <w:rPr>
          <w:lang w:val="en-US"/>
        </w:rPr>
        <w:t xml:space="preserve">WAS/RLAN Overlapping Factors and Average Bandwidth Factors regarding </w:t>
      </w:r>
      <w:r>
        <w:rPr>
          <w:lang w:val="en-US" w:eastAsia="zh-CN"/>
        </w:rPr>
        <w:t>COMPASS-MSS system</w:t>
      </w:r>
    </w:p>
    <w:tbl>
      <w:tblPr>
        <w:tblStyle w:val="TableGrid"/>
        <w:tblW w:w="0" w:type="auto"/>
        <w:jc w:val="center"/>
        <w:tblLook w:val="04A0" w:firstRow="1" w:lastRow="0" w:firstColumn="1" w:lastColumn="0" w:noHBand="0" w:noVBand="1"/>
      </w:tblPr>
      <w:tblGrid>
        <w:gridCol w:w="2405"/>
        <w:gridCol w:w="1555"/>
        <w:gridCol w:w="1555"/>
        <w:gridCol w:w="1690"/>
        <w:gridCol w:w="1555"/>
      </w:tblGrid>
      <w:tr w:rsidR="0089268C">
        <w:trPr>
          <w:jc w:val="center"/>
        </w:trPr>
        <w:tc>
          <w:tcPr>
            <w:tcW w:w="2405" w:type="dxa"/>
            <w:vAlign w:val="center"/>
          </w:tcPr>
          <w:p w:rsidR="0089268C" w:rsidRDefault="00C3610E">
            <w:pPr>
              <w:pStyle w:val="Tablehead"/>
              <w:rPr>
                <w:lang w:val="en-US"/>
              </w:rPr>
            </w:pPr>
            <w:r>
              <w:rPr>
                <w:lang w:val="en-US"/>
              </w:rPr>
              <w:t>Case under study</w:t>
            </w:r>
          </w:p>
        </w:tc>
        <w:tc>
          <w:tcPr>
            <w:tcW w:w="1555" w:type="dxa"/>
            <w:vAlign w:val="center"/>
          </w:tcPr>
          <w:p w:rsidR="0089268C" w:rsidRDefault="00C3610E">
            <w:pPr>
              <w:pStyle w:val="Tablehead"/>
              <w:rPr>
                <w:lang w:val="en-US"/>
              </w:rPr>
            </w:pPr>
            <w:r>
              <w:rPr>
                <w:lang w:val="en-US"/>
              </w:rPr>
              <w:t>Receiver Bandwidth (MHz)</w:t>
            </w:r>
          </w:p>
        </w:tc>
        <w:tc>
          <w:tcPr>
            <w:tcW w:w="1555" w:type="dxa"/>
            <w:vAlign w:val="center"/>
          </w:tcPr>
          <w:p w:rsidR="0089268C" w:rsidRDefault="00C3610E">
            <w:pPr>
              <w:pStyle w:val="Tablehead"/>
              <w:rPr>
                <w:lang w:val="en-US"/>
              </w:rPr>
            </w:pPr>
            <w:r>
              <w:rPr>
                <w:lang w:val="en-US"/>
              </w:rPr>
              <w:t>Overlapping factor</w:t>
            </w:r>
          </w:p>
        </w:tc>
        <w:tc>
          <w:tcPr>
            <w:tcW w:w="1690" w:type="dxa"/>
            <w:vAlign w:val="center"/>
          </w:tcPr>
          <w:p w:rsidR="0089268C" w:rsidRDefault="00C3610E">
            <w:pPr>
              <w:pStyle w:val="Tablehead"/>
              <w:rPr>
                <w:lang w:val="en-US"/>
              </w:rPr>
            </w:pPr>
            <w:r>
              <w:rPr>
                <w:lang w:val="en-US"/>
              </w:rPr>
              <w:t>Resulting density (RLAN/inhab.)</w:t>
            </w:r>
          </w:p>
        </w:tc>
        <w:tc>
          <w:tcPr>
            <w:tcW w:w="1555" w:type="dxa"/>
            <w:vAlign w:val="center"/>
          </w:tcPr>
          <w:p w:rsidR="0089268C" w:rsidRDefault="00C3610E">
            <w:pPr>
              <w:pStyle w:val="Tablehead"/>
              <w:rPr>
                <w:lang w:val="en-US"/>
              </w:rPr>
            </w:pPr>
            <w:r>
              <w:rPr>
                <w:lang w:val="en-US"/>
              </w:rPr>
              <w:t>Average Bandwidth factor</w:t>
            </w:r>
          </w:p>
        </w:tc>
      </w:tr>
      <w:tr w:rsidR="0089268C">
        <w:trPr>
          <w:jc w:val="center"/>
        </w:trPr>
        <w:tc>
          <w:tcPr>
            <w:tcW w:w="2405" w:type="dxa"/>
            <w:vAlign w:val="center"/>
          </w:tcPr>
          <w:p w:rsidR="0089268C" w:rsidRDefault="00C3610E">
            <w:pPr>
              <w:pStyle w:val="Tabletext"/>
              <w:jc w:val="center"/>
              <w:rPr>
                <w:lang w:val="en-US"/>
              </w:rPr>
            </w:pPr>
            <w:r>
              <w:rPr>
                <w:lang w:val="en-US" w:eastAsia="zh-CN"/>
              </w:rPr>
              <w:t>COMPASS-MSS system</w:t>
            </w:r>
          </w:p>
        </w:tc>
        <w:tc>
          <w:tcPr>
            <w:tcW w:w="1555" w:type="dxa"/>
            <w:vAlign w:val="center"/>
          </w:tcPr>
          <w:p w:rsidR="0089268C" w:rsidRDefault="00C3610E">
            <w:pPr>
              <w:pStyle w:val="Tabletext"/>
              <w:jc w:val="center"/>
              <w:rPr>
                <w:lang w:val="en-US" w:eastAsia="zh-CN"/>
              </w:rPr>
            </w:pPr>
            <w:r>
              <w:rPr>
                <w:lang w:val="en-US" w:eastAsia="zh-CN"/>
              </w:rPr>
              <w:t>8.2</w:t>
            </w:r>
          </w:p>
        </w:tc>
        <w:tc>
          <w:tcPr>
            <w:tcW w:w="1555" w:type="dxa"/>
            <w:vAlign w:val="center"/>
          </w:tcPr>
          <w:p w:rsidR="0089268C" w:rsidRDefault="00C3610E">
            <w:pPr>
              <w:pStyle w:val="Tabletext"/>
              <w:jc w:val="center"/>
              <w:rPr>
                <w:lang w:val="en-US"/>
              </w:rPr>
            </w:pPr>
            <w:r>
              <w:rPr>
                <w:lang w:val="en-US"/>
              </w:rPr>
              <w:t>11.0 %</w:t>
            </w:r>
          </w:p>
        </w:tc>
        <w:tc>
          <w:tcPr>
            <w:tcW w:w="1690" w:type="dxa"/>
            <w:vAlign w:val="center"/>
          </w:tcPr>
          <w:p w:rsidR="0089268C" w:rsidRDefault="00C3610E">
            <w:pPr>
              <w:pStyle w:val="Tabletext"/>
              <w:jc w:val="center"/>
              <w:rPr>
                <w:lang w:val="en-US"/>
              </w:rPr>
            </w:pPr>
            <w:r>
              <w:rPr>
                <w:color w:val="000000"/>
                <w:lang w:val="en-US"/>
              </w:rPr>
              <w:t>0.0029</w:t>
            </w:r>
          </w:p>
        </w:tc>
        <w:tc>
          <w:tcPr>
            <w:tcW w:w="1555" w:type="dxa"/>
            <w:vAlign w:val="center"/>
          </w:tcPr>
          <w:p w:rsidR="0089268C" w:rsidRDefault="00C3610E">
            <w:pPr>
              <w:pStyle w:val="Tabletext"/>
              <w:jc w:val="center"/>
              <w:rPr>
                <w:lang w:val="en-US" w:eastAsia="zh-CN"/>
              </w:rPr>
            </w:pPr>
            <w:r>
              <w:rPr>
                <w:lang w:val="en-US" w:eastAsia="zh-CN"/>
              </w:rPr>
              <w:t>9.77 dB</w:t>
            </w:r>
          </w:p>
        </w:tc>
      </w:tr>
    </w:tbl>
    <w:p w:rsidR="0089268C" w:rsidRDefault="0089268C">
      <w:pPr>
        <w:pStyle w:val="Tablefin"/>
      </w:pPr>
    </w:p>
    <w:p w:rsidR="0089268C" w:rsidRPr="001E7D0F" w:rsidRDefault="00C3610E" w:rsidP="00C720B2">
      <w:pPr>
        <w:pStyle w:val="Heading5"/>
      </w:pPr>
      <w:r w:rsidRPr="001E7D0F">
        <w:t>5.1.4.</w:t>
      </w:r>
      <w:r w:rsidR="00C720B2">
        <w:t>1</w:t>
      </w:r>
      <w:r w:rsidRPr="001E7D0F">
        <w:t>.2</w:t>
      </w:r>
      <w:r w:rsidRPr="001E7D0F">
        <w:tab/>
        <w:t>Technical and operational characteristics of FSS system operating in the 5 150-</w:t>
      </w:r>
      <w:r w:rsidR="00107D9E">
        <w:br/>
      </w:r>
      <w:r w:rsidRPr="001E7D0F">
        <w:t>5</w:t>
      </w:r>
      <w:r w:rsidR="00107D9E">
        <w:t> </w:t>
      </w:r>
      <w:r w:rsidRPr="001E7D0F">
        <w:t>250 MHz frequency band</w:t>
      </w:r>
    </w:p>
    <w:p w:rsidR="0089268C" w:rsidRDefault="00C3610E" w:rsidP="00E5737A">
      <w:pPr>
        <w:rPr>
          <w:lang w:val="en-US" w:eastAsia="zh-CN"/>
        </w:rPr>
      </w:pPr>
      <w:r>
        <w:rPr>
          <w:lang w:val="en-US" w:eastAsia="zh-CN"/>
        </w:rPr>
        <w:t>China is planning to deploy a MSS system, i.e. next generation COMPASS-MSS system, with the service link of 1.6/2.5 GHz bands. This system will include several IGSO satellites, which plan to utilize inclined-orbit spacecrafts at an altitude of 36 000 kilometers and an inclination angle of the orbits of about 55 degrees. The feeder uplink of the IGSO satellites will operate in 5 091-5</w:t>
      </w:r>
      <w:r w:rsidR="00E5737A">
        <w:rPr>
          <w:lang w:val="en-US" w:eastAsia="zh-CN"/>
        </w:rPr>
        <w:t> </w:t>
      </w:r>
      <w:r>
        <w:rPr>
          <w:lang w:val="en-US" w:eastAsia="zh-CN"/>
        </w:rPr>
        <w:t>250</w:t>
      </w:r>
      <w:r w:rsidR="00E5737A">
        <w:rPr>
          <w:lang w:val="en-US" w:eastAsia="zh-CN"/>
        </w:rPr>
        <w:t> </w:t>
      </w:r>
      <w:r>
        <w:rPr>
          <w:lang w:val="en-US" w:eastAsia="zh-CN"/>
        </w:rPr>
        <w:t>MHz frequency band.</w:t>
      </w:r>
    </w:p>
    <w:p w:rsidR="0089268C" w:rsidRDefault="00C3610E">
      <w:pPr>
        <w:rPr>
          <w:lang w:val="en-US" w:eastAsia="zh-CN"/>
        </w:rPr>
      </w:pPr>
      <w:r>
        <w:rPr>
          <w:lang w:val="en-US" w:eastAsia="zh-CN"/>
        </w:rPr>
        <w:t>The parameters of the feeder uplink of the COMPASS-MSS system are summarized in the Table below.</w:t>
      </w:r>
    </w:p>
    <w:p w:rsidR="0089268C" w:rsidRDefault="00C3610E">
      <w:pPr>
        <w:pStyle w:val="TableNo"/>
        <w:rPr>
          <w:lang w:val="en-US"/>
        </w:rPr>
      </w:pPr>
      <w:r>
        <w:rPr>
          <w:lang w:val="en-US"/>
        </w:rPr>
        <w:t>TABLE 4</w:t>
      </w:r>
    </w:p>
    <w:p w:rsidR="0089268C" w:rsidRDefault="00C3610E">
      <w:pPr>
        <w:pStyle w:val="Tabletitle"/>
        <w:rPr>
          <w:lang w:val="en-US"/>
        </w:rPr>
      </w:pPr>
      <w:r>
        <w:rPr>
          <w:lang w:val="en-US"/>
        </w:rPr>
        <w:t>COMPASS-MSS Feeder Uplink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103"/>
        <w:gridCol w:w="2268"/>
      </w:tblGrid>
      <w:tr w:rsidR="0089268C" w:rsidTr="00C9739E">
        <w:trPr>
          <w:jc w:val="center"/>
        </w:trPr>
        <w:tc>
          <w:tcPr>
            <w:tcW w:w="5103" w:type="dxa"/>
            <w:vAlign w:val="center"/>
          </w:tcPr>
          <w:p w:rsidR="0089268C" w:rsidRDefault="00C3610E" w:rsidP="00C9739E">
            <w:pPr>
              <w:pStyle w:val="Tablehead"/>
              <w:rPr>
                <w:lang w:val="en-US"/>
              </w:rPr>
            </w:pPr>
            <w:r>
              <w:rPr>
                <w:lang w:val="en-US"/>
              </w:rPr>
              <w:t>Parameter</w:t>
            </w:r>
          </w:p>
        </w:tc>
        <w:tc>
          <w:tcPr>
            <w:tcW w:w="2268" w:type="dxa"/>
            <w:vAlign w:val="center"/>
          </w:tcPr>
          <w:p w:rsidR="0089268C" w:rsidRDefault="00C3610E" w:rsidP="00C9739E">
            <w:pPr>
              <w:pStyle w:val="Tablehead"/>
              <w:rPr>
                <w:lang w:val="en-US"/>
              </w:rPr>
            </w:pPr>
            <w:r>
              <w:rPr>
                <w:lang w:val="en-US" w:eastAsia="zh-CN"/>
              </w:rPr>
              <w:t>COMPASS-MSS system</w:t>
            </w:r>
          </w:p>
        </w:tc>
      </w:tr>
      <w:tr w:rsidR="0089268C">
        <w:trPr>
          <w:jc w:val="center"/>
        </w:trPr>
        <w:tc>
          <w:tcPr>
            <w:tcW w:w="5103" w:type="dxa"/>
          </w:tcPr>
          <w:p w:rsidR="0089268C" w:rsidRDefault="00C3610E">
            <w:pPr>
              <w:pStyle w:val="Tabletext"/>
              <w:rPr>
                <w:lang w:val="fr-CH"/>
              </w:rPr>
            </w:pPr>
            <w:r>
              <w:rPr>
                <w:lang w:val="fr-CH"/>
              </w:rPr>
              <w:t xml:space="preserve">Satellite orbit altitude </w:t>
            </w:r>
            <w:r>
              <w:rPr>
                <w:i/>
                <w:lang w:val="fr-CH"/>
              </w:rPr>
              <w:t>h</w:t>
            </w:r>
            <w:r>
              <w:rPr>
                <w:lang w:val="fr-CH"/>
              </w:rPr>
              <w:t xml:space="preserve"> (km)</w:t>
            </w:r>
          </w:p>
        </w:tc>
        <w:tc>
          <w:tcPr>
            <w:tcW w:w="2268" w:type="dxa"/>
          </w:tcPr>
          <w:p w:rsidR="0089268C" w:rsidRDefault="00C3610E">
            <w:pPr>
              <w:pStyle w:val="Tabletext"/>
              <w:jc w:val="center"/>
              <w:rPr>
                <w:lang w:val="en-US"/>
              </w:rPr>
            </w:pPr>
            <w:r>
              <w:rPr>
                <w:lang w:val="en-US"/>
              </w:rPr>
              <w:t>36 000</w:t>
            </w:r>
          </w:p>
        </w:tc>
      </w:tr>
      <w:tr w:rsidR="0089268C">
        <w:trPr>
          <w:jc w:val="center"/>
        </w:trPr>
        <w:tc>
          <w:tcPr>
            <w:tcW w:w="5103" w:type="dxa"/>
          </w:tcPr>
          <w:p w:rsidR="0089268C" w:rsidRDefault="00C3610E">
            <w:pPr>
              <w:pStyle w:val="Tabletext"/>
              <w:rPr>
                <w:lang w:val="en-US"/>
              </w:rPr>
            </w:pPr>
            <w:r>
              <w:rPr>
                <w:lang w:val="en-US"/>
              </w:rPr>
              <w:t>Satellite Inclination (degrees)</w:t>
            </w:r>
          </w:p>
        </w:tc>
        <w:tc>
          <w:tcPr>
            <w:tcW w:w="2268" w:type="dxa"/>
          </w:tcPr>
          <w:p w:rsidR="0089268C" w:rsidRDefault="00C3610E">
            <w:pPr>
              <w:pStyle w:val="Tabletext"/>
              <w:jc w:val="center"/>
              <w:rPr>
                <w:lang w:val="en-US"/>
              </w:rPr>
            </w:pPr>
            <w:r>
              <w:rPr>
                <w:lang w:val="en-US"/>
              </w:rPr>
              <w:t>55</w:t>
            </w:r>
          </w:p>
        </w:tc>
      </w:tr>
      <w:tr w:rsidR="0089268C">
        <w:trPr>
          <w:jc w:val="center"/>
        </w:trPr>
        <w:tc>
          <w:tcPr>
            <w:tcW w:w="5103" w:type="dxa"/>
          </w:tcPr>
          <w:p w:rsidR="0089268C" w:rsidRDefault="00C3610E">
            <w:pPr>
              <w:pStyle w:val="Tabletext"/>
              <w:rPr>
                <w:lang w:val="en-US"/>
              </w:rPr>
            </w:pPr>
            <w:r>
              <w:rPr>
                <w:lang w:val="en-US"/>
              </w:rPr>
              <w:t>Frequency Range (MHz)</w:t>
            </w:r>
          </w:p>
        </w:tc>
        <w:tc>
          <w:tcPr>
            <w:tcW w:w="2268" w:type="dxa"/>
          </w:tcPr>
          <w:p w:rsidR="0089268C" w:rsidRDefault="00C3610E">
            <w:pPr>
              <w:pStyle w:val="Tabletext"/>
              <w:jc w:val="center"/>
              <w:rPr>
                <w:lang w:val="en-US"/>
              </w:rPr>
            </w:pPr>
            <w:r>
              <w:rPr>
                <w:lang w:val="en-US"/>
              </w:rPr>
              <w:t xml:space="preserve">5 091-5 250 </w:t>
            </w:r>
          </w:p>
        </w:tc>
      </w:tr>
      <w:tr w:rsidR="0089268C">
        <w:trPr>
          <w:jc w:val="center"/>
        </w:trPr>
        <w:tc>
          <w:tcPr>
            <w:tcW w:w="5103" w:type="dxa"/>
          </w:tcPr>
          <w:p w:rsidR="0089268C" w:rsidRDefault="00C3610E">
            <w:pPr>
              <w:pStyle w:val="Tabletext"/>
              <w:rPr>
                <w:lang w:val="en-US"/>
              </w:rPr>
            </w:pPr>
            <w:r>
              <w:rPr>
                <w:lang w:val="en-US"/>
              </w:rPr>
              <w:t xml:space="preserve">Satellite receiver bandwidth </w:t>
            </w:r>
            <w:r>
              <w:rPr>
                <w:i/>
                <w:lang w:val="en-US"/>
              </w:rPr>
              <w:t>B</w:t>
            </w:r>
            <w:r>
              <w:rPr>
                <w:lang w:val="en-US"/>
              </w:rPr>
              <w:t xml:space="preserve"> (MHz)</w:t>
            </w:r>
          </w:p>
        </w:tc>
        <w:tc>
          <w:tcPr>
            <w:tcW w:w="2268" w:type="dxa"/>
          </w:tcPr>
          <w:p w:rsidR="0089268C" w:rsidRDefault="00C3610E">
            <w:pPr>
              <w:pStyle w:val="Tabletext"/>
              <w:jc w:val="center"/>
              <w:rPr>
                <w:lang w:val="en-US"/>
              </w:rPr>
            </w:pPr>
            <w:r>
              <w:rPr>
                <w:lang w:val="en-US"/>
              </w:rPr>
              <w:t>8.2</w:t>
            </w:r>
          </w:p>
        </w:tc>
      </w:tr>
      <w:tr w:rsidR="0089268C">
        <w:trPr>
          <w:jc w:val="center"/>
        </w:trPr>
        <w:tc>
          <w:tcPr>
            <w:tcW w:w="5103" w:type="dxa"/>
          </w:tcPr>
          <w:p w:rsidR="0089268C" w:rsidRDefault="00C3610E">
            <w:pPr>
              <w:pStyle w:val="Tabletext"/>
              <w:rPr>
                <w:lang w:val="en-US"/>
              </w:rPr>
            </w:pPr>
            <w:r>
              <w:rPr>
                <w:lang w:val="en-US"/>
              </w:rPr>
              <w:t>I/N (dB)</w:t>
            </w:r>
          </w:p>
        </w:tc>
        <w:tc>
          <w:tcPr>
            <w:tcW w:w="2268" w:type="dxa"/>
          </w:tcPr>
          <w:p w:rsidR="0089268C" w:rsidRDefault="00C3610E">
            <w:pPr>
              <w:pStyle w:val="Tabletext"/>
              <w:jc w:val="center"/>
              <w:rPr>
                <w:lang w:val="en-US"/>
              </w:rPr>
            </w:pPr>
            <w:r>
              <w:rPr>
                <w:lang w:val="en-US"/>
              </w:rPr>
              <w:t>-12.2*</w:t>
            </w:r>
          </w:p>
        </w:tc>
      </w:tr>
      <w:tr w:rsidR="0089268C">
        <w:trPr>
          <w:jc w:val="center"/>
        </w:trPr>
        <w:tc>
          <w:tcPr>
            <w:tcW w:w="5103" w:type="dxa"/>
          </w:tcPr>
          <w:p w:rsidR="0089268C" w:rsidRDefault="00C3610E">
            <w:pPr>
              <w:pStyle w:val="Tabletext"/>
              <w:rPr>
                <w:lang w:val="fr-CH"/>
              </w:rPr>
            </w:pPr>
            <w:r>
              <w:rPr>
                <w:lang w:val="fr-CH"/>
              </w:rPr>
              <w:t xml:space="preserve">Satellite receiver noise temperature </w:t>
            </w:r>
            <w:r>
              <w:rPr>
                <w:i/>
                <w:lang w:val="fr-CH"/>
              </w:rPr>
              <w:t>T</w:t>
            </w:r>
            <w:r>
              <w:rPr>
                <w:lang w:val="fr-CH"/>
              </w:rPr>
              <w:t xml:space="preserve"> (K)</w:t>
            </w:r>
          </w:p>
        </w:tc>
        <w:tc>
          <w:tcPr>
            <w:tcW w:w="2268" w:type="dxa"/>
          </w:tcPr>
          <w:p w:rsidR="0089268C" w:rsidRDefault="00C3610E">
            <w:pPr>
              <w:pStyle w:val="Tabletext"/>
              <w:jc w:val="center"/>
              <w:rPr>
                <w:lang w:val="en-US"/>
              </w:rPr>
            </w:pPr>
            <w:r>
              <w:rPr>
                <w:lang w:val="en-US"/>
              </w:rPr>
              <w:t>500</w:t>
            </w:r>
          </w:p>
        </w:tc>
      </w:tr>
      <w:tr w:rsidR="0089268C">
        <w:trPr>
          <w:jc w:val="center"/>
        </w:trPr>
        <w:tc>
          <w:tcPr>
            <w:tcW w:w="5103" w:type="dxa"/>
          </w:tcPr>
          <w:p w:rsidR="0089268C" w:rsidRDefault="00C3610E">
            <w:pPr>
              <w:pStyle w:val="Tabletext"/>
              <w:rPr>
                <w:lang w:val="en-US"/>
              </w:rPr>
            </w:pPr>
            <w:r>
              <w:rPr>
                <w:lang w:val="en-US"/>
              </w:rPr>
              <w:t>P</w:t>
            </w:r>
            <w:r>
              <w:rPr>
                <w:vertAlign w:val="subscript"/>
                <w:lang w:val="en-US"/>
              </w:rPr>
              <w:t xml:space="preserve">noise, add </w:t>
            </w:r>
            <w:r>
              <w:rPr>
                <w:lang w:val="en-US"/>
              </w:rPr>
              <w:t xml:space="preserve"> (dBW)</w:t>
            </w:r>
          </w:p>
        </w:tc>
        <w:tc>
          <w:tcPr>
            <w:tcW w:w="2268" w:type="dxa"/>
          </w:tcPr>
          <w:p w:rsidR="0089268C" w:rsidRDefault="00C3610E">
            <w:pPr>
              <w:pStyle w:val="Tabletext"/>
              <w:jc w:val="center"/>
              <w:rPr>
                <w:lang w:val="en-US"/>
              </w:rPr>
            </w:pPr>
            <w:r>
              <w:rPr>
                <w:lang w:val="en-US"/>
              </w:rPr>
              <w:t>-130.5</w:t>
            </w:r>
          </w:p>
        </w:tc>
      </w:tr>
      <w:tr w:rsidR="0089268C">
        <w:trPr>
          <w:jc w:val="center"/>
        </w:trPr>
        <w:tc>
          <w:tcPr>
            <w:tcW w:w="5103" w:type="dxa"/>
          </w:tcPr>
          <w:p w:rsidR="0089268C" w:rsidRDefault="00C3610E">
            <w:pPr>
              <w:pStyle w:val="Tabletext"/>
              <w:rPr>
                <w:lang w:val="en-US"/>
              </w:rPr>
            </w:pPr>
            <w:r>
              <w:rPr>
                <w:lang w:val="en-US"/>
              </w:rPr>
              <w:t>I</w:t>
            </w:r>
            <w:r>
              <w:rPr>
                <w:vertAlign w:val="subscript"/>
                <w:lang w:val="en-US"/>
              </w:rPr>
              <w:t>add</w:t>
            </w:r>
            <w:r>
              <w:rPr>
                <w:lang w:val="en-US"/>
              </w:rPr>
              <w:t xml:space="preserve"> (dBW)</w:t>
            </w:r>
          </w:p>
        </w:tc>
        <w:tc>
          <w:tcPr>
            <w:tcW w:w="2268" w:type="dxa"/>
          </w:tcPr>
          <w:p w:rsidR="0089268C" w:rsidRDefault="00C3610E">
            <w:pPr>
              <w:pStyle w:val="Tabletext"/>
              <w:jc w:val="center"/>
              <w:rPr>
                <w:lang w:val="en-US"/>
              </w:rPr>
            </w:pPr>
            <w:r>
              <w:rPr>
                <w:lang w:val="en-US"/>
              </w:rPr>
              <w:t>-142.7</w:t>
            </w:r>
          </w:p>
        </w:tc>
      </w:tr>
      <w:tr w:rsidR="0089268C">
        <w:trPr>
          <w:jc w:val="center"/>
        </w:trPr>
        <w:tc>
          <w:tcPr>
            <w:tcW w:w="5103" w:type="dxa"/>
          </w:tcPr>
          <w:p w:rsidR="0089268C" w:rsidRDefault="00C3610E">
            <w:pPr>
              <w:pStyle w:val="Tabletext"/>
              <w:rPr>
                <w:lang w:val="en-US"/>
              </w:rPr>
            </w:pPr>
            <w:bookmarkStart w:id="84" w:name="_Hlk496448489"/>
            <w:r>
              <w:rPr>
                <w:lang w:val="en-US"/>
              </w:rPr>
              <w:t>Polarization discrimination</w:t>
            </w:r>
            <w:bookmarkEnd w:id="84"/>
            <w:r>
              <w:rPr>
                <w:lang w:val="en-US"/>
              </w:rPr>
              <w:t xml:space="preserve"> </w:t>
            </w:r>
            <w:r>
              <w:rPr>
                <w:i/>
                <w:lang w:val="en-US"/>
              </w:rPr>
              <w:t>L</w:t>
            </w:r>
            <w:r>
              <w:rPr>
                <w:i/>
                <w:vertAlign w:val="subscript"/>
                <w:lang w:val="en-US"/>
              </w:rPr>
              <w:t>p</w:t>
            </w:r>
            <w:r>
              <w:rPr>
                <w:lang w:val="en-US"/>
              </w:rPr>
              <w:t xml:space="preserve"> (dB)</w:t>
            </w:r>
          </w:p>
        </w:tc>
        <w:tc>
          <w:tcPr>
            <w:tcW w:w="2268" w:type="dxa"/>
          </w:tcPr>
          <w:p w:rsidR="0089268C" w:rsidRDefault="00C3610E">
            <w:pPr>
              <w:pStyle w:val="Tabletext"/>
              <w:jc w:val="center"/>
              <w:rPr>
                <w:lang w:val="en-US"/>
              </w:rPr>
            </w:pPr>
            <w:r>
              <w:rPr>
                <w:lang w:val="en-US"/>
              </w:rPr>
              <w:t>1</w:t>
            </w:r>
          </w:p>
        </w:tc>
      </w:tr>
      <w:tr w:rsidR="0089268C">
        <w:trPr>
          <w:jc w:val="center"/>
        </w:trPr>
        <w:tc>
          <w:tcPr>
            <w:tcW w:w="7371" w:type="dxa"/>
            <w:gridSpan w:val="2"/>
          </w:tcPr>
          <w:p w:rsidR="0089268C" w:rsidRDefault="00C3610E" w:rsidP="001E7D0F">
            <w:pPr>
              <w:pStyle w:val="Tabletext"/>
              <w:rPr>
                <w:lang w:val="en-US" w:eastAsia="zh-CN"/>
              </w:rPr>
            </w:pPr>
            <w:r>
              <w:rPr>
                <w:lang w:val="en-US" w:eastAsia="zh-CN"/>
              </w:rPr>
              <w:t>*The protection cretiria is being investegated in WP4A.</w:t>
            </w:r>
          </w:p>
        </w:tc>
      </w:tr>
    </w:tbl>
    <w:p w:rsidR="0089268C" w:rsidRDefault="0089268C">
      <w:pPr>
        <w:pStyle w:val="Tablefin"/>
      </w:pPr>
    </w:p>
    <w:p w:rsidR="0089268C" w:rsidRDefault="00C3610E">
      <w:pPr>
        <w:rPr>
          <w:lang w:val="en-US" w:eastAsia="zh-CN"/>
        </w:rPr>
      </w:pPr>
      <w:r>
        <w:rPr>
          <w:lang w:val="en-US" w:eastAsia="zh-CN"/>
        </w:rPr>
        <w:t>The spacecraft receive antenna is an “iso-flux” antenna and the gain pattern is shown below.</w:t>
      </w:r>
    </w:p>
    <w:p w:rsidR="0089268C" w:rsidRDefault="00C3610E">
      <w:pPr>
        <w:pStyle w:val="FigureNo"/>
        <w:rPr>
          <w:lang w:val="en-US" w:eastAsia="zh-CN"/>
        </w:rPr>
      </w:pPr>
      <w:r>
        <w:rPr>
          <w:lang w:val="en-US" w:eastAsia="zh-CN"/>
        </w:rPr>
        <w:lastRenderedPageBreak/>
        <w:t>Figure 1</w:t>
      </w:r>
    </w:p>
    <w:p w:rsidR="0089268C" w:rsidRDefault="00C3610E" w:rsidP="005C1912">
      <w:pPr>
        <w:pStyle w:val="Figuretitle"/>
      </w:pPr>
      <w:r>
        <w:t>Spacecraft Receive Antenna Pattern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9268C">
        <w:tc>
          <w:tcPr>
            <w:tcW w:w="4814" w:type="dxa"/>
          </w:tcPr>
          <w:p w:rsidR="0089268C" w:rsidRDefault="00C3610E" w:rsidP="005C1912">
            <w:pPr>
              <w:pStyle w:val="Figure"/>
            </w:pPr>
            <w:r w:rsidRPr="001E7D0F">
              <w:rPr>
                <w:lang w:val="en-GB"/>
              </w:rPr>
              <w:drawing>
                <wp:inline distT="0" distB="0" distL="0" distR="0">
                  <wp:extent cx="1418666" cy="1366520"/>
                  <wp:effectExtent l="0" t="0" r="0" b="5080"/>
                  <wp:docPr id="123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5"/>
                          <a:stretch>
                            <a:fillRect/>
                          </a:stretch>
                        </pic:blipFill>
                        <pic:spPr>
                          <a:xfrm>
                            <a:off x="0" y="0"/>
                            <a:ext cx="1420538" cy="1368323"/>
                          </a:xfrm>
                          <a:prstGeom prst="rect">
                            <a:avLst/>
                          </a:prstGeom>
                        </pic:spPr>
                      </pic:pic>
                    </a:graphicData>
                  </a:graphic>
                </wp:inline>
              </w:drawing>
            </w:r>
          </w:p>
        </w:tc>
        <w:tc>
          <w:tcPr>
            <w:tcW w:w="4815" w:type="dxa"/>
          </w:tcPr>
          <w:p w:rsidR="0089268C" w:rsidRDefault="00C3610E" w:rsidP="005C1912">
            <w:pPr>
              <w:pStyle w:val="Figure"/>
            </w:pPr>
            <w:r w:rsidRPr="001E7D0F">
              <w:rPr>
                <w:lang w:val="en-GB"/>
              </w:rPr>
              <w:drawing>
                <wp:inline distT="0" distB="0" distL="0" distR="0">
                  <wp:extent cx="2755273" cy="1367153"/>
                  <wp:effectExtent l="0" t="0" r="6985" b="5080"/>
                  <wp:docPr id="123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6"/>
                          <a:stretch>
                            <a:fillRect/>
                          </a:stretch>
                        </pic:blipFill>
                        <pic:spPr>
                          <a:xfrm>
                            <a:off x="0" y="0"/>
                            <a:ext cx="2780874" cy="1379856"/>
                          </a:xfrm>
                          <a:prstGeom prst="rect">
                            <a:avLst/>
                          </a:prstGeom>
                        </pic:spPr>
                      </pic:pic>
                    </a:graphicData>
                  </a:graphic>
                </wp:inline>
              </w:drawing>
            </w:r>
          </w:p>
        </w:tc>
      </w:tr>
    </w:tbl>
    <w:p w:rsidR="0089268C" w:rsidRPr="001E7D0F" w:rsidRDefault="00C3610E" w:rsidP="00C720B2">
      <w:pPr>
        <w:pStyle w:val="Heading4"/>
      </w:pPr>
      <w:r w:rsidRPr="001E7D0F">
        <w:t>5.1.4.</w:t>
      </w:r>
      <w:r w:rsidR="00C720B2">
        <w:t>2</w:t>
      </w:r>
      <w:r w:rsidRPr="001E7D0F">
        <w:tab/>
        <w:t>Methodology</w:t>
      </w:r>
    </w:p>
    <w:p w:rsidR="0089268C" w:rsidRDefault="00C3610E" w:rsidP="00C720B2">
      <w:pPr>
        <w:pStyle w:val="Heading5"/>
      </w:pPr>
      <w:r w:rsidRPr="001E7D0F">
        <w:t>5.1.4.</w:t>
      </w:r>
      <w:r w:rsidR="00C720B2">
        <w:t>2</w:t>
      </w:r>
      <w:r>
        <w:t>.1</w:t>
      </w:r>
      <w:r>
        <w:tab/>
        <w:t>Interference Analysis scenario</w:t>
      </w:r>
    </w:p>
    <w:p w:rsidR="0089268C" w:rsidRDefault="00C3610E">
      <w:pPr>
        <w:rPr>
          <w:lang w:val="en-US" w:eastAsia="zh-CN"/>
        </w:rPr>
      </w:pPr>
      <w:r>
        <w:rPr>
          <w:lang w:val="en-US" w:eastAsia="zh-CN"/>
        </w:rPr>
        <w:t xml:space="preserve">Due to the Earth-coverage beam, the satellite can receive emissions from very large numbers of WAS/RLAN transmitters. </w:t>
      </w:r>
    </w:p>
    <w:p w:rsidR="0089268C" w:rsidRDefault="00C3610E">
      <w:pPr>
        <w:rPr>
          <w:lang w:val="en-US" w:eastAsia="zh-CN"/>
        </w:rPr>
      </w:pPr>
      <w:r>
        <w:rPr>
          <w:lang w:val="en-US" w:eastAsia="zh-CN"/>
        </w:rPr>
        <w:t xml:space="preserve">The assumption was made that interference from WAS/RLAN would be primarily from RLANs and more specifically from access points in RLAN systems. As there are potentially millions of RLAN access points in the 5 150-5 250 MHz band, it is difficult to simulate each access point as an individual interferer. Hence, the power from the individual access points has been aggregated and this aggregation has been used as the output power from a single terrestrial station. </w:t>
      </w:r>
    </w:p>
    <w:p w:rsidR="0089268C" w:rsidRDefault="00C3610E">
      <w:pPr>
        <w:rPr>
          <w:lang w:val="en-US" w:eastAsia="zh-CN"/>
        </w:rPr>
      </w:pPr>
      <w:r>
        <w:rPr>
          <w:lang w:val="en-US"/>
        </w:rPr>
        <w:t>The area within the red dashed line of Figure 2 shows the</w:t>
      </w:r>
      <w:bookmarkStart w:id="85" w:name="_Hlk496458351"/>
      <w:r>
        <w:rPr>
          <w:lang w:val="en-US"/>
        </w:rPr>
        <w:t xml:space="preserve"> “footprint” of the feeder uplink </w:t>
      </w:r>
      <w:bookmarkEnd w:id="85"/>
      <w:r>
        <w:rPr>
          <w:lang w:val="en-US" w:eastAsia="zh-CN"/>
        </w:rPr>
        <w:t>which is uplinked from the earth station located in Hainan, China</w:t>
      </w:r>
      <w:r>
        <w:rPr>
          <w:lang w:val="en-US"/>
        </w:rPr>
        <w:t xml:space="preserve">. It can be found that </w:t>
      </w:r>
      <w:r>
        <w:rPr>
          <w:lang w:val="en-US" w:eastAsia="zh-CN"/>
        </w:rPr>
        <w:t>most counties of South-Eastern Asia and Southern China are within the footprint of</w:t>
      </w:r>
      <w:r>
        <w:rPr>
          <w:lang w:val="en-US"/>
        </w:rPr>
        <w:t xml:space="preserve"> the satellite.</w:t>
      </w:r>
    </w:p>
    <w:p w:rsidR="0089268C" w:rsidRDefault="00C3610E">
      <w:pPr>
        <w:pStyle w:val="FigureNo"/>
        <w:rPr>
          <w:lang w:val="en-US" w:eastAsia="zh-CN"/>
        </w:rPr>
      </w:pPr>
      <w:r>
        <w:rPr>
          <w:lang w:val="en-US" w:eastAsia="zh-CN"/>
        </w:rPr>
        <w:lastRenderedPageBreak/>
        <w:t>Figure 2</w:t>
      </w:r>
    </w:p>
    <w:p w:rsidR="0089268C" w:rsidRDefault="00C3610E" w:rsidP="005C1912">
      <w:pPr>
        <w:pStyle w:val="Figuretitle"/>
      </w:pPr>
      <w:r>
        <w:t>Footprint of the Feeder Uplink Antenna of the COMPASS-MSS System</w:t>
      </w:r>
    </w:p>
    <w:p w:rsidR="0089268C" w:rsidRDefault="00C3610E" w:rsidP="005C1912">
      <w:pPr>
        <w:pStyle w:val="Figure"/>
      </w:pPr>
      <w:r w:rsidRPr="001E7D0F">
        <w:rPr>
          <w:lang w:val="en-GB"/>
        </w:rPr>
        <w:drawing>
          <wp:inline distT="0" distB="0" distL="0" distR="0">
            <wp:extent cx="4819650" cy="3860904"/>
            <wp:effectExtent l="0" t="0" r="0" b="6350"/>
            <wp:docPr id="12311" name="图片 12311" descr="C:\Users\fjch\AppData\Local\Microsoft\Windows\INetCache\Content.Word\IGS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jch\AppData\Local\Microsoft\Windows\INetCache\Content.Word\IGSO02.jpg"/>
                    <pic:cNvPicPr>
                      <a:picLocks noChangeAspect="1" noChangeArrowheads="1"/>
                    </pic:cNvPicPr>
                  </pic:nvPicPr>
                  <pic:blipFill rotWithShape="1">
                    <a:blip r:embed="rId77">
                      <a:extLst>
                        <a:ext uri="{28A0092B-C50C-407E-A947-70E740481C1C}">
                          <a14:useLocalDpi xmlns:a14="http://schemas.microsoft.com/office/drawing/2010/main" val="0"/>
                        </a:ext>
                      </a:extLst>
                    </a:blip>
                    <a:srcRect l="34392" t="12695" r="36662" b="38802"/>
                    <a:stretch/>
                  </pic:blipFill>
                  <pic:spPr bwMode="auto">
                    <a:xfrm>
                      <a:off x="0" y="0"/>
                      <a:ext cx="4822268" cy="3863001"/>
                    </a:xfrm>
                    <a:prstGeom prst="rect">
                      <a:avLst/>
                    </a:prstGeom>
                    <a:noFill/>
                    <a:ln>
                      <a:noFill/>
                    </a:ln>
                    <a:extLst>
                      <a:ext uri="{53640926-AAD7-44D8-BBD7-CCE9431645EC}">
                        <a14:shadowObscured xmlns:a14="http://schemas.microsoft.com/office/drawing/2010/main"/>
                      </a:ext>
                    </a:extLst>
                  </pic:spPr>
                </pic:pic>
              </a:graphicData>
            </a:graphic>
          </wp:inline>
        </w:drawing>
      </w:r>
    </w:p>
    <w:p w:rsidR="0089268C" w:rsidRDefault="00C3610E">
      <w:pPr>
        <w:rPr>
          <w:lang w:val="en-US" w:eastAsia="zh-CN"/>
        </w:rPr>
      </w:pPr>
      <w:r>
        <w:rPr>
          <w:lang w:val="en-US" w:eastAsia="zh-CN"/>
        </w:rPr>
        <w:t xml:space="preserve">For the simulation it is assumed that there is one terrestrial station (aggregated station) in each country/region of the footprint area. The countries/region and their populations are listed in the Table below (see </w:t>
      </w:r>
      <w:hyperlink r:id="rId78" w:history="1">
        <w:r>
          <w:rPr>
            <w:rStyle w:val="Hyperlink"/>
            <w:lang w:val="en-US"/>
          </w:rPr>
          <w:t>http://www.worldometers.info/world-population/south-eastern-asia-population</w:t>
        </w:r>
      </w:hyperlink>
      <w:r>
        <w:rPr>
          <w:lang w:val="en-US"/>
        </w:rPr>
        <w:t>)</w:t>
      </w:r>
      <w:r>
        <w:rPr>
          <w:lang w:val="en-US" w:eastAsia="zh-CN"/>
        </w:rPr>
        <w:t>.</w:t>
      </w:r>
    </w:p>
    <w:p w:rsidR="0089268C" w:rsidRDefault="00C3610E">
      <w:pPr>
        <w:pStyle w:val="TableNo"/>
        <w:rPr>
          <w:lang w:val="en-US"/>
        </w:rPr>
      </w:pPr>
      <w:r>
        <w:rPr>
          <w:lang w:val="en-US"/>
        </w:rPr>
        <w:t>TABLE 5</w:t>
      </w:r>
    </w:p>
    <w:p w:rsidR="0089268C" w:rsidRDefault="00C3610E">
      <w:pPr>
        <w:pStyle w:val="Tabletitle"/>
        <w:rPr>
          <w:lang w:val="en-US"/>
        </w:rPr>
      </w:pPr>
      <w:r>
        <w:rPr>
          <w:lang w:val="en-US"/>
        </w:rPr>
        <w:t>Countries/Region in the simulation and their populations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10"/>
        <w:gridCol w:w="2268"/>
      </w:tblGrid>
      <w:tr w:rsidR="0089268C">
        <w:trPr>
          <w:jc w:val="center"/>
        </w:trPr>
        <w:tc>
          <w:tcPr>
            <w:tcW w:w="3410" w:type="dxa"/>
            <w:vAlign w:val="center"/>
          </w:tcPr>
          <w:p w:rsidR="0089268C" w:rsidRDefault="00C3610E">
            <w:pPr>
              <w:pStyle w:val="Tablehead"/>
              <w:rPr>
                <w:lang w:val="en-US"/>
              </w:rPr>
            </w:pPr>
            <w:r>
              <w:rPr>
                <w:lang w:val="en-US"/>
              </w:rPr>
              <w:t>Country/Region</w:t>
            </w:r>
          </w:p>
        </w:tc>
        <w:tc>
          <w:tcPr>
            <w:tcW w:w="2268" w:type="dxa"/>
            <w:vAlign w:val="center"/>
          </w:tcPr>
          <w:p w:rsidR="0089268C" w:rsidRDefault="00C3610E">
            <w:pPr>
              <w:pStyle w:val="Tablehead"/>
              <w:rPr>
                <w:lang w:val="en-US"/>
              </w:rPr>
            </w:pPr>
            <w:r>
              <w:rPr>
                <w:lang w:val="en-US" w:eastAsia="zh-CN"/>
              </w:rPr>
              <w:t>Population</w:t>
            </w:r>
          </w:p>
        </w:tc>
      </w:tr>
      <w:tr w:rsidR="0089268C">
        <w:trPr>
          <w:jc w:val="center"/>
        </w:trPr>
        <w:tc>
          <w:tcPr>
            <w:tcW w:w="3410" w:type="dxa"/>
            <w:vAlign w:val="center"/>
          </w:tcPr>
          <w:p w:rsidR="0089268C" w:rsidRDefault="00C3610E">
            <w:pPr>
              <w:pStyle w:val="Tabletext"/>
              <w:jc w:val="center"/>
              <w:rPr>
                <w:lang w:val="en-US"/>
              </w:rPr>
            </w:pPr>
            <w:r>
              <w:rPr>
                <w:lang w:val="en-US"/>
              </w:rPr>
              <w:t>Indonesia</w:t>
            </w:r>
          </w:p>
        </w:tc>
        <w:tc>
          <w:tcPr>
            <w:tcW w:w="2268" w:type="dxa"/>
            <w:vAlign w:val="center"/>
          </w:tcPr>
          <w:p w:rsidR="0089268C" w:rsidRDefault="00C3610E">
            <w:pPr>
              <w:pStyle w:val="Tabletext"/>
              <w:jc w:val="center"/>
              <w:rPr>
                <w:lang w:val="en-US"/>
              </w:rPr>
            </w:pPr>
            <w:r>
              <w:rPr>
                <w:lang w:val="en-US"/>
              </w:rPr>
              <w:t>263,991,379</w:t>
            </w:r>
          </w:p>
        </w:tc>
      </w:tr>
      <w:tr w:rsidR="0089268C">
        <w:trPr>
          <w:jc w:val="center"/>
        </w:trPr>
        <w:tc>
          <w:tcPr>
            <w:tcW w:w="3410" w:type="dxa"/>
            <w:vAlign w:val="center"/>
          </w:tcPr>
          <w:p w:rsidR="0089268C" w:rsidRDefault="00C3610E">
            <w:pPr>
              <w:pStyle w:val="Tabletext"/>
              <w:jc w:val="center"/>
              <w:rPr>
                <w:lang w:val="en-US"/>
              </w:rPr>
            </w:pPr>
            <w:r>
              <w:rPr>
                <w:lang w:val="en-US"/>
              </w:rPr>
              <w:t>Philippines</w:t>
            </w:r>
          </w:p>
        </w:tc>
        <w:tc>
          <w:tcPr>
            <w:tcW w:w="2268" w:type="dxa"/>
            <w:vAlign w:val="center"/>
          </w:tcPr>
          <w:p w:rsidR="0089268C" w:rsidRDefault="00C3610E">
            <w:pPr>
              <w:pStyle w:val="Tabletext"/>
              <w:jc w:val="center"/>
              <w:rPr>
                <w:lang w:val="en-US"/>
              </w:rPr>
            </w:pPr>
            <w:r>
              <w:rPr>
                <w:lang w:val="en-US"/>
              </w:rPr>
              <w:t>104,918,090</w:t>
            </w:r>
          </w:p>
        </w:tc>
      </w:tr>
      <w:tr w:rsidR="0089268C">
        <w:trPr>
          <w:jc w:val="center"/>
        </w:trPr>
        <w:tc>
          <w:tcPr>
            <w:tcW w:w="3410" w:type="dxa"/>
            <w:vAlign w:val="center"/>
          </w:tcPr>
          <w:p w:rsidR="0089268C" w:rsidRDefault="00C3610E">
            <w:pPr>
              <w:pStyle w:val="Tabletext"/>
              <w:jc w:val="center"/>
              <w:rPr>
                <w:lang w:val="en-US"/>
              </w:rPr>
            </w:pPr>
            <w:r>
              <w:rPr>
                <w:lang w:val="en-US"/>
              </w:rPr>
              <w:t>Viet Nam</w:t>
            </w:r>
          </w:p>
        </w:tc>
        <w:tc>
          <w:tcPr>
            <w:tcW w:w="2268" w:type="dxa"/>
            <w:vAlign w:val="center"/>
          </w:tcPr>
          <w:p w:rsidR="0089268C" w:rsidRDefault="00C3610E">
            <w:pPr>
              <w:pStyle w:val="Tabletext"/>
              <w:jc w:val="center"/>
              <w:rPr>
                <w:lang w:val="en-US"/>
              </w:rPr>
            </w:pPr>
            <w:r>
              <w:rPr>
                <w:lang w:val="en-US"/>
              </w:rPr>
              <w:t>95,540,800</w:t>
            </w:r>
          </w:p>
        </w:tc>
      </w:tr>
      <w:tr w:rsidR="0089268C">
        <w:trPr>
          <w:jc w:val="center"/>
        </w:trPr>
        <w:tc>
          <w:tcPr>
            <w:tcW w:w="3410" w:type="dxa"/>
            <w:vAlign w:val="center"/>
          </w:tcPr>
          <w:p w:rsidR="0089268C" w:rsidRDefault="00C3610E">
            <w:pPr>
              <w:pStyle w:val="Tabletext"/>
              <w:jc w:val="center"/>
              <w:rPr>
                <w:lang w:val="en-US"/>
              </w:rPr>
            </w:pPr>
            <w:r>
              <w:rPr>
                <w:lang w:val="en-US"/>
              </w:rPr>
              <w:t>Thailand</w:t>
            </w:r>
          </w:p>
        </w:tc>
        <w:tc>
          <w:tcPr>
            <w:tcW w:w="2268" w:type="dxa"/>
            <w:vAlign w:val="center"/>
          </w:tcPr>
          <w:p w:rsidR="0089268C" w:rsidRDefault="00C3610E">
            <w:pPr>
              <w:pStyle w:val="Tabletext"/>
              <w:jc w:val="center"/>
              <w:rPr>
                <w:lang w:val="en-US"/>
              </w:rPr>
            </w:pPr>
            <w:r>
              <w:rPr>
                <w:lang w:val="en-US"/>
              </w:rPr>
              <w:t>69,037,513</w:t>
            </w:r>
          </w:p>
        </w:tc>
      </w:tr>
      <w:tr w:rsidR="0089268C">
        <w:trPr>
          <w:jc w:val="center"/>
        </w:trPr>
        <w:tc>
          <w:tcPr>
            <w:tcW w:w="3410" w:type="dxa"/>
            <w:vAlign w:val="center"/>
          </w:tcPr>
          <w:p w:rsidR="0089268C" w:rsidRDefault="00C3610E">
            <w:pPr>
              <w:pStyle w:val="Tabletext"/>
              <w:jc w:val="center"/>
              <w:rPr>
                <w:lang w:val="en-US"/>
              </w:rPr>
            </w:pPr>
            <w:r>
              <w:rPr>
                <w:lang w:val="en-US"/>
              </w:rPr>
              <w:t>Myanmar</w:t>
            </w:r>
          </w:p>
        </w:tc>
        <w:tc>
          <w:tcPr>
            <w:tcW w:w="2268" w:type="dxa"/>
            <w:vAlign w:val="center"/>
          </w:tcPr>
          <w:p w:rsidR="0089268C" w:rsidRDefault="00C3610E">
            <w:pPr>
              <w:pStyle w:val="Tabletext"/>
              <w:jc w:val="center"/>
              <w:rPr>
                <w:lang w:val="en-US"/>
              </w:rPr>
            </w:pPr>
            <w:r>
              <w:rPr>
                <w:lang w:val="en-US"/>
              </w:rPr>
              <w:t>53,370,609</w:t>
            </w:r>
          </w:p>
        </w:tc>
      </w:tr>
      <w:tr w:rsidR="0089268C">
        <w:trPr>
          <w:jc w:val="center"/>
        </w:trPr>
        <w:tc>
          <w:tcPr>
            <w:tcW w:w="3410" w:type="dxa"/>
            <w:vAlign w:val="center"/>
          </w:tcPr>
          <w:p w:rsidR="0089268C" w:rsidRDefault="00C3610E">
            <w:pPr>
              <w:pStyle w:val="Tabletext"/>
              <w:jc w:val="center"/>
              <w:rPr>
                <w:lang w:val="en-US"/>
              </w:rPr>
            </w:pPr>
            <w:r>
              <w:rPr>
                <w:lang w:val="en-US"/>
              </w:rPr>
              <w:t>Malaysia</w:t>
            </w:r>
          </w:p>
        </w:tc>
        <w:tc>
          <w:tcPr>
            <w:tcW w:w="2268" w:type="dxa"/>
            <w:vAlign w:val="center"/>
          </w:tcPr>
          <w:p w:rsidR="0089268C" w:rsidRDefault="00C3610E">
            <w:pPr>
              <w:pStyle w:val="Tabletext"/>
              <w:jc w:val="center"/>
              <w:rPr>
                <w:lang w:val="en-US"/>
              </w:rPr>
            </w:pPr>
            <w:r>
              <w:rPr>
                <w:lang w:val="en-US"/>
              </w:rPr>
              <w:t>31,624,264</w:t>
            </w:r>
          </w:p>
        </w:tc>
      </w:tr>
      <w:tr w:rsidR="0089268C">
        <w:trPr>
          <w:jc w:val="center"/>
        </w:trPr>
        <w:tc>
          <w:tcPr>
            <w:tcW w:w="3410" w:type="dxa"/>
            <w:vAlign w:val="center"/>
          </w:tcPr>
          <w:p w:rsidR="0089268C" w:rsidRDefault="00C3610E">
            <w:pPr>
              <w:pStyle w:val="Tabletext"/>
              <w:jc w:val="center"/>
              <w:rPr>
                <w:lang w:val="en-US"/>
              </w:rPr>
            </w:pPr>
            <w:r>
              <w:rPr>
                <w:lang w:val="en-US"/>
              </w:rPr>
              <w:t>Cambodia</w:t>
            </w:r>
          </w:p>
        </w:tc>
        <w:tc>
          <w:tcPr>
            <w:tcW w:w="2268" w:type="dxa"/>
            <w:vAlign w:val="center"/>
          </w:tcPr>
          <w:p w:rsidR="0089268C" w:rsidRDefault="00C3610E">
            <w:pPr>
              <w:pStyle w:val="Tabletext"/>
              <w:jc w:val="center"/>
              <w:rPr>
                <w:lang w:val="en-US"/>
              </w:rPr>
            </w:pPr>
            <w:r>
              <w:rPr>
                <w:lang w:val="en-US"/>
              </w:rPr>
              <w:t>16,005,373</w:t>
            </w:r>
          </w:p>
        </w:tc>
      </w:tr>
      <w:tr w:rsidR="0089268C">
        <w:trPr>
          <w:jc w:val="center"/>
        </w:trPr>
        <w:tc>
          <w:tcPr>
            <w:tcW w:w="3410" w:type="dxa"/>
            <w:vAlign w:val="center"/>
          </w:tcPr>
          <w:p w:rsidR="0089268C" w:rsidRDefault="00C3610E">
            <w:pPr>
              <w:pStyle w:val="Tabletext"/>
              <w:jc w:val="center"/>
              <w:rPr>
                <w:lang w:val="en-US"/>
              </w:rPr>
            </w:pPr>
            <w:r>
              <w:rPr>
                <w:lang w:val="en-US"/>
              </w:rPr>
              <w:t>Laos</w:t>
            </w:r>
          </w:p>
        </w:tc>
        <w:tc>
          <w:tcPr>
            <w:tcW w:w="2268" w:type="dxa"/>
            <w:vAlign w:val="center"/>
          </w:tcPr>
          <w:p w:rsidR="0089268C" w:rsidRDefault="00C3610E">
            <w:pPr>
              <w:pStyle w:val="Tabletext"/>
              <w:jc w:val="center"/>
              <w:rPr>
                <w:lang w:val="en-US"/>
              </w:rPr>
            </w:pPr>
            <w:r>
              <w:rPr>
                <w:lang w:val="en-US"/>
              </w:rPr>
              <w:t>6,858,160</w:t>
            </w:r>
          </w:p>
        </w:tc>
      </w:tr>
      <w:tr w:rsidR="0089268C">
        <w:trPr>
          <w:jc w:val="center"/>
        </w:trPr>
        <w:tc>
          <w:tcPr>
            <w:tcW w:w="3410" w:type="dxa"/>
            <w:vAlign w:val="center"/>
          </w:tcPr>
          <w:p w:rsidR="0089268C" w:rsidRDefault="00C3610E">
            <w:pPr>
              <w:pStyle w:val="Tabletext"/>
              <w:jc w:val="center"/>
              <w:rPr>
                <w:lang w:val="en-US"/>
              </w:rPr>
            </w:pPr>
            <w:r>
              <w:rPr>
                <w:lang w:val="en-US"/>
              </w:rPr>
              <w:t>Singapore</w:t>
            </w:r>
          </w:p>
        </w:tc>
        <w:tc>
          <w:tcPr>
            <w:tcW w:w="2268" w:type="dxa"/>
            <w:vAlign w:val="center"/>
          </w:tcPr>
          <w:p w:rsidR="0089268C" w:rsidRDefault="00C3610E">
            <w:pPr>
              <w:pStyle w:val="Tabletext"/>
              <w:jc w:val="center"/>
              <w:rPr>
                <w:lang w:val="en-US"/>
              </w:rPr>
            </w:pPr>
            <w:r>
              <w:rPr>
                <w:lang w:val="en-US"/>
              </w:rPr>
              <w:t>5,708,844</w:t>
            </w:r>
          </w:p>
        </w:tc>
      </w:tr>
      <w:tr w:rsidR="0089268C">
        <w:trPr>
          <w:jc w:val="center"/>
        </w:trPr>
        <w:tc>
          <w:tcPr>
            <w:tcW w:w="3410" w:type="dxa"/>
            <w:vAlign w:val="center"/>
          </w:tcPr>
          <w:p w:rsidR="0089268C" w:rsidRDefault="00C3610E">
            <w:pPr>
              <w:pStyle w:val="Tabletext"/>
              <w:jc w:val="center"/>
              <w:rPr>
                <w:lang w:val="en-US"/>
              </w:rPr>
            </w:pPr>
            <w:r>
              <w:rPr>
                <w:lang w:val="en-US"/>
              </w:rPr>
              <w:t>Brunei Darussalam</w:t>
            </w:r>
          </w:p>
        </w:tc>
        <w:tc>
          <w:tcPr>
            <w:tcW w:w="2268" w:type="dxa"/>
            <w:vAlign w:val="center"/>
          </w:tcPr>
          <w:p w:rsidR="0089268C" w:rsidRDefault="00C3610E">
            <w:pPr>
              <w:pStyle w:val="Tabletext"/>
              <w:jc w:val="center"/>
              <w:rPr>
                <w:lang w:val="en-US"/>
              </w:rPr>
            </w:pPr>
            <w:r>
              <w:rPr>
                <w:lang w:val="en-US"/>
              </w:rPr>
              <w:t>428,697</w:t>
            </w:r>
          </w:p>
        </w:tc>
      </w:tr>
      <w:tr w:rsidR="0089268C">
        <w:trPr>
          <w:jc w:val="center"/>
        </w:trPr>
        <w:tc>
          <w:tcPr>
            <w:tcW w:w="3410" w:type="dxa"/>
            <w:tcBorders>
              <w:bottom w:val="single" w:sz="6" w:space="0" w:color="auto"/>
            </w:tcBorders>
            <w:vAlign w:val="center"/>
          </w:tcPr>
          <w:p w:rsidR="0089268C" w:rsidRDefault="00C3610E">
            <w:pPr>
              <w:pStyle w:val="Tabletext"/>
              <w:tabs>
                <w:tab w:val="clear" w:pos="851"/>
                <w:tab w:val="clear" w:pos="1134"/>
                <w:tab w:val="clear" w:pos="1418"/>
                <w:tab w:val="clear" w:pos="1871"/>
                <w:tab w:val="clear" w:pos="1985"/>
                <w:tab w:val="clear" w:pos="2268"/>
                <w:tab w:val="clear" w:pos="2552"/>
                <w:tab w:val="clear" w:pos="2835"/>
                <w:tab w:val="clear" w:pos="3119"/>
                <w:tab w:val="clear" w:pos="3402"/>
                <w:tab w:val="clear" w:pos="3686"/>
                <w:tab w:val="clear" w:pos="3969"/>
              </w:tabs>
              <w:jc w:val="center"/>
              <w:rPr>
                <w:lang w:val="en-US"/>
              </w:rPr>
            </w:pPr>
            <w:r>
              <w:rPr>
                <w:lang w:val="en-US"/>
              </w:rPr>
              <w:t>Southern China</w:t>
            </w:r>
          </w:p>
        </w:tc>
        <w:tc>
          <w:tcPr>
            <w:tcW w:w="2268" w:type="dxa"/>
            <w:tcBorders>
              <w:bottom w:val="single" w:sz="6" w:space="0" w:color="auto"/>
            </w:tcBorders>
            <w:vAlign w:val="center"/>
          </w:tcPr>
          <w:p w:rsidR="0089268C" w:rsidRDefault="00C3610E">
            <w:pPr>
              <w:pStyle w:val="Tabletext"/>
              <w:jc w:val="center"/>
              <w:rPr>
                <w:lang w:val="en-US"/>
              </w:rPr>
            </w:pPr>
            <w:r>
              <w:rPr>
                <w:lang w:val="en-US"/>
              </w:rPr>
              <w:t>500,000,000</w:t>
            </w:r>
            <w:r>
              <w:rPr>
                <w:vertAlign w:val="superscript"/>
                <w:lang w:val="en-US"/>
              </w:rPr>
              <w:t>*</w:t>
            </w:r>
          </w:p>
        </w:tc>
      </w:tr>
      <w:tr w:rsidR="0089268C">
        <w:trPr>
          <w:jc w:val="center"/>
        </w:trPr>
        <w:tc>
          <w:tcPr>
            <w:tcW w:w="5678" w:type="dxa"/>
            <w:gridSpan w:val="2"/>
            <w:tcBorders>
              <w:left w:val="nil"/>
              <w:bottom w:val="nil"/>
              <w:right w:val="nil"/>
            </w:tcBorders>
            <w:vAlign w:val="center"/>
          </w:tcPr>
          <w:p w:rsidR="0089268C" w:rsidRDefault="00C3610E">
            <w:pPr>
              <w:pStyle w:val="Tablelegend"/>
              <w:rPr>
                <w:lang w:val="en-US"/>
              </w:rPr>
            </w:pPr>
            <w:r>
              <w:rPr>
                <w:lang w:val="en-US" w:eastAsia="zh-CN"/>
              </w:rPr>
              <w:t>*</w:t>
            </w:r>
            <w:r>
              <w:rPr>
                <w:lang w:val="en-US"/>
              </w:rPr>
              <w:t xml:space="preserve"> This figure is an approximate value based on that this region is one of the most densely populated areas in China.</w:t>
            </w:r>
          </w:p>
        </w:tc>
      </w:tr>
    </w:tbl>
    <w:p w:rsidR="0089268C" w:rsidRPr="001E7D0F" w:rsidRDefault="00C3610E" w:rsidP="00C720B2">
      <w:pPr>
        <w:pStyle w:val="Heading5"/>
      </w:pPr>
      <w:r w:rsidRPr="001E7D0F">
        <w:lastRenderedPageBreak/>
        <w:t>5.1.4.</w:t>
      </w:r>
      <w:r w:rsidR="00C720B2">
        <w:t>2</w:t>
      </w:r>
      <w:r w:rsidRPr="001E7D0F">
        <w:t>.2</w:t>
      </w:r>
      <w:r w:rsidRPr="001E7D0F">
        <w:tab/>
        <w:t>Calculations</w:t>
      </w:r>
    </w:p>
    <w:p w:rsidR="0089268C" w:rsidRDefault="00C3610E">
      <w:pPr>
        <w:jc w:val="both"/>
        <w:rPr>
          <w:lang w:val="en-US" w:eastAsia="ja-JP"/>
        </w:rPr>
      </w:pPr>
      <w:r>
        <w:rPr>
          <w:lang w:val="en-US" w:eastAsia="zh-CN"/>
        </w:rPr>
        <w:t xml:space="preserve">The interference power for each RLAN terrestrial station (aggregated station) at the COMPASS-MSS system satellite receiver is calculated </w:t>
      </w:r>
      <w:r>
        <w:rPr>
          <w:shd w:val="clear" w:color="auto" w:fill="FFFFFF"/>
          <w:lang w:val="en-US" w:eastAsia="zh-CN"/>
        </w:rPr>
        <w:t>by equation (1) as below.</w:t>
      </w:r>
      <w:r>
        <w:rPr>
          <w:lang w:val="en-US" w:eastAsia="zh-CN"/>
        </w:rPr>
        <w:t xml:space="preserve"> </w:t>
      </w:r>
    </w:p>
    <w:p w:rsidR="0089268C" w:rsidRDefault="00C3610E">
      <w:pPr>
        <w:pStyle w:val="Equation"/>
        <w:wordWrap w:val="0"/>
        <w:jc w:val="right"/>
        <w:rPr>
          <w:lang w:val="en-US" w:eastAsia="zh-CN"/>
        </w:rPr>
      </w:pPr>
      <w:r>
        <w:rPr>
          <w:lang w:val="en-US"/>
        </w:rPr>
        <w:tab/>
      </w:r>
      <w:r>
        <w:rPr>
          <w:lang w:val="en-US"/>
        </w:rPr>
        <w:tab/>
      </w:r>
      <w:r w:rsidRPr="001E7D0F">
        <w:rPr>
          <w:position w:val="-14"/>
          <w:lang w:val="en-US"/>
        </w:rPr>
        <w:object w:dxaOrig="6180" w:dyaOrig="400">
          <v:shape id="_x0000_i1027" type="#_x0000_t75" style="width:284.75pt;height:21.25pt" o:ole="">
            <v:imagedata r:id="rId79" o:title=""/>
          </v:shape>
          <o:OLEObject Type="Embed" ProgID="Equation.DSMT4" ShapeID="_x0000_i1027" DrawAspect="Content" ObjectID="_1572690770" r:id="rId80"/>
        </w:object>
      </w:r>
      <w:r>
        <w:rPr>
          <w:position w:val="-12"/>
          <w:lang w:val="en-US" w:eastAsia="zh-CN"/>
        </w:rPr>
        <w:tab/>
        <w:t>(1)</w:t>
      </w:r>
    </w:p>
    <w:p w:rsidR="0089268C" w:rsidRDefault="00C3610E">
      <w:pPr>
        <w:spacing w:before="0"/>
        <w:rPr>
          <w:szCs w:val="24"/>
          <w:lang w:val="en-US" w:eastAsia="zh-CN"/>
        </w:rPr>
      </w:pPr>
      <w:r>
        <w:rPr>
          <w:szCs w:val="24"/>
          <w:lang w:val="en-US"/>
        </w:rPr>
        <w:t>where:</w:t>
      </w:r>
    </w:p>
    <w:p w:rsidR="0089268C" w:rsidRDefault="00C3610E">
      <w:pPr>
        <w:pStyle w:val="Equationlegend"/>
        <w:rPr>
          <w:lang w:val="en-US"/>
        </w:rPr>
      </w:pPr>
      <w:r>
        <w:rPr>
          <w:lang w:val="en-US" w:eastAsia="zh-CN"/>
        </w:rPr>
        <w:tab/>
      </w:r>
      <w:r>
        <w:rPr>
          <w:i/>
          <w:iCs/>
          <w:lang w:val="en-US"/>
        </w:rPr>
        <w:t>I</w:t>
      </w:r>
      <w:r>
        <w:rPr>
          <w:vertAlign w:val="subscript"/>
          <w:lang w:val="en-US" w:eastAsia="zh-CN"/>
        </w:rPr>
        <w:t>n</w:t>
      </w:r>
      <w:r>
        <w:rPr>
          <w:lang w:val="en-US" w:eastAsia="zh-CN"/>
        </w:rPr>
        <w:t xml:space="preserve">: </w:t>
      </w:r>
      <w:r>
        <w:rPr>
          <w:lang w:val="en-US" w:eastAsia="zh-CN"/>
        </w:rPr>
        <w:tab/>
      </w:r>
      <w:r>
        <w:rPr>
          <w:lang w:val="en-US"/>
        </w:rPr>
        <w:t xml:space="preserve">Interference power </w:t>
      </w:r>
      <w:r>
        <w:rPr>
          <w:lang w:val="en-US" w:eastAsia="zh-CN"/>
        </w:rPr>
        <w:t>from the n-th terrestrial station</w:t>
      </w:r>
      <w:r>
        <w:rPr>
          <w:lang w:val="en-US"/>
        </w:rPr>
        <w:t>, dB</w:t>
      </w:r>
      <w:r>
        <w:rPr>
          <w:lang w:val="en-US" w:eastAsia="zh-CN"/>
        </w:rPr>
        <w:t>m;</w:t>
      </w:r>
    </w:p>
    <w:p w:rsidR="0089268C" w:rsidRDefault="00C3610E">
      <w:pPr>
        <w:pStyle w:val="Equationlegend"/>
        <w:rPr>
          <w:lang w:val="en-US" w:eastAsia="zh-CN"/>
        </w:rPr>
      </w:pPr>
      <w:r>
        <w:rPr>
          <w:lang w:val="en-US" w:eastAsia="zh-CN"/>
        </w:rPr>
        <w:tab/>
      </w:r>
      <w:r>
        <w:rPr>
          <w:i/>
          <w:iCs/>
          <w:lang w:val="en-US"/>
        </w:rPr>
        <w:t>EIRP</w:t>
      </w:r>
      <w:r>
        <w:rPr>
          <w:i/>
          <w:iCs/>
          <w:vertAlign w:val="subscript"/>
          <w:lang w:val="en-US"/>
        </w:rPr>
        <w:t>ave</w:t>
      </w:r>
      <w:r>
        <w:rPr>
          <w:lang w:val="en-US" w:eastAsia="zh-CN"/>
        </w:rPr>
        <w:t xml:space="preserve"> :</w:t>
      </w:r>
      <w:r>
        <w:rPr>
          <w:lang w:val="en-US"/>
        </w:rPr>
        <w:t xml:space="preserve"> </w:t>
      </w:r>
      <w:r>
        <w:rPr>
          <w:lang w:val="en-US"/>
        </w:rPr>
        <w:tab/>
        <w:t>Average e.i.r.p. of RLAN access points, 19dB</w:t>
      </w:r>
      <w:r>
        <w:rPr>
          <w:lang w:val="en-US" w:eastAsia="zh-CN"/>
        </w:rPr>
        <w:t>m;</w:t>
      </w:r>
    </w:p>
    <w:p w:rsidR="0089268C" w:rsidRDefault="00C3610E">
      <w:pPr>
        <w:pStyle w:val="Equationlegend"/>
        <w:rPr>
          <w:lang w:val="en-US"/>
        </w:rPr>
      </w:pPr>
      <w:r>
        <w:rPr>
          <w:i/>
          <w:iCs/>
          <w:lang w:val="en-US"/>
        </w:rPr>
        <w:tab/>
        <w:t>N</w:t>
      </w:r>
      <w:r>
        <w:rPr>
          <w:i/>
          <w:iCs/>
          <w:vertAlign w:val="subscript"/>
          <w:lang w:val="en-US"/>
        </w:rPr>
        <w:t>n</w:t>
      </w:r>
      <w:r>
        <w:rPr>
          <w:lang w:val="en-US" w:eastAsia="zh-CN"/>
        </w:rPr>
        <w:t>:</w:t>
      </w:r>
      <w:r>
        <w:rPr>
          <w:lang w:val="en-US"/>
        </w:rPr>
        <w:t xml:space="preserve"> </w:t>
      </w:r>
      <w:r>
        <w:rPr>
          <w:lang w:val="en-US"/>
        </w:rPr>
        <w:tab/>
        <w:t>Number of RLAN access points in the n-th country/region;</w:t>
      </w:r>
    </w:p>
    <w:p w:rsidR="0089268C" w:rsidRDefault="00C3610E">
      <w:pPr>
        <w:pStyle w:val="Equationlegend"/>
        <w:rPr>
          <w:lang w:val="en-US"/>
        </w:rPr>
      </w:pPr>
      <w:r>
        <w:rPr>
          <w:lang w:val="en-US" w:eastAsia="zh-CN"/>
        </w:rPr>
        <w:tab/>
      </w:r>
      <w:r>
        <w:rPr>
          <w:i/>
          <w:iCs/>
          <w:lang w:val="en-US"/>
        </w:rPr>
        <w:t>L</w:t>
      </w:r>
      <w:r>
        <w:rPr>
          <w:i/>
          <w:iCs/>
          <w:vertAlign w:val="subscript"/>
          <w:lang w:val="en-US"/>
        </w:rPr>
        <w:t>Dis</w:t>
      </w:r>
      <w:r>
        <w:rPr>
          <w:lang w:val="en-US" w:eastAsia="zh-CN"/>
        </w:rPr>
        <w:t xml:space="preserve">: </w:t>
      </w:r>
      <w:r>
        <w:rPr>
          <w:lang w:val="en-US" w:eastAsia="zh-CN"/>
        </w:rPr>
        <w:tab/>
      </w:r>
      <w:r>
        <w:rPr>
          <w:lang w:val="en-US"/>
        </w:rPr>
        <w:t xml:space="preserve">Average </w:t>
      </w:r>
      <w:r>
        <w:rPr>
          <w:lang w:val="en-US" w:eastAsia="zh-CN"/>
        </w:rPr>
        <w:t>RLAN</w:t>
      </w:r>
      <w:r>
        <w:rPr>
          <w:lang w:val="en-US"/>
        </w:rPr>
        <w:t xml:space="preserve"> Antenna Discrimination </w:t>
      </w:r>
      <w:r>
        <w:rPr>
          <w:rFonts w:eastAsia="Batang"/>
          <w:lang w:val="en-US"/>
        </w:rPr>
        <w:t>in Elevation</w:t>
      </w:r>
      <w:r>
        <w:rPr>
          <w:lang w:val="en-US" w:eastAsia="zh-CN"/>
        </w:rPr>
        <w:t>,</w:t>
      </w:r>
      <w:r>
        <w:rPr>
          <w:lang w:val="en-US"/>
        </w:rPr>
        <w:t xml:space="preserve"> 2dB;</w:t>
      </w:r>
    </w:p>
    <w:p w:rsidR="0089268C" w:rsidRDefault="00C3610E">
      <w:pPr>
        <w:pStyle w:val="Equationlegend"/>
        <w:rPr>
          <w:lang w:val="en-US"/>
        </w:rPr>
      </w:pPr>
      <w:r>
        <w:rPr>
          <w:lang w:val="en-US" w:eastAsia="zh-CN"/>
        </w:rPr>
        <w:tab/>
      </w:r>
      <w:r>
        <w:rPr>
          <w:i/>
          <w:iCs/>
          <w:lang w:val="en-US"/>
        </w:rPr>
        <w:t>BWF</w:t>
      </w:r>
      <w:r>
        <w:rPr>
          <w:lang w:val="en-US" w:eastAsia="zh-CN"/>
        </w:rPr>
        <w:t>:</w:t>
      </w:r>
      <w:r>
        <w:rPr>
          <w:lang w:val="en-US"/>
        </w:rPr>
        <w:t xml:space="preserve"> </w:t>
      </w:r>
      <w:r>
        <w:rPr>
          <w:lang w:val="en-US"/>
        </w:rPr>
        <w:tab/>
        <w:t>Average Bandwidth Factor, 9.77dB;</w:t>
      </w:r>
    </w:p>
    <w:p w:rsidR="0089268C" w:rsidRDefault="00C3610E">
      <w:pPr>
        <w:pStyle w:val="Equationlegend"/>
        <w:rPr>
          <w:lang w:val="en-US" w:eastAsia="zh-CN"/>
        </w:rPr>
      </w:pPr>
      <w:r>
        <w:rPr>
          <w:i/>
          <w:iCs/>
          <w:lang w:val="en-US"/>
        </w:rPr>
        <w:tab/>
        <w:t>L</w:t>
      </w:r>
      <w:r>
        <w:rPr>
          <w:i/>
          <w:iCs/>
          <w:vertAlign w:val="subscript"/>
          <w:lang w:val="en-US"/>
        </w:rPr>
        <w:t>pol</w:t>
      </w:r>
      <w:r>
        <w:rPr>
          <w:lang w:val="en-US" w:eastAsia="zh-CN"/>
        </w:rPr>
        <w:t>:</w:t>
      </w:r>
      <w:r>
        <w:rPr>
          <w:lang w:val="en-US"/>
        </w:rPr>
        <w:t xml:space="preserve"> </w:t>
      </w:r>
      <w:r>
        <w:rPr>
          <w:lang w:val="en-US"/>
        </w:rPr>
        <w:tab/>
        <w:t>Polarization discrimination, 1dB;</w:t>
      </w:r>
    </w:p>
    <w:p w:rsidR="0089268C" w:rsidRDefault="00C3610E">
      <w:pPr>
        <w:pStyle w:val="Equationlegend"/>
        <w:rPr>
          <w:lang w:val="en-US"/>
        </w:rPr>
      </w:pPr>
      <w:r>
        <w:rPr>
          <w:lang w:val="en-US" w:eastAsia="zh-CN"/>
        </w:rPr>
        <w:tab/>
      </w:r>
      <w:r>
        <w:rPr>
          <w:i/>
          <w:iCs/>
          <w:lang w:val="en-US"/>
        </w:rPr>
        <w:t>L</w:t>
      </w:r>
      <w:r>
        <w:rPr>
          <w:i/>
          <w:iCs/>
          <w:vertAlign w:val="subscript"/>
          <w:lang w:val="en-US"/>
        </w:rPr>
        <w:t>prop</w:t>
      </w:r>
      <w:r>
        <w:rPr>
          <w:lang w:val="en-US" w:eastAsia="zh-CN"/>
        </w:rPr>
        <w:t>:</w:t>
      </w:r>
      <w:r>
        <w:rPr>
          <w:lang w:val="en-US"/>
        </w:rPr>
        <w:t xml:space="preserve"> </w:t>
      </w:r>
      <w:r>
        <w:rPr>
          <w:lang w:val="en-US"/>
        </w:rPr>
        <w:tab/>
        <w:t>Propagation loss</w:t>
      </w:r>
      <w:r>
        <w:rPr>
          <w:lang w:val="en-US" w:eastAsia="zh-CN"/>
        </w:rPr>
        <w:t xml:space="preserve"> including free space transmission loss, atmospheric loss</w:t>
      </w:r>
      <w:r>
        <w:rPr>
          <w:lang w:val="en-US"/>
        </w:rPr>
        <w:t xml:space="preserve"> </w:t>
      </w:r>
      <w:r>
        <w:rPr>
          <w:lang w:val="en-US" w:eastAsia="zh-CN"/>
        </w:rPr>
        <w:t xml:space="preserve">(Rec. ITU-R P.676) and clutter loss (Rec. ITU-R P.2108), </w:t>
      </w:r>
      <w:r>
        <w:rPr>
          <w:lang w:val="en-US"/>
        </w:rPr>
        <w:t>dB;</w:t>
      </w:r>
    </w:p>
    <w:p w:rsidR="0089268C" w:rsidRDefault="00C3610E">
      <w:pPr>
        <w:pStyle w:val="Equationlegend"/>
        <w:rPr>
          <w:lang w:val="en-US"/>
        </w:rPr>
      </w:pPr>
      <w:r>
        <w:rPr>
          <w:lang w:val="en-US" w:eastAsia="zh-CN"/>
        </w:rPr>
        <w:tab/>
      </w:r>
      <w:r>
        <w:rPr>
          <w:i/>
          <w:iCs/>
          <w:lang w:val="en-US"/>
        </w:rPr>
        <w:t>G</w:t>
      </w:r>
      <w:r>
        <w:rPr>
          <w:i/>
          <w:iCs/>
          <w:vertAlign w:val="subscript"/>
          <w:lang w:val="en-US"/>
        </w:rPr>
        <w:t>r</w:t>
      </w:r>
      <w:r>
        <w:rPr>
          <w:i/>
          <w:iCs/>
          <w:lang w:val="en-US"/>
        </w:rPr>
        <w:t>(</w:t>
      </w:r>
      <w:r>
        <w:rPr>
          <w:rFonts w:eastAsia="KaiTi_GB2312"/>
          <w:i/>
          <w:iCs/>
          <w:lang w:val="en-US" w:eastAsia="zh-CN"/>
        </w:rPr>
        <w:t>θ</w:t>
      </w:r>
      <w:r>
        <w:rPr>
          <w:i/>
          <w:iCs/>
          <w:lang w:val="en-US"/>
        </w:rPr>
        <w:t>)</w:t>
      </w:r>
      <w:r>
        <w:rPr>
          <w:lang w:val="en-US" w:eastAsia="zh-CN"/>
        </w:rPr>
        <w:t>:</w:t>
      </w:r>
      <w:r>
        <w:rPr>
          <w:lang w:val="en-US"/>
        </w:rPr>
        <w:t xml:space="preserve"> </w:t>
      </w:r>
      <w:r>
        <w:rPr>
          <w:lang w:val="en-US"/>
        </w:rPr>
        <w:tab/>
        <w:t xml:space="preserve">Antenna gain of the </w:t>
      </w:r>
      <w:r>
        <w:rPr>
          <w:lang w:val="en-US" w:eastAsia="zh-CN"/>
        </w:rPr>
        <w:t>satellite receiver</w:t>
      </w:r>
      <w:r>
        <w:rPr>
          <w:lang w:val="en-US"/>
        </w:rPr>
        <w:t xml:space="preserve"> in the direction of the </w:t>
      </w:r>
      <w:r>
        <w:rPr>
          <w:lang w:val="en-US" w:eastAsia="zh-CN"/>
        </w:rPr>
        <w:t>n-th terrestrial station</w:t>
      </w:r>
      <w:r>
        <w:rPr>
          <w:lang w:val="en-US"/>
        </w:rPr>
        <w:t>, dBi;</w:t>
      </w:r>
    </w:p>
    <w:p w:rsidR="0089268C" w:rsidRDefault="00C3610E">
      <w:pPr>
        <w:pStyle w:val="Equationlegend"/>
        <w:rPr>
          <w:lang w:val="en-US" w:eastAsia="zh-CN"/>
        </w:rPr>
      </w:pPr>
      <w:r>
        <w:rPr>
          <w:lang w:val="en-US" w:eastAsia="zh-CN"/>
        </w:rPr>
        <w:tab/>
      </w:r>
      <w:r>
        <w:rPr>
          <w:i/>
          <w:lang w:val="en-US" w:eastAsia="zh-CN"/>
        </w:rPr>
        <w:t>θ</w:t>
      </w:r>
      <w:r>
        <w:rPr>
          <w:lang w:val="en-US" w:eastAsia="zh-CN"/>
        </w:rPr>
        <w:t>:</w:t>
      </w:r>
      <w:r>
        <w:rPr>
          <w:lang w:val="en-US" w:eastAsia="zh-CN"/>
        </w:rPr>
        <w:tab/>
        <w:t xml:space="preserve">Off-axis </w:t>
      </w:r>
      <w:r>
        <w:rPr>
          <w:lang w:val="en-US"/>
        </w:rPr>
        <w:t>angle</w:t>
      </w:r>
      <w:r>
        <w:rPr>
          <w:lang w:val="en-US" w:eastAsia="zh-CN"/>
        </w:rPr>
        <w:t>, deg.</w:t>
      </w:r>
    </w:p>
    <w:p w:rsidR="0089268C" w:rsidRDefault="00C3610E">
      <w:pPr>
        <w:rPr>
          <w:shd w:val="clear" w:color="auto" w:fill="FFFFFF"/>
          <w:lang w:val="en-US" w:eastAsia="zh-CN"/>
        </w:rPr>
      </w:pPr>
      <w:r>
        <w:rPr>
          <w:shd w:val="clear" w:color="auto" w:fill="FFFFFF"/>
          <w:lang w:val="en-US" w:eastAsia="zh-CN"/>
        </w:rPr>
        <w:t xml:space="preserve">The number of </w:t>
      </w:r>
      <w:r>
        <w:rPr>
          <w:lang w:val="en-US"/>
        </w:rPr>
        <w:t>RLAN access points in the n-th country/region</w:t>
      </w:r>
      <w:r>
        <w:rPr>
          <w:i/>
          <w:iCs/>
          <w:lang w:val="en-US"/>
        </w:rPr>
        <w:t xml:space="preserve"> N</w:t>
      </w:r>
      <w:r>
        <w:rPr>
          <w:i/>
          <w:iCs/>
          <w:vertAlign w:val="subscript"/>
          <w:lang w:val="en-US"/>
        </w:rPr>
        <w:t>n</w:t>
      </w:r>
      <w:r>
        <w:rPr>
          <w:shd w:val="clear" w:color="auto" w:fill="FFFFFF"/>
          <w:lang w:val="en-US" w:eastAsia="zh-CN"/>
        </w:rPr>
        <w:t xml:space="preserve"> is calculated by equation (2) as below.</w:t>
      </w:r>
    </w:p>
    <w:p w:rsidR="0089268C" w:rsidRDefault="00C3610E">
      <w:pPr>
        <w:pStyle w:val="Equation"/>
        <w:wordWrap w:val="0"/>
        <w:jc w:val="right"/>
        <w:rPr>
          <w:lang w:val="en-US" w:eastAsia="zh-CN"/>
        </w:rPr>
      </w:pPr>
      <w:r>
        <w:rPr>
          <w:lang w:val="en-US"/>
        </w:rPr>
        <w:tab/>
      </w:r>
      <w:r>
        <w:rPr>
          <w:lang w:val="en-US"/>
        </w:rPr>
        <w:tab/>
      </w:r>
      <w:r>
        <w:rPr>
          <w:i/>
          <w:iCs/>
          <w:lang w:val="en-US"/>
        </w:rPr>
        <w:t>N</w:t>
      </w:r>
      <w:r>
        <w:rPr>
          <w:i/>
          <w:iCs/>
          <w:vertAlign w:val="subscript"/>
          <w:lang w:val="en-US"/>
        </w:rPr>
        <w:t>n</w:t>
      </w:r>
      <w:r>
        <w:rPr>
          <w:lang w:val="en-US"/>
        </w:rPr>
        <w:t xml:space="preserve"> = </w:t>
      </w:r>
      <w:r>
        <w:rPr>
          <w:i/>
          <w:iCs/>
          <w:lang w:val="en-US"/>
        </w:rPr>
        <w:t>Ds</w:t>
      </w:r>
      <w:r>
        <w:rPr>
          <w:lang w:val="en-US"/>
        </w:rPr>
        <w:t xml:space="preserve"> * </w:t>
      </w:r>
      <w:r>
        <w:rPr>
          <w:i/>
          <w:lang w:val="en-US"/>
        </w:rPr>
        <w:t>P</w:t>
      </w:r>
      <w:r>
        <w:rPr>
          <w:i/>
          <w:vertAlign w:val="subscript"/>
          <w:lang w:val="en-US"/>
        </w:rPr>
        <w:t>n</w:t>
      </w:r>
      <w:r>
        <w:rPr>
          <w:lang w:val="en-US"/>
        </w:rPr>
        <w:tab/>
      </w:r>
      <w:r>
        <w:rPr>
          <w:lang w:val="en-US" w:eastAsia="zh-CN"/>
        </w:rPr>
        <w:t>(2)</w:t>
      </w:r>
    </w:p>
    <w:p w:rsidR="0089268C" w:rsidRDefault="00C3610E">
      <w:pPr>
        <w:rPr>
          <w:lang w:val="en-US" w:eastAsia="zh-CN"/>
        </w:rPr>
      </w:pPr>
      <w:r>
        <w:rPr>
          <w:lang w:val="en-US"/>
        </w:rPr>
        <w:t xml:space="preserve">where: </w:t>
      </w:r>
    </w:p>
    <w:p w:rsidR="0089268C" w:rsidRDefault="00C3610E">
      <w:pPr>
        <w:pStyle w:val="Equationlegend"/>
        <w:rPr>
          <w:lang w:val="en-US" w:eastAsia="zh-CN"/>
        </w:rPr>
      </w:pPr>
      <w:r>
        <w:rPr>
          <w:i/>
          <w:iCs/>
          <w:lang w:val="en-US"/>
        </w:rPr>
        <w:tab/>
        <w:t>Ds</w:t>
      </w:r>
      <w:r>
        <w:rPr>
          <w:lang w:val="en-US"/>
        </w:rPr>
        <w:t xml:space="preserve">: </w:t>
      </w:r>
      <w:r>
        <w:rPr>
          <w:lang w:val="en-US"/>
        </w:rPr>
        <w:tab/>
      </w:r>
      <w:r>
        <w:rPr>
          <w:lang w:val="en-US" w:eastAsia="zh-CN"/>
        </w:rPr>
        <w:t xml:space="preserve">Average </w:t>
      </w:r>
      <w:r>
        <w:rPr>
          <w:lang w:val="en-US"/>
        </w:rPr>
        <w:t>RLAN</w:t>
      </w:r>
      <w:r>
        <w:rPr>
          <w:lang w:val="en-US" w:eastAsia="zh-CN"/>
        </w:rPr>
        <w:t xml:space="preserve"> device densit</w:t>
      </w:r>
      <w:r>
        <w:rPr>
          <w:lang w:val="en-US" w:eastAsia="ja-JP"/>
        </w:rPr>
        <w:t xml:space="preserve">y, taking into account the </w:t>
      </w:r>
      <w:r>
        <w:rPr>
          <w:lang w:val="en-US"/>
        </w:rPr>
        <w:t>overlapping factor</w:t>
      </w:r>
      <w:r>
        <w:rPr>
          <w:lang w:val="en-US" w:eastAsia="ja-JP"/>
        </w:rPr>
        <w:t xml:space="preserve">, </w:t>
      </w:r>
      <w:r>
        <w:rPr>
          <w:color w:val="000000"/>
          <w:lang w:val="en-US"/>
        </w:rPr>
        <w:t xml:space="preserve">0.0029 </w:t>
      </w:r>
      <w:r>
        <w:rPr>
          <w:lang w:val="en-US"/>
        </w:rPr>
        <w:t>RLAN/inhab;</w:t>
      </w:r>
    </w:p>
    <w:p w:rsidR="0089268C" w:rsidRDefault="00C3610E">
      <w:pPr>
        <w:pStyle w:val="Equationlegend"/>
        <w:rPr>
          <w:lang w:val="en-US" w:eastAsia="zh-CN"/>
        </w:rPr>
      </w:pPr>
      <w:r>
        <w:rPr>
          <w:lang w:val="en-US" w:eastAsia="zh-CN"/>
        </w:rPr>
        <w:tab/>
      </w:r>
      <w:r>
        <w:rPr>
          <w:i/>
          <w:lang w:val="en-US"/>
        </w:rPr>
        <w:t>P</w:t>
      </w:r>
      <w:r>
        <w:rPr>
          <w:i/>
          <w:vertAlign w:val="subscript"/>
          <w:lang w:val="en-US"/>
        </w:rPr>
        <w:t>n</w:t>
      </w:r>
      <w:r>
        <w:rPr>
          <w:lang w:val="en-US" w:eastAsia="zh-CN"/>
        </w:rPr>
        <w:t xml:space="preserve">: </w:t>
      </w:r>
      <w:r>
        <w:rPr>
          <w:lang w:val="en-US" w:eastAsia="zh-CN"/>
        </w:rPr>
        <w:tab/>
        <w:t xml:space="preserve">Population of the </w:t>
      </w:r>
      <w:r>
        <w:rPr>
          <w:lang w:val="en-US"/>
        </w:rPr>
        <w:t>n-th country/region, population data is obtained from Table 5.</w:t>
      </w:r>
    </w:p>
    <w:p w:rsidR="0089268C" w:rsidRDefault="00C3610E">
      <w:pPr>
        <w:rPr>
          <w:lang w:val="en-US" w:eastAsia="zh-CN"/>
        </w:rPr>
      </w:pPr>
      <w:r>
        <w:rPr>
          <w:lang w:val="en-US" w:eastAsia="zh-CN"/>
        </w:rPr>
        <w:t>The aggregate interference is calculated by equation (3) as follows.</w:t>
      </w:r>
    </w:p>
    <w:p w:rsidR="0089268C" w:rsidRDefault="00C3610E">
      <w:pPr>
        <w:pStyle w:val="Equation"/>
        <w:wordWrap w:val="0"/>
        <w:jc w:val="right"/>
        <w:rPr>
          <w:lang w:val="en-US" w:eastAsia="zh-CN"/>
        </w:rPr>
      </w:pPr>
      <w:r>
        <w:rPr>
          <w:lang w:val="en-US"/>
        </w:rPr>
        <w:tab/>
      </w:r>
      <w:r>
        <w:rPr>
          <w:lang w:val="en-US"/>
        </w:rPr>
        <w:tab/>
      </w:r>
      <w:r w:rsidRPr="001E7D0F">
        <w:rPr>
          <w:position w:val="-16"/>
          <w:lang w:val="en-US"/>
        </w:rPr>
        <w:object w:dxaOrig="2520" w:dyaOrig="460">
          <v:shape id="_x0000_i1028" type="#_x0000_t75" style="width:116.75pt;height:24pt" o:ole="">
            <v:imagedata r:id="rId81" o:title=""/>
          </v:shape>
          <o:OLEObject Type="Embed" ProgID="Equation.3" ShapeID="_x0000_i1028" DrawAspect="Content" ObjectID="_1572690771" r:id="rId82"/>
        </w:object>
      </w:r>
      <w:r>
        <w:rPr>
          <w:position w:val="-12"/>
          <w:lang w:val="en-US" w:eastAsia="zh-CN"/>
        </w:rPr>
        <w:tab/>
        <w:t>(3)</w:t>
      </w:r>
    </w:p>
    <w:p w:rsidR="0089268C" w:rsidRDefault="00C3610E">
      <w:pPr>
        <w:spacing w:before="0"/>
        <w:rPr>
          <w:szCs w:val="24"/>
          <w:lang w:val="en-US" w:eastAsia="zh-CN"/>
        </w:rPr>
      </w:pPr>
      <w:r>
        <w:rPr>
          <w:szCs w:val="24"/>
          <w:lang w:val="en-US"/>
        </w:rPr>
        <w:t>where:</w:t>
      </w:r>
    </w:p>
    <w:p w:rsidR="0089268C" w:rsidRDefault="00C3610E">
      <w:pPr>
        <w:pStyle w:val="Equationlegend"/>
        <w:rPr>
          <w:lang w:val="en-US"/>
        </w:rPr>
      </w:pPr>
      <w:r>
        <w:rPr>
          <w:i/>
          <w:iCs/>
          <w:lang w:val="en-US" w:eastAsia="zh-CN"/>
        </w:rPr>
        <w:tab/>
        <w:t>I</w:t>
      </w:r>
      <w:r>
        <w:rPr>
          <w:i/>
          <w:iCs/>
          <w:vertAlign w:val="subscript"/>
          <w:lang w:val="en-US" w:eastAsia="zh-CN"/>
        </w:rPr>
        <w:t>total</w:t>
      </w:r>
      <w:r>
        <w:rPr>
          <w:lang w:val="en-US"/>
        </w:rPr>
        <w:t>:</w:t>
      </w:r>
      <w:r>
        <w:rPr>
          <w:lang w:val="en-US" w:eastAsia="zh-CN"/>
        </w:rPr>
        <w:tab/>
        <w:t>Received aggregate interference from all RLAN terrestrial stations (aggregated stations)  inside footprint size, dBm;</w:t>
      </w:r>
    </w:p>
    <w:p w:rsidR="0089268C" w:rsidRDefault="00C3610E">
      <w:pPr>
        <w:pStyle w:val="Equationlegend"/>
        <w:rPr>
          <w:lang w:val="en-US" w:eastAsia="zh-CN"/>
        </w:rPr>
      </w:pPr>
      <w:r>
        <w:rPr>
          <w:i/>
          <w:iCs/>
          <w:lang w:val="en-US"/>
        </w:rPr>
        <w:tab/>
      </w:r>
      <w:r>
        <w:rPr>
          <w:i/>
          <w:iCs/>
          <w:lang w:val="en-US" w:eastAsia="zh-CN"/>
        </w:rPr>
        <w:t>n</w:t>
      </w:r>
      <w:r>
        <w:rPr>
          <w:lang w:val="en-US"/>
        </w:rPr>
        <w:t>:</w:t>
      </w:r>
      <w:r>
        <w:rPr>
          <w:lang w:val="en-US" w:eastAsia="zh-CN"/>
        </w:rPr>
        <w:t xml:space="preserve"> </w:t>
      </w:r>
      <w:r>
        <w:rPr>
          <w:lang w:val="en-US" w:eastAsia="zh-CN"/>
        </w:rPr>
        <w:tab/>
        <w:t>I</w:t>
      </w:r>
      <w:r>
        <w:rPr>
          <w:lang w:val="en-US"/>
        </w:rPr>
        <w:t xml:space="preserve">ndex of the </w:t>
      </w:r>
      <w:r>
        <w:rPr>
          <w:lang w:val="en-US" w:eastAsia="zh-CN"/>
        </w:rPr>
        <w:t>RLAN terrestrial station;</w:t>
      </w:r>
    </w:p>
    <w:p w:rsidR="0089268C" w:rsidRDefault="00C3610E">
      <w:pPr>
        <w:pStyle w:val="Equationlegend"/>
        <w:rPr>
          <w:lang w:val="en-US" w:eastAsia="zh-CN"/>
        </w:rPr>
      </w:pPr>
      <w:r>
        <w:rPr>
          <w:lang w:val="en-US" w:eastAsia="zh-CN"/>
        </w:rPr>
        <w:tab/>
      </w:r>
      <w:r>
        <w:rPr>
          <w:i/>
          <w:iCs/>
          <w:lang w:val="en-US" w:eastAsia="zh-CN"/>
        </w:rPr>
        <w:t>I</w:t>
      </w:r>
      <w:r>
        <w:rPr>
          <w:i/>
          <w:iCs/>
          <w:vertAlign w:val="subscript"/>
          <w:lang w:val="en-US" w:eastAsia="zh-CN"/>
        </w:rPr>
        <w:t>n</w:t>
      </w:r>
      <w:r>
        <w:rPr>
          <w:i/>
          <w:iCs/>
          <w:lang w:val="en-US"/>
        </w:rPr>
        <w:t>:</w:t>
      </w:r>
      <w:r>
        <w:rPr>
          <w:lang w:val="en-US"/>
        </w:rPr>
        <w:tab/>
        <w:t xml:space="preserve">Interference power </w:t>
      </w:r>
      <w:r>
        <w:rPr>
          <w:lang w:val="en-US" w:eastAsia="zh-CN"/>
        </w:rPr>
        <w:t>from the n-th terrestrial station</w:t>
      </w:r>
      <w:r>
        <w:rPr>
          <w:lang w:val="en-US"/>
        </w:rPr>
        <w:t>, dB</w:t>
      </w:r>
      <w:r>
        <w:rPr>
          <w:lang w:val="en-US" w:eastAsia="zh-CN"/>
        </w:rPr>
        <w:t>m</w:t>
      </w:r>
      <w:r>
        <w:rPr>
          <w:lang w:val="en-US"/>
        </w:rPr>
        <w:t>.</w:t>
      </w:r>
    </w:p>
    <w:p w:rsidR="0089268C" w:rsidRPr="001E7D0F" w:rsidRDefault="00C3610E" w:rsidP="00C720B2">
      <w:pPr>
        <w:pStyle w:val="Heading4"/>
      </w:pPr>
      <w:r w:rsidRPr="001E7D0F">
        <w:t>5.1.4.</w:t>
      </w:r>
      <w:r w:rsidR="00C720B2">
        <w:t>3</w:t>
      </w:r>
      <w:r w:rsidRPr="001E7D0F">
        <w:tab/>
        <w:t>Interference Analysis</w:t>
      </w:r>
    </w:p>
    <w:p w:rsidR="0089268C" w:rsidRPr="001E7D0F" w:rsidRDefault="00C3610E" w:rsidP="00C720B2">
      <w:pPr>
        <w:pStyle w:val="Heading5"/>
      </w:pPr>
      <w:r w:rsidRPr="001E7D0F">
        <w:t>5.1.4.</w:t>
      </w:r>
      <w:r w:rsidR="00C720B2">
        <w:t>3</w:t>
      </w:r>
      <w:r w:rsidRPr="001E7D0F">
        <w:t>.1</w:t>
      </w:r>
      <w:r w:rsidRPr="001E7D0F">
        <w:tab/>
        <w:t>Simulation Description</w:t>
      </w:r>
    </w:p>
    <w:p w:rsidR="0089268C" w:rsidRDefault="00C3610E">
      <w:pPr>
        <w:rPr>
          <w:lang w:val="en-US" w:eastAsia="zh-CN"/>
        </w:rPr>
      </w:pPr>
      <w:r>
        <w:rPr>
          <w:lang w:val="en-US" w:eastAsia="zh-CN"/>
        </w:rPr>
        <w:t>The analysis of the interference situation was conducted using the Visualyse simulation tool.</w:t>
      </w:r>
    </w:p>
    <w:p w:rsidR="0089268C" w:rsidRDefault="00C3610E">
      <w:pPr>
        <w:rPr>
          <w:lang w:val="en-US" w:eastAsia="zh-CN"/>
        </w:rPr>
      </w:pPr>
      <w:r>
        <w:rPr>
          <w:lang w:val="en-US" w:eastAsia="zh-CN"/>
        </w:rPr>
        <w:t xml:space="preserve">The simulation time step was 300 Seconds. The simulation was run for two simulation days or 576 time steps. This simulated time approximates two orbital periods of the IGSO satellite. </w:t>
      </w:r>
    </w:p>
    <w:p w:rsidR="0089268C" w:rsidRDefault="00C3610E">
      <w:pPr>
        <w:rPr>
          <w:lang w:val="en-US" w:eastAsia="zh-CN"/>
        </w:rPr>
      </w:pPr>
      <w:r>
        <w:rPr>
          <w:lang w:val="en-US" w:eastAsia="zh-CN"/>
        </w:rPr>
        <w:t>The simulation scenario is shown below.</w:t>
      </w:r>
    </w:p>
    <w:p w:rsidR="0089268C" w:rsidRDefault="00C3610E">
      <w:pPr>
        <w:pStyle w:val="FigureNo"/>
        <w:rPr>
          <w:lang w:val="en-US" w:eastAsia="zh-CN"/>
        </w:rPr>
      </w:pPr>
      <w:r>
        <w:rPr>
          <w:lang w:val="en-US" w:eastAsia="zh-CN"/>
        </w:rPr>
        <w:lastRenderedPageBreak/>
        <w:t>Figure 3</w:t>
      </w:r>
    </w:p>
    <w:p w:rsidR="0089268C" w:rsidRDefault="00C3610E" w:rsidP="005C1912">
      <w:pPr>
        <w:pStyle w:val="Figuretitle"/>
      </w:pPr>
      <w:r>
        <w:t>Simulation scenario</w:t>
      </w:r>
    </w:p>
    <w:p w:rsidR="0089268C" w:rsidRDefault="00C3610E" w:rsidP="005C1912">
      <w:pPr>
        <w:pStyle w:val="Figure"/>
      </w:pPr>
      <w:r w:rsidRPr="001E7D0F">
        <w:rPr>
          <w:lang w:val="en-GB"/>
        </w:rPr>
        <w:drawing>
          <wp:inline distT="0" distB="0" distL="0" distR="0">
            <wp:extent cx="4543425" cy="4086225"/>
            <wp:effectExtent l="0" t="0" r="9525" b="9525"/>
            <wp:docPr id="12312" name="图片 1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543425" cy="4086225"/>
                    </a:xfrm>
                    <a:prstGeom prst="rect">
                      <a:avLst/>
                    </a:prstGeom>
                  </pic:spPr>
                </pic:pic>
              </a:graphicData>
            </a:graphic>
          </wp:inline>
        </w:drawing>
      </w:r>
    </w:p>
    <w:p w:rsidR="0089268C" w:rsidRDefault="00C3610E" w:rsidP="00C720B2">
      <w:pPr>
        <w:pStyle w:val="Heading5"/>
      </w:pPr>
      <w:r w:rsidRPr="001E7D0F">
        <w:t>5.1.4.</w:t>
      </w:r>
      <w:r w:rsidR="00C720B2">
        <w:t>3</w:t>
      </w:r>
      <w:r>
        <w:t>.2</w:t>
      </w:r>
      <w:r>
        <w:tab/>
        <w:t>Simulation results</w:t>
      </w:r>
    </w:p>
    <w:p w:rsidR="0089268C" w:rsidRDefault="00C3610E">
      <w:pPr>
        <w:rPr>
          <w:lang w:val="en-US" w:eastAsia="zh-CN"/>
        </w:rPr>
      </w:pPr>
      <w:r>
        <w:rPr>
          <w:lang w:val="en-US" w:eastAsia="zh-CN"/>
        </w:rPr>
        <w:t>The results of the simulation are shown in Figure 4 for one and a half simulation periods (days). It can be seen that the interference to the COMPASS-MSS system feeder link from RLAN access points will exceed the I/N = -12.2 dB threshold for over half of a simulation period. That means the COMPASS-MSS system feeder link will suffer interference from RLAN access points for more than 50% of the time.</w:t>
      </w:r>
    </w:p>
    <w:p w:rsidR="0089268C" w:rsidRDefault="00C3610E">
      <w:pPr>
        <w:pStyle w:val="FigureNo"/>
        <w:rPr>
          <w:lang w:val="en-US" w:eastAsia="zh-CN"/>
        </w:rPr>
      </w:pPr>
      <w:r>
        <w:rPr>
          <w:lang w:val="en-US" w:eastAsia="zh-CN"/>
        </w:rPr>
        <w:lastRenderedPageBreak/>
        <w:t>Figure 4</w:t>
      </w:r>
    </w:p>
    <w:p w:rsidR="0089268C" w:rsidRDefault="00C3610E" w:rsidP="005C1912">
      <w:pPr>
        <w:pStyle w:val="Figuretitle"/>
      </w:pPr>
      <w:r>
        <w:t>Results of the preliminary simulation</w:t>
      </w:r>
    </w:p>
    <w:p w:rsidR="0089268C" w:rsidRDefault="00C3610E" w:rsidP="005C1912">
      <w:pPr>
        <w:pStyle w:val="Figure"/>
      </w:pPr>
      <w:r w:rsidRPr="001E7D0F">
        <w:rPr>
          <w:lang w:val="en-GB"/>
        </w:rPr>
        <mc:AlternateContent>
          <mc:Choice Requires="wps">
            <w:drawing>
              <wp:anchor distT="0" distB="0" distL="114300" distR="114300" simplePos="0" relativeHeight="251659264" behindDoc="0" locked="0" layoutInCell="1" allowOverlap="1">
                <wp:simplePos x="0" y="0"/>
                <wp:positionH relativeFrom="column">
                  <wp:posOffset>504825</wp:posOffset>
                </wp:positionH>
                <wp:positionV relativeFrom="paragraph">
                  <wp:posOffset>970915</wp:posOffset>
                </wp:positionV>
                <wp:extent cx="5472000" cy="0"/>
                <wp:effectExtent l="0" t="0" r="0" b="0"/>
                <wp:wrapNone/>
                <wp:docPr id="12307" name="直接连接符 12307"/>
                <wp:cNvGraphicFramePr/>
                <a:graphic xmlns:a="http://schemas.openxmlformats.org/drawingml/2006/main">
                  <a:graphicData uri="http://schemas.microsoft.com/office/word/2010/wordprocessingShape">
                    <wps:wsp>
                      <wps:cNvCnPr/>
                      <wps:spPr>
                        <a:xfrm>
                          <a:off x="0" y="0"/>
                          <a:ext cx="5472000" cy="0"/>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B44C1E" id="直接连接符 1230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5pt,76.45pt" to="470.6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" strokecolor="#bc4542 [3045]" strokeweight="1pt"/>
            </w:pict>
          </mc:Fallback>
        </mc:AlternateContent>
      </w:r>
      <w:r w:rsidRPr="001E7D0F">
        <w:rPr>
          <w:lang w:val="en-GB"/>
        </w:rPr>
        <mc:AlternateContent>
          <mc:Choice Requires="wps">
            <w:drawing>
              <wp:anchor distT="45720" distB="45720" distL="114300" distR="114300" simplePos="0" relativeHeight="251660288" behindDoc="0" locked="0" layoutInCell="1" allowOverlap="1">
                <wp:simplePos x="0" y="0"/>
                <wp:positionH relativeFrom="column">
                  <wp:posOffset>956310</wp:posOffset>
                </wp:positionH>
                <wp:positionV relativeFrom="paragraph">
                  <wp:posOffset>1025525</wp:posOffset>
                </wp:positionV>
                <wp:extent cx="771525" cy="371475"/>
                <wp:effectExtent l="0" t="0" r="0" b="0"/>
                <wp:wrapNone/>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71475"/>
                        </a:xfrm>
                        <a:prstGeom prst="rect">
                          <a:avLst/>
                        </a:prstGeom>
                        <a:noFill/>
                        <a:ln w="9525">
                          <a:noFill/>
                          <a:miter lim="800000"/>
                          <a:headEnd/>
                          <a:tailEnd/>
                        </a:ln>
                      </wps:spPr>
                      <wps:txbx>
                        <w:txbxContent>
                          <w:p w:rsidR="00C720B2" w:rsidRDefault="00C720B2">
                            <w:pPr>
                              <w:rPr>
                                <w:sz w:val="20"/>
                                <w14:textOutline w14:w="9525" w14:cap="rnd" w14:cmpd="sng" w14:algn="ctr">
                                  <w14:noFill/>
                                  <w14:prstDash w14:val="solid"/>
                                  <w14:bevel/>
                                </w14:textOutline>
                              </w:rPr>
                            </w:pPr>
                            <w:proofErr w:type="gramStart"/>
                            <w:r>
                              <w:rPr>
                                <w:sz w:val="20"/>
                                <w14:textOutline w14:w="9525" w14:cap="rnd" w14:cmpd="sng" w14:algn="ctr">
                                  <w14:noFill/>
                                  <w14:prstDash w14:val="solid"/>
                                  <w14:bevel/>
                                </w14:textOutline>
                              </w:rPr>
                              <w:t>-12.2</w:t>
                            </w:r>
                            <w:proofErr w:type="gramEnd"/>
                            <w:r>
                              <w:rPr>
                                <w:sz w:val="20"/>
                                <w14:textOutline w14:w="9525" w14:cap="rnd" w14:cmpd="sng" w14:algn="ctr">
                                  <w14:noFill/>
                                  <w14:prstDash w14:val="solid"/>
                                  <w14:bevel/>
                                </w14:textOutline>
                              </w:rPr>
                              <w:t xml:space="preserve"> 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75.3pt;margin-top:80.75pt;width:60.75pt;height:29.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" filled="f" stroked="f">
                <v:textbox>
                  <w:txbxContent>
                    <w:p w:rsidR="00C720B2" w:rsidRDefault="00C720B2">
                      <w:pPr>
                        <w:rPr>
                          <w:sz w:val="20"/>
                          <w14:textOutline w14:w="9525" w14:cap="rnd" w14:cmpd="sng" w14:algn="ctr">
                            <w14:noFill/>
                            <w14:prstDash w14:val="solid"/>
                            <w14:bevel/>
                          </w14:textOutline>
                        </w:rPr>
                      </w:pPr>
                      <w:proofErr w:type="gramStart"/>
                      <w:r>
                        <w:rPr>
                          <w:sz w:val="20"/>
                          <w14:textOutline w14:w="9525" w14:cap="rnd" w14:cmpd="sng" w14:algn="ctr">
                            <w14:noFill/>
                            <w14:prstDash w14:val="solid"/>
                            <w14:bevel/>
                          </w14:textOutline>
                        </w:rPr>
                        <w:t>-12.2</w:t>
                      </w:r>
                      <w:proofErr w:type="gramEnd"/>
                      <w:r>
                        <w:rPr>
                          <w:sz w:val="20"/>
                          <w14:textOutline w14:w="9525" w14:cap="rnd" w14:cmpd="sng" w14:algn="ctr">
                            <w14:noFill/>
                            <w14:prstDash w14:val="solid"/>
                            <w14:bevel/>
                          </w14:textOutline>
                        </w:rPr>
                        <w:t xml:space="preserve"> dB</w:t>
                      </w:r>
                    </w:p>
                  </w:txbxContent>
                </v:textbox>
              </v:shape>
            </w:pict>
          </mc:Fallback>
        </mc:AlternateContent>
      </w:r>
      <w:r w:rsidRPr="001E7D0F">
        <w:rPr>
          <w:lang w:val="en-GB"/>
        </w:rPr>
        <mc:AlternateContent>
          <mc:Choice Requires="wps">
            <w:drawing>
              <wp:anchor distT="0" distB="0" distL="114300" distR="114300" simplePos="0" relativeHeight="251661312" behindDoc="0" locked="0" layoutInCell="1" allowOverlap="1">
                <wp:simplePos x="0" y="0"/>
                <wp:positionH relativeFrom="column">
                  <wp:posOffset>842010</wp:posOffset>
                </wp:positionH>
                <wp:positionV relativeFrom="paragraph">
                  <wp:posOffset>996950</wp:posOffset>
                </wp:positionV>
                <wp:extent cx="152400" cy="180975"/>
                <wp:effectExtent l="38100" t="38100" r="19050" b="28575"/>
                <wp:wrapNone/>
                <wp:docPr id="12308" name="直接箭头连接符 12308"/>
                <wp:cNvGraphicFramePr/>
                <a:graphic xmlns:a="http://schemas.openxmlformats.org/drawingml/2006/main">
                  <a:graphicData uri="http://schemas.microsoft.com/office/word/2010/wordprocessingShape">
                    <wps:wsp>
                      <wps:cNvCnPr/>
                      <wps:spPr>
                        <a:xfrm flipH="1" flipV="1">
                          <a:off x="0" y="0"/>
                          <a:ext cx="15240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7E7A3D5" id="_x0000_t32" coordsize="21600,21600" o:spt="32" o:oned="t" path="m,l21600,21600e" filled="f">
                <v:path arrowok="t" fillok="f" o:connecttype="none"/>
                <o:lock v:ext="edit" shapetype="t"/>
              </v:shapetype>
              <v:shape id="直接箭头连接符 12308" o:spid="_x0000_s1026" type="#_x0000_t32" style="position:absolute;margin-left:66.3pt;margin-top:78.5pt;width:12pt;height:14.2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" strokecolor="black [3040]">
                <v:stroke endarrow="block"/>
              </v:shape>
            </w:pict>
          </mc:Fallback>
        </mc:AlternateContent>
      </w:r>
      <w:r w:rsidRPr="001E7D0F">
        <w:rPr>
          <w:lang w:val="en-GB"/>
        </w:rPr>
        <w:drawing>
          <wp:inline distT="0" distB="0" distL="0" distR="0">
            <wp:extent cx="6108163" cy="3486150"/>
            <wp:effectExtent l="0" t="0" r="6985" b="0"/>
            <wp:docPr id="12313" name="图片 12313" descr="C:\Users\fjch\AppData\Local\Microsoft\Windows\INetCache\Content.Word\仿真结果曲线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jch\AppData\Local\Microsoft\Windows\INetCache\Content.Word\仿真结果曲线图.pn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490" t="7829" r="20471"/>
                    <a:stretch/>
                  </pic:blipFill>
                  <pic:spPr bwMode="auto">
                    <a:xfrm>
                      <a:off x="0" y="0"/>
                      <a:ext cx="6108163" cy="3486150"/>
                    </a:xfrm>
                    <a:prstGeom prst="rect">
                      <a:avLst/>
                    </a:prstGeom>
                    <a:noFill/>
                    <a:ln>
                      <a:noFill/>
                    </a:ln>
                    <a:extLst>
                      <a:ext uri="{53640926-AAD7-44D8-BBD7-CCE9431645EC}">
                        <a14:shadowObscured xmlns:a14="http://schemas.microsoft.com/office/drawing/2010/main"/>
                      </a:ext>
                    </a:extLst>
                  </pic:spPr>
                </pic:pic>
              </a:graphicData>
            </a:graphic>
          </wp:inline>
        </w:drawing>
      </w:r>
    </w:p>
    <w:p w:rsidR="0089268C" w:rsidRPr="001E7D0F" w:rsidRDefault="00C3610E" w:rsidP="00C720B2">
      <w:pPr>
        <w:pStyle w:val="Heading4"/>
      </w:pPr>
      <w:r w:rsidRPr="001E7D0F">
        <w:t>5.1.4.</w:t>
      </w:r>
      <w:r w:rsidR="00C720B2">
        <w:t>4</w:t>
      </w:r>
      <w:r w:rsidRPr="001E7D0F">
        <w:tab/>
        <w:t>Summary</w:t>
      </w:r>
    </w:p>
    <w:p w:rsidR="0089268C" w:rsidRDefault="00C3610E">
      <w:pPr>
        <w:rPr>
          <w:lang w:val="en-US"/>
        </w:rPr>
      </w:pPr>
      <w:r>
        <w:rPr>
          <w:lang w:val="en-US"/>
        </w:rPr>
        <w:t xml:space="preserve">The level of interference to FSS from RLANs in the frequency band 5 150-5 250 MHz will depend on many factors such as the total number of RLAN devices that are deployed, their e.i.r.p. and whether they are permitted to operate outdoors.  This contribution concentrated on interference due to outdoor RLAN applications and has computed the potential interference due to those devices. </w:t>
      </w:r>
    </w:p>
    <w:p w:rsidR="0089268C" w:rsidRDefault="00C3610E">
      <w:pPr>
        <w:rPr>
          <w:lang w:val="en-US"/>
        </w:rPr>
      </w:pPr>
      <w:r>
        <w:rPr>
          <w:lang w:val="en-US"/>
        </w:rPr>
        <w:t>The level of the potential interference can be limited by limiting the total number of RLAN devices that are deployed, the e.i.r.p. of the access points above a given elevation angle, the number of outdoor deployed access points, etc.</w:t>
      </w:r>
    </w:p>
    <w:p w:rsidR="0089268C" w:rsidRDefault="00C3610E">
      <w:pPr>
        <w:pStyle w:val="Heading3"/>
        <w:rPr>
          <w:lang w:val="en-US"/>
        </w:rPr>
      </w:pPr>
      <w:r w:rsidRPr="001E7D0F">
        <w:rPr>
          <w:lang w:val="en-US"/>
        </w:rPr>
        <w:t xml:space="preserve">5.1.5 </w:t>
      </w:r>
      <w:r>
        <w:rPr>
          <w:lang w:val="en-US"/>
        </w:rPr>
        <w:tab/>
      </w:r>
      <w:r w:rsidR="00F06D38" w:rsidRPr="001E7D0F">
        <w:rPr>
          <w:lang w:val="en-US"/>
        </w:rPr>
        <w:t>S</w:t>
      </w:r>
      <w:r w:rsidRPr="001E7D0F">
        <w:rPr>
          <w:lang w:val="en-US"/>
        </w:rPr>
        <w:t>tudy 5</w:t>
      </w:r>
      <w:r>
        <w:rPr>
          <w:lang w:val="en-US"/>
        </w:rPr>
        <w:t xml:space="preserve"> (JPN 5A/</w:t>
      </w:r>
      <w:hyperlink r:id="rId85" w:history="1">
        <w:r w:rsidRPr="006A6118">
          <w:rPr>
            <w:rStyle w:val="Hyperlink"/>
            <w:lang w:val="en-US"/>
          </w:rPr>
          <w:t>586</w:t>
        </w:r>
      </w:hyperlink>
      <w:r>
        <w:rPr>
          <w:lang w:val="en-US"/>
        </w:rPr>
        <w:t>)</w:t>
      </w:r>
    </w:p>
    <w:p w:rsidR="0089268C" w:rsidRDefault="00C3610E">
      <w:pPr>
        <w:rPr>
          <w:szCs w:val="24"/>
          <w:lang w:val="en-US" w:eastAsia="ja-JP"/>
        </w:rPr>
      </w:pPr>
      <w:r>
        <w:rPr>
          <w:szCs w:val="24"/>
          <w:lang w:val="en-US" w:eastAsia="ja-JP"/>
        </w:rPr>
        <w:t>Another example of a sharing study with realistic conditions is conducted as follows.</w:t>
      </w:r>
    </w:p>
    <w:p w:rsidR="0089268C" w:rsidRDefault="00C3610E">
      <w:pPr>
        <w:rPr>
          <w:lang w:val="en-US" w:eastAsia="ja-JP"/>
        </w:rPr>
      </w:pPr>
      <w:r>
        <w:rPr>
          <w:lang w:val="en-US" w:eastAsia="ja-JP"/>
        </w:rPr>
        <w:t>The parameters and protection criteria of the non-GSO MSS feeder links are assumed to be the same as described in section 4.1 (proposed in 5A/395) and additional conditions are assumed to be shown in Table A1:</w:t>
      </w:r>
    </w:p>
    <w:p w:rsidR="0089268C" w:rsidRDefault="00C3610E" w:rsidP="00E5737A">
      <w:pPr>
        <w:pStyle w:val="TableNo"/>
        <w:spacing w:before="360"/>
        <w:rPr>
          <w:lang w:val="en-US" w:eastAsia="ja-JP"/>
        </w:rPr>
      </w:pPr>
      <w:r>
        <w:rPr>
          <w:lang w:val="en-US" w:eastAsia="ja-JP"/>
        </w:rPr>
        <w:t>TABLE A1</w:t>
      </w:r>
    </w:p>
    <w:p w:rsidR="0089268C" w:rsidRDefault="00C3610E">
      <w:pPr>
        <w:pStyle w:val="Tabletitle"/>
        <w:rPr>
          <w:lang w:val="en-US" w:eastAsia="ja-JP"/>
        </w:rPr>
      </w:pPr>
      <w:r>
        <w:rPr>
          <w:lang w:val="en-US" w:eastAsia="ja-JP"/>
        </w:rPr>
        <w:t>Additional conditions for a sharing study with MSS feeder links</w:t>
      </w:r>
    </w:p>
    <w:tbl>
      <w:tblPr>
        <w:tblStyle w:val="TableGrid"/>
        <w:tblW w:w="0" w:type="auto"/>
        <w:jc w:val="center"/>
        <w:tblLook w:val="04A0" w:firstRow="1" w:lastRow="0" w:firstColumn="1" w:lastColumn="0" w:noHBand="0" w:noVBand="1"/>
      </w:tblPr>
      <w:tblGrid>
        <w:gridCol w:w="2615"/>
        <w:gridCol w:w="7014"/>
      </w:tblGrid>
      <w:tr w:rsidR="0089268C" w:rsidTr="002C4B63">
        <w:trPr>
          <w:cantSplit/>
          <w:tblHeader/>
          <w:jc w:val="center"/>
        </w:trPr>
        <w:tc>
          <w:tcPr>
            <w:tcW w:w="2615" w:type="dxa"/>
            <w:vAlign w:val="center"/>
          </w:tcPr>
          <w:p w:rsidR="0089268C" w:rsidRDefault="00C3610E">
            <w:pPr>
              <w:pStyle w:val="Tablehead"/>
              <w:rPr>
                <w:szCs w:val="20"/>
                <w:lang w:val="en-US" w:eastAsia="ja-JP"/>
              </w:rPr>
            </w:pPr>
            <w:r>
              <w:rPr>
                <w:lang w:val="en-US" w:eastAsia="ja-JP"/>
              </w:rPr>
              <w:t>Parameters</w:t>
            </w:r>
          </w:p>
        </w:tc>
        <w:tc>
          <w:tcPr>
            <w:tcW w:w="7014" w:type="dxa"/>
            <w:vAlign w:val="center"/>
          </w:tcPr>
          <w:p w:rsidR="0089268C" w:rsidRDefault="00C3610E">
            <w:pPr>
              <w:pStyle w:val="Tablehead"/>
              <w:rPr>
                <w:szCs w:val="20"/>
                <w:lang w:val="en-US" w:eastAsia="ja-JP"/>
              </w:rPr>
            </w:pPr>
            <w:r>
              <w:rPr>
                <w:lang w:val="en-US" w:eastAsia="ja-JP"/>
              </w:rPr>
              <w:t>Values and conditions</w:t>
            </w:r>
          </w:p>
        </w:tc>
      </w:tr>
      <w:tr w:rsidR="0089268C" w:rsidTr="002C4B63">
        <w:trPr>
          <w:jc w:val="center"/>
        </w:trPr>
        <w:tc>
          <w:tcPr>
            <w:tcW w:w="2615" w:type="dxa"/>
            <w:vAlign w:val="center"/>
          </w:tcPr>
          <w:p w:rsidR="0089268C" w:rsidRDefault="00C3610E">
            <w:pPr>
              <w:pStyle w:val="Tabletext"/>
              <w:rPr>
                <w:szCs w:val="20"/>
                <w:lang w:val="en-US" w:eastAsia="ja-JP"/>
              </w:rPr>
            </w:pPr>
            <w:r>
              <w:rPr>
                <w:lang w:val="en-US" w:eastAsia="ja-JP"/>
              </w:rPr>
              <w:t>e.i.r.p. distribution</w:t>
            </w:r>
          </w:p>
        </w:tc>
        <w:tc>
          <w:tcPr>
            <w:tcW w:w="7014" w:type="dxa"/>
            <w:vAlign w:val="center"/>
          </w:tcPr>
          <w:p w:rsidR="0089268C" w:rsidRDefault="00C3610E">
            <w:pPr>
              <w:pStyle w:val="Tabletext"/>
              <w:rPr>
                <w:szCs w:val="20"/>
                <w:lang w:val="en-US" w:eastAsia="ja-JP"/>
              </w:rPr>
            </w:pPr>
            <w:r>
              <w:rPr>
                <w:lang w:val="en-US" w:eastAsia="ja-JP"/>
              </w:rPr>
              <w:t>Based on Table 1A in Report ITU-R M.[RLAN REQ-PAR] (The outdoor usage ratio is 5.3%)</w:t>
            </w:r>
          </w:p>
        </w:tc>
      </w:tr>
      <w:tr w:rsidR="0089268C" w:rsidTr="002C4B63">
        <w:trPr>
          <w:jc w:val="center"/>
        </w:trPr>
        <w:tc>
          <w:tcPr>
            <w:tcW w:w="2615" w:type="dxa"/>
            <w:vAlign w:val="center"/>
          </w:tcPr>
          <w:p w:rsidR="0089268C" w:rsidRDefault="00C3610E">
            <w:pPr>
              <w:pStyle w:val="Tabletext"/>
              <w:rPr>
                <w:szCs w:val="20"/>
                <w:lang w:val="en-US" w:eastAsia="ja-JP"/>
              </w:rPr>
            </w:pPr>
            <w:r>
              <w:rPr>
                <w:lang w:val="en-US" w:eastAsia="ja-JP"/>
              </w:rPr>
              <w:t>Antenna pattern for RLANs</w:t>
            </w:r>
          </w:p>
        </w:tc>
        <w:tc>
          <w:tcPr>
            <w:tcW w:w="7014" w:type="dxa"/>
            <w:vAlign w:val="center"/>
          </w:tcPr>
          <w:p w:rsidR="0089268C" w:rsidRDefault="00C3610E">
            <w:pPr>
              <w:pStyle w:val="Tabletext"/>
              <w:rPr>
                <w:szCs w:val="20"/>
                <w:lang w:val="en-US" w:eastAsia="ja-JP"/>
              </w:rPr>
            </w:pPr>
            <w:r>
              <w:rPr>
                <w:lang w:val="en-US" w:eastAsia="ja-JP"/>
              </w:rPr>
              <w:t>Based on Recommendation ITU-R M.1652 (If the RLAN uses e.i.r.p. of 1 W, the elevation angle mask defined for 5 250-5 350 MHz band in the Resolution</w:t>
            </w:r>
            <w:r>
              <w:rPr>
                <w:b/>
                <w:lang w:val="en-US" w:eastAsia="ja-JP"/>
              </w:rPr>
              <w:t xml:space="preserve"> 229 (Rev.WRC-12)</w:t>
            </w:r>
            <w:r>
              <w:rPr>
                <w:lang w:val="en-US" w:eastAsia="ja-JP"/>
              </w:rPr>
              <w:t xml:space="preserve"> is applied.)</w:t>
            </w:r>
          </w:p>
        </w:tc>
      </w:tr>
      <w:tr w:rsidR="0089268C" w:rsidTr="002C4B63">
        <w:trPr>
          <w:jc w:val="center"/>
        </w:trPr>
        <w:tc>
          <w:tcPr>
            <w:tcW w:w="2615" w:type="dxa"/>
            <w:vAlign w:val="center"/>
          </w:tcPr>
          <w:p w:rsidR="0089268C" w:rsidRDefault="00C3610E">
            <w:pPr>
              <w:pStyle w:val="Tabletext"/>
              <w:rPr>
                <w:szCs w:val="20"/>
                <w:lang w:val="en-US" w:eastAsia="ja-JP"/>
              </w:rPr>
            </w:pPr>
            <w:r>
              <w:rPr>
                <w:lang w:val="en-US" w:eastAsia="ja-JP"/>
              </w:rPr>
              <w:t>Height of RLAN antenna</w:t>
            </w:r>
          </w:p>
        </w:tc>
        <w:tc>
          <w:tcPr>
            <w:tcW w:w="7014" w:type="dxa"/>
            <w:vAlign w:val="center"/>
          </w:tcPr>
          <w:p w:rsidR="0089268C" w:rsidRDefault="00C3610E">
            <w:pPr>
              <w:pStyle w:val="Tabletext"/>
              <w:rPr>
                <w:szCs w:val="20"/>
                <w:lang w:val="en-US" w:eastAsia="ja-JP"/>
              </w:rPr>
            </w:pPr>
            <w:r>
              <w:rPr>
                <w:lang w:val="en-US" w:eastAsia="ja-JP"/>
              </w:rPr>
              <w:t>4.5 m</w:t>
            </w:r>
          </w:p>
        </w:tc>
      </w:tr>
      <w:tr w:rsidR="0089268C" w:rsidTr="002C4B63">
        <w:trPr>
          <w:jc w:val="center"/>
        </w:trPr>
        <w:tc>
          <w:tcPr>
            <w:tcW w:w="2615" w:type="dxa"/>
            <w:vAlign w:val="center"/>
          </w:tcPr>
          <w:p w:rsidR="0089268C" w:rsidRDefault="00C3610E">
            <w:pPr>
              <w:pStyle w:val="Tabletext"/>
              <w:rPr>
                <w:szCs w:val="20"/>
                <w:lang w:val="en-US" w:eastAsia="ja-JP"/>
              </w:rPr>
            </w:pPr>
            <w:r>
              <w:rPr>
                <w:lang w:val="en-US" w:eastAsia="ja-JP"/>
              </w:rPr>
              <w:lastRenderedPageBreak/>
              <w:t>Active ratio of RLANs</w:t>
            </w:r>
          </w:p>
        </w:tc>
        <w:tc>
          <w:tcPr>
            <w:tcW w:w="7014" w:type="dxa"/>
            <w:vAlign w:val="center"/>
          </w:tcPr>
          <w:p w:rsidR="0089268C" w:rsidRDefault="00C3610E">
            <w:pPr>
              <w:pStyle w:val="Tabletext"/>
              <w:rPr>
                <w:szCs w:val="20"/>
                <w:lang w:val="en-US" w:eastAsia="ja-JP"/>
              </w:rPr>
            </w:pPr>
            <w:r>
              <w:rPr>
                <w:lang w:val="en-US" w:eastAsia="ja-JP"/>
              </w:rPr>
              <w:t>4.645% (derived from Report ITU-R M.[RLAN REQ-PAR])</w:t>
            </w:r>
          </w:p>
        </w:tc>
      </w:tr>
      <w:tr w:rsidR="0089268C" w:rsidTr="002C4B63">
        <w:trPr>
          <w:jc w:val="center"/>
        </w:trPr>
        <w:tc>
          <w:tcPr>
            <w:tcW w:w="2615" w:type="dxa"/>
            <w:vAlign w:val="center"/>
          </w:tcPr>
          <w:p w:rsidR="0089268C" w:rsidRDefault="00C3610E">
            <w:pPr>
              <w:pStyle w:val="Tabletext"/>
              <w:rPr>
                <w:szCs w:val="20"/>
                <w:lang w:val="en-US" w:eastAsia="ja-JP"/>
              </w:rPr>
            </w:pPr>
            <w:r>
              <w:rPr>
                <w:lang w:val="en-US" w:eastAsia="ja-JP"/>
              </w:rPr>
              <w:t>Building entry loss</w:t>
            </w:r>
          </w:p>
        </w:tc>
        <w:tc>
          <w:tcPr>
            <w:tcW w:w="7014" w:type="dxa"/>
            <w:vAlign w:val="center"/>
          </w:tcPr>
          <w:p w:rsidR="0089268C" w:rsidRDefault="00C3610E">
            <w:pPr>
              <w:pStyle w:val="Tabletext"/>
              <w:rPr>
                <w:szCs w:val="20"/>
                <w:lang w:val="en-US" w:eastAsia="ja-JP"/>
              </w:rPr>
            </w:pPr>
            <w:r>
              <w:rPr>
                <w:lang w:val="en-US" w:eastAsia="ja-JP"/>
              </w:rPr>
              <w:t xml:space="preserve">Based on Recommendation ITU-R P.2109 (Building type: Traditional (The loss will be lower.), probability: </w:t>
            </w:r>
            <w:r>
              <w:rPr>
                <w:i/>
                <w:iCs/>
                <w:lang w:val="en-US" w:eastAsia="ja-JP"/>
              </w:rPr>
              <w:t>p</w:t>
            </w:r>
            <w:r>
              <w:rPr>
                <w:lang w:val="en-US" w:eastAsia="ja-JP"/>
              </w:rPr>
              <w:t xml:space="preserve"> = 0.5)</w:t>
            </w:r>
          </w:p>
        </w:tc>
      </w:tr>
      <w:tr w:rsidR="0089268C" w:rsidTr="002C4B63">
        <w:trPr>
          <w:jc w:val="center"/>
        </w:trPr>
        <w:tc>
          <w:tcPr>
            <w:tcW w:w="2615" w:type="dxa"/>
            <w:vAlign w:val="center"/>
          </w:tcPr>
          <w:p w:rsidR="0089268C" w:rsidRDefault="00C3610E">
            <w:pPr>
              <w:pStyle w:val="Tabletext"/>
              <w:rPr>
                <w:szCs w:val="20"/>
                <w:lang w:val="en-US" w:eastAsia="ja-JP"/>
              </w:rPr>
            </w:pPr>
            <w:r>
              <w:rPr>
                <w:lang w:val="en-US" w:eastAsia="ja-JP"/>
              </w:rPr>
              <w:t>Clutter loss</w:t>
            </w:r>
          </w:p>
        </w:tc>
        <w:tc>
          <w:tcPr>
            <w:tcW w:w="7014" w:type="dxa"/>
            <w:vAlign w:val="center"/>
          </w:tcPr>
          <w:p w:rsidR="0089268C" w:rsidRDefault="00C3610E">
            <w:pPr>
              <w:pStyle w:val="Tabletext"/>
              <w:rPr>
                <w:szCs w:val="20"/>
                <w:lang w:val="en-US" w:eastAsia="ja-JP"/>
              </w:rPr>
            </w:pPr>
            <w:r>
              <w:rPr>
                <w:lang w:val="en-US" w:eastAsia="ja-JP"/>
              </w:rPr>
              <w:t xml:space="preserve">Based on Recommendation ITU-R P.2108 (percentage of locations: </w:t>
            </w:r>
            <w:r>
              <w:rPr>
                <w:i/>
                <w:iCs/>
                <w:lang w:val="en-US" w:eastAsia="ja-JP"/>
              </w:rPr>
              <w:t>p</w:t>
            </w:r>
            <w:r>
              <w:rPr>
                <w:lang w:val="en-US" w:eastAsia="ja-JP"/>
              </w:rPr>
              <w:t xml:space="preserve"> = 0.5) under the assumption that this recommendation is applied to the 5.2 GHz band</w:t>
            </w:r>
          </w:p>
        </w:tc>
      </w:tr>
    </w:tbl>
    <w:p w:rsidR="002C4B63" w:rsidRDefault="002C4B63">
      <w:pPr>
        <w:pStyle w:val="Tablefin"/>
        <w:rPr>
          <w:lang w:val="en-US"/>
        </w:rPr>
      </w:pPr>
    </w:p>
    <w:p w:rsidR="0089268C" w:rsidRPr="002C4B63" w:rsidRDefault="00C3610E" w:rsidP="002C4B63">
      <w:pPr>
        <w:rPr>
          <w:i/>
          <w:iCs/>
          <w:lang w:val="en-US"/>
        </w:rPr>
      </w:pPr>
      <w:r w:rsidRPr="002C4B63">
        <w:rPr>
          <w:i/>
          <w:iCs/>
          <w:lang w:val="en-US"/>
        </w:rPr>
        <w:t xml:space="preserve">[Editor’s </w:t>
      </w:r>
      <w:r w:rsidR="002C4B63" w:rsidRPr="002C4B63">
        <w:rPr>
          <w:i/>
          <w:iCs/>
          <w:lang w:val="en-US"/>
        </w:rPr>
        <w:t>note</w:t>
      </w:r>
      <w:r w:rsidRPr="002C4B63">
        <w:rPr>
          <w:i/>
          <w:iCs/>
          <w:lang w:val="en-US"/>
        </w:rPr>
        <w:t>: Further clarifications are needed with regard to the probability used in ITU-R P.2109, ITU-R P.2108 and active ratio of RLANs]</w:t>
      </w:r>
    </w:p>
    <w:p w:rsidR="0089268C" w:rsidRDefault="00C3610E">
      <w:pPr>
        <w:rPr>
          <w:spacing w:val="-2"/>
          <w:lang w:val="en-US" w:eastAsia="ja-JP"/>
        </w:rPr>
      </w:pPr>
      <w:r>
        <w:rPr>
          <w:lang w:val="en-US" w:eastAsia="ja-JP"/>
        </w:rPr>
        <w:t xml:space="preserve">Under these conditions, the total amount of interference level is calculated with Monte Carlo simulations and compared with the allowable interference level with random locations of RLAN devices with variable number of RLANs within the coverage of the satellite feeder uplink antenna as shown in Figure A1. </w:t>
      </w:r>
      <w:r>
        <w:rPr>
          <w:spacing w:val="-2"/>
          <w:lang w:val="en-US" w:eastAsia="ja-JP"/>
        </w:rPr>
        <w:t xml:space="preserve">The results are the following as shown in Table A2. If the number of RLANs of the 5 150-5 250 MHz band within the </w:t>
      </w:r>
      <w:r>
        <w:rPr>
          <w:lang w:val="en-US" w:eastAsia="ja-JP"/>
        </w:rPr>
        <w:t>coverage of the satellite feeder uplink antenna</w:t>
      </w:r>
      <w:r>
        <w:rPr>
          <w:spacing w:val="-2"/>
          <w:lang w:val="en-US" w:eastAsia="ja-JP"/>
        </w:rPr>
        <w:t xml:space="preserve"> is less than 113.91 million (6.04 million for outdoor use), which corresponds to 63.85 million (3.38 million for outdoor use) RLANs in the footprint of the satellite, the average of the total amount of interference from RLANs is less than the threshold. </w:t>
      </w:r>
    </w:p>
    <w:p w:rsidR="0089268C" w:rsidRDefault="00C3610E">
      <w:pPr>
        <w:rPr>
          <w:szCs w:val="24"/>
          <w:lang w:val="en-US" w:eastAsia="ja-JP"/>
        </w:rPr>
      </w:pPr>
      <w:r>
        <w:rPr>
          <w:lang w:val="en-US" w:eastAsia="ja-JP"/>
        </w:rPr>
        <w:t xml:space="preserve">[Therefore, if the number of RLANs within the coverage of the satellite feeder uplink antenna is limited, the sharing with non-GSO MSS feeder links is possible when WAS/RLAN systems are used outdoors.] </w:t>
      </w:r>
    </w:p>
    <w:p w:rsidR="0089268C" w:rsidRDefault="00C3610E">
      <w:pPr>
        <w:pStyle w:val="FigureNo"/>
        <w:rPr>
          <w:lang w:val="en-US" w:eastAsia="ja-JP"/>
        </w:rPr>
      </w:pPr>
      <w:r>
        <w:rPr>
          <w:lang w:val="en-US" w:eastAsia="ja-JP"/>
        </w:rPr>
        <w:t>FIGURE A1</w:t>
      </w:r>
    </w:p>
    <w:p w:rsidR="0089268C" w:rsidRDefault="00C3610E" w:rsidP="005C1912">
      <w:pPr>
        <w:pStyle w:val="Figuretitle"/>
      </w:pPr>
      <w:r>
        <w:t>Interference from RLANs to the MSS feeder links</w:t>
      </w:r>
    </w:p>
    <w:p w:rsidR="0089268C" w:rsidRDefault="00C3610E" w:rsidP="005C1912">
      <w:pPr>
        <w:pStyle w:val="Figure"/>
      </w:pPr>
      <w:r w:rsidRPr="001E7D0F">
        <w:rPr>
          <w:lang w:val="en-GB"/>
        </w:rPr>
        <w:drawing>
          <wp:inline distT="0" distB="0" distL="0" distR="0">
            <wp:extent cx="5104315" cy="3493698"/>
            <wp:effectExtent l="0" t="0" r="0" b="0"/>
            <wp:docPr id="123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103921" cy="3493428"/>
                    </a:xfrm>
                    <a:prstGeom prst="rect">
                      <a:avLst/>
                    </a:prstGeom>
                    <a:noFill/>
                    <a:ln>
                      <a:noFill/>
                    </a:ln>
                  </pic:spPr>
                </pic:pic>
              </a:graphicData>
            </a:graphic>
          </wp:inline>
        </w:drawing>
      </w:r>
    </w:p>
    <w:p w:rsidR="0089268C" w:rsidRDefault="00C3610E">
      <w:pPr>
        <w:pStyle w:val="TableNo"/>
        <w:rPr>
          <w:lang w:val="en-US" w:eastAsia="ja-JP"/>
        </w:rPr>
      </w:pPr>
      <w:r>
        <w:rPr>
          <w:lang w:val="en-US" w:eastAsia="ja-JP"/>
        </w:rPr>
        <w:lastRenderedPageBreak/>
        <w:t>TABLE A2</w:t>
      </w:r>
    </w:p>
    <w:p w:rsidR="0089268C" w:rsidRDefault="00C3610E">
      <w:pPr>
        <w:pStyle w:val="Tabletitle"/>
        <w:rPr>
          <w:lang w:val="en-US" w:eastAsia="ja-JP"/>
        </w:rPr>
      </w:pPr>
      <w:r>
        <w:rPr>
          <w:lang w:val="en-US" w:eastAsia="ja-JP"/>
        </w:rPr>
        <w:t>The upper limit of the number of RLANs using the 5 150-5 250 MHz band</w:t>
      </w:r>
    </w:p>
    <w:tbl>
      <w:tblPr>
        <w:tblStyle w:val="TableGrid"/>
        <w:tblW w:w="0" w:type="auto"/>
        <w:jc w:val="center"/>
        <w:tblLook w:val="04A0" w:firstRow="1" w:lastRow="0" w:firstColumn="1" w:lastColumn="0" w:noHBand="0" w:noVBand="1"/>
      </w:tblPr>
      <w:tblGrid>
        <w:gridCol w:w="4219"/>
        <w:gridCol w:w="5263"/>
      </w:tblGrid>
      <w:tr w:rsidR="0089268C">
        <w:trPr>
          <w:jc w:val="center"/>
        </w:trPr>
        <w:tc>
          <w:tcPr>
            <w:tcW w:w="4219" w:type="dxa"/>
            <w:vAlign w:val="center"/>
          </w:tcPr>
          <w:p w:rsidR="0089268C" w:rsidRDefault="0089268C">
            <w:pPr>
              <w:pStyle w:val="Tabletext"/>
              <w:rPr>
                <w:lang w:val="en-US" w:eastAsia="ja-JP"/>
              </w:rPr>
            </w:pPr>
          </w:p>
        </w:tc>
        <w:tc>
          <w:tcPr>
            <w:tcW w:w="5263" w:type="dxa"/>
            <w:vAlign w:val="center"/>
          </w:tcPr>
          <w:p w:rsidR="0089268C" w:rsidRDefault="00C3610E">
            <w:pPr>
              <w:pStyle w:val="Tabletext"/>
              <w:rPr>
                <w:lang w:val="en-US" w:eastAsia="ja-JP"/>
              </w:rPr>
            </w:pPr>
            <w:r>
              <w:rPr>
                <w:lang w:val="en-US" w:eastAsia="ja-JP"/>
              </w:rPr>
              <w:t>The number of RLANs using 5 150-5 250 MHz (million).</w:t>
            </w:r>
          </w:p>
        </w:tc>
      </w:tr>
      <w:tr w:rsidR="0089268C">
        <w:trPr>
          <w:jc w:val="center"/>
        </w:trPr>
        <w:tc>
          <w:tcPr>
            <w:tcW w:w="4219" w:type="dxa"/>
            <w:vAlign w:val="center"/>
          </w:tcPr>
          <w:p w:rsidR="0089268C" w:rsidRDefault="00C3610E">
            <w:pPr>
              <w:pStyle w:val="Tabletext"/>
              <w:rPr>
                <w:lang w:val="en-US" w:eastAsia="ja-JP"/>
              </w:rPr>
            </w:pPr>
            <w:r>
              <w:rPr>
                <w:lang w:val="en-US" w:eastAsia="ja-JP"/>
              </w:rPr>
              <w:t>Within the coverage of the satellite feeder uplink antenna</w:t>
            </w:r>
          </w:p>
          <w:p w:rsidR="0089268C" w:rsidRDefault="00C3610E">
            <w:pPr>
              <w:pStyle w:val="Tabletext"/>
              <w:rPr>
                <w:lang w:val="en-US" w:eastAsia="ja-JP"/>
              </w:rPr>
            </w:pPr>
            <w:r>
              <w:rPr>
                <w:lang w:val="en-US" w:eastAsia="ja-JP"/>
              </w:rPr>
              <w:t>(For outdoor use (5.3%))</w:t>
            </w:r>
          </w:p>
        </w:tc>
        <w:tc>
          <w:tcPr>
            <w:tcW w:w="5263" w:type="dxa"/>
            <w:vAlign w:val="center"/>
          </w:tcPr>
          <w:p w:rsidR="0089268C" w:rsidRDefault="00C3610E">
            <w:pPr>
              <w:pStyle w:val="Tabletext"/>
              <w:rPr>
                <w:lang w:val="en-US" w:eastAsia="ja-JP"/>
              </w:rPr>
            </w:pPr>
            <w:r>
              <w:rPr>
                <w:lang w:val="en-US" w:eastAsia="ja-JP"/>
              </w:rPr>
              <w:t>113.91</w:t>
            </w:r>
          </w:p>
          <w:p w:rsidR="0089268C" w:rsidRDefault="00C3610E">
            <w:pPr>
              <w:pStyle w:val="Tabletext"/>
              <w:rPr>
                <w:lang w:val="en-US" w:eastAsia="ja-JP"/>
              </w:rPr>
            </w:pPr>
            <w:r>
              <w:rPr>
                <w:lang w:val="en-US" w:eastAsia="ja-JP"/>
              </w:rPr>
              <w:t>(6.04)</w:t>
            </w:r>
          </w:p>
        </w:tc>
      </w:tr>
      <w:tr w:rsidR="0089268C">
        <w:trPr>
          <w:jc w:val="center"/>
        </w:trPr>
        <w:tc>
          <w:tcPr>
            <w:tcW w:w="4219" w:type="dxa"/>
            <w:vAlign w:val="center"/>
          </w:tcPr>
          <w:p w:rsidR="0089268C" w:rsidRDefault="00C3610E">
            <w:pPr>
              <w:pStyle w:val="Tabletext"/>
              <w:rPr>
                <w:lang w:val="en-US" w:eastAsia="ja-JP"/>
              </w:rPr>
            </w:pPr>
            <w:r>
              <w:rPr>
                <w:lang w:val="en-US" w:eastAsia="ja-JP"/>
              </w:rPr>
              <w:t xml:space="preserve">In the footprint of the satellite </w:t>
            </w:r>
          </w:p>
          <w:p w:rsidR="0089268C" w:rsidRDefault="00C3610E">
            <w:pPr>
              <w:pStyle w:val="Tabletext"/>
              <w:rPr>
                <w:lang w:val="en-US" w:eastAsia="ja-JP"/>
              </w:rPr>
            </w:pPr>
            <w:r>
              <w:rPr>
                <w:lang w:val="en-US" w:eastAsia="ja-JP"/>
              </w:rPr>
              <w:t>(For outdoor use (5.3%))</w:t>
            </w:r>
          </w:p>
        </w:tc>
        <w:tc>
          <w:tcPr>
            <w:tcW w:w="5263" w:type="dxa"/>
            <w:vAlign w:val="center"/>
          </w:tcPr>
          <w:p w:rsidR="0089268C" w:rsidRDefault="00C3610E">
            <w:pPr>
              <w:pStyle w:val="Tabletext"/>
              <w:rPr>
                <w:lang w:val="en-US" w:eastAsia="ja-JP"/>
              </w:rPr>
            </w:pPr>
            <w:r>
              <w:rPr>
                <w:lang w:val="en-US" w:eastAsia="ja-JP"/>
              </w:rPr>
              <w:t>63.85</w:t>
            </w:r>
          </w:p>
          <w:p w:rsidR="0089268C" w:rsidRDefault="00C3610E">
            <w:pPr>
              <w:pStyle w:val="Tabletext"/>
              <w:rPr>
                <w:lang w:val="en-US" w:eastAsia="ja-JP"/>
              </w:rPr>
            </w:pPr>
            <w:r>
              <w:rPr>
                <w:lang w:val="en-US" w:eastAsia="ja-JP"/>
              </w:rPr>
              <w:t>(3.38)</w:t>
            </w:r>
          </w:p>
        </w:tc>
      </w:tr>
    </w:tbl>
    <w:p w:rsidR="0089268C" w:rsidRDefault="00C3610E">
      <w:pPr>
        <w:pStyle w:val="Heading3"/>
        <w:rPr>
          <w:lang w:val="en-US"/>
        </w:rPr>
      </w:pPr>
      <w:r w:rsidRPr="001E7D0F">
        <w:rPr>
          <w:lang w:val="en-US"/>
        </w:rPr>
        <w:t>5.1.6</w:t>
      </w:r>
      <w:r>
        <w:rPr>
          <w:lang w:val="en-US"/>
        </w:rPr>
        <w:tab/>
      </w:r>
      <w:r w:rsidR="00BE3B8C" w:rsidRPr="001E7D0F">
        <w:rPr>
          <w:lang w:val="en-US"/>
        </w:rPr>
        <w:t>S</w:t>
      </w:r>
      <w:r w:rsidRPr="001E7D0F">
        <w:rPr>
          <w:lang w:val="en-US"/>
        </w:rPr>
        <w:t>tudy 6</w:t>
      </w:r>
      <w:r>
        <w:rPr>
          <w:lang w:val="en-US"/>
        </w:rPr>
        <w:t xml:space="preserve"> (FRA 5A/</w:t>
      </w:r>
      <w:hyperlink r:id="rId87" w:history="1">
        <w:r w:rsidRPr="00DD176A">
          <w:rPr>
            <w:rStyle w:val="Hyperlink"/>
            <w:lang w:val="en-US"/>
          </w:rPr>
          <w:t>616</w:t>
        </w:r>
      </w:hyperlink>
      <w:r>
        <w:rPr>
          <w:lang w:val="en-US"/>
        </w:rPr>
        <w:t>)</w:t>
      </w:r>
    </w:p>
    <w:p w:rsidR="0089268C" w:rsidRDefault="00C3610E">
      <w:pPr>
        <w:rPr>
          <w:lang w:val="en-US" w:eastAsia="zh-CN"/>
        </w:rPr>
      </w:pPr>
      <w:r>
        <w:rPr>
          <w:lang w:val="en-US" w:eastAsia="zh-CN"/>
        </w:rPr>
        <w:t>In this study, we consider several cases of indoor/outdoor/ EIRP RLAN distribution.</w:t>
      </w:r>
    </w:p>
    <w:p w:rsidR="0089268C" w:rsidRDefault="00C3610E">
      <w:pPr>
        <w:rPr>
          <w:lang w:val="en-US" w:eastAsia="zh-CN"/>
        </w:rPr>
      </w:pPr>
      <w:r>
        <w:rPr>
          <w:lang w:val="en-US" w:eastAsia="zh-CN"/>
        </w:rPr>
        <w:t>More than that, since the 5 150-5</w:t>
      </w:r>
      <w:r w:rsidR="00BE3B8C">
        <w:rPr>
          <w:lang w:val="en-US" w:eastAsia="zh-CN"/>
        </w:rPr>
        <w:t> </w:t>
      </w:r>
      <w:r>
        <w:rPr>
          <w:lang w:val="en-US" w:eastAsia="zh-CN"/>
        </w:rPr>
        <w:t xml:space="preserve">250 MHz band is the only band where the DFS is not mandatory, and given the RTTT and radars deployment in the 5.8 GHz, this study would like to trigger the discussions on the possibility of enabling outdoor usage, with a limited power and restricted to in-vehicle usage. </w:t>
      </w:r>
    </w:p>
    <w:p w:rsidR="0089268C" w:rsidRPr="001E7D0F" w:rsidRDefault="00C3610E" w:rsidP="00C720B2">
      <w:pPr>
        <w:pStyle w:val="Heading4"/>
      </w:pPr>
      <w:r w:rsidRPr="001E7D0F">
        <w:t>5.1.6.</w:t>
      </w:r>
      <w:r w:rsidR="00C720B2">
        <w:t>1</w:t>
      </w:r>
      <w:r w:rsidRPr="001E7D0F">
        <w:tab/>
        <w:t>Methodology</w:t>
      </w:r>
    </w:p>
    <w:p w:rsidR="0089268C" w:rsidRDefault="00C3610E">
      <w:pPr>
        <w:rPr>
          <w:lang w:eastAsia="zh-CN"/>
        </w:rPr>
      </w:pPr>
      <w:r>
        <w:rPr>
          <w:lang w:eastAsia="zh-CN"/>
        </w:rPr>
        <w:t>The methodology used below consists in determining, in a dynamic analysis, the Cumulative Distribution Function (CDF) of interferences arising from the aggregated power of RLAN systems to the MSS receiver (</w:t>
      </w:r>
      <w:r w:rsidRPr="001E7D0F">
        <w:rPr>
          <w:lang w:eastAsia="zh-CN"/>
        </w:rPr>
        <w:fldChar w:fldCharType="begin"/>
      </w:r>
      <w:r>
        <w:rPr>
          <w:lang w:eastAsia="zh-CN"/>
        </w:rPr>
        <w:instrText xml:space="preserve"> REF _Ref494727698 \h  \* MERGEFORMAT </w:instrText>
      </w:r>
      <w:r w:rsidRPr="001E7D0F">
        <w:rPr>
          <w:lang w:eastAsia="zh-CN"/>
        </w:rPr>
      </w:r>
      <w:r w:rsidRPr="001E7D0F">
        <w:rPr>
          <w:lang w:eastAsia="zh-CN"/>
        </w:rPr>
        <w:fldChar w:fldCharType="separate"/>
      </w:r>
      <w:r>
        <w:t xml:space="preserve">Figure </w:t>
      </w:r>
      <w:r w:rsidRPr="001E7D0F">
        <w:rPr>
          <w:lang w:eastAsia="zh-CN"/>
        </w:rPr>
        <w:fldChar w:fldCharType="end"/>
      </w:r>
      <w:r>
        <w:rPr>
          <w:noProof/>
        </w:rPr>
        <w:t>10</w:t>
      </w:r>
      <w:r>
        <w:rPr>
          <w:lang w:eastAsia="zh-CN"/>
        </w:rPr>
        <w:t>). Only the uplink path is studied in this paper.</w:t>
      </w:r>
    </w:p>
    <w:p w:rsidR="0089268C" w:rsidRDefault="00C3610E">
      <w:pPr>
        <w:pStyle w:val="FigureNo"/>
        <w:rPr>
          <w:lang w:val="en-US"/>
        </w:rPr>
      </w:pPr>
      <w:bookmarkStart w:id="86" w:name="_Ref494727698"/>
      <w:r>
        <w:t xml:space="preserve">Figure </w:t>
      </w:r>
      <w:bookmarkEnd w:id="86"/>
      <w:r w:rsidRPr="001E7D0F">
        <w:fldChar w:fldCharType="begin"/>
      </w:r>
      <w:r>
        <w:instrText xml:space="preserve"> SEQ Figure \* ARABIC </w:instrText>
      </w:r>
      <w:r w:rsidRPr="001E7D0F">
        <w:fldChar w:fldCharType="separate"/>
      </w:r>
      <w:r>
        <w:rPr>
          <w:noProof/>
        </w:rPr>
        <w:t>1</w:t>
      </w:r>
      <w:r w:rsidRPr="001E7D0F">
        <w:fldChar w:fldCharType="end"/>
      </w:r>
      <w:r>
        <w:rPr>
          <w:noProof/>
        </w:rPr>
        <w:t>0</w:t>
      </w:r>
    </w:p>
    <w:p w:rsidR="0089268C" w:rsidRDefault="00C3610E" w:rsidP="005C1912">
      <w:pPr>
        <w:pStyle w:val="Figuretitle"/>
        <w:rPr>
          <w:lang w:eastAsia="zh-CN"/>
        </w:rPr>
      </w:pPr>
      <w:r>
        <w:rPr>
          <w:lang w:val="en-US"/>
        </w:rPr>
        <w:t>Aggregate interference into the satellite</w:t>
      </w:r>
    </w:p>
    <w:p w:rsidR="0089268C" w:rsidRDefault="00C3610E" w:rsidP="002C4B63">
      <w:pPr>
        <w:pStyle w:val="Figure"/>
      </w:pPr>
      <w:r w:rsidRPr="001E7D0F">
        <w:rPr>
          <w:lang w:val="en-GB"/>
        </w:rPr>
        <w:drawing>
          <wp:inline distT="0" distB="0" distL="0" distR="0">
            <wp:extent cx="2463065" cy="2975187"/>
            <wp:effectExtent l="0" t="0" r="0" b="0"/>
            <wp:docPr id="123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464562" cy="2976996"/>
                    </a:xfrm>
                    <a:prstGeom prst="rect">
                      <a:avLst/>
                    </a:prstGeom>
                  </pic:spPr>
                </pic:pic>
              </a:graphicData>
            </a:graphic>
          </wp:inline>
        </w:drawing>
      </w:r>
    </w:p>
    <w:p w:rsidR="0089268C" w:rsidRDefault="00C3610E">
      <w:pPr>
        <w:rPr>
          <w:lang w:val="en-US"/>
        </w:rPr>
      </w:pPr>
      <w:r>
        <w:rPr>
          <w:lang w:val="en-US"/>
        </w:rPr>
        <w:t>The total aggregate interference is the sum of contributions of each RLAN in the visibility of the satellite and can thus be written as follows</w:t>
      </w:r>
    </w:p>
    <w:p w:rsidR="0089268C" w:rsidRDefault="002C4B63" w:rsidP="00F95ACF">
      <w:pPr>
        <w:pStyle w:val="Equation"/>
        <w:rPr>
          <w:lang w:val="en-US"/>
        </w:rPr>
      </w:pPr>
      <w:r>
        <w:rPr>
          <w:iCs/>
        </w:rPr>
        <w:tab/>
      </w:r>
      <w:r>
        <w:rPr>
          <w:iCs/>
        </w:rPr>
        <w:tab/>
      </w:r>
      <w:r w:rsidR="00C3610E" w:rsidRPr="001E7D0F">
        <w:object w:dxaOrig="4360" w:dyaOrig="460">
          <v:shape id="_x0000_i1029" type="#_x0000_t75" style="width:219.25pt;height:24pt" o:ole="">
            <v:imagedata r:id="rId89" o:title=""/>
          </v:shape>
          <o:OLEObject Type="Embed" ProgID="Equation.3" ShapeID="_x0000_i1029" DrawAspect="Content" ObjectID="_1572690772" r:id="rId90"/>
        </w:object>
      </w:r>
      <w:r w:rsidR="00C3610E">
        <w:tab/>
        <w:t>(1)</w:t>
      </w:r>
    </w:p>
    <w:p w:rsidR="0089268C" w:rsidRDefault="002C4B63">
      <w:pPr>
        <w:rPr>
          <w:lang w:val="en-US"/>
        </w:rPr>
      </w:pPr>
      <w:r>
        <w:rPr>
          <w:lang w:val="en-US"/>
        </w:rPr>
        <w:t>where</w:t>
      </w:r>
      <w:r w:rsidR="00C3610E">
        <w:rPr>
          <w:lang w:val="en-US"/>
        </w:rPr>
        <w:t>:</w:t>
      </w:r>
    </w:p>
    <w:p w:rsidR="0089268C" w:rsidRDefault="00C3610E" w:rsidP="001E7D0F">
      <w:pPr>
        <w:pStyle w:val="Equationlegend"/>
        <w:rPr>
          <w:i/>
          <w:iCs/>
          <w:lang w:val="en-US"/>
        </w:rPr>
      </w:pPr>
      <w:r>
        <w:rPr>
          <w:i/>
          <w:iCs/>
          <w:lang w:val="en-US"/>
        </w:rPr>
        <w:lastRenderedPageBreak/>
        <w:t>N</w:t>
      </w:r>
      <w:r w:rsidR="002C4B63">
        <w:rPr>
          <w:i/>
          <w:iCs/>
          <w:lang w:val="en-US"/>
        </w:rPr>
        <w:tab/>
      </w:r>
      <w:r>
        <w:rPr>
          <w:lang w:val="en-US"/>
        </w:rPr>
        <w:t>is the total number of RLANs in the visibility of the satellite;</w:t>
      </w:r>
    </w:p>
    <w:p w:rsidR="0089268C" w:rsidRDefault="00C3610E" w:rsidP="001E7D0F">
      <w:pPr>
        <w:pStyle w:val="Equationlegend"/>
        <w:rPr>
          <w:lang w:val="en-US"/>
        </w:rPr>
      </w:pPr>
      <w:r>
        <w:rPr>
          <w:i/>
          <w:iCs/>
          <w:lang w:val="en-US"/>
        </w:rPr>
        <w:t>Pt</w:t>
      </w:r>
      <w:r>
        <w:rPr>
          <w:i/>
          <w:iCs/>
          <w:vertAlign w:val="subscript"/>
          <w:lang w:val="en-US"/>
        </w:rPr>
        <w:t>n</w:t>
      </w:r>
      <w:r w:rsidR="002C4B63">
        <w:rPr>
          <w:i/>
          <w:iCs/>
          <w:lang w:val="en-US"/>
        </w:rPr>
        <w:tab/>
      </w:r>
      <w:r>
        <w:rPr>
          <w:lang w:val="en-US"/>
        </w:rPr>
        <w:t xml:space="preserve">is the </w:t>
      </w:r>
      <w:r>
        <w:rPr>
          <w:i/>
          <w:iCs/>
          <w:lang w:val="en-US"/>
        </w:rPr>
        <w:t>n</w:t>
      </w:r>
      <w:r>
        <w:rPr>
          <w:i/>
          <w:iCs/>
          <w:vertAlign w:val="superscript"/>
          <w:lang w:val="en-US"/>
        </w:rPr>
        <w:t>th</w:t>
      </w:r>
      <w:r>
        <w:rPr>
          <w:lang w:val="en-US"/>
        </w:rPr>
        <w:t xml:space="preserve"> RLAN EIRP (dBm);</w:t>
      </w:r>
    </w:p>
    <w:p w:rsidR="0089268C" w:rsidRDefault="00C3610E" w:rsidP="001E7D0F">
      <w:pPr>
        <w:pStyle w:val="Equationlegend"/>
        <w:rPr>
          <w:rFonts w:asciiTheme="majorBidi" w:hAnsiTheme="majorBidi" w:cstheme="majorBidi"/>
          <w:szCs w:val="24"/>
          <w:lang w:val="en-US"/>
        </w:rPr>
      </w:pPr>
      <w:r>
        <w:rPr>
          <w:rFonts w:asciiTheme="majorBidi" w:hAnsiTheme="majorBidi" w:cstheme="majorBidi"/>
          <w:i/>
          <w:iCs/>
          <w:szCs w:val="24"/>
          <w:lang w:val="en-US"/>
        </w:rPr>
        <w:t>Gt</w:t>
      </w:r>
      <w:r>
        <w:rPr>
          <w:rFonts w:asciiTheme="majorBidi" w:hAnsiTheme="majorBidi" w:cstheme="majorBidi"/>
          <w:i/>
          <w:iCs/>
          <w:szCs w:val="24"/>
          <w:vertAlign w:val="subscript"/>
          <w:lang w:val="en-US"/>
        </w:rPr>
        <w:t>n</w:t>
      </w:r>
      <w:r>
        <w:rPr>
          <w:rFonts w:asciiTheme="majorBidi" w:hAnsiTheme="majorBidi" w:cstheme="majorBidi"/>
          <w:szCs w:val="24"/>
          <w:lang w:val="en-US"/>
        </w:rPr>
        <w:t xml:space="preserve"> </w:t>
      </w:r>
      <w:r w:rsidR="00F95ACF">
        <w:rPr>
          <w:i/>
          <w:iCs/>
          <w:lang w:val="en-US"/>
        </w:rPr>
        <w:tab/>
      </w:r>
      <w:r>
        <w:rPr>
          <w:rFonts w:asciiTheme="majorBidi" w:hAnsiTheme="majorBidi" w:cstheme="majorBidi"/>
          <w:szCs w:val="24"/>
          <w:lang w:val="en-US"/>
        </w:rPr>
        <w:t xml:space="preserve">is the </w:t>
      </w:r>
      <w:r>
        <w:rPr>
          <w:rFonts w:asciiTheme="majorBidi" w:hAnsiTheme="majorBidi" w:cstheme="majorBidi"/>
          <w:i/>
          <w:iCs/>
          <w:szCs w:val="24"/>
          <w:lang w:val="en-US"/>
        </w:rPr>
        <w:t>n</w:t>
      </w:r>
      <w:r>
        <w:rPr>
          <w:rFonts w:asciiTheme="majorBidi" w:hAnsiTheme="majorBidi" w:cstheme="majorBidi"/>
          <w:i/>
          <w:iCs/>
          <w:szCs w:val="24"/>
          <w:vertAlign w:val="superscript"/>
          <w:lang w:val="en-US"/>
        </w:rPr>
        <w:t>th</w:t>
      </w:r>
      <w:r>
        <w:rPr>
          <w:rFonts w:asciiTheme="majorBidi" w:hAnsiTheme="majorBidi" w:cstheme="majorBidi"/>
          <w:szCs w:val="24"/>
          <w:lang w:val="en-US"/>
        </w:rPr>
        <w:t xml:space="preserve"> RLAN Gain </w:t>
      </w:r>
      <w:r w:rsidRPr="002C4B63">
        <w:rPr>
          <w:lang w:val="en-US"/>
        </w:rPr>
        <w:t>toward</w:t>
      </w:r>
      <w:r>
        <w:rPr>
          <w:rFonts w:asciiTheme="majorBidi" w:hAnsiTheme="majorBidi" w:cstheme="majorBidi"/>
          <w:szCs w:val="24"/>
          <w:lang w:val="en-US"/>
        </w:rPr>
        <w:t xml:space="preserve"> the satellite (dBi);</w:t>
      </w:r>
    </w:p>
    <w:p w:rsidR="0089268C" w:rsidRDefault="00C3610E" w:rsidP="001E7D0F">
      <w:pPr>
        <w:pStyle w:val="Equationlegend"/>
        <w:rPr>
          <w:rFonts w:asciiTheme="majorBidi" w:hAnsiTheme="majorBidi" w:cstheme="majorBidi"/>
          <w:szCs w:val="24"/>
          <w:lang w:val="en-US"/>
        </w:rPr>
      </w:pPr>
      <w:r>
        <w:rPr>
          <w:rFonts w:asciiTheme="majorBidi" w:hAnsiTheme="majorBidi" w:cstheme="majorBidi"/>
          <w:i/>
          <w:iCs/>
          <w:szCs w:val="24"/>
          <w:lang w:val="en-US"/>
        </w:rPr>
        <w:t>Gr</w:t>
      </w:r>
      <w:r>
        <w:rPr>
          <w:rFonts w:asciiTheme="majorBidi" w:hAnsiTheme="majorBidi" w:cstheme="majorBidi"/>
          <w:i/>
          <w:iCs/>
          <w:szCs w:val="24"/>
          <w:vertAlign w:val="subscript"/>
          <w:lang w:val="en-US"/>
        </w:rPr>
        <w:t>n</w:t>
      </w:r>
      <w:r>
        <w:rPr>
          <w:rFonts w:asciiTheme="majorBidi" w:hAnsiTheme="majorBidi" w:cstheme="majorBidi"/>
          <w:szCs w:val="24"/>
          <w:lang w:val="en-US"/>
        </w:rPr>
        <w:t xml:space="preserve"> </w:t>
      </w:r>
      <w:r w:rsidR="00F95ACF">
        <w:rPr>
          <w:i/>
          <w:iCs/>
          <w:lang w:val="en-US"/>
        </w:rPr>
        <w:tab/>
      </w:r>
      <w:r>
        <w:rPr>
          <w:rFonts w:asciiTheme="majorBidi" w:hAnsiTheme="majorBidi" w:cstheme="majorBidi"/>
          <w:szCs w:val="24"/>
          <w:lang w:val="en-US"/>
        </w:rPr>
        <w:t xml:space="preserve">is the Relative antenna gain (dBi) of the MSS receiver in the direction of the RLAN of index </w:t>
      </w:r>
      <w:r>
        <w:rPr>
          <w:rFonts w:asciiTheme="majorBidi" w:hAnsiTheme="majorBidi" w:cstheme="majorBidi"/>
          <w:i/>
          <w:iCs/>
          <w:szCs w:val="24"/>
          <w:lang w:val="en-US"/>
        </w:rPr>
        <w:t>n</w:t>
      </w:r>
      <w:r>
        <w:rPr>
          <w:rFonts w:asciiTheme="majorBidi" w:hAnsiTheme="majorBidi" w:cstheme="majorBidi"/>
          <w:szCs w:val="24"/>
          <w:lang w:val="en-US"/>
        </w:rPr>
        <w:t xml:space="preserve">; </w:t>
      </w:r>
    </w:p>
    <w:p w:rsidR="0089268C" w:rsidRDefault="00C3610E" w:rsidP="001E7D0F">
      <w:pPr>
        <w:pStyle w:val="Equationlegend"/>
        <w:rPr>
          <w:rFonts w:asciiTheme="majorBidi" w:hAnsiTheme="majorBidi" w:cstheme="majorBidi"/>
          <w:szCs w:val="24"/>
          <w:lang w:val="en-US"/>
        </w:rPr>
      </w:pPr>
      <w:r>
        <w:rPr>
          <w:rFonts w:asciiTheme="majorBidi" w:hAnsiTheme="majorBidi" w:cstheme="majorBidi"/>
          <w:i/>
          <w:iCs/>
          <w:szCs w:val="24"/>
          <w:lang w:val="en-US"/>
        </w:rPr>
        <w:t>Loss</w:t>
      </w:r>
      <w:r>
        <w:rPr>
          <w:rFonts w:asciiTheme="majorBidi" w:hAnsiTheme="majorBidi" w:cstheme="majorBidi"/>
          <w:i/>
          <w:iCs/>
          <w:szCs w:val="24"/>
          <w:vertAlign w:val="subscript"/>
          <w:lang w:val="en-US"/>
        </w:rPr>
        <w:t>n</w:t>
      </w:r>
      <w:r>
        <w:rPr>
          <w:rFonts w:asciiTheme="majorBidi" w:hAnsiTheme="majorBidi" w:cstheme="majorBidi"/>
          <w:szCs w:val="24"/>
          <w:lang w:val="en-US"/>
        </w:rPr>
        <w:t xml:space="preserve"> </w:t>
      </w:r>
      <w:r w:rsidR="00F95ACF">
        <w:rPr>
          <w:i/>
          <w:iCs/>
          <w:lang w:val="en-US"/>
        </w:rPr>
        <w:tab/>
      </w:r>
      <w:r>
        <w:rPr>
          <w:rFonts w:asciiTheme="majorBidi" w:hAnsiTheme="majorBidi" w:cstheme="majorBidi"/>
          <w:szCs w:val="24"/>
          <w:lang w:val="en-US"/>
        </w:rPr>
        <w:t xml:space="preserve">is the calculated losses between </w:t>
      </w:r>
      <w:r w:rsidRPr="002C4B63">
        <w:rPr>
          <w:lang w:val="en-US"/>
        </w:rPr>
        <w:t>the</w:t>
      </w:r>
      <w:r>
        <w:rPr>
          <w:rFonts w:asciiTheme="majorBidi" w:hAnsiTheme="majorBidi" w:cstheme="majorBidi"/>
          <w:szCs w:val="24"/>
          <w:lang w:val="en-US"/>
        </w:rPr>
        <w:t xml:space="preserve"> RLAN of index </w:t>
      </w:r>
      <w:r>
        <w:rPr>
          <w:rFonts w:asciiTheme="majorBidi" w:hAnsiTheme="majorBidi" w:cstheme="majorBidi"/>
          <w:i/>
          <w:iCs/>
          <w:szCs w:val="24"/>
          <w:lang w:val="en-US"/>
        </w:rPr>
        <w:t>n</w:t>
      </w:r>
      <w:r>
        <w:rPr>
          <w:rFonts w:asciiTheme="majorBidi" w:hAnsiTheme="majorBidi" w:cstheme="majorBidi"/>
          <w:szCs w:val="24"/>
          <w:lang w:val="en-US"/>
        </w:rPr>
        <w:t xml:space="preserve"> and the MSS receiver, this value takes into account: the free space loss, the Building Entry Loss, the Clutter Loss and the polarization mismatch;</w:t>
      </w:r>
    </w:p>
    <w:p w:rsidR="0089268C" w:rsidRDefault="00C3610E" w:rsidP="001E7D0F">
      <w:pPr>
        <w:pStyle w:val="Equationlegend"/>
        <w:rPr>
          <w:lang w:val="en-US"/>
        </w:rPr>
      </w:pPr>
      <w:r>
        <w:rPr>
          <w:rFonts w:asciiTheme="majorBidi" w:hAnsiTheme="majorBidi" w:cstheme="majorBidi"/>
          <w:i/>
          <w:iCs/>
          <w:szCs w:val="24"/>
          <w:lang w:val="en-US"/>
        </w:rPr>
        <w:t>BF</w:t>
      </w:r>
      <w:r>
        <w:rPr>
          <w:rFonts w:asciiTheme="majorBidi" w:hAnsiTheme="majorBidi" w:cstheme="majorBidi"/>
          <w:i/>
          <w:iCs/>
          <w:szCs w:val="24"/>
          <w:vertAlign w:val="subscript"/>
          <w:lang w:val="en-US"/>
        </w:rPr>
        <w:t>n</w:t>
      </w:r>
      <w:r>
        <w:rPr>
          <w:rFonts w:asciiTheme="majorBidi" w:hAnsiTheme="majorBidi" w:cstheme="majorBidi"/>
          <w:i/>
          <w:iCs/>
          <w:szCs w:val="24"/>
          <w:lang w:val="en-US"/>
        </w:rPr>
        <w:t xml:space="preserve"> </w:t>
      </w:r>
      <w:r w:rsidR="00F95ACF">
        <w:rPr>
          <w:i/>
          <w:iCs/>
          <w:lang w:val="en-US"/>
        </w:rPr>
        <w:tab/>
      </w:r>
      <w:r>
        <w:rPr>
          <w:rFonts w:asciiTheme="majorBidi" w:hAnsiTheme="majorBidi" w:cstheme="majorBidi"/>
          <w:szCs w:val="24"/>
          <w:lang w:val="en-US"/>
        </w:rPr>
        <w:t xml:space="preserve">is the Bandwidth factor correction associated to the </w:t>
      </w:r>
      <w:r>
        <w:rPr>
          <w:rFonts w:asciiTheme="majorBidi" w:hAnsiTheme="majorBidi" w:cstheme="majorBidi"/>
          <w:i/>
          <w:iCs/>
          <w:szCs w:val="24"/>
          <w:lang w:val="en-US"/>
        </w:rPr>
        <w:t>n</w:t>
      </w:r>
      <w:r>
        <w:rPr>
          <w:rFonts w:asciiTheme="majorBidi" w:hAnsiTheme="majorBidi" w:cstheme="majorBidi"/>
          <w:i/>
          <w:iCs/>
          <w:szCs w:val="24"/>
          <w:vertAlign w:val="superscript"/>
          <w:lang w:val="en-US"/>
        </w:rPr>
        <w:t>th</w:t>
      </w:r>
      <w:r>
        <w:rPr>
          <w:rFonts w:asciiTheme="majorBidi" w:hAnsiTheme="majorBidi" w:cstheme="majorBidi"/>
          <w:szCs w:val="24"/>
          <w:lang w:val="en-US"/>
        </w:rPr>
        <w:t xml:space="preserve"> RLAN, due to the fact that the MSS receiver and the RLAN do not have the same bandwidth, </w:t>
      </w:r>
      <m:oMath>
        <m:r>
          <w:rPr>
            <w:rFonts w:ascii="Cambria Math" w:hAnsi="Cambria Math" w:cstheme="majorBidi"/>
            <w:szCs w:val="24"/>
          </w:rPr>
          <m:t>B</m:t>
        </m:r>
        <m:sSub>
          <m:sSubPr>
            <m:ctrlPr>
              <w:rPr>
                <w:rFonts w:ascii="Cambria Math" w:hAnsi="Cambria Math" w:cstheme="majorBidi"/>
                <w:i/>
                <w:szCs w:val="24"/>
              </w:rPr>
            </m:ctrlPr>
          </m:sSubPr>
          <m:e>
            <m:r>
              <w:rPr>
                <w:rFonts w:ascii="Cambria Math" w:hAnsi="Cambria Math" w:cstheme="majorBidi"/>
                <w:szCs w:val="24"/>
              </w:rPr>
              <m:t>F</m:t>
            </m:r>
          </m:e>
          <m:sub>
            <m:r>
              <w:rPr>
                <w:rFonts w:ascii="Cambria Math" w:hAnsi="Cambria Math" w:cstheme="majorBidi"/>
                <w:szCs w:val="24"/>
              </w:rPr>
              <m:t>n</m:t>
            </m:r>
          </m:sub>
        </m:sSub>
        <m:d>
          <m:dPr>
            <m:ctrlPr>
              <w:rPr>
                <w:rFonts w:ascii="Cambria Math" w:hAnsi="Cambria Math" w:cstheme="majorBidi"/>
                <w:i/>
                <w:szCs w:val="24"/>
              </w:rPr>
            </m:ctrlPr>
          </m:dPr>
          <m:e>
            <m:r>
              <w:rPr>
                <w:rFonts w:ascii="Cambria Math" w:hAnsi="Cambria Math" w:cstheme="majorBidi"/>
                <w:szCs w:val="24"/>
              </w:rPr>
              <m:t>dB</m:t>
            </m:r>
          </m:e>
        </m:d>
        <m:r>
          <w:rPr>
            <w:rFonts w:ascii="Cambria Math" w:hAnsi="Cambria Math" w:cstheme="majorBidi"/>
            <w:szCs w:val="24"/>
            <w:lang w:val="en-US"/>
          </w:rPr>
          <m:t>=10*</m:t>
        </m:r>
        <m:r>
          <w:rPr>
            <w:rFonts w:ascii="Cambria Math" w:hAnsi="Cambria Math" w:cstheme="majorBidi"/>
            <w:szCs w:val="24"/>
          </w:rPr>
          <m:t>Lo</m:t>
        </m:r>
        <m:sSub>
          <m:sSubPr>
            <m:ctrlPr>
              <w:rPr>
                <w:rFonts w:ascii="Cambria Math" w:hAnsi="Cambria Math" w:cstheme="majorBidi"/>
                <w:i/>
                <w:szCs w:val="24"/>
              </w:rPr>
            </m:ctrlPr>
          </m:sSubPr>
          <m:e>
            <m:r>
              <w:rPr>
                <w:rFonts w:ascii="Cambria Math" w:hAnsi="Cambria Math" w:cstheme="majorBidi"/>
                <w:szCs w:val="24"/>
              </w:rPr>
              <m:t>g</m:t>
            </m:r>
          </m:e>
          <m:sub>
            <m:r>
              <w:rPr>
                <w:rFonts w:ascii="Cambria Math" w:hAnsi="Cambria Math" w:cstheme="majorBidi"/>
                <w:szCs w:val="24"/>
                <w:lang w:val="en-US"/>
              </w:rPr>
              <m:t>10</m:t>
            </m:r>
          </m:sub>
        </m:sSub>
        <m:d>
          <m:dPr>
            <m:ctrlPr>
              <w:rPr>
                <w:rFonts w:ascii="Cambria Math" w:hAnsi="Cambria Math" w:cstheme="majorBidi"/>
                <w:i/>
                <w:szCs w:val="24"/>
              </w:rPr>
            </m:ctrlPr>
          </m:dPr>
          <m:e>
            <m:f>
              <m:fPr>
                <m:ctrlPr>
                  <w:rPr>
                    <w:rFonts w:ascii="Cambria Math" w:hAnsi="Cambria Math" w:cstheme="majorBidi"/>
                    <w:i/>
                    <w:szCs w:val="24"/>
                  </w:rPr>
                </m:ctrlPr>
              </m:fPr>
              <m:num>
                <m:r>
                  <w:rPr>
                    <w:rFonts w:ascii="Cambria Math" w:hAnsi="Cambria Math" w:cstheme="majorBidi"/>
                    <w:szCs w:val="24"/>
                  </w:rPr>
                  <m:t>B</m:t>
                </m:r>
                <m:sSub>
                  <m:sSubPr>
                    <m:ctrlPr>
                      <w:rPr>
                        <w:rFonts w:ascii="Cambria Math" w:hAnsi="Cambria Math" w:cstheme="majorBidi"/>
                        <w:i/>
                        <w:szCs w:val="24"/>
                      </w:rPr>
                    </m:ctrlPr>
                  </m:sSubPr>
                  <m:e>
                    <m:r>
                      <w:rPr>
                        <w:rFonts w:ascii="Cambria Math" w:hAnsi="Cambria Math" w:cstheme="majorBidi"/>
                        <w:szCs w:val="24"/>
                      </w:rPr>
                      <m:t>W</m:t>
                    </m:r>
                  </m:e>
                  <m:sub>
                    <m:r>
                      <w:rPr>
                        <w:rFonts w:ascii="Cambria Math" w:hAnsi="Cambria Math" w:cstheme="majorBidi"/>
                        <w:szCs w:val="24"/>
                      </w:rPr>
                      <m:t>RLAN</m:t>
                    </m:r>
                  </m:sub>
                </m:sSub>
              </m:num>
              <m:den>
                <m:r>
                  <w:rPr>
                    <w:rFonts w:ascii="Cambria Math" w:hAnsi="Cambria Math" w:cstheme="majorBidi"/>
                    <w:szCs w:val="24"/>
                  </w:rPr>
                  <m:t>B</m:t>
                </m:r>
                <m:sSub>
                  <m:sSubPr>
                    <m:ctrlPr>
                      <w:rPr>
                        <w:rFonts w:ascii="Cambria Math" w:hAnsi="Cambria Math" w:cstheme="majorBidi"/>
                        <w:i/>
                        <w:szCs w:val="24"/>
                      </w:rPr>
                    </m:ctrlPr>
                  </m:sSubPr>
                  <m:e>
                    <m:r>
                      <w:rPr>
                        <w:rFonts w:ascii="Cambria Math" w:hAnsi="Cambria Math" w:cstheme="majorBidi"/>
                        <w:szCs w:val="24"/>
                      </w:rPr>
                      <m:t>W</m:t>
                    </m:r>
                  </m:e>
                  <m:sub>
                    <m:r>
                      <w:rPr>
                        <w:rFonts w:ascii="Cambria Math" w:hAnsi="Cambria Math" w:cstheme="majorBidi"/>
                        <w:szCs w:val="24"/>
                      </w:rPr>
                      <m:t>MSS</m:t>
                    </m:r>
                  </m:sub>
                </m:sSub>
              </m:den>
            </m:f>
          </m:e>
        </m:d>
      </m:oMath>
      <w:r>
        <w:rPr>
          <w:rFonts w:asciiTheme="majorBidi" w:hAnsiTheme="majorBidi" w:cstheme="majorBidi"/>
          <w:szCs w:val="24"/>
          <w:lang w:val="en-US"/>
        </w:rPr>
        <w:t>.</w:t>
      </w:r>
    </w:p>
    <w:p w:rsidR="0089268C" w:rsidRDefault="00C3610E">
      <w:pPr>
        <w:rPr>
          <w:lang w:val="en-US"/>
        </w:rPr>
      </w:pPr>
      <w:r>
        <w:rPr>
          <w:lang w:val="en-US"/>
        </w:rPr>
        <w:t xml:space="preserve">This interference value is computed for each satellite position and then is used to deduce the </w:t>
      </w:r>
      <w:r>
        <w:rPr>
          <w:i/>
          <w:iCs/>
          <w:lang w:val="en-US"/>
        </w:rPr>
        <w:t>I/N (dB)</w:t>
      </w:r>
      <w:r>
        <w:rPr>
          <w:lang w:val="en-US"/>
        </w:rPr>
        <w:t xml:space="preserve"> or the </w:t>
      </w:r>
      <m:oMath>
        <m:f>
          <m:fPr>
            <m:ctrlPr>
              <w:rPr>
                <w:rFonts w:ascii="Cambria Math" w:hAnsi="Cambria Math"/>
                <w:i/>
                <w:lang w:val="en-US"/>
              </w:rPr>
            </m:ctrlPr>
          </m:fPr>
          <m:num>
            <m:r>
              <m:rPr>
                <m:sty m:val="p"/>
              </m:rPr>
              <w:rPr>
                <w:rFonts w:ascii="Cambria Math" w:hAnsi="Cambria Math" w:hint="eastAsia"/>
                <w:lang w:val="en-US"/>
              </w:rPr>
              <m:t>Δ</m:t>
            </m:r>
            <m:r>
              <w:rPr>
                <w:rFonts w:ascii="Cambria Math" w:hAnsi="Cambria Math"/>
                <w:lang w:val="en-US"/>
              </w:rPr>
              <m:t>T</m:t>
            </m:r>
          </m:num>
          <m:den>
            <m:r>
              <w:rPr>
                <w:rFonts w:ascii="Cambria Math" w:hAnsi="Cambria Math"/>
                <w:lang w:val="en-US"/>
              </w:rPr>
              <m:t>T</m:t>
            </m:r>
          </m:den>
        </m:f>
        <m:d>
          <m:dPr>
            <m:ctrlPr>
              <w:rPr>
                <w:rFonts w:ascii="Cambria Math" w:hAnsi="Cambria Math"/>
                <w:i/>
                <w:lang w:val="en-US"/>
              </w:rPr>
            </m:ctrlPr>
          </m:dPr>
          <m:e>
            <m:r>
              <w:rPr>
                <w:rFonts w:ascii="Cambria Math" w:hAnsi="Cambria Math"/>
                <w:lang w:val="en-US"/>
              </w:rPr>
              <m:t>%</m:t>
            </m:r>
          </m:e>
        </m:d>
        <m:r>
          <w:rPr>
            <w:rFonts w:ascii="Cambria Math" w:hAnsi="Cambria Math"/>
            <w:lang w:val="en-US"/>
          </w:rPr>
          <m:t>.</m:t>
        </m:r>
      </m:oMath>
      <w:r>
        <w:rPr>
          <w:lang w:val="en-US"/>
        </w:rPr>
        <w:t xml:space="preserve"> Repeating this operation for several satellite positions allows us to build a Cumulative Distribution Function (CDF) associated to the vector of observation.</w:t>
      </w:r>
    </w:p>
    <w:p w:rsidR="0089268C" w:rsidRPr="001E7D0F" w:rsidRDefault="00C3610E" w:rsidP="00C720B2">
      <w:pPr>
        <w:pStyle w:val="Heading4"/>
      </w:pPr>
      <w:r w:rsidRPr="001E7D0F">
        <w:t>5.1.6.</w:t>
      </w:r>
      <w:r w:rsidR="00C720B2">
        <w:t>2</w:t>
      </w:r>
      <w:r w:rsidRPr="001E7D0F">
        <w:tab/>
        <w:t>Scenario</w:t>
      </w:r>
    </w:p>
    <w:p w:rsidR="0089268C" w:rsidRDefault="00C3610E">
      <w:pPr>
        <w:rPr>
          <w:lang w:val="en-US"/>
        </w:rPr>
      </w:pPr>
      <w:r>
        <w:rPr>
          <w:lang w:val="en-US"/>
        </w:rPr>
        <w:t xml:space="preserve">The simulation determined the level of interference that would be experienced by a feeder link carrier that was uplinked from the earth station in Aussaguel, France (Latitude=43.42°, Longitude = 1.49°). This uplink carrier was switched from one spacecraft to another based on whichever spacecraft was the closest to the earth stations. </w:t>
      </w:r>
    </w:p>
    <w:p w:rsidR="0089268C" w:rsidRDefault="00C3610E">
      <w:pPr>
        <w:rPr>
          <w:lang w:val="en-US"/>
        </w:rPr>
      </w:pPr>
      <w:r>
        <w:rPr>
          <w:lang w:val="en-US"/>
        </w:rPr>
        <w:t>The simulation time step in our scenario was 10 Seconds, meaning that the satellite positions were recorded each 10 seconds. A quarter day of observation was taken into account (6h of record each 10 seconds), leading to 2</w:t>
      </w:r>
      <w:r w:rsidR="006A6118">
        <w:rPr>
          <w:lang w:val="en-US"/>
        </w:rPr>
        <w:t> </w:t>
      </w:r>
      <w:r>
        <w:rPr>
          <w:lang w:val="en-US"/>
        </w:rPr>
        <w:t xml:space="preserve">160 snapshots (All depicted in </w:t>
      </w:r>
      <w:r w:rsidRPr="001E7D0F">
        <w:rPr>
          <w:lang w:val="en-US"/>
        </w:rPr>
        <w:fldChar w:fldCharType="begin"/>
      </w:r>
      <w:r>
        <w:rPr>
          <w:lang w:val="en-US"/>
        </w:rPr>
        <w:instrText xml:space="preserve"> REF _Ref494809006 \h  \* MERGEFORMAT </w:instrText>
      </w:r>
      <w:r w:rsidRPr="001E7D0F">
        <w:rPr>
          <w:lang w:val="en-US"/>
        </w:rPr>
      </w:r>
      <w:r w:rsidRPr="001E7D0F">
        <w:rPr>
          <w:lang w:val="en-US"/>
        </w:rPr>
        <w:fldChar w:fldCharType="separate"/>
      </w:r>
      <w:r>
        <w:t xml:space="preserve">Figure </w:t>
      </w:r>
      <w:r w:rsidRPr="001E7D0F">
        <w:rPr>
          <w:lang w:val="en-US"/>
        </w:rPr>
        <w:fldChar w:fldCharType="end"/>
      </w:r>
      <w:r>
        <w:rPr>
          <w:noProof/>
        </w:rPr>
        <w:t>11</w:t>
      </w:r>
      <w:r>
        <w:rPr>
          <w:lang w:val="en-US"/>
        </w:rPr>
        <w:t>).</w:t>
      </w:r>
    </w:p>
    <w:p w:rsidR="0089268C" w:rsidRDefault="00C3610E">
      <w:pPr>
        <w:pStyle w:val="FigureNo"/>
        <w:rPr>
          <w:lang w:val="en-US"/>
        </w:rPr>
      </w:pPr>
      <w:bookmarkStart w:id="87" w:name="_Ref494809006"/>
      <w:r>
        <w:t>Figure</w:t>
      </w:r>
      <w:bookmarkEnd w:id="87"/>
      <w:r>
        <w:t xml:space="preserve"> </w:t>
      </w:r>
      <w:r w:rsidRPr="001E7D0F">
        <w:fldChar w:fldCharType="begin"/>
      </w:r>
      <w:r>
        <w:instrText xml:space="preserve"> SEQ Figure \* ARABIC </w:instrText>
      </w:r>
      <w:r w:rsidRPr="001E7D0F">
        <w:fldChar w:fldCharType="separate"/>
      </w:r>
      <w:r>
        <w:rPr>
          <w:noProof/>
        </w:rPr>
        <w:t>11</w:t>
      </w:r>
      <w:r w:rsidRPr="001E7D0F">
        <w:fldChar w:fldCharType="end"/>
      </w:r>
    </w:p>
    <w:p w:rsidR="0089268C" w:rsidRDefault="00C3610E" w:rsidP="005C1912">
      <w:pPr>
        <w:pStyle w:val="Figuretitle"/>
        <w:rPr>
          <w:lang w:val="en-US"/>
        </w:rPr>
      </w:pPr>
      <w:r>
        <w:rPr>
          <w:lang w:val="en-US"/>
        </w:rPr>
        <w:t>Set of the satellites positions taken into account during the simulations</w:t>
      </w:r>
    </w:p>
    <w:p w:rsidR="0089268C" w:rsidRDefault="00C3610E" w:rsidP="002C4B63">
      <w:pPr>
        <w:pStyle w:val="Figure"/>
      </w:pPr>
      <w:r w:rsidRPr="001E7D0F">
        <w:rPr>
          <w:lang w:val="en-GB"/>
        </w:rPr>
        <w:drawing>
          <wp:inline distT="0" distB="0" distL="0" distR="0">
            <wp:extent cx="5972810" cy="2995930"/>
            <wp:effectExtent l="0" t="0" r="8890" b="0"/>
            <wp:docPr id="1231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72810" cy="2995930"/>
                    </a:xfrm>
                    <a:prstGeom prst="rect">
                      <a:avLst/>
                    </a:prstGeom>
                  </pic:spPr>
                </pic:pic>
              </a:graphicData>
            </a:graphic>
          </wp:inline>
        </w:drawing>
      </w:r>
    </w:p>
    <w:p w:rsidR="0089268C" w:rsidRDefault="00C3610E">
      <w:pPr>
        <w:rPr>
          <w:lang w:val="en-US"/>
        </w:rPr>
      </w:pPr>
      <w:r>
        <w:rPr>
          <w:lang w:val="en-US"/>
        </w:rPr>
        <w:t xml:space="preserve">At each step, the aggregate RLAN interference into the satellite is computed using equation (1) and recorded into a storage vector. One should note that all the RLAN within the 5degree elevation </w:t>
      </w:r>
      <w:r>
        <w:rPr>
          <w:lang w:val="en-US"/>
        </w:rPr>
        <w:lastRenderedPageBreak/>
        <w:t xml:space="preserve">contour (on ground) from the RLANs to the satellite are taken into account (Mainly from Europe, north of Africa and west of Asia. </w:t>
      </w:r>
    </w:p>
    <w:p w:rsidR="0089268C" w:rsidRDefault="00C3610E">
      <w:pPr>
        <w:rPr>
          <w:noProof/>
          <w:lang w:val="en-US"/>
        </w:rPr>
      </w:pPr>
      <w:r>
        <w:rPr>
          <w:lang w:val="en-US"/>
        </w:rPr>
        <w:t xml:space="preserve">An example is depicted in </w:t>
      </w:r>
      <w:r w:rsidRPr="001E7D0F">
        <w:rPr>
          <w:lang w:val="en-US"/>
        </w:rPr>
        <w:fldChar w:fldCharType="begin"/>
      </w:r>
      <w:r>
        <w:rPr>
          <w:lang w:val="en-US"/>
        </w:rPr>
        <w:instrText xml:space="preserve"> REF _Ref494981879 \h  \* MERGEFORMAT </w:instrText>
      </w:r>
      <w:r w:rsidRPr="001E7D0F">
        <w:rPr>
          <w:lang w:val="en-US"/>
        </w:rPr>
      </w:r>
      <w:r w:rsidRPr="001E7D0F">
        <w:rPr>
          <w:lang w:val="en-US"/>
        </w:rPr>
        <w:fldChar w:fldCharType="separate"/>
      </w:r>
      <w:r>
        <w:t xml:space="preserve">Figure </w:t>
      </w:r>
      <w:r w:rsidRPr="001E7D0F">
        <w:rPr>
          <w:lang w:val="en-US"/>
        </w:rPr>
        <w:fldChar w:fldCharType="end"/>
      </w:r>
      <w:r>
        <w:rPr>
          <w:noProof/>
        </w:rPr>
        <w:t>12</w:t>
      </w:r>
      <w:r>
        <w:rPr>
          <w:lang w:val="en-US"/>
        </w:rPr>
        <w:t xml:space="preserve">, the satellite position (red circle) is </w:t>
      </w:r>
      <w:r>
        <w:rPr>
          <w:noProof/>
          <w:lang w:val="en-US"/>
        </w:rPr>
        <w:t>Lat=46.8570°, Long=1.1860°. The five degree elevation contour is plotted in the same figure in green, and all the RLAN seeing the satllite with an elevation higher than 5 degrees are plotted in blue (over Europe, Africa and Asia). For information, this correspounds to 1 679 414 simultaneous active RLANs.</w:t>
      </w:r>
    </w:p>
    <w:p w:rsidR="0089268C" w:rsidRDefault="00C3610E">
      <w:pPr>
        <w:rPr>
          <w:lang w:val="en-US"/>
        </w:rPr>
      </w:pPr>
      <w:r>
        <w:rPr>
          <w:lang w:val="en-US"/>
        </w:rPr>
        <w:t>Simulations are also carried out, when taking into account the mitigation technique applied in US to minimize RLAN harmful interference to the spacecraft. As presented in Doc. 5A/210, RLAN with antenna elevation angles in excess of 30 degrees from the horizon must not exceed 125 mW EIRP.</w:t>
      </w:r>
    </w:p>
    <w:p w:rsidR="0089268C" w:rsidRDefault="00C3610E">
      <w:pPr>
        <w:pStyle w:val="FigureNo"/>
        <w:rPr>
          <w:lang w:val="en-US"/>
        </w:rPr>
      </w:pPr>
      <w:bookmarkStart w:id="88" w:name="_Ref494981879"/>
      <w:r>
        <w:t xml:space="preserve">Figure </w:t>
      </w:r>
      <w:r w:rsidRPr="001E7D0F">
        <w:fldChar w:fldCharType="begin"/>
      </w:r>
      <w:r>
        <w:instrText xml:space="preserve"> SEQ Figure \* ARABIC </w:instrText>
      </w:r>
      <w:r w:rsidRPr="001E7D0F">
        <w:fldChar w:fldCharType="separate"/>
      </w:r>
      <w:r>
        <w:rPr>
          <w:noProof/>
        </w:rPr>
        <w:t>1</w:t>
      </w:r>
      <w:r w:rsidRPr="001E7D0F">
        <w:fldChar w:fldCharType="end"/>
      </w:r>
      <w:bookmarkEnd w:id="88"/>
      <w:r>
        <w:rPr>
          <w:noProof/>
        </w:rPr>
        <w:t>2</w:t>
      </w:r>
    </w:p>
    <w:p w:rsidR="0089268C" w:rsidRDefault="00C3610E" w:rsidP="005C1912">
      <w:pPr>
        <w:pStyle w:val="Figuretitle"/>
        <w:rPr>
          <w:lang w:val="en-US"/>
        </w:rPr>
      </w:pPr>
      <w:r>
        <w:rPr>
          <w:lang w:val="en-US"/>
        </w:rPr>
        <w:t>Example of RLANs taken into account in the interference computation for a satellite at position</w:t>
      </w:r>
      <w:r>
        <w:rPr>
          <w:noProof/>
          <w:lang w:val="en-US"/>
        </w:rPr>
        <w:t xml:space="preserve"> (Lat=48.326°, Long=10.489°). Green line is the 5° elevation contour, blue points are the RLANs</w:t>
      </w:r>
      <w:r>
        <w:rPr>
          <w:noProof/>
          <w:lang w:val="en-US"/>
        </w:rPr>
        <w:br/>
        <w:t>and Red circle is the Satellite position.</w:t>
      </w:r>
    </w:p>
    <w:p w:rsidR="0089268C" w:rsidRDefault="00C3610E" w:rsidP="00F95ACF">
      <w:pPr>
        <w:pStyle w:val="Figure"/>
      </w:pPr>
      <w:r w:rsidRPr="001E7D0F">
        <w:rPr>
          <w:lang w:val="en-GB"/>
        </w:rPr>
        <w:drawing>
          <wp:inline distT="0" distB="0" distL="0" distR="0">
            <wp:extent cx="5470543" cy="2637563"/>
            <wp:effectExtent l="0" t="0" r="0" b="0"/>
            <wp:docPr id="123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470671" cy="2637625"/>
                    </a:xfrm>
                    <a:prstGeom prst="rect">
                      <a:avLst/>
                    </a:prstGeom>
                  </pic:spPr>
                </pic:pic>
              </a:graphicData>
            </a:graphic>
          </wp:inline>
        </w:drawing>
      </w:r>
    </w:p>
    <w:p w:rsidR="0089268C" w:rsidRPr="001E7D0F" w:rsidRDefault="00C3610E" w:rsidP="00C720B2">
      <w:pPr>
        <w:pStyle w:val="Heading4"/>
      </w:pPr>
      <w:r w:rsidRPr="001E7D0F">
        <w:t>5.1.6.</w:t>
      </w:r>
      <w:r w:rsidR="00C720B2">
        <w:t>3</w:t>
      </w:r>
      <w:r w:rsidRPr="001E7D0F">
        <w:tab/>
        <w:t>RLAN parameters taken into account in the simulations</w:t>
      </w:r>
    </w:p>
    <w:p w:rsidR="0089268C" w:rsidRPr="001E7D0F" w:rsidRDefault="00C3610E" w:rsidP="00C720B2">
      <w:pPr>
        <w:pStyle w:val="Heading5"/>
      </w:pPr>
      <w:r>
        <w:t>5.1.6.</w:t>
      </w:r>
      <w:r w:rsidR="00C720B2">
        <w:t>3</w:t>
      </w:r>
      <w:r w:rsidRPr="001E7D0F">
        <w:t>.1</w:t>
      </w:r>
      <w:r w:rsidRPr="001E7D0F">
        <w:tab/>
      </w:r>
      <w:r>
        <w:t>RLAN</w:t>
      </w:r>
      <w:r w:rsidRPr="001E7D0F">
        <w:t xml:space="preserve"> EIRP</w:t>
      </w:r>
    </w:p>
    <w:p w:rsidR="0089268C" w:rsidRDefault="00C3610E">
      <w:r>
        <w:t xml:space="preserve">The RLAN EIRP taken into account in the simulation are the ones according to Table 1A and Table 3A, from the WDPNR ITU-R M.[RLAN REQ-PAR], Annex 27 to WP 5A Chairman’s Report. </w:t>
      </w:r>
    </w:p>
    <w:p w:rsidR="0089268C" w:rsidRDefault="00C3610E">
      <w:pPr>
        <w:pStyle w:val="TableNo"/>
      </w:pPr>
      <w:r>
        <w:t xml:space="preserve">Table </w:t>
      </w:r>
      <w:r w:rsidRPr="001E7D0F">
        <w:fldChar w:fldCharType="begin"/>
      </w:r>
      <w:r>
        <w:instrText xml:space="preserve"> SEQ Table \* ARABIC </w:instrText>
      </w:r>
      <w:r w:rsidRPr="001E7D0F">
        <w:fldChar w:fldCharType="separate"/>
      </w:r>
      <w:r>
        <w:rPr>
          <w:noProof/>
        </w:rPr>
        <w:t>3</w:t>
      </w:r>
      <w:r w:rsidRPr="001E7D0F">
        <w:fldChar w:fldCharType="end"/>
      </w:r>
    </w:p>
    <w:p w:rsidR="0089268C" w:rsidRDefault="00C3610E">
      <w:pPr>
        <w:pStyle w:val="Tabletitle"/>
      </w:pPr>
      <w:r>
        <w:rPr>
          <w:lang w:val="en-US"/>
        </w:rPr>
        <w:t>RLAN EIRP according to Table 1A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1676"/>
        <w:gridCol w:w="1023"/>
        <w:gridCol w:w="1274"/>
        <w:gridCol w:w="1164"/>
        <w:gridCol w:w="1164"/>
        <w:gridCol w:w="1164"/>
        <w:gridCol w:w="811"/>
      </w:tblGrid>
      <w:tr w:rsidR="0089268C">
        <w:trPr>
          <w:jc w:val="center"/>
        </w:trPr>
        <w:tc>
          <w:tcPr>
            <w:tcW w:w="0" w:type="auto"/>
          </w:tcPr>
          <w:p w:rsidR="0089268C" w:rsidRDefault="00C3610E">
            <w:pPr>
              <w:pStyle w:val="Tablehead"/>
            </w:pPr>
            <w:r>
              <w:t xml:space="preserve">RLAN e.i.r.p Level </w:t>
            </w:r>
          </w:p>
        </w:tc>
        <w:tc>
          <w:tcPr>
            <w:tcW w:w="0" w:type="auto"/>
          </w:tcPr>
          <w:p w:rsidR="0089268C" w:rsidRDefault="00C3610E">
            <w:pPr>
              <w:pStyle w:val="Tablehead"/>
            </w:pPr>
            <w:r>
              <w:t>1 W (directional)*</w:t>
            </w:r>
          </w:p>
        </w:tc>
        <w:tc>
          <w:tcPr>
            <w:tcW w:w="0" w:type="auto"/>
          </w:tcPr>
          <w:p w:rsidR="0089268C" w:rsidRDefault="00C3610E">
            <w:pPr>
              <w:pStyle w:val="Tablehead"/>
            </w:pPr>
            <w:r>
              <w:t>1 W (omni)</w:t>
            </w:r>
          </w:p>
        </w:tc>
        <w:tc>
          <w:tcPr>
            <w:tcW w:w="0" w:type="auto"/>
          </w:tcPr>
          <w:p w:rsidR="0089268C" w:rsidRDefault="00C3610E">
            <w:pPr>
              <w:pStyle w:val="Tablehead"/>
            </w:pPr>
            <w:r>
              <w:t>200 mW (omni)</w:t>
            </w:r>
          </w:p>
        </w:tc>
        <w:tc>
          <w:tcPr>
            <w:tcW w:w="0" w:type="auto"/>
          </w:tcPr>
          <w:p w:rsidR="0089268C" w:rsidRDefault="00C3610E">
            <w:pPr>
              <w:pStyle w:val="Tablehead"/>
            </w:pPr>
            <w:r>
              <w:t>80 mW (omni)</w:t>
            </w:r>
          </w:p>
        </w:tc>
        <w:tc>
          <w:tcPr>
            <w:tcW w:w="0" w:type="auto"/>
          </w:tcPr>
          <w:p w:rsidR="0089268C" w:rsidRDefault="00C3610E">
            <w:pPr>
              <w:pStyle w:val="Tablehead"/>
            </w:pPr>
            <w:r>
              <w:t>50 mW (omni)</w:t>
            </w:r>
          </w:p>
        </w:tc>
        <w:tc>
          <w:tcPr>
            <w:tcW w:w="0" w:type="auto"/>
          </w:tcPr>
          <w:p w:rsidR="0089268C" w:rsidRDefault="00C3610E">
            <w:pPr>
              <w:pStyle w:val="Tablehead"/>
            </w:pPr>
            <w:r>
              <w:t>25 mW (omni)</w:t>
            </w:r>
          </w:p>
        </w:tc>
        <w:tc>
          <w:tcPr>
            <w:tcW w:w="0" w:type="auto"/>
          </w:tcPr>
          <w:p w:rsidR="0089268C" w:rsidRDefault="00C3610E">
            <w:pPr>
              <w:pStyle w:val="Tablehead"/>
            </w:pPr>
            <w:r>
              <w:t>All</w:t>
            </w:r>
          </w:p>
        </w:tc>
      </w:tr>
      <w:tr w:rsidR="0089268C">
        <w:trPr>
          <w:jc w:val="center"/>
        </w:trPr>
        <w:tc>
          <w:tcPr>
            <w:tcW w:w="0" w:type="auto"/>
            <w:tcBorders>
              <w:bottom w:val="single" w:sz="4" w:space="0" w:color="auto"/>
            </w:tcBorders>
          </w:tcPr>
          <w:p w:rsidR="0089268C" w:rsidRDefault="00C3610E">
            <w:pPr>
              <w:pStyle w:val="Tabletext"/>
            </w:pPr>
            <w:r>
              <w:t>Indoor</w:t>
            </w:r>
          </w:p>
        </w:tc>
        <w:tc>
          <w:tcPr>
            <w:tcW w:w="0" w:type="auto"/>
            <w:tcBorders>
              <w:bottom w:val="single" w:sz="4" w:space="0" w:color="auto"/>
            </w:tcBorders>
          </w:tcPr>
          <w:p w:rsidR="0089268C" w:rsidRDefault="00C3610E">
            <w:pPr>
              <w:pStyle w:val="Tabletext"/>
              <w:jc w:val="center"/>
            </w:pPr>
            <w:r>
              <w:t>0%</w:t>
            </w:r>
          </w:p>
        </w:tc>
        <w:tc>
          <w:tcPr>
            <w:tcW w:w="0" w:type="auto"/>
            <w:tcBorders>
              <w:bottom w:val="single" w:sz="4" w:space="0" w:color="auto"/>
            </w:tcBorders>
          </w:tcPr>
          <w:p w:rsidR="0089268C" w:rsidRDefault="00C3610E">
            <w:pPr>
              <w:pStyle w:val="Tabletext"/>
              <w:jc w:val="center"/>
            </w:pPr>
            <w:r>
              <w:t>0%</w:t>
            </w:r>
          </w:p>
        </w:tc>
        <w:tc>
          <w:tcPr>
            <w:tcW w:w="0" w:type="auto"/>
            <w:tcBorders>
              <w:bottom w:val="single" w:sz="4" w:space="0" w:color="auto"/>
            </w:tcBorders>
          </w:tcPr>
          <w:p w:rsidR="0089268C" w:rsidRDefault="00C3610E">
            <w:pPr>
              <w:pStyle w:val="Tabletext"/>
              <w:jc w:val="center"/>
            </w:pPr>
            <w:r>
              <w:t>18%</w:t>
            </w:r>
          </w:p>
        </w:tc>
        <w:tc>
          <w:tcPr>
            <w:tcW w:w="0" w:type="auto"/>
            <w:tcBorders>
              <w:bottom w:val="single" w:sz="4" w:space="0" w:color="auto"/>
            </w:tcBorders>
          </w:tcPr>
          <w:p w:rsidR="0089268C" w:rsidRDefault="00C3610E">
            <w:pPr>
              <w:pStyle w:val="Tabletext"/>
              <w:jc w:val="center"/>
            </w:pPr>
            <w:r>
              <w:t>25.6%</w:t>
            </w:r>
          </w:p>
        </w:tc>
        <w:tc>
          <w:tcPr>
            <w:tcW w:w="0" w:type="auto"/>
            <w:tcBorders>
              <w:bottom w:val="single" w:sz="4" w:space="0" w:color="auto"/>
            </w:tcBorders>
          </w:tcPr>
          <w:p w:rsidR="0089268C" w:rsidRDefault="00C3610E">
            <w:pPr>
              <w:pStyle w:val="Tabletext"/>
              <w:jc w:val="center"/>
            </w:pPr>
            <w:r>
              <w:t>14.2%</w:t>
            </w:r>
          </w:p>
        </w:tc>
        <w:tc>
          <w:tcPr>
            <w:tcW w:w="0" w:type="auto"/>
            <w:tcBorders>
              <w:bottom w:val="single" w:sz="4" w:space="0" w:color="auto"/>
            </w:tcBorders>
          </w:tcPr>
          <w:p w:rsidR="0089268C" w:rsidRDefault="00C3610E">
            <w:pPr>
              <w:pStyle w:val="Tabletext"/>
              <w:jc w:val="center"/>
            </w:pPr>
            <w:r>
              <w:t>36.9%</w:t>
            </w:r>
          </w:p>
        </w:tc>
        <w:tc>
          <w:tcPr>
            <w:tcW w:w="0" w:type="auto"/>
            <w:tcBorders>
              <w:bottom w:val="single" w:sz="4" w:space="0" w:color="auto"/>
            </w:tcBorders>
          </w:tcPr>
          <w:p w:rsidR="0089268C" w:rsidRDefault="00C3610E">
            <w:pPr>
              <w:pStyle w:val="Tabletext"/>
              <w:jc w:val="center"/>
            </w:pPr>
            <w:r>
              <w:t>94.7%</w:t>
            </w:r>
          </w:p>
        </w:tc>
      </w:tr>
      <w:tr w:rsidR="0089268C">
        <w:trPr>
          <w:jc w:val="center"/>
        </w:trPr>
        <w:tc>
          <w:tcPr>
            <w:tcW w:w="0" w:type="auto"/>
            <w:tcBorders>
              <w:bottom w:val="single" w:sz="4" w:space="0" w:color="auto"/>
            </w:tcBorders>
          </w:tcPr>
          <w:p w:rsidR="0089268C" w:rsidRDefault="00C3610E">
            <w:pPr>
              <w:pStyle w:val="Tabletext"/>
            </w:pPr>
            <w:r>
              <w:t>Outdoor</w:t>
            </w:r>
          </w:p>
        </w:tc>
        <w:tc>
          <w:tcPr>
            <w:tcW w:w="0" w:type="auto"/>
            <w:tcBorders>
              <w:bottom w:val="single" w:sz="4" w:space="0" w:color="auto"/>
            </w:tcBorders>
          </w:tcPr>
          <w:p w:rsidR="0089268C" w:rsidRDefault="00C3610E">
            <w:pPr>
              <w:pStyle w:val="Tabletext"/>
              <w:jc w:val="center"/>
            </w:pPr>
            <w:r>
              <w:t>0.10%</w:t>
            </w:r>
          </w:p>
        </w:tc>
        <w:tc>
          <w:tcPr>
            <w:tcW w:w="0" w:type="auto"/>
            <w:tcBorders>
              <w:bottom w:val="single" w:sz="4" w:space="0" w:color="auto"/>
            </w:tcBorders>
          </w:tcPr>
          <w:p w:rsidR="0089268C" w:rsidRDefault="00C3610E">
            <w:pPr>
              <w:pStyle w:val="Tabletext"/>
              <w:jc w:val="center"/>
            </w:pPr>
            <w:r>
              <w:t>0.20%</w:t>
            </w:r>
          </w:p>
        </w:tc>
        <w:tc>
          <w:tcPr>
            <w:tcW w:w="0" w:type="auto"/>
            <w:tcBorders>
              <w:bottom w:val="single" w:sz="4" w:space="0" w:color="auto"/>
            </w:tcBorders>
          </w:tcPr>
          <w:p w:rsidR="0089268C" w:rsidRDefault="00C3610E">
            <w:pPr>
              <w:pStyle w:val="Tabletext"/>
              <w:jc w:val="center"/>
            </w:pPr>
            <w:r>
              <w:t>0.95%</w:t>
            </w:r>
          </w:p>
        </w:tc>
        <w:tc>
          <w:tcPr>
            <w:tcW w:w="0" w:type="auto"/>
            <w:tcBorders>
              <w:bottom w:val="single" w:sz="4" w:space="0" w:color="auto"/>
            </w:tcBorders>
          </w:tcPr>
          <w:p w:rsidR="0089268C" w:rsidRDefault="00C3610E">
            <w:pPr>
              <w:pStyle w:val="Tabletext"/>
              <w:jc w:val="center"/>
            </w:pPr>
            <w:r>
              <w:t>1.35%</w:t>
            </w:r>
          </w:p>
        </w:tc>
        <w:tc>
          <w:tcPr>
            <w:tcW w:w="0" w:type="auto"/>
            <w:tcBorders>
              <w:bottom w:val="single" w:sz="4" w:space="0" w:color="auto"/>
            </w:tcBorders>
          </w:tcPr>
          <w:p w:rsidR="0089268C" w:rsidRDefault="00C3610E">
            <w:pPr>
              <w:pStyle w:val="Tabletext"/>
              <w:jc w:val="center"/>
            </w:pPr>
            <w:r>
              <w:t>0.75%</w:t>
            </w:r>
          </w:p>
        </w:tc>
        <w:tc>
          <w:tcPr>
            <w:tcW w:w="0" w:type="auto"/>
            <w:tcBorders>
              <w:bottom w:val="single" w:sz="4" w:space="0" w:color="auto"/>
            </w:tcBorders>
          </w:tcPr>
          <w:p w:rsidR="0089268C" w:rsidRDefault="00C3610E">
            <w:pPr>
              <w:pStyle w:val="Tabletext"/>
              <w:jc w:val="center"/>
            </w:pPr>
            <w:r>
              <w:t>1.95%</w:t>
            </w:r>
          </w:p>
        </w:tc>
        <w:tc>
          <w:tcPr>
            <w:tcW w:w="0" w:type="auto"/>
            <w:tcBorders>
              <w:bottom w:val="single" w:sz="4" w:space="0" w:color="auto"/>
            </w:tcBorders>
          </w:tcPr>
          <w:p w:rsidR="0089268C" w:rsidRDefault="00C3610E">
            <w:pPr>
              <w:pStyle w:val="Tabletext"/>
              <w:jc w:val="center"/>
            </w:pPr>
            <w:r>
              <w:t>5.3%</w:t>
            </w:r>
          </w:p>
        </w:tc>
      </w:tr>
      <w:tr w:rsidR="0089268C">
        <w:trPr>
          <w:jc w:val="center"/>
        </w:trPr>
        <w:tc>
          <w:tcPr>
            <w:tcW w:w="0" w:type="auto"/>
            <w:gridSpan w:val="8"/>
            <w:tcBorders>
              <w:top w:val="single" w:sz="4" w:space="0" w:color="auto"/>
              <w:left w:val="nil"/>
              <w:bottom w:val="nil"/>
              <w:right w:val="nil"/>
            </w:tcBorders>
          </w:tcPr>
          <w:p w:rsidR="0089268C" w:rsidRDefault="00C3610E">
            <w:pPr>
              <w:pStyle w:val="Tabletext"/>
            </w:pPr>
            <w:r>
              <w:t>*  In the absence of antenna pattern the directional nature is taken into account only through the antenna discrimination toward the satellite, which is also applied to other omnidirectional devices</w:t>
            </w:r>
          </w:p>
        </w:tc>
      </w:tr>
    </w:tbl>
    <w:p w:rsidR="00F95ACF" w:rsidRDefault="00F95ACF" w:rsidP="00F95ACF">
      <w:pPr>
        <w:pStyle w:val="Tablefin"/>
      </w:pPr>
    </w:p>
    <w:p w:rsidR="0089268C" w:rsidRDefault="00C3610E">
      <w:pPr>
        <w:pStyle w:val="TableNo"/>
        <w:rPr>
          <w:lang w:val="en-US"/>
        </w:rPr>
      </w:pPr>
      <w:r>
        <w:lastRenderedPageBreak/>
        <w:t xml:space="preserve">Table </w:t>
      </w:r>
      <w:r w:rsidRPr="001E7D0F">
        <w:fldChar w:fldCharType="begin"/>
      </w:r>
      <w:r>
        <w:instrText xml:space="preserve"> SEQ Table \* ARABIC </w:instrText>
      </w:r>
      <w:r w:rsidRPr="001E7D0F">
        <w:fldChar w:fldCharType="separate"/>
      </w:r>
      <w:r>
        <w:rPr>
          <w:noProof/>
        </w:rPr>
        <w:t>4</w:t>
      </w:r>
      <w:r w:rsidRPr="001E7D0F">
        <w:fldChar w:fldCharType="end"/>
      </w:r>
    </w:p>
    <w:p w:rsidR="0089268C" w:rsidRDefault="00C3610E">
      <w:pPr>
        <w:pStyle w:val="Tabletitle"/>
      </w:pPr>
      <w:r>
        <w:rPr>
          <w:lang w:val="en-US"/>
        </w:rPr>
        <w:t>RLAN EIRP according to Table 3A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94"/>
        <w:gridCol w:w="1372"/>
        <w:gridCol w:w="727"/>
        <w:gridCol w:w="833"/>
        <w:gridCol w:w="833"/>
        <w:gridCol w:w="833"/>
        <w:gridCol w:w="537"/>
      </w:tblGrid>
      <w:tr w:rsidR="0089268C">
        <w:trPr>
          <w:jc w:val="center"/>
        </w:trPr>
        <w:tc>
          <w:tcPr>
            <w:tcW w:w="0" w:type="auto"/>
            <w:tcMar>
              <w:top w:w="0" w:type="dxa"/>
              <w:left w:w="108" w:type="dxa"/>
              <w:bottom w:w="0" w:type="dxa"/>
              <w:right w:w="108" w:type="dxa"/>
            </w:tcMar>
            <w:vAlign w:val="center"/>
            <w:hideMark/>
          </w:tcPr>
          <w:p w:rsidR="0089268C" w:rsidRDefault="00C3610E">
            <w:pPr>
              <w:pStyle w:val="Tablehead"/>
            </w:pPr>
            <w:r>
              <w:t>RLAN e.i.r.p. Level</w:t>
            </w:r>
          </w:p>
        </w:tc>
        <w:tc>
          <w:tcPr>
            <w:tcW w:w="0" w:type="auto"/>
            <w:tcMar>
              <w:top w:w="0" w:type="dxa"/>
              <w:left w:w="108" w:type="dxa"/>
              <w:bottom w:w="0" w:type="dxa"/>
              <w:right w:w="108" w:type="dxa"/>
            </w:tcMar>
            <w:vAlign w:val="center"/>
            <w:hideMark/>
          </w:tcPr>
          <w:p w:rsidR="0089268C" w:rsidRDefault="00C3610E">
            <w:pPr>
              <w:pStyle w:val="Tablehead"/>
            </w:pPr>
            <w:r>
              <w:t>1 W</w:t>
            </w:r>
          </w:p>
          <w:p w:rsidR="0089268C" w:rsidRDefault="00C3610E">
            <w:pPr>
              <w:pStyle w:val="Tablehead"/>
            </w:pPr>
            <w:r>
              <w:t>(directional)*</w:t>
            </w:r>
          </w:p>
        </w:tc>
        <w:tc>
          <w:tcPr>
            <w:tcW w:w="0" w:type="auto"/>
          </w:tcPr>
          <w:p w:rsidR="0089268C" w:rsidRDefault="00C3610E">
            <w:pPr>
              <w:pStyle w:val="Tablehead"/>
            </w:pPr>
            <w:r>
              <w:t>200 mW</w:t>
            </w:r>
          </w:p>
          <w:p w:rsidR="0089268C" w:rsidRDefault="00C3610E">
            <w:pPr>
              <w:pStyle w:val="Tablehead"/>
            </w:pPr>
            <w:r>
              <w:t>(omni)</w:t>
            </w:r>
          </w:p>
        </w:tc>
        <w:tc>
          <w:tcPr>
            <w:tcW w:w="0" w:type="auto"/>
            <w:tcMar>
              <w:top w:w="0" w:type="dxa"/>
              <w:left w:w="108" w:type="dxa"/>
              <w:bottom w:w="0" w:type="dxa"/>
              <w:right w:w="108" w:type="dxa"/>
            </w:tcMar>
            <w:vAlign w:val="center"/>
            <w:hideMark/>
          </w:tcPr>
          <w:p w:rsidR="0089268C" w:rsidRDefault="00C3610E">
            <w:pPr>
              <w:pStyle w:val="Tablehead"/>
            </w:pPr>
            <w:r>
              <w:t>80 mW</w:t>
            </w:r>
          </w:p>
          <w:p w:rsidR="0089268C" w:rsidRDefault="00C3610E">
            <w:pPr>
              <w:pStyle w:val="Tablehead"/>
            </w:pPr>
            <w:r>
              <w:t>(omni)</w:t>
            </w:r>
          </w:p>
        </w:tc>
        <w:tc>
          <w:tcPr>
            <w:tcW w:w="0" w:type="auto"/>
            <w:tcMar>
              <w:top w:w="0" w:type="dxa"/>
              <w:left w:w="108" w:type="dxa"/>
              <w:bottom w:w="0" w:type="dxa"/>
              <w:right w:w="108" w:type="dxa"/>
            </w:tcMar>
            <w:vAlign w:val="center"/>
            <w:hideMark/>
          </w:tcPr>
          <w:p w:rsidR="0089268C" w:rsidRDefault="00C3610E">
            <w:pPr>
              <w:pStyle w:val="Tablehead"/>
            </w:pPr>
            <w:r>
              <w:t>50 mW</w:t>
            </w:r>
          </w:p>
          <w:p w:rsidR="0089268C" w:rsidRDefault="00C3610E">
            <w:pPr>
              <w:pStyle w:val="Tablehead"/>
            </w:pPr>
            <w:r>
              <w:t>(omni)</w:t>
            </w:r>
          </w:p>
        </w:tc>
        <w:tc>
          <w:tcPr>
            <w:tcW w:w="0" w:type="auto"/>
            <w:tcMar>
              <w:top w:w="0" w:type="dxa"/>
              <w:left w:w="108" w:type="dxa"/>
              <w:bottom w:w="0" w:type="dxa"/>
              <w:right w:w="108" w:type="dxa"/>
            </w:tcMar>
            <w:vAlign w:val="center"/>
            <w:hideMark/>
          </w:tcPr>
          <w:p w:rsidR="0089268C" w:rsidRDefault="00C3610E">
            <w:pPr>
              <w:pStyle w:val="Tablehead"/>
            </w:pPr>
            <w:r>
              <w:t>25 mW</w:t>
            </w:r>
          </w:p>
          <w:p w:rsidR="0089268C" w:rsidRDefault="00C3610E">
            <w:pPr>
              <w:pStyle w:val="Tablehead"/>
            </w:pPr>
            <w:r>
              <w:t>(omni)</w:t>
            </w:r>
          </w:p>
        </w:tc>
        <w:tc>
          <w:tcPr>
            <w:tcW w:w="537" w:type="dxa"/>
          </w:tcPr>
          <w:p w:rsidR="0089268C" w:rsidRDefault="00C3610E">
            <w:pPr>
              <w:pStyle w:val="Tablehead"/>
            </w:pPr>
            <w:r>
              <w:t>All</w:t>
            </w:r>
          </w:p>
        </w:tc>
      </w:tr>
      <w:tr w:rsidR="0089268C">
        <w:trPr>
          <w:jc w:val="center"/>
        </w:trPr>
        <w:tc>
          <w:tcPr>
            <w:tcW w:w="0" w:type="auto"/>
            <w:tcMar>
              <w:top w:w="0" w:type="dxa"/>
              <w:left w:w="108" w:type="dxa"/>
              <w:bottom w:w="0" w:type="dxa"/>
              <w:right w:w="108" w:type="dxa"/>
            </w:tcMar>
            <w:hideMark/>
          </w:tcPr>
          <w:p w:rsidR="0089268C" w:rsidRDefault="00C3610E">
            <w:pPr>
              <w:pStyle w:val="Tabletext"/>
            </w:pPr>
            <w:r>
              <w:t>Indoor</w:t>
            </w:r>
          </w:p>
        </w:tc>
        <w:tc>
          <w:tcPr>
            <w:tcW w:w="0" w:type="auto"/>
            <w:tcMar>
              <w:top w:w="0" w:type="dxa"/>
              <w:left w:w="108" w:type="dxa"/>
              <w:bottom w:w="0" w:type="dxa"/>
              <w:right w:w="108" w:type="dxa"/>
            </w:tcMar>
            <w:vAlign w:val="bottom"/>
            <w:hideMark/>
          </w:tcPr>
          <w:p w:rsidR="0089268C" w:rsidRDefault="00C3610E">
            <w:pPr>
              <w:pStyle w:val="Tabletext"/>
              <w:jc w:val="center"/>
            </w:pPr>
            <w:r>
              <w:t>0%</w:t>
            </w:r>
          </w:p>
        </w:tc>
        <w:tc>
          <w:tcPr>
            <w:tcW w:w="0" w:type="auto"/>
          </w:tcPr>
          <w:p w:rsidR="0089268C" w:rsidRDefault="00C3610E">
            <w:pPr>
              <w:pStyle w:val="Tabletext"/>
              <w:jc w:val="center"/>
            </w:pPr>
            <w:r>
              <w:t>16.15%</w:t>
            </w:r>
          </w:p>
        </w:tc>
        <w:tc>
          <w:tcPr>
            <w:tcW w:w="0" w:type="auto"/>
            <w:tcMar>
              <w:top w:w="0" w:type="dxa"/>
              <w:left w:w="108" w:type="dxa"/>
              <w:bottom w:w="0" w:type="dxa"/>
              <w:right w:w="108" w:type="dxa"/>
            </w:tcMar>
            <w:vAlign w:val="bottom"/>
            <w:hideMark/>
          </w:tcPr>
          <w:p w:rsidR="0089268C" w:rsidRDefault="00C3610E">
            <w:pPr>
              <w:pStyle w:val="Tabletext"/>
              <w:jc w:val="center"/>
            </w:pPr>
            <w:r>
              <w:t>22.95%</w:t>
            </w:r>
          </w:p>
        </w:tc>
        <w:tc>
          <w:tcPr>
            <w:tcW w:w="0" w:type="auto"/>
            <w:tcMar>
              <w:top w:w="0" w:type="dxa"/>
              <w:left w:w="108" w:type="dxa"/>
              <w:bottom w:w="0" w:type="dxa"/>
              <w:right w:w="108" w:type="dxa"/>
            </w:tcMar>
            <w:vAlign w:val="bottom"/>
            <w:hideMark/>
          </w:tcPr>
          <w:p w:rsidR="0089268C" w:rsidRDefault="00C3610E">
            <w:pPr>
              <w:pStyle w:val="Tabletext"/>
              <w:jc w:val="center"/>
            </w:pPr>
            <w:r>
              <w:t>12.75%</w:t>
            </w:r>
          </w:p>
        </w:tc>
        <w:tc>
          <w:tcPr>
            <w:tcW w:w="0" w:type="auto"/>
            <w:tcMar>
              <w:top w:w="0" w:type="dxa"/>
              <w:left w:w="108" w:type="dxa"/>
              <w:bottom w:w="0" w:type="dxa"/>
              <w:right w:w="108" w:type="dxa"/>
            </w:tcMar>
            <w:vAlign w:val="bottom"/>
            <w:hideMark/>
          </w:tcPr>
          <w:p w:rsidR="0089268C" w:rsidRDefault="00C3610E">
            <w:pPr>
              <w:pStyle w:val="Tabletext"/>
              <w:jc w:val="center"/>
            </w:pPr>
            <w:r>
              <w:t>33.15%</w:t>
            </w:r>
          </w:p>
        </w:tc>
        <w:tc>
          <w:tcPr>
            <w:tcW w:w="537" w:type="dxa"/>
          </w:tcPr>
          <w:p w:rsidR="0089268C" w:rsidRDefault="00C3610E">
            <w:pPr>
              <w:pStyle w:val="Tabletext"/>
              <w:jc w:val="center"/>
            </w:pPr>
            <w:r>
              <w:t>85%</w:t>
            </w:r>
          </w:p>
        </w:tc>
      </w:tr>
      <w:tr w:rsidR="0089268C">
        <w:trPr>
          <w:jc w:val="center"/>
        </w:trPr>
        <w:tc>
          <w:tcPr>
            <w:tcW w:w="0" w:type="auto"/>
            <w:tcBorders>
              <w:bottom w:val="single" w:sz="4" w:space="0" w:color="auto"/>
            </w:tcBorders>
            <w:tcMar>
              <w:top w:w="0" w:type="dxa"/>
              <w:left w:w="108" w:type="dxa"/>
              <w:bottom w:w="0" w:type="dxa"/>
              <w:right w:w="108" w:type="dxa"/>
            </w:tcMar>
          </w:tcPr>
          <w:p w:rsidR="0089268C" w:rsidRDefault="00C3610E">
            <w:pPr>
              <w:pStyle w:val="Tabletext"/>
            </w:pPr>
            <w:r>
              <w:t>Outdoor</w:t>
            </w:r>
          </w:p>
        </w:tc>
        <w:tc>
          <w:tcPr>
            <w:tcW w:w="0" w:type="auto"/>
            <w:tcBorders>
              <w:bottom w:val="single" w:sz="4" w:space="0" w:color="auto"/>
            </w:tcBorders>
            <w:tcMar>
              <w:top w:w="0" w:type="dxa"/>
              <w:left w:w="108" w:type="dxa"/>
              <w:bottom w:w="0" w:type="dxa"/>
              <w:right w:w="108" w:type="dxa"/>
            </w:tcMar>
            <w:vAlign w:val="bottom"/>
          </w:tcPr>
          <w:p w:rsidR="0089268C" w:rsidRDefault="00C3610E">
            <w:pPr>
              <w:pStyle w:val="Tabletext"/>
              <w:jc w:val="center"/>
            </w:pPr>
            <w:r>
              <w:t>2.85%</w:t>
            </w:r>
          </w:p>
        </w:tc>
        <w:tc>
          <w:tcPr>
            <w:tcW w:w="0" w:type="auto"/>
            <w:tcBorders>
              <w:bottom w:val="single" w:sz="4" w:space="0" w:color="auto"/>
            </w:tcBorders>
          </w:tcPr>
          <w:p w:rsidR="0089268C" w:rsidRDefault="00C3610E">
            <w:pPr>
              <w:pStyle w:val="Tabletext"/>
              <w:jc w:val="center"/>
            </w:pPr>
            <w:r>
              <w:t>0%</w:t>
            </w:r>
          </w:p>
        </w:tc>
        <w:tc>
          <w:tcPr>
            <w:tcW w:w="0" w:type="auto"/>
            <w:tcBorders>
              <w:bottom w:val="single" w:sz="4" w:space="0" w:color="auto"/>
            </w:tcBorders>
            <w:tcMar>
              <w:top w:w="0" w:type="dxa"/>
              <w:left w:w="108" w:type="dxa"/>
              <w:bottom w:w="0" w:type="dxa"/>
              <w:right w:w="108" w:type="dxa"/>
            </w:tcMar>
            <w:vAlign w:val="bottom"/>
          </w:tcPr>
          <w:p w:rsidR="0089268C" w:rsidRDefault="00C3610E">
            <w:pPr>
              <w:pStyle w:val="Tabletext"/>
              <w:jc w:val="center"/>
            </w:pPr>
            <w:r>
              <w:t>4.05%</w:t>
            </w:r>
          </w:p>
        </w:tc>
        <w:tc>
          <w:tcPr>
            <w:tcW w:w="0" w:type="auto"/>
            <w:tcBorders>
              <w:bottom w:val="single" w:sz="4" w:space="0" w:color="auto"/>
            </w:tcBorders>
            <w:tcMar>
              <w:top w:w="0" w:type="dxa"/>
              <w:left w:w="108" w:type="dxa"/>
              <w:bottom w:w="0" w:type="dxa"/>
              <w:right w:w="108" w:type="dxa"/>
            </w:tcMar>
            <w:vAlign w:val="bottom"/>
          </w:tcPr>
          <w:p w:rsidR="0089268C" w:rsidRDefault="00C3610E">
            <w:pPr>
              <w:pStyle w:val="Tabletext"/>
              <w:jc w:val="center"/>
            </w:pPr>
            <w:r>
              <w:t>2.25%</w:t>
            </w:r>
          </w:p>
        </w:tc>
        <w:tc>
          <w:tcPr>
            <w:tcW w:w="0" w:type="auto"/>
            <w:tcBorders>
              <w:bottom w:val="single" w:sz="4" w:space="0" w:color="auto"/>
            </w:tcBorders>
            <w:tcMar>
              <w:top w:w="0" w:type="dxa"/>
              <w:left w:w="108" w:type="dxa"/>
              <w:bottom w:w="0" w:type="dxa"/>
              <w:right w:w="108" w:type="dxa"/>
            </w:tcMar>
            <w:vAlign w:val="bottom"/>
          </w:tcPr>
          <w:p w:rsidR="0089268C" w:rsidRDefault="00C3610E">
            <w:pPr>
              <w:pStyle w:val="Tabletext"/>
              <w:jc w:val="center"/>
            </w:pPr>
            <w:r>
              <w:t>5.85%</w:t>
            </w:r>
          </w:p>
        </w:tc>
        <w:tc>
          <w:tcPr>
            <w:tcW w:w="537" w:type="dxa"/>
            <w:tcBorders>
              <w:bottom w:val="single" w:sz="4" w:space="0" w:color="auto"/>
            </w:tcBorders>
          </w:tcPr>
          <w:p w:rsidR="0089268C" w:rsidRDefault="00C3610E">
            <w:pPr>
              <w:pStyle w:val="Tabletext"/>
              <w:jc w:val="center"/>
            </w:pPr>
            <w:r>
              <w:t>15%</w:t>
            </w:r>
          </w:p>
        </w:tc>
      </w:tr>
      <w:tr w:rsidR="0089268C">
        <w:trPr>
          <w:jc w:val="center"/>
        </w:trPr>
        <w:tc>
          <w:tcPr>
            <w:tcW w:w="7029" w:type="dxa"/>
            <w:gridSpan w:val="7"/>
            <w:tcBorders>
              <w:left w:val="nil"/>
              <w:bottom w:val="nil"/>
              <w:right w:val="nil"/>
            </w:tcBorders>
            <w:tcMar>
              <w:top w:w="0" w:type="dxa"/>
              <w:left w:w="108" w:type="dxa"/>
              <w:bottom w:w="0" w:type="dxa"/>
              <w:right w:w="108" w:type="dxa"/>
            </w:tcMar>
          </w:tcPr>
          <w:p w:rsidR="0089268C" w:rsidRDefault="00C3610E">
            <w:pPr>
              <w:pStyle w:val="Tabletext"/>
            </w:pPr>
            <w:r>
              <w:t>*In the absence of antenna pattern the directional nature is taken into account only through the antenna discrimination toward the satellite, which is also applied to other omnidirectional devices</w:t>
            </w:r>
          </w:p>
        </w:tc>
      </w:tr>
    </w:tbl>
    <w:p w:rsidR="0089268C" w:rsidRDefault="0089268C" w:rsidP="00F95ACF">
      <w:pPr>
        <w:pStyle w:val="Tablefin"/>
      </w:pPr>
    </w:p>
    <w:p w:rsidR="0089268C" w:rsidRDefault="00C3610E" w:rsidP="00867DC6">
      <w:r>
        <w:t>Another distribution is proposed in Table 3, this latter takes into account the U.S. license-exempt rules for RLANs operating in the 5 150-5 250 MHz band, as presented in Doc. 5A/210 during the November 2016 WG 5A meeting.</w:t>
      </w:r>
    </w:p>
    <w:p w:rsidR="0089268C" w:rsidRDefault="00C3610E">
      <w:pPr>
        <w:pStyle w:val="TableNo"/>
        <w:rPr>
          <w:lang w:val="en-US"/>
        </w:rPr>
      </w:pPr>
      <w:r w:rsidRPr="001E7D0F">
        <w:fldChar w:fldCharType="begin"/>
      </w:r>
      <w:r>
        <w:instrText xml:space="preserve"> LINK Excel.Sheet.12 Classeur1 Feuil1!L1C1:L4C8 \a \f 4 \h  \* MERGEFORMAT </w:instrText>
      </w:r>
      <w:r w:rsidRPr="001E7D0F">
        <w:fldChar w:fldCharType="separate"/>
      </w:r>
      <w:bookmarkStart w:id="89" w:name="_Ref495923768"/>
      <w:r>
        <w:t xml:space="preserve">Table </w:t>
      </w:r>
      <w:bookmarkEnd w:id="89"/>
      <w:r w:rsidRPr="001E7D0F">
        <w:fldChar w:fldCharType="begin"/>
      </w:r>
      <w:r>
        <w:instrText xml:space="preserve"> SEQ Table \* ARABIC </w:instrText>
      </w:r>
      <w:r w:rsidRPr="001E7D0F">
        <w:fldChar w:fldCharType="separate"/>
      </w:r>
      <w:r>
        <w:rPr>
          <w:noProof/>
        </w:rPr>
        <w:t>5</w:t>
      </w:r>
      <w:r w:rsidRPr="001E7D0F">
        <w:fldChar w:fldCharType="end"/>
      </w:r>
    </w:p>
    <w:p w:rsidR="0089268C" w:rsidRDefault="00C3610E">
      <w:pPr>
        <w:pStyle w:val="Tabletitle"/>
      </w:pPr>
      <w:r>
        <w:rPr>
          <w:lang w:val="en-US"/>
        </w:rPr>
        <w:t>Proposed distribution when taking into account the US rules in the band 5 150-5 250 MHz</w:t>
      </w:r>
    </w:p>
    <w:tbl>
      <w:tblPr>
        <w:tblW w:w="9072" w:type="dxa"/>
        <w:jc w:val="center"/>
        <w:tblLayout w:type="fixed"/>
        <w:tblCellMar>
          <w:left w:w="70" w:type="dxa"/>
          <w:right w:w="70" w:type="dxa"/>
        </w:tblCellMar>
        <w:tblLook w:val="04A0" w:firstRow="1" w:lastRow="0" w:firstColumn="1" w:lastColumn="0" w:noHBand="0" w:noVBand="1"/>
      </w:tblPr>
      <w:tblGrid>
        <w:gridCol w:w="1276"/>
        <w:gridCol w:w="1418"/>
        <w:gridCol w:w="1417"/>
        <w:gridCol w:w="992"/>
        <w:gridCol w:w="993"/>
        <w:gridCol w:w="1147"/>
        <w:gridCol w:w="1183"/>
        <w:gridCol w:w="646"/>
      </w:tblGrid>
      <w:tr w:rsidR="0089268C">
        <w:trPr>
          <w:trHeight w:val="82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268C" w:rsidRDefault="00C3610E">
            <w:pPr>
              <w:pStyle w:val="Tablehead"/>
              <w:rPr>
                <w:lang w:val="en-US" w:eastAsia="fr-FR"/>
              </w:rPr>
            </w:pPr>
            <w:r>
              <w:rPr>
                <w:lang w:eastAsia="fr-FR"/>
              </w:rPr>
              <w:t>RLAN e.i.r.p. Level</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9268C" w:rsidRDefault="00C3610E">
            <w:pPr>
              <w:pStyle w:val="Tablehead"/>
              <w:rPr>
                <w:lang w:val="fr-FR" w:eastAsia="fr-FR"/>
              </w:rPr>
            </w:pPr>
            <w:r>
              <w:rPr>
                <w:lang w:val="fr-FR" w:eastAsia="fr-FR"/>
              </w:rPr>
              <w:t>4W</w:t>
            </w:r>
          </w:p>
          <w:p w:rsidR="0089268C" w:rsidRDefault="00C3610E">
            <w:pPr>
              <w:pStyle w:val="Tablehead"/>
              <w:rPr>
                <w:lang w:val="fr-FR" w:eastAsia="fr-FR"/>
              </w:rPr>
            </w:pPr>
            <w:r>
              <w:rPr>
                <w:lang w:val="fr-FR" w:eastAsia="fr-FR"/>
              </w:rPr>
              <w:t>(directionnal)*</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9268C" w:rsidRDefault="00C3610E">
            <w:pPr>
              <w:pStyle w:val="Tablehead"/>
              <w:rPr>
                <w:lang w:val="fr-FR" w:eastAsia="fr-FR"/>
              </w:rPr>
            </w:pPr>
            <w:r>
              <w:rPr>
                <w:lang w:eastAsia="fr-FR"/>
              </w:rPr>
              <w:t>1 W</w:t>
            </w:r>
          </w:p>
          <w:p w:rsidR="0089268C" w:rsidRDefault="00C3610E">
            <w:pPr>
              <w:pStyle w:val="Tablehead"/>
              <w:rPr>
                <w:lang w:val="fr-FR" w:eastAsia="fr-FR"/>
              </w:rPr>
            </w:pPr>
            <w:r>
              <w:rPr>
                <w:lang w:eastAsia="fr-FR"/>
              </w:rPr>
              <w:t>(directional)*</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268C" w:rsidRDefault="00C3610E">
            <w:pPr>
              <w:pStyle w:val="Tablehead"/>
              <w:rPr>
                <w:lang w:val="fr-FR" w:eastAsia="fr-FR"/>
              </w:rPr>
            </w:pPr>
            <w:r>
              <w:rPr>
                <w:lang w:eastAsia="ja-JP"/>
              </w:rPr>
              <w:t>200 mW</w:t>
            </w:r>
          </w:p>
          <w:p w:rsidR="0089268C" w:rsidRDefault="00C3610E">
            <w:pPr>
              <w:pStyle w:val="Tablehead"/>
              <w:rPr>
                <w:lang w:val="fr-FR" w:eastAsia="fr-FR"/>
              </w:rPr>
            </w:pPr>
            <w:r>
              <w:rPr>
                <w:lang w:eastAsia="ja-JP"/>
              </w:rPr>
              <w:t>(omni)</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9268C" w:rsidRDefault="00C3610E">
            <w:pPr>
              <w:pStyle w:val="Tablehead"/>
              <w:rPr>
                <w:lang w:val="fr-FR" w:eastAsia="fr-FR"/>
              </w:rPr>
            </w:pPr>
            <w:r>
              <w:rPr>
                <w:lang w:eastAsia="fr-FR"/>
              </w:rPr>
              <w:t>80 mW</w:t>
            </w:r>
          </w:p>
          <w:p w:rsidR="0089268C" w:rsidRDefault="00C3610E">
            <w:pPr>
              <w:pStyle w:val="Tablehead"/>
              <w:rPr>
                <w:lang w:val="fr-FR" w:eastAsia="fr-FR"/>
              </w:rPr>
            </w:pPr>
            <w:r>
              <w:rPr>
                <w:lang w:eastAsia="fr-FR"/>
              </w:rPr>
              <w:t>(omni)</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89268C" w:rsidRDefault="00C3610E">
            <w:pPr>
              <w:pStyle w:val="Tablehead"/>
              <w:rPr>
                <w:lang w:val="fr-FR" w:eastAsia="fr-FR"/>
              </w:rPr>
            </w:pPr>
            <w:r>
              <w:rPr>
                <w:lang w:eastAsia="fr-FR"/>
              </w:rPr>
              <w:t>50 mW</w:t>
            </w:r>
          </w:p>
          <w:p w:rsidR="0089268C" w:rsidRDefault="00C3610E">
            <w:pPr>
              <w:pStyle w:val="Tablehead"/>
              <w:rPr>
                <w:lang w:val="fr-FR" w:eastAsia="fr-FR"/>
              </w:rPr>
            </w:pPr>
            <w:r>
              <w:rPr>
                <w:lang w:eastAsia="fr-FR"/>
              </w:rPr>
              <w:t>(omni)</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rsidR="0089268C" w:rsidRDefault="00C3610E">
            <w:pPr>
              <w:pStyle w:val="Tablehead"/>
              <w:rPr>
                <w:lang w:val="fr-FR" w:eastAsia="fr-FR"/>
              </w:rPr>
            </w:pPr>
            <w:r>
              <w:rPr>
                <w:lang w:eastAsia="fr-FR"/>
              </w:rPr>
              <w:t>25 mW</w:t>
            </w:r>
          </w:p>
          <w:p w:rsidR="0089268C" w:rsidRDefault="00C3610E">
            <w:pPr>
              <w:pStyle w:val="Tablehead"/>
              <w:rPr>
                <w:lang w:val="fr-FR" w:eastAsia="fr-FR"/>
              </w:rPr>
            </w:pPr>
            <w:r>
              <w:rPr>
                <w:lang w:eastAsia="fr-FR"/>
              </w:rPr>
              <w:t>(omni)</w:t>
            </w:r>
          </w:p>
        </w:tc>
        <w:tc>
          <w:tcPr>
            <w:tcW w:w="646" w:type="dxa"/>
            <w:tcBorders>
              <w:top w:val="single" w:sz="4" w:space="0" w:color="auto"/>
              <w:left w:val="nil"/>
              <w:bottom w:val="single" w:sz="4" w:space="0" w:color="auto"/>
              <w:right w:val="single" w:sz="4" w:space="0" w:color="auto"/>
            </w:tcBorders>
            <w:shd w:val="clear" w:color="auto" w:fill="auto"/>
            <w:vAlign w:val="center"/>
            <w:hideMark/>
          </w:tcPr>
          <w:p w:rsidR="0089268C" w:rsidRDefault="00C3610E">
            <w:pPr>
              <w:pStyle w:val="Tablehead"/>
              <w:rPr>
                <w:lang w:val="fr-FR" w:eastAsia="fr-FR"/>
              </w:rPr>
            </w:pPr>
            <w:r>
              <w:rPr>
                <w:lang w:eastAsia="ja-JP"/>
              </w:rPr>
              <w:t>All</w:t>
            </w:r>
          </w:p>
          <w:p w:rsidR="0089268C" w:rsidRDefault="00C3610E">
            <w:pPr>
              <w:pStyle w:val="Tablehead"/>
              <w:rPr>
                <w:lang w:val="fr-FR" w:eastAsia="fr-FR"/>
              </w:rPr>
            </w:pPr>
            <w:r>
              <w:rPr>
                <w:lang w:val="fr-FR" w:eastAsia="fr-FR"/>
              </w:rPr>
              <w:t> </w:t>
            </w:r>
          </w:p>
        </w:tc>
      </w:tr>
      <w:tr w:rsidR="0089268C">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89268C" w:rsidRDefault="00C3610E">
            <w:pPr>
              <w:pStyle w:val="Tabletext"/>
            </w:pPr>
            <w:r>
              <w:t>Indoor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89268C" w:rsidRDefault="00C3610E">
            <w:pPr>
              <w:pStyle w:val="Tabletext"/>
              <w:jc w:val="right"/>
            </w:pPr>
            <w:r>
              <w:t>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9268C" w:rsidRDefault="00C3610E">
            <w:pPr>
              <w:pStyle w:val="Tabletext"/>
              <w:jc w:val="right"/>
            </w:pPr>
            <w:r>
              <w:t>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268C" w:rsidRDefault="00C3610E">
            <w:pPr>
              <w:pStyle w:val="Tabletext"/>
              <w:jc w:val="right"/>
            </w:pPr>
            <w:r>
              <w:t>15,15%</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9268C" w:rsidRDefault="00C3610E">
            <w:pPr>
              <w:pStyle w:val="Tabletext"/>
              <w:jc w:val="right"/>
            </w:pPr>
            <w:r>
              <w:t>21,95%</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89268C" w:rsidRDefault="00C3610E">
            <w:pPr>
              <w:pStyle w:val="Tabletext"/>
              <w:jc w:val="right"/>
            </w:pPr>
            <w:r>
              <w:t>11,75%</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rsidR="0089268C" w:rsidRDefault="00C3610E">
            <w:pPr>
              <w:pStyle w:val="Tabletext"/>
              <w:jc w:val="right"/>
            </w:pPr>
            <w:r>
              <w:t>31,15%</w:t>
            </w:r>
          </w:p>
        </w:tc>
        <w:tc>
          <w:tcPr>
            <w:tcW w:w="646" w:type="dxa"/>
            <w:tcBorders>
              <w:top w:val="single" w:sz="4" w:space="0" w:color="auto"/>
              <w:left w:val="nil"/>
              <w:bottom w:val="single" w:sz="4" w:space="0" w:color="auto"/>
              <w:right w:val="single" w:sz="4" w:space="0" w:color="auto"/>
            </w:tcBorders>
            <w:shd w:val="clear" w:color="auto" w:fill="auto"/>
            <w:vAlign w:val="center"/>
            <w:hideMark/>
          </w:tcPr>
          <w:p w:rsidR="0089268C" w:rsidRDefault="00C3610E">
            <w:pPr>
              <w:pStyle w:val="Tabletext"/>
              <w:jc w:val="right"/>
            </w:pPr>
            <w:r>
              <w:t>80%</w:t>
            </w:r>
          </w:p>
        </w:tc>
      </w:tr>
      <w:tr w:rsidR="0089268C">
        <w:trPr>
          <w:trHeight w:val="300"/>
          <w:jc w:val="center"/>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268C" w:rsidRDefault="00C3610E">
            <w:pPr>
              <w:pStyle w:val="Tabletext"/>
            </w:pPr>
            <w:r>
              <w:t>Outdoor</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89268C" w:rsidRDefault="00C3610E">
            <w:pPr>
              <w:pStyle w:val="Tabletext"/>
              <w:jc w:val="right"/>
            </w:pPr>
            <w:r>
              <w:t>3,00%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9268C" w:rsidRDefault="00C3610E">
            <w:pPr>
              <w:pStyle w:val="Tabletext"/>
              <w:jc w:val="right"/>
            </w:pPr>
            <w:r>
              <w:t>2,85%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89268C" w:rsidRDefault="00C3610E">
            <w:pPr>
              <w:pStyle w:val="Tabletext"/>
              <w:jc w:val="right"/>
            </w:pPr>
            <w:r>
              <w:t>2,00%</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89268C" w:rsidRDefault="00C3610E">
            <w:pPr>
              <w:pStyle w:val="Tabletext"/>
              <w:jc w:val="right"/>
            </w:pPr>
            <w:r>
              <w:t>4,05%</w:t>
            </w:r>
          </w:p>
        </w:tc>
        <w:tc>
          <w:tcPr>
            <w:tcW w:w="1147" w:type="dxa"/>
            <w:tcBorders>
              <w:top w:val="single" w:sz="4" w:space="0" w:color="auto"/>
              <w:left w:val="nil"/>
              <w:bottom w:val="single" w:sz="4" w:space="0" w:color="auto"/>
              <w:right w:val="single" w:sz="4" w:space="0" w:color="auto"/>
            </w:tcBorders>
            <w:shd w:val="clear" w:color="auto" w:fill="auto"/>
            <w:vAlign w:val="center"/>
            <w:hideMark/>
          </w:tcPr>
          <w:p w:rsidR="0089268C" w:rsidRDefault="00C3610E">
            <w:pPr>
              <w:pStyle w:val="Tabletext"/>
              <w:jc w:val="right"/>
            </w:pPr>
            <w:r>
              <w:t>2,25%</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rsidR="0089268C" w:rsidRDefault="00C3610E">
            <w:pPr>
              <w:pStyle w:val="Tabletext"/>
              <w:jc w:val="right"/>
            </w:pPr>
            <w:r>
              <w:t>5,85%</w:t>
            </w:r>
          </w:p>
        </w:tc>
        <w:tc>
          <w:tcPr>
            <w:tcW w:w="646" w:type="dxa"/>
            <w:tcBorders>
              <w:top w:val="single" w:sz="4" w:space="0" w:color="auto"/>
              <w:left w:val="nil"/>
              <w:bottom w:val="single" w:sz="4" w:space="0" w:color="auto"/>
              <w:right w:val="single" w:sz="4" w:space="0" w:color="auto"/>
            </w:tcBorders>
            <w:shd w:val="clear" w:color="auto" w:fill="auto"/>
            <w:vAlign w:val="center"/>
            <w:hideMark/>
          </w:tcPr>
          <w:p w:rsidR="0089268C" w:rsidRDefault="00C3610E">
            <w:pPr>
              <w:pStyle w:val="Tabletext"/>
              <w:jc w:val="right"/>
            </w:pPr>
            <w:r>
              <w:t>20%</w:t>
            </w:r>
          </w:p>
        </w:tc>
      </w:tr>
      <w:tr w:rsidR="0089268C">
        <w:trPr>
          <w:trHeight w:val="300"/>
          <w:jc w:val="center"/>
        </w:trPr>
        <w:tc>
          <w:tcPr>
            <w:tcW w:w="9072" w:type="dxa"/>
            <w:gridSpan w:val="8"/>
            <w:tcBorders>
              <w:top w:val="single" w:sz="4" w:space="0" w:color="auto"/>
            </w:tcBorders>
            <w:shd w:val="clear" w:color="auto" w:fill="auto"/>
            <w:vAlign w:val="center"/>
          </w:tcPr>
          <w:p w:rsidR="0089268C" w:rsidRDefault="00C3610E">
            <w:pPr>
              <w:pStyle w:val="Tabletext"/>
            </w:pPr>
            <w:r>
              <w:t>*In the absence of antenna pattern the directional nature is taken into account only through the antenna discrimination toward the satellite, which is also applied to other omnidirectional devices</w:t>
            </w:r>
          </w:p>
        </w:tc>
      </w:tr>
    </w:tbl>
    <w:p w:rsidR="0089268C" w:rsidRDefault="00C3610E">
      <w:pPr>
        <w:rPr>
          <w:lang w:val="en-US"/>
        </w:rPr>
      </w:pPr>
      <w:r w:rsidRPr="001E7D0F">
        <w:rPr>
          <w:lang w:val="en-US"/>
        </w:rPr>
        <w:fldChar w:fldCharType="end"/>
      </w:r>
      <w:r>
        <w:rPr>
          <w:lang w:val="en-US"/>
        </w:rPr>
        <w:t>[Editor’s Note: The figures depicted in the table could be updated according to the results of M</w:t>
      </w:r>
      <w:proofErr w:type="gramStart"/>
      <w:r>
        <w:rPr>
          <w:lang w:val="en-US"/>
        </w:rPr>
        <w:t>.[</w:t>
      </w:r>
      <w:proofErr w:type="gramEnd"/>
      <w:r>
        <w:rPr>
          <w:lang w:val="en-US"/>
        </w:rPr>
        <w:t>REQ-PAR].]</w:t>
      </w:r>
    </w:p>
    <w:p w:rsidR="0089268C" w:rsidRDefault="00C3610E">
      <w:r>
        <w:rPr>
          <w:lang w:val="en-US"/>
        </w:rPr>
        <w:t xml:space="preserve">Finally, France also proposes to take into account the possibility to allow RLAN outdoor usage exclusively in vehicles in the 5 150-5 250 MHz.  </w:t>
      </w:r>
      <w:r>
        <w:t xml:space="preserve">The flowing distribution is proposed for this case. An additional attenuation of </w:t>
      </w:r>
      <w:r>
        <w:rPr>
          <w:i/>
          <w:iCs/>
        </w:rPr>
        <w:t>5 dB</w:t>
      </w:r>
      <w:r>
        <w:t xml:space="preserve"> should be taken into account to reflect the loss due to the vehicle’s body.</w:t>
      </w:r>
    </w:p>
    <w:p w:rsidR="0089268C" w:rsidRDefault="00C3610E">
      <w:pPr>
        <w:pStyle w:val="TableNo"/>
        <w:rPr>
          <w:lang w:val="en-US"/>
        </w:rPr>
      </w:pPr>
      <w:r>
        <w:t xml:space="preserve">Table </w:t>
      </w:r>
      <w:r w:rsidRPr="001E7D0F">
        <w:fldChar w:fldCharType="begin"/>
      </w:r>
      <w:r>
        <w:instrText xml:space="preserve"> SEQ Table \* ARABIC </w:instrText>
      </w:r>
      <w:r w:rsidRPr="001E7D0F">
        <w:fldChar w:fldCharType="separate"/>
      </w:r>
      <w:r>
        <w:rPr>
          <w:noProof/>
        </w:rPr>
        <w:t>6</w:t>
      </w:r>
      <w:r w:rsidRPr="001E7D0F">
        <w:fldChar w:fldCharType="end"/>
      </w:r>
      <w:r>
        <w:rPr>
          <w:lang w:val="en-US"/>
        </w:rPr>
        <w:t xml:space="preserve"> </w:t>
      </w:r>
    </w:p>
    <w:p w:rsidR="0089268C" w:rsidRDefault="00C3610E">
      <w:pPr>
        <w:pStyle w:val="Tabletitle"/>
      </w:pPr>
      <w:r>
        <w:rPr>
          <w:lang w:val="en-US"/>
        </w:rPr>
        <w:t>Other proposed simulation scenario for vehicular usage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4"/>
        <w:gridCol w:w="1546"/>
        <w:gridCol w:w="1381"/>
        <w:gridCol w:w="1381"/>
        <w:gridCol w:w="1381"/>
        <w:gridCol w:w="966"/>
      </w:tblGrid>
      <w:tr w:rsidR="0089268C">
        <w:trPr>
          <w:jc w:val="center"/>
        </w:trPr>
        <w:tc>
          <w:tcPr>
            <w:tcW w:w="0" w:type="auto"/>
          </w:tcPr>
          <w:p w:rsidR="0089268C" w:rsidRDefault="00C3610E">
            <w:pPr>
              <w:pStyle w:val="Tablehead"/>
            </w:pPr>
            <w:r>
              <w:t xml:space="preserve">RLAN e.i.r.p Level </w:t>
            </w:r>
          </w:p>
        </w:tc>
        <w:tc>
          <w:tcPr>
            <w:tcW w:w="0" w:type="auto"/>
          </w:tcPr>
          <w:p w:rsidR="0089268C" w:rsidRDefault="00C3610E">
            <w:pPr>
              <w:pStyle w:val="Tablehead"/>
            </w:pPr>
            <w:r>
              <w:t xml:space="preserve">200 mW </w:t>
            </w:r>
          </w:p>
          <w:p w:rsidR="0089268C" w:rsidRDefault="00C3610E">
            <w:pPr>
              <w:pStyle w:val="Tablehead"/>
            </w:pPr>
            <w:r>
              <w:t>(omni)</w:t>
            </w:r>
          </w:p>
        </w:tc>
        <w:tc>
          <w:tcPr>
            <w:tcW w:w="0" w:type="auto"/>
          </w:tcPr>
          <w:p w:rsidR="0089268C" w:rsidRDefault="00C3610E">
            <w:pPr>
              <w:pStyle w:val="Tablehead"/>
            </w:pPr>
            <w:r>
              <w:t xml:space="preserve">80 mW </w:t>
            </w:r>
          </w:p>
          <w:p w:rsidR="0089268C" w:rsidRDefault="00C3610E">
            <w:pPr>
              <w:pStyle w:val="Tablehead"/>
            </w:pPr>
            <w:r>
              <w:t>(omni)</w:t>
            </w:r>
          </w:p>
        </w:tc>
        <w:tc>
          <w:tcPr>
            <w:tcW w:w="0" w:type="auto"/>
          </w:tcPr>
          <w:p w:rsidR="0089268C" w:rsidRDefault="00C3610E">
            <w:pPr>
              <w:pStyle w:val="Tablehead"/>
            </w:pPr>
            <w:r>
              <w:t xml:space="preserve">50 mW </w:t>
            </w:r>
          </w:p>
          <w:p w:rsidR="0089268C" w:rsidRDefault="00C3610E">
            <w:pPr>
              <w:pStyle w:val="Tablehead"/>
            </w:pPr>
            <w:r>
              <w:t>(omni)</w:t>
            </w:r>
          </w:p>
        </w:tc>
        <w:tc>
          <w:tcPr>
            <w:tcW w:w="0" w:type="auto"/>
          </w:tcPr>
          <w:p w:rsidR="0089268C" w:rsidRDefault="00C3610E">
            <w:pPr>
              <w:pStyle w:val="Tablehead"/>
            </w:pPr>
            <w:r>
              <w:t xml:space="preserve">25 mW </w:t>
            </w:r>
          </w:p>
          <w:p w:rsidR="0089268C" w:rsidRDefault="00C3610E">
            <w:pPr>
              <w:pStyle w:val="Tablehead"/>
            </w:pPr>
            <w:r>
              <w:t>(omni)</w:t>
            </w:r>
          </w:p>
        </w:tc>
        <w:tc>
          <w:tcPr>
            <w:tcW w:w="0" w:type="auto"/>
          </w:tcPr>
          <w:p w:rsidR="0089268C" w:rsidRDefault="00C3610E">
            <w:pPr>
              <w:pStyle w:val="Tablehead"/>
            </w:pPr>
            <w:r>
              <w:t>All</w:t>
            </w:r>
          </w:p>
        </w:tc>
      </w:tr>
      <w:tr w:rsidR="0089268C">
        <w:trPr>
          <w:jc w:val="center"/>
        </w:trPr>
        <w:tc>
          <w:tcPr>
            <w:tcW w:w="0" w:type="auto"/>
            <w:tcBorders>
              <w:bottom w:val="single" w:sz="4" w:space="0" w:color="auto"/>
            </w:tcBorders>
          </w:tcPr>
          <w:p w:rsidR="0089268C" w:rsidRDefault="00C3610E">
            <w:pPr>
              <w:pStyle w:val="Tabletext"/>
            </w:pPr>
            <w:r>
              <w:t>Indoor</w:t>
            </w:r>
          </w:p>
        </w:tc>
        <w:tc>
          <w:tcPr>
            <w:tcW w:w="0" w:type="auto"/>
            <w:tcBorders>
              <w:bottom w:val="single" w:sz="4" w:space="0" w:color="auto"/>
            </w:tcBorders>
          </w:tcPr>
          <w:p w:rsidR="0089268C" w:rsidRDefault="00C3610E">
            <w:pPr>
              <w:pStyle w:val="Tabletext"/>
              <w:jc w:val="center"/>
            </w:pPr>
            <w:r>
              <w:t>16.15%</w:t>
            </w:r>
          </w:p>
        </w:tc>
        <w:tc>
          <w:tcPr>
            <w:tcW w:w="0" w:type="auto"/>
            <w:tcBorders>
              <w:bottom w:val="single" w:sz="4" w:space="0" w:color="auto"/>
            </w:tcBorders>
            <w:vAlign w:val="bottom"/>
          </w:tcPr>
          <w:p w:rsidR="0089268C" w:rsidRDefault="00C3610E">
            <w:pPr>
              <w:pStyle w:val="Tabletext"/>
              <w:jc w:val="center"/>
            </w:pPr>
            <w:r>
              <w:t>22.95%</w:t>
            </w:r>
          </w:p>
        </w:tc>
        <w:tc>
          <w:tcPr>
            <w:tcW w:w="0" w:type="auto"/>
            <w:tcBorders>
              <w:bottom w:val="single" w:sz="4" w:space="0" w:color="auto"/>
            </w:tcBorders>
            <w:vAlign w:val="bottom"/>
          </w:tcPr>
          <w:p w:rsidR="0089268C" w:rsidRDefault="00C3610E">
            <w:pPr>
              <w:pStyle w:val="Tabletext"/>
              <w:jc w:val="center"/>
            </w:pPr>
            <w:r>
              <w:t>12.75%</w:t>
            </w:r>
          </w:p>
        </w:tc>
        <w:tc>
          <w:tcPr>
            <w:tcW w:w="0" w:type="auto"/>
            <w:tcBorders>
              <w:bottom w:val="single" w:sz="4" w:space="0" w:color="auto"/>
            </w:tcBorders>
            <w:vAlign w:val="bottom"/>
          </w:tcPr>
          <w:p w:rsidR="0089268C" w:rsidRDefault="00C3610E">
            <w:pPr>
              <w:pStyle w:val="Tabletext"/>
              <w:jc w:val="center"/>
            </w:pPr>
            <w:r>
              <w:t>33.15%</w:t>
            </w:r>
          </w:p>
        </w:tc>
        <w:tc>
          <w:tcPr>
            <w:tcW w:w="0" w:type="auto"/>
            <w:tcBorders>
              <w:bottom w:val="single" w:sz="4" w:space="0" w:color="auto"/>
            </w:tcBorders>
          </w:tcPr>
          <w:p w:rsidR="0089268C" w:rsidRDefault="00C3610E">
            <w:pPr>
              <w:pStyle w:val="Tabletext"/>
              <w:jc w:val="center"/>
            </w:pPr>
            <w:r>
              <w:t>85%</w:t>
            </w:r>
          </w:p>
        </w:tc>
      </w:tr>
      <w:tr w:rsidR="0089268C">
        <w:trPr>
          <w:jc w:val="center"/>
        </w:trPr>
        <w:tc>
          <w:tcPr>
            <w:tcW w:w="0" w:type="auto"/>
            <w:tcBorders>
              <w:bottom w:val="single" w:sz="4" w:space="0" w:color="auto"/>
            </w:tcBorders>
          </w:tcPr>
          <w:p w:rsidR="0089268C" w:rsidRDefault="00C3610E">
            <w:pPr>
              <w:pStyle w:val="Tabletext"/>
            </w:pPr>
            <w:r>
              <w:t>Outdoor on a vehicle*</w:t>
            </w:r>
          </w:p>
        </w:tc>
        <w:tc>
          <w:tcPr>
            <w:tcW w:w="0" w:type="auto"/>
            <w:tcBorders>
              <w:bottom w:val="single" w:sz="4" w:space="0" w:color="auto"/>
            </w:tcBorders>
          </w:tcPr>
          <w:p w:rsidR="0089268C" w:rsidRDefault="00C3610E">
            <w:pPr>
              <w:pStyle w:val="Tabletext"/>
              <w:jc w:val="center"/>
            </w:pPr>
            <w:r>
              <w:t>1.5%</w:t>
            </w:r>
          </w:p>
        </w:tc>
        <w:tc>
          <w:tcPr>
            <w:tcW w:w="0" w:type="auto"/>
            <w:tcBorders>
              <w:bottom w:val="single" w:sz="4" w:space="0" w:color="auto"/>
            </w:tcBorders>
          </w:tcPr>
          <w:p w:rsidR="0089268C" w:rsidRDefault="00C3610E">
            <w:pPr>
              <w:pStyle w:val="Tabletext"/>
              <w:jc w:val="center"/>
            </w:pPr>
            <w:r>
              <w:t>6%</w:t>
            </w:r>
          </w:p>
        </w:tc>
        <w:tc>
          <w:tcPr>
            <w:tcW w:w="0" w:type="auto"/>
            <w:tcBorders>
              <w:bottom w:val="single" w:sz="4" w:space="0" w:color="auto"/>
            </w:tcBorders>
          </w:tcPr>
          <w:p w:rsidR="0089268C" w:rsidRDefault="00C3610E">
            <w:pPr>
              <w:pStyle w:val="Tabletext"/>
              <w:jc w:val="center"/>
            </w:pPr>
            <w:r>
              <w:t>4.5%</w:t>
            </w:r>
          </w:p>
        </w:tc>
        <w:tc>
          <w:tcPr>
            <w:tcW w:w="0" w:type="auto"/>
            <w:tcBorders>
              <w:bottom w:val="single" w:sz="4" w:space="0" w:color="auto"/>
            </w:tcBorders>
          </w:tcPr>
          <w:p w:rsidR="0089268C" w:rsidRDefault="00C3610E">
            <w:pPr>
              <w:pStyle w:val="Tabletext"/>
              <w:jc w:val="center"/>
            </w:pPr>
            <w:r>
              <w:t>3%</w:t>
            </w:r>
          </w:p>
        </w:tc>
        <w:tc>
          <w:tcPr>
            <w:tcW w:w="0" w:type="auto"/>
            <w:tcBorders>
              <w:bottom w:val="single" w:sz="4" w:space="0" w:color="auto"/>
            </w:tcBorders>
          </w:tcPr>
          <w:p w:rsidR="0089268C" w:rsidRDefault="00C3610E">
            <w:pPr>
              <w:pStyle w:val="Tabletext"/>
              <w:jc w:val="center"/>
            </w:pPr>
            <w:r>
              <w:t>15%</w:t>
            </w:r>
          </w:p>
        </w:tc>
      </w:tr>
      <w:tr w:rsidR="0089268C">
        <w:trPr>
          <w:jc w:val="center"/>
        </w:trPr>
        <w:tc>
          <w:tcPr>
            <w:tcW w:w="0" w:type="auto"/>
            <w:gridSpan w:val="6"/>
            <w:tcBorders>
              <w:top w:val="single" w:sz="4" w:space="0" w:color="auto"/>
              <w:left w:val="nil"/>
              <w:bottom w:val="nil"/>
              <w:right w:val="nil"/>
            </w:tcBorders>
          </w:tcPr>
          <w:p w:rsidR="0089268C" w:rsidRDefault="00C3610E">
            <w:pPr>
              <w:pStyle w:val="Tabletext"/>
            </w:pPr>
            <w:r>
              <w:t>* An additional attenuation of 5 dB should be taken into account for the outdoor RLANs in order to reflect the loss due to the vehicle screening.</w:t>
            </w:r>
          </w:p>
        </w:tc>
      </w:tr>
    </w:tbl>
    <w:p w:rsidR="00F95ACF" w:rsidRDefault="00F95ACF" w:rsidP="00F95ACF">
      <w:pPr>
        <w:pStyle w:val="Tablefin"/>
      </w:pPr>
    </w:p>
    <w:p w:rsidR="0089268C" w:rsidRPr="00F95ACF" w:rsidRDefault="00C3610E" w:rsidP="00F95ACF">
      <w:pPr>
        <w:rPr>
          <w:i/>
          <w:iCs/>
          <w:lang w:val="en-US"/>
        </w:rPr>
      </w:pPr>
      <w:r w:rsidRPr="00F95ACF">
        <w:rPr>
          <w:i/>
          <w:iCs/>
          <w:lang w:val="en-US"/>
        </w:rPr>
        <w:t xml:space="preserve">[Editor’s </w:t>
      </w:r>
      <w:r w:rsidR="00F95ACF" w:rsidRPr="00F95ACF">
        <w:rPr>
          <w:i/>
          <w:iCs/>
          <w:lang w:val="en-US"/>
        </w:rPr>
        <w:t>note</w:t>
      </w:r>
      <w:r w:rsidRPr="00F95ACF">
        <w:rPr>
          <w:i/>
          <w:iCs/>
          <w:lang w:val="en-US"/>
        </w:rPr>
        <w:t>: The figures depicted in the table could be updated according to the results of M.[REQ-PAR].]</w:t>
      </w:r>
    </w:p>
    <w:p w:rsidR="0089268C" w:rsidRPr="001E7D0F" w:rsidRDefault="00C3610E" w:rsidP="00C720B2">
      <w:pPr>
        <w:pStyle w:val="Heading5"/>
      </w:pPr>
      <w:r>
        <w:lastRenderedPageBreak/>
        <w:t>5.1.6.</w:t>
      </w:r>
      <w:r w:rsidR="00C720B2">
        <w:t>3</w:t>
      </w:r>
      <w:r>
        <w:t>.2</w:t>
      </w:r>
      <w:r>
        <w:tab/>
        <w:t>RLAN</w:t>
      </w:r>
      <w:r w:rsidRPr="001E7D0F">
        <w:t xml:space="preserve"> Bandwidth</w:t>
      </w:r>
    </w:p>
    <w:p w:rsidR="0089268C" w:rsidRDefault="00C3610E">
      <w:pPr>
        <w:rPr>
          <w:lang w:val="en-US"/>
        </w:rPr>
      </w:pPr>
      <w:r>
        <w:rPr>
          <w:lang w:val="en-US"/>
        </w:rPr>
        <w:t>The RLAN EIRP taken into account in the simulation are the ones according to Table 1A and Table 5A, from the WDPNR ITU-R M.[RLAN REQ-PAR], Annex 27 to WP 5A Chairman’s Report.</w:t>
      </w:r>
    </w:p>
    <w:p w:rsidR="0089268C" w:rsidRDefault="00C3610E">
      <w:pPr>
        <w:pStyle w:val="TableNo"/>
      </w:pPr>
      <w:r>
        <w:t xml:space="preserve">Table </w:t>
      </w:r>
      <w:r w:rsidRPr="001E7D0F">
        <w:fldChar w:fldCharType="begin"/>
      </w:r>
      <w:r>
        <w:instrText xml:space="preserve"> SEQ Table \* ARABIC </w:instrText>
      </w:r>
      <w:r w:rsidRPr="001E7D0F">
        <w:fldChar w:fldCharType="separate"/>
      </w:r>
      <w:r>
        <w:rPr>
          <w:noProof/>
        </w:rPr>
        <w:t>7</w:t>
      </w:r>
      <w:r w:rsidRPr="001E7D0F">
        <w:fldChar w:fldCharType="end"/>
      </w:r>
    </w:p>
    <w:p w:rsidR="0089268C" w:rsidRDefault="00C3610E">
      <w:pPr>
        <w:pStyle w:val="Tabletitle"/>
      </w:pPr>
      <w:r>
        <w:rPr>
          <w:lang w:val="fr-FR"/>
        </w:rPr>
        <w:t>RLAN Bandwidth</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872"/>
        <w:gridCol w:w="900"/>
        <w:gridCol w:w="900"/>
        <w:gridCol w:w="900"/>
        <w:gridCol w:w="1000"/>
      </w:tblGrid>
      <w:tr w:rsidR="0089268C">
        <w:trPr>
          <w:jc w:val="center"/>
        </w:trPr>
        <w:tc>
          <w:tcPr>
            <w:tcW w:w="0" w:type="auto"/>
          </w:tcPr>
          <w:p w:rsidR="0089268C" w:rsidRDefault="00C3610E">
            <w:pPr>
              <w:pStyle w:val="Tablehead"/>
            </w:pPr>
            <w:r>
              <w:t>RLAN Transmitter Bandwidth</w:t>
            </w:r>
          </w:p>
        </w:tc>
        <w:tc>
          <w:tcPr>
            <w:tcW w:w="0" w:type="auto"/>
            <w:vAlign w:val="center"/>
          </w:tcPr>
          <w:p w:rsidR="0089268C" w:rsidRDefault="00C3610E">
            <w:pPr>
              <w:pStyle w:val="Tablehead"/>
            </w:pPr>
            <w:r>
              <w:t>20 MHz</w:t>
            </w:r>
          </w:p>
        </w:tc>
        <w:tc>
          <w:tcPr>
            <w:tcW w:w="0" w:type="auto"/>
            <w:vAlign w:val="center"/>
          </w:tcPr>
          <w:p w:rsidR="0089268C" w:rsidRDefault="00C3610E">
            <w:pPr>
              <w:pStyle w:val="Tablehead"/>
            </w:pPr>
            <w:r>
              <w:t>40 MHz</w:t>
            </w:r>
          </w:p>
        </w:tc>
        <w:tc>
          <w:tcPr>
            <w:tcW w:w="0" w:type="auto"/>
            <w:vAlign w:val="center"/>
          </w:tcPr>
          <w:p w:rsidR="0089268C" w:rsidRDefault="00C3610E">
            <w:pPr>
              <w:pStyle w:val="Tablehead"/>
            </w:pPr>
            <w:r>
              <w:t>80 MHz</w:t>
            </w:r>
          </w:p>
        </w:tc>
        <w:tc>
          <w:tcPr>
            <w:tcW w:w="0" w:type="auto"/>
            <w:vAlign w:val="center"/>
          </w:tcPr>
          <w:p w:rsidR="0089268C" w:rsidRDefault="00C3610E">
            <w:pPr>
              <w:pStyle w:val="Tablehead"/>
            </w:pPr>
            <w:r>
              <w:t>160 MHz</w:t>
            </w:r>
          </w:p>
        </w:tc>
      </w:tr>
      <w:tr w:rsidR="0089268C">
        <w:trPr>
          <w:jc w:val="center"/>
        </w:trPr>
        <w:tc>
          <w:tcPr>
            <w:tcW w:w="0" w:type="auto"/>
          </w:tcPr>
          <w:p w:rsidR="0089268C" w:rsidRDefault="00C3610E">
            <w:pPr>
              <w:pStyle w:val="Tabletext"/>
            </w:pPr>
            <w:r>
              <w:t>RLAN Device Percentage</w:t>
            </w:r>
          </w:p>
        </w:tc>
        <w:tc>
          <w:tcPr>
            <w:tcW w:w="0" w:type="auto"/>
          </w:tcPr>
          <w:p w:rsidR="0089268C" w:rsidRDefault="00C3610E">
            <w:pPr>
              <w:pStyle w:val="Tabletext"/>
              <w:jc w:val="center"/>
            </w:pPr>
            <w:r>
              <w:t>10%</w:t>
            </w:r>
          </w:p>
        </w:tc>
        <w:tc>
          <w:tcPr>
            <w:tcW w:w="0" w:type="auto"/>
          </w:tcPr>
          <w:p w:rsidR="0089268C" w:rsidRDefault="00C3610E">
            <w:pPr>
              <w:pStyle w:val="Tabletext"/>
              <w:jc w:val="center"/>
            </w:pPr>
            <w:r>
              <w:t>25%</w:t>
            </w:r>
          </w:p>
        </w:tc>
        <w:tc>
          <w:tcPr>
            <w:tcW w:w="0" w:type="auto"/>
          </w:tcPr>
          <w:p w:rsidR="0089268C" w:rsidRDefault="00C3610E">
            <w:pPr>
              <w:pStyle w:val="Tabletext"/>
              <w:jc w:val="center"/>
            </w:pPr>
            <w:r>
              <w:t>50%</w:t>
            </w:r>
          </w:p>
        </w:tc>
        <w:tc>
          <w:tcPr>
            <w:tcW w:w="0" w:type="auto"/>
          </w:tcPr>
          <w:p w:rsidR="0089268C" w:rsidRDefault="00C3610E">
            <w:pPr>
              <w:pStyle w:val="Tabletext"/>
              <w:jc w:val="center"/>
            </w:pPr>
            <w:r>
              <w:t>15%</w:t>
            </w:r>
          </w:p>
        </w:tc>
      </w:tr>
    </w:tbl>
    <w:p w:rsidR="00F95ACF" w:rsidRDefault="00F95ACF" w:rsidP="00F95ACF">
      <w:pPr>
        <w:pStyle w:val="Tablefin"/>
      </w:pPr>
    </w:p>
    <w:p w:rsidR="0089268C" w:rsidRPr="001E7D0F" w:rsidRDefault="00C3610E" w:rsidP="00C720B2">
      <w:pPr>
        <w:pStyle w:val="Heading5"/>
      </w:pPr>
      <w:r>
        <w:t>5.1.6.</w:t>
      </w:r>
      <w:r w:rsidR="00C720B2">
        <w:t>3</w:t>
      </w:r>
      <w:r>
        <w:t>.3</w:t>
      </w:r>
      <w:r>
        <w:tab/>
        <w:t>RLAN</w:t>
      </w:r>
      <w:r w:rsidRPr="001E7D0F">
        <w:t xml:space="preserve"> Antenna Gain discrimination towards the satellite</w:t>
      </w:r>
    </w:p>
    <w:p w:rsidR="0089268C" w:rsidRDefault="00C3610E">
      <w:r>
        <w:t xml:space="preserve">The considered RLAN antenna gain discrimination towards the satellite is as supported by the French contribution dealing with the aggregate RLAN measurement submitted to November 2017 GT 5A meeting, namely </w:t>
      </w:r>
      <w:r>
        <w:rPr>
          <w:i/>
          <w:iCs/>
        </w:rPr>
        <w:t>Gt</w:t>
      </w:r>
      <w:r>
        <w:rPr>
          <w:i/>
          <w:iCs/>
          <w:vertAlign w:val="subscript"/>
        </w:rPr>
        <w:t xml:space="preserve">n </w:t>
      </w:r>
      <w:r>
        <w:t>=-4dB.</w:t>
      </w:r>
    </w:p>
    <w:p w:rsidR="0089268C" w:rsidRPr="001E7D0F" w:rsidRDefault="00C3610E" w:rsidP="00C720B2">
      <w:pPr>
        <w:pStyle w:val="Heading5"/>
      </w:pPr>
      <w:r>
        <w:t>5.1.6.</w:t>
      </w:r>
      <w:r w:rsidR="00C720B2">
        <w:t>3</w:t>
      </w:r>
      <w:r>
        <w:t>.4</w:t>
      </w:r>
      <w:r>
        <w:tab/>
        <w:t>RLAN</w:t>
      </w:r>
      <w:r w:rsidRPr="001E7D0F">
        <w:t xml:space="preserve"> Density and distribution</w:t>
      </w:r>
    </w:p>
    <w:p w:rsidR="0089268C" w:rsidRDefault="00C3610E">
      <w:pPr>
        <w:rPr>
          <w:lang w:val="en-US"/>
        </w:rPr>
      </w:pPr>
      <w:r>
        <w:rPr>
          <w:lang w:val="en-US"/>
        </w:rPr>
        <w:t xml:space="preserve">France considers that the density of simultaneous Active RLAN (AR) per inhabitant should be </w:t>
      </w:r>
      <w:r>
        <w:rPr>
          <w:b/>
          <w:bCs/>
          <w:lang w:val="en-US"/>
        </w:rPr>
        <w:t>0.0022</w:t>
      </w:r>
      <w:r>
        <w:rPr>
          <w:lang w:val="en-US"/>
        </w:rPr>
        <w:t xml:space="preserve"> RLAN/inhabitant as supported by the French contribution dealing with the aggregate RLAN measurement, submitted to November 2017 GT 5A meeting.  This value is based on the statistics and prediction of the Joint Research Center (JRC) of 400 000 000 RLANs available in the market within 2025 (can be consulted at Ref.1 and Ref.2). This value is achieved using the following figures:</w:t>
      </w:r>
    </w:p>
    <w:p w:rsidR="0089268C" w:rsidRDefault="00C3610E">
      <w:pPr>
        <w:pStyle w:val="TableNo"/>
        <w:rPr>
          <w:lang w:val="en-US"/>
        </w:rPr>
      </w:pPr>
      <w:r>
        <w:t xml:space="preserve">Table </w:t>
      </w:r>
      <w:r w:rsidRPr="001E7D0F">
        <w:fldChar w:fldCharType="begin"/>
      </w:r>
      <w:r>
        <w:instrText xml:space="preserve"> SEQ Table \* ARABIC </w:instrText>
      </w:r>
      <w:r w:rsidRPr="001E7D0F">
        <w:fldChar w:fldCharType="separate"/>
      </w:r>
      <w:r>
        <w:rPr>
          <w:noProof/>
        </w:rPr>
        <w:t>8</w:t>
      </w:r>
      <w:r w:rsidRPr="001E7D0F">
        <w:fldChar w:fldCharType="end"/>
      </w:r>
    </w:p>
    <w:p w:rsidR="0089268C" w:rsidRDefault="00C3610E">
      <w:pPr>
        <w:pStyle w:val="Tabletitle"/>
      </w:pPr>
      <w:r>
        <w:rPr>
          <w:lang w:val="en-US"/>
        </w:rPr>
        <w:t>Methodology to deduce the RLAN density per inhabitant in Europe</w:t>
      </w:r>
    </w:p>
    <w:tbl>
      <w:tblPr>
        <w:tblStyle w:val="TableGrid"/>
        <w:tblW w:w="0" w:type="auto"/>
        <w:jc w:val="center"/>
        <w:tblLook w:val="04A0" w:firstRow="1" w:lastRow="0" w:firstColumn="1" w:lastColumn="0" w:noHBand="0" w:noVBand="1"/>
      </w:tblPr>
      <w:tblGrid>
        <w:gridCol w:w="1066"/>
        <w:gridCol w:w="1059"/>
        <w:gridCol w:w="1017"/>
        <w:gridCol w:w="1085"/>
        <w:gridCol w:w="1042"/>
        <w:gridCol w:w="1015"/>
        <w:gridCol w:w="1051"/>
        <w:gridCol w:w="1128"/>
        <w:gridCol w:w="1166"/>
      </w:tblGrid>
      <w:tr w:rsidR="0089268C" w:rsidTr="00F95ACF">
        <w:trPr>
          <w:cantSplit/>
          <w:jc w:val="center"/>
        </w:trPr>
        <w:tc>
          <w:tcPr>
            <w:tcW w:w="1066" w:type="dxa"/>
            <w:shd w:val="clear" w:color="auto" w:fill="EEECE1" w:themeFill="background2"/>
            <w:vAlign w:val="center"/>
            <w:hideMark/>
          </w:tcPr>
          <w:p w:rsidR="0089268C" w:rsidRDefault="00C3610E" w:rsidP="00F95ACF">
            <w:pPr>
              <w:pStyle w:val="Tablehead"/>
            </w:pPr>
            <w:r>
              <w:t>Scenario</w:t>
            </w:r>
          </w:p>
        </w:tc>
        <w:tc>
          <w:tcPr>
            <w:tcW w:w="1059" w:type="dxa"/>
            <w:shd w:val="clear" w:color="auto" w:fill="EEECE1" w:themeFill="background2"/>
            <w:vAlign w:val="center"/>
            <w:hideMark/>
          </w:tcPr>
          <w:p w:rsidR="0089268C" w:rsidRDefault="00C3610E" w:rsidP="00F95ACF">
            <w:pPr>
              <w:pStyle w:val="Tablehead"/>
            </w:pPr>
            <w:r>
              <w:t>Number of AP</w:t>
            </w:r>
          </w:p>
        </w:tc>
        <w:tc>
          <w:tcPr>
            <w:tcW w:w="1017" w:type="dxa"/>
            <w:shd w:val="clear" w:color="auto" w:fill="EEECE1" w:themeFill="background2"/>
            <w:vAlign w:val="center"/>
            <w:hideMark/>
          </w:tcPr>
          <w:p w:rsidR="0089268C" w:rsidRDefault="00C3610E" w:rsidP="00F95ACF">
            <w:pPr>
              <w:pStyle w:val="Tablehead"/>
            </w:pPr>
            <w:r>
              <w:t>Busy hour factor</w:t>
            </w:r>
          </w:p>
        </w:tc>
        <w:tc>
          <w:tcPr>
            <w:tcW w:w="1085" w:type="dxa"/>
            <w:shd w:val="clear" w:color="auto" w:fill="EEECE1" w:themeFill="background2"/>
            <w:vAlign w:val="center"/>
            <w:hideMark/>
          </w:tcPr>
          <w:p w:rsidR="0089268C" w:rsidRDefault="00C3610E" w:rsidP="00F95ACF">
            <w:pPr>
              <w:pStyle w:val="Tablehead"/>
            </w:pPr>
            <w:r>
              <w:t>5 GHz Spectrum factor</w:t>
            </w:r>
          </w:p>
        </w:tc>
        <w:tc>
          <w:tcPr>
            <w:tcW w:w="1042" w:type="dxa"/>
            <w:shd w:val="clear" w:color="auto" w:fill="EEECE1" w:themeFill="background2"/>
            <w:vAlign w:val="center"/>
            <w:hideMark/>
          </w:tcPr>
          <w:p w:rsidR="0089268C" w:rsidRDefault="00C3610E" w:rsidP="00F95ACF">
            <w:pPr>
              <w:pStyle w:val="Tablehead"/>
            </w:pPr>
            <w:r>
              <w:t>RF activity factor</w:t>
            </w:r>
          </w:p>
        </w:tc>
        <w:tc>
          <w:tcPr>
            <w:tcW w:w="1015" w:type="dxa"/>
            <w:shd w:val="clear" w:color="auto" w:fill="EEECE1" w:themeFill="background2"/>
            <w:vAlign w:val="center"/>
            <w:hideMark/>
          </w:tcPr>
          <w:p w:rsidR="0089268C" w:rsidRDefault="00C3610E" w:rsidP="00F95ACF">
            <w:pPr>
              <w:pStyle w:val="Tablehead"/>
            </w:pPr>
            <w:r>
              <w:t>BW factor</w:t>
            </w:r>
          </w:p>
        </w:tc>
        <w:tc>
          <w:tcPr>
            <w:tcW w:w="1051" w:type="dxa"/>
            <w:shd w:val="clear" w:color="auto" w:fill="EEECE1" w:themeFill="background2"/>
            <w:vAlign w:val="center"/>
            <w:hideMark/>
          </w:tcPr>
          <w:p w:rsidR="0089268C" w:rsidRDefault="00C3610E" w:rsidP="00F95ACF">
            <w:pPr>
              <w:pStyle w:val="Tablehead"/>
            </w:pPr>
            <w:r>
              <w:t>Total number of on-tune RLAN in Europe</w:t>
            </w:r>
          </w:p>
        </w:tc>
        <w:tc>
          <w:tcPr>
            <w:tcW w:w="1128" w:type="dxa"/>
            <w:shd w:val="clear" w:color="auto" w:fill="EEECE1" w:themeFill="background2"/>
            <w:vAlign w:val="center"/>
          </w:tcPr>
          <w:p w:rsidR="0089268C" w:rsidRDefault="00C3610E" w:rsidP="00F95ACF">
            <w:pPr>
              <w:pStyle w:val="Tablehead"/>
            </w:pPr>
            <w:r>
              <w:t>Number of Inhabitant</w:t>
            </w:r>
          </w:p>
        </w:tc>
        <w:tc>
          <w:tcPr>
            <w:tcW w:w="1166" w:type="dxa"/>
            <w:shd w:val="clear" w:color="auto" w:fill="EEECE1" w:themeFill="background2"/>
            <w:vAlign w:val="center"/>
            <w:hideMark/>
          </w:tcPr>
          <w:p w:rsidR="0089268C" w:rsidRDefault="00C3610E" w:rsidP="00F95ACF">
            <w:pPr>
              <w:pStyle w:val="Tablehead"/>
            </w:pPr>
            <w:r>
              <w:t>RLAN Density / Inhabitant</w:t>
            </w:r>
          </w:p>
        </w:tc>
      </w:tr>
      <w:tr w:rsidR="0089268C" w:rsidTr="00F95ACF">
        <w:trPr>
          <w:cantSplit/>
          <w:jc w:val="center"/>
        </w:trPr>
        <w:tc>
          <w:tcPr>
            <w:tcW w:w="1066" w:type="dxa"/>
            <w:shd w:val="clear" w:color="auto" w:fill="EEECE1" w:themeFill="background2"/>
            <w:hideMark/>
          </w:tcPr>
          <w:p w:rsidR="0089268C" w:rsidRDefault="00C3610E">
            <w:pPr>
              <w:pStyle w:val="Tabletext"/>
              <w:jc w:val="center"/>
            </w:pPr>
            <w:r>
              <w:t>Europe</w:t>
            </w:r>
          </w:p>
        </w:tc>
        <w:tc>
          <w:tcPr>
            <w:tcW w:w="1059" w:type="dxa"/>
            <w:hideMark/>
          </w:tcPr>
          <w:p w:rsidR="0089268C" w:rsidRDefault="00C3610E">
            <w:pPr>
              <w:pStyle w:val="Tabletext"/>
              <w:jc w:val="center"/>
            </w:pPr>
            <w:r>
              <w:t>400 000 000</w:t>
            </w:r>
          </w:p>
        </w:tc>
        <w:tc>
          <w:tcPr>
            <w:tcW w:w="1017" w:type="dxa"/>
            <w:hideMark/>
          </w:tcPr>
          <w:p w:rsidR="0089268C" w:rsidRDefault="00C3610E">
            <w:pPr>
              <w:pStyle w:val="Tabletext"/>
              <w:jc w:val="center"/>
            </w:pPr>
            <w:r>
              <w:t>62.7%</w:t>
            </w:r>
          </w:p>
        </w:tc>
        <w:tc>
          <w:tcPr>
            <w:tcW w:w="1085" w:type="dxa"/>
            <w:hideMark/>
          </w:tcPr>
          <w:p w:rsidR="0089268C" w:rsidRDefault="00C3610E">
            <w:pPr>
              <w:pStyle w:val="Tabletext"/>
              <w:jc w:val="center"/>
            </w:pPr>
            <w:r>
              <w:t>59%</w:t>
            </w:r>
          </w:p>
        </w:tc>
        <w:tc>
          <w:tcPr>
            <w:tcW w:w="1042" w:type="dxa"/>
            <w:hideMark/>
          </w:tcPr>
          <w:p w:rsidR="0089268C" w:rsidRDefault="00C3610E">
            <w:pPr>
              <w:pStyle w:val="Tabletext"/>
              <w:jc w:val="center"/>
            </w:pPr>
            <w:r>
              <w:t>10%</w:t>
            </w:r>
          </w:p>
        </w:tc>
        <w:tc>
          <w:tcPr>
            <w:tcW w:w="1015" w:type="dxa"/>
            <w:hideMark/>
          </w:tcPr>
          <w:p w:rsidR="0089268C" w:rsidRDefault="00C3610E">
            <w:pPr>
              <w:pStyle w:val="Tabletext"/>
              <w:jc w:val="center"/>
            </w:pPr>
            <w:r>
              <w:t>11%</w:t>
            </w:r>
          </w:p>
        </w:tc>
        <w:tc>
          <w:tcPr>
            <w:tcW w:w="1051" w:type="dxa"/>
            <w:hideMark/>
          </w:tcPr>
          <w:p w:rsidR="0089268C" w:rsidRDefault="00C3610E">
            <w:pPr>
              <w:pStyle w:val="Tabletext"/>
              <w:jc w:val="center"/>
            </w:pPr>
            <w:r>
              <w:t>1 602 962</w:t>
            </w:r>
          </w:p>
        </w:tc>
        <w:tc>
          <w:tcPr>
            <w:tcW w:w="1128" w:type="dxa"/>
          </w:tcPr>
          <w:p w:rsidR="0089268C" w:rsidRDefault="00C3610E">
            <w:pPr>
              <w:pStyle w:val="Tabletext"/>
              <w:jc w:val="center"/>
            </w:pPr>
            <w:r>
              <w:t>728 619 134</w:t>
            </w:r>
          </w:p>
        </w:tc>
        <w:tc>
          <w:tcPr>
            <w:tcW w:w="1166" w:type="dxa"/>
            <w:noWrap/>
            <w:hideMark/>
          </w:tcPr>
          <w:p w:rsidR="0089268C" w:rsidRDefault="00C3610E">
            <w:pPr>
              <w:pStyle w:val="Tabletext"/>
              <w:jc w:val="center"/>
            </w:pPr>
            <w:r>
              <w:t>0,00222582</w:t>
            </w:r>
          </w:p>
        </w:tc>
      </w:tr>
    </w:tbl>
    <w:p w:rsidR="00F95ACF" w:rsidRDefault="00F95ACF" w:rsidP="00F95ACF">
      <w:pPr>
        <w:pStyle w:val="Tablefin"/>
      </w:pPr>
    </w:p>
    <w:p w:rsidR="0089268C" w:rsidRDefault="00C3610E">
      <w:pPr>
        <w:rPr>
          <w:lang w:val="en-US"/>
        </w:rPr>
      </w:pPr>
      <w:r>
        <w:rPr>
          <w:lang w:val="en-US"/>
        </w:rPr>
        <w:t>In the absence of any data regarding Africa and Asia, the density of RLAN per inhabitant is divided by 4 for these two continents (namely 5.5000e-04 simultaneous Active RLAN/inhabitant).</w:t>
      </w:r>
    </w:p>
    <w:p w:rsidR="0089268C" w:rsidRDefault="00C3610E">
      <w:pPr>
        <w:rPr>
          <w:lang w:val="en-US"/>
        </w:rPr>
      </w:pPr>
      <w:r>
        <w:rPr>
          <w:lang w:val="en-US"/>
        </w:rPr>
        <w:t>Regarding the population density (required to achieve the RLAN distribution), we used the density of population filings provided by the CIESIN (</w:t>
      </w:r>
      <w:hyperlink r:id="rId93" w:history="1">
        <w:r>
          <w:rPr>
            <w:rStyle w:val="Hyperlink"/>
            <w:lang w:val="en-US"/>
          </w:rPr>
          <w:t>Ref.3</w:t>
        </w:r>
      </w:hyperlink>
      <w:r>
        <w:rPr>
          <w:lang w:val="en-US"/>
        </w:rPr>
        <w:t xml:space="preserve">), which consists of estimates of human population by 2.5 arc-minute grid cell, the example of Europe is depicted in </w:t>
      </w:r>
      <w:r w:rsidRPr="001E7D0F">
        <w:rPr>
          <w:lang w:val="en-US"/>
        </w:rPr>
        <w:fldChar w:fldCharType="begin"/>
      </w:r>
      <w:r>
        <w:rPr>
          <w:lang w:val="en-US"/>
        </w:rPr>
        <w:instrText xml:space="preserve"> REF _Ref494801609 \h  \* MERGEFORMAT </w:instrText>
      </w:r>
      <w:r w:rsidRPr="001E7D0F">
        <w:rPr>
          <w:lang w:val="en-US"/>
        </w:rPr>
      </w:r>
      <w:r w:rsidRPr="001E7D0F">
        <w:rPr>
          <w:lang w:val="en-US"/>
        </w:rPr>
        <w:fldChar w:fldCharType="separate"/>
      </w:r>
      <w:r>
        <w:t xml:space="preserve">Figure </w:t>
      </w:r>
      <w:r>
        <w:rPr>
          <w:noProof/>
        </w:rPr>
        <w:t>13</w:t>
      </w:r>
      <w:r w:rsidRPr="001E7D0F">
        <w:rPr>
          <w:lang w:val="en-US"/>
        </w:rPr>
        <w:fldChar w:fldCharType="end"/>
      </w:r>
      <w:r>
        <w:rPr>
          <w:lang w:val="en-US"/>
        </w:rPr>
        <w:t xml:space="preserve">. The population density grids are derived by dividing the population count grids by the land area grid and represent persons per square kilometer (which makes it very precise). </w:t>
      </w:r>
    </w:p>
    <w:p w:rsidR="0089268C" w:rsidRDefault="00C3610E">
      <w:pPr>
        <w:pStyle w:val="FigureNo"/>
      </w:pPr>
      <w:bookmarkStart w:id="90" w:name="_Ref494801609"/>
      <w:r>
        <w:lastRenderedPageBreak/>
        <w:t xml:space="preserve">Figure </w:t>
      </w:r>
      <w:bookmarkEnd w:id="90"/>
      <w:r w:rsidRPr="001E7D0F">
        <w:fldChar w:fldCharType="begin"/>
      </w:r>
      <w:r>
        <w:instrText xml:space="preserve"> SEQ Figure \* ARABIC </w:instrText>
      </w:r>
      <w:r w:rsidRPr="001E7D0F">
        <w:fldChar w:fldCharType="separate"/>
      </w:r>
      <w:r>
        <w:rPr>
          <w:noProof/>
        </w:rPr>
        <w:t>13</w:t>
      </w:r>
      <w:r w:rsidRPr="001E7D0F">
        <w:fldChar w:fldCharType="end"/>
      </w:r>
    </w:p>
    <w:p w:rsidR="0089268C" w:rsidRDefault="00C3610E" w:rsidP="005C1912">
      <w:pPr>
        <w:pStyle w:val="Figuretitle"/>
        <w:rPr>
          <w:lang w:val="en-US"/>
        </w:rPr>
      </w:pPr>
      <w:r>
        <w:rPr>
          <w:noProof/>
          <w:lang w:val="en-US"/>
        </w:rPr>
        <w:t xml:space="preserve">Population density each </w:t>
      </w:r>
      <w:r>
        <w:rPr>
          <w:lang w:val="en-US"/>
        </w:rPr>
        <w:t xml:space="preserve">2.5 arc-minute </w:t>
      </w:r>
      <w:r>
        <w:rPr>
          <w:noProof/>
          <w:lang w:val="en-US"/>
        </w:rPr>
        <w:t>over europe (log10 scale on the right)</w:t>
      </w:r>
    </w:p>
    <w:p w:rsidR="0089268C" w:rsidRDefault="00C3610E" w:rsidP="00F95ACF">
      <w:pPr>
        <w:pStyle w:val="Figure"/>
      </w:pPr>
      <w:r w:rsidRPr="001E7D0F">
        <w:rPr>
          <w:lang w:val="en-GB"/>
        </w:rPr>
        <w:drawing>
          <wp:inline distT="0" distB="0" distL="0" distR="0">
            <wp:extent cx="3599459" cy="2680535"/>
            <wp:effectExtent l="0" t="0" r="1270" b="5715"/>
            <wp:docPr id="123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605875" cy="2685313"/>
                    </a:xfrm>
                    <a:prstGeom prst="rect">
                      <a:avLst/>
                    </a:prstGeom>
                    <a:noFill/>
                    <a:ln>
                      <a:noFill/>
                    </a:ln>
                  </pic:spPr>
                </pic:pic>
              </a:graphicData>
            </a:graphic>
          </wp:inline>
        </w:drawing>
      </w:r>
    </w:p>
    <w:p w:rsidR="0089268C" w:rsidRDefault="00C3610E">
      <w:pPr>
        <w:rPr>
          <w:lang w:val="en-US"/>
        </w:rPr>
      </w:pPr>
      <w:r>
        <w:rPr>
          <w:lang w:val="en-US"/>
        </w:rPr>
        <w:t>For each kilometer square, the number of simultaneous active RLANs is deduced and then this RLANs are randomly distributed within this km square, attributing thus a latitude and a longitude to each individual RLAN.</w:t>
      </w:r>
    </w:p>
    <w:p w:rsidR="0089268C" w:rsidRDefault="00C3610E">
      <w:pPr>
        <w:rPr>
          <w:lang w:val="en-US"/>
        </w:rPr>
      </w:pPr>
      <w:r>
        <w:rPr>
          <w:lang w:val="en-US"/>
        </w:rPr>
        <w:t xml:space="preserve">This approach is very interesting, since it allows deducing the elevation by which each RLAN is seeing the satellite (and </w:t>
      </w:r>
      <w:r>
        <w:rPr>
          <w:i/>
          <w:iCs/>
          <w:lang w:val="en-US"/>
        </w:rPr>
        <w:t>vice versa</w:t>
      </w:r>
      <w:r>
        <w:rPr>
          <w:lang w:val="en-US"/>
        </w:rPr>
        <w:t>) and the distance between the RLAN and the satellite. These two parameters are necessary to compute the Losses (free space, clutter and BEL) and the antennas gains (Satellite or RLAN).</w:t>
      </w:r>
    </w:p>
    <w:p w:rsidR="0089268C" w:rsidRPr="001E7D0F" w:rsidRDefault="00C3610E" w:rsidP="00C720B2">
      <w:pPr>
        <w:pStyle w:val="Heading5"/>
      </w:pPr>
      <w:r>
        <w:t>5.1.6.</w:t>
      </w:r>
      <w:r w:rsidR="00C720B2">
        <w:t>3</w:t>
      </w:r>
      <w:r w:rsidRPr="001E7D0F">
        <w:t>.5</w:t>
      </w:r>
      <w:r w:rsidRPr="001E7D0F">
        <w:tab/>
        <w:t>RLAN heights</w:t>
      </w:r>
    </w:p>
    <w:p w:rsidR="0089268C" w:rsidRDefault="00C3610E">
      <w:pPr>
        <w:rPr>
          <w:lang w:val="en-US"/>
        </w:rPr>
      </w:pPr>
      <w:r>
        <w:rPr>
          <w:lang w:val="en-US"/>
        </w:rPr>
        <w:t xml:space="preserve">Two heights are considered for the RLAN: the first is 1.2m for terminals (70%) and the second one is 2 m for access points (30%). </w:t>
      </w:r>
    </w:p>
    <w:p w:rsidR="0089268C" w:rsidRPr="001E7D0F" w:rsidRDefault="00C3610E" w:rsidP="00C720B2">
      <w:pPr>
        <w:pStyle w:val="Heading5"/>
      </w:pPr>
      <w:r>
        <w:t>5.1.6.</w:t>
      </w:r>
      <w:r w:rsidR="00C720B2">
        <w:t>3</w:t>
      </w:r>
      <w:r w:rsidRPr="001E7D0F">
        <w:t>.6</w:t>
      </w:r>
      <w:r w:rsidRPr="001E7D0F">
        <w:tab/>
        <w:t>Mitigation technique</w:t>
      </w:r>
    </w:p>
    <w:p w:rsidR="0089268C" w:rsidRDefault="00C3610E">
      <w:pPr>
        <w:rPr>
          <w:lang w:val="en-US"/>
        </w:rPr>
      </w:pPr>
      <w:r>
        <w:rPr>
          <w:lang w:val="en-US"/>
        </w:rPr>
        <w:t xml:space="preserve">In our simulation we also applied the technical rules for RLANs operating in the 5 150-5 250 MHz band in U.S, for comparison purposes. As presented in Doc. 5A/210, RLAN with antenna elevation angles in excess of 30 degrees from the horizon must not exceed 125 mW EIRP to minimize the likelihood of harmful interference to the operating MSS system. In our simulation, this is applied on the RLANs inside the 30° elevation contour. Statistically, this would have the same effect of attributing random elevations to all the RLANs and then applying it only to the ones with elevation greater than 30°. An example is depicted in </w:t>
      </w:r>
      <w:r w:rsidRPr="001E7D0F">
        <w:rPr>
          <w:lang w:val="en-US"/>
        </w:rPr>
        <w:fldChar w:fldCharType="begin"/>
      </w:r>
      <w:r>
        <w:rPr>
          <w:lang w:val="en-US"/>
        </w:rPr>
        <w:instrText xml:space="preserve"> REF _Ref496775337 \h  \* MERGEFORMAT </w:instrText>
      </w:r>
      <w:r w:rsidRPr="001E7D0F">
        <w:rPr>
          <w:lang w:val="en-US"/>
        </w:rPr>
      </w:r>
      <w:r w:rsidRPr="001E7D0F">
        <w:rPr>
          <w:lang w:val="en-US"/>
        </w:rPr>
        <w:fldChar w:fldCharType="separate"/>
      </w:r>
      <w:r>
        <w:t xml:space="preserve">Figure </w:t>
      </w:r>
      <w:r>
        <w:rPr>
          <w:noProof/>
        </w:rPr>
        <w:t>14</w:t>
      </w:r>
      <w:r w:rsidRPr="001E7D0F">
        <w:rPr>
          <w:lang w:val="en-US"/>
        </w:rPr>
        <w:fldChar w:fldCharType="end"/>
      </w:r>
      <w:r>
        <w:rPr>
          <w:lang w:val="en-US"/>
        </w:rPr>
        <w:t>. In this case 4.2 % of the all observed RLANs are subject to the mitigation technique (70 581 over the 1 679 414 taken into account).</w:t>
      </w:r>
    </w:p>
    <w:p w:rsidR="0089268C" w:rsidRDefault="00C3610E">
      <w:pPr>
        <w:pStyle w:val="FigureNo"/>
        <w:rPr>
          <w:lang w:val="en-US"/>
        </w:rPr>
      </w:pPr>
      <w:bookmarkStart w:id="91" w:name="_Ref496775337"/>
      <w:r>
        <w:lastRenderedPageBreak/>
        <w:t xml:space="preserve">Figure </w:t>
      </w:r>
      <w:bookmarkEnd w:id="91"/>
      <w:r w:rsidRPr="001E7D0F">
        <w:fldChar w:fldCharType="begin"/>
      </w:r>
      <w:r>
        <w:instrText xml:space="preserve"> SEQ Figure \* ARABIC </w:instrText>
      </w:r>
      <w:r w:rsidRPr="001E7D0F">
        <w:fldChar w:fldCharType="separate"/>
      </w:r>
      <w:r>
        <w:rPr>
          <w:noProof/>
        </w:rPr>
        <w:t>14</w:t>
      </w:r>
      <w:r w:rsidRPr="001E7D0F">
        <w:fldChar w:fldCharType="end"/>
      </w:r>
    </w:p>
    <w:p w:rsidR="0089268C" w:rsidRDefault="00C3610E" w:rsidP="005C1912">
      <w:pPr>
        <w:pStyle w:val="Figuretitle"/>
        <w:rPr>
          <w:lang w:val="en-US"/>
        </w:rPr>
      </w:pPr>
      <w:r>
        <w:rPr>
          <w:lang w:val="en-US"/>
        </w:rPr>
        <w:t>Representation of the outdoor RLANs with antenna elevation greater than 30 degrees</w:t>
      </w:r>
      <w:r>
        <w:rPr>
          <w:lang w:val="en-US"/>
        </w:rPr>
        <w:br/>
        <w:t>and with EIRP subject to the mitigation technique, in red points.</w:t>
      </w:r>
    </w:p>
    <w:p w:rsidR="0089268C" w:rsidRDefault="00C3610E" w:rsidP="008D72A0">
      <w:pPr>
        <w:pStyle w:val="Figure"/>
      </w:pPr>
      <w:r w:rsidRPr="001E7D0F">
        <w:rPr>
          <w:lang w:val="en-GB"/>
        </w:rPr>
        <w:drawing>
          <wp:inline distT="0" distB="0" distL="0" distR="0">
            <wp:extent cx="5972810" cy="2995930"/>
            <wp:effectExtent l="0" t="0" r="8890" b="0"/>
            <wp:docPr id="19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72810" cy="2995930"/>
                    </a:xfrm>
                    <a:prstGeom prst="rect">
                      <a:avLst/>
                    </a:prstGeom>
                  </pic:spPr>
                </pic:pic>
              </a:graphicData>
            </a:graphic>
          </wp:inline>
        </w:drawing>
      </w:r>
    </w:p>
    <w:p w:rsidR="0089268C" w:rsidRPr="001E7D0F" w:rsidRDefault="00C3610E" w:rsidP="00FC4533">
      <w:pPr>
        <w:pStyle w:val="Heading4"/>
      </w:pPr>
      <w:r w:rsidRPr="001E7D0F">
        <w:t>5.1.6.</w:t>
      </w:r>
      <w:r w:rsidR="00FC4533">
        <w:t>4</w:t>
      </w:r>
      <w:r w:rsidRPr="001E7D0F">
        <w:tab/>
        <w:t xml:space="preserve">Satellite parameters </w:t>
      </w:r>
    </w:p>
    <w:p w:rsidR="0089268C" w:rsidRPr="001E7D0F" w:rsidRDefault="00C3610E" w:rsidP="00FC4533">
      <w:pPr>
        <w:pStyle w:val="Heading5"/>
      </w:pPr>
      <w:r>
        <w:t>5.1.6.</w:t>
      </w:r>
      <w:r w:rsidR="00FC4533">
        <w:t>4</w:t>
      </w:r>
      <w:r w:rsidRPr="001E7D0F">
        <w:t>.1</w:t>
      </w:r>
      <w:r w:rsidRPr="001E7D0F">
        <w:tab/>
        <w:t xml:space="preserve">FSS </w:t>
      </w:r>
      <w:r>
        <w:t>Feeder</w:t>
      </w:r>
      <w:r w:rsidRPr="001E7D0F">
        <w:t xml:space="preserve"> link parameters</w:t>
      </w:r>
    </w:p>
    <w:p w:rsidR="0089268C" w:rsidRDefault="00C3610E">
      <w:pPr>
        <w:rPr>
          <w:lang w:val="en-US"/>
        </w:rPr>
      </w:pPr>
      <w:r>
        <w:rPr>
          <w:lang w:val="en-US"/>
        </w:rPr>
        <w:t xml:space="preserve">The case of the MSS system identified among ITU-R registrations as HIBLEO-X is studied. This system utilizes 48 spacecraft at an altitude of 1 414 kilometers and an inclination angle of the orbits of 52 degrees, with respect to the equator (see </w:t>
      </w:r>
      <w:r w:rsidRPr="001E7D0F">
        <w:rPr>
          <w:lang w:val="en-US"/>
        </w:rPr>
        <w:fldChar w:fldCharType="begin"/>
      </w:r>
      <w:r>
        <w:rPr>
          <w:lang w:val="en-US"/>
        </w:rPr>
        <w:instrText xml:space="preserve"> REF _Ref494735233 \h  \* MERGEFORMAT </w:instrText>
      </w:r>
      <w:r w:rsidRPr="001E7D0F">
        <w:rPr>
          <w:lang w:val="en-US"/>
        </w:rPr>
      </w:r>
      <w:r w:rsidRPr="001E7D0F">
        <w:rPr>
          <w:lang w:val="en-US"/>
        </w:rPr>
        <w:fldChar w:fldCharType="separate"/>
      </w:r>
      <w:r>
        <w:t xml:space="preserve">Figure </w:t>
      </w:r>
      <w:r>
        <w:rPr>
          <w:noProof/>
        </w:rPr>
        <w:t>15</w:t>
      </w:r>
      <w:r w:rsidRPr="001E7D0F">
        <w:rPr>
          <w:lang w:val="en-US"/>
        </w:rPr>
        <w:fldChar w:fldCharType="end"/>
      </w:r>
      <w:r>
        <w:rPr>
          <w:lang w:val="en-US"/>
        </w:rPr>
        <w:t>).</w:t>
      </w:r>
    </w:p>
    <w:p w:rsidR="0089268C" w:rsidRDefault="00C3610E">
      <w:pPr>
        <w:rPr>
          <w:lang w:val="en-US" w:eastAsia="zh-CN"/>
        </w:rPr>
      </w:pPr>
      <w:r>
        <w:rPr>
          <w:lang w:val="en-US" w:eastAsia="zh-CN"/>
        </w:rPr>
        <w:t>The parameters of the feeder uplinks are summarized in Table 5, as provided in the GlobalStar contribution during the WG 5A May 2017 meeting (</w:t>
      </w:r>
      <w:hyperlink r:id="rId96" w:history="1">
        <w:r>
          <w:rPr>
            <w:rStyle w:val="Hyperlink"/>
            <w:lang w:val="en-US" w:eastAsia="zh-CN"/>
          </w:rPr>
          <w:t>Doc.5A/395</w:t>
        </w:r>
      </w:hyperlink>
      <w:r>
        <w:rPr>
          <w:lang w:val="en-US" w:eastAsia="zh-CN"/>
        </w:rPr>
        <w:t>).</w:t>
      </w:r>
    </w:p>
    <w:p w:rsidR="0089268C" w:rsidRDefault="00C3610E">
      <w:pPr>
        <w:pStyle w:val="TableNo"/>
        <w:rPr>
          <w:lang w:val="en-US"/>
        </w:rPr>
      </w:pPr>
      <w:r>
        <w:t xml:space="preserve">Table </w:t>
      </w:r>
      <w:r w:rsidRPr="001E7D0F">
        <w:fldChar w:fldCharType="begin"/>
      </w:r>
      <w:r>
        <w:instrText xml:space="preserve"> SEQ Table \* ARABIC </w:instrText>
      </w:r>
      <w:r w:rsidRPr="001E7D0F">
        <w:fldChar w:fldCharType="separate"/>
      </w:r>
      <w:r>
        <w:rPr>
          <w:noProof/>
        </w:rPr>
        <w:t>9</w:t>
      </w:r>
      <w:r w:rsidRPr="001E7D0F">
        <w:fldChar w:fldCharType="end"/>
      </w:r>
    </w:p>
    <w:p w:rsidR="0089268C" w:rsidRDefault="00C3610E">
      <w:pPr>
        <w:pStyle w:val="Tabletitle"/>
      </w:pPr>
      <w:r>
        <w:rPr>
          <w:lang w:val="en-US"/>
        </w:rPr>
        <w:t>MSS feeder Link Parameters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4A0" w:firstRow="1" w:lastRow="0" w:firstColumn="1" w:lastColumn="0" w:noHBand="0" w:noVBand="1"/>
      </w:tblPr>
      <w:tblGrid>
        <w:gridCol w:w="3541"/>
        <w:gridCol w:w="1476"/>
      </w:tblGrid>
      <w:tr w:rsidR="0089268C">
        <w:trPr>
          <w:jc w:val="center"/>
        </w:trPr>
        <w:tc>
          <w:tcPr>
            <w:tcW w:w="0" w:type="auto"/>
            <w:tcBorders>
              <w:top w:val="single" w:sz="6" w:space="0" w:color="auto"/>
              <w:left w:val="single" w:sz="6" w:space="0" w:color="auto"/>
              <w:bottom w:val="single" w:sz="6" w:space="0" w:color="auto"/>
              <w:right w:val="single" w:sz="6" w:space="0" w:color="auto"/>
            </w:tcBorders>
            <w:hideMark/>
          </w:tcPr>
          <w:p w:rsidR="0089268C" w:rsidRDefault="00C3610E">
            <w:pPr>
              <w:pStyle w:val="Tablehead"/>
            </w:pPr>
            <w:r>
              <w:t>Parameter</w:t>
            </w:r>
          </w:p>
        </w:tc>
        <w:tc>
          <w:tcPr>
            <w:tcW w:w="0" w:type="auto"/>
            <w:tcBorders>
              <w:top w:val="single" w:sz="6" w:space="0" w:color="auto"/>
              <w:left w:val="single" w:sz="6" w:space="0" w:color="auto"/>
              <w:bottom w:val="single" w:sz="6" w:space="0" w:color="auto"/>
              <w:right w:val="single" w:sz="6" w:space="0" w:color="auto"/>
            </w:tcBorders>
            <w:hideMark/>
          </w:tcPr>
          <w:p w:rsidR="0089268C" w:rsidRDefault="00C3610E">
            <w:pPr>
              <w:pStyle w:val="Tablehead"/>
            </w:pPr>
            <w:r>
              <w:t>HIBLEO-4 FL</w:t>
            </w:r>
          </w:p>
        </w:tc>
      </w:tr>
      <w:tr w:rsidR="0089268C">
        <w:trPr>
          <w:jc w:val="center"/>
        </w:trPr>
        <w:tc>
          <w:tcPr>
            <w:tcW w:w="0" w:type="auto"/>
            <w:tcBorders>
              <w:top w:val="single" w:sz="6" w:space="0" w:color="auto"/>
              <w:left w:val="single" w:sz="6" w:space="0" w:color="auto"/>
              <w:bottom w:val="single" w:sz="6" w:space="0" w:color="auto"/>
              <w:right w:val="single" w:sz="6" w:space="0" w:color="auto"/>
            </w:tcBorders>
            <w:hideMark/>
          </w:tcPr>
          <w:p w:rsidR="0089268C" w:rsidRDefault="00C3610E">
            <w:pPr>
              <w:pStyle w:val="Tabletext"/>
              <w:rPr>
                <w:lang w:val="fr-CH"/>
              </w:rPr>
            </w:pPr>
            <w:r>
              <w:rPr>
                <w:lang w:val="fr-CH"/>
              </w:rPr>
              <w:t>Satellite receiver noise temperature T (K)</w:t>
            </w:r>
          </w:p>
        </w:tc>
        <w:tc>
          <w:tcPr>
            <w:tcW w:w="0" w:type="auto"/>
            <w:tcBorders>
              <w:top w:val="single" w:sz="6" w:space="0" w:color="auto"/>
              <w:left w:val="single" w:sz="6" w:space="0" w:color="auto"/>
              <w:bottom w:val="single" w:sz="6" w:space="0" w:color="auto"/>
              <w:right w:val="single" w:sz="6" w:space="0" w:color="auto"/>
            </w:tcBorders>
            <w:hideMark/>
          </w:tcPr>
          <w:p w:rsidR="0089268C" w:rsidRDefault="00C3610E">
            <w:pPr>
              <w:pStyle w:val="Tabletext"/>
              <w:jc w:val="center"/>
            </w:pPr>
            <w:r>
              <w:t>550</w:t>
            </w:r>
          </w:p>
        </w:tc>
      </w:tr>
      <w:tr w:rsidR="0089268C">
        <w:trPr>
          <w:jc w:val="center"/>
        </w:trPr>
        <w:tc>
          <w:tcPr>
            <w:tcW w:w="0" w:type="auto"/>
            <w:tcBorders>
              <w:top w:val="single" w:sz="6" w:space="0" w:color="auto"/>
              <w:left w:val="single" w:sz="6" w:space="0" w:color="auto"/>
              <w:bottom w:val="single" w:sz="6" w:space="0" w:color="auto"/>
              <w:right w:val="single" w:sz="6" w:space="0" w:color="auto"/>
            </w:tcBorders>
            <w:hideMark/>
          </w:tcPr>
          <w:p w:rsidR="0089268C" w:rsidRDefault="00C3610E">
            <w:pPr>
              <w:pStyle w:val="Tabletext"/>
            </w:pPr>
            <w:r>
              <w:t>Satellite receiver bandwidth B (MHz)</w:t>
            </w:r>
          </w:p>
        </w:tc>
        <w:tc>
          <w:tcPr>
            <w:tcW w:w="0" w:type="auto"/>
            <w:tcBorders>
              <w:top w:val="single" w:sz="6" w:space="0" w:color="auto"/>
              <w:left w:val="single" w:sz="6" w:space="0" w:color="auto"/>
              <w:bottom w:val="single" w:sz="6" w:space="0" w:color="auto"/>
              <w:right w:val="single" w:sz="6" w:space="0" w:color="auto"/>
            </w:tcBorders>
            <w:hideMark/>
          </w:tcPr>
          <w:p w:rsidR="0089268C" w:rsidRDefault="00C3610E">
            <w:pPr>
              <w:pStyle w:val="Tabletext"/>
              <w:jc w:val="center"/>
            </w:pPr>
            <w:r>
              <w:t>16.5</w:t>
            </w:r>
          </w:p>
        </w:tc>
      </w:tr>
      <w:tr w:rsidR="0089268C">
        <w:trPr>
          <w:jc w:val="center"/>
        </w:trPr>
        <w:tc>
          <w:tcPr>
            <w:tcW w:w="0" w:type="auto"/>
            <w:tcBorders>
              <w:top w:val="single" w:sz="6" w:space="0" w:color="auto"/>
              <w:left w:val="single" w:sz="6" w:space="0" w:color="auto"/>
              <w:bottom w:val="single" w:sz="6" w:space="0" w:color="auto"/>
              <w:right w:val="single" w:sz="6" w:space="0" w:color="auto"/>
            </w:tcBorders>
          </w:tcPr>
          <w:p w:rsidR="0089268C" w:rsidRDefault="00C3610E">
            <w:pPr>
              <w:pStyle w:val="Tabletext"/>
            </w:pPr>
            <w:r>
              <w:t>Protection criterion (dB)</w:t>
            </w:r>
          </w:p>
        </w:tc>
        <w:tc>
          <w:tcPr>
            <w:tcW w:w="0" w:type="auto"/>
            <w:tcBorders>
              <w:top w:val="single" w:sz="6" w:space="0" w:color="auto"/>
              <w:left w:val="single" w:sz="6" w:space="0" w:color="auto"/>
              <w:bottom w:val="single" w:sz="6" w:space="0" w:color="auto"/>
              <w:right w:val="single" w:sz="6" w:space="0" w:color="auto"/>
            </w:tcBorders>
          </w:tcPr>
          <w:p w:rsidR="0089268C" w:rsidRDefault="00C3610E">
            <w:pPr>
              <w:pStyle w:val="Tabletext"/>
              <w:jc w:val="center"/>
            </w:pPr>
            <w:r>
              <w:t>-12.2*</w:t>
            </w:r>
          </w:p>
        </w:tc>
      </w:tr>
      <w:tr w:rsidR="0089268C">
        <w:trPr>
          <w:jc w:val="center"/>
        </w:trPr>
        <w:tc>
          <w:tcPr>
            <w:tcW w:w="0" w:type="auto"/>
            <w:gridSpan w:val="2"/>
            <w:tcBorders>
              <w:top w:val="single" w:sz="6" w:space="0" w:color="auto"/>
              <w:left w:val="single" w:sz="6" w:space="0" w:color="auto"/>
              <w:bottom w:val="single" w:sz="6" w:space="0" w:color="auto"/>
              <w:right w:val="single" w:sz="6" w:space="0" w:color="auto"/>
            </w:tcBorders>
          </w:tcPr>
          <w:p w:rsidR="0089268C" w:rsidRDefault="00C3610E">
            <w:pPr>
              <w:pStyle w:val="Tabletext"/>
              <w:jc w:val="center"/>
              <w:rPr>
                <w:lang w:eastAsia="zh-CN"/>
              </w:rPr>
            </w:pPr>
            <w:r>
              <w:rPr>
                <w:lang w:eastAsia="zh-CN"/>
              </w:rPr>
              <w:t>*</w:t>
            </w:r>
          </w:p>
        </w:tc>
      </w:tr>
    </w:tbl>
    <w:p w:rsidR="008D72A0" w:rsidRDefault="008D72A0" w:rsidP="008D72A0">
      <w:pPr>
        <w:pStyle w:val="Tablefin"/>
      </w:pPr>
      <w:bookmarkStart w:id="92" w:name="_Ref494735233"/>
    </w:p>
    <w:p w:rsidR="0089268C" w:rsidRDefault="00C3610E">
      <w:pPr>
        <w:pStyle w:val="FigureNo"/>
        <w:rPr>
          <w:lang w:val="en-US"/>
        </w:rPr>
      </w:pPr>
      <w:r>
        <w:lastRenderedPageBreak/>
        <w:t xml:space="preserve">Figure </w:t>
      </w:r>
      <w:bookmarkEnd w:id="92"/>
      <w:r w:rsidRPr="001E7D0F">
        <w:fldChar w:fldCharType="begin"/>
      </w:r>
      <w:r>
        <w:instrText xml:space="preserve"> SEQ Figure \* ARABIC </w:instrText>
      </w:r>
      <w:r w:rsidRPr="001E7D0F">
        <w:fldChar w:fldCharType="separate"/>
      </w:r>
      <w:r>
        <w:rPr>
          <w:noProof/>
        </w:rPr>
        <w:t>15</w:t>
      </w:r>
      <w:r w:rsidRPr="001E7D0F">
        <w:fldChar w:fldCharType="end"/>
      </w:r>
    </w:p>
    <w:p w:rsidR="0089268C" w:rsidRDefault="00C3610E" w:rsidP="005C1912">
      <w:pPr>
        <w:pStyle w:val="Figuretitle"/>
        <w:rPr>
          <w:lang w:val="en-US"/>
        </w:rPr>
      </w:pPr>
      <w:r>
        <w:rPr>
          <w:lang w:val="en-US"/>
        </w:rPr>
        <w:t>GlobalStar Constellation</w:t>
      </w:r>
      <w:r>
        <w:rPr>
          <w:noProof/>
          <w:lang w:val="en-US"/>
        </w:rPr>
        <w:t xml:space="preserve"> (HIBLEO-X)</w:t>
      </w:r>
    </w:p>
    <w:p w:rsidR="0089268C" w:rsidRDefault="00C3610E" w:rsidP="008D72A0">
      <w:pPr>
        <w:pStyle w:val="Figure"/>
      </w:pPr>
      <w:r w:rsidRPr="001E7D0F">
        <w:rPr>
          <w:lang w:val="en-GB"/>
        </w:rPr>
        <w:drawing>
          <wp:inline distT="0" distB="0" distL="0" distR="0">
            <wp:extent cx="5972810" cy="2932430"/>
            <wp:effectExtent l="0" t="0" r="8890" b="1270"/>
            <wp:docPr id="1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72810" cy="2932430"/>
                    </a:xfrm>
                    <a:prstGeom prst="rect">
                      <a:avLst/>
                    </a:prstGeom>
                  </pic:spPr>
                </pic:pic>
              </a:graphicData>
            </a:graphic>
          </wp:inline>
        </w:drawing>
      </w:r>
    </w:p>
    <w:p w:rsidR="0089268C" w:rsidRPr="001E7D0F" w:rsidRDefault="00C3610E" w:rsidP="00FC4533">
      <w:pPr>
        <w:pStyle w:val="Heading5"/>
      </w:pPr>
      <w:r>
        <w:t>5.1.6.</w:t>
      </w:r>
      <w:r w:rsidR="00FC4533">
        <w:t>4</w:t>
      </w:r>
      <w:r>
        <w:t>.2</w:t>
      </w:r>
      <w:r>
        <w:tab/>
        <w:t>Spacecraft</w:t>
      </w:r>
      <w:r w:rsidRPr="001E7D0F">
        <w:t xml:space="preserve"> receive antenna pattern</w:t>
      </w:r>
    </w:p>
    <w:p w:rsidR="0089268C" w:rsidRDefault="00C3610E">
      <w:pPr>
        <w:rPr>
          <w:lang w:val="en-US" w:eastAsia="zh-CN"/>
        </w:rPr>
      </w:pPr>
      <w:r>
        <w:rPr>
          <w:lang w:val="en-US"/>
        </w:rPr>
        <w:t xml:space="preserve">The spacecraft antenna pattern is the one depicted in Globalstar’s contribution to WP 5A May 2017 in </w:t>
      </w:r>
      <w:r>
        <w:rPr>
          <w:lang w:val="en-US" w:eastAsia="zh-CN"/>
        </w:rPr>
        <w:t>(</w:t>
      </w:r>
      <w:hyperlink r:id="rId98" w:history="1">
        <w:r>
          <w:rPr>
            <w:rStyle w:val="Hyperlink"/>
            <w:lang w:val="en-US" w:eastAsia="zh-CN"/>
          </w:rPr>
          <w:t>Doc. 5A/395</w:t>
        </w:r>
      </w:hyperlink>
      <w:r>
        <w:rPr>
          <w:lang w:val="en-US" w:eastAsia="zh-CN"/>
        </w:rPr>
        <w:t>).</w:t>
      </w:r>
    </w:p>
    <w:p w:rsidR="0089268C" w:rsidRDefault="00C3610E">
      <w:pPr>
        <w:pStyle w:val="FigureNo"/>
      </w:pPr>
      <w:r>
        <w:t xml:space="preserve">Figure </w:t>
      </w:r>
      <w:r w:rsidRPr="001E7D0F">
        <w:fldChar w:fldCharType="begin"/>
      </w:r>
      <w:r>
        <w:instrText xml:space="preserve"> SEQ Figure \* ARABIC </w:instrText>
      </w:r>
      <w:r w:rsidRPr="001E7D0F">
        <w:fldChar w:fldCharType="separate"/>
      </w:r>
      <w:r>
        <w:rPr>
          <w:noProof/>
        </w:rPr>
        <w:t>16</w:t>
      </w:r>
      <w:r w:rsidRPr="001E7D0F">
        <w:fldChar w:fldCharType="end"/>
      </w:r>
    </w:p>
    <w:p w:rsidR="0089268C" w:rsidRDefault="00C3610E" w:rsidP="005C1912">
      <w:pPr>
        <w:pStyle w:val="Figuretitle"/>
        <w:rPr>
          <w:lang w:val="en-US" w:eastAsia="zh-CN"/>
        </w:rPr>
      </w:pPr>
      <w:r>
        <w:rPr>
          <w:lang w:val="en-US"/>
        </w:rPr>
        <w:t>Spacecraft Receive Antenna Pattern versus off-nadir angle</w:t>
      </w:r>
    </w:p>
    <w:p w:rsidR="0089268C" w:rsidRDefault="00C3610E" w:rsidP="008D72A0">
      <w:pPr>
        <w:pStyle w:val="Figure"/>
      </w:pPr>
      <w:r w:rsidRPr="001E7D0F">
        <w:rPr>
          <w:lang w:val="en-GB"/>
        </w:rPr>
        <w:drawing>
          <wp:inline distT="0" distB="0" distL="0" distR="0">
            <wp:extent cx="3874307" cy="2907348"/>
            <wp:effectExtent l="0" t="0" r="0" b="7620"/>
            <wp:docPr id="19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78429" cy="2910441"/>
                    </a:xfrm>
                    <a:prstGeom prst="rect">
                      <a:avLst/>
                    </a:prstGeom>
                    <a:noFill/>
                    <a:ln>
                      <a:noFill/>
                    </a:ln>
                  </pic:spPr>
                </pic:pic>
              </a:graphicData>
            </a:graphic>
          </wp:inline>
        </w:drawing>
      </w:r>
    </w:p>
    <w:p w:rsidR="0089268C" w:rsidRPr="001E7D0F" w:rsidRDefault="00C3610E" w:rsidP="00FC4533">
      <w:pPr>
        <w:pStyle w:val="Heading4"/>
      </w:pPr>
      <w:r w:rsidRPr="001E7D0F">
        <w:t>5.1.6.</w:t>
      </w:r>
      <w:r w:rsidR="00FC4533">
        <w:t>5</w:t>
      </w:r>
      <w:r w:rsidRPr="001E7D0F">
        <w:tab/>
        <w:t>Propagation Loss</w:t>
      </w:r>
    </w:p>
    <w:p w:rsidR="0089268C" w:rsidRDefault="00C3610E">
      <w:pPr>
        <w:rPr>
          <w:lang w:val="en-US"/>
        </w:rPr>
      </w:pPr>
      <w:r>
        <w:rPr>
          <w:lang w:val="en-US"/>
        </w:rPr>
        <w:t>Four losses are taken into account in the path from the RLAN to the spacecraft:</w:t>
      </w:r>
    </w:p>
    <w:p w:rsidR="0089268C" w:rsidRDefault="00C3610E" w:rsidP="001E7D0F">
      <w:pPr>
        <w:pStyle w:val="enumlev1"/>
        <w:tabs>
          <w:tab w:val="clear" w:pos="1134"/>
          <w:tab w:val="left" w:pos="0"/>
        </w:tabs>
        <w:rPr>
          <w:lang w:val="en-US"/>
        </w:rPr>
      </w:pPr>
      <w:r>
        <w:rPr>
          <w:i/>
          <w:iCs/>
          <w:lang w:val="en-US"/>
        </w:rPr>
        <w:t>•</w:t>
      </w:r>
      <w:r>
        <w:rPr>
          <w:i/>
          <w:iCs/>
          <w:lang w:val="en-US"/>
        </w:rPr>
        <w:tab/>
        <w:t>Free-space loss</w:t>
      </w:r>
      <w:r>
        <w:rPr>
          <w:lang w:val="en-US"/>
        </w:rPr>
        <w:t>, according to Rec. ITU-R P.525;</w:t>
      </w:r>
    </w:p>
    <w:p w:rsidR="0089268C" w:rsidRDefault="00C3610E" w:rsidP="001E7D0F">
      <w:pPr>
        <w:pStyle w:val="enumlev1"/>
        <w:tabs>
          <w:tab w:val="clear" w:pos="1134"/>
          <w:tab w:val="left" w:pos="0"/>
        </w:tabs>
        <w:rPr>
          <w:lang w:val="en-US"/>
        </w:rPr>
      </w:pPr>
      <w:r>
        <w:rPr>
          <w:i/>
          <w:iCs/>
          <w:lang w:val="en-US"/>
        </w:rPr>
        <w:lastRenderedPageBreak/>
        <w:t>•</w:t>
      </w:r>
      <w:r>
        <w:rPr>
          <w:i/>
          <w:iCs/>
          <w:lang w:val="en-US"/>
        </w:rPr>
        <w:tab/>
        <w:t>Building Entry Loss (BEL),</w:t>
      </w:r>
      <w:r>
        <w:rPr>
          <w:lang w:val="en-US"/>
        </w:rPr>
        <w:t xml:space="preserve"> according to the new recommendation being developed within WP-3K, Draft new Recommendation ITU-R P.2109. In the simulations, a mixture of 30% thermally efficient houses and 70% of traditional houses is considered. Regarding the </w:t>
      </w:r>
      <w:r>
        <w:rPr>
          <w:lang w:val="en-US" w:eastAsia="zh-CN"/>
        </w:rPr>
        <w:t>probability  that loss is not exceeded</w:t>
      </w:r>
      <w:r>
        <w:rPr>
          <w:lang w:val="en-US"/>
        </w:rPr>
        <w:t>, for each RLAN the probability that loss is not exceeded is picked up in the interval [0,1] according to a uniform law (bear in mind that there is up to 1.6 million RLAN within the satellite coverage);</w:t>
      </w:r>
    </w:p>
    <w:p w:rsidR="0089268C" w:rsidRDefault="00C3610E" w:rsidP="001E7D0F">
      <w:pPr>
        <w:pStyle w:val="enumlev1"/>
        <w:tabs>
          <w:tab w:val="clear" w:pos="1134"/>
          <w:tab w:val="left" w:pos="0"/>
        </w:tabs>
        <w:rPr>
          <w:lang w:val="en-US"/>
        </w:rPr>
      </w:pPr>
      <w:r>
        <w:rPr>
          <w:i/>
          <w:iCs/>
          <w:lang w:val="en-US"/>
        </w:rPr>
        <w:t>•</w:t>
      </w:r>
      <w:r>
        <w:rPr>
          <w:i/>
          <w:iCs/>
          <w:lang w:val="en-US"/>
        </w:rPr>
        <w:tab/>
        <w:t>Clutter Loss</w:t>
      </w:r>
      <w:r>
        <w:rPr>
          <w:lang w:val="en-US"/>
        </w:rPr>
        <w:t xml:space="preserve">, according to Recommendation ITU-R P.2108-0 as advised by WP 3K. To do so, the clutter type is required. According to RLAN deployment density statistics in Europe (see Ref.1and Ref.2), 50% of households in the EU-28 area are located in densely populated areas, 23% in intermediate urban areas and 27% in thinly populated areas. These three areas are mapped to the urban, suburban and sparse homes clutter environments (see example over Europe in </w:t>
      </w:r>
      <w:r w:rsidRPr="001E7D0F">
        <w:rPr>
          <w:lang w:val="en-US"/>
        </w:rPr>
        <w:fldChar w:fldCharType="begin"/>
      </w:r>
      <w:r>
        <w:rPr>
          <w:lang w:val="en-US"/>
        </w:rPr>
        <w:instrText xml:space="preserve"> REF _Ref494809428 \h  \* MERGEFORMAT </w:instrText>
      </w:r>
      <w:r w:rsidRPr="001E7D0F">
        <w:rPr>
          <w:lang w:val="en-US"/>
        </w:rPr>
      </w:r>
      <w:r w:rsidRPr="001E7D0F">
        <w:rPr>
          <w:lang w:val="en-US"/>
        </w:rPr>
        <w:fldChar w:fldCharType="separate"/>
      </w:r>
      <w:r>
        <w:rPr>
          <w:lang w:val="en-US"/>
        </w:rPr>
        <w:t xml:space="preserve">Figure </w:t>
      </w:r>
      <w:r w:rsidRPr="001E7D0F">
        <w:rPr>
          <w:lang w:val="en-US"/>
        </w:rPr>
        <w:fldChar w:fldCharType="end"/>
      </w:r>
      <w:r>
        <w:rPr>
          <w:noProof/>
          <w:lang w:val="en-US"/>
        </w:rPr>
        <w:t>17</w:t>
      </w:r>
      <w:r>
        <w:rPr>
          <w:lang w:val="en-US"/>
        </w:rPr>
        <w:t xml:space="preserve">). In the absence of any data for Africa and Asia, the same repartition is applied for these two continents as well. For information all the statistics are mapped in </w:t>
      </w:r>
      <w:r w:rsidRPr="001E7D0F">
        <w:rPr>
          <w:lang w:val="en-US"/>
        </w:rPr>
        <w:fldChar w:fldCharType="begin"/>
      </w:r>
      <w:r>
        <w:rPr>
          <w:lang w:val="en-US"/>
        </w:rPr>
        <w:instrText xml:space="preserve"> REF _Ref496794598 \h  \* MERGEFORMAT </w:instrText>
      </w:r>
      <w:r w:rsidRPr="001E7D0F">
        <w:rPr>
          <w:lang w:val="en-US"/>
        </w:rPr>
      </w:r>
      <w:r w:rsidRPr="001E7D0F">
        <w:rPr>
          <w:lang w:val="en-US"/>
        </w:rPr>
        <w:fldChar w:fldCharType="separate"/>
      </w:r>
      <w:r>
        <w:rPr>
          <w:lang w:val="en-US"/>
        </w:rPr>
        <w:t xml:space="preserve">Table </w:t>
      </w:r>
      <w:r w:rsidRPr="001E7D0F">
        <w:rPr>
          <w:lang w:val="en-US"/>
        </w:rPr>
        <w:fldChar w:fldCharType="end"/>
      </w:r>
      <w:r>
        <w:rPr>
          <w:noProof/>
          <w:lang w:val="en-US"/>
        </w:rPr>
        <w:t>10</w:t>
      </w:r>
      <w:r>
        <w:rPr>
          <w:lang w:val="en-US"/>
        </w:rPr>
        <w:t>. Regarding the percentage of locations, the same procedure as for the BEL is used, for each RLAN a percentage of time is picked up in the interval [0,1] according to a uniform law;</w:t>
      </w:r>
    </w:p>
    <w:p w:rsidR="0089268C" w:rsidRDefault="00C3610E" w:rsidP="001E7D0F">
      <w:pPr>
        <w:pStyle w:val="enumlev1"/>
        <w:tabs>
          <w:tab w:val="clear" w:pos="1134"/>
          <w:tab w:val="left" w:pos="0"/>
        </w:tabs>
        <w:rPr>
          <w:lang w:val="en-US"/>
        </w:rPr>
      </w:pPr>
      <w:r>
        <w:rPr>
          <w:i/>
          <w:iCs/>
          <w:lang w:val="en-US"/>
        </w:rPr>
        <w:t>•</w:t>
      </w:r>
      <w:r>
        <w:rPr>
          <w:i/>
          <w:iCs/>
          <w:lang w:val="en-US"/>
        </w:rPr>
        <w:tab/>
        <w:t xml:space="preserve">Polarization mismatch, </w:t>
      </w:r>
      <w:r>
        <w:rPr>
          <w:lang w:val="en-US"/>
        </w:rPr>
        <w:t xml:space="preserve">a value of 3 dB is considered according to what have been supported by France in during TG-5.1 (see </w:t>
      </w:r>
      <w:hyperlink r:id="rId100" w:history="1">
        <w:r>
          <w:rPr>
            <w:rStyle w:val="Hyperlink"/>
            <w:szCs w:val="24"/>
            <w:lang w:val="en-US"/>
          </w:rPr>
          <w:t>Doc TG-5.1/104</w:t>
        </w:r>
      </w:hyperlink>
      <w:r>
        <w:rPr>
          <w:lang w:val="en-US"/>
        </w:rPr>
        <w:t xml:space="preserve">). </w:t>
      </w:r>
    </w:p>
    <w:p w:rsidR="0089268C" w:rsidRDefault="00C3610E" w:rsidP="001E7D0F">
      <w:pPr>
        <w:pStyle w:val="enumlev1"/>
        <w:tabs>
          <w:tab w:val="clear" w:pos="1134"/>
          <w:tab w:val="left" w:pos="0"/>
        </w:tabs>
        <w:rPr>
          <w:lang w:val="en-US"/>
        </w:rPr>
      </w:pPr>
      <w:r>
        <w:rPr>
          <w:i/>
          <w:iCs/>
          <w:lang w:val="en-US"/>
        </w:rPr>
        <w:t>•</w:t>
      </w:r>
      <w:r>
        <w:rPr>
          <w:i/>
          <w:iCs/>
          <w:lang w:val="en-US"/>
        </w:rPr>
        <w:tab/>
        <w:t xml:space="preserve">Vehicle screening attenuation, </w:t>
      </w:r>
      <w:r>
        <w:rPr>
          <w:lang w:val="en-US"/>
        </w:rPr>
        <w:t xml:space="preserve">in this contribution being conservative, we considered an attenuation of </w:t>
      </w:r>
      <w:r>
        <w:rPr>
          <w:b/>
          <w:bCs/>
          <w:lang w:val="en-US"/>
        </w:rPr>
        <w:t>5 dB</w:t>
      </w:r>
      <w:r>
        <w:rPr>
          <w:lang w:val="en-US"/>
        </w:rPr>
        <w:t xml:space="preserve"> due to vehicle screening. </w:t>
      </w:r>
      <w:r>
        <w:rPr>
          <w:i/>
          <w:iCs/>
          <w:lang w:val="en-US"/>
        </w:rPr>
        <w:t>It is applied only for the scenario described in Table 4</w:t>
      </w:r>
      <w:r>
        <w:rPr>
          <w:lang w:val="en-US"/>
        </w:rPr>
        <w:t>. According to CEPT report 17, in the frequency range 3-6 GHz, cars with metallized windows provide a mean attenuation of about 15</w:t>
      </w:r>
      <w:r w:rsidR="002B1C7A">
        <w:rPr>
          <w:lang w:val="en-US"/>
        </w:rPr>
        <w:t> </w:t>
      </w:r>
      <w:r>
        <w:rPr>
          <w:lang w:val="en-US"/>
        </w:rPr>
        <w:t xml:space="preserve">dB and cars without any metallized windows provide a mean attenuation of about 8 dB. Cars with one window being metallized (front window) provide a mean attenuation of 12 dB. </w:t>
      </w:r>
    </w:p>
    <w:p w:rsidR="0089268C" w:rsidRDefault="00C3610E">
      <w:pPr>
        <w:pStyle w:val="FigureNo"/>
      </w:pPr>
      <w:bookmarkStart w:id="93" w:name="_Ref494809428"/>
      <w:r>
        <w:t xml:space="preserve">Figure </w:t>
      </w:r>
      <w:bookmarkEnd w:id="93"/>
      <w:r w:rsidRPr="001E7D0F">
        <w:fldChar w:fldCharType="begin"/>
      </w:r>
      <w:r>
        <w:instrText xml:space="preserve"> SEQ Figure \* ARABIC </w:instrText>
      </w:r>
      <w:r w:rsidRPr="001E7D0F">
        <w:fldChar w:fldCharType="separate"/>
      </w:r>
      <w:r>
        <w:rPr>
          <w:noProof/>
        </w:rPr>
        <w:t>17</w:t>
      </w:r>
      <w:r w:rsidRPr="001E7D0F">
        <w:fldChar w:fldCharType="end"/>
      </w:r>
    </w:p>
    <w:p w:rsidR="0089268C" w:rsidRDefault="00C3610E" w:rsidP="005C1912">
      <w:pPr>
        <w:pStyle w:val="Figuretitle"/>
      </w:pPr>
      <w:r>
        <w:rPr>
          <w:lang w:val="en-US"/>
        </w:rPr>
        <w:t>Clutter type over Europe and parts of north Africa and asia, Red (Urban),</w:t>
      </w:r>
      <w:r>
        <w:rPr>
          <w:lang w:val="en-US"/>
        </w:rPr>
        <w:br/>
        <w:t>Yellow (Suburban) and Blue (Rural).</w:t>
      </w:r>
    </w:p>
    <w:p w:rsidR="0089268C" w:rsidRDefault="00C3610E" w:rsidP="008D72A0">
      <w:pPr>
        <w:pStyle w:val="Figure"/>
      </w:pPr>
      <w:r w:rsidRPr="001E7D0F">
        <w:rPr>
          <w:lang w:val="en-GB"/>
        </w:rPr>
        <w:drawing>
          <wp:inline distT="0" distB="0" distL="0" distR="0">
            <wp:extent cx="5972810" cy="2995930"/>
            <wp:effectExtent l="0" t="0" r="8890" b="0"/>
            <wp:docPr id="19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72810" cy="2995930"/>
                    </a:xfrm>
                    <a:prstGeom prst="rect">
                      <a:avLst/>
                    </a:prstGeom>
                  </pic:spPr>
                </pic:pic>
              </a:graphicData>
            </a:graphic>
          </wp:inline>
        </w:drawing>
      </w:r>
    </w:p>
    <w:p w:rsidR="0089268C" w:rsidRDefault="00C3610E">
      <w:pPr>
        <w:pStyle w:val="TableNo"/>
        <w:rPr>
          <w:lang w:val="en-US"/>
        </w:rPr>
      </w:pPr>
      <w:bookmarkStart w:id="94" w:name="_Ref496794598"/>
      <w:r>
        <w:lastRenderedPageBreak/>
        <w:t xml:space="preserve">Table </w:t>
      </w:r>
      <w:bookmarkEnd w:id="94"/>
      <w:r w:rsidRPr="001E7D0F">
        <w:fldChar w:fldCharType="begin"/>
      </w:r>
      <w:r>
        <w:instrText xml:space="preserve"> SEQ Table \* ARABIC </w:instrText>
      </w:r>
      <w:r w:rsidRPr="001E7D0F">
        <w:fldChar w:fldCharType="separate"/>
      </w:r>
      <w:r>
        <w:rPr>
          <w:noProof/>
        </w:rPr>
        <w:t>10</w:t>
      </w:r>
      <w:r w:rsidRPr="001E7D0F">
        <w:fldChar w:fldCharType="end"/>
      </w:r>
    </w:p>
    <w:p w:rsidR="0089268C" w:rsidRDefault="00C3610E">
      <w:pPr>
        <w:pStyle w:val="Tabletitle"/>
        <w:rPr>
          <w:lang w:val="en-US"/>
        </w:rPr>
      </w:pPr>
      <w:r>
        <w:rPr>
          <w:lang w:val="en-US"/>
        </w:rPr>
        <w:t>Statistics for the three continents according to the data provided in Ref.3 and to the urban, suburban</w:t>
      </w:r>
      <w:r>
        <w:rPr>
          <w:lang w:val="en-US"/>
        </w:rPr>
        <w:br/>
        <w:t>and rural apportionment used in our simulations</w:t>
      </w:r>
    </w:p>
    <w:tbl>
      <w:tblPr>
        <w:tblW w:w="9721" w:type="dxa"/>
        <w:tblInd w:w="55" w:type="dxa"/>
        <w:tblLayout w:type="fixed"/>
        <w:tblCellMar>
          <w:left w:w="70" w:type="dxa"/>
          <w:right w:w="70" w:type="dxa"/>
        </w:tblCellMar>
        <w:tblLook w:val="04A0" w:firstRow="1" w:lastRow="0" w:firstColumn="1" w:lastColumn="0" w:noHBand="0" w:noVBand="1"/>
      </w:tblPr>
      <w:tblGrid>
        <w:gridCol w:w="791"/>
        <w:gridCol w:w="1548"/>
        <w:gridCol w:w="2137"/>
        <w:gridCol w:w="2268"/>
        <w:gridCol w:w="993"/>
        <w:gridCol w:w="1134"/>
        <w:gridCol w:w="850"/>
      </w:tblGrid>
      <w:tr w:rsidR="0089268C">
        <w:trPr>
          <w:trHeight w:val="578"/>
        </w:trPr>
        <w:tc>
          <w:tcPr>
            <w:tcW w:w="791"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89268C" w:rsidRDefault="00C3610E">
            <w:pPr>
              <w:pStyle w:val="Tablehead"/>
              <w:rPr>
                <w:lang w:val="fr-FR" w:eastAsia="fr-FR"/>
              </w:rPr>
            </w:pPr>
            <w:r>
              <w:rPr>
                <w:lang w:val="fr-FR" w:eastAsia="fr-FR"/>
              </w:rPr>
              <w:t>Continent</w:t>
            </w:r>
          </w:p>
        </w:tc>
        <w:tc>
          <w:tcPr>
            <w:tcW w:w="1548" w:type="dxa"/>
            <w:tcBorders>
              <w:top w:val="single" w:sz="4" w:space="0" w:color="auto"/>
              <w:left w:val="nil"/>
              <w:bottom w:val="single" w:sz="4" w:space="0" w:color="auto"/>
              <w:right w:val="single" w:sz="4" w:space="0" w:color="auto"/>
            </w:tcBorders>
            <w:shd w:val="clear" w:color="000000" w:fill="EEECE1"/>
            <w:vAlign w:val="center"/>
            <w:hideMark/>
          </w:tcPr>
          <w:p w:rsidR="0089268C" w:rsidRDefault="00C3610E">
            <w:pPr>
              <w:pStyle w:val="Tablehead"/>
              <w:rPr>
                <w:lang w:val="fr-FR" w:eastAsia="fr-FR"/>
              </w:rPr>
            </w:pPr>
            <w:r>
              <w:rPr>
                <w:lang w:val="fr-FR" w:eastAsia="fr-FR"/>
              </w:rPr>
              <w:t>Number of Inhabitant</w:t>
            </w:r>
          </w:p>
        </w:tc>
        <w:tc>
          <w:tcPr>
            <w:tcW w:w="2137" w:type="dxa"/>
            <w:tcBorders>
              <w:top w:val="single" w:sz="4" w:space="0" w:color="auto"/>
              <w:left w:val="nil"/>
              <w:bottom w:val="single" w:sz="4" w:space="0" w:color="auto"/>
              <w:right w:val="single" w:sz="4" w:space="0" w:color="auto"/>
            </w:tcBorders>
            <w:shd w:val="clear" w:color="000000" w:fill="EEECE1"/>
            <w:vAlign w:val="center"/>
            <w:hideMark/>
          </w:tcPr>
          <w:p w:rsidR="0089268C" w:rsidRDefault="00C3610E">
            <w:pPr>
              <w:pStyle w:val="Tablehead"/>
              <w:rPr>
                <w:lang w:val="en-US" w:eastAsia="fr-FR"/>
              </w:rPr>
            </w:pPr>
            <w:r>
              <w:rPr>
                <w:lang w:val="en-US" w:eastAsia="fr-FR"/>
              </w:rPr>
              <w:t>Simultaneous active RLAN density per Inhabitant</w:t>
            </w:r>
          </w:p>
        </w:tc>
        <w:tc>
          <w:tcPr>
            <w:tcW w:w="2268" w:type="dxa"/>
            <w:tcBorders>
              <w:top w:val="single" w:sz="4" w:space="0" w:color="auto"/>
              <w:left w:val="nil"/>
              <w:bottom w:val="single" w:sz="4" w:space="0" w:color="auto"/>
              <w:right w:val="single" w:sz="4" w:space="0" w:color="auto"/>
            </w:tcBorders>
            <w:shd w:val="clear" w:color="000000" w:fill="EEECE1"/>
            <w:vAlign w:val="center"/>
            <w:hideMark/>
          </w:tcPr>
          <w:p w:rsidR="0089268C" w:rsidRDefault="00C3610E">
            <w:pPr>
              <w:pStyle w:val="Tablehead"/>
              <w:rPr>
                <w:lang w:val="en-US" w:eastAsia="fr-FR"/>
              </w:rPr>
            </w:pPr>
            <w:r>
              <w:rPr>
                <w:lang w:val="en-US" w:eastAsia="fr-FR"/>
              </w:rPr>
              <w:t>Total number of active RLAN density per Inhabitant</w:t>
            </w:r>
          </w:p>
        </w:tc>
        <w:tc>
          <w:tcPr>
            <w:tcW w:w="993" w:type="dxa"/>
            <w:tcBorders>
              <w:top w:val="single" w:sz="4" w:space="0" w:color="auto"/>
              <w:left w:val="nil"/>
              <w:bottom w:val="single" w:sz="4" w:space="0" w:color="auto"/>
              <w:right w:val="single" w:sz="4" w:space="0" w:color="auto"/>
            </w:tcBorders>
            <w:shd w:val="clear" w:color="000000" w:fill="EEECE1"/>
            <w:vAlign w:val="center"/>
            <w:hideMark/>
          </w:tcPr>
          <w:p w:rsidR="0089268C" w:rsidRDefault="00C3610E">
            <w:pPr>
              <w:pStyle w:val="Tablehead"/>
              <w:rPr>
                <w:lang w:val="fr-FR" w:eastAsia="fr-FR"/>
              </w:rPr>
            </w:pPr>
            <w:r>
              <w:rPr>
                <w:lang w:val="fr-FR" w:eastAsia="fr-FR"/>
              </w:rPr>
              <w:t>Urban</w:t>
            </w:r>
          </w:p>
        </w:tc>
        <w:tc>
          <w:tcPr>
            <w:tcW w:w="1134" w:type="dxa"/>
            <w:tcBorders>
              <w:top w:val="single" w:sz="4" w:space="0" w:color="auto"/>
              <w:left w:val="nil"/>
              <w:bottom w:val="single" w:sz="4" w:space="0" w:color="auto"/>
              <w:right w:val="single" w:sz="4" w:space="0" w:color="auto"/>
            </w:tcBorders>
            <w:shd w:val="clear" w:color="000000" w:fill="EEECE1"/>
            <w:vAlign w:val="center"/>
            <w:hideMark/>
          </w:tcPr>
          <w:p w:rsidR="0089268C" w:rsidRDefault="00C3610E">
            <w:pPr>
              <w:pStyle w:val="Tablehead"/>
              <w:rPr>
                <w:lang w:val="fr-FR" w:eastAsia="fr-FR"/>
              </w:rPr>
            </w:pPr>
            <w:r>
              <w:rPr>
                <w:lang w:val="fr-FR" w:eastAsia="fr-FR"/>
              </w:rPr>
              <w:t>Suburban</w:t>
            </w:r>
          </w:p>
        </w:tc>
        <w:tc>
          <w:tcPr>
            <w:tcW w:w="850" w:type="dxa"/>
            <w:tcBorders>
              <w:top w:val="single" w:sz="4" w:space="0" w:color="auto"/>
              <w:left w:val="nil"/>
              <w:bottom w:val="single" w:sz="4" w:space="0" w:color="auto"/>
              <w:right w:val="single" w:sz="4" w:space="0" w:color="auto"/>
            </w:tcBorders>
            <w:shd w:val="clear" w:color="000000" w:fill="EEECE1"/>
            <w:vAlign w:val="center"/>
            <w:hideMark/>
          </w:tcPr>
          <w:p w:rsidR="0089268C" w:rsidRDefault="00C3610E">
            <w:pPr>
              <w:pStyle w:val="Tablehead"/>
              <w:rPr>
                <w:lang w:val="fr-FR" w:eastAsia="fr-FR"/>
              </w:rPr>
            </w:pPr>
            <w:r>
              <w:rPr>
                <w:lang w:val="fr-FR" w:eastAsia="fr-FR"/>
              </w:rPr>
              <w:t>Rural</w:t>
            </w:r>
          </w:p>
        </w:tc>
      </w:tr>
      <w:tr w:rsidR="0089268C">
        <w:trPr>
          <w:trHeight w:val="300"/>
        </w:trPr>
        <w:tc>
          <w:tcPr>
            <w:tcW w:w="791" w:type="dxa"/>
            <w:tcBorders>
              <w:top w:val="nil"/>
              <w:left w:val="single" w:sz="4" w:space="0" w:color="auto"/>
              <w:bottom w:val="single" w:sz="4" w:space="0" w:color="auto"/>
              <w:right w:val="single" w:sz="4" w:space="0" w:color="auto"/>
            </w:tcBorders>
            <w:shd w:val="clear" w:color="000000" w:fill="EEECE1"/>
            <w:noWrap/>
            <w:vAlign w:val="bottom"/>
            <w:hideMark/>
          </w:tcPr>
          <w:p w:rsidR="0089268C" w:rsidRDefault="00C3610E">
            <w:pPr>
              <w:pStyle w:val="Tabletext"/>
              <w:rPr>
                <w:lang w:val="fr-FR" w:eastAsia="fr-FR"/>
              </w:rPr>
            </w:pPr>
            <w:r>
              <w:rPr>
                <w:lang w:val="fr-FR" w:eastAsia="fr-FR"/>
              </w:rPr>
              <w:t>Europe</w:t>
            </w:r>
          </w:p>
        </w:tc>
        <w:tc>
          <w:tcPr>
            <w:tcW w:w="1548" w:type="dxa"/>
            <w:tcBorders>
              <w:top w:val="nil"/>
              <w:left w:val="nil"/>
              <w:bottom w:val="single" w:sz="4" w:space="0" w:color="auto"/>
              <w:right w:val="single" w:sz="4" w:space="0" w:color="auto"/>
            </w:tcBorders>
            <w:shd w:val="clear" w:color="auto" w:fill="auto"/>
            <w:noWrap/>
            <w:vAlign w:val="bottom"/>
            <w:hideMark/>
          </w:tcPr>
          <w:p w:rsidR="0089268C" w:rsidRDefault="00C3610E">
            <w:pPr>
              <w:pStyle w:val="Tabletext"/>
              <w:jc w:val="center"/>
              <w:rPr>
                <w:lang w:val="fr-FR" w:eastAsia="fr-FR"/>
              </w:rPr>
            </w:pPr>
            <w:r>
              <w:rPr>
                <w:lang w:val="fr-FR" w:eastAsia="fr-FR"/>
              </w:rPr>
              <w:t>728 619 134</w:t>
            </w:r>
          </w:p>
        </w:tc>
        <w:tc>
          <w:tcPr>
            <w:tcW w:w="2137" w:type="dxa"/>
            <w:tcBorders>
              <w:top w:val="nil"/>
              <w:left w:val="nil"/>
              <w:bottom w:val="single" w:sz="4" w:space="0" w:color="auto"/>
              <w:right w:val="single" w:sz="4" w:space="0" w:color="auto"/>
            </w:tcBorders>
            <w:shd w:val="clear" w:color="auto" w:fill="auto"/>
            <w:noWrap/>
            <w:vAlign w:val="bottom"/>
            <w:hideMark/>
          </w:tcPr>
          <w:p w:rsidR="0089268C" w:rsidRDefault="00C3610E">
            <w:pPr>
              <w:pStyle w:val="Tabletext"/>
              <w:jc w:val="center"/>
              <w:rPr>
                <w:lang w:val="fr-FR" w:eastAsia="fr-FR"/>
              </w:rPr>
            </w:pPr>
            <w:r>
              <w:rPr>
                <w:lang w:val="fr-FR" w:eastAsia="fr-FR"/>
              </w:rPr>
              <w:t>0,0022</w:t>
            </w:r>
          </w:p>
        </w:tc>
        <w:tc>
          <w:tcPr>
            <w:tcW w:w="2268" w:type="dxa"/>
            <w:tcBorders>
              <w:top w:val="nil"/>
              <w:left w:val="nil"/>
              <w:bottom w:val="single" w:sz="4" w:space="0" w:color="auto"/>
              <w:right w:val="single" w:sz="4" w:space="0" w:color="auto"/>
            </w:tcBorders>
            <w:shd w:val="clear" w:color="auto" w:fill="auto"/>
            <w:noWrap/>
            <w:vAlign w:val="bottom"/>
            <w:hideMark/>
          </w:tcPr>
          <w:p w:rsidR="0089268C" w:rsidRDefault="00C3610E">
            <w:pPr>
              <w:pStyle w:val="Tabletext"/>
              <w:jc w:val="center"/>
              <w:rPr>
                <w:lang w:val="fr-FR" w:eastAsia="fr-FR"/>
              </w:rPr>
            </w:pPr>
            <w:r>
              <w:rPr>
                <w:lang w:val="fr-FR" w:eastAsia="fr-FR"/>
              </w:rPr>
              <w:t>1 602 962</w:t>
            </w:r>
          </w:p>
        </w:tc>
        <w:tc>
          <w:tcPr>
            <w:tcW w:w="993" w:type="dxa"/>
            <w:tcBorders>
              <w:top w:val="nil"/>
              <w:left w:val="nil"/>
              <w:bottom w:val="single" w:sz="4" w:space="0" w:color="auto"/>
              <w:right w:val="single" w:sz="4" w:space="0" w:color="auto"/>
            </w:tcBorders>
            <w:shd w:val="clear" w:color="auto" w:fill="auto"/>
            <w:noWrap/>
            <w:vAlign w:val="bottom"/>
            <w:hideMark/>
          </w:tcPr>
          <w:p w:rsidR="0089268C" w:rsidRDefault="00C3610E">
            <w:pPr>
              <w:pStyle w:val="Tabletext"/>
              <w:jc w:val="center"/>
            </w:pPr>
            <w:r>
              <w:t>802 239</w:t>
            </w:r>
          </w:p>
        </w:tc>
        <w:tc>
          <w:tcPr>
            <w:tcW w:w="1134" w:type="dxa"/>
            <w:tcBorders>
              <w:top w:val="nil"/>
              <w:left w:val="nil"/>
              <w:bottom w:val="single" w:sz="4" w:space="0" w:color="auto"/>
              <w:right w:val="single" w:sz="4" w:space="0" w:color="auto"/>
            </w:tcBorders>
            <w:shd w:val="clear" w:color="auto" w:fill="auto"/>
            <w:noWrap/>
            <w:vAlign w:val="bottom"/>
            <w:hideMark/>
          </w:tcPr>
          <w:p w:rsidR="0089268C" w:rsidRDefault="00C3610E">
            <w:pPr>
              <w:pStyle w:val="Tabletext"/>
              <w:jc w:val="center"/>
            </w:pPr>
            <w:r>
              <w:t>431 159</w:t>
            </w:r>
          </w:p>
        </w:tc>
        <w:tc>
          <w:tcPr>
            <w:tcW w:w="850" w:type="dxa"/>
            <w:tcBorders>
              <w:top w:val="nil"/>
              <w:left w:val="nil"/>
              <w:bottom w:val="single" w:sz="4" w:space="0" w:color="auto"/>
              <w:right w:val="single" w:sz="4" w:space="0" w:color="auto"/>
            </w:tcBorders>
            <w:shd w:val="clear" w:color="auto" w:fill="auto"/>
            <w:noWrap/>
            <w:vAlign w:val="bottom"/>
            <w:hideMark/>
          </w:tcPr>
          <w:p w:rsidR="0089268C" w:rsidRDefault="00C3610E">
            <w:pPr>
              <w:pStyle w:val="Tabletext"/>
              <w:jc w:val="center"/>
            </w:pPr>
            <w:r>
              <w:t>369 564</w:t>
            </w:r>
          </w:p>
        </w:tc>
      </w:tr>
      <w:tr w:rsidR="0089268C">
        <w:trPr>
          <w:trHeight w:val="300"/>
        </w:trPr>
        <w:tc>
          <w:tcPr>
            <w:tcW w:w="791" w:type="dxa"/>
            <w:tcBorders>
              <w:top w:val="nil"/>
              <w:left w:val="single" w:sz="4" w:space="0" w:color="auto"/>
              <w:bottom w:val="single" w:sz="4" w:space="0" w:color="auto"/>
              <w:right w:val="single" w:sz="4" w:space="0" w:color="auto"/>
            </w:tcBorders>
            <w:shd w:val="clear" w:color="000000" w:fill="EEECE1"/>
            <w:noWrap/>
            <w:vAlign w:val="bottom"/>
            <w:hideMark/>
          </w:tcPr>
          <w:p w:rsidR="0089268C" w:rsidRDefault="00C3610E">
            <w:pPr>
              <w:pStyle w:val="Tabletext"/>
              <w:rPr>
                <w:lang w:val="fr-FR" w:eastAsia="fr-FR"/>
              </w:rPr>
            </w:pPr>
            <w:r>
              <w:rPr>
                <w:lang w:val="fr-FR" w:eastAsia="fr-FR"/>
              </w:rPr>
              <w:t>Africa</w:t>
            </w:r>
          </w:p>
        </w:tc>
        <w:tc>
          <w:tcPr>
            <w:tcW w:w="1548" w:type="dxa"/>
            <w:tcBorders>
              <w:top w:val="nil"/>
              <w:left w:val="nil"/>
              <w:bottom w:val="single" w:sz="4" w:space="0" w:color="auto"/>
              <w:right w:val="single" w:sz="4" w:space="0" w:color="auto"/>
            </w:tcBorders>
            <w:shd w:val="clear" w:color="auto" w:fill="auto"/>
            <w:noWrap/>
            <w:vAlign w:val="bottom"/>
            <w:hideMark/>
          </w:tcPr>
          <w:p w:rsidR="0089268C" w:rsidRDefault="00C3610E">
            <w:pPr>
              <w:pStyle w:val="Tabletext"/>
              <w:jc w:val="center"/>
              <w:rPr>
                <w:lang w:val="fr-FR" w:eastAsia="fr-FR"/>
              </w:rPr>
            </w:pPr>
            <w:r>
              <w:rPr>
                <w:lang w:val="fr-FR" w:eastAsia="fr-FR"/>
              </w:rPr>
              <w:t>812 404 910</w:t>
            </w:r>
          </w:p>
        </w:tc>
        <w:tc>
          <w:tcPr>
            <w:tcW w:w="2137" w:type="dxa"/>
            <w:tcBorders>
              <w:top w:val="nil"/>
              <w:left w:val="nil"/>
              <w:bottom w:val="single" w:sz="4" w:space="0" w:color="auto"/>
              <w:right w:val="single" w:sz="4" w:space="0" w:color="auto"/>
            </w:tcBorders>
            <w:shd w:val="clear" w:color="auto" w:fill="auto"/>
            <w:noWrap/>
            <w:vAlign w:val="bottom"/>
            <w:hideMark/>
          </w:tcPr>
          <w:p w:rsidR="0089268C" w:rsidRDefault="00C3610E">
            <w:pPr>
              <w:pStyle w:val="Tabletext"/>
              <w:jc w:val="center"/>
              <w:rPr>
                <w:lang w:val="fr-FR" w:eastAsia="fr-FR"/>
              </w:rPr>
            </w:pPr>
            <w:r>
              <w:rPr>
                <w:lang w:val="fr-FR" w:eastAsia="fr-FR"/>
              </w:rPr>
              <w:t>0,00055</w:t>
            </w:r>
          </w:p>
        </w:tc>
        <w:tc>
          <w:tcPr>
            <w:tcW w:w="2268" w:type="dxa"/>
            <w:tcBorders>
              <w:top w:val="nil"/>
              <w:left w:val="nil"/>
              <w:bottom w:val="single" w:sz="4" w:space="0" w:color="auto"/>
              <w:right w:val="single" w:sz="4" w:space="0" w:color="auto"/>
            </w:tcBorders>
            <w:shd w:val="clear" w:color="auto" w:fill="auto"/>
            <w:noWrap/>
            <w:vAlign w:val="bottom"/>
            <w:hideMark/>
          </w:tcPr>
          <w:p w:rsidR="0089268C" w:rsidRDefault="00C3610E">
            <w:pPr>
              <w:pStyle w:val="Tabletext"/>
              <w:jc w:val="center"/>
              <w:rPr>
                <w:lang w:val="fr-FR" w:eastAsia="fr-FR"/>
              </w:rPr>
            </w:pPr>
            <w:r>
              <w:rPr>
                <w:lang w:val="fr-FR" w:eastAsia="fr-FR"/>
              </w:rPr>
              <w:t>446 822</w:t>
            </w:r>
          </w:p>
        </w:tc>
        <w:tc>
          <w:tcPr>
            <w:tcW w:w="993" w:type="dxa"/>
            <w:tcBorders>
              <w:top w:val="nil"/>
              <w:left w:val="nil"/>
              <w:bottom w:val="single" w:sz="4" w:space="0" w:color="auto"/>
              <w:right w:val="single" w:sz="4" w:space="0" w:color="auto"/>
            </w:tcBorders>
            <w:shd w:val="clear" w:color="auto" w:fill="auto"/>
            <w:noWrap/>
            <w:vAlign w:val="bottom"/>
            <w:hideMark/>
          </w:tcPr>
          <w:p w:rsidR="0089268C" w:rsidRDefault="00C3610E">
            <w:pPr>
              <w:pStyle w:val="Tabletext"/>
              <w:jc w:val="center"/>
            </w:pPr>
            <w:r>
              <w:t>225 199</w:t>
            </w:r>
          </w:p>
        </w:tc>
        <w:tc>
          <w:tcPr>
            <w:tcW w:w="1134" w:type="dxa"/>
            <w:tcBorders>
              <w:top w:val="nil"/>
              <w:left w:val="nil"/>
              <w:bottom w:val="single" w:sz="4" w:space="0" w:color="auto"/>
              <w:right w:val="single" w:sz="4" w:space="0" w:color="auto"/>
            </w:tcBorders>
            <w:shd w:val="clear" w:color="auto" w:fill="auto"/>
            <w:noWrap/>
            <w:vAlign w:val="bottom"/>
            <w:hideMark/>
          </w:tcPr>
          <w:p w:rsidR="0089268C" w:rsidRDefault="00C3610E">
            <w:pPr>
              <w:pStyle w:val="Tabletext"/>
              <w:jc w:val="center"/>
            </w:pPr>
            <w:r>
              <w:t>103 455</w:t>
            </w:r>
          </w:p>
        </w:tc>
        <w:tc>
          <w:tcPr>
            <w:tcW w:w="850" w:type="dxa"/>
            <w:tcBorders>
              <w:top w:val="nil"/>
              <w:left w:val="nil"/>
              <w:bottom w:val="single" w:sz="4" w:space="0" w:color="auto"/>
              <w:right w:val="single" w:sz="4" w:space="0" w:color="auto"/>
            </w:tcBorders>
            <w:shd w:val="clear" w:color="auto" w:fill="auto"/>
            <w:noWrap/>
            <w:vAlign w:val="bottom"/>
            <w:hideMark/>
          </w:tcPr>
          <w:p w:rsidR="0089268C" w:rsidRDefault="00C3610E">
            <w:pPr>
              <w:pStyle w:val="Tabletext"/>
              <w:jc w:val="center"/>
            </w:pPr>
            <w:r>
              <w:t>118 168</w:t>
            </w:r>
          </w:p>
        </w:tc>
      </w:tr>
      <w:tr w:rsidR="0089268C">
        <w:trPr>
          <w:trHeight w:val="300"/>
        </w:trPr>
        <w:tc>
          <w:tcPr>
            <w:tcW w:w="791" w:type="dxa"/>
            <w:tcBorders>
              <w:top w:val="nil"/>
              <w:left w:val="single" w:sz="4" w:space="0" w:color="auto"/>
              <w:bottom w:val="single" w:sz="4" w:space="0" w:color="auto"/>
              <w:right w:val="single" w:sz="4" w:space="0" w:color="auto"/>
            </w:tcBorders>
            <w:shd w:val="clear" w:color="000000" w:fill="EEECE1"/>
            <w:noWrap/>
            <w:vAlign w:val="bottom"/>
            <w:hideMark/>
          </w:tcPr>
          <w:p w:rsidR="0089268C" w:rsidRDefault="00C3610E">
            <w:pPr>
              <w:pStyle w:val="Tabletext"/>
              <w:rPr>
                <w:lang w:val="fr-FR" w:eastAsia="fr-FR"/>
              </w:rPr>
            </w:pPr>
            <w:r>
              <w:rPr>
                <w:lang w:val="fr-FR" w:eastAsia="fr-FR"/>
              </w:rPr>
              <w:t>Asia</w:t>
            </w:r>
          </w:p>
        </w:tc>
        <w:tc>
          <w:tcPr>
            <w:tcW w:w="1548" w:type="dxa"/>
            <w:tcBorders>
              <w:top w:val="nil"/>
              <w:left w:val="nil"/>
              <w:bottom w:val="single" w:sz="4" w:space="0" w:color="auto"/>
              <w:right w:val="single" w:sz="4" w:space="0" w:color="auto"/>
            </w:tcBorders>
            <w:shd w:val="clear" w:color="auto" w:fill="auto"/>
            <w:noWrap/>
            <w:vAlign w:val="bottom"/>
            <w:hideMark/>
          </w:tcPr>
          <w:p w:rsidR="0089268C" w:rsidRDefault="00C3610E">
            <w:pPr>
              <w:pStyle w:val="Tabletext"/>
              <w:jc w:val="center"/>
              <w:rPr>
                <w:lang w:val="fr-FR" w:eastAsia="fr-FR"/>
              </w:rPr>
            </w:pPr>
            <w:r>
              <w:rPr>
                <w:lang w:val="fr-FR" w:eastAsia="fr-FR"/>
              </w:rPr>
              <w:t>3 676 824 724</w:t>
            </w:r>
          </w:p>
        </w:tc>
        <w:tc>
          <w:tcPr>
            <w:tcW w:w="2137" w:type="dxa"/>
            <w:tcBorders>
              <w:top w:val="nil"/>
              <w:left w:val="nil"/>
              <w:bottom w:val="single" w:sz="4" w:space="0" w:color="auto"/>
              <w:right w:val="single" w:sz="4" w:space="0" w:color="auto"/>
            </w:tcBorders>
            <w:shd w:val="clear" w:color="auto" w:fill="auto"/>
            <w:noWrap/>
            <w:vAlign w:val="bottom"/>
            <w:hideMark/>
          </w:tcPr>
          <w:p w:rsidR="0089268C" w:rsidRDefault="00C3610E">
            <w:pPr>
              <w:pStyle w:val="Tabletext"/>
              <w:jc w:val="center"/>
              <w:rPr>
                <w:lang w:val="fr-FR" w:eastAsia="fr-FR"/>
              </w:rPr>
            </w:pPr>
            <w:r>
              <w:rPr>
                <w:lang w:val="fr-FR" w:eastAsia="fr-FR"/>
              </w:rPr>
              <w:t>0,00055</w:t>
            </w:r>
          </w:p>
        </w:tc>
        <w:tc>
          <w:tcPr>
            <w:tcW w:w="2268" w:type="dxa"/>
            <w:tcBorders>
              <w:top w:val="nil"/>
              <w:left w:val="nil"/>
              <w:bottom w:val="single" w:sz="4" w:space="0" w:color="auto"/>
              <w:right w:val="single" w:sz="4" w:space="0" w:color="auto"/>
            </w:tcBorders>
            <w:shd w:val="clear" w:color="auto" w:fill="auto"/>
            <w:noWrap/>
            <w:vAlign w:val="bottom"/>
            <w:hideMark/>
          </w:tcPr>
          <w:p w:rsidR="0089268C" w:rsidRDefault="00C3610E">
            <w:pPr>
              <w:pStyle w:val="Tabletext"/>
              <w:jc w:val="center"/>
              <w:rPr>
                <w:lang w:val="fr-FR" w:eastAsia="fr-FR"/>
              </w:rPr>
            </w:pPr>
            <w:r>
              <w:rPr>
                <w:lang w:val="fr-FR" w:eastAsia="fr-FR"/>
              </w:rPr>
              <w:t>2 022 253</w:t>
            </w:r>
          </w:p>
        </w:tc>
        <w:tc>
          <w:tcPr>
            <w:tcW w:w="993" w:type="dxa"/>
            <w:tcBorders>
              <w:top w:val="nil"/>
              <w:left w:val="nil"/>
              <w:bottom w:val="single" w:sz="4" w:space="0" w:color="auto"/>
              <w:right w:val="single" w:sz="4" w:space="0" w:color="auto"/>
            </w:tcBorders>
            <w:shd w:val="clear" w:color="auto" w:fill="auto"/>
            <w:noWrap/>
            <w:vAlign w:val="bottom"/>
            <w:hideMark/>
          </w:tcPr>
          <w:p w:rsidR="0089268C" w:rsidRDefault="00C3610E">
            <w:pPr>
              <w:pStyle w:val="Tabletext"/>
              <w:jc w:val="center"/>
            </w:pPr>
            <w:r>
              <w:t>1 012 769</w:t>
            </w:r>
          </w:p>
        </w:tc>
        <w:tc>
          <w:tcPr>
            <w:tcW w:w="1134" w:type="dxa"/>
            <w:tcBorders>
              <w:top w:val="nil"/>
              <w:left w:val="nil"/>
              <w:bottom w:val="single" w:sz="4" w:space="0" w:color="auto"/>
              <w:right w:val="single" w:sz="4" w:space="0" w:color="auto"/>
            </w:tcBorders>
            <w:shd w:val="clear" w:color="auto" w:fill="auto"/>
            <w:noWrap/>
            <w:vAlign w:val="bottom"/>
            <w:hideMark/>
          </w:tcPr>
          <w:p w:rsidR="0089268C" w:rsidRDefault="00C3610E">
            <w:pPr>
              <w:pStyle w:val="Tabletext"/>
              <w:jc w:val="center"/>
            </w:pPr>
            <w:r>
              <w:t>465 666</w:t>
            </w:r>
          </w:p>
        </w:tc>
        <w:tc>
          <w:tcPr>
            <w:tcW w:w="850" w:type="dxa"/>
            <w:tcBorders>
              <w:top w:val="nil"/>
              <w:left w:val="nil"/>
              <w:bottom w:val="single" w:sz="4" w:space="0" w:color="auto"/>
              <w:right w:val="single" w:sz="4" w:space="0" w:color="auto"/>
            </w:tcBorders>
            <w:shd w:val="clear" w:color="auto" w:fill="auto"/>
            <w:noWrap/>
            <w:vAlign w:val="bottom"/>
            <w:hideMark/>
          </w:tcPr>
          <w:p w:rsidR="0089268C" w:rsidRDefault="00C3610E">
            <w:pPr>
              <w:pStyle w:val="Tabletext"/>
              <w:jc w:val="center"/>
            </w:pPr>
            <w:r>
              <w:t>543 818</w:t>
            </w:r>
          </w:p>
        </w:tc>
      </w:tr>
    </w:tbl>
    <w:p w:rsidR="008D72A0" w:rsidRDefault="008D72A0" w:rsidP="008D72A0">
      <w:pPr>
        <w:pStyle w:val="Tablefin"/>
      </w:pPr>
    </w:p>
    <w:p w:rsidR="0089268C" w:rsidRPr="001E7D0F" w:rsidRDefault="00C3610E" w:rsidP="00FC4533">
      <w:pPr>
        <w:pStyle w:val="Heading4"/>
      </w:pPr>
      <w:r w:rsidRPr="001E7D0F">
        <w:t>5.1.6.</w:t>
      </w:r>
      <w:r w:rsidR="00FC4533">
        <w:t>6</w:t>
      </w:r>
      <w:r w:rsidRPr="001E7D0F">
        <w:tab/>
        <w:t xml:space="preserve">Simulation results </w:t>
      </w:r>
    </w:p>
    <w:p w:rsidR="0089268C" w:rsidRDefault="00C3610E">
      <w:pPr>
        <w:rPr>
          <w:rFonts w:eastAsiaTheme="minorHAnsi"/>
        </w:rPr>
      </w:pPr>
      <w:r>
        <w:rPr>
          <w:lang w:val="en-US"/>
        </w:rPr>
        <w:t>In the following the three scenarios presented in Tables 1, 2, 3 and 4 are studied. The complementary cumulative distribution function is plotted based the computed I/N for all the positions of the satellite depicted above.</w:t>
      </w:r>
    </w:p>
    <w:p w:rsidR="0089268C" w:rsidRDefault="00C3610E" w:rsidP="00FC4533">
      <w:pPr>
        <w:pStyle w:val="Heading5"/>
      </w:pPr>
      <w:r>
        <w:t>5.1.6.</w:t>
      </w:r>
      <w:r w:rsidR="00FC4533">
        <w:t>6</w:t>
      </w:r>
      <w:r>
        <w:t>.1</w:t>
      </w:r>
      <w:r>
        <w:tab/>
        <w:t>Results for Table 1</w:t>
      </w:r>
    </w:p>
    <w:p w:rsidR="0089268C" w:rsidRDefault="00C3610E">
      <w:r w:rsidRPr="001E7D0F">
        <w:rPr>
          <w:lang w:val="en-US"/>
        </w:rPr>
        <w:fldChar w:fldCharType="begin"/>
      </w:r>
      <w:r>
        <w:rPr>
          <w:lang w:val="en-US"/>
        </w:rPr>
        <w:instrText xml:space="preserve"> REF _Ref495924396 \h  \* MERGEFORMAT </w:instrText>
      </w:r>
      <w:r w:rsidRPr="001E7D0F">
        <w:rPr>
          <w:lang w:val="en-US"/>
        </w:rPr>
      </w:r>
      <w:r w:rsidRPr="001E7D0F">
        <w:rPr>
          <w:lang w:val="en-US"/>
        </w:rPr>
        <w:fldChar w:fldCharType="separate"/>
      </w:r>
      <w:r>
        <w:t xml:space="preserve">Figure </w:t>
      </w:r>
      <w:r>
        <w:rPr>
          <w:noProof/>
        </w:rPr>
        <w:t>18</w:t>
      </w:r>
      <w:r w:rsidRPr="001E7D0F">
        <w:rPr>
          <w:lang w:val="en-US"/>
        </w:rPr>
        <w:fldChar w:fldCharType="end"/>
      </w:r>
      <w:r>
        <w:rPr>
          <w:lang w:val="en-US"/>
        </w:rPr>
        <w:t xml:space="preserve"> depicts the simulation results assessed according to Table 1 (Table 1A Doc. </w:t>
      </w:r>
      <w:r>
        <w:t>[RLAN REQ</w:t>
      </w:r>
      <w:r>
        <w:noBreakHyphen/>
        <w:t>PAR]). We can observe, that the protection criterion of I/N=-12.2 dB (namely 6% for ∆T/T), is exceeded 73.5% of time when the mitigation technique is not applied and 56.5% of the time when the mitigation technique is applied. One shall notes that the case described in Table 1, take into account 5% of outdoor usage, which is mainly the accidental outdoor usage. The exceedance in I/N is about 3 dB.</w:t>
      </w:r>
    </w:p>
    <w:p w:rsidR="0089268C" w:rsidRDefault="00C3610E">
      <w:pPr>
        <w:pStyle w:val="FigureNo"/>
        <w:rPr>
          <w:lang w:val="en-US"/>
        </w:rPr>
      </w:pPr>
      <w:bookmarkStart w:id="95" w:name="_Ref495924396"/>
      <w:r>
        <w:t xml:space="preserve">Figure </w:t>
      </w:r>
      <w:bookmarkEnd w:id="95"/>
      <w:r w:rsidRPr="001E7D0F">
        <w:fldChar w:fldCharType="begin"/>
      </w:r>
      <w:r>
        <w:instrText xml:space="preserve"> SEQ Figure \* ARABIC </w:instrText>
      </w:r>
      <w:r w:rsidRPr="001E7D0F">
        <w:fldChar w:fldCharType="separate"/>
      </w:r>
      <w:r>
        <w:rPr>
          <w:noProof/>
        </w:rPr>
        <w:t>18</w:t>
      </w:r>
      <w:r w:rsidRPr="001E7D0F">
        <w:fldChar w:fldCharType="end"/>
      </w:r>
    </w:p>
    <w:p w:rsidR="0089268C" w:rsidRDefault="00C3610E" w:rsidP="005C1912">
      <w:pPr>
        <w:pStyle w:val="Figuretitle"/>
        <w:rPr>
          <w:lang w:val="en-US"/>
        </w:rPr>
      </w:pPr>
      <w:r>
        <w:rPr>
          <w:lang w:val="en-US"/>
        </w:rPr>
        <w:t>Simulation results with and without the mitigation technique according to Table 1</w:t>
      </w:r>
    </w:p>
    <w:p w:rsidR="0089268C" w:rsidRDefault="00C3610E" w:rsidP="008D72A0">
      <w:pPr>
        <w:pStyle w:val="Figure"/>
      </w:pPr>
      <w:r w:rsidRPr="001E7D0F">
        <w:rPr>
          <w:lang w:val="en-GB"/>
        </w:rPr>
        <w:drawing>
          <wp:inline distT="0" distB="0" distL="0" distR="0">
            <wp:extent cx="4152568" cy="3113188"/>
            <wp:effectExtent l="0" t="0" r="0" b="0"/>
            <wp:docPr id="19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52586" cy="3113202"/>
                    </a:xfrm>
                    <a:prstGeom prst="rect">
                      <a:avLst/>
                    </a:prstGeom>
                    <a:noFill/>
                    <a:ln>
                      <a:noFill/>
                    </a:ln>
                  </pic:spPr>
                </pic:pic>
              </a:graphicData>
            </a:graphic>
          </wp:inline>
        </w:drawing>
      </w:r>
    </w:p>
    <w:p w:rsidR="0089268C" w:rsidRPr="001E7D0F" w:rsidRDefault="00C3610E" w:rsidP="00FC4533">
      <w:pPr>
        <w:pStyle w:val="Heading5"/>
      </w:pPr>
      <w:r>
        <w:t>5.1.6.</w:t>
      </w:r>
      <w:r w:rsidR="00FC4533">
        <w:t>6</w:t>
      </w:r>
      <w:r w:rsidRPr="001E7D0F">
        <w:t>.2</w:t>
      </w:r>
      <w:r w:rsidRPr="001E7D0F">
        <w:tab/>
        <w:t xml:space="preserve">Results </w:t>
      </w:r>
      <w:r>
        <w:t>for</w:t>
      </w:r>
      <w:r w:rsidRPr="001E7D0F">
        <w:t xml:space="preserve"> Table</w:t>
      </w:r>
      <w:r w:rsidR="00BC2088">
        <w:t xml:space="preserve"> </w:t>
      </w:r>
      <w:r w:rsidRPr="001E7D0F">
        <w:t>2</w:t>
      </w:r>
    </w:p>
    <w:p w:rsidR="0089268C" w:rsidRDefault="00C3610E">
      <w:pPr>
        <w:rPr>
          <w:lang w:val="en-US"/>
        </w:rPr>
      </w:pPr>
      <w:r w:rsidRPr="001E7D0F">
        <w:rPr>
          <w:lang w:val="fr-FR"/>
        </w:rPr>
        <w:fldChar w:fldCharType="begin"/>
      </w:r>
      <w:r>
        <w:rPr>
          <w:lang w:val="en-US"/>
        </w:rPr>
        <w:instrText xml:space="preserve"> REF _Ref495924779 \h  \* MERGEFORMAT </w:instrText>
      </w:r>
      <w:r w:rsidRPr="001E7D0F">
        <w:rPr>
          <w:lang w:val="fr-FR"/>
        </w:rPr>
      </w:r>
      <w:r w:rsidRPr="001E7D0F">
        <w:rPr>
          <w:lang w:val="fr-FR"/>
        </w:rPr>
        <w:fldChar w:fldCharType="separate"/>
      </w:r>
      <w:r>
        <w:t xml:space="preserve">Figure </w:t>
      </w:r>
      <w:r w:rsidRPr="001E7D0F">
        <w:rPr>
          <w:lang w:val="fr-FR"/>
        </w:rPr>
        <w:fldChar w:fldCharType="end"/>
      </w:r>
      <w:r>
        <w:rPr>
          <w:noProof/>
        </w:rPr>
        <w:t>19</w:t>
      </w:r>
      <w:r>
        <w:rPr>
          <w:lang w:val="en-US"/>
        </w:rPr>
        <w:t xml:space="preserve"> depicts the simulation results assessed according to Table 3A (Doc. [RLAN REQ-PAR]). We can observe, that the protection criterion of I/N=-12.2 dB is exceeded for all the satellites </w:t>
      </w:r>
      <w:r>
        <w:rPr>
          <w:lang w:val="en-US"/>
        </w:rPr>
        <w:lastRenderedPageBreak/>
        <w:t>positions studied in our simulations scenario. The mitigation technique allows to reduce the exceedance of the criterion protection by ~3 dB.</w:t>
      </w:r>
    </w:p>
    <w:p w:rsidR="0089268C" w:rsidRDefault="00C3610E">
      <w:pPr>
        <w:pStyle w:val="FigureNo"/>
        <w:rPr>
          <w:lang w:val="en-US"/>
        </w:rPr>
      </w:pPr>
      <w:bookmarkStart w:id="96" w:name="_Ref495924779"/>
      <w:r>
        <w:t xml:space="preserve">Figure </w:t>
      </w:r>
      <w:r w:rsidRPr="001E7D0F">
        <w:fldChar w:fldCharType="begin"/>
      </w:r>
      <w:r>
        <w:instrText xml:space="preserve"> SEQ Figure \* ARABIC </w:instrText>
      </w:r>
      <w:r w:rsidRPr="001E7D0F">
        <w:fldChar w:fldCharType="separate"/>
      </w:r>
      <w:r>
        <w:rPr>
          <w:noProof/>
        </w:rPr>
        <w:t>19</w:t>
      </w:r>
      <w:r w:rsidRPr="001E7D0F">
        <w:fldChar w:fldCharType="end"/>
      </w:r>
      <w:bookmarkEnd w:id="96"/>
    </w:p>
    <w:p w:rsidR="0089268C" w:rsidRDefault="00C3610E" w:rsidP="005C1912">
      <w:pPr>
        <w:pStyle w:val="Figuretitle"/>
        <w:rPr>
          <w:lang w:val="en-US"/>
        </w:rPr>
      </w:pPr>
      <w:r>
        <w:rPr>
          <w:lang w:val="en-US"/>
        </w:rPr>
        <w:t>Simulation results with and without the mitigation technique according to Table 2</w:t>
      </w:r>
    </w:p>
    <w:p w:rsidR="0089268C" w:rsidRDefault="00C3610E" w:rsidP="008D72A0">
      <w:pPr>
        <w:pStyle w:val="Figure"/>
      </w:pPr>
      <w:r w:rsidRPr="001E7D0F">
        <w:rPr>
          <w:lang w:val="en-GB"/>
        </w:rPr>
        <w:drawing>
          <wp:inline distT="0" distB="0" distL="0" distR="0">
            <wp:extent cx="4187820" cy="3139616"/>
            <wp:effectExtent l="0" t="0" r="0" b="0"/>
            <wp:docPr id="19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87838" cy="3139630"/>
                    </a:xfrm>
                    <a:prstGeom prst="rect">
                      <a:avLst/>
                    </a:prstGeom>
                    <a:noFill/>
                    <a:ln>
                      <a:noFill/>
                    </a:ln>
                  </pic:spPr>
                </pic:pic>
              </a:graphicData>
            </a:graphic>
          </wp:inline>
        </w:drawing>
      </w:r>
    </w:p>
    <w:p w:rsidR="0089268C" w:rsidRPr="001E7D0F" w:rsidRDefault="00C3610E" w:rsidP="00FC4533">
      <w:pPr>
        <w:pStyle w:val="Heading5"/>
      </w:pPr>
      <w:r>
        <w:t>5.1.6.</w:t>
      </w:r>
      <w:r w:rsidR="00FC4533">
        <w:t>6</w:t>
      </w:r>
      <w:r w:rsidRPr="001E7D0F">
        <w:t>.3</w:t>
      </w:r>
      <w:r w:rsidRPr="001E7D0F">
        <w:tab/>
        <w:t>Results for Table 3</w:t>
      </w:r>
    </w:p>
    <w:p w:rsidR="0089268C" w:rsidRDefault="00C3610E">
      <w:pPr>
        <w:rPr>
          <w:lang w:val="en-US"/>
        </w:rPr>
      </w:pPr>
      <w:r w:rsidRPr="001E7D0F">
        <w:rPr>
          <w:lang w:val="fr-FR"/>
        </w:rPr>
        <w:fldChar w:fldCharType="begin"/>
      </w:r>
      <w:r>
        <w:rPr>
          <w:lang w:val="en-US"/>
        </w:rPr>
        <w:instrText xml:space="preserve"> REF _Ref495925102 \h  \* MERGEFORMAT </w:instrText>
      </w:r>
      <w:r w:rsidRPr="001E7D0F">
        <w:rPr>
          <w:lang w:val="fr-FR"/>
        </w:rPr>
      </w:r>
      <w:r w:rsidRPr="001E7D0F">
        <w:rPr>
          <w:lang w:val="fr-FR"/>
        </w:rPr>
        <w:fldChar w:fldCharType="separate"/>
      </w:r>
      <w:r>
        <w:t xml:space="preserve">Figure </w:t>
      </w:r>
      <w:r w:rsidRPr="001E7D0F">
        <w:rPr>
          <w:lang w:val="fr-FR"/>
        </w:rPr>
        <w:fldChar w:fldCharType="end"/>
      </w:r>
      <w:r>
        <w:rPr>
          <w:noProof/>
        </w:rPr>
        <w:t>20</w:t>
      </w:r>
      <w:r>
        <w:rPr>
          <w:lang w:val="en-US"/>
        </w:rPr>
        <w:t xml:space="preserve"> depicts the simulation results according to Table 3 of this document. Here again, we can observe, that the protection criterion of I/N=-12.2 dB, is exceeded for all the satellites positions studied in our simulations scenario. The mitigation technique allows to reduce the exceedance of the criterion protection by ~6 dB.</w:t>
      </w:r>
    </w:p>
    <w:p w:rsidR="0089268C" w:rsidRDefault="00C3610E">
      <w:pPr>
        <w:pStyle w:val="FigureNo"/>
        <w:rPr>
          <w:lang w:val="en-US"/>
        </w:rPr>
      </w:pPr>
      <w:bookmarkStart w:id="97" w:name="_Ref495925102"/>
      <w:r>
        <w:lastRenderedPageBreak/>
        <w:t xml:space="preserve">Figure </w:t>
      </w:r>
      <w:bookmarkEnd w:id="97"/>
      <w:r w:rsidRPr="001E7D0F">
        <w:fldChar w:fldCharType="begin"/>
      </w:r>
      <w:r>
        <w:instrText xml:space="preserve"> SEQ Figure \* ARABIC </w:instrText>
      </w:r>
      <w:r w:rsidRPr="001E7D0F">
        <w:fldChar w:fldCharType="separate"/>
      </w:r>
      <w:r>
        <w:rPr>
          <w:noProof/>
        </w:rPr>
        <w:t>20</w:t>
      </w:r>
      <w:r w:rsidRPr="001E7D0F">
        <w:fldChar w:fldCharType="end"/>
      </w:r>
    </w:p>
    <w:p w:rsidR="0089268C" w:rsidRDefault="00C3610E" w:rsidP="005C1912">
      <w:pPr>
        <w:pStyle w:val="Figuretitle"/>
        <w:rPr>
          <w:lang w:val="en-US"/>
        </w:rPr>
      </w:pPr>
      <w:r>
        <w:rPr>
          <w:lang w:val="en-US"/>
        </w:rPr>
        <w:t>Simulation results with and without the mitigation technique according to Table 3</w:t>
      </w:r>
    </w:p>
    <w:p w:rsidR="0089268C" w:rsidRDefault="00C3610E" w:rsidP="008D72A0">
      <w:pPr>
        <w:pStyle w:val="Figure"/>
      </w:pPr>
      <w:r w:rsidRPr="001E7D0F">
        <w:rPr>
          <w:lang w:val="en-GB"/>
        </w:rPr>
        <w:drawing>
          <wp:inline distT="0" distB="0" distL="0" distR="0">
            <wp:extent cx="4393870" cy="3294092"/>
            <wp:effectExtent l="0" t="0" r="0" b="0"/>
            <wp:docPr id="19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395005" cy="3294943"/>
                    </a:xfrm>
                    <a:prstGeom prst="rect">
                      <a:avLst/>
                    </a:prstGeom>
                    <a:noFill/>
                    <a:ln>
                      <a:noFill/>
                    </a:ln>
                  </pic:spPr>
                </pic:pic>
              </a:graphicData>
            </a:graphic>
          </wp:inline>
        </w:drawing>
      </w:r>
    </w:p>
    <w:p w:rsidR="0089268C" w:rsidRPr="001E7D0F" w:rsidRDefault="00C3610E" w:rsidP="00FC4533">
      <w:pPr>
        <w:pStyle w:val="Heading5"/>
      </w:pPr>
      <w:r>
        <w:t>5.1.6.</w:t>
      </w:r>
      <w:r w:rsidR="00FC4533">
        <w:t>6</w:t>
      </w:r>
      <w:r w:rsidRPr="001E7D0F">
        <w:t>.4</w:t>
      </w:r>
      <w:r w:rsidRPr="001E7D0F">
        <w:tab/>
        <w:t>Results for Table 4</w:t>
      </w:r>
    </w:p>
    <w:p w:rsidR="0089268C" w:rsidRDefault="00C3610E">
      <w:pPr>
        <w:rPr>
          <w:lang w:val="en-US"/>
        </w:rPr>
      </w:pPr>
      <w:r>
        <w:rPr>
          <w:lang w:val="en-US"/>
        </w:rPr>
        <w:t>Finally, Figure 12 depicts the results for Table 4. This table proposes an outdoor usage restricted to vehicular application. As stated earlier a 5 dB attenuation is added to take into account the body loss of the vehicle. In this particular case we observe that the protection criterion is exceeded by less that 1 dB only 15,88% of the time. According to those results the solution of vehicular outdoor deployment in this band seems to be the best solution to ensure the protection of the MMS feeder uplink.</w:t>
      </w:r>
    </w:p>
    <w:p w:rsidR="0089268C" w:rsidRDefault="00C3610E">
      <w:pPr>
        <w:pStyle w:val="FigureNo"/>
        <w:rPr>
          <w:lang w:val="en-US"/>
        </w:rPr>
      </w:pPr>
      <w:r>
        <w:lastRenderedPageBreak/>
        <w:t xml:space="preserve">Figure </w:t>
      </w:r>
      <w:r w:rsidRPr="001E7D0F">
        <w:fldChar w:fldCharType="begin"/>
      </w:r>
      <w:r>
        <w:instrText xml:space="preserve"> SEQ Figure \* ARABIC </w:instrText>
      </w:r>
      <w:r w:rsidRPr="001E7D0F">
        <w:fldChar w:fldCharType="separate"/>
      </w:r>
      <w:r>
        <w:rPr>
          <w:noProof/>
        </w:rPr>
        <w:t>21</w:t>
      </w:r>
      <w:r w:rsidRPr="001E7D0F">
        <w:fldChar w:fldCharType="end"/>
      </w:r>
    </w:p>
    <w:p w:rsidR="0089268C" w:rsidRDefault="00C3610E" w:rsidP="005C1912">
      <w:pPr>
        <w:pStyle w:val="Figuretitle"/>
        <w:rPr>
          <w:lang w:val="en-US"/>
        </w:rPr>
      </w:pPr>
      <w:r>
        <w:rPr>
          <w:lang w:val="en-US"/>
        </w:rPr>
        <w:t>Results for Table 4, outdoor vehicle usage, 5 dB additional attenuation to reflect vehicle screening effect.</w:t>
      </w:r>
    </w:p>
    <w:p w:rsidR="0089268C" w:rsidRDefault="00C3610E" w:rsidP="008D72A0">
      <w:pPr>
        <w:pStyle w:val="Figure"/>
      </w:pPr>
      <w:r w:rsidRPr="001E7D0F">
        <w:rPr>
          <w:lang w:val="en-GB"/>
        </w:rPr>
        <w:drawing>
          <wp:inline distT="0" distB="0" distL="0" distR="0">
            <wp:extent cx="4292600" cy="3218170"/>
            <wp:effectExtent l="0" t="0" r="0" b="0"/>
            <wp:docPr id="19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94732" cy="3219769"/>
                    </a:xfrm>
                    <a:prstGeom prst="rect">
                      <a:avLst/>
                    </a:prstGeom>
                    <a:noFill/>
                    <a:ln>
                      <a:noFill/>
                    </a:ln>
                  </pic:spPr>
                </pic:pic>
              </a:graphicData>
            </a:graphic>
          </wp:inline>
        </w:drawing>
      </w:r>
    </w:p>
    <w:p w:rsidR="0089268C" w:rsidRPr="001E7D0F" w:rsidRDefault="00C3610E" w:rsidP="00FC4533">
      <w:pPr>
        <w:pStyle w:val="Heading4"/>
      </w:pPr>
      <w:r w:rsidRPr="001E7D0F">
        <w:t>5.1.6.</w:t>
      </w:r>
      <w:r w:rsidR="00FC4533">
        <w:t>7</w:t>
      </w:r>
      <w:r w:rsidRPr="001E7D0F">
        <w:tab/>
        <w:t xml:space="preserve">Conclusions </w:t>
      </w:r>
    </w:p>
    <w:p w:rsidR="0089268C" w:rsidRDefault="00C3610E">
      <w:pPr>
        <w:rPr>
          <w:lang w:val="en-US"/>
        </w:rPr>
      </w:pPr>
      <w:r>
        <w:rPr>
          <w:lang w:val="en-US"/>
        </w:rPr>
        <w:t>In this paper we studied the possible impact of relaxing the outdoor usage of RLANs in the band 5 150-5 250 MHz, as well as the power rise. According to our simulation, we can drive the following conclusions:</w:t>
      </w:r>
    </w:p>
    <w:p w:rsidR="0089268C" w:rsidRDefault="00C3610E">
      <w:pPr>
        <w:pStyle w:val="enumlev1"/>
        <w:rPr>
          <w:lang w:val="en-US"/>
        </w:rPr>
      </w:pPr>
      <w:r>
        <w:rPr>
          <w:lang w:val="en-US"/>
        </w:rPr>
        <w:t>•</w:t>
      </w:r>
      <w:r>
        <w:rPr>
          <w:lang w:val="en-US"/>
        </w:rPr>
        <w:tab/>
        <w:t>Results according to Table 1 show an exceedance of less than 3 dB of the protection criterion is encountered. This scenario corresponds more likely to accidental outdoor usage, and it is very unlikely to be able to control such a percentage of outdoor usage by the administrations.</w:t>
      </w:r>
    </w:p>
    <w:p w:rsidR="0089268C" w:rsidRDefault="00C3610E">
      <w:pPr>
        <w:pStyle w:val="enumlev1"/>
        <w:rPr>
          <w:lang w:val="en-US"/>
        </w:rPr>
      </w:pPr>
      <w:r>
        <w:rPr>
          <w:lang w:val="en-US"/>
        </w:rPr>
        <w:t>•</w:t>
      </w:r>
      <w:r>
        <w:rPr>
          <w:lang w:val="en-US"/>
        </w:rPr>
        <w:tab/>
        <w:t>Results according to tables 2 and 3, take into account 15% to 20% of outdoor usage with a power rise to 1W or 4W, in these cases the protection criterion is never respected according to our simulations, and seem to be harmful for MSS. Even with the mitigation technique proposed in Doc 5A/210 the protection criterion could not be reached. More specifically it appears to be very difficult to monitor the antenna elevations deployment in a License exempted regime.</w:t>
      </w:r>
    </w:p>
    <w:p w:rsidR="0089268C" w:rsidRDefault="00C3610E">
      <w:pPr>
        <w:pStyle w:val="enumlev1"/>
        <w:rPr>
          <w:lang w:val="en-US"/>
        </w:rPr>
      </w:pPr>
      <w:r>
        <w:rPr>
          <w:lang w:val="en-US"/>
        </w:rPr>
        <w:t>•</w:t>
      </w:r>
      <w:r>
        <w:rPr>
          <w:lang w:val="en-US"/>
        </w:rPr>
        <w:tab/>
        <w:t>Finally, we considered a case of outdoor relaxation limited to in-vehicle usage, taking into account a maximum EIRP of 200 mW and taking into account a 5 dB loss due to the vehicle body, this scenario seems to be the most suitable for outdoor RLAN usage in the 5 150-5 250 MHz band, specially that this band is DFS free.</w:t>
      </w:r>
    </w:p>
    <w:p w:rsidR="0089268C" w:rsidRPr="001E7D0F" w:rsidRDefault="00C3610E" w:rsidP="00FC4533">
      <w:pPr>
        <w:pStyle w:val="Heading4"/>
      </w:pPr>
      <w:r w:rsidRPr="001E7D0F">
        <w:t>5.1.6.</w:t>
      </w:r>
      <w:r w:rsidR="00FC4533">
        <w:t>8</w:t>
      </w:r>
      <w:r w:rsidRPr="001E7D0F">
        <w:tab/>
        <w:t xml:space="preserve">References </w:t>
      </w:r>
    </w:p>
    <w:p w:rsidR="0089268C" w:rsidRDefault="00C3610E">
      <w:pPr>
        <w:pStyle w:val="Reftext"/>
        <w:rPr>
          <w:lang w:val="en-US"/>
        </w:rPr>
      </w:pPr>
      <w:r>
        <w:rPr>
          <w:lang w:val="en-US"/>
        </w:rPr>
        <w:t>[1]</w:t>
      </w:r>
      <w:r>
        <w:rPr>
          <w:lang w:val="en-US"/>
        </w:rPr>
        <w:tab/>
        <w:t xml:space="preserve">JRC study on RLAN deployment and device densities:  </w:t>
      </w:r>
      <w:hyperlink r:id="rId106" w:history="1">
        <w:r>
          <w:rPr>
            <w:rStyle w:val="Hyperlink"/>
            <w:lang w:val="en-US"/>
          </w:rPr>
          <w:t>http://www.cept.org/Documents/se-24/25709/SE24(15)070R0_WI52_number-of-RLAN-JRC</w:t>
        </w:r>
      </w:hyperlink>
    </w:p>
    <w:p w:rsidR="0089268C" w:rsidRDefault="00C3610E">
      <w:pPr>
        <w:pStyle w:val="Reftext"/>
        <w:rPr>
          <w:lang w:val="en-US"/>
        </w:rPr>
      </w:pPr>
      <w:r>
        <w:rPr>
          <w:lang w:val="en-US"/>
        </w:rPr>
        <w:t>[2]</w:t>
      </w:r>
      <w:r>
        <w:rPr>
          <w:lang w:val="en-US"/>
        </w:rPr>
        <w:tab/>
        <w:t xml:space="preserve">JRC study on in-home RLAN coverage and number of RLAN APs per household: </w:t>
      </w:r>
      <w:hyperlink r:id="rId107" w:history="1">
        <w:r>
          <w:rPr>
            <w:rStyle w:val="Hyperlink"/>
            <w:lang w:val="en-US"/>
          </w:rPr>
          <w:t>http://www.cept.org/Documents/se-24/25805/SE24(15)089R0_WI52_Further-considerations-on-WLAN-indoor-coverage</w:t>
        </w:r>
      </w:hyperlink>
    </w:p>
    <w:p w:rsidR="0089268C" w:rsidRDefault="00C3610E">
      <w:pPr>
        <w:pStyle w:val="Reftext"/>
        <w:rPr>
          <w:lang w:val="en-US"/>
        </w:rPr>
      </w:pPr>
      <w:r>
        <w:rPr>
          <w:lang w:val="en-US"/>
        </w:rPr>
        <w:lastRenderedPageBreak/>
        <w:t>[3]</w:t>
      </w:r>
      <w:r>
        <w:rPr>
          <w:lang w:val="en-US"/>
        </w:rPr>
        <w:tab/>
        <w:t xml:space="preserve">Center for International Earth Science Information Network - CIESIN - Columbia University, and Centro Internacional de Agricultura Tropical - CIAT. 2005. Gridded Population of the World, Version 3 (GPWv3): Population Density Grid. Palisades, NY: NASA Socioeconomic Data and Applications Center (SEDAC). </w:t>
      </w:r>
      <w:hyperlink r:id="rId108" w:history="1">
        <w:r>
          <w:rPr>
            <w:rStyle w:val="Hyperlink"/>
            <w:lang w:val="en-US"/>
          </w:rPr>
          <w:t>http://dx.doi.org/10.7927/H4XK8CG2</w:t>
        </w:r>
      </w:hyperlink>
      <w:r>
        <w:rPr>
          <w:lang w:val="en-US"/>
        </w:rPr>
        <w:t>, accessed August 2017.</w:t>
      </w:r>
    </w:p>
    <w:p w:rsidR="0089268C" w:rsidRDefault="00C3610E">
      <w:pPr>
        <w:pStyle w:val="Heading2"/>
        <w:keepNext w:val="0"/>
        <w:keepLines w:val="0"/>
        <w:rPr>
          <w:shd w:val="clear" w:color="auto" w:fill="FFFFFF"/>
          <w:lang w:val="en-US"/>
        </w:rPr>
      </w:pPr>
      <w:r>
        <w:rPr>
          <w:shd w:val="clear" w:color="auto" w:fill="FFFFFF"/>
          <w:lang w:val="en-US"/>
        </w:rPr>
        <w:t>5.2</w:t>
      </w:r>
      <w:r>
        <w:rPr>
          <w:shd w:val="clear" w:color="auto" w:fill="FFFFFF"/>
          <w:lang w:val="en-US"/>
        </w:rPr>
        <w:tab/>
        <w:t>Sharing and compatibility of Aeronautical radionavigation versus WAS/RLAN in the 5 150-5 250 MHz</w:t>
      </w:r>
    </w:p>
    <w:p w:rsidR="0089268C" w:rsidRPr="001E7D0F" w:rsidRDefault="00C3610E" w:rsidP="006A6118">
      <w:pPr>
        <w:pStyle w:val="Heading3"/>
        <w:rPr>
          <w:lang w:val="en-US"/>
        </w:rPr>
      </w:pPr>
      <w:r w:rsidRPr="001E7D0F">
        <w:rPr>
          <w:lang w:val="en-US"/>
        </w:rPr>
        <w:t>5.2.1</w:t>
      </w:r>
      <w:r w:rsidR="006A6118">
        <w:rPr>
          <w:lang w:val="en-US"/>
        </w:rPr>
        <w:tab/>
      </w:r>
      <w:r w:rsidRPr="001E7D0F">
        <w:rPr>
          <w:lang w:val="en-US"/>
        </w:rPr>
        <w:t>Study 1</w:t>
      </w:r>
      <w:r>
        <w:rPr>
          <w:lang w:val="en-US"/>
        </w:rPr>
        <w:t xml:space="preserve"> (RUS 5A/</w:t>
      </w:r>
      <w:hyperlink r:id="rId109" w:history="1">
        <w:r w:rsidRPr="006A6118">
          <w:rPr>
            <w:rStyle w:val="Hyperlink"/>
            <w:lang w:val="en-US"/>
          </w:rPr>
          <w:t>397</w:t>
        </w:r>
      </w:hyperlink>
      <w:r>
        <w:rPr>
          <w:lang w:val="en-US"/>
        </w:rPr>
        <w:t>)</w:t>
      </w:r>
    </w:p>
    <w:p w:rsidR="0089268C" w:rsidRDefault="00C3610E">
      <w:pPr>
        <w:rPr>
          <w:lang w:val="en-US"/>
        </w:rPr>
      </w:pPr>
      <w:r>
        <w:rPr>
          <w:lang w:val="en-US"/>
        </w:rPr>
        <w:t xml:space="preserve">The analysis of Recommendation ITU-R </w:t>
      </w:r>
      <w:r>
        <w:rPr>
          <w:lang w:val="ru-RU"/>
        </w:rPr>
        <w:t>М</w:t>
      </w:r>
      <w:r>
        <w:rPr>
          <w:lang w:val="en-US"/>
        </w:rPr>
        <w:t>.2007 shows that it contains only description of airborne sense and avoid systems with the maximum permissible interference-to-noise ratio (I/N) as the protection criterion at the receiver input.</w:t>
      </w:r>
    </w:p>
    <w:p w:rsidR="0089268C" w:rsidRDefault="00C3610E">
      <w:pPr>
        <w:rPr>
          <w:lang w:val="en-US"/>
        </w:rPr>
      </w:pPr>
      <w:r>
        <w:rPr>
          <w:lang w:val="en-US"/>
        </w:rPr>
        <w:t>Therefore the potential interference scenario given in Figure 1 was used in the studies.</w:t>
      </w:r>
    </w:p>
    <w:p w:rsidR="0089268C" w:rsidRDefault="00C3610E">
      <w:pPr>
        <w:rPr>
          <w:lang w:val="en-US"/>
        </w:rPr>
      </w:pPr>
      <w:r>
        <w:rPr>
          <w:lang w:val="en-US"/>
        </w:rPr>
        <w:t>It is proposed to define the maximum permissible interference level at the airborne radar receiver input to estimate the WAS/RLAN system impact to the airborne radar receivers.</w:t>
      </w:r>
    </w:p>
    <w:p w:rsidR="0089268C" w:rsidRDefault="00C3610E">
      <w:pPr>
        <w:pStyle w:val="FigureNo"/>
        <w:rPr>
          <w:lang w:val="en-US"/>
        </w:rPr>
      </w:pPr>
      <w:r>
        <w:rPr>
          <w:lang w:val="en-US"/>
        </w:rPr>
        <w:t>Figure 1</w:t>
      </w:r>
    </w:p>
    <w:p w:rsidR="0089268C" w:rsidRDefault="00C3610E" w:rsidP="005C1912">
      <w:pPr>
        <w:pStyle w:val="Figuretitle"/>
        <w:rPr>
          <w:lang w:val="en-US"/>
        </w:rPr>
      </w:pPr>
      <w:r>
        <w:rPr>
          <w:lang w:val="en-US"/>
        </w:rPr>
        <w:t xml:space="preserve">Interference scenario for airborne radiodetermination radar receiver </w:t>
      </w:r>
    </w:p>
    <w:p w:rsidR="0089268C" w:rsidRDefault="00C3610E" w:rsidP="005C1912">
      <w:pPr>
        <w:pStyle w:val="Figure"/>
        <w:rPr>
          <w:lang w:val="ru-RU"/>
        </w:rPr>
      </w:pPr>
      <w:r w:rsidRPr="001E7D0F">
        <w:object w:dxaOrig="17418" w:dyaOrig="7213">
          <v:shape id="_x0000_i1030" type="#_x0000_t75" style="width:386.75pt;height:147.7pt" o:ole="">
            <v:imagedata r:id="rId110" o:title="" cropbottom="4690f"/>
          </v:shape>
          <o:OLEObject Type="Embed" ProgID="Visio.Drawing.11" ShapeID="_x0000_i1030" DrawAspect="Content" ObjectID="_1572690773" r:id="rId111"/>
        </w:object>
      </w:r>
    </w:p>
    <w:p w:rsidR="0089268C" w:rsidRDefault="00C3610E">
      <w:pPr>
        <w:rPr>
          <w:lang w:val="en-US"/>
        </w:rPr>
      </w:pPr>
      <w:r>
        <w:rPr>
          <w:lang w:val="en-US"/>
        </w:rPr>
        <w:t>Based on the obtained value the minimum protection distance ensuring compatibility of WAS/RLAN systems with airborne radar receivers can be defined.</w:t>
      </w:r>
    </w:p>
    <w:p w:rsidR="0089268C" w:rsidRDefault="00C3610E">
      <w:pPr>
        <w:rPr>
          <w:lang w:val="en-US"/>
        </w:rPr>
      </w:pPr>
      <w:r>
        <w:rPr>
          <w:lang w:val="en-US"/>
        </w:rPr>
        <w:t>The maximum permissible interference power at the receiver input is estimated by the following equation:</w:t>
      </w:r>
    </w:p>
    <w:p w:rsidR="0089268C" w:rsidRDefault="00C3610E">
      <w:pPr>
        <w:pStyle w:val="Equation"/>
        <w:rPr>
          <w:lang w:val="en-US"/>
        </w:rPr>
      </w:pPr>
      <w:r>
        <w:tab/>
      </w:r>
      <w:r>
        <w:tab/>
      </w:r>
      <w:r w:rsidRPr="001E7D0F">
        <w:rPr>
          <w:position w:val="-14"/>
        </w:rPr>
        <w:object w:dxaOrig="1840" w:dyaOrig="380">
          <v:shape id="_x0000_i1031" type="#_x0000_t75" style="width:93.25pt;height:19.4pt" o:ole="">
            <v:imagedata r:id="rId112" o:title=""/>
          </v:shape>
          <o:OLEObject Type="Embed" ProgID="Equation.3" ShapeID="_x0000_i1031" DrawAspect="Content" ObjectID="_1572690774" r:id="rId113"/>
        </w:object>
      </w:r>
      <w:r>
        <w:rPr>
          <w:lang w:val="en-US"/>
        </w:rPr>
        <w:t>, dBW,</w:t>
      </w:r>
      <w:r>
        <w:rPr>
          <w:lang w:val="en-US"/>
        </w:rPr>
        <w:tab/>
        <w:t>(1)</w:t>
      </w:r>
    </w:p>
    <w:p w:rsidR="0089268C" w:rsidRDefault="00C3610E">
      <w:pPr>
        <w:jc w:val="both"/>
        <w:rPr>
          <w:rFonts w:eastAsia="Calibri"/>
          <w:szCs w:val="24"/>
          <w:lang w:val="en-US"/>
        </w:rPr>
      </w:pPr>
      <w:proofErr w:type="gramStart"/>
      <w:r>
        <w:rPr>
          <w:rFonts w:eastAsia="Calibri"/>
          <w:szCs w:val="24"/>
          <w:lang w:val="en-US"/>
        </w:rPr>
        <w:t>where</w:t>
      </w:r>
      <w:proofErr w:type="gramEnd"/>
      <w:r>
        <w:rPr>
          <w:rFonts w:eastAsia="Calibri"/>
          <w:szCs w:val="24"/>
          <w:lang w:val="en-US"/>
        </w:rPr>
        <w:t>:</w:t>
      </w:r>
      <w:r>
        <w:rPr>
          <w:rFonts w:eastAsia="Calibri"/>
          <w:szCs w:val="24"/>
          <w:lang w:val="en-US"/>
        </w:rPr>
        <w:tab/>
      </w:r>
      <w:r w:rsidRPr="001E7D0F">
        <w:rPr>
          <w:rFonts w:eastAsia="Calibri"/>
          <w:position w:val="-14"/>
          <w:szCs w:val="24"/>
        </w:rPr>
        <w:object w:dxaOrig="820" w:dyaOrig="380">
          <v:shape id="_x0000_i1032" type="#_x0000_t75" style="width:40.6pt;height:19.4pt" o:ole="">
            <v:imagedata r:id="rId114" o:title=""/>
          </v:shape>
          <o:OLEObject Type="Embed" ProgID="Equation.3" ShapeID="_x0000_i1032" DrawAspect="Content" ObjectID="_1572690775" r:id="rId115"/>
        </w:object>
      </w:r>
      <w:r>
        <w:rPr>
          <w:rFonts w:eastAsia="Calibri"/>
          <w:szCs w:val="24"/>
          <w:lang w:val="en-US"/>
        </w:rPr>
        <w:t xml:space="preserve"> - required interference/noise ratio at the receiver input;</w:t>
      </w:r>
    </w:p>
    <w:p w:rsidR="0089268C" w:rsidRDefault="00C3610E">
      <w:pPr>
        <w:pStyle w:val="Equation"/>
        <w:rPr>
          <w:lang w:val="fr-CH"/>
        </w:rPr>
      </w:pPr>
      <w:r>
        <w:rPr>
          <w:lang w:val="en-US"/>
        </w:rPr>
        <w:tab/>
      </w:r>
      <w:r>
        <w:rPr>
          <w:lang w:val="en-US"/>
        </w:rPr>
        <w:tab/>
      </w:r>
      <w:r w:rsidRPr="001E7D0F">
        <w:rPr>
          <w:lang w:val="en-US"/>
        </w:rPr>
        <w:object w:dxaOrig="2240" w:dyaOrig="360">
          <v:shape id="_x0000_i1033" type="#_x0000_t75" style="width:112.15pt;height:19.4pt" o:ole="">
            <v:imagedata r:id="rId116" o:title=""/>
          </v:shape>
          <o:OLEObject Type="Embed" ProgID="Equation.3" ShapeID="_x0000_i1033" DrawAspect="Content" ObjectID="_1572690776" r:id="rId117"/>
        </w:object>
      </w:r>
      <w:r>
        <w:rPr>
          <w:lang w:val="fr-CH"/>
        </w:rPr>
        <w:t xml:space="preserve"> </w:t>
      </w:r>
      <w:proofErr w:type="gramStart"/>
      <w:r>
        <w:rPr>
          <w:lang w:val="fr-CH"/>
        </w:rPr>
        <w:t>dBW</w:t>
      </w:r>
      <w:proofErr w:type="gramEnd"/>
      <w:r>
        <w:rPr>
          <w:lang w:val="fr-CH"/>
        </w:rPr>
        <w:t>,</w:t>
      </w:r>
      <w:r>
        <w:rPr>
          <w:lang w:val="fr-CH"/>
        </w:rPr>
        <w:tab/>
        <w:t>(2)</w:t>
      </w:r>
    </w:p>
    <w:p w:rsidR="0089268C" w:rsidRDefault="00C3610E">
      <w:pPr>
        <w:ind w:firstLine="708"/>
        <w:jc w:val="both"/>
        <w:rPr>
          <w:szCs w:val="24"/>
          <w:lang w:val="fr-CH"/>
        </w:rPr>
      </w:pPr>
      <w:r>
        <w:rPr>
          <w:i/>
          <w:szCs w:val="24"/>
          <w:lang w:val="fr-CH"/>
        </w:rPr>
        <w:t>k</w:t>
      </w:r>
      <w:r>
        <w:rPr>
          <w:szCs w:val="24"/>
          <w:lang w:val="fr-CH"/>
        </w:rPr>
        <w:t xml:space="preserve"> – Boltzmann constant,</w:t>
      </w:r>
    </w:p>
    <w:p w:rsidR="0089268C" w:rsidRDefault="00C3610E">
      <w:pPr>
        <w:pStyle w:val="Equation"/>
        <w:rPr>
          <w:lang w:val="fr-CH"/>
        </w:rPr>
      </w:pPr>
      <w:r>
        <w:rPr>
          <w:lang w:val="fr-CH"/>
        </w:rPr>
        <w:tab/>
      </w:r>
      <w:r>
        <w:rPr>
          <w:lang w:val="fr-CH"/>
        </w:rPr>
        <w:tab/>
      </w:r>
      <w:r w:rsidRPr="001E7D0F">
        <w:rPr>
          <w:position w:val="-34"/>
        </w:rPr>
        <w:object w:dxaOrig="2079" w:dyaOrig="800">
          <v:shape id="_x0000_i1034" type="#_x0000_t75" style="width:106.6pt;height:40.15pt" o:ole="">
            <v:imagedata r:id="rId118" o:title=""/>
          </v:shape>
          <o:OLEObject Type="Embed" ProgID="Equation.3" ShapeID="_x0000_i1034" DrawAspect="Content" ObjectID="_1572690777" r:id="rId119"/>
        </w:object>
      </w:r>
      <w:r>
        <w:rPr>
          <w:lang w:val="fr-CH"/>
        </w:rPr>
        <w:t xml:space="preserve"> – noise temperature, degrees </w:t>
      </w:r>
      <w:r>
        <w:t>К</w:t>
      </w:r>
      <w:r>
        <w:rPr>
          <w:lang w:val="fr-CH"/>
        </w:rPr>
        <w:t>,</w:t>
      </w:r>
      <w:r>
        <w:rPr>
          <w:lang w:val="fr-CH"/>
        </w:rPr>
        <w:tab/>
        <w:t>(3)</w:t>
      </w:r>
    </w:p>
    <w:p w:rsidR="0089268C" w:rsidRDefault="00C3610E">
      <w:pPr>
        <w:ind w:firstLine="709"/>
        <w:jc w:val="both"/>
        <w:rPr>
          <w:szCs w:val="24"/>
          <w:lang w:val="fr-CH"/>
        </w:rPr>
      </w:pPr>
      <w:r>
        <w:rPr>
          <w:i/>
          <w:szCs w:val="24"/>
          <w:lang w:val="fr-CH"/>
        </w:rPr>
        <w:t>NF</w:t>
      </w:r>
      <w:r>
        <w:rPr>
          <w:szCs w:val="24"/>
          <w:lang w:val="fr-CH"/>
        </w:rPr>
        <w:t xml:space="preserve"> – radar noise figure, dB;</w:t>
      </w:r>
    </w:p>
    <w:p w:rsidR="0089268C" w:rsidRDefault="00C3610E">
      <w:pPr>
        <w:widowControl w:val="0"/>
        <w:spacing w:after="120"/>
        <w:ind w:firstLine="709"/>
        <w:rPr>
          <w:szCs w:val="24"/>
          <w:lang w:val="en-US"/>
        </w:rPr>
      </w:pPr>
      <w:r w:rsidRPr="001E7D0F">
        <w:rPr>
          <w:position w:val="-12"/>
          <w:szCs w:val="24"/>
        </w:rPr>
        <w:object w:dxaOrig="620" w:dyaOrig="360">
          <v:shape id="_x0000_i1035" type="#_x0000_t75" style="width:31.4pt;height:19.4pt" o:ole="">
            <v:imagedata r:id="rId120" o:title=""/>
          </v:shape>
          <o:OLEObject Type="Embed" ProgID="Equation.3" ShapeID="_x0000_i1035" DrawAspect="Content" ObjectID="_1572690778" r:id="rId121"/>
        </w:object>
      </w:r>
      <w:r>
        <w:rPr>
          <w:szCs w:val="24"/>
          <w:lang w:val="en-US"/>
        </w:rPr>
        <w:t xml:space="preserve"> - </w:t>
      </w:r>
      <w:proofErr w:type="gramStart"/>
      <w:r>
        <w:rPr>
          <w:szCs w:val="24"/>
          <w:lang w:val="en-US"/>
        </w:rPr>
        <w:t>radar</w:t>
      </w:r>
      <w:proofErr w:type="gramEnd"/>
      <w:r>
        <w:rPr>
          <w:szCs w:val="24"/>
          <w:lang w:val="en-US"/>
        </w:rPr>
        <w:t xml:space="preserve"> operating frequency band, Hz </w:t>
      </w:r>
    </w:p>
    <w:p w:rsidR="0089268C" w:rsidRDefault="00C3610E">
      <w:pPr>
        <w:rPr>
          <w:lang w:val="en-US"/>
        </w:rPr>
      </w:pPr>
      <w:r>
        <w:rPr>
          <w:lang w:val="en-US"/>
        </w:rPr>
        <w:t xml:space="preserve">To estimate compatibility of RLAN with airborne radars (Scenario 1) the required protection distances were determined to ensure operation of the radars without interference in different operation modes of RLANs. The protection distance was determined in accordance with propagation model provided in Recommendation ITU-R </w:t>
      </w:r>
      <w:r>
        <w:t>Р</w:t>
      </w:r>
      <w:r>
        <w:rPr>
          <w:lang w:val="en-US"/>
        </w:rPr>
        <w:t>.525 by the following equation:</w:t>
      </w:r>
    </w:p>
    <w:p w:rsidR="0089268C" w:rsidRDefault="00C3610E">
      <w:pPr>
        <w:pStyle w:val="Equation"/>
        <w:rPr>
          <w:lang w:val="en-US"/>
        </w:rPr>
      </w:pPr>
      <w:r>
        <w:tab/>
      </w:r>
      <w:r>
        <w:tab/>
      </w:r>
      <w:r w:rsidRPr="001E7D0F">
        <w:object w:dxaOrig="2580" w:dyaOrig="520">
          <v:shape id="_x0000_i1036" type="#_x0000_t75" style="width:183.25pt;height:37.4pt" o:ole="">
            <v:imagedata r:id="rId122" o:title=""/>
          </v:shape>
          <o:OLEObject Type="Embed" ProgID="Equation.3" ShapeID="_x0000_i1036" DrawAspect="Content" ObjectID="_1572690779" r:id="rId123"/>
        </w:object>
      </w:r>
      <w:r>
        <w:rPr>
          <w:lang w:val="en-US"/>
        </w:rPr>
        <w:t>,</w:t>
      </w:r>
      <w:r>
        <w:rPr>
          <w:lang w:val="en-US"/>
        </w:rPr>
        <w:tab/>
        <w:t>(4)</w:t>
      </w:r>
    </w:p>
    <w:p w:rsidR="0089268C" w:rsidRDefault="00C3610E">
      <w:pPr>
        <w:pStyle w:val="Equation"/>
        <w:rPr>
          <w:lang w:val="en-US"/>
        </w:rPr>
      </w:pPr>
      <w:proofErr w:type="gramStart"/>
      <w:r>
        <w:rPr>
          <w:lang w:val="en-US"/>
        </w:rPr>
        <w:t>where</w:t>
      </w:r>
      <w:proofErr w:type="gramEnd"/>
      <w:r>
        <w:rPr>
          <w:lang w:val="en-US"/>
        </w:rPr>
        <w:t xml:space="preserve"> </w:t>
      </w:r>
      <w:r>
        <w:rPr>
          <w:lang w:val="en-US"/>
        </w:rPr>
        <w:tab/>
      </w:r>
      <w:r>
        <w:rPr>
          <w:lang w:val="en-US"/>
        </w:rPr>
        <w:tab/>
      </w:r>
      <w:r w:rsidRPr="001E7D0F">
        <w:object w:dxaOrig="4480" w:dyaOrig="380">
          <v:shape id="_x0000_i1037" type="#_x0000_t75" style="width:223.85pt;height:19.4pt" o:ole="">
            <v:imagedata r:id="rId124" o:title=""/>
          </v:shape>
          <o:OLEObject Type="Embed" ProgID="Equation.3" ShapeID="_x0000_i1037" DrawAspect="Content" ObjectID="_1572690780" r:id="rId125"/>
        </w:object>
      </w:r>
      <w:r>
        <w:rPr>
          <w:lang w:val="en-US"/>
        </w:rPr>
        <w:t>,</w:t>
      </w:r>
      <w:r>
        <w:rPr>
          <w:lang w:val="en-US"/>
        </w:rPr>
        <w:tab/>
        <w:t>(5)</w:t>
      </w:r>
    </w:p>
    <w:p w:rsidR="0089268C" w:rsidRDefault="00C3610E">
      <w:pPr>
        <w:rPr>
          <w:szCs w:val="24"/>
          <w:lang w:val="en-US"/>
        </w:rPr>
      </w:pPr>
      <w:r>
        <w:rPr>
          <w:szCs w:val="24"/>
          <w:lang w:val="en-US"/>
        </w:rPr>
        <w:tab/>
      </w:r>
      <w:r w:rsidRPr="001E7D0F">
        <w:rPr>
          <w:szCs w:val="24"/>
        </w:rPr>
        <w:object w:dxaOrig="499" w:dyaOrig="360">
          <v:shape id="_x0000_i1038" type="#_x0000_t75" style="width:25.4pt;height:19.4pt" o:ole="">
            <v:imagedata r:id="rId126" o:title=""/>
          </v:shape>
          <o:OLEObject Type="Embed" ProgID="Equation.3" ShapeID="_x0000_i1038" DrawAspect="Content" ObjectID="_1572690781" r:id="rId127"/>
        </w:object>
      </w:r>
      <w:r>
        <w:rPr>
          <w:szCs w:val="24"/>
          <w:lang w:val="en-US"/>
        </w:rPr>
        <w:t xml:space="preserve"> - </w:t>
      </w:r>
      <w:proofErr w:type="gramStart"/>
      <w:r>
        <w:rPr>
          <w:szCs w:val="24"/>
          <w:lang w:val="en-US"/>
        </w:rPr>
        <w:t>radar</w:t>
      </w:r>
      <w:proofErr w:type="gramEnd"/>
      <w:r>
        <w:rPr>
          <w:szCs w:val="24"/>
          <w:lang w:val="en-US"/>
        </w:rPr>
        <w:t xml:space="preserve"> antenna gain, dB;</w:t>
      </w:r>
    </w:p>
    <w:p w:rsidR="0089268C" w:rsidRDefault="00C3610E">
      <w:pPr>
        <w:rPr>
          <w:szCs w:val="24"/>
          <w:lang w:val="en-US"/>
        </w:rPr>
      </w:pPr>
      <w:r>
        <w:rPr>
          <w:szCs w:val="24"/>
          <w:lang w:val="en-US"/>
        </w:rPr>
        <w:tab/>
      </w:r>
      <w:r>
        <w:rPr>
          <w:szCs w:val="24"/>
        </w:rPr>
        <w:t>λ</w:t>
      </w:r>
      <w:r>
        <w:rPr>
          <w:szCs w:val="24"/>
          <w:lang w:val="en-US"/>
        </w:rPr>
        <w:t xml:space="preserve"> – operational wavelength, m;</w:t>
      </w:r>
    </w:p>
    <w:p w:rsidR="0089268C" w:rsidRDefault="00C3610E">
      <w:pPr>
        <w:rPr>
          <w:szCs w:val="24"/>
          <w:lang w:val="en-US"/>
        </w:rPr>
      </w:pPr>
      <w:r>
        <w:rPr>
          <w:szCs w:val="24"/>
          <w:lang w:val="en-US"/>
        </w:rPr>
        <w:tab/>
      </w:r>
      <w:r>
        <w:rPr>
          <w:szCs w:val="24"/>
        </w:rPr>
        <w:t>σ</w:t>
      </w:r>
      <w:r>
        <w:rPr>
          <w:szCs w:val="24"/>
          <w:lang w:val="en-US"/>
        </w:rPr>
        <w:t xml:space="preserve"> – cross-wall fading, dB.</w:t>
      </w:r>
    </w:p>
    <w:p w:rsidR="0089268C" w:rsidRDefault="00C3610E">
      <w:pPr>
        <w:pStyle w:val="Equation"/>
        <w:rPr>
          <w:lang w:val="en-US"/>
        </w:rPr>
      </w:pPr>
      <w:r>
        <w:tab/>
      </w:r>
      <w:r w:rsidRPr="001E7D0F">
        <w:object w:dxaOrig="3220" w:dyaOrig="520">
          <v:shape id="_x0000_i1039" type="#_x0000_t75" style="width:229.85pt;height:37.4pt" o:ole="">
            <v:imagedata r:id="rId128" o:title=""/>
          </v:shape>
          <o:OLEObject Type="Embed" ProgID="Equation.3" ShapeID="_x0000_i1039" DrawAspect="Content" ObjectID="_1572690782" r:id="rId129"/>
        </w:object>
      </w:r>
      <w:r>
        <w:rPr>
          <w:lang w:val="en-US"/>
        </w:rPr>
        <w:t>,</w:t>
      </w:r>
      <w:r>
        <w:rPr>
          <w:lang w:val="en-US"/>
        </w:rPr>
        <w:tab/>
        <w:t>(6)</w:t>
      </w:r>
    </w:p>
    <w:p w:rsidR="0089268C" w:rsidRDefault="00C3610E">
      <w:pPr>
        <w:rPr>
          <w:szCs w:val="24"/>
          <w:lang w:val="en-US"/>
        </w:rPr>
      </w:pPr>
      <w:r>
        <w:rPr>
          <w:szCs w:val="24"/>
          <w:lang w:val="en-US"/>
        </w:rPr>
        <w:t>where:</w:t>
      </w:r>
      <w:r>
        <w:rPr>
          <w:szCs w:val="24"/>
          <w:lang w:val="en-US"/>
        </w:rPr>
        <w:tab/>
      </w:r>
      <w:r>
        <w:rPr>
          <w:i/>
          <w:szCs w:val="24"/>
          <w:lang w:val="en-US"/>
        </w:rPr>
        <w:t>EIRP</w:t>
      </w:r>
      <w:r>
        <w:rPr>
          <w:i/>
          <w:szCs w:val="24"/>
          <w:vertAlign w:val="subscript"/>
          <w:lang w:val="en-US"/>
        </w:rPr>
        <w:t>eff  1</w:t>
      </w:r>
      <w:r>
        <w:rPr>
          <w:szCs w:val="24"/>
          <w:lang w:val="en-US"/>
        </w:rPr>
        <w:t>- effective e.i.r.p. of single WAS/RLAN transmitter;</w:t>
      </w:r>
    </w:p>
    <w:p w:rsidR="0089268C" w:rsidRDefault="00C3610E">
      <w:pPr>
        <w:rPr>
          <w:szCs w:val="24"/>
          <w:lang w:val="en-US"/>
        </w:rPr>
      </w:pPr>
      <w:r>
        <w:rPr>
          <w:szCs w:val="24"/>
          <w:lang w:val="en-US"/>
        </w:rPr>
        <w:tab/>
      </w:r>
      <w:r>
        <w:rPr>
          <w:i/>
          <w:szCs w:val="24"/>
          <w:lang w:val="en-US"/>
        </w:rPr>
        <w:t>N</w:t>
      </w:r>
      <w:r>
        <w:rPr>
          <w:szCs w:val="24"/>
          <w:lang w:val="en-US"/>
        </w:rPr>
        <w:t xml:space="preserve"> – number of WAS/RLAN transmitters. </w:t>
      </w:r>
    </w:p>
    <w:p w:rsidR="0089268C" w:rsidRDefault="00C3610E">
      <w:pPr>
        <w:rPr>
          <w:lang w:val="en-US"/>
        </w:rPr>
      </w:pPr>
      <w:r>
        <w:rPr>
          <w:lang w:val="en-US"/>
        </w:rPr>
        <w:t>The estimations assumed an aircraft flying at 10 km altitude (</w:t>
      </w:r>
      <w:r>
        <w:t>Н</w:t>
      </w:r>
      <w:r>
        <w:rPr>
          <w:lang w:val="en-US"/>
        </w:rPr>
        <w:t xml:space="preserve">=10 000 m). Interference to operation of the air-borne receiver of sense and avoid system is caused by indoor and outdoor RLAN transmitters. The free space propagation model described in Recommendation ITU-R </w:t>
      </w:r>
      <w:r>
        <w:t>Р</w:t>
      </w:r>
      <w:r>
        <w:rPr>
          <w:lang w:val="en-US"/>
        </w:rPr>
        <w:t xml:space="preserve">.525 is used to estimate the interference caused by RLAN transmitters. To take propagation loss in the walls into account in equation (4) additional propagation loss, </w:t>
      </w:r>
      <w:r>
        <w:t>σ</w:t>
      </w:r>
      <w:r>
        <w:rPr>
          <w:lang w:val="en-US"/>
        </w:rPr>
        <w:t>, equal to 20 dB was considered. Multi-source interference was taken into account using equation (6).</w:t>
      </w:r>
    </w:p>
    <w:p w:rsidR="0089268C" w:rsidRDefault="00C3610E">
      <w:pPr>
        <w:rPr>
          <w:lang w:val="en-US"/>
        </w:rPr>
      </w:pPr>
      <w:r>
        <w:rPr>
          <w:lang w:val="en-US"/>
        </w:rPr>
        <w:t xml:space="preserve">The permissible interference power at the airborne sense and avoid receiver input was calculated by the equation (2)-(4) indicated above and is equal to minus 131.9 dBW. It was used to determine the required protection distances providing interference free radar operation in case of indoor and outdoor WAS/RLAN systems operation. </w:t>
      </w:r>
    </w:p>
    <w:p w:rsidR="0089268C" w:rsidRDefault="00C3610E">
      <w:pPr>
        <w:rPr>
          <w:lang w:val="en-US"/>
        </w:rPr>
      </w:pPr>
      <w:r>
        <w:rPr>
          <w:lang w:val="en-US"/>
        </w:rPr>
        <w:t xml:space="preserve">Table 3 presents the calculation results of the protection distances required between the airborne receivers of sense and avoid radar and single outdoor and indoor RLAN transmitters. </w:t>
      </w:r>
    </w:p>
    <w:p w:rsidR="0089268C" w:rsidRDefault="00C3610E">
      <w:pPr>
        <w:pStyle w:val="TableNo"/>
        <w:rPr>
          <w:lang w:val="en-US"/>
        </w:rPr>
      </w:pPr>
      <w:r>
        <w:rPr>
          <w:lang w:val="en-US"/>
        </w:rPr>
        <w:t>table 3</w:t>
      </w:r>
    </w:p>
    <w:p w:rsidR="0089268C" w:rsidRDefault="00C3610E">
      <w:pPr>
        <w:pStyle w:val="Tabletitle"/>
        <w:rPr>
          <w:rFonts w:asciiTheme="majorBidi" w:hAnsiTheme="majorBidi" w:cstheme="majorBidi"/>
          <w:caps/>
          <w:lang w:val="en-US"/>
        </w:rPr>
      </w:pPr>
      <w:r>
        <w:rPr>
          <w:rFonts w:asciiTheme="majorBidi" w:hAnsiTheme="majorBidi" w:cstheme="majorBidi"/>
          <w:lang w:val="en-US"/>
        </w:rPr>
        <w:t>Separation distances required for protection of air-borne radars</w:t>
      </w:r>
      <w:r>
        <w:rPr>
          <w:rFonts w:asciiTheme="majorBidi" w:hAnsiTheme="majorBidi" w:cstheme="majorBidi"/>
        </w:rPr>
        <w:t xml:space="preserve"> from indoor and outdoor</w:t>
      </w:r>
      <w:r>
        <w:rPr>
          <w:rFonts w:asciiTheme="majorBidi" w:hAnsiTheme="majorBidi" w:cstheme="majorBidi"/>
          <w:lang w:val="en-US"/>
        </w:rPr>
        <w:t xml:space="preserve"> </w:t>
      </w:r>
      <w:r>
        <w:rPr>
          <w:rFonts w:asciiTheme="majorBidi" w:hAnsiTheme="majorBidi" w:cstheme="majorBidi"/>
          <w:caps/>
          <w:lang w:val="en-US"/>
        </w:rPr>
        <w:t xml:space="preserve">RLAN, </w:t>
      </w:r>
      <w:r>
        <w:rPr>
          <w:rFonts w:asciiTheme="majorBidi" w:hAnsiTheme="majorBidi" w:cstheme="majorBidi"/>
          <w:lang w:val="en-US"/>
        </w:rPr>
        <w:t>KM</w:t>
      </w:r>
      <w:r>
        <w:rPr>
          <w:rFonts w:asciiTheme="majorBidi" w:hAnsiTheme="majorBidi" w:cstheme="majorBidi"/>
          <w:caps/>
          <w:lang w:val="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1927"/>
      </w:tblGrid>
      <w:tr w:rsidR="0089268C">
        <w:trPr>
          <w:jc w:val="center"/>
        </w:trPr>
        <w:tc>
          <w:tcPr>
            <w:tcW w:w="1914" w:type="dxa"/>
            <w:shd w:val="clear" w:color="auto" w:fill="auto"/>
            <w:vAlign w:val="center"/>
          </w:tcPr>
          <w:p w:rsidR="0089268C" w:rsidRDefault="0089268C">
            <w:pPr>
              <w:jc w:val="center"/>
              <w:rPr>
                <w:szCs w:val="24"/>
                <w:lang w:val="en-US"/>
              </w:rPr>
            </w:pPr>
          </w:p>
        </w:tc>
        <w:tc>
          <w:tcPr>
            <w:tcW w:w="3828" w:type="dxa"/>
            <w:gridSpan w:val="2"/>
            <w:shd w:val="clear" w:color="auto" w:fill="auto"/>
            <w:vAlign w:val="center"/>
          </w:tcPr>
          <w:p w:rsidR="0089268C" w:rsidRDefault="00C3610E">
            <w:pPr>
              <w:pStyle w:val="Tablehead"/>
              <w:rPr>
                <w:lang w:val="en-US"/>
              </w:rPr>
            </w:pPr>
            <w:r>
              <w:rPr>
                <w:lang w:val="en-US"/>
              </w:rPr>
              <w:t>EIRP</w:t>
            </w:r>
            <w:r>
              <w:rPr>
                <w:vertAlign w:val="subscript"/>
                <w:lang w:val="en-US"/>
              </w:rPr>
              <w:t>eff</w:t>
            </w:r>
            <w:r>
              <w:rPr>
                <w:lang w:val="en-US"/>
              </w:rPr>
              <w:t>=-7 dBW</w:t>
            </w:r>
            <w:r>
              <w:t>, σ=</w:t>
            </w:r>
            <w:r>
              <w:rPr>
                <w:lang w:val="en-US"/>
              </w:rPr>
              <w:t>2</w:t>
            </w:r>
            <w:r>
              <w:t xml:space="preserve">0 </w:t>
            </w:r>
            <w:r>
              <w:rPr>
                <w:lang w:val="en-US"/>
              </w:rPr>
              <w:t>dB</w:t>
            </w:r>
          </w:p>
        </w:tc>
        <w:tc>
          <w:tcPr>
            <w:tcW w:w="3829" w:type="dxa"/>
            <w:gridSpan w:val="2"/>
            <w:shd w:val="clear" w:color="auto" w:fill="auto"/>
            <w:vAlign w:val="center"/>
          </w:tcPr>
          <w:p w:rsidR="0089268C" w:rsidRDefault="00C3610E">
            <w:pPr>
              <w:pStyle w:val="Tablehead"/>
            </w:pPr>
            <w:r>
              <w:rPr>
                <w:lang w:val="en-US"/>
              </w:rPr>
              <w:t>EIRP</w:t>
            </w:r>
            <w:r>
              <w:rPr>
                <w:vertAlign w:val="subscript"/>
                <w:lang w:val="en-US"/>
              </w:rPr>
              <w:t>eff</w:t>
            </w:r>
            <w:r>
              <w:rPr>
                <w:lang w:val="en-US"/>
              </w:rPr>
              <w:t>=-</w:t>
            </w:r>
            <w:r>
              <w:t>7</w:t>
            </w:r>
            <w:r>
              <w:rPr>
                <w:lang w:val="en-US"/>
              </w:rPr>
              <w:t xml:space="preserve"> dBW</w:t>
            </w:r>
            <w:r>
              <w:t xml:space="preserve">, σ=0 </w:t>
            </w:r>
            <w:r>
              <w:rPr>
                <w:lang w:val="en-US"/>
              </w:rPr>
              <w:t>dB</w:t>
            </w:r>
          </w:p>
        </w:tc>
      </w:tr>
      <w:tr w:rsidR="0089268C">
        <w:trPr>
          <w:jc w:val="center"/>
        </w:trPr>
        <w:tc>
          <w:tcPr>
            <w:tcW w:w="1914" w:type="dxa"/>
            <w:shd w:val="clear" w:color="auto" w:fill="auto"/>
          </w:tcPr>
          <w:p w:rsidR="0089268C" w:rsidRDefault="00C3610E">
            <w:pPr>
              <w:pStyle w:val="Tabletext"/>
              <w:rPr>
                <w:lang w:val="en-US"/>
              </w:rPr>
            </w:pPr>
            <w:r>
              <w:t>Δ</w:t>
            </w:r>
            <w:r>
              <w:rPr>
                <w:lang w:val="en-US"/>
              </w:rPr>
              <w:t>F</w:t>
            </w:r>
            <w:r>
              <w:rPr>
                <w:vertAlign w:val="subscript"/>
                <w:lang w:val="en-US"/>
              </w:rPr>
              <w:t>RLAN</w:t>
            </w:r>
            <w:r>
              <w:t xml:space="preserve">, </w:t>
            </w:r>
            <w:r>
              <w:rPr>
                <w:lang w:val="en-US"/>
              </w:rPr>
              <w:t>MHz</w:t>
            </w:r>
          </w:p>
        </w:tc>
        <w:tc>
          <w:tcPr>
            <w:tcW w:w="1914" w:type="dxa"/>
            <w:shd w:val="clear" w:color="auto" w:fill="auto"/>
          </w:tcPr>
          <w:p w:rsidR="0089268C" w:rsidRDefault="00C3610E">
            <w:pPr>
              <w:pStyle w:val="Tabletext"/>
              <w:jc w:val="center"/>
              <w:rPr>
                <w:lang w:val="en-US"/>
              </w:rPr>
            </w:pPr>
            <w:r>
              <w:rPr>
                <w:lang w:val="en-US"/>
              </w:rPr>
              <w:t>20</w:t>
            </w:r>
          </w:p>
        </w:tc>
        <w:tc>
          <w:tcPr>
            <w:tcW w:w="1914" w:type="dxa"/>
            <w:shd w:val="clear" w:color="auto" w:fill="auto"/>
          </w:tcPr>
          <w:p w:rsidR="0089268C" w:rsidRDefault="00C3610E">
            <w:pPr>
              <w:pStyle w:val="Tabletext"/>
              <w:jc w:val="center"/>
              <w:rPr>
                <w:lang w:val="en-US"/>
              </w:rPr>
            </w:pPr>
            <w:r>
              <w:rPr>
                <w:lang w:val="en-US"/>
              </w:rPr>
              <w:t>160</w:t>
            </w:r>
          </w:p>
        </w:tc>
        <w:tc>
          <w:tcPr>
            <w:tcW w:w="1914" w:type="dxa"/>
            <w:shd w:val="clear" w:color="auto" w:fill="auto"/>
          </w:tcPr>
          <w:p w:rsidR="0089268C" w:rsidRDefault="00C3610E">
            <w:pPr>
              <w:pStyle w:val="Tabletext"/>
              <w:jc w:val="center"/>
              <w:rPr>
                <w:lang w:val="en-US"/>
              </w:rPr>
            </w:pPr>
            <w:r>
              <w:rPr>
                <w:lang w:val="en-US"/>
              </w:rPr>
              <w:t>20</w:t>
            </w:r>
          </w:p>
        </w:tc>
        <w:tc>
          <w:tcPr>
            <w:tcW w:w="1915" w:type="dxa"/>
            <w:shd w:val="clear" w:color="auto" w:fill="auto"/>
          </w:tcPr>
          <w:p w:rsidR="0089268C" w:rsidRDefault="00C3610E">
            <w:pPr>
              <w:pStyle w:val="Tabletext"/>
              <w:jc w:val="center"/>
              <w:rPr>
                <w:lang w:val="en-US"/>
              </w:rPr>
            </w:pPr>
            <w:r>
              <w:rPr>
                <w:lang w:val="en-US"/>
              </w:rPr>
              <w:t>160</w:t>
            </w:r>
          </w:p>
        </w:tc>
      </w:tr>
      <w:tr w:rsidR="0089268C">
        <w:trPr>
          <w:jc w:val="center"/>
        </w:trPr>
        <w:tc>
          <w:tcPr>
            <w:tcW w:w="1914" w:type="dxa"/>
            <w:shd w:val="clear" w:color="auto" w:fill="auto"/>
          </w:tcPr>
          <w:p w:rsidR="0089268C" w:rsidRDefault="00C3610E">
            <w:pPr>
              <w:pStyle w:val="Tabletext"/>
              <w:rPr>
                <w:lang w:val="en-US"/>
              </w:rPr>
            </w:pPr>
            <w:r>
              <w:rPr>
                <w:lang w:val="en-US"/>
              </w:rPr>
              <w:t>Protection distance</w:t>
            </w:r>
          </w:p>
        </w:tc>
        <w:tc>
          <w:tcPr>
            <w:tcW w:w="1914" w:type="dxa"/>
            <w:shd w:val="clear" w:color="auto" w:fill="auto"/>
          </w:tcPr>
          <w:p w:rsidR="0089268C" w:rsidRDefault="00C3610E">
            <w:pPr>
              <w:pStyle w:val="Tabletext"/>
              <w:jc w:val="center"/>
            </w:pPr>
            <w:r>
              <w:rPr>
                <w:lang w:val="en-US"/>
              </w:rPr>
              <w:t>51</w:t>
            </w:r>
          </w:p>
        </w:tc>
        <w:tc>
          <w:tcPr>
            <w:tcW w:w="1914" w:type="dxa"/>
            <w:shd w:val="clear" w:color="auto" w:fill="auto"/>
          </w:tcPr>
          <w:p w:rsidR="0089268C" w:rsidRDefault="00C3610E">
            <w:pPr>
              <w:pStyle w:val="Tabletext"/>
              <w:jc w:val="center"/>
              <w:rPr>
                <w:lang w:val="en-US"/>
              </w:rPr>
            </w:pPr>
            <w:r>
              <w:rPr>
                <w:lang w:val="en-US"/>
              </w:rPr>
              <w:t>18</w:t>
            </w:r>
          </w:p>
        </w:tc>
        <w:tc>
          <w:tcPr>
            <w:tcW w:w="1914" w:type="dxa"/>
            <w:shd w:val="clear" w:color="auto" w:fill="auto"/>
          </w:tcPr>
          <w:p w:rsidR="0089268C" w:rsidRDefault="00C3610E">
            <w:pPr>
              <w:pStyle w:val="Tabletext"/>
              <w:jc w:val="center"/>
            </w:pPr>
            <w:r>
              <w:rPr>
                <w:lang w:val="en-US"/>
              </w:rPr>
              <w:t>&gt;R</w:t>
            </w:r>
            <w:r>
              <w:rPr>
                <w:vertAlign w:val="subscript"/>
                <w:lang w:val="en-US"/>
              </w:rPr>
              <w:t>LOS</w:t>
            </w:r>
          </w:p>
        </w:tc>
        <w:tc>
          <w:tcPr>
            <w:tcW w:w="1915" w:type="dxa"/>
            <w:shd w:val="clear" w:color="auto" w:fill="auto"/>
          </w:tcPr>
          <w:p w:rsidR="0089268C" w:rsidRDefault="00C3610E">
            <w:pPr>
              <w:pStyle w:val="Tabletext"/>
              <w:jc w:val="center"/>
              <w:rPr>
                <w:lang w:val="en-US"/>
              </w:rPr>
            </w:pPr>
            <w:r>
              <w:rPr>
                <w:lang w:val="en-US"/>
              </w:rPr>
              <w:t>180</w:t>
            </w:r>
          </w:p>
        </w:tc>
      </w:tr>
    </w:tbl>
    <w:p w:rsidR="0089268C" w:rsidRDefault="00C3610E">
      <w:pPr>
        <w:rPr>
          <w:sz w:val="20"/>
          <w:lang w:val="en-US"/>
        </w:rPr>
      </w:pPr>
      <w:r>
        <w:rPr>
          <w:sz w:val="20"/>
          <w:vertAlign w:val="superscript"/>
          <w:lang w:val="en-US"/>
        </w:rPr>
        <w:t>*</w:t>
      </w:r>
      <w:r>
        <w:rPr>
          <w:sz w:val="20"/>
          <w:lang w:val="en-US"/>
        </w:rPr>
        <w:t>R</w:t>
      </w:r>
      <w:r>
        <w:rPr>
          <w:sz w:val="20"/>
          <w:vertAlign w:val="subscript"/>
          <w:lang w:val="en-US"/>
        </w:rPr>
        <w:t xml:space="preserve">LOS </w:t>
      </w:r>
      <w:r>
        <w:rPr>
          <w:sz w:val="20"/>
          <w:lang w:val="en-US"/>
        </w:rPr>
        <w:t xml:space="preserve">– line-of-sight distance equals 430 km for a typical flight altitude of 10 000 m and </w:t>
      </w:r>
      <w:r>
        <w:rPr>
          <w:sz w:val="20"/>
        </w:rPr>
        <w:t>WAS</w:t>
      </w:r>
      <w:r>
        <w:rPr>
          <w:sz w:val="20"/>
          <w:lang w:val="en-US"/>
        </w:rPr>
        <w:t>/</w:t>
      </w:r>
      <w:r>
        <w:rPr>
          <w:sz w:val="20"/>
        </w:rPr>
        <w:t>RLAN transmitter height of 20 m.</w:t>
      </w:r>
    </w:p>
    <w:p w:rsidR="0089268C" w:rsidRDefault="00C3610E">
      <w:pPr>
        <w:rPr>
          <w:lang w:val="en-US"/>
        </w:rPr>
      </w:pPr>
      <w:r>
        <w:rPr>
          <w:lang w:val="en-US"/>
        </w:rPr>
        <w:t xml:space="preserve">The analysis of the results provided in Table 3 shows that in case of outdoor WAS/RLAN systems usage the required protection distance can be increased significantly in comparison with the case of indoor WAS/RLAN deployment. Such usage even of single outdoor WAS/RLAN usage can lead to </w:t>
      </w:r>
      <w:r>
        <w:rPr>
          <w:lang w:val="en-US"/>
        </w:rPr>
        <w:lastRenderedPageBreak/>
        <w:t xml:space="preserve">the case when the required protection distance will exceed the line-of-sight distance for a certain bandwidth of WAS/RLAN system. </w:t>
      </w:r>
    </w:p>
    <w:p w:rsidR="0089268C" w:rsidRDefault="00C3610E">
      <w:pPr>
        <w:rPr>
          <w:lang w:val="en-US"/>
        </w:rPr>
      </w:pPr>
      <w:r>
        <w:rPr>
          <w:lang w:val="en-US"/>
        </w:rPr>
        <w:t xml:space="preserve">In addition the required protection distances were estimated in case when three RLAN transmitters deployed in one building operate simultaneously. The estimation results are presented in Table 4.  </w:t>
      </w:r>
    </w:p>
    <w:p w:rsidR="0089268C" w:rsidRDefault="00C3610E" w:rsidP="000A3887">
      <w:pPr>
        <w:pStyle w:val="TableNo"/>
        <w:spacing w:before="360"/>
        <w:rPr>
          <w:lang w:val="en-US"/>
        </w:rPr>
      </w:pPr>
      <w:r>
        <w:rPr>
          <w:lang w:val="en-US"/>
        </w:rPr>
        <w:t>TABLE 4</w:t>
      </w:r>
    </w:p>
    <w:p w:rsidR="0089268C" w:rsidRDefault="00C3610E">
      <w:pPr>
        <w:pStyle w:val="Tabletitle"/>
        <w:rPr>
          <w:lang w:val="en-US"/>
        </w:rPr>
      </w:pPr>
      <w:r>
        <w:rPr>
          <w:lang w:val="en-US"/>
        </w:rPr>
        <w:t>Separation distances required for protection of airborne radars from three indoor and outdoor rlan systems, km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5"/>
        <w:gridCol w:w="1926"/>
        <w:gridCol w:w="1926"/>
        <w:gridCol w:w="1927"/>
      </w:tblGrid>
      <w:tr w:rsidR="0089268C">
        <w:trPr>
          <w:jc w:val="center"/>
        </w:trPr>
        <w:tc>
          <w:tcPr>
            <w:tcW w:w="1914" w:type="dxa"/>
            <w:shd w:val="clear" w:color="auto" w:fill="auto"/>
            <w:vAlign w:val="center"/>
          </w:tcPr>
          <w:p w:rsidR="0089268C" w:rsidRDefault="0089268C">
            <w:pPr>
              <w:jc w:val="center"/>
              <w:rPr>
                <w:szCs w:val="24"/>
                <w:lang w:val="en-US"/>
              </w:rPr>
            </w:pPr>
          </w:p>
        </w:tc>
        <w:tc>
          <w:tcPr>
            <w:tcW w:w="3828" w:type="dxa"/>
            <w:gridSpan w:val="2"/>
            <w:shd w:val="clear" w:color="auto" w:fill="auto"/>
            <w:vAlign w:val="center"/>
          </w:tcPr>
          <w:p w:rsidR="0089268C" w:rsidRDefault="00C3610E">
            <w:pPr>
              <w:pStyle w:val="Tablehead"/>
              <w:rPr>
                <w:lang w:val="en-US"/>
              </w:rPr>
            </w:pPr>
            <w:r>
              <w:rPr>
                <w:lang w:val="en-US"/>
              </w:rPr>
              <w:t>EIRP</w:t>
            </w:r>
            <w:r>
              <w:rPr>
                <w:vertAlign w:val="subscript"/>
                <w:lang w:val="en-US"/>
              </w:rPr>
              <w:t>eff</w:t>
            </w:r>
            <w:r>
              <w:rPr>
                <w:lang w:val="en-US"/>
              </w:rPr>
              <w:t>=-7 dBW</w:t>
            </w:r>
            <w:r>
              <w:t>, σ=</w:t>
            </w:r>
            <w:r>
              <w:rPr>
                <w:lang w:val="en-US"/>
              </w:rPr>
              <w:t>2</w:t>
            </w:r>
            <w:r>
              <w:t xml:space="preserve">0 </w:t>
            </w:r>
            <w:r>
              <w:rPr>
                <w:lang w:val="en-US"/>
              </w:rPr>
              <w:t>dB</w:t>
            </w:r>
          </w:p>
        </w:tc>
        <w:tc>
          <w:tcPr>
            <w:tcW w:w="3829" w:type="dxa"/>
            <w:gridSpan w:val="2"/>
            <w:shd w:val="clear" w:color="auto" w:fill="auto"/>
            <w:vAlign w:val="center"/>
          </w:tcPr>
          <w:p w:rsidR="0089268C" w:rsidRDefault="00C3610E">
            <w:pPr>
              <w:pStyle w:val="Tablehead"/>
            </w:pPr>
            <w:r>
              <w:rPr>
                <w:lang w:val="en-US"/>
              </w:rPr>
              <w:t>EIRP</w:t>
            </w:r>
            <w:r>
              <w:rPr>
                <w:vertAlign w:val="subscript"/>
                <w:lang w:val="en-US"/>
              </w:rPr>
              <w:t>eff</w:t>
            </w:r>
            <w:r>
              <w:rPr>
                <w:lang w:val="en-US"/>
              </w:rPr>
              <w:t>=-</w:t>
            </w:r>
            <w:r>
              <w:t>7</w:t>
            </w:r>
            <w:r>
              <w:rPr>
                <w:lang w:val="en-US"/>
              </w:rPr>
              <w:t xml:space="preserve"> dBW</w:t>
            </w:r>
            <w:r>
              <w:t xml:space="preserve">, σ=0 </w:t>
            </w:r>
            <w:r>
              <w:rPr>
                <w:lang w:val="en-US"/>
              </w:rPr>
              <w:t>dB</w:t>
            </w:r>
          </w:p>
        </w:tc>
      </w:tr>
      <w:tr w:rsidR="0089268C">
        <w:trPr>
          <w:jc w:val="center"/>
        </w:trPr>
        <w:tc>
          <w:tcPr>
            <w:tcW w:w="1914" w:type="dxa"/>
            <w:shd w:val="clear" w:color="auto" w:fill="auto"/>
          </w:tcPr>
          <w:p w:rsidR="0089268C" w:rsidRDefault="00C3610E">
            <w:pPr>
              <w:pStyle w:val="Tabletext"/>
              <w:rPr>
                <w:lang w:val="en-US"/>
              </w:rPr>
            </w:pPr>
            <w:r>
              <w:t>Δ</w:t>
            </w:r>
            <w:r>
              <w:rPr>
                <w:lang w:val="en-US"/>
              </w:rPr>
              <w:t>F</w:t>
            </w:r>
            <w:r>
              <w:rPr>
                <w:vertAlign w:val="subscript"/>
                <w:lang w:val="en-US"/>
              </w:rPr>
              <w:t>RLAN</w:t>
            </w:r>
            <w:r>
              <w:t xml:space="preserve">, </w:t>
            </w:r>
            <w:r>
              <w:rPr>
                <w:lang w:val="en-US"/>
              </w:rPr>
              <w:t>MHz</w:t>
            </w:r>
          </w:p>
        </w:tc>
        <w:tc>
          <w:tcPr>
            <w:tcW w:w="1914" w:type="dxa"/>
            <w:shd w:val="clear" w:color="auto" w:fill="auto"/>
          </w:tcPr>
          <w:p w:rsidR="0089268C" w:rsidRDefault="00C3610E">
            <w:pPr>
              <w:pStyle w:val="Tabletext"/>
              <w:jc w:val="center"/>
              <w:rPr>
                <w:lang w:val="en-US"/>
              </w:rPr>
            </w:pPr>
            <w:r>
              <w:rPr>
                <w:lang w:val="en-US"/>
              </w:rPr>
              <w:t>20</w:t>
            </w:r>
          </w:p>
        </w:tc>
        <w:tc>
          <w:tcPr>
            <w:tcW w:w="1914" w:type="dxa"/>
            <w:shd w:val="clear" w:color="auto" w:fill="auto"/>
          </w:tcPr>
          <w:p w:rsidR="0089268C" w:rsidRDefault="00C3610E">
            <w:pPr>
              <w:pStyle w:val="Tabletext"/>
              <w:jc w:val="center"/>
              <w:rPr>
                <w:lang w:val="en-US"/>
              </w:rPr>
            </w:pPr>
            <w:r>
              <w:rPr>
                <w:lang w:val="en-US"/>
              </w:rPr>
              <w:t>160</w:t>
            </w:r>
          </w:p>
        </w:tc>
        <w:tc>
          <w:tcPr>
            <w:tcW w:w="1914" w:type="dxa"/>
            <w:shd w:val="clear" w:color="auto" w:fill="auto"/>
          </w:tcPr>
          <w:p w:rsidR="0089268C" w:rsidRDefault="00C3610E">
            <w:pPr>
              <w:pStyle w:val="Tabletext"/>
              <w:jc w:val="center"/>
              <w:rPr>
                <w:lang w:val="en-US"/>
              </w:rPr>
            </w:pPr>
            <w:r>
              <w:rPr>
                <w:lang w:val="en-US"/>
              </w:rPr>
              <w:t>20</w:t>
            </w:r>
          </w:p>
        </w:tc>
        <w:tc>
          <w:tcPr>
            <w:tcW w:w="1915" w:type="dxa"/>
            <w:shd w:val="clear" w:color="auto" w:fill="auto"/>
          </w:tcPr>
          <w:p w:rsidR="0089268C" w:rsidRDefault="00C3610E">
            <w:pPr>
              <w:pStyle w:val="Tabletext"/>
              <w:jc w:val="center"/>
              <w:rPr>
                <w:lang w:val="en-US"/>
              </w:rPr>
            </w:pPr>
            <w:r>
              <w:rPr>
                <w:lang w:val="en-US"/>
              </w:rPr>
              <w:t>160</w:t>
            </w:r>
          </w:p>
        </w:tc>
      </w:tr>
      <w:tr w:rsidR="0089268C">
        <w:trPr>
          <w:jc w:val="center"/>
        </w:trPr>
        <w:tc>
          <w:tcPr>
            <w:tcW w:w="1914" w:type="dxa"/>
            <w:shd w:val="clear" w:color="auto" w:fill="auto"/>
          </w:tcPr>
          <w:p w:rsidR="0089268C" w:rsidRDefault="00C3610E">
            <w:pPr>
              <w:pStyle w:val="Tabletext"/>
              <w:rPr>
                <w:lang w:val="en-US"/>
              </w:rPr>
            </w:pPr>
            <w:r>
              <w:rPr>
                <w:lang w:val="en-US"/>
              </w:rPr>
              <w:t>Protection distance</w:t>
            </w:r>
          </w:p>
        </w:tc>
        <w:tc>
          <w:tcPr>
            <w:tcW w:w="1914" w:type="dxa"/>
            <w:shd w:val="clear" w:color="auto" w:fill="auto"/>
          </w:tcPr>
          <w:p w:rsidR="0089268C" w:rsidRDefault="00C3610E">
            <w:pPr>
              <w:pStyle w:val="Tabletext"/>
              <w:jc w:val="center"/>
            </w:pPr>
            <w:r>
              <w:rPr>
                <w:lang w:val="en-US"/>
              </w:rPr>
              <w:t>88</w:t>
            </w:r>
          </w:p>
        </w:tc>
        <w:tc>
          <w:tcPr>
            <w:tcW w:w="1914" w:type="dxa"/>
            <w:shd w:val="clear" w:color="auto" w:fill="auto"/>
          </w:tcPr>
          <w:p w:rsidR="0089268C" w:rsidRDefault="00C3610E">
            <w:pPr>
              <w:pStyle w:val="Tabletext"/>
              <w:jc w:val="center"/>
              <w:rPr>
                <w:lang w:val="en-US"/>
              </w:rPr>
            </w:pPr>
            <w:r>
              <w:rPr>
                <w:lang w:val="en-US"/>
              </w:rPr>
              <w:t>31</w:t>
            </w:r>
          </w:p>
        </w:tc>
        <w:tc>
          <w:tcPr>
            <w:tcW w:w="1914" w:type="dxa"/>
            <w:shd w:val="clear" w:color="auto" w:fill="auto"/>
          </w:tcPr>
          <w:p w:rsidR="0089268C" w:rsidRDefault="00C3610E">
            <w:pPr>
              <w:pStyle w:val="Tabletext"/>
              <w:jc w:val="center"/>
            </w:pPr>
            <w:r>
              <w:rPr>
                <w:lang w:val="en-US"/>
              </w:rPr>
              <w:t>&gt;R</w:t>
            </w:r>
            <w:r>
              <w:rPr>
                <w:vertAlign w:val="subscript"/>
                <w:lang w:val="en-US"/>
              </w:rPr>
              <w:t>LOS</w:t>
            </w:r>
          </w:p>
        </w:tc>
        <w:tc>
          <w:tcPr>
            <w:tcW w:w="1915" w:type="dxa"/>
            <w:shd w:val="clear" w:color="auto" w:fill="auto"/>
          </w:tcPr>
          <w:p w:rsidR="0089268C" w:rsidRDefault="00C3610E">
            <w:pPr>
              <w:pStyle w:val="Tabletext"/>
              <w:jc w:val="center"/>
              <w:rPr>
                <w:lang w:val="en-US"/>
              </w:rPr>
            </w:pPr>
            <w:r>
              <w:rPr>
                <w:lang w:val="en-US"/>
              </w:rPr>
              <w:t>311</w:t>
            </w:r>
          </w:p>
        </w:tc>
      </w:tr>
    </w:tbl>
    <w:p w:rsidR="008D72A0" w:rsidRDefault="008D72A0" w:rsidP="008D72A0">
      <w:pPr>
        <w:pStyle w:val="Tablefin"/>
        <w:rPr>
          <w:lang w:val="en-US"/>
        </w:rPr>
      </w:pPr>
    </w:p>
    <w:p w:rsidR="0089268C" w:rsidRDefault="00C3610E">
      <w:pPr>
        <w:rPr>
          <w:lang w:val="en-US"/>
        </w:rPr>
      </w:pPr>
      <w:r>
        <w:rPr>
          <w:lang w:val="en-US"/>
        </w:rPr>
        <w:t>While increasing the number of outdoor WAS/RLAN systems falling into the main lobe of the airborne sense and  avoid antenna pattern up to 7 the required protection distance exceeds the line-of-sight distance for both types of the considered WAS/RLAN signals.</w:t>
      </w:r>
    </w:p>
    <w:p w:rsidR="0089268C" w:rsidRDefault="00C3610E">
      <w:pPr>
        <w:rPr>
          <w:lang w:val="en-US" w:eastAsia="zh-CN"/>
        </w:rPr>
      </w:pPr>
      <w:r>
        <w:rPr>
          <w:lang w:val="en-US"/>
        </w:rPr>
        <w:t>The obtained results allow to conclude that the compatibility of outdoor WAS/RLAN systems with the airborne radars will be quite complicated without taking the additional measures for reducing interference.</w:t>
      </w:r>
    </w:p>
    <w:p w:rsidR="0089268C" w:rsidRPr="001E7D0F" w:rsidRDefault="00C3610E" w:rsidP="001E7D0F">
      <w:pPr>
        <w:pStyle w:val="Heading3"/>
        <w:rPr>
          <w:lang w:val="en-US"/>
        </w:rPr>
      </w:pPr>
      <w:r>
        <w:rPr>
          <w:lang w:val="en-US"/>
        </w:rPr>
        <w:t xml:space="preserve">5.2.2 </w:t>
      </w:r>
      <w:r>
        <w:rPr>
          <w:lang w:val="en-US"/>
        </w:rPr>
        <w:tab/>
        <w:t>Study 2 (JPN 5A/</w:t>
      </w:r>
      <w:hyperlink r:id="rId130" w:history="1">
        <w:r w:rsidRPr="006A6118">
          <w:rPr>
            <w:rStyle w:val="Hyperlink"/>
            <w:lang w:val="en-US"/>
          </w:rPr>
          <w:t>586</w:t>
        </w:r>
      </w:hyperlink>
      <w:r>
        <w:rPr>
          <w:lang w:val="en-US"/>
        </w:rPr>
        <w:t>)</w:t>
      </w:r>
    </w:p>
    <w:p w:rsidR="0089268C" w:rsidRPr="008D72A0" w:rsidRDefault="00C3610E">
      <w:pPr>
        <w:rPr>
          <w:i/>
          <w:iCs/>
          <w:szCs w:val="24"/>
          <w:lang w:val="en-US" w:eastAsia="zh-CN"/>
        </w:rPr>
      </w:pPr>
      <w:r w:rsidRPr="008D72A0">
        <w:rPr>
          <w:i/>
          <w:iCs/>
          <w:szCs w:val="24"/>
          <w:lang w:val="en-US" w:eastAsia="zh-CN"/>
        </w:rPr>
        <w:t xml:space="preserve">[Editor’s </w:t>
      </w:r>
      <w:r w:rsidR="008D72A0" w:rsidRPr="008D72A0">
        <w:rPr>
          <w:i/>
          <w:iCs/>
          <w:szCs w:val="24"/>
          <w:lang w:val="en-US" w:eastAsia="zh-CN"/>
        </w:rPr>
        <w:t>note</w:t>
      </w:r>
      <w:r w:rsidRPr="008D72A0">
        <w:rPr>
          <w:i/>
          <w:iCs/>
          <w:szCs w:val="24"/>
          <w:lang w:val="en-US" w:eastAsia="zh-CN"/>
        </w:rPr>
        <w:t>: The text below need to be carefully considered at next WP</w:t>
      </w:r>
      <w:r w:rsidR="000A3887">
        <w:rPr>
          <w:i/>
          <w:iCs/>
          <w:szCs w:val="24"/>
          <w:lang w:val="en-US" w:eastAsia="zh-CN"/>
        </w:rPr>
        <w:t> </w:t>
      </w:r>
      <w:r w:rsidRPr="008D72A0">
        <w:rPr>
          <w:i/>
          <w:iCs/>
          <w:szCs w:val="24"/>
          <w:lang w:val="en-US" w:eastAsia="zh-CN"/>
        </w:rPr>
        <w:t>5A meeting, especially for the probability.]</w:t>
      </w:r>
    </w:p>
    <w:p w:rsidR="0089268C" w:rsidRDefault="00C3610E">
      <w:pPr>
        <w:rPr>
          <w:szCs w:val="24"/>
          <w:lang w:val="en-US" w:eastAsia="ja-JP"/>
        </w:rPr>
      </w:pPr>
      <w:r>
        <w:rPr>
          <w:szCs w:val="24"/>
          <w:lang w:val="en-US" w:eastAsia="ja-JP"/>
        </w:rPr>
        <w:t>Another example of a sharing study with realistic conditions is conducted as follows.</w:t>
      </w:r>
    </w:p>
    <w:p w:rsidR="0089268C" w:rsidRDefault="00C3610E">
      <w:pPr>
        <w:rPr>
          <w:spacing w:val="-2"/>
          <w:lang w:val="en-US" w:eastAsia="ja-JP"/>
        </w:rPr>
      </w:pPr>
      <w:r>
        <w:rPr>
          <w:spacing w:val="-2"/>
          <w:lang w:val="en-US" w:eastAsia="ja-JP"/>
        </w:rPr>
        <w:t>The parameters and protection criteria of the ARNS system are assumed to be almost the same as described in section 4.1 (also described in Recommendation ITU-R M.2007) and the threshold of the total amount of interference from RLANs is -101.9 dBm with the following conditions in Table A3.</w:t>
      </w:r>
    </w:p>
    <w:p w:rsidR="0089268C" w:rsidRDefault="00C3610E" w:rsidP="000A3887">
      <w:pPr>
        <w:pStyle w:val="TableNo"/>
        <w:spacing w:before="360"/>
        <w:rPr>
          <w:lang w:val="en-US" w:eastAsia="ja-JP"/>
        </w:rPr>
      </w:pPr>
      <w:r>
        <w:rPr>
          <w:lang w:val="en-US" w:eastAsia="ja-JP"/>
        </w:rPr>
        <w:t>TABLE A3</w:t>
      </w:r>
    </w:p>
    <w:p w:rsidR="0089268C" w:rsidRDefault="00C3610E">
      <w:pPr>
        <w:pStyle w:val="Tabletitle"/>
        <w:rPr>
          <w:lang w:val="en-US" w:eastAsia="ja-JP"/>
        </w:rPr>
      </w:pPr>
      <w:r>
        <w:rPr>
          <w:lang w:val="en-US" w:eastAsia="ja-JP"/>
        </w:rPr>
        <w:t>Additional conditions for a sharing study with ARNS systems</w:t>
      </w:r>
    </w:p>
    <w:tbl>
      <w:tblPr>
        <w:tblStyle w:val="TableGrid"/>
        <w:tblW w:w="0" w:type="auto"/>
        <w:tblLook w:val="04A0" w:firstRow="1" w:lastRow="0" w:firstColumn="1" w:lastColumn="0" w:noHBand="0" w:noVBand="1"/>
      </w:tblPr>
      <w:tblGrid>
        <w:gridCol w:w="2615"/>
        <w:gridCol w:w="7014"/>
      </w:tblGrid>
      <w:tr w:rsidR="0089268C">
        <w:tc>
          <w:tcPr>
            <w:tcW w:w="2615" w:type="dxa"/>
            <w:vAlign w:val="center"/>
          </w:tcPr>
          <w:p w:rsidR="0089268C" w:rsidRDefault="00C3610E">
            <w:pPr>
              <w:pStyle w:val="Tablehead"/>
              <w:rPr>
                <w:lang w:val="en-US" w:eastAsia="ja-JP"/>
              </w:rPr>
            </w:pPr>
            <w:r>
              <w:rPr>
                <w:lang w:val="en-US" w:eastAsia="ja-JP"/>
              </w:rPr>
              <w:t>Parameters</w:t>
            </w:r>
          </w:p>
        </w:tc>
        <w:tc>
          <w:tcPr>
            <w:tcW w:w="7014" w:type="dxa"/>
            <w:vAlign w:val="center"/>
          </w:tcPr>
          <w:p w:rsidR="0089268C" w:rsidRDefault="00C3610E">
            <w:pPr>
              <w:pStyle w:val="Tablehead"/>
              <w:rPr>
                <w:lang w:val="en-US" w:eastAsia="ja-JP"/>
              </w:rPr>
            </w:pPr>
            <w:r>
              <w:rPr>
                <w:lang w:val="en-US" w:eastAsia="ja-JP"/>
              </w:rPr>
              <w:t>Values and conditions</w:t>
            </w:r>
          </w:p>
        </w:tc>
      </w:tr>
      <w:tr w:rsidR="0089268C">
        <w:tc>
          <w:tcPr>
            <w:tcW w:w="2615" w:type="dxa"/>
            <w:vAlign w:val="center"/>
          </w:tcPr>
          <w:p w:rsidR="0089268C" w:rsidRDefault="00C3610E" w:rsidP="001D729F">
            <w:pPr>
              <w:pStyle w:val="Tabletext"/>
              <w:keepNext/>
              <w:rPr>
                <w:lang w:val="en-US" w:eastAsia="ja-JP"/>
              </w:rPr>
            </w:pPr>
            <w:r>
              <w:rPr>
                <w:lang w:val="en-US" w:eastAsia="ja-JP"/>
              </w:rPr>
              <w:t>e.i.r.p. distribution</w:t>
            </w:r>
          </w:p>
        </w:tc>
        <w:tc>
          <w:tcPr>
            <w:tcW w:w="7014" w:type="dxa"/>
            <w:vAlign w:val="center"/>
          </w:tcPr>
          <w:p w:rsidR="0089268C" w:rsidRDefault="00C3610E" w:rsidP="001D729F">
            <w:pPr>
              <w:pStyle w:val="Tabletext"/>
              <w:keepNext/>
              <w:rPr>
                <w:lang w:val="en-US" w:eastAsia="ja-JP"/>
              </w:rPr>
            </w:pPr>
            <w:r>
              <w:rPr>
                <w:lang w:val="en-US" w:eastAsia="ja-JP"/>
              </w:rPr>
              <w:t>Based on Table 1A in Report ITU-R M.[RLAN REQ-PAR] (The outdoor usage ratio is 5.3%)</w:t>
            </w:r>
          </w:p>
        </w:tc>
      </w:tr>
      <w:tr w:rsidR="0089268C">
        <w:tc>
          <w:tcPr>
            <w:tcW w:w="2615" w:type="dxa"/>
            <w:vAlign w:val="center"/>
          </w:tcPr>
          <w:p w:rsidR="0089268C" w:rsidRDefault="00C3610E">
            <w:pPr>
              <w:pStyle w:val="Tabletext"/>
              <w:rPr>
                <w:lang w:val="en-US" w:eastAsia="ja-JP"/>
              </w:rPr>
            </w:pPr>
            <w:r>
              <w:rPr>
                <w:lang w:val="en-US" w:eastAsia="ja-JP"/>
              </w:rPr>
              <w:t>Antenna pattern for RLANs</w:t>
            </w:r>
          </w:p>
        </w:tc>
        <w:tc>
          <w:tcPr>
            <w:tcW w:w="7014" w:type="dxa"/>
            <w:vAlign w:val="center"/>
          </w:tcPr>
          <w:p w:rsidR="0089268C" w:rsidRDefault="00C3610E">
            <w:pPr>
              <w:pStyle w:val="Tabletext"/>
              <w:rPr>
                <w:lang w:val="en-US" w:eastAsia="ja-JP"/>
              </w:rPr>
            </w:pPr>
            <w:r>
              <w:rPr>
                <w:lang w:val="en-US" w:eastAsia="ja-JP"/>
              </w:rPr>
              <w:t>Based on Recommendation ITU-R M.1652 (If the RLAN uses e.i.r.p. of 1 W, the elevation angle mask defined for 5 250-5 350 MHz band in the Resolution</w:t>
            </w:r>
            <w:r>
              <w:rPr>
                <w:b/>
                <w:lang w:val="en-US" w:eastAsia="ja-JP"/>
              </w:rPr>
              <w:t xml:space="preserve"> 229 (Rev.WRC-12)</w:t>
            </w:r>
            <w:r>
              <w:rPr>
                <w:lang w:val="en-US" w:eastAsia="ja-JP"/>
              </w:rPr>
              <w:t xml:space="preserve"> is applied.)</w:t>
            </w:r>
          </w:p>
        </w:tc>
      </w:tr>
      <w:tr w:rsidR="0089268C">
        <w:tc>
          <w:tcPr>
            <w:tcW w:w="2615" w:type="dxa"/>
            <w:vAlign w:val="center"/>
          </w:tcPr>
          <w:p w:rsidR="0089268C" w:rsidRDefault="00C3610E">
            <w:pPr>
              <w:pStyle w:val="Tabletext"/>
              <w:rPr>
                <w:lang w:val="en-US" w:eastAsia="ja-JP"/>
              </w:rPr>
            </w:pPr>
            <w:r>
              <w:rPr>
                <w:lang w:val="en-US" w:eastAsia="ja-JP"/>
              </w:rPr>
              <w:t>Height of RLAN antenna</w:t>
            </w:r>
          </w:p>
        </w:tc>
        <w:tc>
          <w:tcPr>
            <w:tcW w:w="7014" w:type="dxa"/>
            <w:vAlign w:val="center"/>
          </w:tcPr>
          <w:p w:rsidR="0089268C" w:rsidRDefault="00C3610E">
            <w:pPr>
              <w:pStyle w:val="Tabletext"/>
              <w:rPr>
                <w:lang w:val="en-US" w:eastAsia="ja-JP"/>
              </w:rPr>
            </w:pPr>
            <w:r>
              <w:rPr>
                <w:lang w:val="en-US" w:eastAsia="ja-JP"/>
              </w:rPr>
              <w:t>4.5 m</w:t>
            </w:r>
          </w:p>
        </w:tc>
      </w:tr>
      <w:tr w:rsidR="0089268C">
        <w:tc>
          <w:tcPr>
            <w:tcW w:w="2615" w:type="dxa"/>
            <w:vAlign w:val="center"/>
          </w:tcPr>
          <w:p w:rsidR="0089268C" w:rsidRDefault="00C3610E">
            <w:pPr>
              <w:pStyle w:val="Tabletext"/>
              <w:rPr>
                <w:lang w:val="en-US" w:eastAsia="ja-JP"/>
              </w:rPr>
            </w:pPr>
            <w:r>
              <w:rPr>
                <w:lang w:val="en-US" w:eastAsia="ja-JP"/>
              </w:rPr>
              <w:t>Active ratio of RLANs</w:t>
            </w:r>
          </w:p>
        </w:tc>
        <w:tc>
          <w:tcPr>
            <w:tcW w:w="7014" w:type="dxa"/>
            <w:vAlign w:val="center"/>
          </w:tcPr>
          <w:p w:rsidR="0089268C" w:rsidRDefault="00C3610E">
            <w:pPr>
              <w:pStyle w:val="Tabletext"/>
              <w:rPr>
                <w:lang w:val="en-US" w:eastAsia="ja-JP"/>
              </w:rPr>
            </w:pPr>
            <w:r>
              <w:rPr>
                <w:lang w:val="en-US" w:eastAsia="ja-JP"/>
              </w:rPr>
              <w:t>4.645% (derived from Report ITU-R M.[RLAN REQ-PAR])</w:t>
            </w:r>
          </w:p>
        </w:tc>
      </w:tr>
      <w:tr w:rsidR="0089268C">
        <w:tc>
          <w:tcPr>
            <w:tcW w:w="2615" w:type="dxa"/>
            <w:vAlign w:val="center"/>
          </w:tcPr>
          <w:p w:rsidR="0089268C" w:rsidRDefault="00C3610E">
            <w:pPr>
              <w:pStyle w:val="Tabletext"/>
              <w:rPr>
                <w:lang w:val="en-US" w:eastAsia="ja-JP"/>
              </w:rPr>
            </w:pPr>
            <w:r>
              <w:rPr>
                <w:lang w:val="en-US" w:eastAsia="ja-JP"/>
              </w:rPr>
              <w:t>Antenna pattern for ARNS systems</w:t>
            </w:r>
          </w:p>
        </w:tc>
        <w:tc>
          <w:tcPr>
            <w:tcW w:w="7014" w:type="dxa"/>
            <w:vAlign w:val="center"/>
          </w:tcPr>
          <w:p w:rsidR="0089268C" w:rsidRDefault="00C3610E">
            <w:pPr>
              <w:pStyle w:val="Tabletext"/>
              <w:rPr>
                <w:lang w:val="en-US" w:eastAsia="ja-JP"/>
              </w:rPr>
            </w:pPr>
            <w:r>
              <w:rPr>
                <w:lang w:val="en-US" w:eastAsia="ja-JP"/>
              </w:rPr>
              <w:t>Based on Recommendation ITU-R M.1652 (The maximum antenna gain is 36 dBi as defined in Recommendation ITU-R M.2007.) (*1)</w:t>
            </w:r>
          </w:p>
        </w:tc>
      </w:tr>
      <w:tr w:rsidR="0089268C">
        <w:tc>
          <w:tcPr>
            <w:tcW w:w="2615" w:type="dxa"/>
            <w:vAlign w:val="center"/>
          </w:tcPr>
          <w:p w:rsidR="0089268C" w:rsidRDefault="00C3610E">
            <w:pPr>
              <w:pStyle w:val="Tabletext"/>
              <w:rPr>
                <w:lang w:val="en-US" w:eastAsia="ja-JP"/>
              </w:rPr>
            </w:pPr>
            <w:r>
              <w:rPr>
                <w:lang w:val="en-US" w:eastAsia="ja-JP"/>
              </w:rPr>
              <w:t>Altitude of ARNS systems</w:t>
            </w:r>
          </w:p>
        </w:tc>
        <w:tc>
          <w:tcPr>
            <w:tcW w:w="7014" w:type="dxa"/>
            <w:vAlign w:val="center"/>
          </w:tcPr>
          <w:p w:rsidR="0089268C" w:rsidRDefault="00C3610E">
            <w:pPr>
              <w:pStyle w:val="Tabletext"/>
              <w:rPr>
                <w:lang w:val="en-US" w:eastAsia="ja-JP"/>
              </w:rPr>
            </w:pPr>
            <w:r>
              <w:rPr>
                <w:lang w:val="en-US" w:eastAsia="ja-JP"/>
              </w:rPr>
              <w:t>10 km</w:t>
            </w:r>
          </w:p>
        </w:tc>
      </w:tr>
      <w:tr w:rsidR="0089268C">
        <w:tc>
          <w:tcPr>
            <w:tcW w:w="2615" w:type="dxa"/>
            <w:vAlign w:val="center"/>
          </w:tcPr>
          <w:p w:rsidR="0089268C" w:rsidRDefault="00C3610E">
            <w:pPr>
              <w:pStyle w:val="Tabletext"/>
              <w:rPr>
                <w:lang w:val="en-US" w:eastAsia="ja-JP"/>
              </w:rPr>
            </w:pPr>
            <w:r>
              <w:rPr>
                <w:lang w:val="en-US" w:eastAsia="ja-JP"/>
              </w:rPr>
              <w:t>Building entry loss</w:t>
            </w:r>
          </w:p>
        </w:tc>
        <w:tc>
          <w:tcPr>
            <w:tcW w:w="7014" w:type="dxa"/>
            <w:vAlign w:val="center"/>
          </w:tcPr>
          <w:p w:rsidR="0089268C" w:rsidRDefault="00C3610E">
            <w:pPr>
              <w:pStyle w:val="Tabletext"/>
              <w:rPr>
                <w:lang w:val="en-US" w:eastAsia="ja-JP"/>
              </w:rPr>
            </w:pPr>
            <w:r>
              <w:rPr>
                <w:lang w:val="en-US" w:eastAsia="ja-JP"/>
              </w:rPr>
              <w:t>Based on Recommendation ITU-R P.2109 (Building type: Traditional (The loss will be lower.), probability: p = 0.5)</w:t>
            </w:r>
          </w:p>
        </w:tc>
      </w:tr>
      <w:tr w:rsidR="0089268C">
        <w:tc>
          <w:tcPr>
            <w:tcW w:w="2615" w:type="dxa"/>
            <w:tcBorders>
              <w:bottom w:val="single" w:sz="4" w:space="0" w:color="auto"/>
            </w:tcBorders>
            <w:vAlign w:val="center"/>
          </w:tcPr>
          <w:p w:rsidR="0089268C" w:rsidRDefault="00C3610E">
            <w:pPr>
              <w:pStyle w:val="Tabletext"/>
              <w:rPr>
                <w:lang w:val="en-US" w:eastAsia="ja-JP"/>
              </w:rPr>
            </w:pPr>
            <w:r>
              <w:rPr>
                <w:lang w:val="en-US" w:eastAsia="ja-JP"/>
              </w:rPr>
              <w:t>Additional loss</w:t>
            </w:r>
          </w:p>
        </w:tc>
        <w:tc>
          <w:tcPr>
            <w:tcW w:w="7014" w:type="dxa"/>
            <w:tcBorders>
              <w:bottom w:val="single" w:sz="4" w:space="0" w:color="auto"/>
            </w:tcBorders>
            <w:vAlign w:val="center"/>
          </w:tcPr>
          <w:p w:rsidR="0089268C" w:rsidRDefault="00C3610E">
            <w:pPr>
              <w:pStyle w:val="Tabletext"/>
              <w:rPr>
                <w:lang w:val="en-US" w:eastAsia="ja-JP"/>
              </w:rPr>
            </w:pPr>
            <w:r>
              <w:rPr>
                <w:lang w:val="en-US" w:eastAsia="ja-JP"/>
              </w:rPr>
              <w:t>17 dB (defined for airborne radars in Recommendation ITU-R M.1652).</w:t>
            </w:r>
          </w:p>
        </w:tc>
      </w:tr>
      <w:tr w:rsidR="0089268C">
        <w:tc>
          <w:tcPr>
            <w:tcW w:w="9629" w:type="dxa"/>
            <w:gridSpan w:val="2"/>
            <w:tcBorders>
              <w:top w:val="single" w:sz="4" w:space="0" w:color="auto"/>
              <w:left w:val="nil"/>
              <w:bottom w:val="nil"/>
              <w:right w:val="nil"/>
            </w:tcBorders>
            <w:vAlign w:val="center"/>
          </w:tcPr>
          <w:p w:rsidR="0089268C" w:rsidRDefault="00C3610E">
            <w:pPr>
              <w:pStyle w:val="Tablelegend"/>
              <w:rPr>
                <w:lang w:val="en-US" w:eastAsia="ja-JP"/>
              </w:rPr>
            </w:pPr>
            <w:r>
              <w:rPr>
                <w:lang w:val="en-US" w:eastAsia="ja-JP"/>
              </w:rPr>
              <w:t>(*1) Recommendation ITU-R M.2007 specifies the maximum antenna gain. However it does not contain antenna patterns. This sharing study adopts antenna patterns used in Annex 6 to Recommendation ITU-R M.1652.</w:t>
            </w:r>
          </w:p>
        </w:tc>
      </w:tr>
    </w:tbl>
    <w:p w:rsidR="0089268C" w:rsidRDefault="0089268C">
      <w:pPr>
        <w:pStyle w:val="Tablefin"/>
        <w:rPr>
          <w:lang w:val="en-US" w:eastAsia="ja-JP"/>
        </w:rPr>
      </w:pPr>
    </w:p>
    <w:p w:rsidR="0089268C" w:rsidRDefault="00C3610E">
      <w:pPr>
        <w:rPr>
          <w:lang w:val="en-US" w:eastAsia="ja-JP"/>
        </w:rPr>
      </w:pPr>
      <w:r>
        <w:rPr>
          <w:lang w:val="en-US" w:eastAsia="ja-JP"/>
        </w:rPr>
        <w:lastRenderedPageBreak/>
        <w:t xml:space="preserve">Under these conditions, the total amount and distribution of interference level is calculated based on Monte Carlo simulations and compared with the allowable interference level with random locations of RLAN devices with variable number of RLANs within the line-of-sight range of the ARNS systems as shown in Figure A2. </w:t>
      </w:r>
    </w:p>
    <w:p w:rsidR="0089268C" w:rsidRDefault="00C3610E">
      <w:pPr>
        <w:rPr>
          <w:lang w:val="en-US" w:eastAsia="ja-JP"/>
        </w:rPr>
      </w:pPr>
      <w:r>
        <w:rPr>
          <w:lang w:val="en-US" w:eastAsia="ja-JP"/>
        </w:rPr>
        <w:t xml:space="preserve">The minimum distance between RLANs and ARNS systems is assumed to be 0 km or 20 km. The elevation angle of the ARNS antenna is assumed to be -45 degrees that is the lower limit and corresponds to the maximum interference level from a RLAN device near the ARNS system. </w:t>
      </w:r>
    </w:p>
    <w:p w:rsidR="0089268C" w:rsidRDefault="00C3610E">
      <w:pPr>
        <w:rPr>
          <w:lang w:val="en-US" w:eastAsia="ja-JP"/>
        </w:rPr>
      </w:pPr>
      <w:r>
        <w:rPr>
          <w:lang w:val="en-US" w:eastAsia="ja-JP"/>
        </w:rPr>
        <w:t>The results are shown in Table A4. When no limitation is applied to RLAN locations, if the upper limit of the number of RLANs of the 5 150-5 250 MHz band within the line-of-sight range of the ARNS system is 103.15 million (5.47 million for outdoors), the interference is less than the threshold with a probability of 90%. When the minimum distance between RLANs and ARNS systems is 20 km, the upper limit of the number of RLANs is 210.79 million (11.17 million for outdoor use) in the same way.</w:t>
      </w:r>
    </w:p>
    <w:p w:rsidR="0089268C" w:rsidRDefault="00C3610E">
      <w:pPr>
        <w:rPr>
          <w:lang w:val="en-US" w:eastAsia="ja-JP"/>
        </w:rPr>
      </w:pPr>
      <w:r>
        <w:rPr>
          <w:lang w:val="en-US" w:eastAsia="ja-JP"/>
        </w:rPr>
        <w:t>Accordingly if the number of RLANs or the separation distance between RLANs and ARNS systems is controlled, the interference level will be less than the threshold with a certain probability. Therefore the sharing with ARNS systems is possible when WAS/RLAN systems are used outdoors.</w:t>
      </w:r>
    </w:p>
    <w:p w:rsidR="0089268C" w:rsidRDefault="00C3610E" w:rsidP="001D729F">
      <w:pPr>
        <w:pStyle w:val="FigureNo"/>
        <w:rPr>
          <w:lang w:val="en-US" w:eastAsia="ja-JP"/>
        </w:rPr>
      </w:pPr>
      <w:r>
        <w:rPr>
          <w:lang w:val="en-US" w:eastAsia="ja-JP"/>
        </w:rPr>
        <w:t>FIGURE A2</w:t>
      </w:r>
    </w:p>
    <w:p w:rsidR="0089268C" w:rsidRDefault="00C3610E" w:rsidP="001D729F">
      <w:pPr>
        <w:pStyle w:val="Figuretitle"/>
        <w:rPr>
          <w:lang w:val="en-US" w:eastAsia="ja-JP"/>
        </w:rPr>
      </w:pPr>
      <w:r>
        <w:rPr>
          <w:lang w:val="en-US" w:eastAsia="ja-JP"/>
        </w:rPr>
        <w:t>Interference scenario from RLANs to ARNS systems</w:t>
      </w:r>
    </w:p>
    <w:p w:rsidR="0089268C" w:rsidRDefault="00C3610E" w:rsidP="001D729F">
      <w:pPr>
        <w:pStyle w:val="Figure"/>
        <w:rPr>
          <w:lang w:eastAsia="ja-JP"/>
        </w:rPr>
      </w:pPr>
      <w:r w:rsidRPr="001E7D0F">
        <w:rPr>
          <w:lang w:val="en-GB"/>
        </w:rPr>
        <w:drawing>
          <wp:inline distT="0" distB="0" distL="0" distR="0">
            <wp:extent cx="5370992" cy="2019300"/>
            <wp:effectExtent l="0" t="0" r="0" b="0"/>
            <wp:docPr id="123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68304" cy="2018290"/>
                    </a:xfrm>
                    <a:prstGeom prst="rect">
                      <a:avLst/>
                    </a:prstGeom>
                    <a:noFill/>
                    <a:ln>
                      <a:noFill/>
                    </a:ln>
                  </pic:spPr>
                </pic:pic>
              </a:graphicData>
            </a:graphic>
          </wp:inline>
        </w:drawing>
      </w:r>
    </w:p>
    <w:p w:rsidR="0089268C" w:rsidRDefault="00C3610E">
      <w:pPr>
        <w:pStyle w:val="TableNo"/>
        <w:rPr>
          <w:lang w:val="en-US" w:eastAsia="ja-JP"/>
        </w:rPr>
      </w:pPr>
      <w:r>
        <w:rPr>
          <w:lang w:val="en-US" w:eastAsia="ja-JP"/>
        </w:rPr>
        <w:t>TABLE A4</w:t>
      </w:r>
    </w:p>
    <w:p w:rsidR="0089268C" w:rsidRDefault="00C3610E">
      <w:pPr>
        <w:pStyle w:val="Tabletitle"/>
        <w:rPr>
          <w:lang w:val="en-US" w:eastAsia="ja-JP"/>
        </w:rPr>
      </w:pPr>
      <w:r>
        <w:rPr>
          <w:lang w:val="en-US"/>
        </w:rPr>
        <w:t>The upper limit of the number of RLANs that cause interference levels less than the threshold</w:t>
      </w:r>
      <w:r>
        <w:rPr>
          <w:lang w:val="en-US"/>
        </w:rPr>
        <w:br/>
        <w:t>with a probability</w:t>
      </w:r>
      <w:r>
        <w:rPr>
          <w:lang w:val="en-US" w:eastAsia="ja-JP"/>
        </w:rPr>
        <w:t xml:space="preserve"> of 90% </w:t>
      </w:r>
    </w:p>
    <w:tbl>
      <w:tblPr>
        <w:tblStyle w:val="TableGrid"/>
        <w:tblW w:w="0" w:type="auto"/>
        <w:jc w:val="center"/>
        <w:tblCellMar>
          <w:left w:w="28" w:type="dxa"/>
          <w:right w:w="28" w:type="dxa"/>
        </w:tblCellMar>
        <w:tblLook w:val="04A0" w:firstRow="1" w:lastRow="0" w:firstColumn="1" w:lastColumn="0" w:noHBand="0" w:noVBand="1"/>
      </w:tblPr>
      <w:tblGrid>
        <w:gridCol w:w="3412"/>
        <w:gridCol w:w="3082"/>
        <w:gridCol w:w="3135"/>
      </w:tblGrid>
      <w:tr w:rsidR="0089268C">
        <w:trPr>
          <w:trHeight w:val="195"/>
          <w:jc w:val="center"/>
        </w:trPr>
        <w:tc>
          <w:tcPr>
            <w:tcW w:w="3412" w:type="dxa"/>
            <w:vAlign w:val="center"/>
          </w:tcPr>
          <w:p w:rsidR="0089268C" w:rsidRDefault="0089268C">
            <w:pPr>
              <w:pStyle w:val="Tablehead"/>
              <w:rPr>
                <w:lang w:val="en-US" w:eastAsia="ja-JP"/>
              </w:rPr>
            </w:pPr>
          </w:p>
        </w:tc>
        <w:tc>
          <w:tcPr>
            <w:tcW w:w="3082" w:type="dxa"/>
            <w:vAlign w:val="center"/>
          </w:tcPr>
          <w:p w:rsidR="0089268C" w:rsidRDefault="00C3610E">
            <w:pPr>
              <w:pStyle w:val="Tablehead"/>
              <w:rPr>
                <w:rFonts w:cs="Arial"/>
                <w:color w:val="000000" w:themeColor="text1"/>
                <w:kern w:val="24"/>
                <w:lang w:val="en-US" w:eastAsia="ja-JP"/>
              </w:rPr>
            </w:pPr>
            <w:r>
              <w:rPr>
                <w:rFonts w:cs="Arial"/>
                <w:color w:val="000000" w:themeColor="text1"/>
                <w:kern w:val="24"/>
                <w:lang w:val="en-US" w:eastAsia="ja-JP"/>
              </w:rPr>
              <w:t>Minimum distance between RLANs and ARNS systems: 0 km</w:t>
            </w:r>
          </w:p>
        </w:tc>
        <w:tc>
          <w:tcPr>
            <w:tcW w:w="3135" w:type="dxa"/>
            <w:vAlign w:val="center"/>
          </w:tcPr>
          <w:p w:rsidR="0089268C" w:rsidRDefault="00C3610E">
            <w:pPr>
              <w:pStyle w:val="Tablehead"/>
              <w:rPr>
                <w:rFonts w:cs="Arial"/>
                <w:color w:val="000000" w:themeColor="text1"/>
                <w:kern w:val="24"/>
                <w:lang w:val="en-US" w:eastAsia="ja-JP"/>
              </w:rPr>
            </w:pPr>
            <w:r>
              <w:rPr>
                <w:rFonts w:cs="Arial"/>
                <w:color w:val="000000" w:themeColor="text1"/>
                <w:kern w:val="24"/>
                <w:lang w:val="en-US" w:eastAsia="ja-JP"/>
              </w:rPr>
              <w:t>Minimum distance between RLANs and ARNS systems: 20 km</w:t>
            </w:r>
          </w:p>
        </w:tc>
      </w:tr>
      <w:tr w:rsidR="0089268C">
        <w:trPr>
          <w:trHeight w:val="361"/>
          <w:jc w:val="center"/>
        </w:trPr>
        <w:tc>
          <w:tcPr>
            <w:tcW w:w="3412" w:type="dxa"/>
            <w:vAlign w:val="center"/>
          </w:tcPr>
          <w:p w:rsidR="0089268C" w:rsidRDefault="00C3610E">
            <w:pPr>
              <w:pStyle w:val="Tabletext"/>
              <w:rPr>
                <w:rFonts w:cs="Arial"/>
                <w:color w:val="000000" w:themeColor="text1"/>
                <w:kern w:val="24"/>
                <w:lang w:val="en-US" w:eastAsia="ja-JP"/>
              </w:rPr>
            </w:pPr>
            <w:r>
              <w:rPr>
                <w:rFonts w:cs="Arial"/>
                <w:color w:val="000000" w:themeColor="text1"/>
                <w:kern w:val="24"/>
                <w:lang w:val="en-US" w:eastAsia="ja-JP"/>
              </w:rPr>
              <w:t xml:space="preserve">The number of RLANs </w:t>
            </w:r>
            <w:r>
              <w:rPr>
                <w:lang w:val="en-US" w:eastAsia="ja-JP"/>
              </w:rPr>
              <w:t xml:space="preserve">using </w:t>
            </w:r>
            <w:r>
              <w:rPr>
                <w:lang w:val="en-US" w:eastAsia="ja-JP"/>
              </w:rPr>
              <w:br/>
              <w:t>5 150-5 250 MHz</w:t>
            </w:r>
            <w:r>
              <w:rPr>
                <w:rFonts w:cs="Arial"/>
                <w:color w:val="000000" w:themeColor="text1"/>
                <w:kern w:val="24"/>
                <w:lang w:val="en-US" w:eastAsia="ja-JP"/>
              </w:rPr>
              <w:t xml:space="preserve"> within the line-of-sight range of ARNS systems (million)</w:t>
            </w:r>
          </w:p>
          <w:p w:rsidR="0089268C" w:rsidRDefault="00C3610E">
            <w:pPr>
              <w:pStyle w:val="Tabletext"/>
              <w:rPr>
                <w:rFonts w:cs="Arial"/>
                <w:color w:val="000000" w:themeColor="text1"/>
                <w:kern w:val="24"/>
                <w:lang w:val="en-US" w:eastAsia="ja-JP"/>
              </w:rPr>
            </w:pPr>
            <w:r>
              <w:rPr>
                <w:rFonts w:cs="Arial"/>
                <w:color w:val="000000" w:themeColor="text1"/>
                <w:kern w:val="24"/>
                <w:lang w:val="en-US" w:eastAsia="ja-JP"/>
              </w:rPr>
              <w:t>(For outdoor use (5.3%))</w:t>
            </w:r>
          </w:p>
        </w:tc>
        <w:tc>
          <w:tcPr>
            <w:tcW w:w="3082" w:type="dxa"/>
            <w:vAlign w:val="center"/>
          </w:tcPr>
          <w:p w:rsidR="0089268C" w:rsidRDefault="00C3610E">
            <w:pPr>
              <w:pStyle w:val="Tabletext"/>
              <w:jc w:val="center"/>
              <w:rPr>
                <w:rFonts w:cs="Arial"/>
                <w:color w:val="000000" w:themeColor="text1"/>
                <w:kern w:val="24"/>
                <w:lang w:val="en-US" w:eastAsia="ja-JP"/>
              </w:rPr>
            </w:pPr>
            <w:r>
              <w:rPr>
                <w:rFonts w:cs="Arial"/>
                <w:color w:val="000000" w:themeColor="text1"/>
                <w:kern w:val="24"/>
                <w:lang w:val="en-US" w:eastAsia="ja-JP"/>
              </w:rPr>
              <w:t>103.15</w:t>
            </w:r>
          </w:p>
          <w:p w:rsidR="0089268C" w:rsidRDefault="00C3610E">
            <w:pPr>
              <w:pStyle w:val="Tabletext"/>
              <w:jc w:val="center"/>
              <w:rPr>
                <w:rFonts w:cs="Arial"/>
                <w:color w:val="000000" w:themeColor="text1"/>
                <w:kern w:val="24"/>
                <w:lang w:val="en-US" w:eastAsia="ja-JP"/>
              </w:rPr>
            </w:pPr>
            <w:r>
              <w:rPr>
                <w:rFonts w:cs="Arial"/>
                <w:color w:val="000000" w:themeColor="text1"/>
                <w:kern w:val="24"/>
                <w:lang w:val="en-US" w:eastAsia="ja-JP"/>
              </w:rPr>
              <w:t>(5.47)</w:t>
            </w:r>
          </w:p>
        </w:tc>
        <w:tc>
          <w:tcPr>
            <w:tcW w:w="3135" w:type="dxa"/>
            <w:vAlign w:val="center"/>
          </w:tcPr>
          <w:p w:rsidR="0089268C" w:rsidRDefault="00C3610E">
            <w:pPr>
              <w:pStyle w:val="Tabletext"/>
              <w:jc w:val="center"/>
              <w:rPr>
                <w:lang w:val="en-US" w:eastAsia="ja-JP"/>
              </w:rPr>
            </w:pPr>
            <w:r>
              <w:rPr>
                <w:lang w:val="en-US" w:eastAsia="ja-JP"/>
              </w:rPr>
              <w:t>210.79</w:t>
            </w:r>
          </w:p>
          <w:p w:rsidR="0089268C" w:rsidRDefault="00C3610E">
            <w:pPr>
              <w:pStyle w:val="Tabletext"/>
              <w:jc w:val="center"/>
              <w:rPr>
                <w:lang w:val="en-US" w:eastAsia="ja-JP"/>
              </w:rPr>
            </w:pPr>
            <w:r>
              <w:rPr>
                <w:lang w:val="en-US" w:eastAsia="ja-JP"/>
              </w:rPr>
              <w:t>(11.17)</w:t>
            </w:r>
          </w:p>
        </w:tc>
      </w:tr>
    </w:tbl>
    <w:p w:rsidR="0089268C" w:rsidRDefault="0089268C">
      <w:pPr>
        <w:pStyle w:val="Tablefin"/>
        <w:rPr>
          <w:lang w:val="en-US" w:eastAsia="ja-JP"/>
        </w:rPr>
      </w:pPr>
    </w:p>
    <w:p w:rsidR="0089268C" w:rsidRDefault="00C3610E">
      <w:pPr>
        <w:pStyle w:val="Heading2"/>
        <w:rPr>
          <w:shd w:val="clear" w:color="auto" w:fill="FFFFFF"/>
          <w:lang w:val="en-US"/>
        </w:rPr>
      </w:pPr>
      <w:r>
        <w:rPr>
          <w:shd w:val="clear" w:color="auto" w:fill="FFFFFF"/>
          <w:lang w:val="en-US"/>
        </w:rPr>
        <w:lastRenderedPageBreak/>
        <w:t>5.3</w:t>
      </w:r>
      <w:r>
        <w:rPr>
          <w:shd w:val="clear" w:color="auto" w:fill="FFFFFF"/>
          <w:lang w:val="en-US"/>
        </w:rPr>
        <w:tab/>
        <w:t>Sharing and compatibility of Aeronautical Mobile Service limited to aeronautical mobile telemetry (AMT) for flight testing versus WAS/RLANs in the 5 150-5 250 MHz band</w:t>
      </w:r>
    </w:p>
    <w:p w:rsidR="0089268C" w:rsidRPr="001D729F" w:rsidRDefault="00C3610E">
      <w:pPr>
        <w:textAlignment w:val="auto"/>
        <w:rPr>
          <w:rFonts w:eastAsia="SimSun"/>
          <w:i/>
          <w:iCs/>
          <w:lang w:val="en-US"/>
        </w:rPr>
      </w:pPr>
      <w:r w:rsidRPr="001D729F">
        <w:rPr>
          <w:rFonts w:eastAsia="SimSun"/>
          <w:i/>
          <w:iCs/>
          <w:lang w:val="en-US"/>
        </w:rPr>
        <w:t>[TBD]</w:t>
      </w:r>
    </w:p>
    <w:p w:rsidR="0089268C" w:rsidRDefault="0089268C">
      <w:pPr>
        <w:pStyle w:val="TableNo"/>
      </w:pPr>
    </w:p>
    <w:p w:rsidR="0089268C" w:rsidRDefault="0089268C">
      <w:pPr>
        <w:tabs>
          <w:tab w:val="clear" w:pos="1134"/>
          <w:tab w:val="clear" w:pos="1871"/>
          <w:tab w:val="clear" w:pos="2268"/>
        </w:tabs>
        <w:overflowPunct/>
        <w:autoSpaceDE/>
        <w:autoSpaceDN/>
        <w:adjustRightInd/>
        <w:spacing w:before="0"/>
        <w:textAlignment w:val="auto"/>
        <w:rPr>
          <w:caps/>
          <w:sz w:val="20"/>
        </w:rPr>
      </w:pPr>
    </w:p>
    <w:p w:rsidR="0089268C" w:rsidRDefault="00C3610E">
      <w:pPr>
        <w:pStyle w:val="Heading1"/>
        <w:rPr>
          <w:shd w:val="clear" w:color="auto" w:fill="FFFFFF"/>
          <w:lang w:val="en-US"/>
        </w:rPr>
      </w:pPr>
      <w:r>
        <w:rPr>
          <w:shd w:val="clear" w:color="auto" w:fill="FFFFFF"/>
          <w:lang w:val="en-US"/>
        </w:rPr>
        <w:t>6</w:t>
      </w:r>
      <w:r>
        <w:rPr>
          <w:shd w:val="clear" w:color="auto" w:fill="FFFFFF"/>
          <w:lang w:val="en-US"/>
        </w:rPr>
        <w:tab/>
        <w:t>Conclusions of sharing and compatibility studies per service</w:t>
      </w:r>
    </w:p>
    <w:p w:rsidR="0089268C" w:rsidRDefault="00C3610E">
      <w:pPr>
        <w:pStyle w:val="Heading2"/>
        <w:keepNext w:val="0"/>
        <w:keepLines w:val="0"/>
        <w:rPr>
          <w:shd w:val="clear" w:color="auto" w:fill="FFFFFF"/>
          <w:lang w:val="en-US"/>
        </w:rPr>
      </w:pPr>
      <w:r>
        <w:rPr>
          <w:shd w:val="clear" w:color="auto" w:fill="FFFFFF"/>
          <w:lang w:val="en-US"/>
        </w:rPr>
        <w:t>6.1</w:t>
      </w:r>
      <w:r>
        <w:rPr>
          <w:shd w:val="clear" w:color="auto" w:fill="FFFFFF"/>
          <w:lang w:val="en-US"/>
        </w:rPr>
        <w:tab/>
        <w:t>General considerations</w:t>
      </w:r>
    </w:p>
    <w:p w:rsidR="0089268C" w:rsidRDefault="00C3610E">
      <w:pPr>
        <w:pStyle w:val="Heading2"/>
        <w:keepNext w:val="0"/>
        <w:keepLines w:val="0"/>
        <w:rPr>
          <w:shd w:val="clear" w:color="auto" w:fill="FFFFFF"/>
          <w:lang w:val="en-US"/>
        </w:rPr>
      </w:pPr>
      <w:r>
        <w:rPr>
          <w:shd w:val="clear" w:color="auto" w:fill="FFFFFF"/>
          <w:lang w:val="en-US"/>
        </w:rPr>
        <w:t>6.2</w:t>
      </w:r>
      <w:r>
        <w:rPr>
          <w:shd w:val="clear" w:color="auto" w:fill="FFFFFF"/>
          <w:lang w:val="en-US"/>
        </w:rPr>
        <w:tab/>
        <w:t>Sharing and compatibility results in the band 5 150-5 250 MHz</w:t>
      </w:r>
    </w:p>
    <w:p w:rsidR="0089268C" w:rsidRPr="005C424D" w:rsidRDefault="00C3610E" w:rsidP="005C424D">
      <w:pPr>
        <w:rPr>
          <w:i/>
          <w:iCs/>
          <w:shd w:val="clear" w:color="auto" w:fill="FFFFFF"/>
          <w:lang w:val="en-US" w:eastAsia="zh-CN"/>
        </w:rPr>
      </w:pPr>
      <w:r w:rsidRPr="005C424D">
        <w:rPr>
          <w:i/>
          <w:iCs/>
          <w:shd w:val="clear" w:color="auto" w:fill="FFFFFF"/>
          <w:lang w:val="en-US" w:eastAsia="zh-CN"/>
        </w:rPr>
        <w:t>[USA</w:t>
      </w:r>
      <w:r w:rsidRPr="005C424D">
        <w:rPr>
          <w:rFonts w:eastAsia="Calibri"/>
          <w:i/>
          <w:iCs/>
          <w:lang w:val="en-US" w:eastAsia="es-ES"/>
        </w:rPr>
        <w:t xml:space="preserve"> 5A/</w:t>
      </w:r>
      <w:hyperlink r:id="rId132" w:history="1">
        <w:r w:rsidRPr="005C424D">
          <w:rPr>
            <w:rStyle w:val="Hyperlink"/>
            <w:rFonts w:eastAsia="Calibri"/>
            <w:i/>
            <w:iCs/>
            <w:lang w:val="en-US" w:eastAsia="es-ES"/>
          </w:rPr>
          <w:t>381</w:t>
        </w:r>
      </w:hyperlink>
      <w:r w:rsidRPr="005C424D">
        <w:rPr>
          <w:i/>
          <w:iCs/>
          <w:shd w:val="clear" w:color="auto" w:fill="FFFFFF"/>
          <w:lang w:val="en-US" w:eastAsia="zh-CN"/>
        </w:rPr>
        <w:t>]</w:t>
      </w:r>
    </w:p>
    <w:p w:rsidR="0089268C" w:rsidRDefault="00C3610E">
      <w:pPr>
        <w:rPr>
          <w:rFonts w:eastAsia="Calibri"/>
        </w:rPr>
      </w:pPr>
      <w:r>
        <w:rPr>
          <w:lang w:val="en-US"/>
        </w:rPr>
        <w:t xml:space="preserve">Some administrations have enabled RLAN operations that are beyond restrictions specified in Resolution </w:t>
      </w:r>
      <w:r>
        <w:rPr>
          <w:b/>
          <w:lang w:val="en-US"/>
        </w:rPr>
        <w:t>229</w:t>
      </w:r>
      <w:r>
        <w:rPr>
          <w:lang w:val="en-US"/>
        </w:rPr>
        <w:t xml:space="preserve"> </w:t>
      </w:r>
      <w:r>
        <w:rPr>
          <w:b/>
          <w:bCs/>
          <w:lang w:val="en-US"/>
        </w:rPr>
        <w:t>(WRC-12)</w:t>
      </w:r>
      <w:r>
        <w:rPr>
          <w:lang w:val="en-US"/>
        </w:rPr>
        <w:t>.  Specifically, these administrations authorized</w:t>
      </w:r>
      <w:r>
        <w:t xml:space="preserve"> RLAN use of this band in co-existence with MSS operations through e.i.r.p. limitations at higher antenna elevation angles: the </w:t>
      </w:r>
      <w:r>
        <w:rPr>
          <w:lang w:val="en-US"/>
        </w:rPr>
        <w:t>authorization</w:t>
      </w:r>
      <w:r>
        <w:t xml:space="preserve"> generally permit</w:t>
      </w:r>
      <w:r>
        <w:rPr>
          <w:lang w:val="en-US"/>
        </w:rPr>
        <w:t>s</w:t>
      </w:r>
      <w:r>
        <w:t xml:space="preserve"> indoor and outdoor RLAN operations in 5 150-5 250 MHz at up to 1 Watt conducted </w:t>
      </w:r>
      <w:r>
        <w:rPr>
          <w:rFonts w:eastAsia="Calibri"/>
        </w:rPr>
        <w:t>and a p</w:t>
      </w:r>
      <w:r>
        <w:t>ower spectral density (</w:t>
      </w:r>
      <w:r>
        <w:rPr>
          <w:rFonts w:eastAsia="Calibri"/>
        </w:rPr>
        <w:t>PSD) of 17 dBm/MHz with an allowance for a 6 dBi antenna gain (</w:t>
      </w:r>
      <w:r>
        <w:rPr>
          <w:rFonts w:eastAsia="Calibri"/>
          <w:i/>
        </w:rPr>
        <w:t>i.e.</w:t>
      </w:r>
      <w:r>
        <w:rPr>
          <w:rFonts w:eastAsia="Calibri"/>
        </w:rPr>
        <w:t xml:space="preserve"> a total 36 dBm e.i.r.p.)</w:t>
      </w:r>
      <w:r>
        <w:t xml:space="preserve">.  </w:t>
      </w:r>
      <w:r>
        <w:rPr>
          <w:rFonts w:eastAsia="Calibri"/>
        </w:rPr>
        <w:t xml:space="preserve">The outdoor operation of </w:t>
      </w:r>
      <w:r>
        <w:rPr>
          <w:rFonts w:eastAsia="Calibri"/>
          <w:lang w:val="en-US"/>
        </w:rPr>
        <w:t>WAS/RLANs</w:t>
      </w:r>
      <w:r>
        <w:rPr>
          <w:rFonts w:eastAsia="Calibri"/>
        </w:rPr>
        <w:t xml:space="preserve"> devices </w:t>
      </w:r>
      <w:r>
        <w:rPr>
          <w:rFonts w:eastAsia="Calibri"/>
          <w:lang w:val="en-US"/>
        </w:rPr>
        <w:t xml:space="preserve">are permitted </w:t>
      </w:r>
      <w:r>
        <w:rPr>
          <w:rFonts w:eastAsia="Calibri"/>
        </w:rPr>
        <w:t xml:space="preserve">in the 5 150-5 250 MHz band at these power levels, </w:t>
      </w:r>
      <w:r>
        <w:t xml:space="preserve">except that such operations with antenna elevation angles in excess of 30 degrees from the horizon must not exceed 125 mW e.i.r.p. </w:t>
      </w:r>
      <w:r>
        <w:rPr>
          <w:rFonts w:eastAsia="Calibri"/>
        </w:rPr>
        <w:t xml:space="preserve">to minimize the likelihood of harmful interference to the operating MSS system. </w:t>
      </w:r>
      <w:r>
        <w:rPr>
          <w:rFonts w:eastAsia="Calibri"/>
          <w:lang w:val="en-US"/>
        </w:rPr>
        <w:t xml:space="preserve"> </w:t>
      </w:r>
      <w:r>
        <w:rPr>
          <w:rFonts w:eastAsia="Calibri"/>
        </w:rPr>
        <w:t xml:space="preserve">Expressing a limit in terms of e.i.r.p. provides flexibility regarding how to achieve compatibility with non-GSO MSS feeder uplinks.  It is important to note that one of these administrations is also the notifying administration for the single non-GSO MSS system operating in this band and that, to date, no interference issue have been reported to that administration’s regulator. </w:t>
      </w:r>
      <w:r>
        <w:rPr>
          <w:lang w:val="en-US"/>
        </w:rPr>
        <w:t>Also, while in-band e.i.r.p. was increased, unwanted emission levels were retained such that all WAS/RLAN station emissions outside of the 5 150 – 5 350 MHz frequency range shall not exceed an e.i.r.p. of −27 dBm/MHz</w:t>
      </w:r>
    </w:p>
    <w:p w:rsidR="0089268C" w:rsidRPr="005C424D" w:rsidRDefault="00C3610E">
      <w:pPr>
        <w:rPr>
          <w:i/>
          <w:iCs/>
          <w:lang w:val="en-US" w:eastAsia="zh-CN"/>
        </w:rPr>
      </w:pPr>
      <w:r w:rsidRPr="005C424D">
        <w:rPr>
          <w:i/>
          <w:iCs/>
          <w:lang w:val="en-US" w:eastAsia="zh-CN"/>
        </w:rPr>
        <w:t>[RUS</w:t>
      </w:r>
      <w:r w:rsidRPr="005C424D">
        <w:rPr>
          <w:rFonts w:eastAsia="Calibri"/>
          <w:i/>
          <w:iCs/>
          <w:lang w:val="en-US" w:eastAsia="es-ES"/>
        </w:rPr>
        <w:t xml:space="preserve"> 5A/</w:t>
      </w:r>
      <w:hyperlink r:id="rId133" w:history="1">
        <w:r w:rsidRPr="006A6118">
          <w:rPr>
            <w:rStyle w:val="Hyperlink"/>
            <w:rFonts w:eastAsia="Calibri"/>
            <w:i/>
            <w:iCs/>
            <w:lang w:val="en-US" w:eastAsia="es-ES"/>
          </w:rPr>
          <w:t>397</w:t>
        </w:r>
      </w:hyperlink>
      <w:r w:rsidRPr="005C424D">
        <w:rPr>
          <w:i/>
          <w:iCs/>
          <w:lang w:val="en-US" w:eastAsia="zh-CN"/>
        </w:rPr>
        <w:t>]</w:t>
      </w:r>
    </w:p>
    <w:p w:rsidR="0089268C" w:rsidRDefault="00C3610E">
      <w:pPr>
        <w:rPr>
          <w:lang w:val="en-US"/>
        </w:rPr>
      </w:pPr>
      <w:r>
        <w:rPr>
          <w:lang w:val="en-US"/>
        </w:rPr>
        <w:t>The results of the conducted studies allow to make the following conclusions:</w:t>
      </w:r>
    </w:p>
    <w:p w:rsidR="0089268C" w:rsidRDefault="00C3610E">
      <w:pPr>
        <w:pStyle w:val="enumlev1"/>
        <w:rPr>
          <w:lang w:val="en-US"/>
        </w:rPr>
      </w:pPr>
      <w:r>
        <w:rPr>
          <w:lang w:val="en-US"/>
        </w:rPr>
        <w:t>−</w:t>
      </w:r>
      <w:r>
        <w:rPr>
          <w:lang w:val="en-US"/>
        </w:rPr>
        <w:tab/>
        <w:t>sharing of outdoor WAS/RLAN systems operating in the frequency band 5 150</w:t>
      </w:r>
      <w:r>
        <w:rPr>
          <w:lang w:val="en-US"/>
        </w:rPr>
        <w:noBreakHyphen/>
        <w:t>5 250 MHz having the current characteristics with airborne sense and avoid systems is unfeasible;</w:t>
      </w:r>
    </w:p>
    <w:p w:rsidR="0089268C" w:rsidRDefault="00C3610E">
      <w:pPr>
        <w:pStyle w:val="enumlev1"/>
        <w:rPr>
          <w:lang w:val="en-US"/>
        </w:rPr>
      </w:pPr>
      <w:r>
        <w:rPr>
          <w:lang w:val="en-US"/>
        </w:rPr>
        <w:t>−</w:t>
      </w:r>
      <w:r>
        <w:rPr>
          <w:lang w:val="en-US"/>
        </w:rPr>
        <w:tab/>
        <w:t xml:space="preserve">the effective measures for reducing interference for airborne sense and avoid systems operation are to be developed to enable the usage of outdoor WAS/RLAN in the frequency band 5 150-5 250 MHz. The reduction of e.i.r.p values of WAS/RLAN transmitters approximately by 20 dB while increasing the receiver sensitivity can be considered as the effective method for reducing interference. Such method allows to compensate the absence of additional fading in the walls which provided sharing of WAS/RLAN systems with the ARNS systems operating in the considered frequency band.  </w:t>
      </w:r>
    </w:p>
    <w:p w:rsidR="0089268C" w:rsidRDefault="00C3610E">
      <w:pPr>
        <w:rPr>
          <w:lang w:val="en-US"/>
        </w:rPr>
      </w:pPr>
      <w:r>
        <w:rPr>
          <w:lang w:val="en-US"/>
        </w:rPr>
        <w:t xml:space="preserve">Without development and implementation of such measures for reducing the interference the decision of possible outdoor WAS/RLAN systems usage in the considered frequency band cannot be made. </w:t>
      </w:r>
    </w:p>
    <w:p w:rsidR="0089268C" w:rsidRDefault="00C3610E">
      <w:pPr>
        <w:rPr>
          <w:i/>
          <w:iCs/>
          <w:lang w:val="en-US" w:eastAsia="ja-JP"/>
        </w:rPr>
      </w:pPr>
      <w:r>
        <w:rPr>
          <w:i/>
          <w:iCs/>
          <w:lang w:val="en-US" w:eastAsia="ja-JP"/>
        </w:rPr>
        <w:t>[JPN]</w:t>
      </w:r>
    </w:p>
    <w:p w:rsidR="0089268C" w:rsidRDefault="00C3610E">
      <w:pPr>
        <w:rPr>
          <w:lang w:val="en-US" w:eastAsia="ja-JP"/>
        </w:rPr>
      </w:pPr>
      <w:r>
        <w:rPr>
          <w:lang w:val="en-US" w:eastAsia="ja-JP"/>
        </w:rPr>
        <w:lastRenderedPageBreak/>
        <w:t xml:space="preserve">Regarding outdoor operations of WAS/RLAN systems in the 5 150-5 250 MHz band, the results of some examples of sharing studies show that WAS/RLAN systems are compatible with non-GSO MSS feeder links and ARNS systems. As an interference mitigation technique, the elevation angle mask defined for the 5 250-5 350 MHz band in Resolution </w:t>
      </w:r>
      <w:r>
        <w:rPr>
          <w:b/>
          <w:lang w:val="en-US" w:eastAsia="ja-JP"/>
        </w:rPr>
        <w:t>229 (Rev.WRC-12)</w:t>
      </w:r>
      <w:r>
        <w:rPr>
          <w:lang w:val="en-US" w:eastAsia="ja-JP"/>
        </w:rPr>
        <w:t xml:space="preserve"> is effective. In addition, limitation of the number of RLAN devices, ensuring the minimum distance between RLANs and ARNS systems and the limitation of the locations of RLANs are also effective. </w:t>
      </w:r>
    </w:p>
    <w:p w:rsidR="0089268C" w:rsidRPr="001E7D0F" w:rsidRDefault="0089268C">
      <w:pPr>
        <w:rPr>
          <w:i/>
          <w:szCs w:val="24"/>
          <w:shd w:val="clear" w:color="auto" w:fill="FFFFFF"/>
          <w:lang w:val="en-US"/>
        </w:rPr>
      </w:pPr>
    </w:p>
    <w:p w:rsidR="0089268C" w:rsidRDefault="0089268C">
      <w:pPr>
        <w:rPr>
          <w:lang w:val="en-US"/>
        </w:rPr>
      </w:pPr>
    </w:p>
    <w:p w:rsidR="0089268C" w:rsidRDefault="0089268C">
      <w:pPr>
        <w:tabs>
          <w:tab w:val="clear" w:pos="1134"/>
          <w:tab w:val="clear" w:pos="1871"/>
          <w:tab w:val="clear" w:pos="2268"/>
        </w:tabs>
        <w:overflowPunct/>
        <w:autoSpaceDE/>
        <w:autoSpaceDN/>
        <w:adjustRightInd/>
        <w:spacing w:before="0"/>
        <w:textAlignment w:val="auto"/>
        <w:rPr>
          <w:rFonts w:eastAsia="Calibri"/>
          <w:lang w:val="en-US" w:eastAsia="es-ES"/>
        </w:rPr>
      </w:pPr>
    </w:p>
    <w:p w:rsidR="0089268C" w:rsidRDefault="0089268C">
      <w:pPr>
        <w:rPr>
          <w:lang w:val="en-US" w:eastAsia="zh-CN"/>
        </w:rPr>
        <w:sectPr w:rsidR="0089268C">
          <w:headerReference w:type="default" r:id="rId134"/>
          <w:footerReference w:type="default" r:id="rId135"/>
          <w:footerReference w:type="first" r:id="rId136"/>
          <w:pgSz w:w="11907" w:h="16834" w:code="9"/>
          <w:pgMar w:top="1418" w:right="1134" w:bottom="1418" w:left="1134" w:header="720" w:footer="720" w:gutter="0"/>
          <w:cols w:space="720"/>
          <w:titlePg/>
          <w:docGrid w:linePitch="326"/>
        </w:sectPr>
      </w:pPr>
    </w:p>
    <w:p w:rsidR="0089268C" w:rsidRDefault="00C3610E">
      <w:pPr>
        <w:pStyle w:val="Reftitle"/>
      </w:pPr>
      <w:bookmarkStart w:id="98" w:name="_Toc419283555"/>
      <w:bookmarkStart w:id="99" w:name="_Toc421540254"/>
      <w:bookmarkStart w:id="100" w:name="_Toc419283556"/>
      <w:bookmarkStart w:id="101" w:name="_Toc421540255"/>
      <w:bookmarkStart w:id="102" w:name="_Toc441670256"/>
      <w:bookmarkEnd w:id="98"/>
      <w:bookmarkEnd w:id="99"/>
      <w:bookmarkEnd w:id="100"/>
      <w:bookmarkEnd w:id="101"/>
      <w:r>
        <w:lastRenderedPageBreak/>
        <w:t>List of Reference</w:t>
      </w:r>
      <w:bookmarkEnd w:id="102"/>
      <w:r>
        <w:t>s</w:t>
      </w:r>
    </w:p>
    <w:p w:rsidR="0089268C" w:rsidRPr="005C424D" w:rsidRDefault="008A6507" w:rsidP="008A6507">
      <w:pPr>
        <w:pStyle w:val="Reftext"/>
      </w:pPr>
      <w:bookmarkStart w:id="103" w:name="_Ref409532883"/>
      <w:r>
        <w:t>[1]</w:t>
      </w:r>
      <w:r>
        <w:tab/>
      </w:r>
      <w:r w:rsidR="00C3610E" w:rsidRPr="005C424D">
        <w:t>EC Mandate to CEPT to study and identify harmonised compatibility and sharing conditions for Wireless Access Systems including Radio Local Area Networks in the bands 5 350-5 470 MHz and 5 725-5 925 MHz ('WAS/RLAN extension bands') for the provision of wireless broadband services, September 2013</w:t>
      </w:r>
      <w:bookmarkEnd w:id="103"/>
    </w:p>
    <w:p w:rsidR="0089268C" w:rsidRPr="00396531" w:rsidRDefault="004E18B2" w:rsidP="00C55AF4">
      <w:pPr>
        <w:pStyle w:val="Reftext"/>
        <w:rPr>
          <w:rFonts w:asciiTheme="majorBidi" w:hAnsiTheme="majorBidi" w:cstheme="majorBidi"/>
          <w:szCs w:val="24"/>
        </w:rPr>
      </w:pPr>
      <w:bookmarkStart w:id="104" w:name="_Ref409540021"/>
      <w:bookmarkStart w:id="105" w:name="_Ref466491158"/>
      <w:r>
        <w:t>[</w:t>
      </w:r>
      <w:r w:rsidR="00C55AF4">
        <w:t>2</w:t>
      </w:r>
      <w:r>
        <w:t>]</w:t>
      </w:r>
      <w:r>
        <w:tab/>
      </w:r>
      <w:r w:rsidR="00C3610E" w:rsidRPr="005C424D">
        <w:t xml:space="preserve">ECC Decision (04)08: </w:t>
      </w:r>
      <w:bookmarkEnd w:id="104"/>
      <w:r w:rsidR="00C3610E" w:rsidRPr="00396531">
        <w:rPr>
          <w:rFonts w:asciiTheme="majorBidi" w:hAnsiTheme="majorBidi" w:cstheme="majorBidi"/>
          <w:szCs w:val="24"/>
        </w:rPr>
        <w:t>"Harmonised use of 5 GHz for the implementation of WA</w:t>
      </w:r>
      <w:r w:rsidR="001F0340">
        <w:rPr>
          <w:rFonts w:asciiTheme="majorBidi" w:hAnsiTheme="majorBidi" w:cstheme="majorBidi"/>
          <w:szCs w:val="24"/>
        </w:rPr>
        <w:t>S/RLANs</w:t>
      </w:r>
      <w:r w:rsidR="00C3610E" w:rsidRPr="00396531">
        <w:rPr>
          <w:rFonts w:asciiTheme="majorBidi" w:hAnsiTheme="majorBidi" w:cstheme="majorBidi"/>
          <w:szCs w:val="24"/>
        </w:rPr>
        <w:t>"</w:t>
      </w:r>
      <w:bookmarkEnd w:id="105"/>
    </w:p>
    <w:p w:rsidR="0089268C" w:rsidRPr="005C424D" w:rsidRDefault="004E18B2" w:rsidP="00C55AF4">
      <w:pPr>
        <w:pStyle w:val="Reftext"/>
      </w:pPr>
      <w:bookmarkStart w:id="106" w:name="_Ref409540050"/>
      <w:bookmarkStart w:id="107" w:name="_Ref409540100"/>
      <w:r>
        <w:t>[</w:t>
      </w:r>
      <w:r w:rsidR="00C55AF4">
        <w:t>3</w:t>
      </w:r>
      <w:r>
        <w:t>]</w:t>
      </w:r>
      <w:r>
        <w:tab/>
      </w:r>
      <w:r w:rsidR="00C3610E" w:rsidRPr="005C424D">
        <w:t xml:space="preserve">WRC Resolution 229 (WRC-03): </w:t>
      </w:r>
      <w:bookmarkEnd w:id="106"/>
      <w:r w:rsidR="00C3610E" w:rsidRPr="005C424D">
        <w:t>"Use of the bands 5 150-5 250, 5 250-5 350 MHz and 5 470-5 725 MHz by the mobile service for the implementation of Wireless Access Systems including Radio Local Area Networks"</w:t>
      </w:r>
      <w:bookmarkEnd w:id="107"/>
    </w:p>
    <w:p w:rsidR="0089268C" w:rsidRPr="005C424D" w:rsidRDefault="004E18B2" w:rsidP="00C55AF4">
      <w:pPr>
        <w:pStyle w:val="Reftext"/>
      </w:pPr>
      <w:bookmarkStart w:id="108" w:name="_Ref409540169"/>
      <w:bookmarkStart w:id="109" w:name="_Ref466490786"/>
      <w:r>
        <w:t>[</w:t>
      </w:r>
      <w:r w:rsidR="00C55AF4">
        <w:t>4</w:t>
      </w:r>
      <w:r>
        <w:t>]</w:t>
      </w:r>
      <w:r>
        <w:tab/>
      </w:r>
      <w:r w:rsidR="00C3610E" w:rsidRPr="005C424D">
        <w:t>ERC Report 67</w:t>
      </w:r>
      <w:bookmarkEnd w:id="108"/>
      <w:r w:rsidR="00C3610E" w:rsidRPr="005C424D">
        <w:t>: "Study of the Frequency sharing between HIPERLANs and MSS feeder links in the 5 GHz band"</w:t>
      </w:r>
      <w:bookmarkEnd w:id="109"/>
    </w:p>
    <w:p w:rsidR="0089268C" w:rsidRPr="005C424D" w:rsidRDefault="004E18B2" w:rsidP="00C55AF4">
      <w:pPr>
        <w:pStyle w:val="Reftext"/>
      </w:pPr>
      <w:bookmarkStart w:id="110" w:name="_Ref409540180"/>
      <w:bookmarkStart w:id="111" w:name="_Ref466490810"/>
      <w:r>
        <w:t>[</w:t>
      </w:r>
      <w:r w:rsidR="00C55AF4">
        <w:t>5</w:t>
      </w:r>
      <w:r>
        <w:t>]</w:t>
      </w:r>
      <w:r>
        <w:tab/>
      </w:r>
      <w:r w:rsidR="00C3610E" w:rsidRPr="005C424D">
        <w:t>ERC Report 72</w:t>
      </w:r>
      <w:bookmarkEnd w:id="110"/>
      <w:r w:rsidR="001F0340">
        <w:t>: "</w:t>
      </w:r>
      <w:r w:rsidR="00C3610E" w:rsidRPr="005C424D">
        <w:t>Compatibility studies related to the possible extension band for HIPERLAN at 5 GHz"</w:t>
      </w:r>
      <w:bookmarkEnd w:id="111"/>
    </w:p>
    <w:p w:rsidR="0089268C" w:rsidRPr="005C424D" w:rsidRDefault="004E18B2" w:rsidP="001F0340">
      <w:pPr>
        <w:pStyle w:val="Reftext"/>
      </w:pPr>
      <w:bookmarkStart w:id="112" w:name="_Ref409540194"/>
      <w:bookmarkStart w:id="113" w:name="_Ref441581584"/>
      <w:r>
        <w:t>[</w:t>
      </w:r>
      <w:r w:rsidR="00C55AF4">
        <w:t>6</w:t>
      </w:r>
      <w:r>
        <w:t>]</w:t>
      </w:r>
      <w:r>
        <w:tab/>
      </w:r>
      <w:r w:rsidR="00C3610E" w:rsidRPr="005C424D">
        <w:t>ETSI EN 301 893</w:t>
      </w:r>
      <w:bookmarkEnd w:id="112"/>
      <w:r w:rsidR="00C3610E" w:rsidRPr="005C424D">
        <w:t>: "Broadband Radio Access Networks (BRAN); 5 GHz high performance RLAN; Harmonized EN covering the essential requirements of Article 3.2 of the R&amp;TTE Directive"</w:t>
      </w:r>
      <w:bookmarkEnd w:id="113"/>
    </w:p>
    <w:p w:rsidR="0089268C" w:rsidRPr="005C424D" w:rsidRDefault="004E18B2" w:rsidP="00C55AF4">
      <w:pPr>
        <w:pStyle w:val="Reftext"/>
      </w:pPr>
      <w:bookmarkStart w:id="114" w:name="_Ref409540206"/>
      <w:r>
        <w:t>[</w:t>
      </w:r>
      <w:r w:rsidR="00C55AF4">
        <w:t>7</w:t>
      </w:r>
      <w:r>
        <w:t>]</w:t>
      </w:r>
      <w:r>
        <w:tab/>
      </w:r>
      <w:r w:rsidR="00C3610E" w:rsidRPr="005C424D">
        <w:t>EC Decision 2005/513/EC complemented by EC Decision 2007/90/EC</w:t>
      </w:r>
      <w:bookmarkEnd w:id="114"/>
    </w:p>
    <w:p w:rsidR="0089268C" w:rsidRPr="005C424D" w:rsidRDefault="004E18B2" w:rsidP="00C55AF4">
      <w:pPr>
        <w:pStyle w:val="Reftext"/>
      </w:pPr>
      <w:bookmarkStart w:id="115" w:name="_Ref409540328"/>
      <w:r>
        <w:t>[</w:t>
      </w:r>
      <w:r w:rsidR="00C55AF4">
        <w:t>8</w:t>
      </w:r>
      <w:r>
        <w:t>]</w:t>
      </w:r>
      <w:r>
        <w:tab/>
      </w:r>
      <w:r w:rsidR="00C3610E" w:rsidRPr="005C424D">
        <w:t>Recommendation ITU-R M.1739: "Protection criteria for wireless access systems, including radio local area networks, operating in the mobile service in accordance with Resolution 229 (WRC-03) in the bands 5 150-5 250 MHz, 5 250-5 350 MHz and 5 470</w:t>
      </w:r>
      <w:r w:rsidR="00C3610E" w:rsidRPr="005C424D">
        <w:noBreakHyphen/>
        <w:t>5 725 MHz"</w:t>
      </w:r>
      <w:bookmarkEnd w:id="115"/>
    </w:p>
    <w:p w:rsidR="0089268C" w:rsidRPr="005C424D" w:rsidRDefault="004E18B2" w:rsidP="00C55AF4">
      <w:pPr>
        <w:pStyle w:val="Reftext"/>
      </w:pPr>
      <w:bookmarkStart w:id="116" w:name="_Ref409540384"/>
      <w:r>
        <w:t>[</w:t>
      </w:r>
      <w:r w:rsidR="00C55AF4">
        <w:t>9</w:t>
      </w:r>
      <w:r>
        <w:t>]</w:t>
      </w:r>
      <w:r>
        <w:tab/>
      </w:r>
      <w:r w:rsidR="00C3610E" w:rsidRPr="005C424D">
        <w:t>ERC Report 25: "The European table of frequency allocations and applications in the frequency range 8.3 kHz to 3000 GHz"</w:t>
      </w:r>
      <w:bookmarkEnd w:id="116"/>
    </w:p>
    <w:p w:rsidR="0089268C" w:rsidRPr="005C424D" w:rsidRDefault="004E18B2" w:rsidP="008A6507">
      <w:pPr>
        <w:pStyle w:val="Reftext"/>
      </w:pPr>
      <w:bookmarkStart w:id="117" w:name="_Ref409540483"/>
      <w:r>
        <w:t>[1</w:t>
      </w:r>
      <w:r w:rsidR="00C55AF4">
        <w:t>0</w:t>
      </w:r>
      <w:r>
        <w:t>]</w:t>
      </w:r>
      <w:r>
        <w:tab/>
      </w:r>
      <w:r w:rsidR="00C3610E" w:rsidRPr="005C424D">
        <w:t>EC Decision 2008/671/EC: "Commission Decision of 5 August 2008 on the harmonised use of radio spectrum in the 5 875-5 905 MHz frequency band for safety related applications of Intelligent Transport Systems (ITS)"</w:t>
      </w:r>
      <w:bookmarkEnd w:id="117"/>
    </w:p>
    <w:p w:rsidR="0089268C" w:rsidRPr="005C424D" w:rsidRDefault="004E18B2" w:rsidP="008A6507">
      <w:pPr>
        <w:pStyle w:val="Reftext"/>
      </w:pPr>
      <w:bookmarkStart w:id="118" w:name="_Ref409540496"/>
      <w:r>
        <w:t>[</w:t>
      </w:r>
      <w:r w:rsidR="00C55AF4">
        <w:t>1</w:t>
      </w:r>
      <w:r>
        <w:t>1]</w:t>
      </w:r>
      <w:r>
        <w:tab/>
      </w:r>
      <w:r w:rsidR="00C3610E" w:rsidRPr="005C424D">
        <w:t>ECC Decision (08)01</w:t>
      </w:r>
      <w:bookmarkEnd w:id="118"/>
      <w:r w:rsidR="00C3610E" w:rsidRPr="005C424D">
        <w:t>: " ECC Decision of 14 March 2008 on the harmonised use of the 5 875-5 925 MHz frequency band for Intelligent Transport Systems (ITS)"</w:t>
      </w:r>
    </w:p>
    <w:p w:rsidR="0089268C" w:rsidRPr="005C424D" w:rsidRDefault="004E18B2" w:rsidP="008A6507">
      <w:pPr>
        <w:pStyle w:val="Reftext"/>
      </w:pPr>
      <w:bookmarkStart w:id="119" w:name="_Ref409540521"/>
      <w:bookmarkStart w:id="120" w:name="_Ref466490771"/>
      <w:r>
        <w:t>[1</w:t>
      </w:r>
      <w:r w:rsidR="00C55AF4">
        <w:t>2</w:t>
      </w:r>
      <w:r>
        <w:t>]</w:t>
      </w:r>
      <w:r>
        <w:tab/>
      </w:r>
      <w:r w:rsidR="00C3610E" w:rsidRPr="005C424D">
        <w:t>ECC Recommendation (08)01:</w:t>
      </w:r>
      <w:bookmarkEnd w:id="119"/>
      <w:r w:rsidR="00C3610E" w:rsidRPr="005C424D">
        <w:t xml:space="preserve"> " Use of the band 5 855-5 875 MHz for Intelligent Transport Systems"</w:t>
      </w:r>
      <w:bookmarkEnd w:id="120"/>
    </w:p>
    <w:p w:rsidR="0089268C" w:rsidRPr="005C424D" w:rsidRDefault="004E18B2" w:rsidP="008A6507">
      <w:pPr>
        <w:pStyle w:val="Reftext"/>
      </w:pPr>
      <w:bookmarkStart w:id="121" w:name="_Ref409540574"/>
      <w:r>
        <w:t>[1</w:t>
      </w:r>
      <w:r w:rsidR="00C55AF4">
        <w:t>3</w:t>
      </w:r>
      <w:r>
        <w:t>]</w:t>
      </w:r>
      <w:r>
        <w:tab/>
      </w:r>
      <w:r w:rsidR="00C3610E" w:rsidRPr="005C424D">
        <w:t>ECC Report 101: "Compatibility studies in the band 5 855-5 925 MHz between Intelligent Transport Systems (ITS) and other systems"</w:t>
      </w:r>
      <w:bookmarkEnd w:id="121"/>
    </w:p>
    <w:p w:rsidR="0089268C" w:rsidRPr="005C424D" w:rsidRDefault="004E18B2" w:rsidP="008A6507">
      <w:pPr>
        <w:pStyle w:val="Reftext"/>
      </w:pPr>
      <w:bookmarkStart w:id="122" w:name="_Ref409540656"/>
      <w:r>
        <w:t>[1</w:t>
      </w:r>
      <w:r w:rsidR="00C55AF4">
        <w:t>4</w:t>
      </w:r>
      <w:r>
        <w:t>]</w:t>
      </w:r>
      <w:r>
        <w:tab/>
      </w:r>
      <w:r w:rsidR="00C3610E" w:rsidRPr="005C424D">
        <w:t>ECC Decision (12)04: " ECC Decision of 2 November 2012 on the withdrawal of ECC Decision (02)01. For national implementation issues related to the withdrawn Decision, check EFIS"</w:t>
      </w:r>
      <w:bookmarkEnd w:id="122"/>
    </w:p>
    <w:p w:rsidR="0089268C" w:rsidRPr="005C424D" w:rsidRDefault="004E18B2" w:rsidP="008A6507">
      <w:pPr>
        <w:pStyle w:val="Reftext"/>
      </w:pPr>
      <w:bookmarkStart w:id="123" w:name="_Ref409540818"/>
      <w:bookmarkStart w:id="124" w:name="_Ref421784789"/>
      <w:r>
        <w:t>[1</w:t>
      </w:r>
      <w:r w:rsidR="00C55AF4">
        <w:t>5</w:t>
      </w:r>
      <w:r>
        <w:t>]</w:t>
      </w:r>
      <w:r>
        <w:tab/>
      </w:r>
      <w:r w:rsidR="00C3610E" w:rsidRPr="005C424D">
        <w:t xml:space="preserve">ERC Recommendation 70-03: </w:t>
      </w:r>
      <w:bookmarkEnd w:id="123"/>
      <w:r w:rsidR="001F0340">
        <w:t>"</w:t>
      </w:r>
      <w:r w:rsidR="00C3610E" w:rsidRPr="005C424D">
        <w:t>Relating to the use of Short Range Devices (SRD)"</w:t>
      </w:r>
      <w:bookmarkEnd w:id="124"/>
    </w:p>
    <w:p w:rsidR="0089268C" w:rsidRPr="005C424D" w:rsidRDefault="004E18B2" w:rsidP="008A6507">
      <w:pPr>
        <w:pStyle w:val="Reftext"/>
      </w:pPr>
      <w:bookmarkStart w:id="125" w:name="_Ref409540896"/>
      <w:r>
        <w:t>[1</w:t>
      </w:r>
      <w:r w:rsidR="00C55AF4">
        <w:t>6</w:t>
      </w:r>
      <w:r>
        <w:t>]</w:t>
      </w:r>
      <w:r>
        <w:tab/>
      </w:r>
      <w:r w:rsidR="00C3610E" w:rsidRPr="005C424D">
        <w:t xml:space="preserve">ETSI EN 300 674: </w:t>
      </w:r>
      <w:bookmarkEnd w:id="125"/>
      <w:r w:rsidR="00C3610E" w:rsidRPr="005C424D">
        <w:t xml:space="preserve">"Electromagnetic compatibility and Radio spectrum Matters (ERM); Road Transport and Traffic Telematics (RTTT); Dedicated Short Range Communication (DSRC) transmission equipment (500 kbit/s / 250 kbit/s) operating in the 5,8 GHz Industrial, Scientific and Medical (ISM) band; Part 1: General </w:t>
      </w:r>
      <w:r w:rsidR="00C3610E" w:rsidRPr="005C424D">
        <w:lastRenderedPageBreak/>
        <w:t>characteristics and test methods for Road Side Units (RSU) and On-Board Units (OBU)"</w:t>
      </w:r>
    </w:p>
    <w:p w:rsidR="0089268C" w:rsidRPr="005C424D" w:rsidRDefault="004E18B2" w:rsidP="008A6507">
      <w:pPr>
        <w:pStyle w:val="Reftext"/>
      </w:pPr>
      <w:bookmarkStart w:id="126" w:name="_Ref409540923"/>
      <w:r>
        <w:t>[1</w:t>
      </w:r>
      <w:r w:rsidR="00C55AF4">
        <w:t>7</w:t>
      </w:r>
      <w:r>
        <w:t>]</w:t>
      </w:r>
      <w:r>
        <w:tab/>
      </w:r>
      <w:r w:rsidR="00C3610E" w:rsidRPr="005C424D">
        <w:t xml:space="preserve">CENELEC EN 12253: </w:t>
      </w:r>
      <w:bookmarkEnd w:id="126"/>
      <w:r w:rsidR="00C3610E" w:rsidRPr="005C424D">
        <w:t>"" Road transport and traffic telematics - Dedicated short-range communication - Physical layer using microwave at 5.8 GHz"</w:t>
      </w:r>
    </w:p>
    <w:p w:rsidR="0089268C" w:rsidRPr="005C424D" w:rsidRDefault="004E18B2" w:rsidP="008A6507">
      <w:pPr>
        <w:pStyle w:val="Reftext"/>
      </w:pPr>
      <w:bookmarkStart w:id="127" w:name="_Ref409541092"/>
      <w:r>
        <w:t>[1</w:t>
      </w:r>
      <w:r w:rsidR="00C55AF4">
        <w:t>8</w:t>
      </w:r>
      <w:r>
        <w:t>]</w:t>
      </w:r>
      <w:r>
        <w:tab/>
      </w:r>
      <w:r w:rsidR="00C3610E" w:rsidRPr="005C424D">
        <w:t>ECC Report 68: "Compatibility studies in the band 5 725-5 875 MHz between Fixed Wireless Access (FWA) systems and other systems"</w:t>
      </w:r>
      <w:bookmarkEnd w:id="127"/>
    </w:p>
    <w:p w:rsidR="0089268C" w:rsidRPr="005C424D" w:rsidRDefault="004E18B2" w:rsidP="008A6507">
      <w:pPr>
        <w:pStyle w:val="Reftext"/>
      </w:pPr>
      <w:bookmarkStart w:id="128" w:name="_Ref409541757"/>
      <w:r>
        <w:t>[1</w:t>
      </w:r>
      <w:r w:rsidR="00C55AF4">
        <w:t>9</w:t>
      </w:r>
      <w:r>
        <w:t>]</w:t>
      </w:r>
      <w:r>
        <w:tab/>
      </w:r>
      <w:r w:rsidR="00C3610E" w:rsidRPr="005C424D">
        <w:t>ITU-R Recommendation P.452: "Prediction procedure for the evaluation of interference between stations on the surface of the Earth at frequencies above about 0.1 GHz"</w:t>
      </w:r>
      <w:bookmarkEnd w:id="128"/>
    </w:p>
    <w:p w:rsidR="0089268C" w:rsidRPr="005C424D" w:rsidRDefault="004E18B2" w:rsidP="00C55AF4">
      <w:pPr>
        <w:pStyle w:val="Reftext"/>
      </w:pPr>
      <w:bookmarkStart w:id="129" w:name="_Ref409542270"/>
      <w:r>
        <w:t>[</w:t>
      </w:r>
      <w:r w:rsidR="00C55AF4">
        <w:t>20</w:t>
      </w:r>
      <w:r>
        <w:t>]</w:t>
      </w:r>
      <w:r>
        <w:tab/>
      </w:r>
      <w:r w:rsidR="00C3610E" w:rsidRPr="005C424D">
        <w:t>EC Decision 2006/771/EC: "Commission Decision of 9 November 2006 on the harmonisation of the radio spectrum for use by short-range devices"</w:t>
      </w:r>
      <w:bookmarkEnd w:id="129"/>
    </w:p>
    <w:p w:rsidR="0089268C" w:rsidRPr="005C424D" w:rsidRDefault="004E18B2" w:rsidP="008A6507">
      <w:pPr>
        <w:pStyle w:val="Reftext"/>
      </w:pPr>
      <w:bookmarkStart w:id="130" w:name="_Ref409599551"/>
      <w:r>
        <w:t>[</w:t>
      </w:r>
      <w:r w:rsidR="00C55AF4">
        <w:t>2</w:t>
      </w:r>
      <w:r>
        <w:t>1]</w:t>
      </w:r>
      <w:r>
        <w:tab/>
      </w:r>
      <w:r w:rsidR="00C3610E" w:rsidRPr="005C424D">
        <w:t>IARU Region-1 VHF Managers Handbook</w:t>
      </w:r>
      <w:bookmarkEnd w:id="130"/>
    </w:p>
    <w:p w:rsidR="0089268C" w:rsidRPr="005C424D" w:rsidRDefault="004E18B2" w:rsidP="00C55AF4">
      <w:pPr>
        <w:pStyle w:val="Reftext"/>
      </w:pPr>
      <w:bookmarkStart w:id="131" w:name="_Ref409600613"/>
      <w:r>
        <w:t>[</w:t>
      </w:r>
      <w:r w:rsidR="00C55AF4">
        <w:t>22</w:t>
      </w:r>
      <w:r>
        <w:t>]</w:t>
      </w:r>
      <w:r>
        <w:tab/>
      </w:r>
      <w:r w:rsidR="00C3610E" w:rsidRPr="005C424D">
        <w:t>Recommendation ITU-R M.1732-1: "Characteristics of systems operating in the amateur and amateur-satellite services for use in sharing studies"</w:t>
      </w:r>
      <w:bookmarkEnd w:id="131"/>
    </w:p>
    <w:p w:rsidR="0089268C" w:rsidRPr="005C424D" w:rsidRDefault="004E18B2" w:rsidP="00C55AF4">
      <w:pPr>
        <w:pStyle w:val="Reftext"/>
      </w:pPr>
      <w:r>
        <w:t>[</w:t>
      </w:r>
      <w:r w:rsidR="00C55AF4">
        <w:t>23</w:t>
      </w:r>
      <w:r>
        <w:t>]</w:t>
      </w:r>
      <w:r>
        <w:tab/>
      </w:r>
      <w:r w:rsidR="00C3610E" w:rsidRPr="005C424D">
        <w:t>ECC Report 210: "Compatibility/sharing studies related to Broadband Direct-Air-to-Ground Communications (DA2GC) in the frequency bands 5 855-5 875 MHz, 2 400</w:t>
      </w:r>
      <w:r w:rsidR="00C3610E" w:rsidRPr="005C424D">
        <w:noBreakHyphen/>
        <w:t>2 483.5 MHz and 3 400-3 600 MHz"</w:t>
      </w:r>
    </w:p>
    <w:p w:rsidR="0089268C" w:rsidRPr="005C424D" w:rsidRDefault="004E18B2" w:rsidP="00C55AF4">
      <w:pPr>
        <w:pStyle w:val="Reftext"/>
      </w:pPr>
      <w:bookmarkStart w:id="132" w:name="_Ref409600704"/>
      <w:r>
        <w:t>[</w:t>
      </w:r>
      <w:r w:rsidR="00C55AF4">
        <w:t>24</w:t>
      </w:r>
      <w:r>
        <w:t>]</w:t>
      </w:r>
      <w:r>
        <w:tab/>
      </w:r>
      <w:r w:rsidR="00C3610E" w:rsidRPr="005C424D">
        <w:t>ETSI TR 101 599: "Electromagnetic compatibility and Radio spectrum matters (ERM) System Reference Document (SRDoc); Broadband Direct-Air-to-Ground Communications System employing beamforming antennas, operating in the 2,4 GHz and 5,8 GHz bands"</w:t>
      </w:r>
      <w:bookmarkEnd w:id="132"/>
    </w:p>
    <w:p w:rsidR="0089268C" w:rsidRPr="005C424D" w:rsidRDefault="004E18B2" w:rsidP="00C55AF4">
      <w:pPr>
        <w:pStyle w:val="Reftext"/>
      </w:pPr>
      <w:bookmarkStart w:id="133" w:name="_Ref409600714"/>
      <w:r>
        <w:t>[</w:t>
      </w:r>
      <w:r w:rsidR="00C55AF4">
        <w:t>25</w:t>
      </w:r>
      <w:r>
        <w:t>]</w:t>
      </w:r>
      <w:r>
        <w:tab/>
      </w:r>
      <w:r w:rsidR="00C3610E" w:rsidRPr="005C424D">
        <w:t>ETSI TR 103 108: "Electromagnetic compatibility and Radio spectrum Matters (ERM); System Reference document (SRdoc); Broadband Direct-Air-to-Ground Communications System operating in the 5,855 GHz to 5,875 GHz band using 3G technology"</w:t>
      </w:r>
      <w:bookmarkEnd w:id="133"/>
    </w:p>
    <w:p w:rsidR="0089268C" w:rsidRPr="005C424D" w:rsidRDefault="004E18B2" w:rsidP="00C55AF4">
      <w:pPr>
        <w:pStyle w:val="Reftext"/>
      </w:pPr>
      <w:bookmarkStart w:id="134" w:name="_Ref409601648"/>
      <w:r>
        <w:t>[</w:t>
      </w:r>
      <w:r w:rsidR="00C55AF4">
        <w:t>26</w:t>
      </w:r>
      <w:r>
        <w:t>]</w:t>
      </w:r>
      <w:r>
        <w:tab/>
      </w:r>
      <w:r w:rsidR="00C3610E" w:rsidRPr="005C424D">
        <w:t>ECC Report 206: "Compatibility studies in the band 5 725-5 875 MHz between SRD equipment for wireless industrial applications and other systems"</w:t>
      </w:r>
      <w:bookmarkEnd w:id="134"/>
    </w:p>
    <w:p w:rsidR="0089268C" w:rsidRPr="005C424D" w:rsidRDefault="004E18B2" w:rsidP="00C55AF4">
      <w:pPr>
        <w:pStyle w:val="Reftext"/>
      </w:pPr>
      <w:bookmarkStart w:id="135" w:name="_Ref409602378"/>
      <w:r>
        <w:t>[</w:t>
      </w:r>
      <w:r w:rsidR="00C55AF4">
        <w:t>27</w:t>
      </w:r>
      <w:r>
        <w:t>]</w:t>
      </w:r>
      <w:r>
        <w:tab/>
      </w:r>
      <w:r w:rsidR="00C3610E" w:rsidRPr="005C424D">
        <w:t>IEEE 802.11-2012: "Wireless LAN Medium Access Control (MAC) and Physical Layer (PHY) Specifications"</w:t>
      </w:r>
      <w:bookmarkEnd w:id="135"/>
    </w:p>
    <w:p w:rsidR="0089268C" w:rsidRPr="005C424D" w:rsidRDefault="004E18B2" w:rsidP="00C55AF4">
      <w:pPr>
        <w:pStyle w:val="Reftext"/>
      </w:pPr>
      <w:bookmarkStart w:id="136" w:name="_Ref409613487"/>
      <w:r>
        <w:t>[</w:t>
      </w:r>
      <w:r w:rsidR="00C55AF4">
        <w:t>28</w:t>
      </w:r>
      <w:r>
        <w:t>]</w:t>
      </w:r>
      <w:r>
        <w:tab/>
      </w:r>
      <w:r w:rsidR="00C3610E" w:rsidRPr="005C424D">
        <w:t>ETSI EN 302 571 V1.2.2 (2011-10): "Intelligent Transport Systems (ITS); Radiocommunications equipment operating in the 5 855 MHz to 5 925 MHz frequency band; Harmonized EN covering the essential requirements of article 3.2 of the R&amp;TTE Directive"</w:t>
      </w:r>
      <w:bookmarkEnd w:id="136"/>
    </w:p>
    <w:p w:rsidR="0089268C" w:rsidRPr="005C424D" w:rsidRDefault="004E18B2" w:rsidP="00C55AF4">
      <w:pPr>
        <w:pStyle w:val="Reftext"/>
      </w:pPr>
      <w:bookmarkStart w:id="137" w:name="_Ref409613552"/>
      <w:r>
        <w:t>[</w:t>
      </w:r>
      <w:r w:rsidR="00C55AF4">
        <w:t>29</w:t>
      </w:r>
      <w:r>
        <w:t>]</w:t>
      </w:r>
      <w:r>
        <w:tab/>
      </w:r>
      <w:r w:rsidR="00C3610E" w:rsidRPr="005C424D">
        <w:t>Recommendation ITU-R SM.329: "Unwanted emissions in the spurious domain"</w:t>
      </w:r>
      <w:bookmarkEnd w:id="137"/>
    </w:p>
    <w:p w:rsidR="0089268C" w:rsidRPr="005C424D" w:rsidRDefault="004E18B2" w:rsidP="00C55AF4">
      <w:pPr>
        <w:pStyle w:val="Reftext"/>
      </w:pPr>
      <w:bookmarkStart w:id="138" w:name="_Ref409613562"/>
      <w:r>
        <w:t>[</w:t>
      </w:r>
      <w:r w:rsidR="00C55AF4">
        <w:t>30</w:t>
      </w:r>
      <w:r>
        <w:t>]</w:t>
      </w:r>
      <w:r>
        <w:tab/>
      </w:r>
      <w:r w:rsidR="00C3610E" w:rsidRPr="005C424D">
        <w:t>ERC Recommendation 74-01: "Unwanted Emissions in the Spurious Domain"</w:t>
      </w:r>
      <w:bookmarkEnd w:id="138"/>
    </w:p>
    <w:p w:rsidR="0089268C" w:rsidRPr="005C424D" w:rsidRDefault="004E18B2" w:rsidP="008A6507">
      <w:pPr>
        <w:pStyle w:val="Reftext"/>
      </w:pPr>
      <w:bookmarkStart w:id="139" w:name="_Ref409613626"/>
      <w:r>
        <w:t>[</w:t>
      </w:r>
      <w:r w:rsidR="00C55AF4">
        <w:t>3</w:t>
      </w:r>
      <w:r>
        <w:t>1]</w:t>
      </w:r>
      <w:r>
        <w:tab/>
      </w:r>
      <w:r w:rsidR="00C3610E" w:rsidRPr="005C424D">
        <w:t xml:space="preserve">Recommendation ITU-R F.1336-3: "Reference radiation patterns of omnidirectional, sectoral and other antennas for the fixed and mobile service for use in sharing studies in the frequency range from 400 MHz to about 70 GHz"  </w:t>
      </w:r>
      <w:bookmarkEnd w:id="139"/>
    </w:p>
    <w:p w:rsidR="0089268C" w:rsidRPr="005C424D" w:rsidRDefault="004E18B2" w:rsidP="00C55AF4">
      <w:pPr>
        <w:pStyle w:val="Reftext"/>
      </w:pPr>
      <w:bookmarkStart w:id="140" w:name="_Ref409614484"/>
      <w:r>
        <w:t>[</w:t>
      </w:r>
      <w:r w:rsidR="00C55AF4">
        <w:t>32</w:t>
      </w:r>
      <w:r>
        <w:t>]</w:t>
      </w:r>
      <w:r>
        <w:tab/>
      </w:r>
      <w:r w:rsidR="00C3610E" w:rsidRPr="005C424D">
        <w:t>ETSI ES 200 674-1 V2.4.1 (2013-05)</w:t>
      </w:r>
      <w:bookmarkEnd w:id="140"/>
      <w:r w:rsidR="00C3610E" w:rsidRPr="005C424D">
        <w:t>: “</w:t>
      </w:r>
      <w:r w:rsidR="00C3610E" w:rsidRPr="005C424D">
        <w:rPr>
          <w:bCs/>
          <w:color w:val="000000"/>
        </w:rPr>
        <w:t>Technical characteristics and test methods for High Data Rate (HDR) data transmission equipment operating in the 5,8 GHz Industrial, Scientific and Medical (ISM) band”</w:t>
      </w:r>
    </w:p>
    <w:p w:rsidR="0089268C" w:rsidRPr="005C424D" w:rsidRDefault="004E18B2" w:rsidP="00C55AF4">
      <w:pPr>
        <w:pStyle w:val="Reftext"/>
      </w:pPr>
      <w:r>
        <w:t>[</w:t>
      </w:r>
      <w:r w:rsidR="00C55AF4">
        <w:t>33</w:t>
      </w:r>
      <w:r>
        <w:t>]</w:t>
      </w:r>
      <w:r>
        <w:tab/>
      </w:r>
      <w:r w:rsidR="00C3610E" w:rsidRPr="005C424D">
        <w:t>NTIA 5 GHz report, January 2013, “Evaluation of the 5 350-5 470 MHz and 5 850</w:t>
      </w:r>
      <w:r w:rsidR="00C3610E" w:rsidRPr="005C424D">
        <w:noBreakHyphen/>
        <w:t>5 925 MHz bands pursuant to section 6406(b) of the middle class tax relief and job creation act of 2012</w:t>
      </w:r>
    </w:p>
    <w:p w:rsidR="0089268C" w:rsidRPr="005C424D" w:rsidRDefault="004E18B2" w:rsidP="00C55AF4">
      <w:pPr>
        <w:pStyle w:val="Reftext"/>
      </w:pPr>
      <w:bookmarkStart w:id="141" w:name="_Ref412645499"/>
      <w:bookmarkStart w:id="142" w:name="_Ref441569432"/>
      <w:r>
        <w:lastRenderedPageBreak/>
        <w:t>[</w:t>
      </w:r>
      <w:r w:rsidR="00C55AF4">
        <w:t>34</w:t>
      </w:r>
      <w:r>
        <w:t>]</w:t>
      </w:r>
      <w:r>
        <w:tab/>
      </w:r>
      <w:r w:rsidR="00C3610E" w:rsidRPr="005C424D">
        <w:t>ETSI TR 102 960: "Intelligent Transport Systems (ITS); Mitigation techniques to avoid interference between European CEN Dedicated Short Range Communication (RTTT DSRC) equipment and Intelligent Transport Systems (ITS) operating in the 5 GHz frequency range; Evaluation of mitigation methods and techniques</w:t>
      </w:r>
      <w:bookmarkEnd w:id="141"/>
      <w:r w:rsidR="00C3610E" w:rsidRPr="005C424D">
        <w:t>"</w:t>
      </w:r>
      <w:bookmarkEnd w:id="142"/>
    </w:p>
    <w:p w:rsidR="0089268C" w:rsidRPr="005C424D" w:rsidRDefault="00C55AF4" w:rsidP="008A6507">
      <w:pPr>
        <w:pStyle w:val="Reftext"/>
      </w:pPr>
      <w:bookmarkStart w:id="143" w:name="_Ref412645496"/>
      <w:r>
        <w:t>[35</w:t>
      </w:r>
      <w:r w:rsidR="004E18B2">
        <w:t>]</w:t>
      </w:r>
      <w:r w:rsidR="004E18B2">
        <w:tab/>
      </w:r>
      <w:r w:rsidR="00C3610E" w:rsidRPr="005C424D">
        <w:t>ETSI TS 102 792: "Intelligent Transport Systems (ITS); Mitigation techniques to avoid interference between European CEN Dedicated Short Range Communication (CEN DSRC) equipment and Intelligent Transport Systems (ITS) operating in the 5 GHz frequency range</w:t>
      </w:r>
      <w:bookmarkEnd w:id="143"/>
      <w:r w:rsidR="00C3610E" w:rsidRPr="005C424D">
        <w:t>"</w:t>
      </w:r>
    </w:p>
    <w:p w:rsidR="0089268C" w:rsidRPr="005C424D" w:rsidRDefault="004E18B2" w:rsidP="00C55AF4">
      <w:pPr>
        <w:pStyle w:val="Reftext"/>
      </w:pPr>
      <w:r>
        <w:t>[</w:t>
      </w:r>
      <w:r w:rsidR="00C55AF4">
        <w:t>36</w:t>
      </w:r>
      <w:r>
        <w:t>]</w:t>
      </w:r>
      <w:r>
        <w:tab/>
      </w:r>
      <w:hyperlink r:id="rId137" w:history="1">
        <w:bookmarkStart w:id="144" w:name="_Ref416766452"/>
        <w:r w:rsidR="00C3610E" w:rsidRPr="005C424D">
          <w:rPr>
            <w:rStyle w:val="Hyperlink"/>
            <w:rFonts w:asciiTheme="majorBidi" w:hAnsiTheme="majorBidi" w:cstheme="majorBidi"/>
            <w:szCs w:val="24"/>
          </w:rPr>
          <w:t>http://www.statistiques-mondiales.com/union_europeenne.htm</w:t>
        </w:r>
        <w:bookmarkEnd w:id="144"/>
      </w:hyperlink>
    </w:p>
    <w:p w:rsidR="0089268C" w:rsidRPr="005C424D" w:rsidRDefault="004E18B2" w:rsidP="00C55AF4">
      <w:pPr>
        <w:pStyle w:val="Reftext"/>
      </w:pPr>
      <w:r>
        <w:t>[</w:t>
      </w:r>
      <w:r w:rsidR="00C55AF4">
        <w:t>37</w:t>
      </w:r>
      <w:r>
        <w:t>]</w:t>
      </w:r>
      <w:r>
        <w:tab/>
      </w:r>
      <w:hyperlink r:id="rId138" w:history="1">
        <w:bookmarkStart w:id="145" w:name="_Ref416766480"/>
        <w:r w:rsidR="00C3610E" w:rsidRPr="005C424D">
          <w:rPr>
            <w:rStyle w:val="Hyperlink"/>
            <w:rFonts w:asciiTheme="majorBidi" w:hAnsiTheme="majorBidi" w:cstheme="majorBidi"/>
            <w:szCs w:val="24"/>
          </w:rPr>
          <w:t>http://appsso.eurostat.ec.europa.eu/nui/show.do?dataset=lfst_hhnhtych&amp;lang=en</w:t>
        </w:r>
        <w:bookmarkEnd w:id="145"/>
      </w:hyperlink>
    </w:p>
    <w:p w:rsidR="0089268C" w:rsidRPr="005C424D" w:rsidRDefault="004E18B2" w:rsidP="00C55AF4">
      <w:pPr>
        <w:pStyle w:val="Reftext"/>
        <w:rPr>
          <w:rStyle w:val="Hyperlink"/>
          <w:rFonts w:asciiTheme="majorBidi" w:hAnsiTheme="majorBidi" w:cstheme="majorBidi"/>
          <w:szCs w:val="24"/>
        </w:rPr>
      </w:pPr>
      <w:r>
        <w:t>[</w:t>
      </w:r>
      <w:r w:rsidR="00C55AF4">
        <w:t>38</w:t>
      </w:r>
      <w:r>
        <w:t>]</w:t>
      </w:r>
      <w:r>
        <w:tab/>
      </w:r>
      <w:hyperlink r:id="rId139" w:history="1">
        <w:bookmarkStart w:id="146" w:name="_Ref416766522"/>
        <w:r w:rsidR="00C3610E" w:rsidRPr="005C424D">
          <w:rPr>
            <w:rStyle w:val="Hyperlink"/>
            <w:rFonts w:asciiTheme="majorBidi" w:hAnsiTheme="majorBidi" w:cstheme="majorBidi"/>
            <w:szCs w:val="24"/>
          </w:rPr>
          <w:t>https://www.ssb.no/en/befolkning/statistikker/familie/aar/2014-12-12</w:t>
        </w:r>
        <w:bookmarkEnd w:id="146"/>
      </w:hyperlink>
    </w:p>
    <w:p w:rsidR="0089268C" w:rsidRPr="005C424D" w:rsidRDefault="004E18B2" w:rsidP="00C55AF4">
      <w:pPr>
        <w:pStyle w:val="Reftext"/>
        <w:rPr>
          <w:rStyle w:val="Hyperlink"/>
          <w:rFonts w:asciiTheme="majorBidi" w:hAnsiTheme="majorBidi" w:cstheme="majorBidi"/>
          <w:szCs w:val="24"/>
        </w:rPr>
      </w:pPr>
      <w:r>
        <w:t>[</w:t>
      </w:r>
      <w:r w:rsidR="00C55AF4">
        <w:t>39</w:t>
      </w:r>
      <w:r>
        <w:t>]</w:t>
      </w:r>
      <w:r>
        <w:tab/>
      </w:r>
      <w:hyperlink r:id="rId140" w:history="1">
        <w:bookmarkStart w:id="147" w:name="_Ref416766532"/>
        <w:r w:rsidR="00C3610E" w:rsidRPr="005C424D">
          <w:rPr>
            <w:rStyle w:val="Hyperlink"/>
            <w:rFonts w:asciiTheme="majorBidi" w:hAnsiTheme="majorBidi" w:cstheme="majorBidi"/>
            <w:szCs w:val="24"/>
          </w:rPr>
          <w:t>http://www.bfs.admin.ch/</w:t>
        </w:r>
        <w:bookmarkEnd w:id="147"/>
      </w:hyperlink>
    </w:p>
    <w:p w:rsidR="0089268C" w:rsidRPr="005C424D" w:rsidRDefault="004E18B2" w:rsidP="00C55AF4">
      <w:pPr>
        <w:pStyle w:val="Reftext"/>
      </w:pPr>
      <w:r>
        <w:t>[</w:t>
      </w:r>
      <w:r w:rsidR="00C55AF4">
        <w:t>40</w:t>
      </w:r>
      <w:r>
        <w:t>]</w:t>
      </w:r>
      <w:r>
        <w:tab/>
      </w:r>
      <w:hyperlink r:id="rId141" w:history="1">
        <w:bookmarkStart w:id="148" w:name="_Ref416766576"/>
        <w:r w:rsidR="00C3610E" w:rsidRPr="005C424D">
          <w:rPr>
            <w:rStyle w:val="Hyperlink"/>
            <w:rFonts w:asciiTheme="majorBidi" w:hAnsiTheme="majorBidi" w:cstheme="majorBidi"/>
            <w:szCs w:val="24"/>
          </w:rPr>
          <w:t>http://appsso.eurostat.ec.europa.eu/nui/show.do?dataset=bd_9ac_l_form_r2&amp;lang=en</w:t>
        </w:r>
        <w:bookmarkEnd w:id="148"/>
      </w:hyperlink>
    </w:p>
    <w:p w:rsidR="0089268C" w:rsidRPr="005C424D" w:rsidRDefault="004E18B2" w:rsidP="00C55AF4">
      <w:pPr>
        <w:pStyle w:val="Reftext"/>
      </w:pPr>
      <w:bookmarkStart w:id="149" w:name="_Ref421616141"/>
      <w:r>
        <w:t>[</w:t>
      </w:r>
      <w:r w:rsidR="00C55AF4">
        <w:t>41</w:t>
      </w:r>
      <w:r>
        <w:t>]</w:t>
      </w:r>
      <w:r>
        <w:tab/>
      </w:r>
      <w:r w:rsidR="00C3610E" w:rsidRPr="005C424D">
        <w:t xml:space="preserve">3GPP TR 36.889: Feasibility Study on Licensed-Assisted Access to Unlicensed Spectrum, </w:t>
      </w:r>
      <w:hyperlink r:id="rId142" w:history="1">
        <w:r w:rsidR="00C3610E" w:rsidRPr="005C424D">
          <w:rPr>
            <w:rStyle w:val="Hyperlink"/>
            <w:rFonts w:asciiTheme="majorBidi" w:hAnsiTheme="majorBidi" w:cstheme="majorBidi"/>
            <w:szCs w:val="24"/>
          </w:rPr>
          <w:t>http://www.3gpp.org/DynaReport/36889.htm</w:t>
        </w:r>
      </w:hyperlink>
      <w:bookmarkEnd w:id="149"/>
      <w:r w:rsidR="00C3610E" w:rsidRPr="005C424D">
        <w:t xml:space="preserve"> </w:t>
      </w:r>
    </w:p>
    <w:p w:rsidR="0089268C" w:rsidRPr="005C424D" w:rsidRDefault="004E18B2" w:rsidP="00C55AF4">
      <w:pPr>
        <w:pStyle w:val="Reftext"/>
      </w:pPr>
      <w:bookmarkStart w:id="150" w:name="_Ref428897450"/>
      <w:r>
        <w:t>[</w:t>
      </w:r>
      <w:r w:rsidR="00C55AF4">
        <w:t>42</w:t>
      </w:r>
      <w:r>
        <w:t>]</w:t>
      </w:r>
      <w:r>
        <w:tab/>
      </w:r>
      <w:r w:rsidR="00C3610E" w:rsidRPr="005C424D">
        <w:t>CEPT Report 57 : "Compatibility and sharing conditions for WAS/RLAN in the bands 5 350-5 470 MHz and 5 725-5 925 MHz"</w:t>
      </w:r>
      <w:bookmarkEnd w:id="150"/>
    </w:p>
    <w:p w:rsidR="0089268C" w:rsidRPr="005C424D" w:rsidRDefault="004E18B2" w:rsidP="00C55AF4">
      <w:pPr>
        <w:pStyle w:val="Reftext"/>
      </w:pPr>
      <w:bookmarkStart w:id="151" w:name="_Ref441585937"/>
      <w:r>
        <w:t>[</w:t>
      </w:r>
      <w:r w:rsidR="00C55AF4">
        <w:t>43</w:t>
      </w:r>
      <w:r>
        <w:t>]</w:t>
      </w:r>
      <w:r>
        <w:tab/>
      </w:r>
      <w:r w:rsidR="00C3610E" w:rsidRPr="005C424D">
        <w:t>ECC Report 181</w:t>
      </w:r>
      <w:bookmarkEnd w:id="151"/>
      <w:r w:rsidR="00C3610E" w:rsidRPr="005C424D">
        <w:t xml:space="preserve"> on improving spectrum efficiency in SRD bands</w:t>
      </w:r>
    </w:p>
    <w:p w:rsidR="0089268C" w:rsidRPr="005C424D" w:rsidRDefault="004E18B2" w:rsidP="00C55AF4">
      <w:pPr>
        <w:pStyle w:val="Reftext"/>
        <w:rPr>
          <w:rStyle w:val="Hyperlink"/>
          <w:rFonts w:asciiTheme="majorBidi" w:hAnsiTheme="majorBidi" w:cstheme="majorBidi"/>
          <w:szCs w:val="24"/>
        </w:rPr>
      </w:pPr>
      <w:bookmarkStart w:id="152" w:name="_Ref441666583"/>
      <w:r>
        <w:t>[</w:t>
      </w:r>
      <w:r w:rsidR="00C55AF4">
        <w:t>44</w:t>
      </w:r>
      <w:r>
        <w:t>]</w:t>
      </w:r>
      <w:r>
        <w:tab/>
      </w:r>
      <w:r w:rsidR="00C3610E" w:rsidRPr="005C424D">
        <w:rPr>
          <w:rStyle w:val="Hyperlink"/>
          <w:rFonts w:asciiTheme="majorBidi" w:hAnsiTheme="majorBidi" w:cstheme="majorBidi"/>
          <w:szCs w:val="24"/>
        </w:rPr>
        <w:t xml:space="preserve">JRC study on RLAN deployment and device densities:  </w:t>
      </w:r>
      <w:hyperlink r:id="rId143" w:history="1">
        <w:r w:rsidR="00C3610E" w:rsidRPr="005C424D">
          <w:rPr>
            <w:rStyle w:val="Hyperlink"/>
            <w:rFonts w:asciiTheme="majorBidi" w:hAnsiTheme="majorBidi" w:cstheme="majorBidi"/>
            <w:szCs w:val="24"/>
          </w:rPr>
          <w:t>http://www.cept.org/Documents/se-24/25709/SE24(15)070R0_WI52_number-of-RLAN-JRC</w:t>
        </w:r>
      </w:hyperlink>
      <w:bookmarkEnd w:id="152"/>
    </w:p>
    <w:p w:rsidR="0089268C" w:rsidRPr="005C424D" w:rsidRDefault="004E18B2" w:rsidP="00C55AF4">
      <w:pPr>
        <w:pStyle w:val="Reftext"/>
        <w:rPr>
          <w:rStyle w:val="Hyperlink"/>
          <w:rFonts w:asciiTheme="majorBidi" w:hAnsiTheme="majorBidi" w:cstheme="majorBidi"/>
          <w:szCs w:val="24"/>
        </w:rPr>
      </w:pPr>
      <w:bookmarkStart w:id="153" w:name="_Ref441666586"/>
      <w:r>
        <w:t>[</w:t>
      </w:r>
      <w:r w:rsidR="00C55AF4">
        <w:t>45</w:t>
      </w:r>
      <w:r>
        <w:t>]</w:t>
      </w:r>
      <w:r>
        <w:tab/>
      </w:r>
      <w:r w:rsidR="00C3610E" w:rsidRPr="005C424D">
        <w:rPr>
          <w:rStyle w:val="Hyperlink"/>
          <w:rFonts w:asciiTheme="majorBidi" w:hAnsiTheme="majorBidi" w:cstheme="majorBidi"/>
          <w:szCs w:val="24"/>
        </w:rPr>
        <w:t xml:space="preserve">JRC study on in-home RLAN coverage and number of RLAN APs per household: </w:t>
      </w:r>
      <w:hyperlink r:id="rId144" w:history="1">
        <w:r w:rsidR="00C3610E" w:rsidRPr="005C424D">
          <w:rPr>
            <w:rStyle w:val="Hyperlink"/>
            <w:rFonts w:asciiTheme="majorBidi" w:hAnsiTheme="majorBidi" w:cstheme="majorBidi"/>
            <w:szCs w:val="24"/>
          </w:rPr>
          <w:t>http://www.cept.org/Documents/se-24/25805/SE24(15)089R0_WI52_Further-considerations-on-WLAN-indoor-coverage</w:t>
        </w:r>
      </w:hyperlink>
      <w:bookmarkEnd w:id="153"/>
    </w:p>
    <w:p w:rsidR="0089268C" w:rsidRPr="005C424D" w:rsidRDefault="004E18B2" w:rsidP="00C55AF4">
      <w:pPr>
        <w:pStyle w:val="Reftext"/>
        <w:rPr>
          <w:rStyle w:val="Hyperlink"/>
          <w:rFonts w:asciiTheme="majorBidi" w:hAnsiTheme="majorBidi" w:cstheme="majorBidi"/>
          <w:szCs w:val="24"/>
        </w:rPr>
      </w:pPr>
      <w:bookmarkStart w:id="154" w:name="_Ref441666798"/>
      <w:r>
        <w:t>[</w:t>
      </w:r>
      <w:r w:rsidR="00C55AF4">
        <w:t>46</w:t>
      </w:r>
      <w:r>
        <w:t>]</w:t>
      </w:r>
      <w:r>
        <w:tab/>
      </w:r>
      <w:r w:rsidR="00C3610E" w:rsidRPr="005C424D">
        <w:rPr>
          <w:rStyle w:val="Hyperlink"/>
          <w:rFonts w:asciiTheme="majorBidi" w:hAnsiTheme="majorBidi" w:cstheme="majorBidi"/>
          <w:szCs w:val="24"/>
        </w:rPr>
        <w:t xml:space="preserve">JRC measurements of 802.11ac RLAN APs operating in the 5 GHz band: </w:t>
      </w:r>
      <w:hyperlink r:id="rId145" w:history="1">
        <w:r w:rsidR="00C3610E" w:rsidRPr="005C424D">
          <w:rPr>
            <w:rStyle w:val="Hyperlink"/>
            <w:rFonts w:asciiTheme="majorBidi" w:hAnsiTheme="majorBidi" w:cstheme="majorBidi"/>
            <w:szCs w:val="24"/>
          </w:rPr>
          <w:t>http://www.cept.org/Documents/se-24/24051/SE24(15)042R0_WI52_JRC_5GHZ_RLAN-_measurements</w:t>
        </w:r>
      </w:hyperlink>
      <w:bookmarkEnd w:id="154"/>
    </w:p>
    <w:p w:rsidR="0089268C" w:rsidRPr="005C424D" w:rsidRDefault="004E18B2" w:rsidP="00C55AF4">
      <w:pPr>
        <w:pStyle w:val="Reftext"/>
        <w:rPr>
          <w:color w:val="0000FF" w:themeColor="hyperlink"/>
          <w:u w:val="single"/>
        </w:rPr>
      </w:pPr>
      <w:bookmarkStart w:id="155" w:name="_Ref466489120"/>
      <w:r>
        <w:t>[</w:t>
      </w:r>
      <w:r w:rsidR="00C55AF4">
        <w:t>47</w:t>
      </w:r>
      <w:r>
        <w:t>]</w:t>
      </w:r>
      <w:r>
        <w:tab/>
      </w:r>
      <w:r w:rsidR="00C3610E" w:rsidRPr="005C424D">
        <w:rPr>
          <w:rStyle w:val="Hyperlink"/>
          <w:rFonts w:asciiTheme="majorBidi" w:hAnsiTheme="majorBidi" w:cstheme="majorBidi"/>
          <w:szCs w:val="24"/>
        </w:rPr>
        <w:t>ECC Report 244 “</w:t>
      </w:r>
      <w:r w:rsidR="00C3610E" w:rsidRPr="005C424D">
        <w:t>Compatibility studies related to RLANs in the 5 725-5 925 MHz band”</w:t>
      </w:r>
      <w:bookmarkEnd w:id="155"/>
    </w:p>
    <w:sectPr w:rsidR="0089268C" w:rsidRPr="005C424D" w:rsidSect="005C424D">
      <w:headerReference w:type="first" r:id="rId146"/>
      <w:footerReference w:type="first" r:id="rId147"/>
      <w:pgSz w:w="11907" w:h="16834" w:code="9"/>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0B2" w:rsidRDefault="00C720B2">
      <w:r>
        <w:separator/>
      </w:r>
    </w:p>
  </w:endnote>
  <w:endnote w:type="continuationSeparator" w:id="0">
    <w:p w:rsidR="00C720B2" w:rsidRDefault="00C72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KaiTi_GB2312">
    <w:altName w:val="楷体_GB2312"/>
    <w:panose1 w:val="020106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0B2" w:rsidRDefault="00C720B2">
    <w:pPr>
      <w:pStyle w:val="Footer"/>
    </w:pPr>
    <w:fldSimple w:instr=" FILENAME \p \* MERGEFORMAT ">
      <w:r w:rsidRPr="00635AAC">
        <w:rPr>
          <w:lang w:val="en-US"/>
        </w:rPr>
        <w:t>M</w:t>
      </w:r>
      <w:r>
        <w:t>:\BRSGD\TEXT2017\SG05\WP5A\600\650\650N23e.docx</w:t>
      </w:r>
    </w:fldSimple>
    <w:r>
      <w:t xml:space="preserve"> </w:t>
    </w:r>
    <w:r>
      <w:rPr>
        <w:lang w:val="en-US"/>
      </w:rPr>
      <w:tab/>
    </w:r>
    <w:r>
      <w:fldChar w:fldCharType="begin"/>
    </w:r>
    <w:r>
      <w:instrText xml:space="preserve"> savedate \@ dd.MM.yy </w:instrText>
    </w:r>
    <w:r>
      <w:fldChar w:fldCharType="separate"/>
    </w:r>
    <w:r>
      <w:t>20.11.17</w:t>
    </w:r>
    <w:r>
      <w:fldChar w:fldCharType="end"/>
    </w:r>
    <w:r>
      <w:rPr>
        <w:lang w:val="en-US"/>
      </w:rPr>
      <w:tab/>
    </w:r>
    <w:r>
      <w:fldChar w:fldCharType="begin"/>
    </w:r>
    <w:r>
      <w:instrText xml:space="preserve"> printdate \@ dd.MM.yy </w:instrText>
    </w:r>
    <w:r>
      <w:fldChar w:fldCharType="separate"/>
    </w:r>
    <w:r>
      <w:t>15.11.17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0B2" w:rsidRDefault="00C720B2">
    <w:pPr>
      <w:pStyle w:val="Footer"/>
    </w:pPr>
    <w:fldSimple w:instr=" FILENAME \p \* MERGEFORMAT ">
      <w:r w:rsidRPr="00635AAC">
        <w:rPr>
          <w:lang w:val="en-US"/>
        </w:rPr>
        <w:t>M</w:t>
      </w:r>
      <w:r>
        <w:t>:\BRSGD\TEXT2017\SG05\WP5A\600\650\650N23e.docx</w:t>
      </w:r>
    </w:fldSimple>
    <w:r>
      <w:t xml:space="preserve"> </w:t>
    </w:r>
    <w:r>
      <w:rPr>
        <w:lang w:val="en-US"/>
      </w:rPr>
      <w:tab/>
    </w:r>
    <w:r>
      <w:fldChar w:fldCharType="begin"/>
    </w:r>
    <w:r>
      <w:instrText xml:space="preserve"> savedate \@ dd.MM.yy </w:instrText>
    </w:r>
    <w:r>
      <w:fldChar w:fldCharType="separate"/>
    </w:r>
    <w:r>
      <w:t>20.11.17</w:t>
    </w:r>
    <w:r>
      <w:fldChar w:fldCharType="end"/>
    </w:r>
    <w:r>
      <w:rPr>
        <w:lang w:val="en-US"/>
      </w:rPr>
      <w:tab/>
    </w:r>
    <w:r>
      <w:fldChar w:fldCharType="begin"/>
    </w:r>
    <w:r>
      <w:instrText xml:space="preserve"> printdate \@ dd.MM.yy </w:instrText>
    </w:r>
    <w:r>
      <w:fldChar w:fldCharType="separate"/>
    </w:r>
    <w:r>
      <w:t>15.11.17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0B2" w:rsidRDefault="00C720B2">
    <w:pPr>
      <w:pStyle w:val="Footer"/>
    </w:pPr>
    <w:fldSimple w:instr=" FILENAME \p  \* MERGEFORMAT ">
      <w:r>
        <w:t>M:\BRSGD\TEXT2017\SG05\WP5A\DT\236e.docx</w:t>
      </w:r>
    </w:fldSimple>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0B2" w:rsidRDefault="00C720B2">
      <w:r>
        <w:t>____________________</w:t>
      </w:r>
    </w:p>
  </w:footnote>
  <w:footnote w:type="continuationSeparator" w:id="0">
    <w:p w:rsidR="00C720B2" w:rsidRDefault="00C720B2">
      <w:r>
        <w:continuationSeparator/>
      </w:r>
    </w:p>
  </w:footnote>
  <w:footnote w:id="1">
    <w:p w:rsidR="00C720B2" w:rsidRDefault="00C720B2">
      <w:pPr>
        <w:pStyle w:val="FootnoteText"/>
        <w:rPr>
          <w:lang w:val="en-US"/>
        </w:rPr>
      </w:pPr>
      <w:r>
        <w:rPr>
          <w:rStyle w:val="FootnoteReference"/>
          <w:lang w:val="en-US"/>
        </w:rPr>
        <w:footnoteRef/>
      </w:r>
      <w:r>
        <w:rPr>
          <w:lang w:val="en-US"/>
        </w:rPr>
        <w:t xml:space="preserve"> </w:t>
      </w:r>
      <w:r>
        <w:rPr>
          <w:lang w:val="en-US"/>
        </w:rPr>
        <w:tab/>
      </w:r>
      <w:hyperlink r:id="rId1" w:history="1">
        <w:r>
          <w:rPr>
            <w:rStyle w:val="Hyperlink"/>
            <w:lang w:val="en-US"/>
          </w:rPr>
          <w:t>https://celestrak.com/satcat/search.asp</w:t>
        </w:r>
      </w:hyperlink>
      <w:r>
        <w:rPr>
          <w:lang w:val="en-US"/>
        </w:rPr>
        <w:t>.</w:t>
      </w:r>
    </w:p>
  </w:footnote>
  <w:footnote w:id="2">
    <w:p w:rsidR="00C720B2" w:rsidRDefault="00C720B2">
      <w:pPr>
        <w:pStyle w:val="FootnoteText"/>
        <w:rPr>
          <w:lang w:val="en-US"/>
        </w:rPr>
      </w:pPr>
      <w:r>
        <w:rPr>
          <w:rStyle w:val="FootnoteReference"/>
          <w:lang w:val="en-US"/>
        </w:rPr>
        <w:footnoteRef/>
      </w:r>
      <w:r>
        <w:rPr>
          <w:lang w:val="en-US"/>
        </w:rPr>
        <w:t xml:space="preserve"> </w:t>
      </w:r>
      <w:r>
        <w:rPr>
          <w:lang w:val="en-US"/>
        </w:rPr>
        <w:tab/>
        <w:t>Globalstar, L.P., “Description of the Globalstar System”, GS-TR-94-0001Revision E, December 07, 2000.</w:t>
      </w:r>
    </w:p>
  </w:footnote>
  <w:footnote w:id="3">
    <w:p w:rsidR="00C720B2" w:rsidRDefault="00C720B2">
      <w:pPr>
        <w:pStyle w:val="FootnoteText"/>
        <w:rPr>
          <w:lang w:val="en-US"/>
        </w:rPr>
      </w:pPr>
      <w:r>
        <w:rPr>
          <w:rStyle w:val="FootnoteReference"/>
          <w:lang w:val="en-US"/>
        </w:rPr>
        <w:footnoteRef/>
      </w:r>
      <w:r>
        <w:rPr>
          <w:lang w:val="en-US"/>
        </w:rPr>
        <w:tab/>
      </w:r>
      <w:hyperlink r:id="rId2" w:history="1">
        <w:r>
          <w:rPr>
            <w:rStyle w:val="Hyperlink"/>
            <w:lang w:val="en-US"/>
          </w:rPr>
          <w:t>http://web.ornl.gov/sci/landscan/landscan_documentation.shtml</w:t>
        </w:r>
      </w:hyperlink>
      <w:r>
        <w:rPr>
          <w:lang w:val="en-US"/>
        </w:rPr>
        <w:t>.</w:t>
      </w:r>
    </w:p>
  </w:footnote>
  <w:footnote w:id="4">
    <w:p w:rsidR="00C720B2" w:rsidRPr="001E7D0F" w:rsidRDefault="00C720B2">
      <w:pPr>
        <w:pStyle w:val="FootnoteText"/>
        <w:rPr>
          <w:lang w:val="pt-BR"/>
        </w:rPr>
      </w:pPr>
      <w:r>
        <w:rPr>
          <w:rStyle w:val="FootnoteReference"/>
          <w:lang w:val="en-US"/>
        </w:rPr>
        <w:footnoteRef/>
      </w:r>
      <w:r w:rsidRPr="001E7D0F">
        <w:rPr>
          <w:lang w:val="pt-BR"/>
        </w:rPr>
        <w:tab/>
        <w:t>See R12 JTG 4567-C-0584.</w:t>
      </w:r>
    </w:p>
  </w:footnote>
  <w:footnote w:id="5">
    <w:p w:rsidR="00C720B2" w:rsidRPr="001E7D0F" w:rsidRDefault="00C720B2">
      <w:pPr>
        <w:pStyle w:val="FootnoteText"/>
        <w:rPr>
          <w:lang w:val="pt-BR"/>
        </w:rPr>
      </w:pPr>
      <w:r>
        <w:rPr>
          <w:rStyle w:val="FootnoteReference"/>
          <w:lang w:val="en-US"/>
        </w:rPr>
        <w:footnoteRef/>
      </w:r>
      <w:r w:rsidRPr="001E7D0F">
        <w:rPr>
          <w:lang w:val="pt-BR"/>
        </w:rPr>
        <w:tab/>
        <w:t>ITU-R R12-JTG 4567 348.</w:t>
      </w:r>
    </w:p>
  </w:footnote>
  <w:footnote w:id="6">
    <w:p w:rsidR="00C720B2" w:rsidRDefault="00C720B2">
      <w:pPr>
        <w:pStyle w:val="FootnoteText"/>
        <w:rPr>
          <w:lang w:val="en-US"/>
        </w:rPr>
      </w:pPr>
      <w:r>
        <w:rPr>
          <w:rStyle w:val="FootnoteReference"/>
          <w:lang w:val="en-US"/>
        </w:rPr>
        <w:footnoteRef/>
      </w:r>
      <w:r>
        <w:rPr>
          <w:lang w:val="en-US"/>
        </w:rPr>
        <w:tab/>
        <w:t>This was an earlier version M</w:t>
      </w:r>
      <w:proofErr w:type="gramStart"/>
      <w:r>
        <w:rPr>
          <w:lang w:val="en-US"/>
        </w:rPr>
        <w:t>.[</w:t>
      </w:r>
      <w:proofErr w:type="gramEnd"/>
      <w:r>
        <w:rPr>
          <w:lang w:val="en-US"/>
        </w:rPr>
        <w:t>RLAN REQ-PAR].</w:t>
      </w:r>
    </w:p>
  </w:footnote>
  <w:footnote w:id="7">
    <w:p w:rsidR="00C720B2" w:rsidRDefault="00C720B2">
      <w:pPr>
        <w:pStyle w:val="FootnoteText"/>
        <w:rPr>
          <w:lang w:val="en-US"/>
        </w:rPr>
      </w:pPr>
      <w:r>
        <w:rPr>
          <w:rStyle w:val="FootnoteReference"/>
          <w:lang w:val="en-US"/>
        </w:rPr>
        <w:footnoteRef/>
      </w:r>
      <w:r>
        <w:rPr>
          <w:lang w:val="en-US"/>
        </w:rPr>
        <w:tab/>
        <w:t>Comparison of User Traffic Characteristics on Mobile-Access versus Fixed-Access Networks, MIT, AKAMAI TECHNOLOGIES (July 2010) (“50 Country Study”).</w:t>
      </w:r>
    </w:p>
  </w:footnote>
  <w:footnote w:id="8">
    <w:p w:rsidR="00C720B2" w:rsidRDefault="00C720B2">
      <w:pPr>
        <w:pStyle w:val="FootnoteText"/>
        <w:rPr>
          <w:lang w:val="en-US"/>
        </w:rPr>
      </w:pPr>
      <w:r>
        <w:rPr>
          <w:rStyle w:val="FootnoteReference"/>
          <w:lang w:val="en-US"/>
        </w:rPr>
        <w:footnoteRef/>
      </w:r>
      <w:r>
        <w:rPr>
          <w:lang w:val="en-US"/>
        </w:rPr>
        <w:tab/>
      </w:r>
      <w:hyperlink r:id="rId3" w:history="1">
        <w:r>
          <w:rPr>
            <w:rStyle w:val="Hyperlink"/>
            <w:lang w:val="en-US"/>
          </w:rPr>
          <w:t>https://www.statista.com/topics/2237/internet-usage-in-the-united-states/</w:t>
        </w:r>
      </w:hyperlink>
      <w:r>
        <w:rPr>
          <w:lang w:val="en-US"/>
        </w:rPr>
        <w:t>.</w:t>
      </w:r>
    </w:p>
  </w:footnote>
  <w:footnote w:id="9">
    <w:p w:rsidR="00C720B2" w:rsidRDefault="00C720B2">
      <w:pPr>
        <w:pStyle w:val="FootnoteText"/>
        <w:rPr>
          <w:lang w:val="en-US"/>
        </w:rPr>
      </w:pPr>
      <w:r>
        <w:rPr>
          <w:rStyle w:val="FootnoteReference"/>
          <w:lang w:val="en-US"/>
        </w:rPr>
        <w:footnoteRef/>
      </w:r>
      <w:r>
        <w:rPr>
          <w:lang w:val="en-US"/>
        </w:rPr>
        <w:t xml:space="preserve"> </w:t>
      </w:r>
      <w:hyperlink r:id="rId4" w:history="1">
        <w:r>
          <w:rPr>
            <w:rStyle w:val="Hyperlink"/>
            <w:lang w:val="en-US"/>
          </w:rPr>
          <w:t>http://www.worldometers.info/world-population/population-by-country/</w:t>
        </w:r>
      </w:hyperlink>
      <w:r>
        <w:rPr>
          <w:lang w:val="en-US"/>
        </w:rPr>
        <w:t>.</w:t>
      </w:r>
    </w:p>
  </w:footnote>
  <w:footnote w:id="10">
    <w:p w:rsidR="00C720B2" w:rsidRDefault="00C720B2">
      <w:pPr>
        <w:pStyle w:val="FootnoteText"/>
        <w:rPr>
          <w:lang w:val="en-US"/>
        </w:rPr>
      </w:pPr>
      <w:r>
        <w:rPr>
          <w:rStyle w:val="FootnoteReference"/>
          <w:lang w:val="en-US"/>
        </w:rPr>
        <w:footnoteRef/>
      </w:r>
      <w:r>
        <w:rPr>
          <w:lang w:val="en-US"/>
        </w:rPr>
        <w:tab/>
        <w:t>For this study Mexico is assumed to be a proxy for all of Latin America.</w:t>
      </w:r>
    </w:p>
  </w:footnote>
  <w:footnote w:id="11">
    <w:p w:rsidR="00C720B2" w:rsidRDefault="00C720B2">
      <w:pPr>
        <w:pStyle w:val="FootnoteText"/>
        <w:rPr>
          <w:lang w:val="en-US"/>
        </w:rPr>
      </w:pPr>
      <w:r>
        <w:rPr>
          <w:rStyle w:val="FootnoteReference"/>
          <w:lang w:val="en-US"/>
        </w:rPr>
        <w:footnoteRef/>
      </w:r>
      <w:r>
        <w:rPr>
          <w:lang w:val="en-US"/>
        </w:rPr>
        <w:tab/>
      </w:r>
      <w:hyperlink r:id="rId5" w:history="1">
        <w:r>
          <w:rPr>
            <w:rStyle w:val="Hyperlink"/>
            <w:lang w:val="en-US"/>
          </w:rPr>
          <w:t>http://www12.statcan.gc.ca/census-recensement/2016/dp-pd/prof/details/Page.cfm?Lang=E&amp;Geo1=PR&amp;Code1=35&amp;Geo2=&amp;Code2=&amp;Data=Count&amp;SearchText=Ontario&amp;SearchType=Begins&amp;SearchPR=01&amp;B1=All&amp;GeoLevel=PR&amp;GeoCode=35</w:t>
        </w:r>
      </w:hyperlink>
      <w:r>
        <w:rPr>
          <w:lang w:val="en-US"/>
        </w:rPr>
        <w:t>.</w:t>
      </w:r>
    </w:p>
  </w:footnote>
  <w:footnote w:id="12">
    <w:p w:rsidR="00C720B2" w:rsidRDefault="00C720B2">
      <w:pPr>
        <w:pStyle w:val="FootnoteText"/>
        <w:rPr>
          <w:lang w:val="en-US"/>
        </w:rPr>
      </w:pPr>
      <w:r>
        <w:rPr>
          <w:rStyle w:val="FootnoteReference"/>
          <w:lang w:val="en-US"/>
        </w:rPr>
        <w:footnoteRef/>
      </w:r>
      <w:r>
        <w:rPr>
          <w:lang w:val="en-US"/>
        </w:rPr>
        <w:tab/>
      </w:r>
      <w:hyperlink r:id="rId6" w:history="1">
        <w:r>
          <w:rPr>
            <w:rStyle w:val="Hyperlink"/>
            <w:lang w:val="en-US"/>
          </w:rPr>
          <w:t>https://www.statista.com/statistics/183648/average-size-of-households-in-the-us/</w:t>
        </w:r>
      </w:hyperlink>
      <w:r>
        <w:rPr>
          <w:lang w:val="en-US"/>
        </w:rPr>
        <w:t>.</w:t>
      </w:r>
    </w:p>
  </w:footnote>
  <w:footnote w:id="13">
    <w:p w:rsidR="00C720B2" w:rsidRDefault="00C720B2">
      <w:pPr>
        <w:pStyle w:val="FootnoteText"/>
        <w:rPr>
          <w:lang w:val="en-US"/>
        </w:rPr>
      </w:pPr>
      <w:r>
        <w:rPr>
          <w:rStyle w:val="FootnoteReference"/>
          <w:lang w:val="en-US"/>
        </w:rPr>
        <w:footnoteRef/>
      </w:r>
      <w:r>
        <w:rPr>
          <w:lang w:val="en-US"/>
        </w:rPr>
        <w:tab/>
      </w:r>
      <w:hyperlink r:id="rId7" w:history="1">
        <w:r>
          <w:rPr>
            <w:rStyle w:val="Hyperlink"/>
            <w:lang w:val="en-US"/>
          </w:rPr>
          <w:t>https://www.efe.com/efe/english/life/mexican-households-have-an-average-of-3-8-members-843-in-monthly-income/50000263-2666718</w:t>
        </w:r>
      </w:hyperlink>
      <w:r>
        <w:rPr>
          <w:lang w:val="en-US"/>
        </w:rPr>
        <w:t>.</w:t>
      </w:r>
    </w:p>
  </w:footnote>
  <w:footnote w:id="14">
    <w:p w:rsidR="00C720B2" w:rsidRDefault="00C720B2">
      <w:pPr>
        <w:pStyle w:val="FootnoteText"/>
        <w:rPr>
          <w:lang w:val="en-US"/>
        </w:rPr>
      </w:pPr>
      <w:r>
        <w:rPr>
          <w:rStyle w:val="FootnoteReference"/>
          <w:lang w:val="en-US"/>
        </w:rPr>
        <w:footnoteRef/>
      </w:r>
      <w:r>
        <w:rPr>
          <w:lang w:val="en-US"/>
        </w:rPr>
        <w:tab/>
        <w:t>This assumes a single AP per household.</w:t>
      </w:r>
    </w:p>
  </w:footnote>
  <w:footnote w:id="15">
    <w:p w:rsidR="00C720B2" w:rsidRDefault="00C720B2">
      <w:pPr>
        <w:pStyle w:val="FootnoteText"/>
        <w:rPr>
          <w:lang w:val="en-US"/>
        </w:rPr>
      </w:pPr>
      <w:r>
        <w:rPr>
          <w:rStyle w:val="FootnoteReference"/>
          <w:lang w:val="en-US"/>
        </w:rPr>
        <w:footnoteRef/>
      </w:r>
      <w:r>
        <w:rPr>
          <w:lang w:val="en-US"/>
        </w:rPr>
        <w:tab/>
      </w:r>
      <w:hyperlink r:id="rId8" w:history="1">
        <w:r>
          <w:rPr>
            <w:rStyle w:val="Hyperlink"/>
            <w:lang w:val="en-US"/>
          </w:rPr>
          <w:t>www.ruckuswireless.com</w:t>
        </w:r>
      </w:hyperlink>
      <w:r>
        <w:rPr>
          <w:lang w:val="en-US"/>
        </w:rPr>
        <w:t>.</w:t>
      </w:r>
    </w:p>
  </w:footnote>
  <w:footnote w:id="16">
    <w:p w:rsidR="00C720B2" w:rsidRDefault="00C720B2">
      <w:pPr>
        <w:pStyle w:val="FootnoteText"/>
        <w:rPr>
          <w:lang w:eastAsia="zh-CN"/>
        </w:rPr>
      </w:pPr>
      <w:r>
        <w:rPr>
          <w:rStyle w:val="FootnoteReference"/>
        </w:rPr>
        <w:footnoteRef/>
      </w:r>
      <w:r>
        <w:t xml:space="preserve"> </w:t>
      </w:r>
      <w:r>
        <w:tab/>
      </w:r>
      <w:r>
        <w:rPr>
          <w:rFonts w:hint="eastAsia"/>
          <w:lang w:eastAsia="zh-CN"/>
        </w:rPr>
        <w:t xml:space="preserve">This </w:t>
      </w:r>
      <w:r>
        <w:rPr>
          <w:lang w:eastAsia="zh-CN"/>
        </w:rPr>
        <w:t>figure</w:t>
      </w:r>
      <w:r>
        <w:rPr>
          <w:rFonts w:hint="eastAsia"/>
          <w:lang w:eastAsia="zh-CN"/>
        </w:rPr>
        <w:t xml:space="preserve"> comes from the Excel table embedded in </w:t>
      </w:r>
      <w:r>
        <w:rPr>
          <w:lang w:eastAsia="zh-CN"/>
        </w:rPr>
        <w:t xml:space="preserve">section 3.6 of </w:t>
      </w:r>
      <w:r>
        <w:rPr>
          <w:rFonts w:hint="eastAsia"/>
          <w:lang w:eastAsia="zh-CN"/>
        </w:rPr>
        <w:t xml:space="preserve">the </w:t>
      </w:r>
      <w:r>
        <w:rPr>
          <w:lang w:val="en-US" w:eastAsia="zh-CN"/>
        </w:rPr>
        <w:t xml:space="preserve">Working document towards a preliminary draft new Report ITU-R M.[RLAN REQ-PAR] and needs to be further reviewed after the working document has been finalized.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0B2" w:rsidRDefault="00C720B2">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B83746">
      <w:rPr>
        <w:rStyle w:val="PageNumber"/>
        <w:noProof/>
      </w:rPr>
      <w:t>21</w:t>
    </w:r>
    <w:r>
      <w:rPr>
        <w:rStyle w:val="PageNumber"/>
      </w:rPr>
      <w:fldChar w:fldCharType="end"/>
    </w:r>
    <w:r>
      <w:rPr>
        <w:rStyle w:val="PageNumber"/>
      </w:rPr>
      <w:t xml:space="preserve"> -</w:t>
    </w:r>
  </w:p>
  <w:p w:rsidR="00C720B2" w:rsidRDefault="00C720B2">
    <w:pPr>
      <w:pStyle w:val="Header"/>
    </w:pPr>
    <w:r>
      <w:rPr>
        <w:lang w:val="en-US"/>
      </w:rPr>
      <w:t>5A/650 (Annex 23)-E</w:t>
    </w:r>
    <w:r>
      <w:rPr>
        <w:lang w:val="en-US"/>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20B2" w:rsidRDefault="00C720B2">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r>
      <w:rPr>
        <w:rStyle w:val="PageNumber"/>
      </w:rPr>
      <w:t xml:space="preserve"> -</w:t>
    </w:r>
  </w:p>
  <w:p w:rsidR="00C720B2" w:rsidRDefault="00C720B2">
    <w:pPr>
      <w:pStyle w:val="Header"/>
    </w:pPr>
    <w:r>
      <w:rPr>
        <w:lang w:val="en-US"/>
      </w:rPr>
      <w:t>5A/TEMP/236-E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F4CA3"/>
    <w:multiLevelType w:val="hybridMultilevel"/>
    <w:tmpl w:val="7B7E29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2C4CB7"/>
    <w:multiLevelType w:val="hybridMultilevel"/>
    <w:tmpl w:val="E004A61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05D02"/>
    <w:multiLevelType w:val="hybridMultilevel"/>
    <w:tmpl w:val="C062077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76B6D"/>
    <w:multiLevelType w:val="hybridMultilevel"/>
    <w:tmpl w:val="240A1A62"/>
    <w:lvl w:ilvl="0" w:tplc="8DC654A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EB4A7C"/>
    <w:multiLevelType w:val="hybridMultilevel"/>
    <w:tmpl w:val="B96CE56A"/>
    <w:lvl w:ilvl="0" w:tplc="91C4760E">
      <w:start w:val="1"/>
      <w:numFmt w:val="bullet"/>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453EA8"/>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6" w15:restartNumberingAfterBreak="0">
    <w:nsid w:val="1AF97737"/>
    <w:multiLevelType w:val="hybridMultilevel"/>
    <w:tmpl w:val="81D404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A0A7C33"/>
    <w:multiLevelType w:val="hybridMultilevel"/>
    <w:tmpl w:val="E8BE53D8"/>
    <w:lvl w:ilvl="0" w:tplc="18D2B546">
      <w:start w:val="1"/>
      <w:numFmt w:val="decimal"/>
      <w:lvlText w:val="Editor's Note %1:"/>
      <w:lvlJc w:val="left"/>
      <w:pPr>
        <w:tabs>
          <w:tab w:val="num" w:pos="2835"/>
        </w:tabs>
        <w:ind w:left="2835" w:hanging="155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A6F1037"/>
    <w:multiLevelType w:val="multilevel"/>
    <w:tmpl w:val="8D3821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31D2CAF"/>
    <w:multiLevelType w:val="multilevel"/>
    <w:tmpl w:val="67C69F3A"/>
    <w:lvl w:ilvl="0">
      <w:start w:val="1"/>
      <w:numFmt w:val="decimal"/>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0" w15:restartNumberingAfterBreak="0">
    <w:nsid w:val="426E2769"/>
    <w:multiLevelType w:val="hybridMultilevel"/>
    <w:tmpl w:val="558650E6"/>
    <w:lvl w:ilvl="0" w:tplc="F31C1FA4">
      <w:start w:val="1"/>
      <w:numFmt w:val="bullet"/>
      <w:lvlText w:val="-"/>
      <w:lvlJc w:val="left"/>
      <w:pPr>
        <w:ind w:left="1488" w:hanging="360"/>
      </w:pPr>
      <w:rPr>
        <w:rFonts w:ascii="Times New Roman" w:eastAsia="Times New Roman" w:hAnsi="Times New Roman" w:cs="Times New Roman" w:hint="default"/>
      </w:rPr>
    </w:lvl>
    <w:lvl w:ilvl="1" w:tplc="040C0003" w:tentative="1">
      <w:start w:val="1"/>
      <w:numFmt w:val="bullet"/>
      <w:lvlText w:val="o"/>
      <w:lvlJc w:val="left"/>
      <w:pPr>
        <w:ind w:left="2208" w:hanging="360"/>
      </w:pPr>
      <w:rPr>
        <w:rFonts w:ascii="Courier New" w:hAnsi="Courier New" w:cs="Courier New" w:hint="default"/>
      </w:rPr>
    </w:lvl>
    <w:lvl w:ilvl="2" w:tplc="040C0005" w:tentative="1">
      <w:start w:val="1"/>
      <w:numFmt w:val="bullet"/>
      <w:lvlText w:val=""/>
      <w:lvlJc w:val="left"/>
      <w:pPr>
        <w:ind w:left="2928" w:hanging="360"/>
      </w:pPr>
      <w:rPr>
        <w:rFonts w:ascii="Wingdings" w:hAnsi="Wingdings" w:hint="default"/>
      </w:rPr>
    </w:lvl>
    <w:lvl w:ilvl="3" w:tplc="040C0001" w:tentative="1">
      <w:start w:val="1"/>
      <w:numFmt w:val="bullet"/>
      <w:lvlText w:val=""/>
      <w:lvlJc w:val="left"/>
      <w:pPr>
        <w:ind w:left="3648" w:hanging="360"/>
      </w:pPr>
      <w:rPr>
        <w:rFonts w:ascii="Symbol" w:hAnsi="Symbol" w:hint="default"/>
      </w:rPr>
    </w:lvl>
    <w:lvl w:ilvl="4" w:tplc="040C0003" w:tentative="1">
      <w:start w:val="1"/>
      <w:numFmt w:val="bullet"/>
      <w:lvlText w:val="o"/>
      <w:lvlJc w:val="left"/>
      <w:pPr>
        <w:ind w:left="4368" w:hanging="360"/>
      </w:pPr>
      <w:rPr>
        <w:rFonts w:ascii="Courier New" w:hAnsi="Courier New" w:cs="Courier New" w:hint="default"/>
      </w:rPr>
    </w:lvl>
    <w:lvl w:ilvl="5" w:tplc="040C0005" w:tentative="1">
      <w:start w:val="1"/>
      <w:numFmt w:val="bullet"/>
      <w:lvlText w:val=""/>
      <w:lvlJc w:val="left"/>
      <w:pPr>
        <w:ind w:left="5088" w:hanging="360"/>
      </w:pPr>
      <w:rPr>
        <w:rFonts w:ascii="Wingdings" w:hAnsi="Wingdings" w:hint="default"/>
      </w:rPr>
    </w:lvl>
    <w:lvl w:ilvl="6" w:tplc="040C0001" w:tentative="1">
      <w:start w:val="1"/>
      <w:numFmt w:val="bullet"/>
      <w:lvlText w:val=""/>
      <w:lvlJc w:val="left"/>
      <w:pPr>
        <w:ind w:left="5808" w:hanging="360"/>
      </w:pPr>
      <w:rPr>
        <w:rFonts w:ascii="Symbol" w:hAnsi="Symbol" w:hint="default"/>
      </w:rPr>
    </w:lvl>
    <w:lvl w:ilvl="7" w:tplc="040C0003" w:tentative="1">
      <w:start w:val="1"/>
      <w:numFmt w:val="bullet"/>
      <w:lvlText w:val="o"/>
      <w:lvlJc w:val="left"/>
      <w:pPr>
        <w:ind w:left="6528" w:hanging="360"/>
      </w:pPr>
      <w:rPr>
        <w:rFonts w:ascii="Courier New" w:hAnsi="Courier New" w:cs="Courier New" w:hint="default"/>
      </w:rPr>
    </w:lvl>
    <w:lvl w:ilvl="8" w:tplc="040C0005" w:tentative="1">
      <w:start w:val="1"/>
      <w:numFmt w:val="bullet"/>
      <w:lvlText w:val=""/>
      <w:lvlJc w:val="left"/>
      <w:pPr>
        <w:ind w:left="7248" w:hanging="360"/>
      </w:pPr>
      <w:rPr>
        <w:rFonts w:ascii="Wingdings" w:hAnsi="Wingdings" w:hint="default"/>
      </w:rPr>
    </w:lvl>
  </w:abstractNum>
  <w:abstractNum w:abstractNumId="11" w15:restartNumberingAfterBreak="0">
    <w:nsid w:val="46E6242A"/>
    <w:multiLevelType w:val="hybridMultilevel"/>
    <w:tmpl w:val="9146C086"/>
    <w:lvl w:ilvl="0" w:tplc="5D1C976A">
      <w:start w:val="1"/>
      <w:numFmt w:val="decimal"/>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3" w15:restartNumberingAfterBreak="0">
    <w:nsid w:val="4DBC5826"/>
    <w:multiLevelType w:val="hybridMultilevel"/>
    <w:tmpl w:val="E506D8D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243DCA"/>
    <w:multiLevelType w:val="hybridMultilevel"/>
    <w:tmpl w:val="A3C43904"/>
    <w:lvl w:ilvl="0" w:tplc="F752D0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8B8C57F"/>
    <w:multiLevelType w:val="singleLevel"/>
    <w:tmpl w:val="58B8C57F"/>
    <w:lvl w:ilvl="0">
      <w:start w:val="1"/>
      <w:numFmt w:val="bullet"/>
      <w:lvlText w:val=""/>
      <w:lvlJc w:val="left"/>
      <w:pPr>
        <w:ind w:left="420" w:hanging="420"/>
      </w:pPr>
      <w:rPr>
        <w:rFonts w:ascii="Wingdings" w:hAnsi="Wingdings" w:hint="default"/>
      </w:rPr>
    </w:lvl>
  </w:abstractNum>
  <w:abstractNum w:abstractNumId="16" w15:restartNumberingAfterBreak="0">
    <w:nsid w:val="61182925"/>
    <w:multiLevelType w:val="singleLevel"/>
    <w:tmpl w:val="61182925"/>
    <w:lvl w:ilvl="0">
      <w:start w:val="1"/>
      <w:numFmt w:val="decimal"/>
      <w:lvlText w:val="%1."/>
      <w:lvlJc w:val="left"/>
      <w:pPr>
        <w:tabs>
          <w:tab w:val="left" w:pos="1080"/>
        </w:tabs>
        <w:ind w:left="0" w:firstLine="720"/>
      </w:pPr>
    </w:lvl>
  </w:abstractNum>
  <w:abstractNum w:abstractNumId="17" w15:restartNumberingAfterBreak="0">
    <w:nsid w:val="79981E01"/>
    <w:multiLevelType w:val="hybridMultilevel"/>
    <w:tmpl w:val="12B029A8"/>
    <w:lvl w:ilvl="0" w:tplc="A126AC64">
      <w:start w:val="160"/>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
  </w:num>
  <w:num w:numId="4">
    <w:abstractNumId w:val="11"/>
  </w:num>
  <w:num w:numId="5">
    <w:abstractNumId w:val="4"/>
  </w:num>
  <w:num w:numId="6">
    <w:abstractNumId w:val="12"/>
  </w:num>
  <w:num w:numId="7">
    <w:abstractNumId w:val="7"/>
  </w:num>
  <w:num w:numId="8">
    <w:abstractNumId w:val="9"/>
  </w:num>
  <w:num w:numId="9">
    <w:abstractNumId w:val="17"/>
  </w:num>
  <w:num w:numId="10">
    <w:abstractNumId w:val="10"/>
  </w:num>
  <w:num w:numId="11">
    <w:abstractNumId w:val="5"/>
  </w:num>
  <w:num w:numId="12">
    <w:abstractNumId w:val="16"/>
  </w:num>
  <w:num w:numId="13">
    <w:abstractNumId w:val="15"/>
  </w:num>
  <w:num w:numId="14">
    <w:abstractNumId w:val="0"/>
  </w:num>
  <w:num w:numId="15">
    <w:abstractNumId w:val="6"/>
  </w:num>
  <w:num w:numId="16">
    <w:abstractNumId w:val="3"/>
  </w:num>
  <w:num w:numId="17">
    <w:abstractNumId w:val="14"/>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fr-CH" w:vendorID="64" w:dllVersion="0" w:nlCheck="1" w:checkStyle="0"/>
  <w:activeWritingStyle w:appName="MSWord" w:lang="en-AU" w:vendorID="64" w:dllVersion="0" w:nlCheck="1" w:checkStyle="1"/>
  <w:activeWritingStyle w:appName="MSWord" w:lang="fr-FR" w:vendorID="64" w:dllVersion="0" w:nlCheck="1" w:checkStyle="0"/>
  <w:activeWritingStyle w:appName="MSWord" w:lang="zh-CN" w:vendorID="64" w:dllVersion="0" w:nlCheck="1" w:checkStyle="1"/>
  <w:activeWritingStyle w:appName="MSWord" w:lang="en-CA" w:vendorID="64" w:dllVersion="0" w:nlCheck="1" w:checkStyle="1"/>
  <w:activeWritingStyle w:appName="MSWord" w:lang="es-ES_tradnl" w:vendorID="64" w:dllVersion="0" w:nlCheck="1" w:checkStyle="1"/>
  <w:activeWritingStyle w:appName="MSWord" w:lang="ar-SA" w:vendorID="64" w:dllVersion="0" w:nlCheck="1" w:checkStyle="0"/>
  <w:activeWritingStyle w:appName="MSWord" w:lang="es-ES" w:vendorID="64" w:dllVersion="0" w:nlCheck="1" w:checkStyle="1"/>
  <w:activeWritingStyle w:appName="MSWord" w:lang="pt-BR" w:vendorID="64" w:dllVersion="0"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AU" w:vendorID="64" w:dllVersion="6" w:nlCheck="1" w:checkStyle="1"/>
  <w:activeWritingStyle w:appName="MSWord" w:lang="en-CA"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fr-CH" w:vendorID="64" w:dllVersion="131078"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68C"/>
    <w:rsid w:val="000A3887"/>
    <w:rsid w:val="00101B2B"/>
    <w:rsid w:val="00107D9E"/>
    <w:rsid w:val="001800D2"/>
    <w:rsid w:val="001D729F"/>
    <w:rsid w:val="001E7D0F"/>
    <w:rsid w:val="001F0340"/>
    <w:rsid w:val="00201BC3"/>
    <w:rsid w:val="00222266"/>
    <w:rsid w:val="002432D0"/>
    <w:rsid w:val="002829F6"/>
    <w:rsid w:val="002B1C7A"/>
    <w:rsid w:val="002C4B63"/>
    <w:rsid w:val="00396531"/>
    <w:rsid w:val="003A438B"/>
    <w:rsid w:val="003B5C7D"/>
    <w:rsid w:val="004E18B2"/>
    <w:rsid w:val="005C1912"/>
    <w:rsid w:val="005C424D"/>
    <w:rsid w:val="006007C6"/>
    <w:rsid w:val="00635AAC"/>
    <w:rsid w:val="00674239"/>
    <w:rsid w:val="0067647E"/>
    <w:rsid w:val="006A6118"/>
    <w:rsid w:val="006E6D2F"/>
    <w:rsid w:val="006F2C91"/>
    <w:rsid w:val="007D2B16"/>
    <w:rsid w:val="00867DC6"/>
    <w:rsid w:val="0089268C"/>
    <w:rsid w:val="008A6507"/>
    <w:rsid w:val="008D4FC9"/>
    <w:rsid w:val="008D72A0"/>
    <w:rsid w:val="00985F36"/>
    <w:rsid w:val="009D6E81"/>
    <w:rsid w:val="009E45DB"/>
    <w:rsid w:val="00A778A3"/>
    <w:rsid w:val="00B116C1"/>
    <w:rsid w:val="00B83746"/>
    <w:rsid w:val="00BB16AF"/>
    <w:rsid w:val="00BC2088"/>
    <w:rsid w:val="00BE0084"/>
    <w:rsid w:val="00BE3B8C"/>
    <w:rsid w:val="00C3610E"/>
    <w:rsid w:val="00C55AF4"/>
    <w:rsid w:val="00C720B2"/>
    <w:rsid w:val="00C9739E"/>
    <w:rsid w:val="00D24058"/>
    <w:rsid w:val="00DD176A"/>
    <w:rsid w:val="00E122B7"/>
    <w:rsid w:val="00E5537E"/>
    <w:rsid w:val="00E5737A"/>
    <w:rsid w:val="00E5780B"/>
    <w:rsid w:val="00EE236C"/>
    <w:rsid w:val="00F06D38"/>
    <w:rsid w:val="00F95ACF"/>
    <w:rsid w:val="00FB0018"/>
    <w:rsid w:val="00FB0E3A"/>
    <w:rsid w:val="00FB47C3"/>
    <w:rsid w:val="00FC453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6BB3E791-CC1C-416B-99A1-0BA253C31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47E"/>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pPr>
      <w:keepNext/>
      <w:keepLines/>
      <w:spacing w:before="280"/>
      <w:ind w:left="1134" w:hanging="1134"/>
      <w:outlineLvl w:val="0"/>
    </w:pPr>
    <w:rPr>
      <w:b/>
      <w:sz w:val="28"/>
    </w:rPr>
  </w:style>
  <w:style w:type="paragraph" w:styleId="Heading2">
    <w:name w:val="heading 2"/>
    <w:basedOn w:val="Heading1"/>
    <w:next w:val="Normal"/>
    <w:link w:val="Heading2Char"/>
    <w:uiPriority w:val="9"/>
    <w:qFormat/>
    <w:pPr>
      <w:spacing w:before="200"/>
      <w:outlineLvl w:val="1"/>
    </w:pPr>
    <w:rPr>
      <w:sz w:val="24"/>
    </w:rPr>
  </w:style>
  <w:style w:type="paragraph" w:styleId="Heading3">
    <w:name w:val="heading 3"/>
    <w:basedOn w:val="Heading1"/>
    <w:next w:val="Normal"/>
    <w:link w:val="Heading3Char"/>
    <w:uiPriority w:val="9"/>
    <w:qFormat/>
    <w:pPr>
      <w:tabs>
        <w:tab w:val="clear" w:pos="1134"/>
      </w:tabs>
      <w:spacing w:before="200"/>
      <w:outlineLvl w:val="2"/>
    </w:pPr>
    <w:rPr>
      <w:sz w:val="24"/>
    </w:rPr>
  </w:style>
  <w:style w:type="paragraph" w:styleId="Heading4">
    <w:name w:val="heading 4"/>
    <w:basedOn w:val="Heading3"/>
    <w:next w:val="Normal"/>
    <w:link w:val="Heading4Char"/>
    <w:uiPriority w:val="9"/>
    <w:qFormat/>
    <w:pPr>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pPr>
      <w:spacing w:before="360"/>
    </w:pPr>
  </w:style>
  <w:style w:type="paragraph" w:customStyle="1" w:styleId="RepNo">
    <w:name w:val="Rep_No"/>
    <w:basedOn w:val="Normal"/>
    <w:next w:val="Normal"/>
    <w:rsid w:val="00101B2B"/>
    <w:pPr>
      <w:keepNext/>
      <w:keepLines/>
      <w:spacing w:before="480"/>
      <w:jc w:val="center"/>
    </w:pPr>
    <w:rPr>
      <w:rFonts w:eastAsia="Times New Roman"/>
      <w:caps/>
      <w:sz w:val="28"/>
    </w:rPr>
  </w:style>
  <w:style w:type="paragraph" w:customStyle="1" w:styleId="Reptitle">
    <w:name w:val="Rep_title"/>
    <w:basedOn w:val="Normal"/>
    <w:next w:val="Normal"/>
    <w:rsid w:val="00101B2B"/>
    <w:pPr>
      <w:keepNext/>
      <w:keepLines/>
      <w:spacing w:before="240"/>
      <w:jc w:val="center"/>
    </w:pPr>
    <w:rPr>
      <w:rFonts w:ascii="Times New Roman Bold" w:eastAsia="Times New Roman" w:hAnsi="Times New Roman Bold"/>
      <w:b/>
      <w:sz w:val="28"/>
    </w:rPr>
  </w:style>
  <w:style w:type="character" w:styleId="EndnoteReference">
    <w:name w:val="endnote reference"/>
    <w:basedOn w:val="DefaultParagraphFont"/>
    <w:uiPriority w:val="99"/>
    <w:rPr>
      <w:vertAlign w:val="superscript"/>
    </w:rPr>
  </w:style>
  <w:style w:type="paragraph" w:customStyle="1" w:styleId="enumlev1">
    <w:name w:val="enumlev1"/>
    <w:basedOn w:val="Normal"/>
    <w:link w:val="enumlev1Char"/>
    <w:qFormat/>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aliases w:val="eq"/>
    <w:basedOn w:val="Normal"/>
    <w:link w:val="EquationChar"/>
    <w:pPr>
      <w:tabs>
        <w:tab w:val="clear" w:pos="1871"/>
        <w:tab w:val="clear" w:pos="2268"/>
        <w:tab w:val="center" w:pos="4820"/>
        <w:tab w:val="right" w:pos="9639"/>
      </w:tabs>
    </w:pPr>
  </w:style>
  <w:style w:type="paragraph" w:customStyle="1" w:styleId="Equationlegend">
    <w:name w:val="Equation_legend"/>
    <w:basedOn w:val="NormalIndent"/>
    <w:link w:val="EquationlegendChar"/>
    <w:qFormat/>
    <w:pPr>
      <w:tabs>
        <w:tab w:val="clear" w:pos="1134"/>
        <w:tab w:val="clear" w:pos="2268"/>
        <w:tab w:val="right" w:pos="1871"/>
        <w:tab w:val="left" w:pos="2041"/>
      </w:tabs>
      <w:spacing w:before="80"/>
      <w:ind w:left="2041" w:hanging="2041"/>
    </w:pPr>
  </w:style>
  <w:style w:type="paragraph" w:customStyle="1" w:styleId="Tabletext">
    <w:name w:val="Table_text"/>
    <w:basedOn w:val="Normal"/>
    <w:link w:val="TabletextChar"/>
    <w:qFormat/>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styleId="Footer">
    <w:name w:val="footer"/>
    <w:basedOn w:val="Normal"/>
    <w:link w:val="FooterChar"/>
    <w:pPr>
      <w:tabs>
        <w:tab w:val="clear" w:pos="1134"/>
        <w:tab w:val="clear" w:pos="1871"/>
        <w:tab w:val="clear" w:pos="2268"/>
        <w:tab w:val="left" w:pos="5954"/>
        <w:tab w:val="right" w:pos="9639"/>
      </w:tabs>
      <w:spacing w:before="0"/>
    </w:pPr>
    <w:rPr>
      <w:caps/>
      <w:noProof/>
      <w:sz w:val="16"/>
    </w:rPr>
  </w:style>
  <w:style w:type="character" w:styleId="FootnoteReference">
    <w:name w:val="footnote reference"/>
    <w:aliases w:val="ECC Footnote number,Footnote symbol,Appel note de bas de p,Appel note de bas de p + (Asian) Batang,Black,Footnote Reference/,(NECG) Footnote Reference,Nota,Footnote"/>
    <w:basedOn w:val="DefaultParagraphFont"/>
    <w:uiPriority w:val="99"/>
    <w:rPr>
      <w:position w:val="6"/>
      <w:sz w:val="18"/>
    </w:rPr>
  </w:style>
  <w:style w:type="paragraph" w:styleId="FootnoteText">
    <w:name w:val="footnote text"/>
    <w:aliases w:val="ECC Footnote,footnote text,ALTS FOOTNOTE,Footnote Text Char Char1,Footnote Text Char4 Char Char,Footnote Text Char1 Char1 Char1 Char,Footnote Text Char Char1 Char1 Char Char,Footnote Text Char1 Char1 Char1 Char Char Char1,DNV-"/>
    <w:basedOn w:val="Normal"/>
    <w:link w:val="FootnoteTextChar"/>
    <w:uiPriority w:val="99"/>
    <w:qFormat/>
    <w:pPr>
      <w:keepLines/>
      <w:tabs>
        <w:tab w:val="left" w:pos="255"/>
      </w:tabs>
    </w:pPr>
  </w:style>
  <w:style w:type="paragraph" w:customStyle="1" w:styleId="Note">
    <w:name w:val="Note"/>
    <w:basedOn w:val="Normal"/>
    <w:next w:val="Normal"/>
    <w:link w:val="NoteChar"/>
    <w:pPr>
      <w:tabs>
        <w:tab w:val="left" w:pos="284"/>
      </w:tabs>
      <w:spacing w:before="80"/>
    </w:pPr>
  </w:style>
  <w:style w:type="paragraph" w:styleId="Header">
    <w:name w:val="header"/>
    <w:basedOn w:val="Normal"/>
    <w:link w:val="HeaderChar"/>
    <w:uiPriority w:val="99"/>
    <w:pPr>
      <w:spacing w:before="0"/>
      <w:jc w:val="center"/>
    </w:pPr>
    <w:rPr>
      <w:sz w:val="18"/>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customStyle="1" w:styleId="Reftext">
    <w:name w:val="Ref_text"/>
    <w:basedOn w:val="Normal"/>
    <w:pPr>
      <w:ind w:left="1134" w:hanging="1134"/>
    </w:pPr>
  </w:style>
  <w:style w:type="paragraph" w:customStyle="1" w:styleId="Reftitle">
    <w:name w:val="Ref_title"/>
    <w:basedOn w:val="Normal"/>
    <w:next w:val="Reftext"/>
    <w:pPr>
      <w:spacing w:before="480"/>
      <w:jc w:val="center"/>
    </w:pPr>
    <w:rPr>
      <w:caps/>
    </w:rPr>
  </w:style>
  <w:style w:type="paragraph" w:customStyle="1" w:styleId="Source">
    <w:name w:val="Source"/>
    <w:basedOn w:val="Normal"/>
    <w:next w:val="Normal"/>
    <w:link w:val="SourceChar"/>
    <w:pPr>
      <w:spacing w:before="840"/>
      <w:jc w:val="center"/>
    </w:pPr>
    <w:rPr>
      <w:b/>
      <w:sz w:val="28"/>
    </w:rPr>
  </w:style>
  <w:style w:type="paragraph" w:customStyle="1" w:styleId="Tablehead">
    <w:name w:val="Table_head"/>
    <w:basedOn w:val="Normal"/>
    <w:link w:val="TableheadChar"/>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rsid w:val="005C1912"/>
    <w:pPr>
      <w:tabs>
        <w:tab w:val="left" w:pos="284"/>
      </w:tabs>
      <w:spacing w:before="40" w:after="40"/>
    </w:pPr>
    <w:rPr>
      <w:sz w:val="18"/>
    </w:rPr>
  </w:style>
  <w:style w:type="paragraph" w:customStyle="1" w:styleId="TableNo">
    <w:name w:val="Table_No"/>
    <w:basedOn w:val="Normal"/>
    <w:next w:val="Normal"/>
    <w:pPr>
      <w:keepNext/>
      <w:spacing w:before="560" w:after="120"/>
      <w:jc w:val="center"/>
    </w:pPr>
    <w:rPr>
      <w:caps/>
      <w:sz w:val="20"/>
    </w:rPr>
  </w:style>
  <w:style w:type="paragraph" w:customStyle="1" w:styleId="Tabletitle">
    <w:name w:val="Table_title"/>
    <w:basedOn w:val="Normal"/>
    <w:next w:val="Tabletext"/>
    <w:link w:val="TabletitleChar"/>
    <w:pPr>
      <w:keepNext/>
      <w:keepLines/>
      <w:spacing w:before="0" w:after="120"/>
      <w:jc w:val="center"/>
    </w:pPr>
    <w:rPr>
      <w:rFonts w:ascii="Times New Roman Bold" w:hAnsi="Times New Roman Bold"/>
      <w:b/>
      <w:sz w:val="20"/>
    </w:rPr>
  </w:style>
  <w:style w:type="paragraph" w:customStyle="1" w:styleId="Title1">
    <w:name w:val="Title 1"/>
    <w:basedOn w:val="Source"/>
    <w:next w:val="Normal"/>
    <w:link w:val="Title1Char"/>
    <w:pPr>
      <w:tabs>
        <w:tab w:val="left" w:pos="567"/>
        <w:tab w:val="left" w:pos="1701"/>
        <w:tab w:val="left" w:pos="2835"/>
      </w:tabs>
      <w:spacing w:before="240"/>
    </w:pPr>
    <w:rPr>
      <w:b w:val="0"/>
      <w:caps/>
    </w:rPr>
  </w:style>
  <w:style w:type="paragraph" w:customStyle="1" w:styleId="Title4">
    <w:name w:val="Title 4"/>
    <w:basedOn w:val="Normal"/>
    <w:next w:val="Heading1"/>
    <w:rsid w:val="00396531"/>
    <w:pPr>
      <w:overflowPunct/>
      <w:autoSpaceDE/>
      <w:autoSpaceDN/>
      <w:adjustRightInd/>
      <w:spacing w:before="240"/>
      <w:jc w:val="center"/>
      <w:textAlignment w:val="auto"/>
    </w:pPr>
    <w:rPr>
      <w:b/>
      <w:sz w:val="28"/>
    </w:rPr>
  </w:style>
  <w:style w:type="paragraph" w:styleId="TOC1">
    <w:name w:val="toc 1"/>
    <w:aliases w:val="ECC Index 1"/>
    <w:basedOn w:val="Normal"/>
    <w:link w:val="TOC1Char"/>
    <w:uiPriority w:val="3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aliases w:val="ECC Index 2"/>
    <w:basedOn w:val="TOC1"/>
    <w:uiPriority w:val="39"/>
    <w:pPr>
      <w:spacing w:before="120"/>
    </w:pPr>
  </w:style>
  <w:style w:type="paragraph" w:styleId="TOC3">
    <w:name w:val="toc 3"/>
    <w:aliases w:val="ECC Index 3"/>
    <w:basedOn w:val="TOC2"/>
    <w:uiPriority w:val="39"/>
  </w:style>
  <w:style w:type="paragraph" w:styleId="TOC4">
    <w:name w:val="toc 4"/>
    <w:aliases w:val="ECC Index 4"/>
    <w:basedOn w:val="TOC3"/>
    <w:uiPriority w:val="39"/>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character" w:customStyle="1" w:styleId="Artref">
    <w:name w:val="Art_ref"/>
    <w:basedOn w:val="DefaultParagraphFont"/>
    <w:qFormat/>
  </w:style>
  <w:style w:type="character" w:customStyle="1" w:styleId="Tablefreq">
    <w:name w:val="Table_freq"/>
    <w:basedOn w:val="DefaultParagraphFont"/>
    <w:rPr>
      <w:b/>
      <w:color w:val="auto"/>
      <w:sz w:val="20"/>
    </w:rPr>
  </w:style>
  <w:style w:type="paragraph" w:customStyle="1" w:styleId="Headingi">
    <w:name w:val="Heading_i"/>
    <w:basedOn w:val="Normal"/>
    <w:next w:val="Normal"/>
    <w:qFormat/>
    <w:rsid w:val="006E6D2F"/>
    <w:pPr>
      <w:keepNext/>
      <w:keepLines/>
      <w:spacing w:before="160"/>
    </w:pPr>
    <w:rPr>
      <w:i/>
    </w:rPr>
  </w:style>
  <w:style w:type="paragraph" w:customStyle="1" w:styleId="Headingb">
    <w:name w:val="Heading_b"/>
    <w:basedOn w:val="Normal"/>
    <w:next w:val="Normal"/>
    <w:qFormat/>
    <w:rsid w:val="006E6D2F"/>
    <w:pPr>
      <w:keepNext/>
      <w:keepLines/>
      <w:spacing w:before="160"/>
    </w:pPr>
    <w:rPr>
      <w:rFonts w:ascii="Times New Roman Bold" w:hAnsi="Times New Roman Bold" w:cs="Times New Roman Bold"/>
      <w:b/>
    </w:rPr>
  </w:style>
  <w:style w:type="paragraph" w:customStyle="1" w:styleId="Figure">
    <w:name w:val="Figure"/>
    <w:basedOn w:val="Normal"/>
    <w:next w:val="Normal"/>
    <w:rsid w:val="005C1912"/>
    <w:pPr>
      <w:spacing w:after="240"/>
      <w:jc w:val="center"/>
    </w:pPr>
    <w:rPr>
      <w:rFonts w:asciiTheme="majorBidi" w:hAnsiTheme="majorBidi" w:cstheme="majorBidi"/>
      <w:noProof/>
      <w:lang w:val="en-US" w:eastAsia="zh-CN"/>
    </w:rPr>
  </w:style>
  <w:style w:type="character" w:styleId="PageNumber">
    <w:name w:val="page number"/>
    <w:basedOn w:val="DefaultParagraphFont"/>
  </w:style>
  <w:style w:type="paragraph" w:customStyle="1" w:styleId="Figuretitle">
    <w:name w:val="Figure_title"/>
    <w:basedOn w:val="Normal"/>
    <w:next w:val="Normal"/>
    <w:link w:val="FiguretitleChar"/>
    <w:rsid w:val="005C1912"/>
    <w:pPr>
      <w:keepNext/>
      <w:keepLines/>
      <w:spacing w:before="0" w:after="120"/>
      <w:jc w:val="center"/>
    </w:pPr>
    <w:rPr>
      <w:rFonts w:asciiTheme="majorBidi" w:hAnsiTheme="majorBidi" w:cstheme="majorBidi"/>
      <w:b/>
      <w:sz w:val="20"/>
    </w:rPr>
  </w:style>
  <w:style w:type="paragraph" w:customStyle="1" w:styleId="FigureNo">
    <w:name w:val="Figure_No"/>
    <w:basedOn w:val="Normal"/>
    <w:next w:val="Normal"/>
    <w:link w:val="FigureNoChar"/>
    <w:pPr>
      <w:keepNext/>
      <w:keepLines/>
      <w:spacing w:before="480" w:after="120"/>
      <w:jc w:val="center"/>
    </w:pPr>
    <w:rPr>
      <w:caps/>
      <w:sz w:val="20"/>
    </w:rPr>
  </w:style>
  <w:style w:type="paragraph" w:customStyle="1" w:styleId="AnnexNo">
    <w:name w:val="Annex_No"/>
    <w:basedOn w:val="Normal"/>
    <w:next w:val="Normal"/>
    <w:link w:val="AnnexNoChar"/>
    <w:pPr>
      <w:keepNext/>
      <w:keepLines/>
      <w:spacing w:before="480" w:after="80"/>
      <w:jc w:val="center"/>
    </w:pPr>
    <w:rPr>
      <w:caps/>
      <w:sz w:val="28"/>
    </w:rPr>
  </w:style>
  <w:style w:type="paragraph" w:customStyle="1" w:styleId="Annextitle">
    <w:name w:val="Annex_title"/>
    <w:basedOn w:val="Normal"/>
    <w:next w:val="Normal"/>
    <w:pPr>
      <w:keepNext/>
      <w:keepLines/>
      <w:spacing w:before="240" w:after="280"/>
      <w:jc w:val="center"/>
    </w:pPr>
    <w:rPr>
      <w:rFonts w:ascii="Times New Roman Bold" w:hAnsi="Times New Roman Bold"/>
      <w:b/>
      <w:sz w:val="28"/>
    </w:rPr>
  </w:style>
  <w:style w:type="paragraph" w:customStyle="1" w:styleId="AppendixNo">
    <w:name w:val="Appendix_No"/>
    <w:basedOn w:val="AnnexNo"/>
    <w:next w:val="Normal"/>
  </w:style>
  <w:style w:type="paragraph" w:styleId="NormalIndent">
    <w:name w:val="Normal Indent"/>
    <w:basedOn w:val="Normal"/>
    <w:pPr>
      <w:ind w:left="1134"/>
    </w:pPr>
  </w:style>
  <w:style w:type="paragraph" w:styleId="Index4">
    <w:name w:val="index 4"/>
    <w:basedOn w:val="Normal"/>
    <w:next w:val="Normal"/>
    <w:pPr>
      <w:ind w:left="849"/>
    </w:pPr>
  </w:style>
  <w:style w:type="paragraph" w:styleId="Index5">
    <w:name w:val="index 5"/>
    <w:basedOn w:val="Normal"/>
    <w:next w:val="Normal"/>
    <w:pPr>
      <w:ind w:left="1132"/>
    </w:pPr>
  </w:style>
  <w:style w:type="paragraph" w:styleId="Index6">
    <w:name w:val="index 6"/>
    <w:basedOn w:val="Normal"/>
    <w:next w:val="Normal"/>
    <w:pPr>
      <w:ind w:left="1415"/>
    </w:pPr>
  </w:style>
  <w:style w:type="paragraph" w:styleId="Index7">
    <w:name w:val="index 7"/>
    <w:basedOn w:val="Normal"/>
    <w:next w:val="Normal"/>
    <w:pPr>
      <w:ind w:left="1698"/>
    </w:pPr>
  </w:style>
  <w:style w:type="paragraph" w:styleId="IndexHeading">
    <w:name w:val="index heading"/>
    <w:basedOn w:val="Normal"/>
    <w:next w:val="Index1"/>
  </w:style>
  <w:style w:type="character" w:styleId="LineNumber">
    <w:name w:val="line number"/>
    <w:basedOn w:val="DefaultParagraphFont"/>
  </w:style>
  <w:style w:type="paragraph" w:customStyle="1" w:styleId="Reasons">
    <w:name w:val="Reasons"/>
    <w:basedOn w:val="Normal"/>
    <w:qFormat/>
    <w:pPr>
      <w:tabs>
        <w:tab w:val="clear" w:pos="1871"/>
        <w:tab w:val="clear" w:pos="2268"/>
        <w:tab w:val="left" w:pos="1588"/>
        <w:tab w:val="left" w:pos="1985"/>
      </w:tabs>
    </w:pPr>
  </w:style>
  <w:style w:type="paragraph" w:customStyle="1" w:styleId="TableTextS5">
    <w:name w:val="Table_TextS5"/>
    <w:basedOn w:val="Normal"/>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customStyle="1" w:styleId="FooterChar">
    <w:name w:val="Footer Char"/>
    <w:basedOn w:val="DefaultParagraphFont"/>
    <w:link w:val="Footer"/>
    <w:uiPriority w:val="99"/>
    <w:rPr>
      <w:rFonts w:ascii="Times New Roman" w:hAnsi="Times New Roman"/>
      <w:caps/>
      <w:noProof/>
      <w:sz w:val="16"/>
      <w:lang w:val="en-GB" w:eastAsia="en-US"/>
    </w:rPr>
  </w:style>
  <w:style w:type="character" w:customStyle="1" w:styleId="FootnoteTextChar">
    <w:name w:val="Footnote Text Char"/>
    <w:aliases w:val="ECC Footnote Char,footnote text Char,ALTS FOOTNOTE Char,Footnote Text Char Char1 Char,Footnote Text Char4 Char Char Char,Footnote Text Char1 Char1 Char1 Char Char,Footnote Text Char Char1 Char1 Char Char Char,DNV- Char"/>
    <w:basedOn w:val="DefaultParagraphFont"/>
    <w:link w:val="FootnoteText"/>
    <w:uiPriority w:val="99"/>
    <w:rPr>
      <w:rFonts w:ascii="Times New Roman" w:hAnsi="Times New Roman"/>
      <w:sz w:val="24"/>
      <w:lang w:val="en-GB" w:eastAsia="en-US"/>
    </w:rPr>
  </w:style>
  <w:style w:type="character" w:customStyle="1" w:styleId="HeaderChar">
    <w:name w:val="Header Char"/>
    <w:basedOn w:val="DefaultParagraphFont"/>
    <w:link w:val="Header"/>
    <w:uiPriority w:val="99"/>
    <w:rPr>
      <w:rFonts w:ascii="Times New Roman" w:hAnsi="Times New Roman"/>
      <w:sz w:val="18"/>
      <w:lang w:val="en-GB" w:eastAsia="en-US"/>
    </w:rPr>
  </w:style>
  <w:style w:type="character" w:customStyle="1" w:styleId="Heading1Char">
    <w:name w:val="Heading 1 Char"/>
    <w:basedOn w:val="DefaultParagraphFont"/>
    <w:link w:val="Heading1"/>
    <w:uiPriority w:val="9"/>
    <w:rPr>
      <w:rFonts w:ascii="Times New Roman" w:hAnsi="Times New Roman"/>
      <w:b/>
      <w:sz w:val="28"/>
      <w:lang w:val="en-GB" w:eastAsia="en-US"/>
    </w:rPr>
  </w:style>
  <w:style w:type="character" w:customStyle="1" w:styleId="Heading2Char">
    <w:name w:val="Heading 2 Char"/>
    <w:basedOn w:val="DefaultParagraphFont"/>
    <w:link w:val="Heading2"/>
    <w:uiPriority w:val="9"/>
    <w:rPr>
      <w:rFonts w:ascii="Times New Roman" w:hAnsi="Times New Roman"/>
      <w:b/>
      <w:sz w:val="24"/>
      <w:lang w:val="en-GB" w:eastAsia="en-US"/>
    </w:rPr>
  </w:style>
  <w:style w:type="paragraph" w:styleId="BalloonText">
    <w:name w:val="Balloon Text"/>
    <w:basedOn w:val="Normal"/>
    <w:link w:val="BalloonTextChar"/>
    <w:uiPriority w:val="99"/>
    <w:semiHidden/>
    <w:unhideWhenUsed/>
    <w:pPr>
      <w:spacing w:before="0"/>
    </w:pPr>
    <w:rPr>
      <w:sz w:val="18"/>
      <w:szCs w:val="18"/>
    </w:rPr>
  </w:style>
  <w:style w:type="character" w:customStyle="1" w:styleId="BalloonTextChar">
    <w:name w:val="Balloon Text Char"/>
    <w:basedOn w:val="DefaultParagraphFont"/>
    <w:link w:val="BalloonText"/>
    <w:uiPriority w:val="99"/>
    <w:semiHidden/>
    <w:rPr>
      <w:rFonts w:ascii="Times New Roman" w:hAnsi="Times New Roman"/>
      <w:sz w:val="18"/>
      <w:szCs w:val="18"/>
      <w:lang w:val="en-GB" w:eastAsia="en-US"/>
    </w:rPr>
  </w:style>
  <w:style w:type="character" w:customStyle="1" w:styleId="Heading3Char">
    <w:name w:val="Heading 3 Char"/>
    <w:basedOn w:val="DefaultParagraphFont"/>
    <w:link w:val="Heading3"/>
    <w:uiPriority w:val="9"/>
    <w:rPr>
      <w:rFonts w:ascii="Times New Roman" w:hAnsi="Times New Roman"/>
      <w:b/>
      <w:sz w:val="24"/>
      <w:lang w:val="en-GB" w:eastAsia="en-US"/>
    </w:rPr>
  </w:style>
  <w:style w:type="character" w:styleId="Hyperlink">
    <w:name w:val="Hyperlink"/>
    <w:basedOn w:val="DefaultParagraphFont"/>
    <w:uiPriority w:val="99"/>
    <w:unhideWhenUsed/>
    <w:rPr>
      <w:color w:val="0000FF" w:themeColor="hyperlink"/>
      <w:u w:val="single"/>
    </w:rPr>
  </w:style>
  <w:style w:type="character" w:customStyle="1" w:styleId="enumlev1Char">
    <w:name w:val="enumlev1 Char"/>
    <w:basedOn w:val="DefaultParagraphFont"/>
    <w:link w:val="enumlev1"/>
    <w:qFormat/>
    <w:locked/>
    <w:rPr>
      <w:rFonts w:ascii="Times New Roman" w:hAnsi="Times New Roman"/>
      <w:sz w:val="24"/>
      <w:lang w:val="en-GB" w:eastAsia="en-US"/>
    </w:rPr>
  </w:style>
  <w:style w:type="character" w:customStyle="1" w:styleId="TabletextChar">
    <w:name w:val="Table_text Char"/>
    <w:link w:val="Tabletext"/>
    <w:locked/>
    <w:rPr>
      <w:rFonts w:ascii="Times New Roman" w:hAnsi="Times New Roman"/>
      <w:lang w:val="en-GB" w:eastAsia="en-US"/>
    </w:rPr>
  </w:style>
  <w:style w:type="paragraph" w:customStyle="1" w:styleId="Tablefin">
    <w:name w:val="Table_fin"/>
    <w:basedOn w:val="Normal"/>
    <w:pPr>
      <w:spacing w:before="0"/>
      <w:textAlignment w:val="auto"/>
    </w:pPr>
    <w:rPr>
      <w:sz w:val="20"/>
      <w:lang w:eastAsia="zh-CN"/>
    </w:rPr>
  </w:style>
  <w:style w:type="character" w:customStyle="1" w:styleId="TableheadChar">
    <w:name w:val="Table_head Char"/>
    <w:basedOn w:val="DefaultParagraphFont"/>
    <w:link w:val="Tablehead"/>
    <w:locked/>
    <w:rPr>
      <w:rFonts w:ascii="Times New Roman Bold" w:hAnsi="Times New Roman Bold" w:cs="Times New Roman Bold"/>
      <w:b/>
      <w:lang w:val="en-GB" w:eastAsia="en-US"/>
    </w:rPr>
  </w:style>
  <w:style w:type="character" w:customStyle="1" w:styleId="TablelegendChar">
    <w:name w:val="Table_legend Char"/>
    <w:link w:val="Tablelegend"/>
    <w:locked/>
    <w:rsid w:val="005C1912"/>
    <w:rPr>
      <w:rFonts w:ascii="Times New Roman" w:hAnsi="Times New Roman"/>
      <w:sz w:val="18"/>
      <w:lang w:val="en-GB" w:eastAsia="en-US"/>
    </w:rPr>
  </w:style>
  <w:style w:type="character" w:customStyle="1" w:styleId="Heading4Char">
    <w:name w:val="Heading 4 Char"/>
    <w:basedOn w:val="DefaultParagraphFont"/>
    <w:link w:val="Heading4"/>
    <w:uiPriority w:val="9"/>
    <w:rPr>
      <w:rFonts w:ascii="Times New Roman" w:hAnsi="Times New Roman"/>
      <w:b/>
      <w:sz w:val="24"/>
      <w:lang w:val="en-GB" w:eastAsia="en-US"/>
    </w:rPr>
  </w:style>
  <w:style w:type="character" w:customStyle="1" w:styleId="Heading5Char">
    <w:name w:val="Heading 5 Char"/>
    <w:basedOn w:val="DefaultParagraphFont"/>
    <w:link w:val="Heading5"/>
    <w:uiPriority w:val="9"/>
    <w:rPr>
      <w:rFonts w:ascii="Times New Roman" w:hAnsi="Times New Roman"/>
      <w:b/>
      <w:sz w:val="24"/>
      <w:lang w:val="en-GB" w:eastAsia="en-US"/>
    </w:rPr>
  </w:style>
  <w:style w:type="character" w:customStyle="1" w:styleId="Heading6Char">
    <w:name w:val="Heading 6 Char"/>
    <w:basedOn w:val="DefaultParagraphFont"/>
    <w:link w:val="Heading6"/>
    <w:uiPriority w:val="9"/>
    <w:rPr>
      <w:rFonts w:ascii="Times New Roman" w:hAnsi="Times New Roman"/>
      <w:b/>
      <w:sz w:val="24"/>
      <w:lang w:val="en-GB" w:eastAsia="en-US"/>
    </w:rPr>
  </w:style>
  <w:style w:type="character" w:customStyle="1" w:styleId="Heading7Char">
    <w:name w:val="Heading 7 Char"/>
    <w:basedOn w:val="DefaultParagraphFont"/>
    <w:link w:val="Heading7"/>
    <w:uiPriority w:val="9"/>
    <w:rPr>
      <w:rFonts w:ascii="Times New Roman" w:hAnsi="Times New Roman"/>
      <w:b/>
      <w:sz w:val="24"/>
      <w:lang w:val="en-GB" w:eastAsia="en-US"/>
    </w:rPr>
  </w:style>
  <w:style w:type="character" w:customStyle="1" w:styleId="Heading8Char">
    <w:name w:val="Heading 8 Char"/>
    <w:basedOn w:val="DefaultParagraphFont"/>
    <w:link w:val="Heading8"/>
    <w:uiPriority w:val="9"/>
    <w:rPr>
      <w:rFonts w:ascii="Times New Roman" w:hAnsi="Times New Roman"/>
      <w:b/>
      <w:sz w:val="24"/>
      <w:lang w:val="en-GB" w:eastAsia="en-US"/>
    </w:rPr>
  </w:style>
  <w:style w:type="character" w:customStyle="1" w:styleId="Heading9Char">
    <w:name w:val="Heading 9 Char"/>
    <w:basedOn w:val="DefaultParagraphFont"/>
    <w:link w:val="Heading9"/>
    <w:uiPriority w:val="9"/>
    <w:rPr>
      <w:rFonts w:ascii="Times New Roman" w:hAnsi="Times New Roman"/>
      <w:b/>
      <w:sz w:val="24"/>
      <w:lang w:val="en-GB" w:eastAsia="en-US"/>
    </w:rPr>
  </w:style>
  <w:style w:type="character" w:customStyle="1" w:styleId="SourceChar">
    <w:name w:val="Source Char"/>
    <w:basedOn w:val="DefaultParagraphFont"/>
    <w:link w:val="Source"/>
    <w:locked/>
    <w:rPr>
      <w:rFonts w:ascii="Times New Roman" w:hAnsi="Times New Roman"/>
      <w:b/>
      <w:sz w:val="28"/>
      <w:lang w:val="en-GB" w:eastAsia="en-US"/>
    </w:rPr>
  </w:style>
  <w:style w:type="character" w:customStyle="1" w:styleId="Title1Char">
    <w:name w:val="Title 1 Char"/>
    <w:basedOn w:val="DefaultParagraphFont"/>
    <w:link w:val="Title1"/>
    <w:locked/>
    <w:rPr>
      <w:rFonts w:ascii="Times New Roman" w:hAnsi="Times New Roman"/>
      <w:caps/>
      <w:sz w:val="28"/>
      <w:lang w:val="en-GB" w:eastAsia="en-US"/>
    </w:rPr>
  </w:style>
  <w:style w:type="table" w:styleId="TableGrid">
    <w:name w:val="Table Grid"/>
    <w:basedOn w:val="TableNormal"/>
    <w:uiPriority w:val="39"/>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rPr>
      <w:sz w:val="22"/>
      <w:lang w:val="ru-RU"/>
    </w:rPr>
  </w:style>
  <w:style w:type="character" w:customStyle="1" w:styleId="TOC1Char">
    <w:name w:val="TOC 1 Char"/>
    <w:aliases w:val="ECC Index 1 Char"/>
    <w:basedOn w:val="DefaultParagraphFont"/>
    <w:link w:val="TOC1"/>
    <w:uiPriority w:val="39"/>
    <w:rPr>
      <w:rFonts w:ascii="Times New Roman" w:hAnsi="Times New Roman"/>
      <w:sz w:val="24"/>
      <w:lang w:val="en-GB" w:eastAsia="en-US"/>
    </w:rPr>
  </w:style>
  <w:style w:type="paragraph" w:styleId="CommentText">
    <w:name w:val="annotation text"/>
    <w:basedOn w:val="Normal"/>
    <w:link w:val="CommentTextChar"/>
    <w:uiPriority w:val="99"/>
    <w:semiHidden/>
    <w:unhideWhenUsed/>
    <w:rPr>
      <w:rFonts w:eastAsia="Times New Roman"/>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lang w:val="en-GB"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b/>
      <w:bCs/>
      <w:lang w:val="en-GB" w:eastAsia="en-US"/>
    </w:rPr>
  </w:style>
  <w:style w:type="paragraph" w:styleId="Revision">
    <w:name w:val="Revision"/>
    <w:hidden/>
    <w:uiPriority w:val="99"/>
    <w:semiHidden/>
    <w:rPr>
      <w:rFonts w:ascii="Times New Roman" w:eastAsia="Times New Roman" w:hAnsi="Times New Roman"/>
      <w:sz w:val="24"/>
      <w:lang w:val="en-GB" w:eastAsia="en-US"/>
    </w:rPr>
  </w:style>
  <w:style w:type="character" w:styleId="Strong">
    <w:name w:val="Strong"/>
    <w:basedOn w:val="DefaultParagraphFont"/>
    <w:uiPriority w:val="22"/>
    <w:qFormat/>
    <w:rPr>
      <w:b/>
      <w:bCs/>
    </w:rPr>
  </w:style>
  <w:style w:type="character" w:customStyle="1" w:styleId="SignatureChar">
    <w:name w:val="Signature Char"/>
    <w:basedOn w:val="DefaultParagraphFont"/>
    <w:link w:val="Signature"/>
    <w:uiPriority w:val="99"/>
    <w:semiHidden/>
    <w:rPr>
      <w:rFonts w:ascii="Arial" w:eastAsia="Calibri" w:hAnsi="Arial"/>
    </w:rPr>
  </w:style>
  <w:style w:type="paragraph" w:styleId="Signature">
    <w:name w:val="Signature"/>
    <w:basedOn w:val="Normal"/>
    <w:link w:val="SignatureChar"/>
    <w:uiPriority w:val="99"/>
    <w:semiHidden/>
    <w:pPr>
      <w:tabs>
        <w:tab w:val="clear" w:pos="1134"/>
        <w:tab w:val="clear" w:pos="1871"/>
        <w:tab w:val="clear" w:pos="2268"/>
      </w:tabs>
      <w:overflowPunct/>
      <w:autoSpaceDE/>
      <w:autoSpaceDN/>
      <w:adjustRightInd/>
      <w:spacing w:before="0"/>
      <w:ind w:left="4252"/>
      <w:jc w:val="both"/>
      <w:textAlignment w:val="auto"/>
    </w:pPr>
    <w:rPr>
      <w:rFonts w:ascii="Arial" w:eastAsia="Calibri" w:hAnsi="Arial"/>
      <w:sz w:val="20"/>
      <w:lang w:val="en-US" w:eastAsia="zh-CN"/>
    </w:rPr>
  </w:style>
  <w:style w:type="character" w:styleId="IntenseReference">
    <w:name w:val="Intense Reference"/>
    <w:aliases w:val="cover page 'Report No',alinea"/>
    <w:basedOn w:val="DefaultParagraphFont"/>
    <w:uiPriority w:val="32"/>
    <w:qFormat/>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20"/>
    <w:qFormat/>
    <w:rPr>
      <w:i/>
    </w:rPr>
  </w:style>
  <w:style w:type="paragraph" w:styleId="TOCHeading">
    <w:name w:val="TOC Heading"/>
    <w:basedOn w:val="Heading1"/>
    <w:next w:val="Normal"/>
    <w:uiPriority w:val="39"/>
    <w:qFormat/>
    <w:pPr>
      <w:pageBreakBefore/>
      <w:tabs>
        <w:tab w:val="clear" w:pos="1134"/>
        <w:tab w:val="clear" w:pos="1871"/>
        <w:tab w:val="clear" w:pos="2268"/>
      </w:tabs>
      <w:overflowPunct/>
      <w:autoSpaceDE/>
      <w:autoSpaceDN/>
      <w:adjustRightInd/>
      <w:spacing w:before="480"/>
      <w:ind w:left="0" w:firstLine="0"/>
      <w:jc w:val="both"/>
      <w:textAlignment w:val="auto"/>
      <w:outlineLvl w:val="9"/>
    </w:pPr>
    <w:rPr>
      <w:rFonts w:asciiTheme="majorHAnsi" w:eastAsiaTheme="majorEastAsia" w:hAnsiTheme="majorHAnsi" w:cstheme="majorBidi"/>
      <w:bCs/>
      <w:color w:val="365F91" w:themeColor="accent1" w:themeShade="BF"/>
      <w:szCs w:val="28"/>
    </w:rPr>
  </w:style>
  <w:style w:type="paragraph" w:styleId="TOC9">
    <w:name w:val="toc 9"/>
    <w:basedOn w:val="Normal"/>
    <w:next w:val="Normal"/>
    <w:autoRedefine/>
    <w:uiPriority w:val="39"/>
    <w:pPr>
      <w:tabs>
        <w:tab w:val="clear" w:pos="1134"/>
        <w:tab w:val="clear" w:pos="1871"/>
        <w:tab w:val="clear" w:pos="2268"/>
      </w:tabs>
      <w:overflowPunct/>
      <w:autoSpaceDE/>
      <w:autoSpaceDN/>
      <w:adjustRightInd/>
      <w:spacing w:before="0"/>
      <w:ind w:left="1400"/>
      <w:jc w:val="both"/>
      <w:textAlignment w:val="auto"/>
    </w:pPr>
    <w:rPr>
      <w:rFonts w:asciiTheme="minorHAnsi" w:eastAsia="Calibri" w:hAnsiTheme="minorHAnsi"/>
      <w:sz w:val="20"/>
    </w:rPr>
  </w:style>
  <w:style w:type="character" w:customStyle="1" w:styleId="BodyTextChar">
    <w:name w:val="Body Text Char"/>
    <w:basedOn w:val="DefaultParagraphFont"/>
    <w:link w:val="BodyText"/>
    <w:uiPriority w:val="99"/>
    <w:semiHidden/>
    <w:rPr>
      <w:rFonts w:ascii="Arial" w:eastAsia="Calibri" w:hAnsi="Arial"/>
    </w:rPr>
  </w:style>
  <w:style w:type="paragraph" w:styleId="BodyText">
    <w:name w:val="Body Text"/>
    <w:basedOn w:val="Normal"/>
    <w:link w:val="BodyTextChar"/>
    <w:uiPriority w:val="99"/>
    <w:semiHidden/>
    <w:pPr>
      <w:tabs>
        <w:tab w:val="clear" w:pos="1134"/>
        <w:tab w:val="clear" w:pos="1871"/>
        <w:tab w:val="clear" w:pos="2268"/>
      </w:tabs>
      <w:overflowPunct/>
      <w:autoSpaceDE/>
      <w:autoSpaceDN/>
      <w:adjustRightInd/>
      <w:spacing w:before="240" w:after="120"/>
      <w:jc w:val="both"/>
      <w:textAlignment w:val="auto"/>
    </w:pPr>
    <w:rPr>
      <w:rFonts w:ascii="Arial" w:eastAsia="Calibri" w:hAnsi="Arial"/>
      <w:sz w:val="20"/>
      <w:lang w:val="en-US" w:eastAsia="zh-CN"/>
    </w:rPr>
  </w:style>
  <w:style w:type="paragraph" w:styleId="List">
    <w:name w:val="List"/>
    <w:basedOn w:val="Normal"/>
    <w:uiPriority w:val="99"/>
    <w:pPr>
      <w:tabs>
        <w:tab w:val="clear" w:pos="1134"/>
        <w:tab w:val="clear" w:pos="1871"/>
        <w:tab w:val="clear" w:pos="2268"/>
        <w:tab w:val="left" w:pos="1418"/>
      </w:tabs>
      <w:overflowPunct/>
      <w:autoSpaceDE/>
      <w:autoSpaceDN/>
      <w:adjustRightInd/>
      <w:spacing w:before="0" w:after="120"/>
      <w:ind w:left="1418" w:hanging="567"/>
      <w:jc w:val="both"/>
      <w:textAlignment w:val="auto"/>
    </w:pPr>
    <w:rPr>
      <w:rFonts w:ascii="Arial" w:eastAsia="Times New Roman" w:hAnsi="Arial"/>
      <w:sz w:val="22"/>
      <w:lang w:val="nb-NO" w:eastAsia="de-DE"/>
    </w:rPr>
  </w:style>
  <w:style w:type="paragraph" w:styleId="DocumentMap">
    <w:name w:val="Document Map"/>
    <w:basedOn w:val="Normal"/>
    <w:link w:val="DocumentMapChar"/>
    <w:semiHidden/>
    <w:pPr>
      <w:shd w:val="clear" w:color="auto" w:fill="000080"/>
      <w:tabs>
        <w:tab w:val="clear" w:pos="1134"/>
        <w:tab w:val="clear" w:pos="1871"/>
        <w:tab w:val="clear" w:pos="2268"/>
      </w:tabs>
      <w:overflowPunct/>
      <w:autoSpaceDE/>
      <w:autoSpaceDN/>
      <w:adjustRightInd/>
      <w:spacing w:before="0" w:after="120"/>
      <w:jc w:val="both"/>
      <w:textAlignment w:val="auto"/>
    </w:pPr>
    <w:rPr>
      <w:rFonts w:ascii="Tahoma" w:eastAsia="Times New Roman" w:hAnsi="Tahoma"/>
      <w:sz w:val="22"/>
      <w:lang w:val="nb-NO" w:eastAsia="de-DE"/>
    </w:rPr>
  </w:style>
  <w:style w:type="character" w:customStyle="1" w:styleId="DocumentMapChar">
    <w:name w:val="Document Map Char"/>
    <w:basedOn w:val="DefaultParagraphFont"/>
    <w:link w:val="DocumentMap"/>
    <w:semiHidden/>
    <w:rPr>
      <w:rFonts w:ascii="Tahoma" w:eastAsia="Times New Roman" w:hAnsi="Tahoma"/>
      <w:sz w:val="22"/>
      <w:shd w:val="clear" w:color="auto" w:fill="000080"/>
      <w:lang w:val="nb-NO" w:eastAsia="de-DE"/>
    </w:rPr>
  </w:style>
  <w:style w:type="paragraph" w:styleId="TableofFigures">
    <w:name w:val="table of figures"/>
    <w:basedOn w:val="Normal"/>
    <w:next w:val="Normal"/>
    <w:uiPriority w:val="99"/>
    <w:pPr>
      <w:tabs>
        <w:tab w:val="clear" w:pos="1134"/>
        <w:tab w:val="clear" w:pos="1871"/>
        <w:tab w:val="clear" w:pos="2268"/>
      </w:tabs>
      <w:overflowPunct/>
      <w:autoSpaceDE/>
      <w:autoSpaceDN/>
      <w:adjustRightInd/>
      <w:spacing w:before="0" w:after="120"/>
      <w:ind w:left="400" w:hanging="400"/>
      <w:jc w:val="both"/>
      <w:textAlignment w:val="auto"/>
    </w:pPr>
    <w:rPr>
      <w:rFonts w:ascii="Arial" w:eastAsia="Times New Roman" w:hAnsi="Arial"/>
      <w:sz w:val="20"/>
      <w:lang w:val="de-DE" w:eastAsia="de-DE"/>
    </w:rPr>
  </w:style>
  <w:style w:type="paragraph" w:styleId="Title">
    <w:name w:val="Title"/>
    <w:basedOn w:val="Normal"/>
    <w:link w:val="TitleChar"/>
    <w:uiPriority w:val="10"/>
    <w:qFormat/>
    <w:pPr>
      <w:tabs>
        <w:tab w:val="clear" w:pos="1134"/>
        <w:tab w:val="clear" w:pos="1871"/>
        <w:tab w:val="clear" w:pos="2268"/>
      </w:tabs>
      <w:overflowPunct/>
      <w:autoSpaceDE/>
      <w:autoSpaceDN/>
      <w:adjustRightInd/>
      <w:spacing w:before="0" w:after="120"/>
      <w:jc w:val="center"/>
      <w:textAlignment w:val="auto"/>
    </w:pPr>
    <w:rPr>
      <w:rFonts w:ascii="Arial" w:eastAsia="Times New Roman" w:hAnsi="Arial"/>
      <w:b/>
      <w:sz w:val="28"/>
      <w:lang w:val="de-DE" w:eastAsia="de-DE"/>
    </w:rPr>
  </w:style>
  <w:style w:type="character" w:customStyle="1" w:styleId="TitleChar">
    <w:name w:val="Title Char"/>
    <w:basedOn w:val="DefaultParagraphFont"/>
    <w:link w:val="Title"/>
    <w:uiPriority w:val="10"/>
    <w:rPr>
      <w:rFonts w:ascii="Arial" w:eastAsia="Times New Roman" w:hAnsi="Arial"/>
      <w:b/>
      <w:sz w:val="28"/>
      <w:lang w:val="de-DE" w:eastAsia="de-DE"/>
    </w:rPr>
  </w:style>
  <w:style w:type="paragraph" w:styleId="HTMLPreformatted">
    <w:name w:val="HTML Preformatted"/>
    <w:basedOn w:val="Normal"/>
    <w:link w:val="HTMLPreformattedChar"/>
    <w:uiPriority w:val="99"/>
    <w:semiHidden/>
    <w:unhideWhenUsed/>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Times New Roman" w:hAnsi="Courier New" w:cs="Courier New"/>
      <w:sz w:val="20"/>
      <w:lang w:val="fr-FR" w:eastAsia="fr-FR"/>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lang w:val="fr-FR" w:eastAsia="fr-FR"/>
    </w:rPr>
  </w:style>
  <w:style w:type="character" w:styleId="PlaceholderText">
    <w:name w:val="Placeholder Text"/>
    <w:basedOn w:val="DefaultParagraphFont"/>
    <w:uiPriority w:val="99"/>
    <w:semiHidden/>
    <w:rPr>
      <w:color w:val="808080"/>
    </w:rPr>
  </w:style>
  <w:style w:type="character" w:customStyle="1" w:styleId="TabletitleChar">
    <w:name w:val="Table_title Char"/>
    <w:link w:val="Tabletitle"/>
    <w:locked/>
    <w:rPr>
      <w:rFonts w:ascii="Times New Roman Bold" w:hAnsi="Times New Roman Bold"/>
      <w:b/>
      <w:lang w:val="en-GB" w:eastAsia="en-US"/>
    </w:rPr>
  </w:style>
  <w:style w:type="character" w:customStyle="1" w:styleId="NoteChar">
    <w:name w:val="Note Char"/>
    <w:basedOn w:val="DefaultParagraphFont"/>
    <w:link w:val="Note"/>
    <w:locked/>
    <w:rPr>
      <w:rFonts w:ascii="Times New Roman" w:hAnsi="Times New Roman"/>
      <w:sz w:val="24"/>
      <w:lang w:val="en-GB" w:eastAsia="en-US"/>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EquationChar">
    <w:name w:val="Equation Char"/>
    <w:link w:val="Equation"/>
    <w:locked/>
    <w:rPr>
      <w:rFonts w:ascii="Times New Roman" w:hAnsi="Times New Roman"/>
      <w:sz w:val="24"/>
      <w:lang w:val="en-GB" w:eastAsia="en-US"/>
    </w:rPr>
  </w:style>
  <w:style w:type="character" w:customStyle="1" w:styleId="FigureNoChar">
    <w:name w:val="Figure_No Char"/>
    <w:link w:val="FigureNo"/>
    <w:locked/>
    <w:rPr>
      <w:rFonts w:ascii="Times New Roman" w:hAnsi="Times New Roman"/>
      <w:caps/>
      <w:lang w:val="en-GB" w:eastAsia="en-US"/>
    </w:rPr>
  </w:style>
  <w:style w:type="character" w:customStyle="1" w:styleId="AnnexNoChar">
    <w:name w:val="Annex_No Char"/>
    <w:link w:val="AnnexNo"/>
    <w:locked/>
    <w:rPr>
      <w:rFonts w:ascii="Times New Roman" w:hAnsi="Times New Roman"/>
      <w:caps/>
      <w:sz w:val="28"/>
      <w:lang w:val="en-GB" w:eastAsia="en-US"/>
    </w:rPr>
  </w:style>
  <w:style w:type="character" w:customStyle="1" w:styleId="FiguretitleChar">
    <w:name w:val="Figure_title Char"/>
    <w:link w:val="Figuretitle"/>
    <w:locked/>
    <w:rsid w:val="005C1912"/>
    <w:rPr>
      <w:rFonts w:asciiTheme="majorBidi" w:hAnsiTheme="majorBidi" w:cstheme="majorBidi"/>
      <w:b/>
      <w:lang w:val="en-GB" w:eastAsia="en-US"/>
    </w:rPr>
  </w:style>
  <w:style w:type="character" w:customStyle="1" w:styleId="EquationlegendChar">
    <w:name w:val="Equation_legend Char"/>
    <w:link w:val="Equationlegend"/>
    <w:locked/>
    <w:rPr>
      <w:rFonts w:ascii="Times New Roman" w:hAnsi="Times New Roman"/>
      <w:sz w:val="24"/>
      <w:lang w:val="en-GB" w:eastAsia="en-US"/>
    </w:rPr>
  </w:style>
  <w:style w:type="paragraph" w:styleId="Subtitle">
    <w:name w:val="Subtitle"/>
    <w:basedOn w:val="Normal"/>
    <w:next w:val="Normal"/>
    <w:link w:val="SubtitleChar"/>
    <w:uiPriority w:val="11"/>
    <w:qFormat/>
    <w:pPr>
      <w:tabs>
        <w:tab w:val="clear" w:pos="1134"/>
        <w:tab w:val="clear" w:pos="1871"/>
        <w:tab w:val="clear" w:pos="2268"/>
      </w:tabs>
      <w:overflowPunct/>
      <w:autoSpaceDE/>
      <w:autoSpaceDN/>
      <w:adjustRightInd/>
      <w:spacing w:before="0" w:after="600" w:line="276" w:lineRule="auto"/>
      <w:textAlignment w:val="auto"/>
    </w:pPr>
    <w:rPr>
      <w:rFonts w:ascii="Calibri" w:hAnsi="Calibri"/>
      <w:i/>
      <w:iCs/>
      <w:spacing w:val="13"/>
      <w:szCs w:val="24"/>
      <w:lang w:val="en-US"/>
    </w:rPr>
  </w:style>
  <w:style w:type="character" w:customStyle="1" w:styleId="SubtitleChar">
    <w:name w:val="Subtitle Char"/>
    <w:basedOn w:val="DefaultParagraphFont"/>
    <w:link w:val="Subtitle"/>
    <w:uiPriority w:val="11"/>
    <w:rPr>
      <w:rFonts w:ascii="Calibri" w:hAnsi="Calibri"/>
      <w:i/>
      <w:iCs/>
      <w:spacing w:val="13"/>
      <w:sz w:val="24"/>
      <w:szCs w:val="24"/>
      <w:lang w:eastAsia="en-US"/>
    </w:rPr>
  </w:style>
  <w:style w:type="paragraph" w:styleId="Quote">
    <w:name w:val="Quote"/>
    <w:basedOn w:val="Normal"/>
    <w:next w:val="Normal"/>
    <w:link w:val="QuoteChar"/>
    <w:uiPriority w:val="29"/>
    <w:qFormat/>
    <w:pPr>
      <w:tabs>
        <w:tab w:val="clear" w:pos="1134"/>
        <w:tab w:val="clear" w:pos="1871"/>
        <w:tab w:val="clear" w:pos="2268"/>
      </w:tabs>
      <w:overflowPunct/>
      <w:autoSpaceDE/>
      <w:autoSpaceDN/>
      <w:adjustRightInd/>
      <w:spacing w:before="200" w:line="276" w:lineRule="auto"/>
      <w:ind w:left="360" w:right="360"/>
      <w:textAlignment w:val="auto"/>
    </w:pPr>
    <w:rPr>
      <w:i/>
      <w:iCs/>
      <w:szCs w:val="22"/>
      <w:lang w:val="en-US"/>
    </w:rPr>
  </w:style>
  <w:style w:type="character" w:customStyle="1" w:styleId="QuoteChar">
    <w:name w:val="Quote Char"/>
    <w:basedOn w:val="DefaultParagraphFont"/>
    <w:link w:val="Quote"/>
    <w:uiPriority w:val="29"/>
    <w:rPr>
      <w:rFonts w:ascii="Times New Roman" w:hAnsi="Times New Roman"/>
      <w:i/>
      <w:iCs/>
      <w:sz w:val="24"/>
      <w:szCs w:val="22"/>
      <w:lang w:eastAsia="en-US"/>
    </w:rPr>
  </w:style>
  <w:style w:type="paragraph" w:styleId="IntenseQuote">
    <w:name w:val="Intense Quote"/>
    <w:basedOn w:val="Normal"/>
    <w:next w:val="Normal"/>
    <w:link w:val="IntenseQuoteChar"/>
    <w:uiPriority w:val="30"/>
    <w:qFormat/>
    <w:pPr>
      <w:pBdr>
        <w:bottom w:val="single" w:sz="4" w:space="1" w:color="auto"/>
      </w:pBdr>
      <w:tabs>
        <w:tab w:val="clear" w:pos="1134"/>
        <w:tab w:val="clear" w:pos="1871"/>
        <w:tab w:val="clear" w:pos="2268"/>
      </w:tabs>
      <w:overflowPunct/>
      <w:autoSpaceDE/>
      <w:autoSpaceDN/>
      <w:adjustRightInd/>
      <w:spacing w:before="200" w:after="280" w:line="276" w:lineRule="auto"/>
      <w:ind w:left="1008" w:right="1152"/>
      <w:jc w:val="both"/>
      <w:textAlignment w:val="auto"/>
    </w:pPr>
    <w:rPr>
      <w:b/>
      <w:bCs/>
      <w:i/>
      <w:iCs/>
      <w:szCs w:val="22"/>
      <w:lang w:val="en-US"/>
    </w:rPr>
  </w:style>
  <w:style w:type="character" w:customStyle="1" w:styleId="IntenseQuoteChar">
    <w:name w:val="Intense Quote Char"/>
    <w:basedOn w:val="DefaultParagraphFont"/>
    <w:link w:val="IntenseQuote"/>
    <w:uiPriority w:val="30"/>
    <w:rPr>
      <w:rFonts w:ascii="Times New Roman" w:hAnsi="Times New Roman"/>
      <w:b/>
      <w:bCs/>
      <w:i/>
      <w:iCs/>
      <w:sz w:val="24"/>
      <w:szCs w:val="22"/>
      <w:lang w:eastAsia="en-US"/>
    </w:rPr>
  </w:style>
  <w:style w:type="character" w:styleId="SubtleEmphasis">
    <w:name w:val="Subtle Emphasis"/>
    <w:uiPriority w:val="19"/>
    <w:qFormat/>
    <w:rPr>
      <w:i/>
      <w:iCs/>
    </w:rPr>
  </w:style>
  <w:style w:type="character" w:styleId="IntenseEmphasis">
    <w:name w:val="Intense Emphasis"/>
    <w:uiPriority w:val="21"/>
    <w:qFormat/>
    <w:rPr>
      <w:b/>
      <w:bCs/>
    </w:rPr>
  </w:style>
  <w:style w:type="character" w:styleId="SubtleReference">
    <w:name w:val="Subtle Reference"/>
    <w:uiPriority w:val="31"/>
    <w:qFormat/>
    <w:rPr>
      <w:smallCaps/>
    </w:rPr>
  </w:style>
  <w:style w:type="character" w:styleId="BookTitle">
    <w:name w:val="Book Title"/>
    <w:uiPriority w:val="33"/>
    <w:qFormat/>
    <w:rPr>
      <w:i/>
      <w:iCs/>
      <w:smallCaps/>
      <w:spacing w:val="5"/>
    </w:rPr>
  </w:style>
  <w:style w:type="paragraph" w:styleId="EndnoteText">
    <w:name w:val="endnote text"/>
    <w:basedOn w:val="Normal"/>
    <w:link w:val="EndnoteTextChar"/>
    <w:uiPriority w:val="99"/>
    <w:semiHidden/>
    <w:unhideWhenUsed/>
    <w:pPr>
      <w:tabs>
        <w:tab w:val="clear" w:pos="1134"/>
        <w:tab w:val="clear" w:pos="1871"/>
        <w:tab w:val="clear" w:pos="2268"/>
      </w:tabs>
      <w:overflowPunct/>
      <w:autoSpaceDE/>
      <w:autoSpaceDN/>
      <w:adjustRightInd/>
      <w:spacing w:before="0"/>
      <w:textAlignment w:val="auto"/>
    </w:pPr>
    <w:rPr>
      <w:sz w:val="20"/>
      <w:lang w:val="en-US"/>
    </w:rPr>
  </w:style>
  <w:style w:type="character" w:customStyle="1" w:styleId="EndnoteTextChar">
    <w:name w:val="Endnote Text Char"/>
    <w:basedOn w:val="DefaultParagraphFont"/>
    <w:link w:val="EndnoteText"/>
    <w:uiPriority w:val="99"/>
    <w:semiHidden/>
    <w:rPr>
      <w:rFonts w:ascii="Times New Roman" w:hAnsi="Times New Roman"/>
      <w:lang w:eastAsia="en-US"/>
    </w:rPr>
  </w:style>
  <w:style w:type="character" w:styleId="HTMLCite">
    <w:name w:val="HTML Cite"/>
    <w:uiPriority w:val="99"/>
    <w:semiHidden/>
    <w:unhideWhenUsed/>
    <w:rPr>
      <w:i/>
      <w:iCs/>
    </w:rPr>
  </w:style>
  <w:style w:type="paragraph" w:styleId="NormalWeb">
    <w:name w:val="Normal (Web)"/>
    <w:basedOn w:val="Normal"/>
    <w:uiPriority w:val="99"/>
    <w:semiHidden/>
    <w:unhideWhenUsed/>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545713">
      <w:bodyDiv w:val="1"/>
      <w:marLeft w:val="0"/>
      <w:marRight w:val="0"/>
      <w:marTop w:val="0"/>
      <w:marBottom w:val="0"/>
      <w:divBdr>
        <w:top w:val="none" w:sz="0" w:space="0" w:color="auto"/>
        <w:left w:val="none" w:sz="0" w:space="0" w:color="auto"/>
        <w:bottom w:val="none" w:sz="0" w:space="0" w:color="auto"/>
        <w:right w:val="none" w:sz="0" w:space="0" w:color="auto"/>
      </w:divBdr>
    </w:div>
    <w:div w:id="969630446">
      <w:bodyDiv w:val="1"/>
      <w:marLeft w:val="0"/>
      <w:marRight w:val="0"/>
      <w:marTop w:val="0"/>
      <w:marBottom w:val="0"/>
      <w:divBdr>
        <w:top w:val="none" w:sz="0" w:space="0" w:color="auto"/>
        <w:left w:val="none" w:sz="0" w:space="0" w:color="auto"/>
        <w:bottom w:val="none" w:sz="0" w:space="0" w:color="auto"/>
        <w:right w:val="none" w:sz="0" w:space="0" w:color="auto"/>
      </w:divBdr>
    </w:div>
    <w:div w:id="1338922389">
      <w:bodyDiv w:val="1"/>
      <w:marLeft w:val="0"/>
      <w:marRight w:val="0"/>
      <w:marTop w:val="0"/>
      <w:marBottom w:val="0"/>
      <w:divBdr>
        <w:top w:val="none" w:sz="0" w:space="0" w:color="auto"/>
        <w:left w:val="none" w:sz="0" w:space="0" w:color="auto"/>
        <w:bottom w:val="none" w:sz="0" w:space="0" w:color="auto"/>
        <w:right w:val="none" w:sz="0" w:space="0" w:color="auto"/>
      </w:divBdr>
    </w:div>
    <w:div w:id="1644892085">
      <w:bodyDiv w:val="1"/>
      <w:marLeft w:val="0"/>
      <w:marRight w:val="0"/>
      <w:marTop w:val="0"/>
      <w:marBottom w:val="0"/>
      <w:divBdr>
        <w:top w:val="none" w:sz="0" w:space="0" w:color="auto"/>
        <w:left w:val="none" w:sz="0" w:space="0" w:color="auto"/>
        <w:bottom w:val="none" w:sz="0" w:space="0" w:color="auto"/>
        <w:right w:val="none" w:sz="0" w:space="0" w:color="auto"/>
      </w:divBdr>
    </w:div>
    <w:div w:id="207188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bin"/><Relationship Id="rId21" Type="http://schemas.openxmlformats.org/officeDocument/2006/relationships/hyperlink" Target="https://www.itu.int/md/R15-WP5A-C-0404/en" TargetMode="External"/><Relationship Id="rId42" Type="http://schemas.openxmlformats.org/officeDocument/2006/relationships/hyperlink" Target="https://www.itu.int/md/R15-SG03-C-0052/en" TargetMode="External"/><Relationship Id="rId63" Type="http://schemas.openxmlformats.org/officeDocument/2006/relationships/hyperlink" Target="https://www.itu.int/md/R15-WP5A-C-0553/en" TargetMode="External"/><Relationship Id="rId84" Type="http://schemas.openxmlformats.org/officeDocument/2006/relationships/image" Target="media/image34.png"/><Relationship Id="rId138" Type="http://schemas.openxmlformats.org/officeDocument/2006/relationships/hyperlink" Target="http://appsso.eurostat.ec.europa.eu/nui/show.do?dataset=lfst_hhnhtych&amp;lang=en" TargetMode="External"/><Relationship Id="rId107" Type="http://schemas.openxmlformats.org/officeDocument/2006/relationships/hyperlink" Target="http://www.cept.org/Documents/se-24/25805/SE24(15)089R0_WI52_Further-considerations-on-WLAN-indoor-coverage" TargetMode="External"/><Relationship Id="rId11" Type="http://schemas.openxmlformats.org/officeDocument/2006/relationships/image" Target="media/image1.emf"/><Relationship Id="rId32" Type="http://schemas.openxmlformats.org/officeDocument/2006/relationships/image" Target="media/image5.png"/><Relationship Id="rId53" Type="http://schemas.openxmlformats.org/officeDocument/2006/relationships/image" Target="media/image16.jpeg"/><Relationship Id="rId74" Type="http://schemas.openxmlformats.org/officeDocument/2006/relationships/hyperlink" Target="https://www.itu.int/md/R15-WP5A-C-0574/en" TargetMode="External"/><Relationship Id="rId128" Type="http://schemas.openxmlformats.org/officeDocument/2006/relationships/image" Target="media/image58.wmf"/><Relationship Id="rId149" Type="http://schemas.openxmlformats.org/officeDocument/2006/relationships/theme" Target="theme/theme1.xml"/><Relationship Id="rId5" Type="http://schemas.openxmlformats.org/officeDocument/2006/relationships/numbering" Target="numbering.xml"/><Relationship Id="rId95" Type="http://schemas.openxmlformats.org/officeDocument/2006/relationships/image" Target="media/image41.png"/><Relationship Id="rId22" Type="http://schemas.openxmlformats.org/officeDocument/2006/relationships/hyperlink" Target="https://www.itu.int/md/R15-WP5A-C-0081/en" TargetMode="External"/><Relationship Id="rId27" Type="http://schemas.openxmlformats.org/officeDocument/2006/relationships/hyperlink" Target="https://www.itu.int/md/R15-WP5A-C-0534/en" TargetMode="External"/><Relationship Id="rId43" Type="http://schemas.openxmlformats.org/officeDocument/2006/relationships/image" Target="media/image8.emf"/><Relationship Id="rId48" Type="http://schemas.openxmlformats.org/officeDocument/2006/relationships/image" Target="media/image12.jpeg"/><Relationship Id="rId64" Type="http://schemas.openxmlformats.org/officeDocument/2006/relationships/hyperlink" Target="http://www.transfinite.com" TargetMode="External"/><Relationship Id="rId69" Type="http://schemas.openxmlformats.org/officeDocument/2006/relationships/image" Target="media/image25.emf"/><Relationship Id="rId113" Type="http://schemas.openxmlformats.org/officeDocument/2006/relationships/oleObject" Target="embeddings/oleObject4.bin"/><Relationship Id="rId118" Type="http://schemas.openxmlformats.org/officeDocument/2006/relationships/image" Target="media/image53.wmf"/><Relationship Id="rId134" Type="http://schemas.openxmlformats.org/officeDocument/2006/relationships/header" Target="header1.xml"/><Relationship Id="rId139" Type="http://schemas.openxmlformats.org/officeDocument/2006/relationships/hyperlink" Target="https://www.ssb.no/en/befolkning/statistikker/familie/aar/2014-12-12" TargetMode="External"/><Relationship Id="rId80" Type="http://schemas.openxmlformats.org/officeDocument/2006/relationships/oleObject" Target="embeddings/oleObject1.bin"/><Relationship Id="rId85" Type="http://schemas.openxmlformats.org/officeDocument/2006/relationships/hyperlink" Target="https://www.itu.int/md/R15-WP5A-C-0586/en" TargetMode="External"/><Relationship Id="rId12" Type="http://schemas.openxmlformats.org/officeDocument/2006/relationships/image" Target="media/image2.emf"/><Relationship Id="rId17" Type="http://schemas.openxmlformats.org/officeDocument/2006/relationships/hyperlink" Target="https://www.itu.int/md/R15-WP5A-C-0395/en" TargetMode="External"/><Relationship Id="rId33" Type="http://schemas.openxmlformats.org/officeDocument/2006/relationships/hyperlink" Target="https://www.itu.int/md/R15-WP5A-C-0469/en" TargetMode="External"/><Relationship Id="rId38" Type="http://schemas.openxmlformats.org/officeDocument/2006/relationships/image" Target="media/image7.emf"/><Relationship Id="rId59" Type="http://schemas.openxmlformats.org/officeDocument/2006/relationships/image" Target="media/image22.png"/><Relationship Id="rId103" Type="http://schemas.openxmlformats.org/officeDocument/2006/relationships/image" Target="media/image46.emf"/><Relationship Id="rId108" Type="http://schemas.openxmlformats.org/officeDocument/2006/relationships/hyperlink" Target="http://dx.doi.org/10.7927/H4XK8CG2" TargetMode="External"/><Relationship Id="rId124" Type="http://schemas.openxmlformats.org/officeDocument/2006/relationships/image" Target="media/image56.wmf"/><Relationship Id="rId129" Type="http://schemas.openxmlformats.org/officeDocument/2006/relationships/oleObject" Target="embeddings/oleObject12.bin"/><Relationship Id="rId54" Type="http://schemas.openxmlformats.org/officeDocument/2006/relationships/image" Target="media/image17.jpeg"/><Relationship Id="rId70" Type="http://schemas.openxmlformats.org/officeDocument/2006/relationships/package" Target="embeddings/Microsoft_Excel_Worksheet2.xlsx"/><Relationship Id="rId75" Type="http://schemas.openxmlformats.org/officeDocument/2006/relationships/image" Target="media/image28.png"/><Relationship Id="rId91" Type="http://schemas.openxmlformats.org/officeDocument/2006/relationships/image" Target="media/image38.png"/><Relationship Id="rId96" Type="http://schemas.openxmlformats.org/officeDocument/2006/relationships/hyperlink" Target="https://www.itu.int/md/meetingdoc.asp?lang=en&amp;parent=R15-WP5A-C-0395" TargetMode="External"/><Relationship Id="rId140" Type="http://schemas.openxmlformats.org/officeDocument/2006/relationships/hyperlink" Target="http://www.bfs.admin.ch/" TargetMode="External"/><Relationship Id="rId145" Type="http://schemas.openxmlformats.org/officeDocument/2006/relationships/hyperlink" Target="http://www.cept.org/Documents/se-24/24051/SE24(15)042R0_WI52_JRC_5GHZ_RLAN-_measurement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itu.int/md/R15-WP5A-C-0381/en" TargetMode="External"/><Relationship Id="rId28" Type="http://schemas.openxmlformats.org/officeDocument/2006/relationships/hyperlink" Target="https://www.itu.int/md/R15-WP5A-C-0469/en" TargetMode="External"/><Relationship Id="rId49" Type="http://schemas.openxmlformats.org/officeDocument/2006/relationships/image" Target="media/image13.jpeg"/><Relationship Id="rId114" Type="http://schemas.openxmlformats.org/officeDocument/2006/relationships/image" Target="media/image51.wmf"/><Relationship Id="rId119" Type="http://schemas.openxmlformats.org/officeDocument/2006/relationships/oleObject" Target="embeddings/oleObject7.bin"/><Relationship Id="rId44" Type="http://schemas.openxmlformats.org/officeDocument/2006/relationships/hyperlink" Target="https://www.itu.int/md/R15-WP5A-C-0114/en" TargetMode="External"/><Relationship Id="rId60" Type="http://schemas.openxmlformats.org/officeDocument/2006/relationships/hyperlink" Target="https://www.itu.int/md/R15-WP5A-C-0554/en" TargetMode="External"/><Relationship Id="rId65" Type="http://schemas.openxmlformats.org/officeDocument/2006/relationships/chart" Target="charts/chart2.xml"/><Relationship Id="rId81" Type="http://schemas.openxmlformats.org/officeDocument/2006/relationships/image" Target="media/image32.wmf"/><Relationship Id="rId86" Type="http://schemas.openxmlformats.org/officeDocument/2006/relationships/image" Target="media/image35.png"/><Relationship Id="rId130" Type="http://schemas.openxmlformats.org/officeDocument/2006/relationships/hyperlink" Target="https://www.itu.int/md/R15-WP5A-C-0586/en" TargetMode="External"/><Relationship Id="rId135" Type="http://schemas.openxmlformats.org/officeDocument/2006/relationships/footer" Target="footer1.xml"/><Relationship Id="rId13" Type="http://schemas.openxmlformats.org/officeDocument/2006/relationships/package" Target="embeddings/Microsoft_Word_Document1.docx"/><Relationship Id="rId18" Type="http://schemas.openxmlformats.org/officeDocument/2006/relationships/chart" Target="charts/chart1.xml"/><Relationship Id="rId39" Type="http://schemas.openxmlformats.org/officeDocument/2006/relationships/hyperlink" Target="https://www.itu.int/md/R15-WP5A-C-0337/en" TargetMode="External"/><Relationship Id="rId109" Type="http://schemas.openxmlformats.org/officeDocument/2006/relationships/hyperlink" Target="https://www.itu.int/md/R15-WP5A-C-0397/en" TargetMode="External"/><Relationship Id="rId34" Type="http://schemas.openxmlformats.org/officeDocument/2006/relationships/image" Target="media/image6.emf"/><Relationship Id="rId50" Type="http://schemas.openxmlformats.org/officeDocument/2006/relationships/image" Target="media/image14.jpeg"/><Relationship Id="rId55" Type="http://schemas.openxmlformats.org/officeDocument/2006/relationships/image" Target="media/image18.jpeg"/><Relationship Id="rId76" Type="http://schemas.openxmlformats.org/officeDocument/2006/relationships/image" Target="media/image29.png"/><Relationship Id="rId97" Type="http://schemas.openxmlformats.org/officeDocument/2006/relationships/image" Target="media/image42.png"/><Relationship Id="rId104" Type="http://schemas.openxmlformats.org/officeDocument/2006/relationships/image" Target="media/image47.emf"/><Relationship Id="rId120" Type="http://schemas.openxmlformats.org/officeDocument/2006/relationships/image" Target="media/image54.wmf"/><Relationship Id="rId125" Type="http://schemas.openxmlformats.org/officeDocument/2006/relationships/oleObject" Target="embeddings/oleObject10.bin"/><Relationship Id="rId141" Type="http://schemas.openxmlformats.org/officeDocument/2006/relationships/hyperlink" Target="http://appsso.eurostat.ec.europa.eu/nui/show.do?dataset=bd_9ac_l_form_r2&amp;lang=en" TargetMode="External"/><Relationship Id="rId14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chart" Target="charts/chart4.xml"/><Relationship Id="rId92" Type="http://schemas.openxmlformats.org/officeDocument/2006/relationships/image" Target="media/image39.png"/><Relationship Id="rId2" Type="http://schemas.openxmlformats.org/officeDocument/2006/relationships/customXml" Target="../customXml/item2.xml"/><Relationship Id="rId29" Type="http://schemas.openxmlformats.org/officeDocument/2006/relationships/image" Target="media/image3.png"/><Relationship Id="rId24" Type="http://schemas.openxmlformats.org/officeDocument/2006/relationships/hyperlink" Target="https://www.itu.int/md/R15-WP5A-C-0404/en" TargetMode="External"/><Relationship Id="rId40" Type="http://schemas.openxmlformats.org/officeDocument/2006/relationships/hyperlink" Target="https://www.itu.int/md/R15-SG03-C-0057/en" TargetMode="External"/><Relationship Id="rId45" Type="http://schemas.openxmlformats.org/officeDocument/2006/relationships/image" Target="media/image9.emf"/><Relationship Id="rId66" Type="http://schemas.openxmlformats.org/officeDocument/2006/relationships/image" Target="media/image24.emf"/><Relationship Id="rId87" Type="http://schemas.openxmlformats.org/officeDocument/2006/relationships/hyperlink" Target="https://www.itu.int/md/R15-WP5A-C-0616/en" TargetMode="External"/><Relationship Id="rId110" Type="http://schemas.openxmlformats.org/officeDocument/2006/relationships/image" Target="media/image49.emf"/><Relationship Id="rId115" Type="http://schemas.openxmlformats.org/officeDocument/2006/relationships/oleObject" Target="embeddings/oleObject5.bin"/><Relationship Id="rId131" Type="http://schemas.openxmlformats.org/officeDocument/2006/relationships/image" Target="media/image59.png"/><Relationship Id="rId136" Type="http://schemas.openxmlformats.org/officeDocument/2006/relationships/footer" Target="footer2.xml"/><Relationship Id="rId61" Type="http://schemas.openxmlformats.org/officeDocument/2006/relationships/hyperlink" Target="https://www.itu.int/md/R15-WP5A-C-0550/en" TargetMode="External"/><Relationship Id="rId82" Type="http://schemas.openxmlformats.org/officeDocument/2006/relationships/oleObject" Target="embeddings/oleObject2.bin"/><Relationship Id="rId19" Type="http://schemas.openxmlformats.org/officeDocument/2006/relationships/hyperlink" Target="https://www.itu.int/md/R15-WP5A-C-0397/en" TargetMode="External"/><Relationship Id="rId14" Type="http://schemas.openxmlformats.org/officeDocument/2006/relationships/hyperlink" Target="https://www.itu.int/md/R15-WP5A-C-0196/en" TargetMode="External"/><Relationship Id="rId30" Type="http://schemas.openxmlformats.org/officeDocument/2006/relationships/hyperlink" Target="https://www.itu.int/md/R15-WP5A-C-0395/en" TargetMode="External"/><Relationship Id="rId35" Type="http://schemas.openxmlformats.org/officeDocument/2006/relationships/hyperlink" Target="https://www.itu.int/md/R15-WP5A-C-0246/en" TargetMode="External"/><Relationship Id="rId56" Type="http://schemas.openxmlformats.org/officeDocument/2006/relationships/image" Target="media/image19.jpeg"/><Relationship Id="rId77" Type="http://schemas.openxmlformats.org/officeDocument/2006/relationships/image" Target="media/image30.jpeg"/><Relationship Id="rId100" Type="http://schemas.openxmlformats.org/officeDocument/2006/relationships/hyperlink" Target="https://www.itu.int/md/meetingdoc.asp?lang=en&amp;parent=R15-TG5.1-C-0104" TargetMode="External"/><Relationship Id="rId105" Type="http://schemas.openxmlformats.org/officeDocument/2006/relationships/image" Target="media/image48.emf"/><Relationship Id="rId126" Type="http://schemas.openxmlformats.org/officeDocument/2006/relationships/image" Target="media/image57.wmf"/><Relationship Id="rId14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itu.int/md/R15-WP5A-C-0420/en" TargetMode="External"/><Relationship Id="rId72" Type="http://schemas.openxmlformats.org/officeDocument/2006/relationships/image" Target="media/image26.emf"/><Relationship Id="rId93" Type="http://schemas.openxmlformats.org/officeDocument/2006/relationships/hyperlink" Target="http://sedac.ciesin.columbia.edu/data/set/gpw-v3-population-density" TargetMode="External"/><Relationship Id="rId98" Type="http://schemas.openxmlformats.org/officeDocument/2006/relationships/hyperlink" Target="https://www.itu.int/md/meetingdoc.asp?lang=en&amp;parent=R15-WP5A-C-0395" TargetMode="External"/><Relationship Id="rId121" Type="http://schemas.openxmlformats.org/officeDocument/2006/relationships/oleObject" Target="embeddings/oleObject8.bin"/><Relationship Id="rId142" Type="http://schemas.openxmlformats.org/officeDocument/2006/relationships/hyperlink" Target="http://www.3gpp.org/DynaReport/36889.htm" TargetMode="External"/><Relationship Id="rId3" Type="http://schemas.openxmlformats.org/officeDocument/2006/relationships/customXml" Target="../customXml/item3.xml"/><Relationship Id="rId25" Type="http://schemas.openxmlformats.org/officeDocument/2006/relationships/hyperlink" Target="https://www.itu.int/md/R15-WP5A-C-0210/en" TargetMode="External"/><Relationship Id="rId46" Type="http://schemas.openxmlformats.org/officeDocument/2006/relationships/image" Target="media/image10.emf"/><Relationship Id="rId67" Type="http://schemas.openxmlformats.org/officeDocument/2006/relationships/hyperlink" Target="http://www.worldometers.info/population/countries-in-europe-by-population" TargetMode="External"/><Relationship Id="rId116" Type="http://schemas.openxmlformats.org/officeDocument/2006/relationships/image" Target="media/image52.wmf"/><Relationship Id="rId137" Type="http://schemas.openxmlformats.org/officeDocument/2006/relationships/hyperlink" Target="http://www.statistiques-mondiales.com/union_europeenne.htm" TargetMode="External"/><Relationship Id="rId20" Type="http://schemas.openxmlformats.org/officeDocument/2006/relationships/hyperlink" Target="https://www.itu.int/md/R15-WP5A-C-0380/en" TargetMode="External"/><Relationship Id="rId41" Type="http://schemas.openxmlformats.org/officeDocument/2006/relationships/hyperlink" Target="https://www.itu.int/md/R15-SG03-C-0051/en" TargetMode="External"/><Relationship Id="rId62" Type="http://schemas.openxmlformats.org/officeDocument/2006/relationships/image" Target="media/image23.png"/><Relationship Id="rId83" Type="http://schemas.openxmlformats.org/officeDocument/2006/relationships/image" Target="media/image33.png"/><Relationship Id="rId88" Type="http://schemas.openxmlformats.org/officeDocument/2006/relationships/image" Target="media/image36.png"/><Relationship Id="rId111" Type="http://schemas.openxmlformats.org/officeDocument/2006/relationships/oleObject" Target="embeddings/Microsoft_Visio_2003-2010_Drawing1111.vsd"/><Relationship Id="rId132" Type="http://schemas.openxmlformats.org/officeDocument/2006/relationships/hyperlink" Target="https://www.itu.int/md/R15-WP5A-C-0381/en" TargetMode="External"/><Relationship Id="rId15" Type="http://schemas.openxmlformats.org/officeDocument/2006/relationships/hyperlink" Target="https://www.itu.int/md/R15-WP5A-C-0246/en" TargetMode="External"/><Relationship Id="rId36" Type="http://schemas.openxmlformats.org/officeDocument/2006/relationships/hyperlink" Target="https://www.itu.int/md/R15-WP5A-C-0469/en" TargetMode="External"/><Relationship Id="rId57" Type="http://schemas.openxmlformats.org/officeDocument/2006/relationships/image" Target="media/image20.jpeg"/><Relationship Id="rId106" Type="http://schemas.openxmlformats.org/officeDocument/2006/relationships/hyperlink" Target="http://www.cept.org/Documents/se-24/25709/SE24(15)070R0_WI52_number-of-RLAN-JRC" TargetMode="External"/><Relationship Id="rId127" Type="http://schemas.openxmlformats.org/officeDocument/2006/relationships/oleObject" Target="embeddings/oleObject11.bin"/><Relationship Id="rId10" Type="http://schemas.openxmlformats.org/officeDocument/2006/relationships/endnotes" Target="endnotes.xml"/><Relationship Id="rId31" Type="http://schemas.openxmlformats.org/officeDocument/2006/relationships/image" Target="media/image4.jpeg"/><Relationship Id="rId52" Type="http://schemas.openxmlformats.org/officeDocument/2006/relationships/image" Target="media/image15.jpeg"/><Relationship Id="rId73" Type="http://schemas.openxmlformats.org/officeDocument/2006/relationships/image" Target="media/image27.png"/><Relationship Id="rId78" Type="http://schemas.openxmlformats.org/officeDocument/2006/relationships/hyperlink" Target="http://www.worldometers.info/world-population/south-eastern-asia-population" TargetMode="External"/><Relationship Id="rId94" Type="http://schemas.openxmlformats.org/officeDocument/2006/relationships/image" Target="media/image40.png"/><Relationship Id="rId99" Type="http://schemas.openxmlformats.org/officeDocument/2006/relationships/image" Target="media/image43.emf"/><Relationship Id="rId101" Type="http://schemas.openxmlformats.org/officeDocument/2006/relationships/image" Target="media/image44.png"/><Relationship Id="rId122" Type="http://schemas.openxmlformats.org/officeDocument/2006/relationships/image" Target="media/image55.wmf"/><Relationship Id="rId143" Type="http://schemas.openxmlformats.org/officeDocument/2006/relationships/hyperlink" Target="http://www.cept.org/Documents/se-24/25709/SE24(15)070R0_WI52_number-of-RLAN-JRC" TargetMode="External"/><Relationship Id="rId14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itu.int/md/R15-WP5A-C-0210/en" TargetMode="External"/><Relationship Id="rId47" Type="http://schemas.openxmlformats.org/officeDocument/2006/relationships/image" Target="media/image11.jpeg"/><Relationship Id="rId68" Type="http://schemas.openxmlformats.org/officeDocument/2006/relationships/chart" Target="charts/chart3.xml"/><Relationship Id="rId89" Type="http://schemas.openxmlformats.org/officeDocument/2006/relationships/image" Target="media/image37.wmf"/><Relationship Id="rId112" Type="http://schemas.openxmlformats.org/officeDocument/2006/relationships/image" Target="media/image50.wmf"/><Relationship Id="rId133" Type="http://schemas.openxmlformats.org/officeDocument/2006/relationships/hyperlink" Target="https://www.itu.int/md/R15-WP5A-C-0397/en" TargetMode="External"/><Relationship Id="rId16" Type="http://schemas.openxmlformats.org/officeDocument/2006/relationships/hyperlink" Target="https://www.itu.int/md/R15-WP5A-C-0096/en" TargetMode="External"/><Relationship Id="rId37" Type="http://schemas.openxmlformats.org/officeDocument/2006/relationships/hyperlink" Target="https://www.itu.int/md/R15-WP5A-C-0114/en" TargetMode="External"/><Relationship Id="rId58" Type="http://schemas.openxmlformats.org/officeDocument/2006/relationships/image" Target="media/image21.png"/><Relationship Id="rId79" Type="http://schemas.openxmlformats.org/officeDocument/2006/relationships/image" Target="media/image31.wmf"/><Relationship Id="rId102" Type="http://schemas.openxmlformats.org/officeDocument/2006/relationships/image" Target="media/image45.emf"/><Relationship Id="rId123" Type="http://schemas.openxmlformats.org/officeDocument/2006/relationships/oleObject" Target="embeddings/oleObject9.bin"/><Relationship Id="rId144" Type="http://schemas.openxmlformats.org/officeDocument/2006/relationships/hyperlink" Target="http://www.cept.org/Documents/se-24/25805/SE24(15)089R0_WI52_Further-considerations-on-WLAN-indoor-coverage" TargetMode="External"/><Relationship Id="rId90" Type="http://schemas.openxmlformats.org/officeDocument/2006/relationships/oleObject" Target="embeddings/oleObject3.bin"/></Relationships>
</file>

<file path=word/_rels/footnotes.xml.rels><?xml version="1.0" encoding="UTF-8" standalone="yes"?>
<Relationships xmlns="http://schemas.openxmlformats.org/package/2006/relationships"><Relationship Id="rId8" Type="http://schemas.openxmlformats.org/officeDocument/2006/relationships/hyperlink" Target="http://www.ruckuswireless.com" TargetMode="External"/><Relationship Id="rId3" Type="http://schemas.openxmlformats.org/officeDocument/2006/relationships/hyperlink" Target="https://www.statista.com/topics/2237/internet-usage-in-the-united-states/" TargetMode="External"/><Relationship Id="rId7" Type="http://schemas.openxmlformats.org/officeDocument/2006/relationships/hyperlink" Target="https://www.efe.com/efe/english/life/mexican-households-have-an-average-of-3-8-members-843-in-monthly-income/50000263-2666718" TargetMode="External"/><Relationship Id="rId2" Type="http://schemas.openxmlformats.org/officeDocument/2006/relationships/hyperlink" Target="http://web.ornl.gov/sci/landscan/landscan_documentation.shtml" TargetMode="External"/><Relationship Id="rId1" Type="http://schemas.openxmlformats.org/officeDocument/2006/relationships/hyperlink" Target="https://celestrak.com/satcat/search.asp" TargetMode="External"/><Relationship Id="rId6" Type="http://schemas.openxmlformats.org/officeDocument/2006/relationships/hyperlink" Target="https://www.statista.com/statistics/183648/average-size-of-households-in-the-us/" TargetMode="External"/><Relationship Id="rId5" Type="http://schemas.openxmlformats.org/officeDocument/2006/relationships/hyperlink" Target="http://www12.statcan.gc.ca/census-recensement/2016/dp-pd/prof/details/Page.cfm?Lang=E&amp;Geo1=PR&amp;Code1=35&amp;Geo2=&amp;Code2=&amp;Data=Count&amp;SearchText=Ontario&amp;SearchType=Begins&amp;SearchPR=01&amp;B1=All&amp;GeoLevel=PR&amp;GeoCode=35" TargetMode="External"/><Relationship Id="rId4" Type="http://schemas.openxmlformats.org/officeDocument/2006/relationships/hyperlink" Target="http://www.worldometers.info/world-population/population-by-countr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110.do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DWeinreich\Documents\My%20Documents\My%20Documents\GStarAppEng\C_band_Rx_Antena%20Only_DEW.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Weinreich\Documents\My%20Documents\My%20Documents\Visualyse_5\5GHz2016\Copy%20of%20CluttLoss%20rev%20jap%20v4_DEW.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Weinreich\Documents\My%20Documents\My%20Documents\Visualyse_5\5GHz2016\APAn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Weinreich\Documents\My%20Documents\My%20Documents\GStarAppEng\C_band_Rx_Antena%20Only_DEW.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009988901220862E-2"/>
          <c:y val="0.15660685154975529"/>
          <c:w val="0.77136514983351834"/>
          <c:h val="0.73735725938009788"/>
        </c:manualLayout>
      </c:layout>
      <c:scatterChart>
        <c:scatterStyle val="smoothMarker"/>
        <c:varyColors val="0"/>
        <c:ser>
          <c:idx val="0"/>
          <c:order val="0"/>
          <c:tx>
            <c:strRef>
              <c:f>Rx_f5090!$L$2</c:f>
              <c:strCache>
                <c:ptCount val="1"/>
                <c:pt idx="0">
                  <c:v>Gain (dBi)</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xVal>
            <c:numRef>
              <c:f>Rx_f5090!$A$93:$A$183</c:f>
              <c:numCache>
                <c:formatCode>General</c:formatCode>
                <c:ptCount val="9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numCache>
            </c:numRef>
          </c:xVal>
          <c:yVal>
            <c:numRef>
              <c:f>Rx_f5090!$L$93:$L$183</c:f>
              <c:numCache>
                <c:formatCode>0.00</c:formatCode>
                <c:ptCount val="91"/>
                <c:pt idx="0">
                  <c:v>2.37</c:v>
                </c:pt>
                <c:pt idx="1">
                  <c:v>2.4016000000000002</c:v>
                </c:pt>
                <c:pt idx="2">
                  <c:v>2.4964</c:v>
                </c:pt>
                <c:pt idx="3">
                  <c:v>2.6544000000000003</c:v>
                </c:pt>
                <c:pt idx="4">
                  <c:v>2.8756000000000004</c:v>
                </c:pt>
                <c:pt idx="5">
                  <c:v>3.16</c:v>
                </c:pt>
                <c:pt idx="6">
                  <c:v>3.5076000000000001</c:v>
                </c:pt>
                <c:pt idx="7">
                  <c:v>3.9184000000000001</c:v>
                </c:pt>
                <c:pt idx="8">
                  <c:v>4.3924000000000003</c:v>
                </c:pt>
                <c:pt idx="9">
                  <c:v>4.8079999999999998</c:v>
                </c:pt>
                <c:pt idx="10">
                  <c:v>5.2279999999999998</c:v>
                </c:pt>
                <c:pt idx="11">
                  <c:v>5.5919999999999996</c:v>
                </c:pt>
                <c:pt idx="12">
                  <c:v>5.8999999999999995</c:v>
                </c:pt>
                <c:pt idx="13">
                  <c:v>6.1519999999999992</c:v>
                </c:pt>
                <c:pt idx="14">
                  <c:v>6.3479999999999999</c:v>
                </c:pt>
                <c:pt idx="15">
                  <c:v>6.4879999999999995</c:v>
                </c:pt>
                <c:pt idx="16">
                  <c:v>6.5720000000000001</c:v>
                </c:pt>
                <c:pt idx="17">
                  <c:v>6.6</c:v>
                </c:pt>
                <c:pt idx="18">
                  <c:v>6.5720000000000001</c:v>
                </c:pt>
                <c:pt idx="19">
                  <c:v>6.4879999999999995</c:v>
                </c:pt>
                <c:pt idx="20">
                  <c:v>6.3479999999999999</c:v>
                </c:pt>
                <c:pt idx="21">
                  <c:v>6.1519999999999992</c:v>
                </c:pt>
                <c:pt idx="22">
                  <c:v>5.8999999999999995</c:v>
                </c:pt>
                <c:pt idx="23">
                  <c:v>5.5919999999999996</c:v>
                </c:pt>
                <c:pt idx="24">
                  <c:v>5.2279999999999998</c:v>
                </c:pt>
                <c:pt idx="25">
                  <c:v>4.8079999999999998</c:v>
                </c:pt>
                <c:pt idx="26">
                  <c:v>4.331999999999999</c:v>
                </c:pt>
                <c:pt idx="27">
                  <c:v>3.7999999999999994</c:v>
                </c:pt>
                <c:pt idx="28">
                  <c:v>3.2119999999999997</c:v>
                </c:pt>
                <c:pt idx="29">
                  <c:v>2.5679999999999996</c:v>
                </c:pt>
                <c:pt idx="30">
                  <c:v>1.8679999999999994</c:v>
                </c:pt>
                <c:pt idx="31">
                  <c:v>1.1119999999999992</c:v>
                </c:pt>
                <c:pt idx="32">
                  <c:v>0.29999999999999982</c:v>
                </c:pt>
                <c:pt idx="33">
                  <c:v>-0.62799999999999656</c:v>
                </c:pt>
                <c:pt idx="34">
                  <c:v>-1.4639999999999986</c:v>
                </c:pt>
                <c:pt idx="35">
                  <c:v>-2.2999999999999972</c:v>
                </c:pt>
                <c:pt idx="36">
                  <c:v>-3.1359999999999992</c:v>
                </c:pt>
                <c:pt idx="37">
                  <c:v>-3.9719999999999978</c:v>
                </c:pt>
                <c:pt idx="38">
                  <c:v>-4.8079999999999963</c:v>
                </c:pt>
                <c:pt idx="39">
                  <c:v>-5.6439999999999984</c:v>
                </c:pt>
                <c:pt idx="40">
                  <c:v>-6.4799999999999969</c:v>
                </c:pt>
                <c:pt idx="41">
                  <c:v>-7.3159999999999954</c:v>
                </c:pt>
                <c:pt idx="42">
                  <c:v>-8.152000000000001</c:v>
                </c:pt>
                <c:pt idx="43">
                  <c:v>-8.9879999999999995</c:v>
                </c:pt>
                <c:pt idx="44">
                  <c:v>-9.8239999999999981</c:v>
                </c:pt>
                <c:pt idx="45">
                  <c:v>-10.659999999999997</c:v>
                </c:pt>
                <c:pt idx="46">
                  <c:v>-11</c:v>
                </c:pt>
                <c:pt idx="47">
                  <c:v>-11</c:v>
                </c:pt>
                <c:pt idx="48">
                  <c:v>-11</c:v>
                </c:pt>
                <c:pt idx="49">
                  <c:v>-11</c:v>
                </c:pt>
                <c:pt idx="50">
                  <c:v>-11</c:v>
                </c:pt>
                <c:pt idx="51">
                  <c:v>-11</c:v>
                </c:pt>
                <c:pt idx="52">
                  <c:v>-11</c:v>
                </c:pt>
                <c:pt idx="53">
                  <c:v>-11</c:v>
                </c:pt>
                <c:pt idx="54">
                  <c:v>-11</c:v>
                </c:pt>
                <c:pt idx="55">
                  <c:v>-11</c:v>
                </c:pt>
                <c:pt idx="56">
                  <c:v>-11</c:v>
                </c:pt>
                <c:pt idx="57">
                  <c:v>-11</c:v>
                </c:pt>
                <c:pt idx="58">
                  <c:v>-11</c:v>
                </c:pt>
                <c:pt idx="59">
                  <c:v>-11</c:v>
                </c:pt>
                <c:pt idx="60">
                  <c:v>-11</c:v>
                </c:pt>
                <c:pt idx="61">
                  <c:v>-11</c:v>
                </c:pt>
                <c:pt idx="62">
                  <c:v>-11</c:v>
                </c:pt>
                <c:pt idx="63">
                  <c:v>-11</c:v>
                </c:pt>
                <c:pt idx="64">
                  <c:v>-11</c:v>
                </c:pt>
                <c:pt idx="65">
                  <c:v>-11</c:v>
                </c:pt>
                <c:pt idx="66">
                  <c:v>-11</c:v>
                </c:pt>
                <c:pt idx="67">
                  <c:v>-11</c:v>
                </c:pt>
                <c:pt idx="68">
                  <c:v>-11</c:v>
                </c:pt>
                <c:pt idx="69">
                  <c:v>-11</c:v>
                </c:pt>
                <c:pt idx="70">
                  <c:v>-11</c:v>
                </c:pt>
                <c:pt idx="71">
                  <c:v>-11</c:v>
                </c:pt>
                <c:pt idx="72">
                  <c:v>-11</c:v>
                </c:pt>
                <c:pt idx="73">
                  <c:v>-11</c:v>
                </c:pt>
                <c:pt idx="74">
                  <c:v>-11</c:v>
                </c:pt>
                <c:pt idx="75">
                  <c:v>-11</c:v>
                </c:pt>
                <c:pt idx="76">
                  <c:v>-11</c:v>
                </c:pt>
                <c:pt idx="77">
                  <c:v>-11</c:v>
                </c:pt>
                <c:pt idx="78">
                  <c:v>-11</c:v>
                </c:pt>
                <c:pt idx="79">
                  <c:v>-11</c:v>
                </c:pt>
                <c:pt idx="80">
                  <c:v>-11</c:v>
                </c:pt>
                <c:pt idx="81">
                  <c:v>-11</c:v>
                </c:pt>
                <c:pt idx="82">
                  <c:v>-11</c:v>
                </c:pt>
                <c:pt idx="83">
                  <c:v>-11</c:v>
                </c:pt>
                <c:pt idx="84">
                  <c:v>-11</c:v>
                </c:pt>
                <c:pt idx="85">
                  <c:v>-11</c:v>
                </c:pt>
                <c:pt idx="86">
                  <c:v>-11</c:v>
                </c:pt>
                <c:pt idx="87">
                  <c:v>-11</c:v>
                </c:pt>
                <c:pt idx="88">
                  <c:v>-11</c:v>
                </c:pt>
                <c:pt idx="89">
                  <c:v>-11</c:v>
                </c:pt>
                <c:pt idx="90">
                  <c:v>-11</c:v>
                </c:pt>
              </c:numCache>
            </c:numRef>
          </c:yVal>
          <c:smooth val="1"/>
          <c:extLst xmlns:c16r2="http://schemas.microsoft.com/office/drawing/2015/06/chart">
            <c:ext xmlns:c16="http://schemas.microsoft.com/office/drawing/2014/chart" uri="{C3380CC4-5D6E-409C-BE32-E72D297353CC}">
              <c16:uniqueId val="{00000000-1212-4DBC-AE22-4322C859E540}"/>
            </c:ext>
          </c:extLst>
        </c:ser>
        <c:dLbls>
          <c:showLegendKey val="0"/>
          <c:showVal val="0"/>
          <c:showCatName val="0"/>
          <c:showSerName val="0"/>
          <c:showPercent val="0"/>
          <c:showBubbleSize val="0"/>
        </c:dLbls>
        <c:axId val="417528688"/>
        <c:axId val="417532048"/>
      </c:scatterChart>
      <c:valAx>
        <c:axId val="417528688"/>
        <c:scaling>
          <c:orientation val="minMax"/>
          <c:max val="180"/>
        </c:scaling>
        <c:delete val="0"/>
        <c:axPos val="b"/>
        <c:majorGridlines>
          <c:spPr>
            <a:ln w="3175">
              <a:solidFill>
                <a:srgbClr val="000000"/>
              </a:solidFill>
              <a:prstDash val="solid"/>
            </a:ln>
          </c:spPr>
        </c:majorGridlines>
        <c:title>
          <c:tx>
            <c:rich>
              <a:bodyPr/>
              <a:lstStyle/>
              <a:p>
                <a:pPr>
                  <a:defRPr/>
                </a:pPr>
                <a:r>
                  <a:rPr lang="en-US"/>
                  <a:t>Off Axis Angle (degrees)</a:t>
                </a:r>
              </a:p>
            </c:rich>
          </c:tx>
          <c:layout>
            <c:manualLayout>
              <c:xMode val="edge"/>
              <c:yMode val="edge"/>
              <c:x val="0.38956714761376249"/>
              <c:y val="0.94453507340946163"/>
            </c:manualLayout>
          </c:layout>
          <c:overlay val="0"/>
          <c:spPr>
            <a:noFill/>
            <a:ln w="25400">
              <a:noFill/>
            </a:ln>
          </c:spPr>
        </c:title>
        <c:numFmt formatCode="General" sourceLinked="1"/>
        <c:majorTickMark val="in"/>
        <c:minorTickMark val="in"/>
        <c:tickLblPos val="nextTo"/>
        <c:spPr>
          <a:ln w="3175">
            <a:solidFill>
              <a:srgbClr val="000000"/>
            </a:solidFill>
            <a:prstDash val="solid"/>
          </a:ln>
        </c:spPr>
        <c:txPr>
          <a:bodyPr rot="0" vert="horz"/>
          <a:lstStyle/>
          <a:p>
            <a:pPr>
              <a:defRPr/>
            </a:pPr>
            <a:endParaRPr lang="en-US"/>
          </a:p>
        </c:txPr>
        <c:crossAx val="417532048"/>
        <c:crossesAt val="-12"/>
        <c:crossBetween val="midCat"/>
        <c:majorUnit val="10"/>
        <c:minorUnit val="2"/>
      </c:valAx>
      <c:valAx>
        <c:axId val="417532048"/>
        <c:scaling>
          <c:orientation val="minMax"/>
        </c:scaling>
        <c:delete val="0"/>
        <c:axPos val="l"/>
        <c:majorGridlines>
          <c:spPr>
            <a:ln w="3175">
              <a:solidFill>
                <a:srgbClr val="000000"/>
              </a:solidFill>
              <a:prstDash val="solid"/>
            </a:ln>
          </c:spPr>
        </c:majorGridlines>
        <c:title>
          <c:tx>
            <c:rich>
              <a:bodyPr/>
              <a:lstStyle/>
              <a:p>
                <a:pPr>
                  <a:defRPr/>
                </a:pPr>
                <a:r>
                  <a:rPr lang="en-US"/>
                  <a:t>Gain (dBi)</a:t>
                </a:r>
              </a:p>
            </c:rich>
          </c:tx>
          <c:layout>
            <c:manualLayout>
              <c:xMode val="edge"/>
              <c:yMode val="edge"/>
              <c:x val="1.2208657047724751E-2"/>
              <c:y val="0.47145187601957583"/>
            </c:manualLayout>
          </c:layout>
          <c:overlay val="0"/>
          <c:spPr>
            <a:noFill/>
            <a:ln w="25400">
              <a:noFill/>
            </a:ln>
          </c:spPr>
        </c:title>
        <c:numFmt formatCode="0.00" sourceLinked="1"/>
        <c:majorTickMark val="in"/>
        <c:minorTickMark val="in"/>
        <c:tickLblPos val="nextTo"/>
        <c:spPr>
          <a:ln w="3175">
            <a:solidFill>
              <a:srgbClr val="000000"/>
            </a:solidFill>
            <a:prstDash val="solid"/>
          </a:ln>
        </c:spPr>
        <c:txPr>
          <a:bodyPr rot="0" vert="horz"/>
          <a:lstStyle/>
          <a:p>
            <a:pPr>
              <a:defRPr/>
            </a:pPr>
            <a:endParaRPr lang="en-US"/>
          </a:p>
        </c:txPr>
        <c:crossAx val="417528688"/>
        <c:crosses val="autoZero"/>
        <c:crossBetween val="midCat"/>
        <c:majorUnit val="1"/>
        <c:minorUnit val="0.2"/>
      </c:valAx>
      <c:spPr>
        <a:noFill/>
        <a:ln w="12700">
          <a:solidFill>
            <a:srgbClr val="808080"/>
          </a:solidFill>
          <a:prstDash val="solid"/>
        </a:ln>
      </c:spPr>
    </c:plotArea>
    <c:legend>
      <c:legendPos val="r"/>
      <c:layout>
        <c:manualLayout>
          <c:xMode val="edge"/>
          <c:yMode val="edge"/>
          <c:x val="0.88790233074361824"/>
          <c:y val="0.5073409461663948"/>
          <c:w val="0.1076581576026637"/>
          <c:h val="3.588907014681892E-2"/>
        </c:manualLayout>
      </c:layout>
      <c:overlay val="0"/>
      <c:spPr>
        <a:solidFill>
          <a:srgbClr val="FFFFFF"/>
        </a:solidFill>
        <a:ln w="3175">
          <a:solidFill>
            <a:srgbClr val="000000"/>
          </a:solidFill>
          <a:prstDash val="solid"/>
        </a:ln>
      </c:sp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Figure</a:t>
            </a:r>
            <a:r>
              <a:rPr lang="en-US" baseline="0"/>
              <a:t> 1</a:t>
            </a:r>
          </a:p>
          <a:p>
            <a:pPr>
              <a:defRPr/>
            </a:pPr>
            <a:r>
              <a:rPr lang="en-US" baseline="0"/>
              <a:t>Average Clutter Loss</a:t>
            </a:r>
          </a:p>
          <a:p>
            <a:pPr>
              <a:defRPr/>
            </a:pPr>
            <a:r>
              <a:rPr lang="en-US" baseline="0"/>
              <a:t>Recommendation ITU-R P.2108</a:t>
            </a:r>
          </a:p>
          <a:p>
            <a:pPr>
              <a:defRPr/>
            </a:pPr>
            <a:r>
              <a:rPr lang="en-US" baseline="0"/>
              <a:t>Frequency = 5.2 GHz</a:t>
            </a:r>
            <a:endParaRPr lang="en-US"/>
          </a:p>
        </c:rich>
      </c:tx>
      <c:layout/>
      <c:overlay val="0"/>
    </c:title>
    <c:autoTitleDeleted val="0"/>
    <c:plotArea>
      <c:layout/>
      <c:scatterChart>
        <c:scatterStyle val="smoothMarker"/>
        <c:varyColors val="0"/>
        <c:ser>
          <c:idx val="0"/>
          <c:order val="0"/>
          <c:tx>
            <c:v>Clutter Loss</c:v>
          </c:tx>
          <c:marker>
            <c:symbol val="none"/>
          </c:marker>
          <c:xVal>
            <c:numRef>
              <c:f>Sheet2!$C$4:$C$26</c:f>
              <c:numCache>
                <c:formatCode>General</c:formatCode>
                <c:ptCount val="23"/>
                <c:pt idx="0">
                  <c:v>0</c:v>
                </c:pt>
                <c:pt idx="1">
                  <c:v>5</c:v>
                </c:pt>
                <c:pt idx="2">
                  <c:v>10</c:v>
                </c:pt>
                <c:pt idx="3">
                  <c:v>15</c:v>
                </c:pt>
                <c:pt idx="4">
                  <c:v>18</c:v>
                </c:pt>
                <c:pt idx="5">
                  <c:v>20</c:v>
                </c:pt>
                <c:pt idx="6">
                  <c:v>25</c:v>
                </c:pt>
                <c:pt idx="7">
                  <c:v>30</c:v>
                </c:pt>
                <c:pt idx="8">
                  <c:v>35</c:v>
                </c:pt>
                <c:pt idx="9">
                  <c:v>36</c:v>
                </c:pt>
                <c:pt idx="10">
                  <c:v>40</c:v>
                </c:pt>
                <c:pt idx="11">
                  <c:v>45</c:v>
                </c:pt>
                <c:pt idx="12">
                  <c:v>50</c:v>
                </c:pt>
                <c:pt idx="13">
                  <c:v>54</c:v>
                </c:pt>
                <c:pt idx="14">
                  <c:v>55</c:v>
                </c:pt>
                <c:pt idx="15">
                  <c:v>60</c:v>
                </c:pt>
                <c:pt idx="16">
                  <c:v>65</c:v>
                </c:pt>
                <c:pt idx="17">
                  <c:v>70</c:v>
                </c:pt>
                <c:pt idx="18">
                  <c:v>72</c:v>
                </c:pt>
                <c:pt idx="19">
                  <c:v>75</c:v>
                </c:pt>
                <c:pt idx="20">
                  <c:v>80</c:v>
                </c:pt>
                <c:pt idx="21">
                  <c:v>85</c:v>
                </c:pt>
                <c:pt idx="22">
                  <c:v>90</c:v>
                </c:pt>
              </c:numCache>
            </c:numRef>
          </c:xVal>
          <c:yVal>
            <c:numRef>
              <c:f>Sheet2!$D$4:$D$26</c:f>
              <c:numCache>
                <c:formatCode>0.00</c:formatCode>
                <c:ptCount val="23"/>
                <c:pt idx="0">
                  <c:v>17.257902685117841</c:v>
                </c:pt>
                <c:pt idx="1">
                  <c:v>11.769514900783539</c:v>
                </c:pt>
                <c:pt idx="2">
                  <c:v>8.9786242688005746</c:v>
                </c:pt>
                <c:pt idx="3">
                  <c:v>7.0520539018751123</c:v>
                </c:pt>
                <c:pt idx="4">
                  <c:v>6.1359020091987073</c:v>
                </c:pt>
                <c:pt idx="5">
                  <c:v>5.5992844848294752</c:v>
                </c:pt>
                <c:pt idx="6">
                  <c:v>4.4639873789127957</c:v>
                </c:pt>
                <c:pt idx="7">
                  <c:v>3.5609199322554841</c:v>
                </c:pt>
                <c:pt idx="8">
                  <c:v>2.8347749946415783</c:v>
                </c:pt>
                <c:pt idx="9">
                  <c:v>2.7071183755253863</c:v>
                </c:pt>
                <c:pt idx="10">
                  <c:v>2.2462858464119573</c:v>
                </c:pt>
                <c:pt idx="11">
                  <c:v>1.7663079313015624</c:v>
                </c:pt>
                <c:pt idx="12">
                  <c:v>1.3727191032339234</c:v>
                </c:pt>
                <c:pt idx="13">
                  <c:v>1.1084900609903019</c:v>
                </c:pt>
                <c:pt idx="14">
                  <c:v>1.0485246533717802</c:v>
                </c:pt>
                <c:pt idx="15">
                  <c:v>0.7805884754371577</c:v>
                </c:pt>
                <c:pt idx="16">
                  <c:v>0.55875148038420097</c:v>
                </c:pt>
                <c:pt idx="17">
                  <c:v>0.37523159035113524</c:v>
                </c:pt>
                <c:pt idx="18">
                  <c:v>0.31119962119088662</c:v>
                </c:pt>
                <c:pt idx="19">
                  <c:v>0.2242833804339073</c:v>
                </c:pt>
                <c:pt idx="20">
                  <c:v>0.10223881743342658</c:v>
                </c:pt>
                <c:pt idx="21">
                  <c:v>8.6934918893801401E-3</c:v>
                </c:pt>
                <c:pt idx="22">
                  <c:v>-3.8200120924527778E-2</c:v>
                </c:pt>
              </c:numCache>
            </c:numRef>
          </c:yVal>
          <c:smooth val="1"/>
          <c:extLst xmlns:c16r2="http://schemas.microsoft.com/office/drawing/2015/06/chart">
            <c:ext xmlns:c16="http://schemas.microsoft.com/office/drawing/2014/chart" uri="{C3380CC4-5D6E-409C-BE32-E72D297353CC}">
              <c16:uniqueId val="{00000000-3E55-4252-8EBB-C4FEF0D12C72}"/>
            </c:ext>
          </c:extLst>
        </c:ser>
        <c:dLbls>
          <c:showLegendKey val="0"/>
          <c:showVal val="0"/>
          <c:showCatName val="0"/>
          <c:showSerName val="0"/>
          <c:showPercent val="0"/>
          <c:showBubbleSize val="0"/>
        </c:dLbls>
        <c:axId val="417524208"/>
        <c:axId val="417523648"/>
      </c:scatterChart>
      <c:valAx>
        <c:axId val="417524208"/>
        <c:scaling>
          <c:orientation val="minMax"/>
          <c:max val="90"/>
          <c:min val="0"/>
        </c:scaling>
        <c:delete val="0"/>
        <c:axPos val="b"/>
        <c:title>
          <c:tx>
            <c:rich>
              <a:bodyPr/>
              <a:lstStyle/>
              <a:p>
                <a:pPr>
                  <a:defRPr/>
                </a:pPr>
                <a:r>
                  <a:rPr lang="en-US"/>
                  <a:t>Elevation</a:t>
                </a:r>
                <a:r>
                  <a:rPr lang="en-US" baseline="0"/>
                  <a:t> Angle (degrees)</a:t>
                </a:r>
                <a:endParaRPr lang="en-US"/>
              </a:p>
            </c:rich>
          </c:tx>
          <c:layout/>
          <c:overlay val="0"/>
        </c:title>
        <c:numFmt formatCode="General" sourceLinked="1"/>
        <c:majorTickMark val="in"/>
        <c:minorTickMark val="in"/>
        <c:tickLblPos val="nextTo"/>
        <c:crossAx val="417523648"/>
        <c:crossesAt val="0"/>
        <c:crossBetween val="midCat"/>
        <c:minorUnit val="1"/>
      </c:valAx>
      <c:valAx>
        <c:axId val="417523648"/>
        <c:scaling>
          <c:orientation val="minMax"/>
          <c:max val="18"/>
          <c:min val="0"/>
        </c:scaling>
        <c:delete val="0"/>
        <c:axPos val="l"/>
        <c:majorGridlines/>
        <c:title>
          <c:tx>
            <c:rich>
              <a:bodyPr rot="0" vert="wordArtVert"/>
              <a:lstStyle/>
              <a:p>
                <a:pPr>
                  <a:defRPr/>
                </a:pPr>
                <a:r>
                  <a:rPr lang="en-US"/>
                  <a:t>Clutter</a:t>
                </a:r>
                <a:r>
                  <a:rPr lang="en-US" baseline="0"/>
                  <a:t> Loss (dB)</a:t>
                </a:r>
                <a:endParaRPr lang="en-US"/>
              </a:p>
            </c:rich>
          </c:tx>
          <c:layout/>
          <c:overlay val="0"/>
        </c:title>
        <c:numFmt formatCode="0.00" sourceLinked="1"/>
        <c:majorTickMark val="in"/>
        <c:minorTickMark val="in"/>
        <c:tickLblPos val="nextTo"/>
        <c:crossAx val="417524208"/>
        <c:crossesAt val="0"/>
        <c:crossBetween val="midCat"/>
        <c:majorUnit val="2"/>
        <c:minorUnit val="0.2"/>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Figure</a:t>
            </a:r>
            <a:r>
              <a:rPr lang="en-US" baseline="0"/>
              <a:t> 3</a:t>
            </a:r>
          </a:p>
          <a:p>
            <a:pPr>
              <a:defRPr/>
            </a:pPr>
            <a:r>
              <a:rPr lang="en-US" baseline="0"/>
              <a:t>Outdoor RLAN Antenna Pattern</a:t>
            </a:r>
            <a:endParaRPr lang="en-US"/>
          </a:p>
        </c:rich>
      </c:tx>
      <c:layout/>
      <c:overlay val="0"/>
    </c:title>
    <c:autoTitleDeleted val="0"/>
    <c:plotArea>
      <c:layout>
        <c:manualLayout>
          <c:layoutTarget val="inner"/>
          <c:xMode val="edge"/>
          <c:yMode val="edge"/>
          <c:x val="8.2489739307520113E-2"/>
          <c:y val="0.12333842360614014"/>
          <c:w val="0.80024168770957449"/>
          <c:h val="0.77715310586176722"/>
        </c:manualLayout>
      </c:layout>
      <c:scatterChart>
        <c:scatterStyle val="smoothMarker"/>
        <c:varyColors val="0"/>
        <c:ser>
          <c:idx val="0"/>
          <c:order val="0"/>
          <c:tx>
            <c:v>Gain </c:v>
          </c:tx>
          <c:marker>
            <c:symbol val="none"/>
          </c:marker>
          <c:xVal>
            <c:numRef>
              <c:f>Sheet4!$C$16:$C$60</c:f>
              <c:numCache>
                <c:formatCode>General</c:formatCode>
                <c:ptCount val="45"/>
                <c:pt idx="0">
                  <c:v>0</c:v>
                </c:pt>
                <c:pt idx="1">
                  <c:v>5</c:v>
                </c:pt>
                <c:pt idx="2">
                  <c:v>10</c:v>
                </c:pt>
                <c:pt idx="3">
                  <c:v>15</c:v>
                </c:pt>
                <c:pt idx="4">
                  <c:v>18</c:v>
                </c:pt>
                <c:pt idx="5">
                  <c:v>20</c:v>
                </c:pt>
                <c:pt idx="6">
                  <c:v>25</c:v>
                </c:pt>
                <c:pt idx="7">
                  <c:v>30</c:v>
                </c:pt>
                <c:pt idx="8">
                  <c:v>35</c:v>
                </c:pt>
                <c:pt idx="9">
                  <c:v>36</c:v>
                </c:pt>
                <c:pt idx="10">
                  <c:v>40</c:v>
                </c:pt>
                <c:pt idx="11">
                  <c:v>45</c:v>
                </c:pt>
                <c:pt idx="12">
                  <c:v>50</c:v>
                </c:pt>
                <c:pt idx="13">
                  <c:v>54</c:v>
                </c:pt>
                <c:pt idx="14">
                  <c:v>55</c:v>
                </c:pt>
                <c:pt idx="15">
                  <c:v>60</c:v>
                </c:pt>
                <c:pt idx="16">
                  <c:v>65</c:v>
                </c:pt>
                <c:pt idx="17">
                  <c:v>70</c:v>
                </c:pt>
                <c:pt idx="18">
                  <c:v>72</c:v>
                </c:pt>
                <c:pt idx="19">
                  <c:v>75</c:v>
                </c:pt>
                <c:pt idx="20">
                  <c:v>80</c:v>
                </c:pt>
                <c:pt idx="21">
                  <c:v>85</c:v>
                </c:pt>
                <c:pt idx="22">
                  <c:v>90</c:v>
                </c:pt>
                <c:pt idx="23">
                  <c:v>95</c:v>
                </c:pt>
                <c:pt idx="24">
                  <c:v>100</c:v>
                </c:pt>
                <c:pt idx="25">
                  <c:v>105</c:v>
                </c:pt>
                <c:pt idx="26">
                  <c:v>108</c:v>
                </c:pt>
                <c:pt idx="27">
                  <c:v>110</c:v>
                </c:pt>
                <c:pt idx="28">
                  <c:v>115</c:v>
                </c:pt>
                <c:pt idx="29">
                  <c:v>120</c:v>
                </c:pt>
                <c:pt idx="30">
                  <c:v>125</c:v>
                </c:pt>
                <c:pt idx="31">
                  <c:v>126</c:v>
                </c:pt>
                <c:pt idx="32">
                  <c:v>130</c:v>
                </c:pt>
                <c:pt idx="33">
                  <c:v>135</c:v>
                </c:pt>
                <c:pt idx="34">
                  <c:v>140</c:v>
                </c:pt>
                <c:pt idx="35">
                  <c:v>144</c:v>
                </c:pt>
                <c:pt idx="36">
                  <c:v>145</c:v>
                </c:pt>
                <c:pt idx="37">
                  <c:v>150</c:v>
                </c:pt>
                <c:pt idx="38">
                  <c:v>155</c:v>
                </c:pt>
                <c:pt idx="39">
                  <c:v>160</c:v>
                </c:pt>
                <c:pt idx="40">
                  <c:v>162</c:v>
                </c:pt>
                <c:pt idx="41">
                  <c:v>165</c:v>
                </c:pt>
                <c:pt idx="42">
                  <c:v>170</c:v>
                </c:pt>
                <c:pt idx="43">
                  <c:v>175</c:v>
                </c:pt>
                <c:pt idx="44">
                  <c:v>180</c:v>
                </c:pt>
              </c:numCache>
            </c:numRef>
          </c:xVal>
          <c:yVal>
            <c:numRef>
              <c:f>Sheet4!$O$16:$O$60</c:f>
              <c:numCache>
                <c:formatCode>General</c:formatCode>
                <c:ptCount val="45"/>
                <c:pt idx="0">
                  <c:v>5.97</c:v>
                </c:pt>
                <c:pt idx="1">
                  <c:v>5.75</c:v>
                </c:pt>
                <c:pt idx="2">
                  <c:v>5</c:v>
                </c:pt>
                <c:pt idx="3">
                  <c:v>3.03</c:v>
                </c:pt>
                <c:pt idx="4">
                  <c:v>-30</c:v>
                </c:pt>
                <c:pt idx="5">
                  <c:v>-12.83</c:v>
                </c:pt>
                <c:pt idx="6">
                  <c:v>-10.24</c:v>
                </c:pt>
                <c:pt idx="7">
                  <c:v>-9.34</c:v>
                </c:pt>
                <c:pt idx="8">
                  <c:v>-9.0399999999999991</c:v>
                </c:pt>
                <c:pt idx="9">
                  <c:v>-9.0299999999999994</c:v>
                </c:pt>
                <c:pt idx="10">
                  <c:v>-9.17</c:v>
                </c:pt>
                <c:pt idx="11">
                  <c:v>-9.7799999999999994</c:v>
                </c:pt>
                <c:pt idx="12">
                  <c:v>-11.36</c:v>
                </c:pt>
                <c:pt idx="13">
                  <c:v>-30</c:v>
                </c:pt>
                <c:pt idx="14">
                  <c:v>-14.33</c:v>
                </c:pt>
                <c:pt idx="15">
                  <c:v>-10.54</c:v>
                </c:pt>
                <c:pt idx="16">
                  <c:v>-9.4700000000000006</c:v>
                </c:pt>
                <c:pt idx="17">
                  <c:v>-9.07</c:v>
                </c:pt>
                <c:pt idx="18">
                  <c:v>-9.0299999999999994</c:v>
                </c:pt>
                <c:pt idx="19">
                  <c:v>-9.11</c:v>
                </c:pt>
                <c:pt idx="20">
                  <c:v>-9.61</c:v>
                </c:pt>
                <c:pt idx="21">
                  <c:v>-10.9</c:v>
                </c:pt>
                <c:pt idx="22">
                  <c:v>-30</c:v>
                </c:pt>
                <c:pt idx="23">
                  <c:v>-10.9</c:v>
                </c:pt>
                <c:pt idx="24">
                  <c:v>-9.61</c:v>
                </c:pt>
                <c:pt idx="25">
                  <c:v>-9.11</c:v>
                </c:pt>
                <c:pt idx="26">
                  <c:v>-9.0299999999999994</c:v>
                </c:pt>
                <c:pt idx="27">
                  <c:v>-9.11</c:v>
                </c:pt>
                <c:pt idx="28">
                  <c:v>-9.4700000000000006</c:v>
                </c:pt>
                <c:pt idx="29">
                  <c:v>-10.54</c:v>
                </c:pt>
                <c:pt idx="30">
                  <c:v>-14.33</c:v>
                </c:pt>
                <c:pt idx="31">
                  <c:v>-30</c:v>
                </c:pt>
                <c:pt idx="32">
                  <c:v>-11.36</c:v>
                </c:pt>
                <c:pt idx="33">
                  <c:v>-9.7899999999999991</c:v>
                </c:pt>
                <c:pt idx="34">
                  <c:v>-9.17</c:v>
                </c:pt>
                <c:pt idx="35">
                  <c:v>-9.0299999999999994</c:v>
                </c:pt>
                <c:pt idx="36">
                  <c:v>-9.0399999999999991</c:v>
                </c:pt>
                <c:pt idx="37">
                  <c:v>-9.35</c:v>
                </c:pt>
                <c:pt idx="38">
                  <c:v>-10.24</c:v>
                </c:pt>
                <c:pt idx="39">
                  <c:v>-12.83</c:v>
                </c:pt>
                <c:pt idx="40">
                  <c:v>-30</c:v>
                </c:pt>
                <c:pt idx="41">
                  <c:v>3.03</c:v>
                </c:pt>
                <c:pt idx="42">
                  <c:v>5.01</c:v>
                </c:pt>
                <c:pt idx="43">
                  <c:v>5.75</c:v>
                </c:pt>
                <c:pt idx="44">
                  <c:v>5.97</c:v>
                </c:pt>
              </c:numCache>
            </c:numRef>
          </c:yVal>
          <c:smooth val="1"/>
          <c:extLst xmlns:c16r2="http://schemas.microsoft.com/office/drawing/2015/06/chart">
            <c:ext xmlns:c16="http://schemas.microsoft.com/office/drawing/2014/chart" uri="{C3380CC4-5D6E-409C-BE32-E72D297353CC}">
              <c16:uniqueId val="{00000000-A9EA-45D0-A2D0-96510D81C3AC}"/>
            </c:ext>
          </c:extLst>
        </c:ser>
        <c:dLbls>
          <c:showLegendKey val="0"/>
          <c:showVal val="0"/>
          <c:showCatName val="0"/>
          <c:showSerName val="0"/>
          <c:showPercent val="0"/>
          <c:showBubbleSize val="0"/>
        </c:dLbls>
        <c:axId val="417519728"/>
        <c:axId val="417524768"/>
      </c:scatterChart>
      <c:valAx>
        <c:axId val="417519728"/>
        <c:scaling>
          <c:orientation val="minMax"/>
          <c:max val="180"/>
        </c:scaling>
        <c:delete val="0"/>
        <c:axPos val="b"/>
        <c:majorGridlines/>
        <c:title>
          <c:tx>
            <c:rich>
              <a:bodyPr/>
              <a:lstStyle/>
              <a:p>
                <a:pPr>
                  <a:defRPr/>
                </a:pPr>
                <a:r>
                  <a:rPr lang="en-US"/>
                  <a:t>Elevation</a:t>
                </a:r>
                <a:r>
                  <a:rPr lang="en-US" baseline="0"/>
                  <a:t> Angle (degrees)</a:t>
                </a:r>
                <a:endParaRPr lang="en-US"/>
              </a:p>
            </c:rich>
          </c:tx>
          <c:layout/>
          <c:overlay val="0"/>
        </c:title>
        <c:numFmt formatCode="General" sourceLinked="1"/>
        <c:majorTickMark val="in"/>
        <c:minorTickMark val="in"/>
        <c:tickLblPos val="nextTo"/>
        <c:crossAx val="417524768"/>
        <c:crossesAt val="-30"/>
        <c:crossBetween val="midCat"/>
        <c:majorUnit val="10"/>
        <c:minorUnit val="2"/>
      </c:valAx>
      <c:valAx>
        <c:axId val="417524768"/>
        <c:scaling>
          <c:orientation val="minMax"/>
          <c:max val="10"/>
          <c:min val="-30"/>
        </c:scaling>
        <c:delete val="0"/>
        <c:axPos val="l"/>
        <c:majorGridlines/>
        <c:title>
          <c:tx>
            <c:rich>
              <a:bodyPr rot="0" vert="wordArtVert"/>
              <a:lstStyle/>
              <a:p>
                <a:pPr>
                  <a:defRPr/>
                </a:pPr>
                <a:r>
                  <a:rPr lang="en-US"/>
                  <a:t>Gain</a:t>
                </a:r>
                <a:r>
                  <a:rPr lang="en-US" baseline="0"/>
                  <a:t> (dBi)</a:t>
                </a:r>
                <a:endParaRPr lang="en-US"/>
              </a:p>
            </c:rich>
          </c:tx>
          <c:layout/>
          <c:overlay val="0"/>
        </c:title>
        <c:numFmt formatCode="General" sourceLinked="1"/>
        <c:majorTickMark val="in"/>
        <c:minorTickMark val="in"/>
        <c:tickLblPos val="nextTo"/>
        <c:crossAx val="417519728"/>
        <c:crosses val="autoZero"/>
        <c:crossBetween val="midCat"/>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009988901220862E-2"/>
          <c:y val="0.15660685154975529"/>
          <c:w val="0.77136514983351834"/>
          <c:h val="0.73735725938009788"/>
        </c:manualLayout>
      </c:layout>
      <c:scatterChart>
        <c:scatterStyle val="smoothMarker"/>
        <c:varyColors val="0"/>
        <c:ser>
          <c:idx val="0"/>
          <c:order val="0"/>
          <c:tx>
            <c:strRef>
              <c:f>Rx_f5090!$L$2</c:f>
              <c:strCache>
                <c:ptCount val="1"/>
                <c:pt idx="0">
                  <c:v>Gain (dBi)</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xVal>
            <c:numRef>
              <c:f>Rx_f5090!$A$93:$A$183</c:f>
              <c:numCache>
                <c:formatCode>General</c:formatCode>
                <c:ptCount val="91"/>
                <c:pt idx="0">
                  <c:v>0</c:v>
                </c:pt>
                <c:pt idx="1">
                  <c:v>2</c:v>
                </c:pt>
                <c:pt idx="2">
                  <c:v>4</c:v>
                </c:pt>
                <c:pt idx="3">
                  <c:v>6</c:v>
                </c:pt>
                <c:pt idx="4">
                  <c:v>8</c:v>
                </c:pt>
                <c:pt idx="5">
                  <c:v>10</c:v>
                </c:pt>
                <c:pt idx="6">
                  <c:v>12</c:v>
                </c:pt>
                <c:pt idx="7">
                  <c:v>14</c:v>
                </c:pt>
                <c:pt idx="8">
                  <c:v>16</c:v>
                </c:pt>
                <c:pt idx="9">
                  <c:v>18</c:v>
                </c:pt>
                <c:pt idx="10">
                  <c:v>20</c:v>
                </c:pt>
                <c:pt idx="11">
                  <c:v>22</c:v>
                </c:pt>
                <c:pt idx="12">
                  <c:v>24</c:v>
                </c:pt>
                <c:pt idx="13">
                  <c:v>26</c:v>
                </c:pt>
                <c:pt idx="14">
                  <c:v>28</c:v>
                </c:pt>
                <c:pt idx="15">
                  <c:v>30</c:v>
                </c:pt>
                <c:pt idx="16">
                  <c:v>32</c:v>
                </c:pt>
                <c:pt idx="17">
                  <c:v>34</c:v>
                </c:pt>
                <c:pt idx="18">
                  <c:v>36</c:v>
                </c:pt>
                <c:pt idx="19">
                  <c:v>38</c:v>
                </c:pt>
                <c:pt idx="20">
                  <c:v>40</c:v>
                </c:pt>
                <c:pt idx="21">
                  <c:v>42</c:v>
                </c:pt>
                <c:pt idx="22">
                  <c:v>44</c:v>
                </c:pt>
                <c:pt idx="23">
                  <c:v>46</c:v>
                </c:pt>
                <c:pt idx="24">
                  <c:v>48</c:v>
                </c:pt>
                <c:pt idx="25">
                  <c:v>50</c:v>
                </c:pt>
                <c:pt idx="26">
                  <c:v>52</c:v>
                </c:pt>
                <c:pt idx="27">
                  <c:v>54</c:v>
                </c:pt>
                <c:pt idx="28">
                  <c:v>56</c:v>
                </c:pt>
                <c:pt idx="29">
                  <c:v>58</c:v>
                </c:pt>
                <c:pt idx="30">
                  <c:v>60</c:v>
                </c:pt>
                <c:pt idx="31">
                  <c:v>62</c:v>
                </c:pt>
                <c:pt idx="32">
                  <c:v>64</c:v>
                </c:pt>
                <c:pt idx="33">
                  <c:v>66</c:v>
                </c:pt>
                <c:pt idx="34">
                  <c:v>68</c:v>
                </c:pt>
                <c:pt idx="35">
                  <c:v>70</c:v>
                </c:pt>
                <c:pt idx="36">
                  <c:v>72</c:v>
                </c:pt>
                <c:pt idx="37">
                  <c:v>74</c:v>
                </c:pt>
                <c:pt idx="38">
                  <c:v>76</c:v>
                </c:pt>
                <c:pt idx="39">
                  <c:v>78</c:v>
                </c:pt>
                <c:pt idx="40">
                  <c:v>80</c:v>
                </c:pt>
                <c:pt idx="41">
                  <c:v>82</c:v>
                </c:pt>
                <c:pt idx="42">
                  <c:v>84</c:v>
                </c:pt>
                <c:pt idx="43">
                  <c:v>86</c:v>
                </c:pt>
                <c:pt idx="44">
                  <c:v>88</c:v>
                </c:pt>
                <c:pt idx="45">
                  <c:v>90</c:v>
                </c:pt>
                <c:pt idx="46">
                  <c:v>92</c:v>
                </c:pt>
                <c:pt idx="47">
                  <c:v>94</c:v>
                </c:pt>
                <c:pt idx="48">
                  <c:v>96</c:v>
                </c:pt>
                <c:pt idx="49">
                  <c:v>98</c:v>
                </c:pt>
                <c:pt idx="50">
                  <c:v>100</c:v>
                </c:pt>
                <c:pt idx="51">
                  <c:v>102</c:v>
                </c:pt>
                <c:pt idx="52">
                  <c:v>104</c:v>
                </c:pt>
                <c:pt idx="53">
                  <c:v>106</c:v>
                </c:pt>
                <c:pt idx="54">
                  <c:v>108</c:v>
                </c:pt>
                <c:pt idx="55">
                  <c:v>110</c:v>
                </c:pt>
                <c:pt idx="56">
                  <c:v>112</c:v>
                </c:pt>
                <c:pt idx="57">
                  <c:v>114</c:v>
                </c:pt>
                <c:pt idx="58">
                  <c:v>116</c:v>
                </c:pt>
                <c:pt idx="59">
                  <c:v>118</c:v>
                </c:pt>
                <c:pt idx="60">
                  <c:v>120</c:v>
                </c:pt>
                <c:pt idx="61">
                  <c:v>122</c:v>
                </c:pt>
                <c:pt idx="62">
                  <c:v>124</c:v>
                </c:pt>
                <c:pt idx="63">
                  <c:v>126</c:v>
                </c:pt>
                <c:pt idx="64">
                  <c:v>128</c:v>
                </c:pt>
                <c:pt idx="65">
                  <c:v>130</c:v>
                </c:pt>
                <c:pt idx="66">
                  <c:v>132</c:v>
                </c:pt>
                <c:pt idx="67">
                  <c:v>134</c:v>
                </c:pt>
                <c:pt idx="68">
                  <c:v>136</c:v>
                </c:pt>
                <c:pt idx="69">
                  <c:v>138</c:v>
                </c:pt>
                <c:pt idx="70">
                  <c:v>140</c:v>
                </c:pt>
                <c:pt idx="71">
                  <c:v>142</c:v>
                </c:pt>
                <c:pt idx="72">
                  <c:v>144</c:v>
                </c:pt>
                <c:pt idx="73">
                  <c:v>146</c:v>
                </c:pt>
                <c:pt idx="74">
                  <c:v>148</c:v>
                </c:pt>
                <c:pt idx="75">
                  <c:v>150</c:v>
                </c:pt>
                <c:pt idx="76">
                  <c:v>152</c:v>
                </c:pt>
                <c:pt idx="77">
                  <c:v>154</c:v>
                </c:pt>
                <c:pt idx="78">
                  <c:v>156</c:v>
                </c:pt>
                <c:pt idx="79">
                  <c:v>158</c:v>
                </c:pt>
                <c:pt idx="80">
                  <c:v>160</c:v>
                </c:pt>
                <c:pt idx="81">
                  <c:v>162</c:v>
                </c:pt>
                <c:pt idx="82">
                  <c:v>164</c:v>
                </c:pt>
                <c:pt idx="83">
                  <c:v>166</c:v>
                </c:pt>
                <c:pt idx="84">
                  <c:v>168</c:v>
                </c:pt>
                <c:pt idx="85">
                  <c:v>170</c:v>
                </c:pt>
                <c:pt idx="86">
                  <c:v>172</c:v>
                </c:pt>
                <c:pt idx="87">
                  <c:v>174</c:v>
                </c:pt>
                <c:pt idx="88">
                  <c:v>176</c:v>
                </c:pt>
                <c:pt idx="89">
                  <c:v>178</c:v>
                </c:pt>
                <c:pt idx="90">
                  <c:v>180</c:v>
                </c:pt>
              </c:numCache>
            </c:numRef>
          </c:xVal>
          <c:yVal>
            <c:numRef>
              <c:f>Rx_f5090!$L$93:$L$183</c:f>
              <c:numCache>
                <c:formatCode>0.00</c:formatCode>
                <c:ptCount val="91"/>
                <c:pt idx="0">
                  <c:v>2.37</c:v>
                </c:pt>
                <c:pt idx="1">
                  <c:v>2.4016000000000002</c:v>
                </c:pt>
                <c:pt idx="2">
                  <c:v>2.4964</c:v>
                </c:pt>
                <c:pt idx="3">
                  <c:v>2.6544000000000003</c:v>
                </c:pt>
                <c:pt idx="4">
                  <c:v>2.8756000000000004</c:v>
                </c:pt>
                <c:pt idx="5">
                  <c:v>3.16</c:v>
                </c:pt>
                <c:pt idx="6">
                  <c:v>3.5076000000000001</c:v>
                </c:pt>
                <c:pt idx="7">
                  <c:v>3.9184000000000001</c:v>
                </c:pt>
                <c:pt idx="8">
                  <c:v>4.3924000000000003</c:v>
                </c:pt>
                <c:pt idx="9">
                  <c:v>4.8079999999999998</c:v>
                </c:pt>
                <c:pt idx="10">
                  <c:v>5.2279999999999998</c:v>
                </c:pt>
                <c:pt idx="11">
                  <c:v>5.5919999999999996</c:v>
                </c:pt>
                <c:pt idx="12">
                  <c:v>5.8999999999999995</c:v>
                </c:pt>
                <c:pt idx="13">
                  <c:v>6.1519999999999992</c:v>
                </c:pt>
                <c:pt idx="14">
                  <c:v>6.3479999999999999</c:v>
                </c:pt>
                <c:pt idx="15">
                  <c:v>6.4879999999999995</c:v>
                </c:pt>
                <c:pt idx="16">
                  <c:v>6.5720000000000001</c:v>
                </c:pt>
                <c:pt idx="17">
                  <c:v>6.6</c:v>
                </c:pt>
                <c:pt idx="18">
                  <c:v>6.5720000000000001</c:v>
                </c:pt>
                <c:pt idx="19">
                  <c:v>6.4879999999999995</c:v>
                </c:pt>
                <c:pt idx="20">
                  <c:v>6.3479999999999999</c:v>
                </c:pt>
                <c:pt idx="21">
                  <c:v>6.1519999999999992</c:v>
                </c:pt>
                <c:pt idx="22">
                  <c:v>5.8999999999999995</c:v>
                </c:pt>
                <c:pt idx="23">
                  <c:v>5.5919999999999996</c:v>
                </c:pt>
                <c:pt idx="24">
                  <c:v>5.2279999999999998</c:v>
                </c:pt>
                <c:pt idx="25">
                  <c:v>4.8079999999999998</c:v>
                </c:pt>
                <c:pt idx="26">
                  <c:v>4.331999999999999</c:v>
                </c:pt>
                <c:pt idx="27">
                  <c:v>3.7999999999999994</c:v>
                </c:pt>
                <c:pt idx="28">
                  <c:v>3.2119999999999997</c:v>
                </c:pt>
                <c:pt idx="29">
                  <c:v>2.5679999999999996</c:v>
                </c:pt>
                <c:pt idx="30">
                  <c:v>1.8679999999999994</c:v>
                </c:pt>
                <c:pt idx="31">
                  <c:v>1.1119999999999992</c:v>
                </c:pt>
                <c:pt idx="32">
                  <c:v>0.29999999999999982</c:v>
                </c:pt>
                <c:pt idx="33">
                  <c:v>-0.62799999999999656</c:v>
                </c:pt>
                <c:pt idx="34">
                  <c:v>-1.4639999999999986</c:v>
                </c:pt>
                <c:pt idx="35">
                  <c:v>-2.2999999999999972</c:v>
                </c:pt>
                <c:pt idx="36">
                  <c:v>-3.1359999999999992</c:v>
                </c:pt>
                <c:pt idx="37">
                  <c:v>-3.9719999999999978</c:v>
                </c:pt>
                <c:pt idx="38">
                  <c:v>-4.8079999999999963</c:v>
                </c:pt>
                <c:pt idx="39">
                  <c:v>-5.6439999999999984</c:v>
                </c:pt>
                <c:pt idx="40">
                  <c:v>-6.4799999999999969</c:v>
                </c:pt>
                <c:pt idx="41">
                  <c:v>-7.3159999999999954</c:v>
                </c:pt>
                <c:pt idx="42">
                  <c:v>-8.152000000000001</c:v>
                </c:pt>
                <c:pt idx="43">
                  <c:v>-8.9879999999999995</c:v>
                </c:pt>
                <c:pt idx="44">
                  <c:v>-9.8239999999999981</c:v>
                </c:pt>
                <c:pt idx="45">
                  <c:v>-10.659999999999997</c:v>
                </c:pt>
                <c:pt idx="46">
                  <c:v>-11</c:v>
                </c:pt>
                <c:pt idx="47">
                  <c:v>-11</c:v>
                </c:pt>
                <c:pt idx="48">
                  <c:v>-11</c:v>
                </c:pt>
                <c:pt idx="49">
                  <c:v>-11</c:v>
                </c:pt>
                <c:pt idx="50">
                  <c:v>-11</c:v>
                </c:pt>
                <c:pt idx="51">
                  <c:v>-11</c:v>
                </c:pt>
                <c:pt idx="52">
                  <c:v>-11</c:v>
                </c:pt>
                <c:pt idx="53">
                  <c:v>-11</c:v>
                </c:pt>
                <c:pt idx="54">
                  <c:v>-11</c:v>
                </c:pt>
                <c:pt idx="55">
                  <c:v>-11</c:v>
                </c:pt>
                <c:pt idx="56">
                  <c:v>-11</c:v>
                </c:pt>
                <c:pt idx="57">
                  <c:v>-11</c:v>
                </c:pt>
                <c:pt idx="58">
                  <c:v>-11</c:v>
                </c:pt>
                <c:pt idx="59">
                  <c:v>-11</c:v>
                </c:pt>
                <c:pt idx="60">
                  <c:v>-11</c:v>
                </c:pt>
                <c:pt idx="61">
                  <c:v>-11</c:v>
                </c:pt>
                <c:pt idx="62">
                  <c:v>-11</c:v>
                </c:pt>
                <c:pt idx="63">
                  <c:v>-11</c:v>
                </c:pt>
                <c:pt idx="64">
                  <c:v>-11</c:v>
                </c:pt>
                <c:pt idx="65">
                  <c:v>-11</c:v>
                </c:pt>
                <c:pt idx="66">
                  <c:v>-11</c:v>
                </c:pt>
                <c:pt idx="67">
                  <c:v>-11</c:v>
                </c:pt>
                <c:pt idx="68">
                  <c:v>-11</c:v>
                </c:pt>
                <c:pt idx="69">
                  <c:v>-11</c:v>
                </c:pt>
                <c:pt idx="70">
                  <c:v>-11</c:v>
                </c:pt>
                <c:pt idx="71">
                  <c:v>-11</c:v>
                </c:pt>
                <c:pt idx="72">
                  <c:v>-11</c:v>
                </c:pt>
                <c:pt idx="73">
                  <c:v>-11</c:v>
                </c:pt>
                <c:pt idx="74">
                  <c:v>-11</c:v>
                </c:pt>
                <c:pt idx="75">
                  <c:v>-11</c:v>
                </c:pt>
                <c:pt idx="76">
                  <c:v>-11</c:v>
                </c:pt>
                <c:pt idx="77">
                  <c:v>-11</c:v>
                </c:pt>
                <c:pt idx="78">
                  <c:v>-11</c:v>
                </c:pt>
                <c:pt idx="79">
                  <c:v>-11</c:v>
                </c:pt>
                <c:pt idx="80">
                  <c:v>-11</c:v>
                </c:pt>
                <c:pt idx="81">
                  <c:v>-11</c:v>
                </c:pt>
                <c:pt idx="82">
                  <c:v>-11</c:v>
                </c:pt>
                <c:pt idx="83">
                  <c:v>-11</c:v>
                </c:pt>
                <c:pt idx="84">
                  <c:v>-11</c:v>
                </c:pt>
                <c:pt idx="85">
                  <c:v>-11</c:v>
                </c:pt>
                <c:pt idx="86">
                  <c:v>-11</c:v>
                </c:pt>
                <c:pt idx="87">
                  <c:v>-11</c:v>
                </c:pt>
                <c:pt idx="88">
                  <c:v>-11</c:v>
                </c:pt>
                <c:pt idx="89">
                  <c:v>-11</c:v>
                </c:pt>
                <c:pt idx="90">
                  <c:v>-11</c:v>
                </c:pt>
              </c:numCache>
            </c:numRef>
          </c:yVal>
          <c:smooth val="1"/>
          <c:extLst xmlns:c16r2="http://schemas.microsoft.com/office/drawing/2015/06/chart">
            <c:ext xmlns:c16="http://schemas.microsoft.com/office/drawing/2014/chart" uri="{C3380CC4-5D6E-409C-BE32-E72D297353CC}">
              <c16:uniqueId val="{00000000-EE22-46A0-B1B6-021F0F26E014}"/>
            </c:ext>
          </c:extLst>
        </c:ser>
        <c:dLbls>
          <c:showLegendKey val="0"/>
          <c:showVal val="0"/>
          <c:showCatName val="0"/>
          <c:showSerName val="0"/>
          <c:showPercent val="0"/>
          <c:showBubbleSize val="0"/>
        </c:dLbls>
        <c:axId val="464614000"/>
        <c:axId val="464609520"/>
      </c:scatterChart>
      <c:valAx>
        <c:axId val="464614000"/>
        <c:scaling>
          <c:orientation val="minMax"/>
          <c:max val="180"/>
        </c:scaling>
        <c:delete val="0"/>
        <c:axPos val="b"/>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Off Axis Angle (degrees)</a:t>
                </a:r>
              </a:p>
            </c:rich>
          </c:tx>
          <c:layout>
            <c:manualLayout>
              <c:xMode val="edge"/>
              <c:yMode val="edge"/>
              <c:x val="0.38956714761376249"/>
              <c:y val="0.94453507340946163"/>
            </c:manualLayout>
          </c:layout>
          <c:overlay val="0"/>
          <c:spPr>
            <a:noFill/>
            <a:ln w="25400">
              <a:noFill/>
            </a:ln>
          </c:spPr>
        </c:title>
        <c:numFmt formatCode="General" sourceLinked="1"/>
        <c:majorTickMark val="in"/>
        <c:minorTickMark val="in"/>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64609520"/>
        <c:crossesAt val="-12"/>
        <c:crossBetween val="midCat"/>
        <c:majorUnit val="10"/>
        <c:minorUnit val="2"/>
      </c:valAx>
      <c:valAx>
        <c:axId val="464609520"/>
        <c:scaling>
          <c:orientation val="minMax"/>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US"/>
                  <a:t>Gain (dBi)</a:t>
                </a:r>
              </a:p>
            </c:rich>
          </c:tx>
          <c:layout>
            <c:manualLayout>
              <c:xMode val="edge"/>
              <c:yMode val="edge"/>
              <c:x val="1.2208657047724751E-2"/>
              <c:y val="0.47145187601957583"/>
            </c:manualLayout>
          </c:layout>
          <c:overlay val="0"/>
          <c:spPr>
            <a:noFill/>
            <a:ln w="25400">
              <a:noFill/>
            </a:ln>
          </c:spPr>
        </c:title>
        <c:numFmt formatCode="0.00" sourceLinked="1"/>
        <c:majorTickMark val="in"/>
        <c:minorTickMark val="in"/>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464614000"/>
        <c:crosses val="autoZero"/>
        <c:crossBetween val="midCat"/>
        <c:majorUnit val="1"/>
        <c:minorUnit val="0.2"/>
      </c:valAx>
      <c:spPr>
        <a:noFill/>
        <a:ln w="12700">
          <a:solidFill>
            <a:srgbClr val="808080"/>
          </a:solidFill>
          <a:prstDash val="solid"/>
        </a:ln>
      </c:spPr>
    </c:plotArea>
    <c:legend>
      <c:legendPos val="r"/>
      <c:layout>
        <c:manualLayout>
          <c:xMode val="edge"/>
          <c:yMode val="edge"/>
          <c:x val="0.88790233074361824"/>
          <c:y val="0.5073409461663948"/>
          <c:w val="0.1076581576026637"/>
          <c:h val="3.588907014681892E-2"/>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D975E-43DA-4D7C-8BDD-46D3EC7B7553}">
  <ds:schemaRefs>
    <ds:schemaRef ds:uri="http://schemas.microsoft.com/sharepoint/v3/contenttype/forms"/>
  </ds:schemaRefs>
</ds:datastoreItem>
</file>

<file path=customXml/itemProps2.xml><?xml version="1.0" encoding="utf-8"?>
<ds:datastoreItem xmlns:ds="http://schemas.openxmlformats.org/officeDocument/2006/customXml" ds:itemID="{03C4A4F6-511A-46D2-8A61-ACA889ED62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EAB62A-0634-4E42-A008-09B146C14C58}">
  <ds:schemaRefs>
    <ds:schemaRef ds:uri="http://purl.org/dc/elements/1.1/"/>
    <ds:schemaRef ds:uri="http://schemas.microsoft.com/office/infopath/2007/PartnerControl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www.w3.org/XML/1998/namespace"/>
    <ds:schemaRef ds:uri="4c6a61cb-1973-4fc6-92ae-f4d7a4471404"/>
    <ds:schemaRef ds:uri="http://purl.org/dc/terms/"/>
  </ds:schemaRefs>
</ds:datastoreItem>
</file>

<file path=customXml/itemProps4.xml><?xml version="1.0" encoding="utf-8"?>
<ds:datastoreItem xmlns:ds="http://schemas.openxmlformats.org/officeDocument/2006/customXml" ds:itemID="{5C3F0313-DD79-4AA5-859A-88B686EC9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PE_BR110.dotm</Template>
  <TotalTime>218</TotalTime>
  <Pages>75</Pages>
  <Words>19219</Words>
  <Characters>109643</Characters>
  <Application>Microsoft Office Word</Application>
  <DocSecurity>0</DocSecurity>
  <Lines>913</Lines>
  <Paragraphs>257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128605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 T U</dc:creator>
  <cp:keywords>CTPClassification=CTP_PUBLIC:VisualMarkings=</cp:keywords>
  <dc:description/>
  <cp:lastModifiedBy>Song, Xiaojing</cp:lastModifiedBy>
  <cp:revision>22</cp:revision>
  <cp:lastPrinted>2017-11-15T07:10:00Z</cp:lastPrinted>
  <dcterms:created xsi:type="dcterms:W3CDTF">2017-11-20T08:06:00Z</dcterms:created>
  <dcterms:modified xsi:type="dcterms:W3CDTF">2017-11-20T12:35:00Z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y fmtid="{D5CDD505-2E9C-101B-9397-08002B2CF9AE}" pid="6" name="_NewReviewCycle">
    <vt:lpwstr/>
  </property>
  <property fmtid="{D5CDD505-2E9C-101B-9397-08002B2CF9AE}" pid="7" name="Comments">
    <vt:lpwstr/>
  </property>
  <property fmtid="{D5CDD505-2E9C-101B-9397-08002B2CF9AE}" pid="8" name="TitusGUID">
    <vt:lpwstr>3b6ef0b8-16b8-40e2-ac14-21a37b8c1a58</vt:lpwstr>
  </property>
  <property fmtid="{D5CDD505-2E9C-101B-9397-08002B2CF9AE}" pid="9" name="CTP_TimeStamp">
    <vt:lpwstr>2017-11-15 14:58:10Z</vt:lpwstr>
  </property>
  <property fmtid="{D5CDD505-2E9C-101B-9397-08002B2CF9AE}" pid="10" name="CTP_BU">
    <vt:lpwstr>NA</vt:lpwstr>
  </property>
  <property fmtid="{D5CDD505-2E9C-101B-9397-08002B2CF9AE}" pid="11" name="CTP_IDSID">
    <vt:lpwstr>NA</vt:lpwstr>
  </property>
  <property fmtid="{D5CDD505-2E9C-101B-9397-08002B2CF9AE}" pid="12" name="CTP_WWID">
    <vt:lpwstr>NA</vt:lpwstr>
  </property>
  <property fmtid="{D5CDD505-2E9C-101B-9397-08002B2CF9AE}" pid="13" name="CTPClassification">
    <vt:lpwstr>CTP_PUBLIC</vt:lpwstr>
  </property>
</Properties>
</file>