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62A79" w:rsidTr="00876A8A">
        <w:trPr>
          <w:cantSplit/>
        </w:trPr>
        <w:tc>
          <w:tcPr>
            <w:tcW w:w="6487" w:type="dxa"/>
            <w:vAlign w:val="center"/>
          </w:tcPr>
          <w:p w:rsidR="009F6520" w:rsidRPr="00162A79" w:rsidRDefault="009F6520" w:rsidP="009F6520">
            <w:pPr>
              <w:shd w:val="solid" w:color="FFFFFF" w:fill="FFFFFF"/>
              <w:spacing w:before="0"/>
              <w:rPr>
                <w:rFonts w:ascii="Verdana" w:hAnsi="Verdana" w:cs="Times New Roman Bold"/>
                <w:b/>
                <w:bCs/>
                <w:sz w:val="26"/>
                <w:szCs w:val="26"/>
              </w:rPr>
            </w:pPr>
            <w:proofErr w:type="spellStart"/>
            <w:r w:rsidRPr="00162A79">
              <w:rPr>
                <w:rFonts w:ascii="Verdana" w:hAnsi="Verdana" w:cs="Times New Roman Bold"/>
                <w:b/>
                <w:bCs/>
                <w:sz w:val="26"/>
                <w:szCs w:val="26"/>
              </w:rPr>
              <w:t>Radiocommunication</w:t>
            </w:r>
            <w:proofErr w:type="spellEnd"/>
            <w:r w:rsidRPr="00162A79">
              <w:rPr>
                <w:rFonts w:ascii="Verdana" w:hAnsi="Verdana" w:cs="Times New Roman Bold"/>
                <w:b/>
                <w:bCs/>
                <w:sz w:val="26"/>
                <w:szCs w:val="26"/>
              </w:rPr>
              <w:t xml:space="preserve"> Study Groups</w:t>
            </w:r>
          </w:p>
        </w:tc>
        <w:tc>
          <w:tcPr>
            <w:tcW w:w="3402" w:type="dxa"/>
          </w:tcPr>
          <w:p w:rsidR="009F6520" w:rsidRPr="00162A79" w:rsidRDefault="00F26449" w:rsidP="00F26449">
            <w:pPr>
              <w:shd w:val="solid" w:color="FFFFFF" w:fill="FFFFFF"/>
              <w:spacing w:before="0" w:line="240" w:lineRule="atLeast"/>
            </w:pPr>
            <w:bookmarkStart w:id="0" w:name="ditulogo"/>
            <w:bookmarkEnd w:id="0"/>
            <w:r w:rsidRPr="00162A79">
              <w:rPr>
                <w:b/>
                <w:bCs/>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162A79" w:rsidTr="00876A8A">
        <w:trPr>
          <w:cantSplit/>
        </w:trPr>
        <w:tc>
          <w:tcPr>
            <w:tcW w:w="6487" w:type="dxa"/>
            <w:tcBorders>
              <w:bottom w:val="single" w:sz="12" w:space="0" w:color="auto"/>
            </w:tcBorders>
          </w:tcPr>
          <w:p w:rsidR="000069D4" w:rsidRPr="00162A7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162A79" w:rsidRDefault="000069D4" w:rsidP="00A5173C">
            <w:pPr>
              <w:shd w:val="solid" w:color="FFFFFF" w:fill="FFFFFF"/>
              <w:spacing w:before="0" w:after="48" w:line="240" w:lineRule="atLeast"/>
              <w:rPr>
                <w:sz w:val="22"/>
                <w:szCs w:val="22"/>
              </w:rPr>
            </w:pPr>
          </w:p>
        </w:tc>
      </w:tr>
      <w:tr w:rsidR="000069D4" w:rsidRPr="00162A79" w:rsidTr="00876A8A">
        <w:trPr>
          <w:cantSplit/>
        </w:trPr>
        <w:tc>
          <w:tcPr>
            <w:tcW w:w="6487" w:type="dxa"/>
            <w:tcBorders>
              <w:top w:val="single" w:sz="12" w:space="0" w:color="auto"/>
            </w:tcBorders>
          </w:tcPr>
          <w:p w:rsidR="000069D4" w:rsidRPr="00162A7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162A79" w:rsidRDefault="000069D4" w:rsidP="00A5173C">
            <w:pPr>
              <w:shd w:val="solid" w:color="FFFFFF" w:fill="FFFFFF"/>
              <w:spacing w:before="0" w:after="48" w:line="240" w:lineRule="atLeast"/>
            </w:pPr>
          </w:p>
        </w:tc>
      </w:tr>
      <w:tr w:rsidR="00AF1FCD" w:rsidRPr="00162A79" w:rsidTr="00876A8A">
        <w:trPr>
          <w:cantSplit/>
        </w:trPr>
        <w:tc>
          <w:tcPr>
            <w:tcW w:w="6487" w:type="dxa"/>
            <w:vMerge w:val="restart"/>
          </w:tcPr>
          <w:p w:rsidR="00AF1FCD" w:rsidRPr="00162A79" w:rsidRDefault="00AF1FCD" w:rsidP="00AF1FC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162A79">
              <w:rPr>
                <w:rFonts w:ascii="Verdana" w:hAnsi="Verdana"/>
                <w:sz w:val="20"/>
              </w:rPr>
              <w:t>Source:</w:t>
            </w:r>
            <w:r w:rsidRPr="00162A79">
              <w:rPr>
                <w:rFonts w:ascii="Verdana" w:hAnsi="Verdana"/>
                <w:sz w:val="20"/>
              </w:rPr>
              <w:tab/>
              <w:t xml:space="preserve">Document </w:t>
            </w:r>
            <w:proofErr w:type="spellStart"/>
            <w:r w:rsidRPr="00162A79">
              <w:rPr>
                <w:rFonts w:ascii="Verdana" w:hAnsi="Verdana"/>
                <w:sz w:val="20"/>
              </w:rPr>
              <w:t>5A</w:t>
            </w:r>
            <w:proofErr w:type="spellEnd"/>
            <w:r w:rsidRPr="00162A79">
              <w:rPr>
                <w:rFonts w:ascii="Verdana" w:hAnsi="Verdana"/>
                <w:sz w:val="20"/>
              </w:rPr>
              <w:t>/TEMP/305(</w:t>
            </w:r>
            <w:proofErr w:type="spellStart"/>
            <w:r w:rsidRPr="00162A79">
              <w:rPr>
                <w:rFonts w:ascii="Verdana" w:hAnsi="Verdana"/>
                <w:sz w:val="20"/>
              </w:rPr>
              <w:t>Rev.2</w:t>
            </w:r>
            <w:proofErr w:type="spellEnd"/>
            <w:r w:rsidRPr="00162A79">
              <w:rPr>
                <w:rFonts w:ascii="Verdana" w:hAnsi="Verdana"/>
                <w:sz w:val="20"/>
              </w:rPr>
              <w:t>)</w:t>
            </w:r>
          </w:p>
          <w:p w:rsidR="00AF1FCD" w:rsidRPr="00162A79" w:rsidRDefault="00AF1FCD" w:rsidP="00AF1FCD">
            <w:pPr>
              <w:shd w:val="solid" w:color="FFFFFF" w:fill="FFFFFF"/>
              <w:tabs>
                <w:tab w:val="clear" w:pos="1134"/>
                <w:tab w:val="clear" w:pos="1871"/>
                <w:tab w:val="clear" w:pos="2268"/>
              </w:tabs>
              <w:spacing w:before="0" w:after="240"/>
              <w:ind w:left="1134" w:hanging="1134"/>
              <w:rPr>
                <w:rFonts w:ascii="Verdana" w:hAnsi="Verdana"/>
                <w:sz w:val="20"/>
              </w:rPr>
            </w:pPr>
            <w:r w:rsidRPr="00162A79">
              <w:rPr>
                <w:rFonts w:ascii="Verdana" w:hAnsi="Verdana"/>
                <w:sz w:val="20"/>
              </w:rPr>
              <w:t>Subject:</w:t>
            </w:r>
            <w:r w:rsidRPr="00162A79">
              <w:rPr>
                <w:rFonts w:ascii="Verdana" w:hAnsi="Verdana"/>
                <w:sz w:val="20"/>
              </w:rPr>
              <w:tab/>
              <w:t xml:space="preserve">Question </w:t>
            </w:r>
            <w:hyperlink r:id="rId11" w:history="1">
              <w:proofErr w:type="spellStart"/>
              <w:r w:rsidRPr="00162A79">
                <w:rPr>
                  <w:rStyle w:val="Hyperlink"/>
                  <w:rFonts w:ascii="Verdana" w:hAnsi="Verdana"/>
                  <w:sz w:val="20"/>
                </w:rPr>
                <w:t>ITU</w:t>
              </w:r>
              <w:proofErr w:type="spellEnd"/>
              <w:r w:rsidRPr="00162A79">
                <w:rPr>
                  <w:rStyle w:val="Hyperlink"/>
                  <w:rFonts w:ascii="Verdana" w:hAnsi="Verdana"/>
                  <w:sz w:val="20"/>
                </w:rPr>
                <w:t>-R 205-5/5</w:t>
              </w:r>
            </w:hyperlink>
            <w:r w:rsidRPr="00162A79">
              <w:rPr>
                <w:rFonts w:ascii="Verdana" w:hAnsi="Verdana"/>
                <w:sz w:val="20"/>
              </w:rPr>
              <w:t xml:space="preserve"> or </w:t>
            </w:r>
            <w:r w:rsidRPr="00162A79">
              <w:rPr>
                <w:rFonts w:ascii="Verdana" w:hAnsi="Verdana"/>
                <w:sz w:val="20"/>
              </w:rPr>
              <w:br/>
            </w:r>
            <w:proofErr w:type="spellStart"/>
            <w:r w:rsidRPr="00162A79">
              <w:rPr>
                <w:rFonts w:ascii="Verdana" w:hAnsi="Verdana"/>
                <w:sz w:val="20"/>
              </w:rPr>
              <w:t>WRC</w:t>
            </w:r>
            <w:proofErr w:type="spellEnd"/>
            <w:r w:rsidRPr="00162A79">
              <w:rPr>
                <w:rFonts w:ascii="Verdana" w:hAnsi="Verdana"/>
                <w:sz w:val="20"/>
              </w:rPr>
              <w:t>-19 agenda item 1.12</w:t>
            </w:r>
          </w:p>
        </w:tc>
        <w:tc>
          <w:tcPr>
            <w:tcW w:w="3402" w:type="dxa"/>
          </w:tcPr>
          <w:p w:rsidR="00AF1FCD" w:rsidRPr="00162A79" w:rsidRDefault="00AF1FCD" w:rsidP="00AA7D90">
            <w:pPr>
              <w:shd w:val="solid" w:color="FFFFFF" w:fill="FFFFFF"/>
              <w:spacing w:before="0" w:line="240" w:lineRule="atLeast"/>
              <w:rPr>
                <w:rFonts w:ascii="Verdana" w:hAnsi="Verdana"/>
                <w:sz w:val="20"/>
                <w:lang w:eastAsia="zh-CN"/>
              </w:rPr>
            </w:pPr>
            <w:r w:rsidRPr="00162A79">
              <w:rPr>
                <w:rFonts w:ascii="Verdana" w:hAnsi="Verdana"/>
                <w:b/>
                <w:sz w:val="20"/>
                <w:lang w:eastAsia="zh-CN"/>
              </w:rPr>
              <w:t xml:space="preserve">Annex 33 to </w:t>
            </w:r>
            <w:r w:rsidR="00AA7D90" w:rsidRPr="00162A79">
              <w:rPr>
                <w:rFonts w:ascii="Verdana" w:hAnsi="Verdana"/>
                <w:b/>
                <w:sz w:val="20"/>
                <w:lang w:eastAsia="zh-CN"/>
              </w:rPr>
              <w:br/>
            </w:r>
            <w:r w:rsidRPr="00162A79">
              <w:rPr>
                <w:rFonts w:ascii="Verdana" w:hAnsi="Verdana"/>
                <w:b/>
                <w:sz w:val="20"/>
                <w:lang w:eastAsia="zh-CN"/>
              </w:rPr>
              <w:t xml:space="preserve">Document </w:t>
            </w:r>
            <w:proofErr w:type="spellStart"/>
            <w:r w:rsidRPr="00162A79">
              <w:rPr>
                <w:rFonts w:ascii="Verdana" w:hAnsi="Verdana"/>
                <w:b/>
                <w:sz w:val="20"/>
                <w:lang w:eastAsia="zh-CN"/>
              </w:rPr>
              <w:t>5A</w:t>
            </w:r>
            <w:proofErr w:type="spellEnd"/>
            <w:r w:rsidRPr="00162A79">
              <w:rPr>
                <w:rFonts w:ascii="Verdana" w:hAnsi="Verdana"/>
                <w:b/>
                <w:sz w:val="20"/>
                <w:lang w:eastAsia="zh-CN"/>
              </w:rPr>
              <w:t>/844-E</w:t>
            </w:r>
          </w:p>
        </w:tc>
      </w:tr>
      <w:tr w:rsidR="00AF1FCD" w:rsidRPr="00162A79" w:rsidTr="00876A8A">
        <w:trPr>
          <w:cantSplit/>
        </w:trPr>
        <w:tc>
          <w:tcPr>
            <w:tcW w:w="6487" w:type="dxa"/>
            <w:vMerge/>
          </w:tcPr>
          <w:p w:rsidR="00AF1FCD" w:rsidRPr="00162A79" w:rsidRDefault="00AF1FCD" w:rsidP="00AF1FCD">
            <w:pPr>
              <w:spacing w:before="60"/>
              <w:jc w:val="center"/>
              <w:rPr>
                <w:b/>
                <w:smallCaps/>
                <w:sz w:val="32"/>
                <w:lang w:eastAsia="zh-CN"/>
              </w:rPr>
            </w:pPr>
            <w:bookmarkStart w:id="3" w:name="ddate" w:colFirst="1" w:colLast="1"/>
            <w:bookmarkEnd w:id="2"/>
          </w:p>
        </w:tc>
        <w:tc>
          <w:tcPr>
            <w:tcW w:w="3402" w:type="dxa"/>
          </w:tcPr>
          <w:p w:rsidR="00AF1FCD" w:rsidRPr="00162A79" w:rsidRDefault="00162A79" w:rsidP="00AF1FCD">
            <w:pPr>
              <w:shd w:val="solid" w:color="FFFFFF" w:fill="FFFFFF"/>
              <w:spacing w:before="0" w:line="240" w:lineRule="atLeast"/>
              <w:rPr>
                <w:rFonts w:ascii="Verdana" w:hAnsi="Verdana"/>
                <w:sz w:val="20"/>
                <w:lang w:eastAsia="zh-CN"/>
              </w:rPr>
            </w:pPr>
            <w:r>
              <w:rPr>
                <w:rFonts w:ascii="Verdana" w:hAnsi="Verdana"/>
                <w:b/>
                <w:sz w:val="20"/>
                <w:lang w:eastAsia="zh-CN"/>
              </w:rPr>
              <w:t>4 June</w:t>
            </w:r>
            <w:r w:rsidR="00AF1FCD" w:rsidRPr="00162A79">
              <w:rPr>
                <w:rFonts w:ascii="Verdana" w:hAnsi="Verdana"/>
                <w:b/>
                <w:sz w:val="20"/>
                <w:lang w:eastAsia="zh-CN"/>
              </w:rPr>
              <w:t xml:space="preserve"> 2018</w:t>
            </w:r>
          </w:p>
        </w:tc>
      </w:tr>
      <w:tr w:rsidR="00AF1FCD" w:rsidRPr="00162A79" w:rsidTr="00876A8A">
        <w:trPr>
          <w:cantSplit/>
        </w:trPr>
        <w:tc>
          <w:tcPr>
            <w:tcW w:w="6487" w:type="dxa"/>
            <w:vMerge/>
          </w:tcPr>
          <w:p w:rsidR="00AF1FCD" w:rsidRPr="00162A79" w:rsidRDefault="00AF1FCD" w:rsidP="00AF1FCD">
            <w:pPr>
              <w:spacing w:before="60"/>
              <w:jc w:val="center"/>
              <w:rPr>
                <w:b/>
                <w:smallCaps/>
                <w:sz w:val="32"/>
                <w:lang w:eastAsia="zh-CN"/>
              </w:rPr>
            </w:pPr>
            <w:bookmarkStart w:id="4" w:name="dorlang" w:colFirst="1" w:colLast="1"/>
            <w:bookmarkEnd w:id="3"/>
          </w:p>
        </w:tc>
        <w:tc>
          <w:tcPr>
            <w:tcW w:w="3402" w:type="dxa"/>
          </w:tcPr>
          <w:p w:rsidR="00AF1FCD" w:rsidRPr="00162A79" w:rsidRDefault="00AF1FCD" w:rsidP="00AF1FCD">
            <w:pPr>
              <w:shd w:val="solid" w:color="FFFFFF" w:fill="FFFFFF"/>
              <w:spacing w:before="0" w:line="240" w:lineRule="atLeast"/>
              <w:rPr>
                <w:rFonts w:ascii="Verdana" w:eastAsia="SimSun" w:hAnsi="Verdana"/>
                <w:sz w:val="20"/>
                <w:lang w:eastAsia="zh-CN"/>
              </w:rPr>
            </w:pPr>
            <w:r w:rsidRPr="00162A79">
              <w:rPr>
                <w:rFonts w:ascii="Verdana" w:eastAsia="SimSun" w:hAnsi="Verdana"/>
                <w:b/>
                <w:sz w:val="20"/>
                <w:lang w:eastAsia="zh-CN"/>
              </w:rPr>
              <w:t>English only</w:t>
            </w:r>
          </w:p>
        </w:tc>
      </w:tr>
      <w:tr w:rsidR="000069D4" w:rsidRPr="00162A79" w:rsidTr="00D046A7">
        <w:trPr>
          <w:cantSplit/>
        </w:trPr>
        <w:tc>
          <w:tcPr>
            <w:tcW w:w="9889" w:type="dxa"/>
            <w:gridSpan w:val="2"/>
          </w:tcPr>
          <w:p w:rsidR="000069D4" w:rsidRPr="00162A79" w:rsidRDefault="00AF1FCD" w:rsidP="00F26449">
            <w:pPr>
              <w:pStyle w:val="Source"/>
              <w:rPr>
                <w:lang w:eastAsia="zh-CN"/>
              </w:rPr>
            </w:pPr>
            <w:bookmarkStart w:id="5" w:name="dsource" w:colFirst="0" w:colLast="0"/>
            <w:bookmarkEnd w:id="4"/>
            <w:r w:rsidRPr="00162A79">
              <w:rPr>
                <w:lang w:eastAsia="zh-CN"/>
              </w:rPr>
              <w:t xml:space="preserve">Annex 33 to Working Party </w:t>
            </w:r>
            <w:proofErr w:type="spellStart"/>
            <w:r w:rsidRPr="00162A79">
              <w:rPr>
                <w:lang w:eastAsia="zh-CN"/>
              </w:rPr>
              <w:t>5A</w:t>
            </w:r>
            <w:proofErr w:type="spellEnd"/>
            <w:r w:rsidRPr="00162A79">
              <w:rPr>
                <w:lang w:eastAsia="zh-CN"/>
              </w:rPr>
              <w:t xml:space="preserve"> Chairman’s Report</w:t>
            </w:r>
          </w:p>
        </w:tc>
      </w:tr>
      <w:tr w:rsidR="000069D4" w:rsidRPr="00162A79" w:rsidTr="00D046A7">
        <w:trPr>
          <w:cantSplit/>
        </w:trPr>
        <w:tc>
          <w:tcPr>
            <w:tcW w:w="9889" w:type="dxa"/>
            <w:gridSpan w:val="2"/>
          </w:tcPr>
          <w:p w:rsidR="000069D4" w:rsidRPr="00162A79" w:rsidRDefault="00F26449" w:rsidP="00F26449">
            <w:pPr>
              <w:pStyle w:val="RepNo"/>
              <w:rPr>
                <w:lang w:eastAsia="zh-CN"/>
              </w:rPr>
            </w:pPr>
            <w:bookmarkStart w:id="6" w:name="drec" w:colFirst="0" w:colLast="0"/>
            <w:bookmarkStart w:id="7" w:name="_GoBack" w:colFirst="0" w:colLast="0"/>
            <w:bookmarkEnd w:id="5"/>
            <w:r w:rsidRPr="00162A79">
              <w:t xml:space="preserve">Working document towards a preliminary draft new </w:t>
            </w:r>
            <w:r w:rsidRPr="00162A79">
              <w:br/>
              <w:t xml:space="preserve">Report </w:t>
            </w:r>
            <w:proofErr w:type="spellStart"/>
            <w:r w:rsidRPr="00162A79">
              <w:t>ITU</w:t>
            </w:r>
            <w:proofErr w:type="spellEnd"/>
            <w:r w:rsidRPr="00162A79">
              <w:t>-R M.[</w:t>
            </w:r>
            <w:proofErr w:type="spellStart"/>
            <w:r w:rsidRPr="00162A79">
              <w:t>ITS_ARR</w:t>
            </w:r>
            <w:proofErr w:type="spellEnd"/>
            <w:r w:rsidRPr="00162A79">
              <w:t>]</w:t>
            </w:r>
          </w:p>
        </w:tc>
      </w:tr>
      <w:tr w:rsidR="000069D4" w:rsidRPr="00162A79" w:rsidTr="00D046A7">
        <w:trPr>
          <w:cantSplit/>
        </w:trPr>
        <w:tc>
          <w:tcPr>
            <w:tcW w:w="9889" w:type="dxa"/>
            <w:gridSpan w:val="2"/>
          </w:tcPr>
          <w:p w:rsidR="000069D4" w:rsidRPr="00162A79" w:rsidRDefault="00E7333A" w:rsidP="00F26449">
            <w:pPr>
              <w:pStyle w:val="Reptitle"/>
              <w:rPr>
                <w:lang w:eastAsia="zh-CN"/>
              </w:rPr>
            </w:pPr>
            <w:bookmarkStart w:id="8" w:name="dtitle1" w:colFirst="0" w:colLast="0"/>
            <w:bookmarkEnd w:id="6"/>
            <w:r w:rsidRPr="00162A79">
              <w:rPr>
                <w:lang w:eastAsia="zh-CN"/>
              </w:rPr>
              <w:t>Examples of Arrangements for Intelligent Transport Systems</w:t>
            </w:r>
            <w:r w:rsidRPr="00162A79">
              <w:rPr>
                <w:lang w:eastAsia="zh-CN"/>
              </w:rPr>
              <w:br/>
              <w:t>deployments under the mobile service</w:t>
            </w:r>
          </w:p>
        </w:tc>
      </w:tr>
    </w:tbl>
    <w:p w:rsidR="00C3772A" w:rsidRPr="00162A79" w:rsidRDefault="00F26449" w:rsidP="00003543">
      <w:pPr>
        <w:pStyle w:val="Headingb"/>
        <w:spacing w:before="360"/>
        <w:jc w:val="both"/>
        <w:rPr>
          <w:sz w:val="22"/>
          <w:szCs w:val="22"/>
          <w:lang w:val="en-GB" w:eastAsia="ja-JP"/>
        </w:rPr>
      </w:pPr>
      <w:bookmarkStart w:id="9" w:name="dbreak"/>
      <w:bookmarkEnd w:id="8"/>
      <w:bookmarkEnd w:id="9"/>
      <w:bookmarkEnd w:id="7"/>
      <w:r w:rsidRPr="00162A79">
        <w:rPr>
          <w:sz w:val="22"/>
          <w:szCs w:val="22"/>
          <w:lang w:val="en-GB" w:eastAsia="ja-JP"/>
        </w:rPr>
        <w:t>Scope</w:t>
      </w:r>
    </w:p>
    <w:p w:rsidR="00F26449" w:rsidRPr="00162A79" w:rsidRDefault="007D1184" w:rsidP="00162A79">
      <w:pPr>
        <w:pStyle w:val="Summary"/>
        <w:spacing w:after="360"/>
        <w:jc w:val="left"/>
        <w:rPr>
          <w:rStyle w:val="SummaryZchn"/>
          <w:bCs/>
          <w:iCs/>
          <w:sz w:val="22"/>
          <w:szCs w:val="22"/>
          <w:lang w:val="en-GB"/>
        </w:rPr>
      </w:pPr>
      <w:r w:rsidRPr="00162A79">
        <w:rPr>
          <w:rFonts w:asciiTheme="majorBidi" w:hAnsiTheme="majorBidi" w:cstheme="majorBidi"/>
          <w:lang w:val="en-GB"/>
        </w:rPr>
        <w:t>[</w:t>
      </w:r>
      <w:r w:rsidR="00C3772A" w:rsidRPr="00162A79">
        <w:rPr>
          <w:rFonts w:asciiTheme="majorBidi" w:hAnsiTheme="majorBidi" w:cstheme="majorBidi"/>
          <w:lang w:val="en-GB"/>
        </w:rPr>
        <w:t xml:space="preserve">This Report provides examples of arrangements for intelligent transport systems (ITS) </w:t>
      </w:r>
      <w:proofErr w:type="gramStart"/>
      <w:r w:rsidR="00C3772A" w:rsidRPr="00162A79">
        <w:rPr>
          <w:rFonts w:asciiTheme="majorBidi" w:hAnsiTheme="majorBidi" w:cstheme="majorBidi"/>
          <w:lang w:val="en-GB"/>
        </w:rPr>
        <w:t>deployments</w:t>
      </w:r>
      <w:proofErr w:type="gramEnd"/>
      <w:r w:rsidR="00C3772A" w:rsidRPr="00162A79">
        <w:rPr>
          <w:rFonts w:asciiTheme="majorBidi" w:hAnsiTheme="majorBidi" w:cstheme="majorBidi"/>
          <w:lang w:val="en-GB"/>
        </w:rPr>
        <w:t xml:space="preserve"> in certain regions and countries to assist in improving traffic management and safe driving.]</w:t>
      </w:r>
      <w:r w:rsidR="00F26449" w:rsidRPr="00162A79">
        <w:rPr>
          <w:rStyle w:val="SummaryZchn"/>
          <w:sz w:val="22"/>
          <w:szCs w:val="22"/>
          <w:lang w:val="en-GB"/>
        </w:rPr>
        <w:t>.</w:t>
      </w:r>
    </w:p>
    <w:sdt>
      <w:sdtPr>
        <w:rPr>
          <w:rFonts w:asciiTheme="majorBidi" w:eastAsia="Times New Roman" w:hAnsiTheme="majorBidi" w:cs="Times New Roman"/>
          <w:color w:val="auto"/>
          <w:sz w:val="24"/>
          <w:szCs w:val="20"/>
          <w:lang w:val="en-GB" w:eastAsia="en-US"/>
        </w:rPr>
        <w:id w:val="-62727594"/>
        <w:docPartObj>
          <w:docPartGallery w:val="Table of Contents"/>
          <w:docPartUnique/>
        </w:docPartObj>
      </w:sdtPr>
      <w:sdtEndPr>
        <w:rPr>
          <w:rFonts w:ascii="Times New Roman" w:eastAsia="MS Mincho" w:hAnsi="Times New Roman"/>
          <w:b/>
          <w:bCs/>
          <w:sz w:val="8"/>
          <w:szCs w:val="8"/>
        </w:rPr>
      </w:sdtEndPr>
      <w:sdtContent>
        <w:p w:rsidR="00F26449" w:rsidRPr="00162A79" w:rsidRDefault="00F26449" w:rsidP="00A249A2">
          <w:pPr>
            <w:pStyle w:val="TOCHeading"/>
            <w:jc w:val="center"/>
            <w:rPr>
              <w:rFonts w:asciiTheme="majorBidi" w:hAnsiTheme="majorBidi"/>
              <w:sz w:val="24"/>
              <w:szCs w:val="24"/>
              <w:lang w:val="en-GB"/>
            </w:rPr>
          </w:pPr>
          <w:r w:rsidRPr="00162A79">
            <w:rPr>
              <w:rFonts w:asciiTheme="majorBidi" w:hAnsiTheme="majorBidi"/>
              <w:sz w:val="24"/>
              <w:szCs w:val="24"/>
              <w:lang w:val="en-GB"/>
            </w:rPr>
            <w:t>TABLE OF CONTENTS</w:t>
          </w:r>
        </w:p>
        <w:p w:rsidR="00F26449" w:rsidRPr="00162A79" w:rsidRDefault="00F26449" w:rsidP="002C7CD3">
          <w:pPr>
            <w:pStyle w:val="toc0"/>
            <w:rPr>
              <w:rFonts w:asciiTheme="majorBidi" w:hAnsiTheme="majorBidi" w:cstheme="majorBidi"/>
              <w:lang w:eastAsia="zh-CN"/>
            </w:rPr>
          </w:pPr>
          <w:r w:rsidRPr="00162A79">
            <w:rPr>
              <w:rFonts w:asciiTheme="majorBidi" w:hAnsiTheme="majorBidi" w:cstheme="majorBidi"/>
              <w:lang w:eastAsia="zh-CN"/>
            </w:rPr>
            <w:tab/>
            <w:t>Page</w:t>
          </w:r>
        </w:p>
        <w:p w:rsidR="00625FF3" w:rsidRPr="00162A79" w:rsidRDefault="00F26449" w:rsidP="00625FF3">
          <w:pPr>
            <w:pStyle w:val="TOC1"/>
            <w:rPr>
              <w:rFonts w:asciiTheme="majorBidi" w:eastAsiaTheme="minorEastAsia" w:hAnsiTheme="majorBidi" w:cstheme="majorBidi"/>
              <w:noProof/>
              <w:sz w:val="22"/>
              <w:szCs w:val="22"/>
              <w:lang w:eastAsia="zh-CN"/>
            </w:rPr>
          </w:pPr>
          <w:r w:rsidRPr="00162A79">
            <w:rPr>
              <w:rFonts w:asciiTheme="majorBidi" w:hAnsiTheme="majorBidi" w:cstheme="majorBidi"/>
            </w:rPr>
            <w:fldChar w:fldCharType="begin"/>
          </w:r>
          <w:r w:rsidRPr="00162A79">
            <w:rPr>
              <w:rFonts w:asciiTheme="majorBidi" w:hAnsiTheme="majorBidi" w:cstheme="majorBidi"/>
            </w:rPr>
            <w:instrText xml:space="preserve"> TOC \o "1-2" \h \z \u </w:instrText>
          </w:r>
          <w:r w:rsidRPr="00162A79">
            <w:rPr>
              <w:rFonts w:asciiTheme="majorBidi" w:hAnsiTheme="majorBidi" w:cstheme="majorBidi"/>
            </w:rPr>
            <w:fldChar w:fldCharType="separate"/>
          </w:r>
          <w:hyperlink w:anchor="_Toc515525400" w:history="1">
            <w:r w:rsidR="00625FF3" w:rsidRPr="00162A79">
              <w:rPr>
                <w:rStyle w:val="Hyperlink"/>
                <w:rFonts w:asciiTheme="majorBidi" w:hAnsiTheme="majorBidi" w:cstheme="majorBidi"/>
                <w:noProof/>
              </w:rPr>
              <w:t>1</w:t>
            </w:r>
            <w:r w:rsidR="00625FF3" w:rsidRPr="00162A79">
              <w:rPr>
                <w:rFonts w:asciiTheme="majorBidi" w:eastAsiaTheme="minorEastAsia" w:hAnsiTheme="majorBidi" w:cstheme="majorBidi"/>
                <w:noProof/>
                <w:sz w:val="22"/>
                <w:szCs w:val="22"/>
                <w:lang w:eastAsia="zh-CN"/>
              </w:rPr>
              <w:tab/>
            </w:r>
            <w:r w:rsidR="00625FF3" w:rsidRPr="00162A79">
              <w:rPr>
                <w:rStyle w:val="Hyperlink"/>
                <w:rFonts w:asciiTheme="majorBidi" w:hAnsiTheme="majorBidi" w:cstheme="majorBidi"/>
                <w:noProof/>
              </w:rPr>
              <w:t>Examples of arrangements for evolving intelligent transportation</w:t>
            </w:r>
            <w:r w:rsidR="00625FF3" w:rsidRPr="00162A79">
              <w:rPr>
                <w:rStyle w:val="Hyperlink"/>
                <w:rFonts w:asciiTheme="majorBidi" w:hAnsiTheme="majorBidi" w:cstheme="majorBidi"/>
                <w:noProof/>
              </w:rPr>
              <w:br/>
              <w:t>systems (ITS) in Region 1</w:t>
            </w:r>
            <w:r w:rsidR="00625FF3" w:rsidRPr="00162A79">
              <w:rPr>
                <w:rFonts w:asciiTheme="majorBidi" w:hAnsiTheme="majorBidi" w:cstheme="majorBidi"/>
                <w:noProof/>
                <w:webHidden/>
              </w:rPr>
              <w:tab/>
            </w:r>
            <w:r w:rsidR="00625FF3" w:rsidRPr="00162A79">
              <w:rPr>
                <w:rFonts w:asciiTheme="majorBidi" w:hAnsiTheme="majorBidi" w:cstheme="majorBidi"/>
                <w:noProof/>
                <w:webHidden/>
              </w:rPr>
              <w:tab/>
            </w:r>
            <w:r w:rsidR="00625FF3" w:rsidRPr="00162A79">
              <w:rPr>
                <w:rFonts w:asciiTheme="majorBidi" w:hAnsiTheme="majorBidi" w:cstheme="majorBidi"/>
                <w:noProof/>
                <w:webHidden/>
              </w:rPr>
              <w:fldChar w:fldCharType="begin"/>
            </w:r>
            <w:r w:rsidR="00625FF3" w:rsidRPr="00162A79">
              <w:rPr>
                <w:rFonts w:asciiTheme="majorBidi" w:hAnsiTheme="majorBidi" w:cstheme="majorBidi"/>
                <w:noProof/>
                <w:webHidden/>
              </w:rPr>
              <w:instrText xml:space="preserve"> PAGEREF _Toc515525400 \h </w:instrText>
            </w:r>
            <w:r w:rsidR="00625FF3" w:rsidRPr="00162A79">
              <w:rPr>
                <w:rFonts w:asciiTheme="majorBidi" w:hAnsiTheme="majorBidi" w:cstheme="majorBidi"/>
                <w:noProof/>
                <w:webHidden/>
              </w:rPr>
            </w:r>
            <w:r w:rsidR="00625FF3" w:rsidRPr="00162A79">
              <w:rPr>
                <w:rFonts w:asciiTheme="majorBidi" w:hAnsiTheme="majorBidi" w:cstheme="majorBidi"/>
                <w:noProof/>
                <w:webHidden/>
              </w:rPr>
              <w:fldChar w:fldCharType="separate"/>
            </w:r>
            <w:r w:rsidR="00107330">
              <w:rPr>
                <w:rFonts w:asciiTheme="majorBidi" w:hAnsiTheme="majorBidi" w:cstheme="majorBidi"/>
                <w:noProof/>
                <w:webHidden/>
              </w:rPr>
              <w:t>2</w:t>
            </w:r>
            <w:r w:rsidR="00625FF3" w:rsidRPr="00162A79">
              <w:rPr>
                <w:rFonts w:asciiTheme="majorBidi" w:hAnsiTheme="majorBidi" w:cstheme="majorBidi"/>
                <w:noProof/>
                <w:webHidden/>
              </w:rPr>
              <w:fldChar w:fldCharType="end"/>
            </w:r>
          </w:hyperlink>
        </w:p>
        <w:p w:rsidR="00625FF3" w:rsidRPr="00162A79" w:rsidRDefault="00107330">
          <w:pPr>
            <w:pStyle w:val="TOC2"/>
            <w:rPr>
              <w:rFonts w:asciiTheme="majorBidi" w:eastAsiaTheme="minorEastAsia" w:hAnsiTheme="majorBidi" w:cstheme="majorBidi"/>
              <w:noProof/>
              <w:sz w:val="22"/>
              <w:szCs w:val="22"/>
              <w:lang w:eastAsia="zh-CN"/>
            </w:rPr>
          </w:pPr>
          <w:hyperlink w:anchor="_Toc515525401" w:history="1">
            <w:r w:rsidR="00625FF3" w:rsidRPr="00162A79">
              <w:rPr>
                <w:rStyle w:val="Hyperlink"/>
                <w:rFonts w:asciiTheme="majorBidi" w:hAnsiTheme="majorBidi" w:cstheme="majorBidi"/>
                <w:noProof/>
              </w:rPr>
              <w:t>1.1</w:t>
            </w:r>
            <w:r w:rsidR="00625FF3" w:rsidRPr="00162A79">
              <w:rPr>
                <w:rFonts w:asciiTheme="majorBidi" w:eastAsiaTheme="minorEastAsia" w:hAnsiTheme="majorBidi" w:cstheme="majorBidi"/>
                <w:noProof/>
                <w:sz w:val="22"/>
                <w:szCs w:val="22"/>
                <w:lang w:eastAsia="zh-CN"/>
              </w:rPr>
              <w:tab/>
            </w:r>
            <w:r w:rsidR="00625FF3" w:rsidRPr="00162A79">
              <w:rPr>
                <w:rStyle w:val="Hyperlink"/>
                <w:rFonts w:asciiTheme="majorBidi" w:hAnsiTheme="majorBidi" w:cstheme="majorBidi"/>
                <w:noProof/>
              </w:rPr>
              <w:t>Arrangements for evolving ITS in CEPT</w:t>
            </w:r>
            <w:r w:rsidR="00625FF3" w:rsidRPr="00162A79">
              <w:rPr>
                <w:rFonts w:asciiTheme="majorBidi" w:hAnsiTheme="majorBidi" w:cstheme="majorBidi"/>
                <w:noProof/>
                <w:webHidden/>
              </w:rPr>
              <w:tab/>
            </w:r>
            <w:r w:rsidR="00625FF3" w:rsidRPr="00162A79">
              <w:rPr>
                <w:rFonts w:asciiTheme="majorBidi" w:hAnsiTheme="majorBidi" w:cstheme="majorBidi"/>
                <w:noProof/>
                <w:webHidden/>
              </w:rPr>
              <w:tab/>
            </w:r>
            <w:r w:rsidR="00625FF3" w:rsidRPr="00162A79">
              <w:rPr>
                <w:rFonts w:asciiTheme="majorBidi" w:hAnsiTheme="majorBidi" w:cstheme="majorBidi"/>
                <w:noProof/>
                <w:webHidden/>
              </w:rPr>
              <w:fldChar w:fldCharType="begin"/>
            </w:r>
            <w:r w:rsidR="00625FF3" w:rsidRPr="00162A79">
              <w:rPr>
                <w:rFonts w:asciiTheme="majorBidi" w:hAnsiTheme="majorBidi" w:cstheme="majorBidi"/>
                <w:noProof/>
                <w:webHidden/>
              </w:rPr>
              <w:instrText xml:space="preserve"> PAGEREF _Toc515525401 \h </w:instrText>
            </w:r>
            <w:r w:rsidR="00625FF3" w:rsidRPr="00162A79">
              <w:rPr>
                <w:rFonts w:asciiTheme="majorBidi" w:hAnsiTheme="majorBidi" w:cstheme="majorBidi"/>
                <w:noProof/>
                <w:webHidden/>
              </w:rPr>
            </w:r>
            <w:r w:rsidR="00625FF3" w:rsidRPr="00162A79">
              <w:rPr>
                <w:rFonts w:asciiTheme="majorBidi" w:hAnsiTheme="majorBidi" w:cstheme="majorBidi"/>
                <w:noProof/>
                <w:webHidden/>
              </w:rPr>
              <w:fldChar w:fldCharType="separate"/>
            </w:r>
            <w:r>
              <w:rPr>
                <w:rFonts w:asciiTheme="majorBidi" w:hAnsiTheme="majorBidi" w:cstheme="majorBidi"/>
                <w:noProof/>
                <w:webHidden/>
              </w:rPr>
              <w:t>2</w:t>
            </w:r>
            <w:r w:rsidR="00625FF3" w:rsidRPr="00162A79">
              <w:rPr>
                <w:rFonts w:asciiTheme="majorBidi" w:hAnsiTheme="majorBidi" w:cstheme="majorBidi"/>
                <w:noProof/>
                <w:webHidden/>
              </w:rPr>
              <w:fldChar w:fldCharType="end"/>
            </w:r>
          </w:hyperlink>
        </w:p>
        <w:p w:rsidR="00625FF3" w:rsidRPr="00162A79" w:rsidRDefault="00107330">
          <w:pPr>
            <w:pStyle w:val="TOC2"/>
            <w:rPr>
              <w:rFonts w:asciiTheme="majorBidi" w:eastAsiaTheme="minorEastAsia" w:hAnsiTheme="majorBidi" w:cstheme="majorBidi"/>
              <w:noProof/>
              <w:sz w:val="22"/>
              <w:szCs w:val="22"/>
              <w:lang w:eastAsia="zh-CN"/>
            </w:rPr>
          </w:pPr>
          <w:hyperlink w:anchor="_Toc515525402" w:history="1">
            <w:r w:rsidR="00625FF3" w:rsidRPr="00162A79">
              <w:rPr>
                <w:rStyle w:val="Hyperlink"/>
                <w:rFonts w:asciiTheme="majorBidi" w:hAnsiTheme="majorBidi" w:cstheme="majorBidi"/>
                <w:noProof/>
              </w:rPr>
              <w:t>1.2</w:t>
            </w:r>
            <w:r w:rsidR="00625FF3" w:rsidRPr="00162A79">
              <w:rPr>
                <w:rFonts w:asciiTheme="majorBidi" w:eastAsiaTheme="minorEastAsia" w:hAnsiTheme="majorBidi" w:cstheme="majorBidi"/>
                <w:noProof/>
                <w:sz w:val="22"/>
                <w:szCs w:val="22"/>
                <w:lang w:eastAsia="zh-CN"/>
              </w:rPr>
              <w:tab/>
            </w:r>
            <w:r w:rsidR="00625FF3" w:rsidRPr="00162A79">
              <w:rPr>
                <w:rStyle w:val="Hyperlink"/>
                <w:rFonts w:asciiTheme="majorBidi" w:hAnsiTheme="majorBidi" w:cstheme="majorBidi"/>
                <w:noProof/>
              </w:rPr>
              <w:t>Arrangement for evolving ITS in XXX</w:t>
            </w:r>
            <w:r w:rsidR="00625FF3" w:rsidRPr="00162A79">
              <w:rPr>
                <w:rFonts w:asciiTheme="majorBidi" w:hAnsiTheme="majorBidi" w:cstheme="majorBidi"/>
                <w:noProof/>
                <w:webHidden/>
              </w:rPr>
              <w:tab/>
            </w:r>
            <w:r w:rsidR="00625FF3" w:rsidRPr="00162A79">
              <w:rPr>
                <w:rFonts w:asciiTheme="majorBidi" w:hAnsiTheme="majorBidi" w:cstheme="majorBidi"/>
                <w:noProof/>
                <w:webHidden/>
              </w:rPr>
              <w:tab/>
            </w:r>
            <w:r w:rsidR="00625FF3" w:rsidRPr="00162A79">
              <w:rPr>
                <w:rFonts w:asciiTheme="majorBidi" w:hAnsiTheme="majorBidi" w:cstheme="majorBidi"/>
                <w:noProof/>
                <w:webHidden/>
              </w:rPr>
              <w:fldChar w:fldCharType="begin"/>
            </w:r>
            <w:r w:rsidR="00625FF3" w:rsidRPr="00162A79">
              <w:rPr>
                <w:rFonts w:asciiTheme="majorBidi" w:hAnsiTheme="majorBidi" w:cstheme="majorBidi"/>
                <w:noProof/>
                <w:webHidden/>
              </w:rPr>
              <w:instrText xml:space="preserve"> PAGEREF _Toc515525402 \h </w:instrText>
            </w:r>
            <w:r w:rsidR="00625FF3" w:rsidRPr="00162A79">
              <w:rPr>
                <w:rFonts w:asciiTheme="majorBidi" w:hAnsiTheme="majorBidi" w:cstheme="majorBidi"/>
                <w:noProof/>
                <w:webHidden/>
              </w:rPr>
            </w:r>
            <w:r w:rsidR="00625FF3" w:rsidRPr="00162A79">
              <w:rPr>
                <w:rFonts w:asciiTheme="majorBidi" w:hAnsiTheme="majorBidi" w:cstheme="majorBidi"/>
                <w:noProof/>
                <w:webHidden/>
              </w:rPr>
              <w:fldChar w:fldCharType="separate"/>
            </w:r>
            <w:r>
              <w:rPr>
                <w:rFonts w:asciiTheme="majorBidi" w:hAnsiTheme="majorBidi" w:cstheme="majorBidi"/>
                <w:noProof/>
                <w:webHidden/>
              </w:rPr>
              <w:t>2</w:t>
            </w:r>
            <w:r w:rsidR="00625FF3" w:rsidRPr="00162A79">
              <w:rPr>
                <w:rFonts w:asciiTheme="majorBidi" w:hAnsiTheme="majorBidi" w:cstheme="majorBidi"/>
                <w:noProof/>
                <w:webHidden/>
              </w:rPr>
              <w:fldChar w:fldCharType="end"/>
            </w:r>
          </w:hyperlink>
        </w:p>
        <w:p w:rsidR="00625FF3" w:rsidRPr="00162A79" w:rsidRDefault="00107330" w:rsidP="00625FF3">
          <w:pPr>
            <w:pStyle w:val="TOC1"/>
            <w:rPr>
              <w:rFonts w:asciiTheme="majorBidi" w:eastAsiaTheme="minorEastAsia" w:hAnsiTheme="majorBidi" w:cstheme="majorBidi"/>
              <w:noProof/>
              <w:sz w:val="22"/>
              <w:szCs w:val="22"/>
              <w:lang w:eastAsia="zh-CN"/>
            </w:rPr>
          </w:pPr>
          <w:hyperlink w:anchor="_Toc515525403" w:history="1">
            <w:r w:rsidR="00625FF3" w:rsidRPr="00162A79">
              <w:rPr>
                <w:rStyle w:val="Hyperlink"/>
                <w:rFonts w:asciiTheme="majorBidi" w:hAnsiTheme="majorBidi" w:cstheme="majorBidi"/>
                <w:noProof/>
              </w:rPr>
              <w:t>2</w:t>
            </w:r>
            <w:r w:rsidR="00625FF3" w:rsidRPr="00162A79">
              <w:rPr>
                <w:rFonts w:asciiTheme="majorBidi" w:eastAsiaTheme="minorEastAsia" w:hAnsiTheme="majorBidi" w:cstheme="majorBidi"/>
                <w:noProof/>
                <w:sz w:val="22"/>
                <w:szCs w:val="22"/>
                <w:lang w:eastAsia="zh-CN"/>
              </w:rPr>
              <w:tab/>
            </w:r>
            <w:r w:rsidR="00625FF3" w:rsidRPr="00162A79">
              <w:rPr>
                <w:rStyle w:val="Hyperlink"/>
                <w:rFonts w:asciiTheme="majorBidi" w:hAnsiTheme="majorBidi" w:cstheme="majorBidi"/>
                <w:noProof/>
              </w:rPr>
              <w:t>Examples of arrangements for evolving intelligent transportation</w:t>
            </w:r>
            <w:r w:rsidR="00625FF3" w:rsidRPr="00162A79">
              <w:rPr>
                <w:rStyle w:val="Hyperlink"/>
                <w:rFonts w:asciiTheme="majorBidi" w:hAnsiTheme="majorBidi" w:cstheme="majorBidi"/>
                <w:noProof/>
              </w:rPr>
              <w:br/>
              <w:t>systems (ITS) in Region 2</w:t>
            </w:r>
            <w:r w:rsidR="00625FF3" w:rsidRPr="00162A79">
              <w:rPr>
                <w:rFonts w:asciiTheme="majorBidi" w:hAnsiTheme="majorBidi" w:cstheme="majorBidi"/>
                <w:noProof/>
                <w:webHidden/>
              </w:rPr>
              <w:tab/>
            </w:r>
            <w:r w:rsidR="00625FF3" w:rsidRPr="00162A79">
              <w:rPr>
                <w:rFonts w:asciiTheme="majorBidi" w:hAnsiTheme="majorBidi" w:cstheme="majorBidi"/>
                <w:noProof/>
                <w:webHidden/>
              </w:rPr>
              <w:tab/>
            </w:r>
            <w:r w:rsidR="00625FF3" w:rsidRPr="00162A79">
              <w:rPr>
                <w:rFonts w:asciiTheme="majorBidi" w:hAnsiTheme="majorBidi" w:cstheme="majorBidi"/>
                <w:noProof/>
                <w:webHidden/>
              </w:rPr>
              <w:fldChar w:fldCharType="begin"/>
            </w:r>
            <w:r w:rsidR="00625FF3" w:rsidRPr="00162A79">
              <w:rPr>
                <w:rFonts w:asciiTheme="majorBidi" w:hAnsiTheme="majorBidi" w:cstheme="majorBidi"/>
                <w:noProof/>
                <w:webHidden/>
              </w:rPr>
              <w:instrText xml:space="preserve"> PAGEREF _Toc515525403 \h </w:instrText>
            </w:r>
            <w:r w:rsidR="00625FF3" w:rsidRPr="00162A79">
              <w:rPr>
                <w:rFonts w:asciiTheme="majorBidi" w:hAnsiTheme="majorBidi" w:cstheme="majorBidi"/>
                <w:noProof/>
                <w:webHidden/>
              </w:rPr>
            </w:r>
            <w:r w:rsidR="00625FF3" w:rsidRPr="00162A79">
              <w:rPr>
                <w:rFonts w:asciiTheme="majorBidi" w:hAnsiTheme="majorBidi" w:cstheme="majorBidi"/>
                <w:noProof/>
                <w:webHidden/>
              </w:rPr>
              <w:fldChar w:fldCharType="separate"/>
            </w:r>
            <w:r>
              <w:rPr>
                <w:rFonts w:asciiTheme="majorBidi" w:hAnsiTheme="majorBidi" w:cstheme="majorBidi"/>
                <w:noProof/>
                <w:webHidden/>
              </w:rPr>
              <w:t>3</w:t>
            </w:r>
            <w:r w:rsidR="00625FF3" w:rsidRPr="00162A79">
              <w:rPr>
                <w:rFonts w:asciiTheme="majorBidi" w:hAnsiTheme="majorBidi" w:cstheme="majorBidi"/>
                <w:noProof/>
                <w:webHidden/>
              </w:rPr>
              <w:fldChar w:fldCharType="end"/>
            </w:r>
          </w:hyperlink>
        </w:p>
        <w:p w:rsidR="00625FF3" w:rsidRPr="00162A79" w:rsidRDefault="00107330">
          <w:pPr>
            <w:pStyle w:val="TOC2"/>
            <w:rPr>
              <w:rFonts w:asciiTheme="majorBidi" w:eastAsiaTheme="minorEastAsia" w:hAnsiTheme="majorBidi" w:cstheme="majorBidi"/>
              <w:noProof/>
              <w:sz w:val="22"/>
              <w:szCs w:val="22"/>
              <w:lang w:eastAsia="zh-CN"/>
            </w:rPr>
          </w:pPr>
          <w:hyperlink w:anchor="_Toc515525404" w:history="1">
            <w:r w:rsidR="00625FF3" w:rsidRPr="00162A79">
              <w:rPr>
                <w:rStyle w:val="Hyperlink"/>
                <w:rFonts w:asciiTheme="majorBidi" w:hAnsiTheme="majorBidi" w:cstheme="majorBidi"/>
                <w:noProof/>
              </w:rPr>
              <w:t>2.1</w:t>
            </w:r>
            <w:r w:rsidR="00625FF3" w:rsidRPr="00162A79">
              <w:rPr>
                <w:rFonts w:asciiTheme="majorBidi" w:eastAsiaTheme="minorEastAsia" w:hAnsiTheme="majorBidi" w:cstheme="majorBidi"/>
                <w:noProof/>
                <w:sz w:val="22"/>
                <w:szCs w:val="22"/>
                <w:lang w:eastAsia="zh-CN"/>
              </w:rPr>
              <w:tab/>
            </w:r>
            <w:r w:rsidR="00625FF3" w:rsidRPr="00162A79">
              <w:rPr>
                <w:rStyle w:val="Hyperlink"/>
                <w:rFonts w:asciiTheme="majorBidi" w:hAnsiTheme="majorBidi" w:cstheme="majorBidi"/>
                <w:noProof/>
              </w:rPr>
              <w:t>Arrangement for evolving ITS in the United States</w:t>
            </w:r>
            <w:r w:rsidR="00625FF3" w:rsidRPr="00162A79">
              <w:rPr>
                <w:rFonts w:asciiTheme="majorBidi" w:hAnsiTheme="majorBidi" w:cstheme="majorBidi"/>
                <w:noProof/>
                <w:webHidden/>
              </w:rPr>
              <w:tab/>
            </w:r>
            <w:r w:rsidR="00625FF3" w:rsidRPr="00162A79">
              <w:rPr>
                <w:rFonts w:asciiTheme="majorBidi" w:hAnsiTheme="majorBidi" w:cstheme="majorBidi"/>
                <w:noProof/>
                <w:webHidden/>
              </w:rPr>
              <w:tab/>
            </w:r>
            <w:r w:rsidR="00625FF3" w:rsidRPr="00162A79">
              <w:rPr>
                <w:rFonts w:asciiTheme="majorBidi" w:hAnsiTheme="majorBidi" w:cstheme="majorBidi"/>
                <w:noProof/>
                <w:webHidden/>
              </w:rPr>
              <w:fldChar w:fldCharType="begin"/>
            </w:r>
            <w:r w:rsidR="00625FF3" w:rsidRPr="00162A79">
              <w:rPr>
                <w:rFonts w:asciiTheme="majorBidi" w:hAnsiTheme="majorBidi" w:cstheme="majorBidi"/>
                <w:noProof/>
                <w:webHidden/>
              </w:rPr>
              <w:instrText xml:space="preserve"> PAGEREF _Toc515525404 \h </w:instrText>
            </w:r>
            <w:r w:rsidR="00625FF3" w:rsidRPr="00162A79">
              <w:rPr>
                <w:rFonts w:asciiTheme="majorBidi" w:hAnsiTheme="majorBidi" w:cstheme="majorBidi"/>
                <w:noProof/>
                <w:webHidden/>
              </w:rPr>
            </w:r>
            <w:r w:rsidR="00625FF3" w:rsidRPr="00162A79">
              <w:rPr>
                <w:rFonts w:asciiTheme="majorBidi" w:hAnsiTheme="majorBidi" w:cstheme="majorBidi"/>
                <w:noProof/>
                <w:webHidden/>
              </w:rPr>
              <w:fldChar w:fldCharType="separate"/>
            </w:r>
            <w:r>
              <w:rPr>
                <w:rFonts w:asciiTheme="majorBidi" w:hAnsiTheme="majorBidi" w:cstheme="majorBidi"/>
                <w:noProof/>
                <w:webHidden/>
              </w:rPr>
              <w:t>3</w:t>
            </w:r>
            <w:r w:rsidR="00625FF3" w:rsidRPr="00162A79">
              <w:rPr>
                <w:rFonts w:asciiTheme="majorBidi" w:hAnsiTheme="majorBidi" w:cstheme="majorBidi"/>
                <w:noProof/>
                <w:webHidden/>
              </w:rPr>
              <w:fldChar w:fldCharType="end"/>
            </w:r>
          </w:hyperlink>
        </w:p>
        <w:p w:rsidR="00625FF3" w:rsidRPr="00162A79" w:rsidRDefault="00107330" w:rsidP="00625FF3">
          <w:pPr>
            <w:pStyle w:val="TOC1"/>
            <w:rPr>
              <w:rFonts w:asciiTheme="majorBidi" w:eastAsiaTheme="minorEastAsia" w:hAnsiTheme="majorBidi" w:cstheme="majorBidi"/>
              <w:noProof/>
              <w:sz w:val="22"/>
              <w:szCs w:val="22"/>
              <w:lang w:eastAsia="zh-CN"/>
            </w:rPr>
          </w:pPr>
          <w:hyperlink w:anchor="_Toc515525405" w:history="1">
            <w:r w:rsidR="00625FF3" w:rsidRPr="00162A79">
              <w:rPr>
                <w:rStyle w:val="Hyperlink"/>
                <w:rFonts w:asciiTheme="majorBidi" w:hAnsiTheme="majorBidi" w:cstheme="majorBidi"/>
                <w:noProof/>
              </w:rPr>
              <w:t>3</w:t>
            </w:r>
            <w:r w:rsidR="00625FF3" w:rsidRPr="00162A79">
              <w:rPr>
                <w:rFonts w:asciiTheme="majorBidi" w:eastAsiaTheme="minorEastAsia" w:hAnsiTheme="majorBidi" w:cstheme="majorBidi"/>
                <w:noProof/>
                <w:sz w:val="22"/>
                <w:szCs w:val="22"/>
                <w:lang w:eastAsia="zh-CN"/>
              </w:rPr>
              <w:tab/>
            </w:r>
            <w:r w:rsidR="00625FF3" w:rsidRPr="00162A79">
              <w:rPr>
                <w:rStyle w:val="Hyperlink"/>
                <w:rFonts w:asciiTheme="majorBidi" w:hAnsiTheme="majorBidi" w:cstheme="majorBidi"/>
                <w:noProof/>
              </w:rPr>
              <w:t xml:space="preserve">Examples of arrangements for evolving </w:t>
            </w:r>
            <w:r w:rsidR="00625FF3" w:rsidRPr="00162A79">
              <w:rPr>
                <w:rStyle w:val="Hyperlink"/>
                <w:rFonts w:asciiTheme="majorBidi" w:hAnsiTheme="majorBidi" w:cstheme="majorBidi"/>
                <w:bCs/>
                <w:iCs/>
                <w:noProof/>
              </w:rPr>
              <w:t>intelligent transportation</w:t>
            </w:r>
            <w:r w:rsidR="00625FF3" w:rsidRPr="00162A79">
              <w:rPr>
                <w:rStyle w:val="Hyperlink"/>
                <w:rFonts w:asciiTheme="majorBidi" w:hAnsiTheme="majorBidi" w:cstheme="majorBidi"/>
                <w:bCs/>
                <w:iCs/>
                <w:noProof/>
              </w:rPr>
              <w:br/>
              <w:t>systems (ITS) in R</w:t>
            </w:r>
            <w:r w:rsidR="00625FF3" w:rsidRPr="00162A79">
              <w:rPr>
                <w:rStyle w:val="Hyperlink"/>
                <w:rFonts w:asciiTheme="majorBidi" w:hAnsiTheme="majorBidi" w:cstheme="majorBidi"/>
                <w:noProof/>
              </w:rPr>
              <w:t>egion 3</w:t>
            </w:r>
            <w:r w:rsidR="00625FF3" w:rsidRPr="00162A79">
              <w:rPr>
                <w:rFonts w:asciiTheme="majorBidi" w:hAnsiTheme="majorBidi" w:cstheme="majorBidi"/>
                <w:noProof/>
                <w:webHidden/>
              </w:rPr>
              <w:tab/>
            </w:r>
            <w:r w:rsidR="00625FF3" w:rsidRPr="00162A79">
              <w:rPr>
                <w:rFonts w:asciiTheme="majorBidi" w:hAnsiTheme="majorBidi" w:cstheme="majorBidi"/>
                <w:noProof/>
                <w:webHidden/>
              </w:rPr>
              <w:tab/>
            </w:r>
            <w:r w:rsidR="00625FF3" w:rsidRPr="00162A79">
              <w:rPr>
                <w:rFonts w:asciiTheme="majorBidi" w:hAnsiTheme="majorBidi" w:cstheme="majorBidi"/>
                <w:noProof/>
                <w:webHidden/>
              </w:rPr>
              <w:fldChar w:fldCharType="begin"/>
            </w:r>
            <w:r w:rsidR="00625FF3" w:rsidRPr="00162A79">
              <w:rPr>
                <w:rFonts w:asciiTheme="majorBidi" w:hAnsiTheme="majorBidi" w:cstheme="majorBidi"/>
                <w:noProof/>
                <w:webHidden/>
              </w:rPr>
              <w:instrText xml:space="preserve"> PAGEREF _Toc515525405 \h </w:instrText>
            </w:r>
            <w:r w:rsidR="00625FF3" w:rsidRPr="00162A79">
              <w:rPr>
                <w:rFonts w:asciiTheme="majorBidi" w:hAnsiTheme="majorBidi" w:cstheme="majorBidi"/>
                <w:noProof/>
                <w:webHidden/>
              </w:rPr>
            </w:r>
            <w:r w:rsidR="00625FF3" w:rsidRPr="00162A79">
              <w:rPr>
                <w:rFonts w:asciiTheme="majorBidi" w:hAnsiTheme="majorBidi" w:cstheme="majorBidi"/>
                <w:noProof/>
                <w:webHidden/>
              </w:rPr>
              <w:fldChar w:fldCharType="separate"/>
            </w:r>
            <w:r>
              <w:rPr>
                <w:rFonts w:asciiTheme="majorBidi" w:hAnsiTheme="majorBidi" w:cstheme="majorBidi"/>
                <w:noProof/>
                <w:webHidden/>
              </w:rPr>
              <w:t>4</w:t>
            </w:r>
            <w:r w:rsidR="00625FF3" w:rsidRPr="00162A79">
              <w:rPr>
                <w:rFonts w:asciiTheme="majorBidi" w:hAnsiTheme="majorBidi" w:cstheme="majorBidi"/>
                <w:noProof/>
                <w:webHidden/>
              </w:rPr>
              <w:fldChar w:fldCharType="end"/>
            </w:r>
          </w:hyperlink>
        </w:p>
        <w:p w:rsidR="00625FF3" w:rsidRPr="00162A79" w:rsidRDefault="00107330">
          <w:pPr>
            <w:pStyle w:val="TOC2"/>
            <w:rPr>
              <w:rFonts w:asciiTheme="majorBidi" w:eastAsiaTheme="minorEastAsia" w:hAnsiTheme="majorBidi" w:cstheme="majorBidi"/>
              <w:noProof/>
              <w:sz w:val="22"/>
              <w:szCs w:val="22"/>
              <w:lang w:eastAsia="zh-CN"/>
            </w:rPr>
          </w:pPr>
          <w:hyperlink w:anchor="_Toc515525406" w:history="1">
            <w:r w:rsidR="00625FF3" w:rsidRPr="00162A79">
              <w:rPr>
                <w:rStyle w:val="Hyperlink"/>
                <w:rFonts w:asciiTheme="majorBidi" w:hAnsiTheme="majorBidi" w:cstheme="majorBidi"/>
                <w:noProof/>
              </w:rPr>
              <w:t>3.1</w:t>
            </w:r>
            <w:r w:rsidR="00625FF3" w:rsidRPr="00162A79">
              <w:rPr>
                <w:rFonts w:asciiTheme="majorBidi" w:eastAsiaTheme="minorEastAsia" w:hAnsiTheme="majorBidi" w:cstheme="majorBidi"/>
                <w:noProof/>
                <w:sz w:val="22"/>
                <w:szCs w:val="22"/>
                <w:lang w:eastAsia="zh-CN"/>
              </w:rPr>
              <w:tab/>
            </w:r>
            <w:r w:rsidR="00625FF3" w:rsidRPr="00162A79">
              <w:rPr>
                <w:rStyle w:val="Hyperlink"/>
                <w:rFonts w:asciiTheme="majorBidi" w:hAnsiTheme="majorBidi" w:cstheme="majorBidi"/>
                <w:noProof/>
              </w:rPr>
              <w:t>Frequency use in Japan</w:t>
            </w:r>
            <w:r w:rsidR="00625FF3" w:rsidRPr="00162A79">
              <w:rPr>
                <w:rFonts w:asciiTheme="majorBidi" w:hAnsiTheme="majorBidi" w:cstheme="majorBidi"/>
                <w:noProof/>
                <w:webHidden/>
              </w:rPr>
              <w:tab/>
            </w:r>
            <w:r w:rsidR="00625FF3" w:rsidRPr="00162A79">
              <w:rPr>
                <w:rFonts w:asciiTheme="majorBidi" w:hAnsiTheme="majorBidi" w:cstheme="majorBidi"/>
                <w:noProof/>
                <w:webHidden/>
              </w:rPr>
              <w:tab/>
            </w:r>
            <w:r w:rsidR="00625FF3" w:rsidRPr="00162A79">
              <w:rPr>
                <w:rFonts w:asciiTheme="majorBidi" w:hAnsiTheme="majorBidi" w:cstheme="majorBidi"/>
                <w:noProof/>
                <w:webHidden/>
              </w:rPr>
              <w:fldChar w:fldCharType="begin"/>
            </w:r>
            <w:r w:rsidR="00625FF3" w:rsidRPr="00162A79">
              <w:rPr>
                <w:rFonts w:asciiTheme="majorBidi" w:hAnsiTheme="majorBidi" w:cstheme="majorBidi"/>
                <w:noProof/>
                <w:webHidden/>
              </w:rPr>
              <w:instrText xml:space="preserve"> PAGEREF _Toc515525406 \h </w:instrText>
            </w:r>
            <w:r w:rsidR="00625FF3" w:rsidRPr="00162A79">
              <w:rPr>
                <w:rFonts w:asciiTheme="majorBidi" w:hAnsiTheme="majorBidi" w:cstheme="majorBidi"/>
                <w:noProof/>
                <w:webHidden/>
              </w:rPr>
            </w:r>
            <w:r w:rsidR="00625FF3" w:rsidRPr="00162A79">
              <w:rPr>
                <w:rFonts w:asciiTheme="majorBidi" w:hAnsiTheme="majorBidi" w:cstheme="majorBidi"/>
                <w:noProof/>
                <w:webHidden/>
              </w:rPr>
              <w:fldChar w:fldCharType="separate"/>
            </w:r>
            <w:r>
              <w:rPr>
                <w:rFonts w:asciiTheme="majorBidi" w:hAnsiTheme="majorBidi" w:cstheme="majorBidi"/>
                <w:noProof/>
                <w:webHidden/>
              </w:rPr>
              <w:t>5</w:t>
            </w:r>
            <w:r w:rsidR="00625FF3" w:rsidRPr="00162A79">
              <w:rPr>
                <w:rFonts w:asciiTheme="majorBidi" w:hAnsiTheme="majorBidi" w:cstheme="majorBidi"/>
                <w:noProof/>
                <w:webHidden/>
              </w:rPr>
              <w:fldChar w:fldCharType="end"/>
            </w:r>
          </w:hyperlink>
        </w:p>
        <w:p w:rsidR="00625FF3" w:rsidRPr="00162A79" w:rsidRDefault="00107330">
          <w:pPr>
            <w:pStyle w:val="TOC2"/>
            <w:rPr>
              <w:rFonts w:asciiTheme="majorBidi" w:eastAsiaTheme="minorEastAsia" w:hAnsiTheme="majorBidi" w:cstheme="majorBidi"/>
              <w:noProof/>
              <w:sz w:val="22"/>
              <w:szCs w:val="22"/>
              <w:lang w:eastAsia="zh-CN"/>
            </w:rPr>
          </w:pPr>
          <w:hyperlink w:anchor="_Toc515525407" w:history="1">
            <w:r w:rsidR="00625FF3" w:rsidRPr="00162A79">
              <w:rPr>
                <w:rStyle w:val="Hyperlink"/>
                <w:rFonts w:asciiTheme="majorBidi" w:hAnsiTheme="majorBidi" w:cstheme="majorBidi"/>
                <w:noProof/>
                <w:lang w:eastAsia="ja-JP"/>
              </w:rPr>
              <w:t>3.2</w:t>
            </w:r>
            <w:r w:rsidR="00625FF3" w:rsidRPr="00162A79">
              <w:rPr>
                <w:rFonts w:asciiTheme="majorBidi" w:eastAsiaTheme="minorEastAsia" w:hAnsiTheme="majorBidi" w:cstheme="majorBidi"/>
                <w:noProof/>
                <w:sz w:val="22"/>
                <w:szCs w:val="22"/>
                <w:lang w:eastAsia="zh-CN"/>
              </w:rPr>
              <w:tab/>
            </w:r>
            <w:r w:rsidR="00625FF3" w:rsidRPr="00162A79">
              <w:rPr>
                <w:rStyle w:val="Hyperlink"/>
                <w:rFonts w:asciiTheme="majorBidi" w:hAnsiTheme="majorBidi" w:cstheme="majorBidi"/>
                <w:noProof/>
                <w:lang w:eastAsia="ja-JP"/>
              </w:rPr>
              <w:t xml:space="preserve">Frequency use in </w:t>
            </w:r>
            <w:r w:rsidR="00625FF3" w:rsidRPr="00162A79">
              <w:rPr>
                <w:rStyle w:val="Hyperlink"/>
                <w:rFonts w:asciiTheme="majorBidi" w:hAnsiTheme="majorBidi" w:cstheme="majorBidi"/>
                <w:noProof/>
              </w:rPr>
              <w:t>Korea</w:t>
            </w:r>
            <w:r w:rsidR="00625FF3" w:rsidRPr="00162A79">
              <w:rPr>
                <w:rFonts w:asciiTheme="majorBidi" w:hAnsiTheme="majorBidi" w:cstheme="majorBidi"/>
                <w:noProof/>
                <w:webHidden/>
              </w:rPr>
              <w:tab/>
            </w:r>
            <w:r w:rsidR="00625FF3" w:rsidRPr="00162A79">
              <w:rPr>
                <w:rFonts w:asciiTheme="majorBidi" w:hAnsiTheme="majorBidi" w:cstheme="majorBidi"/>
                <w:noProof/>
                <w:webHidden/>
              </w:rPr>
              <w:tab/>
            </w:r>
            <w:r w:rsidR="00625FF3" w:rsidRPr="00162A79">
              <w:rPr>
                <w:rFonts w:asciiTheme="majorBidi" w:hAnsiTheme="majorBidi" w:cstheme="majorBidi"/>
                <w:noProof/>
                <w:webHidden/>
              </w:rPr>
              <w:fldChar w:fldCharType="begin"/>
            </w:r>
            <w:r w:rsidR="00625FF3" w:rsidRPr="00162A79">
              <w:rPr>
                <w:rFonts w:asciiTheme="majorBidi" w:hAnsiTheme="majorBidi" w:cstheme="majorBidi"/>
                <w:noProof/>
                <w:webHidden/>
              </w:rPr>
              <w:instrText xml:space="preserve"> PAGEREF _Toc515525407 \h </w:instrText>
            </w:r>
            <w:r w:rsidR="00625FF3" w:rsidRPr="00162A79">
              <w:rPr>
                <w:rFonts w:asciiTheme="majorBidi" w:hAnsiTheme="majorBidi" w:cstheme="majorBidi"/>
                <w:noProof/>
                <w:webHidden/>
              </w:rPr>
            </w:r>
            <w:r w:rsidR="00625FF3" w:rsidRPr="00162A79">
              <w:rPr>
                <w:rFonts w:asciiTheme="majorBidi" w:hAnsiTheme="majorBidi" w:cstheme="majorBidi"/>
                <w:noProof/>
                <w:webHidden/>
              </w:rPr>
              <w:fldChar w:fldCharType="separate"/>
            </w:r>
            <w:r>
              <w:rPr>
                <w:rFonts w:asciiTheme="majorBidi" w:hAnsiTheme="majorBidi" w:cstheme="majorBidi"/>
                <w:noProof/>
                <w:webHidden/>
              </w:rPr>
              <w:t>6</w:t>
            </w:r>
            <w:r w:rsidR="00625FF3" w:rsidRPr="00162A79">
              <w:rPr>
                <w:rFonts w:asciiTheme="majorBidi" w:hAnsiTheme="majorBidi" w:cstheme="majorBidi"/>
                <w:noProof/>
                <w:webHidden/>
              </w:rPr>
              <w:fldChar w:fldCharType="end"/>
            </w:r>
          </w:hyperlink>
        </w:p>
        <w:p w:rsidR="00625FF3" w:rsidRPr="00162A79" w:rsidRDefault="00107330">
          <w:pPr>
            <w:pStyle w:val="TOC2"/>
            <w:rPr>
              <w:rFonts w:asciiTheme="majorBidi" w:eastAsiaTheme="minorEastAsia" w:hAnsiTheme="majorBidi" w:cstheme="majorBidi"/>
              <w:noProof/>
              <w:sz w:val="22"/>
              <w:szCs w:val="22"/>
              <w:lang w:eastAsia="zh-CN"/>
            </w:rPr>
          </w:pPr>
          <w:hyperlink w:anchor="_Toc515525408" w:history="1">
            <w:r w:rsidR="00625FF3" w:rsidRPr="00162A79">
              <w:rPr>
                <w:rStyle w:val="Hyperlink"/>
                <w:rFonts w:asciiTheme="majorBidi" w:hAnsiTheme="majorBidi" w:cstheme="majorBidi"/>
                <w:noProof/>
                <w:lang w:eastAsia="ja-JP"/>
              </w:rPr>
              <w:t>3.3</w:t>
            </w:r>
            <w:r w:rsidR="00625FF3" w:rsidRPr="00162A79">
              <w:rPr>
                <w:rFonts w:asciiTheme="majorBidi" w:eastAsiaTheme="minorEastAsia" w:hAnsiTheme="majorBidi" w:cstheme="majorBidi"/>
                <w:noProof/>
                <w:sz w:val="22"/>
                <w:szCs w:val="22"/>
                <w:lang w:eastAsia="zh-CN"/>
              </w:rPr>
              <w:tab/>
            </w:r>
            <w:r w:rsidR="00625FF3" w:rsidRPr="00162A79">
              <w:rPr>
                <w:rStyle w:val="Hyperlink"/>
                <w:rFonts w:asciiTheme="majorBidi" w:hAnsiTheme="majorBidi" w:cstheme="majorBidi"/>
                <w:noProof/>
                <w:lang w:eastAsia="ja-JP"/>
              </w:rPr>
              <w:t xml:space="preserve">Frequency use in </w:t>
            </w:r>
            <w:r w:rsidR="00625FF3" w:rsidRPr="00162A79">
              <w:rPr>
                <w:rStyle w:val="Hyperlink"/>
                <w:rFonts w:asciiTheme="majorBidi" w:hAnsiTheme="majorBidi" w:cstheme="majorBidi"/>
                <w:noProof/>
              </w:rPr>
              <w:t>Singapore</w:t>
            </w:r>
            <w:r w:rsidR="00625FF3" w:rsidRPr="00162A79">
              <w:rPr>
                <w:rFonts w:asciiTheme="majorBidi" w:hAnsiTheme="majorBidi" w:cstheme="majorBidi"/>
                <w:noProof/>
                <w:webHidden/>
              </w:rPr>
              <w:tab/>
            </w:r>
            <w:r w:rsidR="00625FF3" w:rsidRPr="00162A79">
              <w:rPr>
                <w:rFonts w:asciiTheme="majorBidi" w:hAnsiTheme="majorBidi" w:cstheme="majorBidi"/>
                <w:noProof/>
                <w:webHidden/>
              </w:rPr>
              <w:tab/>
            </w:r>
            <w:r w:rsidR="00625FF3" w:rsidRPr="00162A79">
              <w:rPr>
                <w:rFonts w:asciiTheme="majorBidi" w:hAnsiTheme="majorBidi" w:cstheme="majorBidi"/>
                <w:noProof/>
                <w:webHidden/>
              </w:rPr>
              <w:fldChar w:fldCharType="begin"/>
            </w:r>
            <w:r w:rsidR="00625FF3" w:rsidRPr="00162A79">
              <w:rPr>
                <w:rFonts w:asciiTheme="majorBidi" w:hAnsiTheme="majorBidi" w:cstheme="majorBidi"/>
                <w:noProof/>
                <w:webHidden/>
              </w:rPr>
              <w:instrText xml:space="preserve"> PAGEREF _Toc515525408 \h </w:instrText>
            </w:r>
            <w:r w:rsidR="00625FF3" w:rsidRPr="00162A79">
              <w:rPr>
                <w:rFonts w:asciiTheme="majorBidi" w:hAnsiTheme="majorBidi" w:cstheme="majorBidi"/>
                <w:noProof/>
                <w:webHidden/>
              </w:rPr>
            </w:r>
            <w:r w:rsidR="00625FF3" w:rsidRPr="00162A79">
              <w:rPr>
                <w:rFonts w:asciiTheme="majorBidi" w:hAnsiTheme="majorBidi" w:cstheme="majorBidi"/>
                <w:noProof/>
                <w:webHidden/>
              </w:rPr>
              <w:fldChar w:fldCharType="separate"/>
            </w:r>
            <w:r>
              <w:rPr>
                <w:rFonts w:asciiTheme="majorBidi" w:hAnsiTheme="majorBidi" w:cstheme="majorBidi"/>
                <w:noProof/>
                <w:webHidden/>
              </w:rPr>
              <w:t>6</w:t>
            </w:r>
            <w:r w:rsidR="00625FF3" w:rsidRPr="00162A79">
              <w:rPr>
                <w:rFonts w:asciiTheme="majorBidi" w:hAnsiTheme="majorBidi" w:cstheme="majorBidi"/>
                <w:noProof/>
                <w:webHidden/>
              </w:rPr>
              <w:fldChar w:fldCharType="end"/>
            </w:r>
          </w:hyperlink>
        </w:p>
        <w:p w:rsidR="00625FF3" w:rsidRPr="00162A79" w:rsidRDefault="00107330">
          <w:pPr>
            <w:pStyle w:val="TOC2"/>
            <w:rPr>
              <w:rFonts w:asciiTheme="majorBidi" w:eastAsiaTheme="minorEastAsia" w:hAnsiTheme="majorBidi" w:cstheme="majorBidi"/>
              <w:noProof/>
              <w:sz w:val="22"/>
              <w:szCs w:val="22"/>
              <w:lang w:eastAsia="zh-CN"/>
            </w:rPr>
          </w:pPr>
          <w:hyperlink w:anchor="_Toc515525409" w:history="1">
            <w:r w:rsidR="00625FF3" w:rsidRPr="00162A79">
              <w:rPr>
                <w:rStyle w:val="Hyperlink"/>
                <w:rFonts w:asciiTheme="majorBidi" w:hAnsiTheme="majorBidi" w:cstheme="majorBidi"/>
                <w:noProof/>
                <w:lang w:eastAsia="ja-JP"/>
              </w:rPr>
              <w:t>3.4</w:t>
            </w:r>
            <w:r w:rsidR="00625FF3" w:rsidRPr="00162A79">
              <w:rPr>
                <w:rFonts w:asciiTheme="majorBidi" w:eastAsiaTheme="minorEastAsia" w:hAnsiTheme="majorBidi" w:cstheme="majorBidi"/>
                <w:noProof/>
                <w:sz w:val="22"/>
                <w:szCs w:val="22"/>
                <w:lang w:eastAsia="zh-CN"/>
              </w:rPr>
              <w:tab/>
            </w:r>
            <w:r w:rsidR="00625FF3" w:rsidRPr="00162A79">
              <w:rPr>
                <w:rStyle w:val="Hyperlink"/>
                <w:rFonts w:asciiTheme="majorBidi" w:hAnsiTheme="majorBidi" w:cstheme="majorBidi"/>
                <w:noProof/>
                <w:lang w:eastAsia="ja-JP"/>
              </w:rPr>
              <w:t xml:space="preserve">Frequency use in </w:t>
            </w:r>
            <w:r w:rsidR="00625FF3" w:rsidRPr="00162A79">
              <w:rPr>
                <w:rStyle w:val="Hyperlink"/>
                <w:rFonts w:asciiTheme="majorBidi" w:hAnsiTheme="majorBidi" w:cstheme="majorBidi"/>
                <w:noProof/>
              </w:rPr>
              <w:t>Australia</w:t>
            </w:r>
            <w:r w:rsidR="00625FF3" w:rsidRPr="00162A79">
              <w:rPr>
                <w:rFonts w:asciiTheme="majorBidi" w:hAnsiTheme="majorBidi" w:cstheme="majorBidi"/>
                <w:noProof/>
                <w:webHidden/>
              </w:rPr>
              <w:tab/>
            </w:r>
            <w:r w:rsidR="00625FF3" w:rsidRPr="00162A79">
              <w:rPr>
                <w:rFonts w:asciiTheme="majorBidi" w:hAnsiTheme="majorBidi" w:cstheme="majorBidi"/>
                <w:noProof/>
                <w:webHidden/>
              </w:rPr>
              <w:tab/>
            </w:r>
            <w:r w:rsidR="00625FF3" w:rsidRPr="00162A79">
              <w:rPr>
                <w:rFonts w:asciiTheme="majorBidi" w:hAnsiTheme="majorBidi" w:cstheme="majorBidi"/>
                <w:noProof/>
                <w:webHidden/>
              </w:rPr>
              <w:fldChar w:fldCharType="begin"/>
            </w:r>
            <w:r w:rsidR="00625FF3" w:rsidRPr="00162A79">
              <w:rPr>
                <w:rFonts w:asciiTheme="majorBidi" w:hAnsiTheme="majorBidi" w:cstheme="majorBidi"/>
                <w:noProof/>
                <w:webHidden/>
              </w:rPr>
              <w:instrText xml:space="preserve"> PAGEREF _Toc515525409 \h </w:instrText>
            </w:r>
            <w:r w:rsidR="00625FF3" w:rsidRPr="00162A79">
              <w:rPr>
                <w:rFonts w:asciiTheme="majorBidi" w:hAnsiTheme="majorBidi" w:cstheme="majorBidi"/>
                <w:noProof/>
                <w:webHidden/>
              </w:rPr>
            </w:r>
            <w:r w:rsidR="00625FF3" w:rsidRPr="00162A79">
              <w:rPr>
                <w:rFonts w:asciiTheme="majorBidi" w:hAnsiTheme="majorBidi" w:cstheme="majorBidi"/>
                <w:noProof/>
                <w:webHidden/>
              </w:rPr>
              <w:fldChar w:fldCharType="separate"/>
            </w:r>
            <w:r>
              <w:rPr>
                <w:rFonts w:asciiTheme="majorBidi" w:hAnsiTheme="majorBidi" w:cstheme="majorBidi"/>
                <w:noProof/>
                <w:webHidden/>
              </w:rPr>
              <w:t>7</w:t>
            </w:r>
            <w:r w:rsidR="00625FF3" w:rsidRPr="00162A79">
              <w:rPr>
                <w:rFonts w:asciiTheme="majorBidi" w:hAnsiTheme="majorBidi" w:cstheme="majorBidi"/>
                <w:noProof/>
                <w:webHidden/>
              </w:rPr>
              <w:fldChar w:fldCharType="end"/>
            </w:r>
          </w:hyperlink>
        </w:p>
        <w:p w:rsidR="00625FF3" w:rsidRPr="00162A79" w:rsidRDefault="00107330">
          <w:pPr>
            <w:pStyle w:val="TOC1"/>
            <w:rPr>
              <w:rFonts w:asciiTheme="majorBidi" w:eastAsiaTheme="minorEastAsia" w:hAnsiTheme="majorBidi" w:cstheme="majorBidi"/>
              <w:noProof/>
              <w:sz w:val="22"/>
              <w:szCs w:val="22"/>
              <w:lang w:eastAsia="zh-CN"/>
            </w:rPr>
          </w:pPr>
          <w:hyperlink w:anchor="_Toc515525410" w:history="1">
            <w:r w:rsidR="00625FF3" w:rsidRPr="00162A79">
              <w:rPr>
                <w:rStyle w:val="Hyperlink"/>
                <w:rFonts w:asciiTheme="majorBidi" w:hAnsiTheme="majorBidi" w:cstheme="majorBidi"/>
                <w:noProof/>
              </w:rPr>
              <w:t>4</w:t>
            </w:r>
            <w:r w:rsidR="00625FF3" w:rsidRPr="00162A79">
              <w:rPr>
                <w:rFonts w:asciiTheme="majorBidi" w:eastAsiaTheme="minorEastAsia" w:hAnsiTheme="majorBidi" w:cstheme="majorBidi"/>
                <w:noProof/>
                <w:sz w:val="22"/>
                <w:szCs w:val="22"/>
                <w:lang w:eastAsia="zh-CN"/>
              </w:rPr>
              <w:tab/>
            </w:r>
            <w:r w:rsidR="00625FF3" w:rsidRPr="00162A79">
              <w:rPr>
                <w:rStyle w:val="Hyperlink"/>
                <w:rFonts w:asciiTheme="majorBidi" w:hAnsiTheme="majorBidi" w:cstheme="majorBidi"/>
                <w:noProof/>
              </w:rPr>
              <w:t>Examples of other arrangements for intellige</w:t>
            </w:r>
            <w:r w:rsidR="00625FF3" w:rsidRPr="00162A79">
              <w:rPr>
                <w:rStyle w:val="Hyperlink"/>
                <w:rFonts w:asciiTheme="majorBidi" w:hAnsiTheme="majorBidi" w:cstheme="majorBidi"/>
                <w:noProof/>
              </w:rPr>
              <w:t>n</w:t>
            </w:r>
            <w:r w:rsidR="00625FF3" w:rsidRPr="00162A79">
              <w:rPr>
                <w:rStyle w:val="Hyperlink"/>
                <w:rFonts w:asciiTheme="majorBidi" w:hAnsiTheme="majorBidi" w:cstheme="majorBidi"/>
                <w:noProof/>
              </w:rPr>
              <w:t>t transportation systems (ITS)</w:t>
            </w:r>
            <w:r w:rsidR="00625FF3" w:rsidRPr="00162A79">
              <w:rPr>
                <w:rFonts w:asciiTheme="majorBidi" w:hAnsiTheme="majorBidi" w:cstheme="majorBidi"/>
                <w:noProof/>
                <w:webHidden/>
              </w:rPr>
              <w:tab/>
            </w:r>
            <w:r w:rsidR="00625FF3" w:rsidRPr="00162A79">
              <w:rPr>
                <w:rFonts w:asciiTheme="majorBidi" w:hAnsiTheme="majorBidi" w:cstheme="majorBidi"/>
                <w:noProof/>
                <w:webHidden/>
              </w:rPr>
              <w:tab/>
            </w:r>
            <w:r w:rsidR="00625FF3" w:rsidRPr="00162A79">
              <w:rPr>
                <w:rFonts w:asciiTheme="majorBidi" w:hAnsiTheme="majorBidi" w:cstheme="majorBidi"/>
                <w:noProof/>
                <w:webHidden/>
              </w:rPr>
              <w:fldChar w:fldCharType="begin"/>
            </w:r>
            <w:r w:rsidR="00625FF3" w:rsidRPr="00162A79">
              <w:rPr>
                <w:rFonts w:asciiTheme="majorBidi" w:hAnsiTheme="majorBidi" w:cstheme="majorBidi"/>
                <w:noProof/>
                <w:webHidden/>
              </w:rPr>
              <w:instrText xml:space="preserve"> PAGEREF _Toc515525410 \h </w:instrText>
            </w:r>
            <w:r w:rsidR="00625FF3" w:rsidRPr="00162A79">
              <w:rPr>
                <w:rFonts w:asciiTheme="majorBidi" w:hAnsiTheme="majorBidi" w:cstheme="majorBidi"/>
                <w:noProof/>
                <w:webHidden/>
              </w:rPr>
            </w:r>
            <w:r w:rsidR="00625FF3" w:rsidRPr="00162A79">
              <w:rPr>
                <w:rFonts w:asciiTheme="majorBidi" w:hAnsiTheme="majorBidi" w:cstheme="majorBidi"/>
                <w:noProof/>
                <w:webHidden/>
              </w:rPr>
              <w:fldChar w:fldCharType="separate"/>
            </w:r>
            <w:r>
              <w:rPr>
                <w:rFonts w:asciiTheme="majorBidi" w:hAnsiTheme="majorBidi" w:cstheme="majorBidi"/>
                <w:noProof/>
                <w:webHidden/>
              </w:rPr>
              <w:t>7</w:t>
            </w:r>
            <w:r w:rsidR="00625FF3" w:rsidRPr="00162A79">
              <w:rPr>
                <w:rFonts w:asciiTheme="majorBidi" w:hAnsiTheme="majorBidi" w:cstheme="majorBidi"/>
                <w:noProof/>
                <w:webHidden/>
              </w:rPr>
              <w:fldChar w:fldCharType="end"/>
            </w:r>
          </w:hyperlink>
        </w:p>
        <w:p w:rsidR="00F26449" w:rsidRPr="00162A79" w:rsidRDefault="00F26449">
          <w:pPr>
            <w:rPr>
              <w:sz w:val="8"/>
              <w:szCs w:val="8"/>
            </w:rPr>
          </w:pPr>
          <w:r w:rsidRPr="00162A79">
            <w:rPr>
              <w:rFonts w:asciiTheme="majorBidi" w:hAnsiTheme="majorBidi" w:cstheme="majorBidi"/>
            </w:rPr>
            <w:lastRenderedPageBreak/>
            <w:fldChar w:fldCharType="end"/>
          </w:r>
        </w:p>
      </w:sdtContent>
    </w:sdt>
    <w:p w:rsidR="00F26449" w:rsidRPr="00162A79" w:rsidRDefault="00F26449" w:rsidP="00C91CAA">
      <w:pPr>
        <w:pStyle w:val="Heading1"/>
      </w:pPr>
      <w:bookmarkStart w:id="10" w:name="_Toc514254829"/>
      <w:bookmarkStart w:id="11" w:name="_Toc515525400"/>
      <w:r w:rsidRPr="00162A79">
        <w:t>1</w:t>
      </w:r>
      <w:r w:rsidRPr="00162A79">
        <w:tab/>
        <w:t>Examples of arrangements for evolving intelligent transportation systems (ITS) in Region 1</w:t>
      </w:r>
      <w:bookmarkEnd w:id="10"/>
      <w:bookmarkEnd w:id="11"/>
    </w:p>
    <w:p w:rsidR="00F26449" w:rsidRPr="00162A79" w:rsidRDefault="00F26449" w:rsidP="00C91CAA">
      <w:pPr>
        <w:pStyle w:val="Heading2"/>
      </w:pPr>
      <w:bookmarkStart w:id="12" w:name="_Toc514254830"/>
      <w:bookmarkStart w:id="13" w:name="_Toc515525401"/>
      <w:r w:rsidRPr="00162A79">
        <w:t>1.1</w:t>
      </w:r>
      <w:r w:rsidRPr="00162A79">
        <w:tab/>
      </w:r>
      <w:r w:rsidR="008236FF" w:rsidRPr="00162A79">
        <w:t>A</w:t>
      </w:r>
      <w:r w:rsidRPr="00162A79">
        <w:t xml:space="preserve">rrangements for evolving ITS in </w:t>
      </w:r>
      <w:proofErr w:type="spellStart"/>
      <w:r w:rsidRPr="00162A79">
        <w:t>CEPT</w:t>
      </w:r>
      <w:bookmarkEnd w:id="12"/>
      <w:bookmarkEnd w:id="13"/>
      <w:proofErr w:type="spellEnd"/>
    </w:p>
    <w:p w:rsidR="00F26449" w:rsidRPr="00162A79" w:rsidRDefault="00F26449" w:rsidP="00C91CAA">
      <w:proofErr w:type="spellStart"/>
      <w:r w:rsidRPr="00162A79">
        <w:t>CEPT</w:t>
      </w:r>
      <w:proofErr w:type="spellEnd"/>
      <w:r w:rsidRPr="00162A79">
        <w:t xml:space="preserve"> designated parts of the 5 855-5 925 MHz band in 2008 for the use by </w:t>
      </w:r>
      <w:proofErr w:type="gramStart"/>
      <w:r w:rsidRPr="00162A79">
        <w:t>ITS</w:t>
      </w:r>
      <w:proofErr w:type="gramEnd"/>
      <w:r w:rsidRPr="00162A79">
        <w:t xml:space="preserve"> specifically to increase road safety and traffic efficiency based on the existing Mobile Service. The harmonization measure includes the following arrangement:</w:t>
      </w:r>
    </w:p>
    <w:p w:rsidR="00F26449" w:rsidRPr="00162A79" w:rsidRDefault="00F26449" w:rsidP="00C91CAA">
      <w:r w:rsidRPr="00162A79">
        <w:t xml:space="preserve">The frequency band 5 855-5 925 MHz for ITS applications is split into channels with a bandwidth of 10 </w:t>
      </w:r>
      <w:proofErr w:type="spellStart"/>
      <w:r w:rsidRPr="00162A79">
        <w:t>MHz.</w:t>
      </w:r>
      <w:proofErr w:type="spellEnd"/>
      <w:r w:rsidRPr="00162A79">
        <w:t xml:space="preserve"> The maximum spectral power density for ITS stations should be limited to 23 </w:t>
      </w:r>
      <w:proofErr w:type="spellStart"/>
      <w:r w:rsidRPr="00162A79">
        <w:t>dBm</w:t>
      </w:r>
      <w:proofErr w:type="spellEnd"/>
      <w:r w:rsidRPr="00162A79">
        <w:t xml:space="preserve">/MHz </w:t>
      </w:r>
      <w:proofErr w:type="spellStart"/>
      <w:r w:rsidRPr="00162A79">
        <w:t>e.i.r.p</w:t>
      </w:r>
      <w:proofErr w:type="spellEnd"/>
      <w:r w:rsidRPr="00162A79">
        <w:t xml:space="preserve">. but the total power should not exceed 33 </w:t>
      </w:r>
      <w:proofErr w:type="spellStart"/>
      <w:r w:rsidRPr="00162A79">
        <w:t>dBm</w:t>
      </w:r>
      <w:proofErr w:type="spellEnd"/>
      <w:r w:rsidRPr="00162A79">
        <w:t xml:space="preserve"> </w:t>
      </w:r>
      <w:proofErr w:type="spellStart"/>
      <w:r w:rsidRPr="00162A79">
        <w:t>e.i.r.p</w:t>
      </w:r>
      <w:proofErr w:type="spellEnd"/>
      <w:r w:rsidRPr="00162A79">
        <w:t>. with a Transmit Power Control (</w:t>
      </w:r>
      <w:proofErr w:type="spellStart"/>
      <w:r w:rsidRPr="00162A79">
        <w:t>TPC</w:t>
      </w:r>
      <w:proofErr w:type="spellEnd"/>
      <w:r w:rsidRPr="00162A79">
        <w:t xml:space="preserve">) range of 30 </w:t>
      </w:r>
      <w:proofErr w:type="spellStart"/>
      <w:r w:rsidRPr="00162A79">
        <w:t>dB.</w:t>
      </w:r>
      <w:proofErr w:type="spellEnd"/>
      <w:r w:rsidRPr="00162A79">
        <w:t xml:space="preserve"> The </w:t>
      </w:r>
      <w:proofErr w:type="spellStart"/>
      <w:r w:rsidRPr="00162A79">
        <w:t>CEPT</w:t>
      </w:r>
      <w:proofErr w:type="spellEnd"/>
      <w:r w:rsidRPr="00162A79">
        <w:t xml:space="preserve"> has designated the lower part of the frequency band for non-traffic safety related ITS applications such as enhancing traffic-efficiency, while the middle of the frequency band is designated and (possibly in the future) upper part is reserved/recommended for traffic-safety related ITS applications such as time critical status information exchange whose aim is to reduce the number of traffic fatalities or accidents using communications between ITS stations (see Table 1 below).</w:t>
      </w:r>
    </w:p>
    <w:p w:rsidR="00F26449" w:rsidRPr="00162A79" w:rsidRDefault="00F26449" w:rsidP="005E7B9F">
      <w:pPr>
        <w:pStyle w:val="TableNo"/>
      </w:pPr>
      <w:r w:rsidRPr="00162A79">
        <w:t>Table 1</w:t>
      </w:r>
    </w:p>
    <w:p w:rsidR="00F26449" w:rsidRPr="00162A79" w:rsidRDefault="00F26449" w:rsidP="005E7B9F">
      <w:pPr>
        <w:pStyle w:val="Tabletitle"/>
      </w:pPr>
      <w:proofErr w:type="spellStart"/>
      <w:r w:rsidRPr="00162A79">
        <w:t>CEPT</w:t>
      </w:r>
      <w:proofErr w:type="spellEnd"/>
      <w:r w:rsidRPr="00162A79">
        <w:t xml:space="preserve"> channel arrangement for evolving </w:t>
      </w:r>
      <w:proofErr w:type="gramStart"/>
      <w:r w:rsidRPr="00162A79">
        <w:t>ITS</w:t>
      </w:r>
      <w:proofErr w:type="gramEnd"/>
      <w:r w:rsidRPr="00162A79">
        <w:t xml:space="preserve"> in the band 5 855-5 925 MHz</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092"/>
        <w:gridCol w:w="1991"/>
        <w:gridCol w:w="2150"/>
        <w:gridCol w:w="2111"/>
      </w:tblGrid>
      <w:tr w:rsidR="00F26449" w:rsidRPr="00162A79" w:rsidTr="00C91CAA">
        <w:trPr>
          <w:jc w:val="center"/>
        </w:trPr>
        <w:tc>
          <w:tcPr>
            <w:tcW w:w="5083" w:type="dxa"/>
            <w:gridSpan w:val="2"/>
            <w:tcBorders>
              <w:top w:val="single" w:sz="4" w:space="0" w:color="auto"/>
              <w:left w:val="single" w:sz="4" w:space="0" w:color="auto"/>
              <w:bottom w:val="single" w:sz="4" w:space="0" w:color="auto"/>
              <w:right w:val="single" w:sz="4" w:space="0" w:color="auto"/>
            </w:tcBorders>
            <w:vAlign w:val="center"/>
          </w:tcPr>
          <w:p w:rsidR="00F26449" w:rsidRPr="00162A79" w:rsidDel="0091181B" w:rsidRDefault="00F26449" w:rsidP="00C91CAA">
            <w:pPr>
              <w:pStyle w:val="Tablehead"/>
            </w:pPr>
            <w:r w:rsidRPr="00162A79">
              <w:t>Application</w:t>
            </w:r>
          </w:p>
        </w:tc>
        <w:tc>
          <w:tcPr>
            <w:tcW w:w="2150" w:type="dxa"/>
            <w:tcBorders>
              <w:top w:val="single" w:sz="4" w:space="0" w:color="auto"/>
              <w:left w:val="single" w:sz="4" w:space="0" w:color="auto"/>
              <w:bottom w:val="single" w:sz="4" w:space="0" w:color="auto"/>
              <w:right w:val="single" w:sz="4" w:space="0" w:color="auto"/>
            </w:tcBorders>
            <w:vAlign w:val="center"/>
            <w:hideMark/>
          </w:tcPr>
          <w:p w:rsidR="00F26449" w:rsidRPr="00162A79" w:rsidRDefault="00F26449" w:rsidP="00C91CAA">
            <w:pPr>
              <w:pStyle w:val="Tablehead"/>
            </w:pPr>
            <w:r w:rsidRPr="00162A79">
              <w:t xml:space="preserve">Frequency range </w:t>
            </w:r>
            <w:r w:rsidRPr="00162A79">
              <w:br/>
              <w:t>[MHz]</w:t>
            </w:r>
          </w:p>
        </w:tc>
        <w:tc>
          <w:tcPr>
            <w:tcW w:w="2111" w:type="dxa"/>
            <w:tcBorders>
              <w:top w:val="single" w:sz="4" w:space="0" w:color="auto"/>
              <w:left w:val="single" w:sz="4" w:space="0" w:color="auto"/>
              <w:bottom w:val="single" w:sz="4" w:space="0" w:color="auto"/>
              <w:right w:val="single" w:sz="4" w:space="0" w:color="auto"/>
            </w:tcBorders>
            <w:vAlign w:val="center"/>
          </w:tcPr>
          <w:p w:rsidR="00F26449" w:rsidRPr="00162A79" w:rsidRDefault="00F26449" w:rsidP="00C91CAA">
            <w:pPr>
              <w:pStyle w:val="Tablehead"/>
            </w:pPr>
            <w:r w:rsidRPr="00162A79">
              <w:t>Deployment or plan year</w:t>
            </w:r>
          </w:p>
        </w:tc>
      </w:tr>
      <w:tr w:rsidR="00F26449" w:rsidRPr="00162A79" w:rsidTr="00C91CAA">
        <w:trPr>
          <w:jc w:val="center"/>
        </w:trPr>
        <w:tc>
          <w:tcPr>
            <w:tcW w:w="3092" w:type="dxa"/>
            <w:vMerge w:val="restart"/>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pPr>
            <w:r w:rsidRPr="00162A79">
              <w:t xml:space="preserve">Non-traffic-safety related </w:t>
            </w:r>
          </w:p>
        </w:tc>
        <w:tc>
          <w:tcPr>
            <w:tcW w:w="1991" w:type="dxa"/>
            <w:vMerge w:val="restart"/>
            <w:tcBorders>
              <w:top w:val="single" w:sz="4" w:space="0" w:color="auto"/>
              <w:left w:val="single" w:sz="4" w:space="0" w:color="auto"/>
              <w:right w:val="single" w:sz="4" w:space="0" w:color="auto"/>
            </w:tcBorders>
          </w:tcPr>
          <w:p w:rsidR="00F26449" w:rsidRPr="00162A79" w:rsidRDefault="00F26449" w:rsidP="00C91CAA">
            <w:pPr>
              <w:pStyle w:val="Tabletext"/>
              <w:jc w:val="right"/>
              <w:rPr>
                <w:rFonts w:asciiTheme="majorBidi" w:hAnsiTheme="majorBidi" w:cstheme="majorBidi"/>
              </w:rPr>
            </w:pPr>
            <w:r w:rsidRPr="00162A79">
              <w:rPr>
                <w:rFonts w:asciiTheme="majorBidi" w:hAnsiTheme="majorBidi" w:cstheme="majorBidi"/>
              </w:rPr>
              <w:t>Lower part</w:t>
            </w:r>
          </w:p>
          <w:p w:rsidR="00F26449" w:rsidRPr="00162A79" w:rsidDel="0091181B" w:rsidRDefault="00F26449" w:rsidP="00C91CAA">
            <w:pPr>
              <w:pStyle w:val="Tabletext"/>
              <w:jc w:val="center"/>
              <w:rPr>
                <w:rFonts w:asciiTheme="majorBidi" w:hAnsiTheme="majorBidi" w:cstheme="majorBidi"/>
              </w:rPr>
            </w:pPr>
            <w:r w:rsidRPr="00162A79">
              <w:rPr>
                <w:rFonts w:asciiTheme="majorBidi" w:hAnsiTheme="majorBidi" w:cstheme="majorBidi"/>
              </w:rPr>
              <w:t xml:space="preserve">See </w:t>
            </w:r>
            <w:hyperlink r:id="rId12" w:history="1">
              <w:proofErr w:type="spellStart"/>
              <w:r w:rsidRPr="00162A79">
                <w:rPr>
                  <w:rStyle w:val="Hyperlink"/>
                  <w:rFonts w:asciiTheme="majorBidi" w:hAnsiTheme="majorBidi" w:cstheme="majorBidi"/>
                </w:rPr>
                <w:t>ECC</w:t>
              </w:r>
              <w:proofErr w:type="spellEnd"/>
              <w:r w:rsidRPr="00162A79">
                <w:rPr>
                  <w:rStyle w:val="Hyperlink"/>
                  <w:rFonts w:asciiTheme="majorBidi" w:hAnsiTheme="majorBidi" w:cstheme="majorBidi"/>
                </w:rPr>
                <w:t>/REC/(08)01</w:t>
              </w:r>
            </w:hyperlink>
          </w:p>
        </w:tc>
        <w:tc>
          <w:tcPr>
            <w:tcW w:w="2150"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5 855 to 5 865</w:t>
            </w:r>
          </w:p>
        </w:tc>
        <w:tc>
          <w:tcPr>
            <w:tcW w:w="2111" w:type="dxa"/>
            <w:vMerge w:val="restart"/>
            <w:tcBorders>
              <w:top w:val="single" w:sz="4" w:space="0" w:color="auto"/>
              <w:left w:val="single" w:sz="4" w:space="0" w:color="auto"/>
              <w:right w:val="single" w:sz="4" w:space="0" w:color="auto"/>
            </w:tcBorders>
          </w:tcPr>
          <w:p w:rsidR="00F26449" w:rsidRPr="00162A79" w:rsidRDefault="00F26449" w:rsidP="00C91CAA">
            <w:pPr>
              <w:pStyle w:val="Tabletext"/>
              <w:jc w:val="center"/>
            </w:pPr>
          </w:p>
        </w:tc>
      </w:tr>
      <w:tr w:rsidR="00F26449" w:rsidRPr="00162A79" w:rsidTr="00C91CAA">
        <w:trPr>
          <w:jc w:val="center"/>
        </w:trPr>
        <w:tc>
          <w:tcPr>
            <w:tcW w:w="3092" w:type="dxa"/>
            <w:vMerge/>
            <w:tcBorders>
              <w:top w:val="single" w:sz="4" w:space="0" w:color="auto"/>
              <w:left w:val="single" w:sz="4" w:space="0" w:color="auto"/>
              <w:bottom w:val="single" w:sz="4" w:space="0" w:color="auto"/>
              <w:right w:val="single" w:sz="4" w:space="0" w:color="auto"/>
            </w:tcBorders>
            <w:vAlign w:val="center"/>
            <w:hideMark/>
          </w:tcPr>
          <w:p w:rsidR="00F26449" w:rsidRPr="00162A79" w:rsidRDefault="00F26449" w:rsidP="00C91CAA">
            <w:pPr>
              <w:pStyle w:val="Tabletext"/>
              <w:rPr>
                <w:rFonts w:ascii="Arial" w:hAnsi="Arial"/>
                <w:b/>
                <w:sz w:val="18"/>
              </w:rPr>
            </w:pPr>
          </w:p>
        </w:tc>
        <w:tc>
          <w:tcPr>
            <w:tcW w:w="1991" w:type="dxa"/>
            <w:vMerge/>
            <w:tcBorders>
              <w:left w:val="single" w:sz="4" w:space="0" w:color="auto"/>
              <w:bottom w:val="single" w:sz="4" w:space="0" w:color="auto"/>
              <w:right w:val="single" w:sz="4" w:space="0" w:color="auto"/>
            </w:tcBorders>
          </w:tcPr>
          <w:p w:rsidR="00F26449" w:rsidRPr="00162A79" w:rsidDel="0091181B" w:rsidRDefault="00F26449" w:rsidP="00C91CAA">
            <w:pPr>
              <w:pStyle w:val="Tabletext"/>
              <w:jc w:val="center"/>
              <w:rPr>
                <w:rFonts w:asciiTheme="majorBidi" w:hAnsiTheme="majorBidi" w:cstheme="majorBidi"/>
              </w:rPr>
            </w:pPr>
          </w:p>
        </w:tc>
        <w:tc>
          <w:tcPr>
            <w:tcW w:w="2150"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5 865 to 5 875</w:t>
            </w:r>
          </w:p>
        </w:tc>
        <w:tc>
          <w:tcPr>
            <w:tcW w:w="2111" w:type="dxa"/>
            <w:vMerge/>
            <w:tcBorders>
              <w:left w:val="single" w:sz="4" w:space="0" w:color="auto"/>
              <w:bottom w:val="single" w:sz="4" w:space="0" w:color="auto"/>
              <w:right w:val="single" w:sz="4" w:space="0" w:color="auto"/>
            </w:tcBorders>
          </w:tcPr>
          <w:p w:rsidR="00F26449" w:rsidRPr="00162A79" w:rsidRDefault="00F26449" w:rsidP="00C91CAA">
            <w:pPr>
              <w:pStyle w:val="Tabletext"/>
              <w:jc w:val="center"/>
            </w:pPr>
          </w:p>
        </w:tc>
      </w:tr>
      <w:tr w:rsidR="00F26449" w:rsidRPr="00162A79" w:rsidTr="00C91CAA">
        <w:trPr>
          <w:jc w:val="center"/>
        </w:trPr>
        <w:tc>
          <w:tcPr>
            <w:tcW w:w="3092" w:type="dxa"/>
            <w:vMerge w:val="restart"/>
            <w:tcBorders>
              <w:top w:val="single" w:sz="4" w:space="0" w:color="auto"/>
              <w:left w:val="single" w:sz="4" w:space="0" w:color="auto"/>
              <w:right w:val="single" w:sz="4" w:space="0" w:color="auto"/>
            </w:tcBorders>
            <w:hideMark/>
          </w:tcPr>
          <w:p w:rsidR="00F26449" w:rsidRPr="00162A79" w:rsidRDefault="00F26449" w:rsidP="00C91CAA">
            <w:pPr>
              <w:pStyle w:val="Tabletext"/>
            </w:pPr>
            <w:r w:rsidRPr="00162A79">
              <w:t xml:space="preserve">Traffic-safety related </w:t>
            </w:r>
          </w:p>
        </w:tc>
        <w:tc>
          <w:tcPr>
            <w:tcW w:w="1991" w:type="dxa"/>
            <w:vMerge w:val="restart"/>
            <w:tcBorders>
              <w:top w:val="single" w:sz="4" w:space="0" w:color="auto"/>
              <w:left w:val="single" w:sz="4" w:space="0" w:color="auto"/>
              <w:right w:val="single" w:sz="4" w:space="0" w:color="auto"/>
            </w:tcBorders>
          </w:tcPr>
          <w:p w:rsidR="00F26449" w:rsidRPr="00162A79" w:rsidRDefault="00F26449" w:rsidP="00C91CAA">
            <w:pPr>
              <w:pStyle w:val="Tabletext"/>
              <w:jc w:val="right"/>
              <w:rPr>
                <w:rFonts w:asciiTheme="majorBidi" w:hAnsiTheme="majorBidi" w:cstheme="majorBidi"/>
              </w:rPr>
            </w:pPr>
            <w:r w:rsidRPr="00162A79">
              <w:rPr>
                <w:rFonts w:asciiTheme="majorBidi" w:hAnsiTheme="majorBidi" w:cstheme="majorBidi"/>
              </w:rPr>
              <w:t>Middle part</w:t>
            </w:r>
          </w:p>
          <w:p w:rsidR="00F26449" w:rsidRPr="00162A79" w:rsidDel="0091181B" w:rsidRDefault="00F26449" w:rsidP="00C91CAA">
            <w:pPr>
              <w:pStyle w:val="Tabletext"/>
              <w:jc w:val="center"/>
              <w:rPr>
                <w:rFonts w:asciiTheme="majorBidi" w:hAnsiTheme="majorBidi" w:cstheme="majorBidi"/>
              </w:rPr>
            </w:pPr>
            <w:r w:rsidRPr="00162A79">
              <w:rPr>
                <w:rFonts w:asciiTheme="majorBidi" w:hAnsiTheme="majorBidi" w:cstheme="majorBidi"/>
              </w:rPr>
              <w:t xml:space="preserve">See </w:t>
            </w:r>
            <w:hyperlink r:id="rId13" w:history="1">
              <w:proofErr w:type="spellStart"/>
              <w:r w:rsidRPr="00162A79">
                <w:rPr>
                  <w:rStyle w:val="Hyperlink"/>
                  <w:rFonts w:asciiTheme="majorBidi" w:hAnsiTheme="majorBidi" w:cstheme="majorBidi"/>
                </w:rPr>
                <w:t>ECC</w:t>
              </w:r>
              <w:proofErr w:type="spellEnd"/>
              <w:r w:rsidRPr="00162A79">
                <w:rPr>
                  <w:rStyle w:val="Hyperlink"/>
                  <w:rFonts w:asciiTheme="majorBidi" w:hAnsiTheme="majorBidi" w:cstheme="majorBidi"/>
                </w:rPr>
                <w:t>/DEC/(08)01</w:t>
              </w:r>
            </w:hyperlink>
            <w:r w:rsidRPr="00162A79">
              <w:rPr>
                <w:rFonts w:asciiTheme="majorBidi" w:hAnsiTheme="majorBidi" w:cstheme="majorBidi"/>
              </w:rPr>
              <w:t xml:space="preserve">  and </w:t>
            </w:r>
            <w:hyperlink r:id="rId14" w:history="1">
              <w:r w:rsidRPr="00162A79">
                <w:rPr>
                  <w:rStyle w:val="Hyperlink"/>
                  <w:rFonts w:asciiTheme="majorBidi" w:hAnsiTheme="majorBidi" w:cstheme="majorBidi"/>
                </w:rPr>
                <w:t>2008/671/EC</w:t>
              </w:r>
            </w:hyperlink>
          </w:p>
        </w:tc>
        <w:tc>
          <w:tcPr>
            <w:tcW w:w="2150"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5 875 to 5 885</w:t>
            </w:r>
          </w:p>
        </w:tc>
        <w:tc>
          <w:tcPr>
            <w:tcW w:w="2111" w:type="dxa"/>
            <w:vMerge w:val="restart"/>
            <w:tcBorders>
              <w:top w:val="single" w:sz="4" w:space="0" w:color="auto"/>
              <w:left w:val="single" w:sz="4" w:space="0" w:color="auto"/>
              <w:right w:val="single" w:sz="4" w:space="0" w:color="auto"/>
            </w:tcBorders>
          </w:tcPr>
          <w:p w:rsidR="00F26449" w:rsidRPr="00162A79" w:rsidRDefault="00F26449" w:rsidP="00C91CAA">
            <w:pPr>
              <w:pStyle w:val="Tabletext"/>
              <w:jc w:val="center"/>
            </w:pPr>
            <w:r w:rsidRPr="00162A79">
              <w:rPr>
                <w:snapToGrid w:val="0"/>
                <w:lang w:eastAsia="ko-KR"/>
              </w:rPr>
              <w:t>Deployment of infrastructure in some member states since 2016</w:t>
            </w:r>
            <w:r w:rsidRPr="00162A79">
              <w:rPr>
                <w:rStyle w:val="FootnoteReference"/>
                <w:snapToGrid w:val="0"/>
                <w:sz w:val="14"/>
                <w:szCs w:val="14"/>
                <w:lang w:eastAsia="ko-KR"/>
              </w:rPr>
              <w:footnoteReference w:id="1"/>
            </w:r>
            <w:r w:rsidRPr="00162A79">
              <w:rPr>
                <w:snapToGrid w:val="0"/>
                <w:lang w:eastAsia="ko-KR"/>
              </w:rPr>
              <w:t>, deployment of vehicles in 2019</w:t>
            </w:r>
            <w:r w:rsidRPr="00162A79">
              <w:rPr>
                <w:rStyle w:val="FootnoteReference"/>
                <w:snapToGrid w:val="0"/>
                <w:sz w:val="14"/>
                <w:szCs w:val="14"/>
                <w:lang w:eastAsia="ko-KR"/>
              </w:rPr>
              <w:footnoteReference w:id="2"/>
            </w:r>
          </w:p>
        </w:tc>
      </w:tr>
      <w:tr w:rsidR="00F26449" w:rsidRPr="00162A79" w:rsidTr="00C91CAA">
        <w:trPr>
          <w:jc w:val="center"/>
        </w:trPr>
        <w:tc>
          <w:tcPr>
            <w:tcW w:w="3092" w:type="dxa"/>
            <w:vMerge/>
            <w:tcBorders>
              <w:left w:val="single" w:sz="4" w:space="0" w:color="auto"/>
              <w:right w:val="single" w:sz="4" w:space="0" w:color="auto"/>
            </w:tcBorders>
            <w:vAlign w:val="center"/>
            <w:hideMark/>
          </w:tcPr>
          <w:p w:rsidR="00F26449" w:rsidRPr="00162A79" w:rsidRDefault="00F26449" w:rsidP="00C91CAA">
            <w:pPr>
              <w:pStyle w:val="Tabletext"/>
              <w:rPr>
                <w:rFonts w:ascii="Arial" w:hAnsi="Arial"/>
                <w:b/>
                <w:sz w:val="18"/>
              </w:rPr>
            </w:pPr>
          </w:p>
        </w:tc>
        <w:tc>
          <w:tcPr>
            <w:tcW w:w="1991" w:type="dxa"/>
            <w:vMerge/>
            <w:tcBorders>
              <w:left w:val="single" w:sz="4" w:space="0" w:color="auto"/>
              <w:right w:val="single" w:sz="4" w:space="0" w:color="auto"/>
            </w:tcBorders>
          </w:tcPr>
          <w:p w:rsidR="00F26449" w:rsidRPr="00162A79" w:rsidDel="0091181B" w:rsidRDefault="00F26449" w:rsidP="00C91CAA">
            <w:pPr>
              <w:pStyle w:val="Tabletext"/>
              <w:jc w:val="center"/>
              <w:rPr>
                <w:rFonts w:asciiTheme="majorBidi" w:hAnsiTheme="majorBidi" w:cstheme="majorBidi"/>
              </w:rPr>
            </w:pPr>
          </w:p>
        </w:tc>
        <w:tc>
          <w:tcPr>
            <w:tcW w:w="2150"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5 885 to 5 895</w:t>
            </w:r>
          </w:p>
        </w:tc>
        <w:tc>
          <w:tcPr>
            <w:tcW w:w="2111" w:type="dxa"/>
            <w:vMerge/>
            <w:tcBorders>
              <w:left w:val="single" w:sz="4" w:space="0" w:color="auto"/>
              <w:right w:val="single" w:sz="4" w:space="0" w:color="auto"/>
            </w:tcBorders>
          </w:tcPr>
          <w:p w:rsidR="00F26449" w:rsidRPr="00162A79" w:rsidRDefault="00F26449" w:rsidP="00C91CAA">
            <w:pPr>
              <w:pStyle w:val="Tabletext"/>
              <w:jc w:val="center"/>
            </w:pPr>
          </w:p>
        </w:tc>
      </w:tr>
      <w:tr w:rsidR="00F26449" w:rsidRPr="00162A79" w:rsidTr="00C91CAA">
        <w:trPr>
          <w:jc w:val="center"/>
        </w:trPr>
        <w:tc>
          <w:tcPr>
            <w:tcW w:w="3092" w:type="dxa"/>
            <w:vMerge/>
            <w:tcBorders>
              <w:left w:val="single" w:sz="4" w:space="0" w:color="auto"/>
              <w:right w:val="single" w:sz="4" w:space="0" w:color="auto"/>
            </w:tcBorders>
            <w:vAlign w:val="center"/>
            <w:hideMark/>
          </w:tcPr>
          <w:p w:rsidR="00F26449" w:rsidRPr="00162A79" w:rsidRDefault="00F26449" w:rsidP="00C91CAA">
            <w:pPr>
              <w:pStyle w:val="Tabletext"/>
              <w:rPr>
                <w:rFonts w:ascii="Arial" w:hAnsi="Arial"/>
                <w:b/>
                <w:sz w:val="18"/>
              </w:rPr>
            </w:pPr>
          </w:p>
        </w:tc>
        <w:tc>
          <w:tcPr>
            <w:tcW w:w="1991" w:type="dxa"/>
            <w:vMerge/>
            <w:tcBorders>
              <w:left w:val="single" w:sz="4" w:space="0" w:color="auto"/>
              <w:right w:val="single" w:sz="4" w:space="0" w:color="auto"/>
            </w:tcBorders>
          </w:tcPr>
          <w:p w:rsidR="00F26449" w:rsidRPr="00162A79" w:rsidDel="0091181B" w:rsidRDefault="00F26449" w:rsidP="00C91CAA">
            <w:pPr>
              <w:pStyle w:val="Tabletext"/>
              <w:jc w:val="center"/>
              <w:rPr>
                <w:rFonts w:asciiTheme="majorBidi" w:hAnsiTheme="majorBidi" w:cstheme="majorBidi"/>
              </w:rPr>
            </w:pPr>
          </w:p>
        </w:tc>
        <w:tc>
          <w:tcPr>
            <w:tcW w:w="2150"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5 895 to 5 905</w:t>
            </w:r>
          </w:p>
        </w:tc>
        <w:tc>
          <w:tcPr>
            <w:tcW w:w="2111" w:type="dxa"/>
            <w:vMerge/>
            <w:tcBorders>
              <w:left w:val="single" w:sz="4" w:space="0" w:color="auto"/>
              <w:bottom w:val="single" w:sz="4" w:space="0" w:color="auto"/>
              <w:right w:val="single" w:sz="4" w:space="0" w:color="auto"/>
            </w:tcBorders>
          </w:tcPr>
          <w:p w:rsidR="00F26449" w:rsidRPr="00162A79" w:rsidRDefault="00F26449" w:rsidP="00C91CAA">
            <w:pPr>
              <w:pStyle w:val="Tabletext"/>
              <w:jc w:val="center"/>
            </w:pPr>
          </w:p>
        </w:tc>
      </w:tr>
      <w:tr w:rsidR="00F26449" w:rsidRPr="00162A79" w:rsidTr="00C91CAA">
        <w:trPr>
          <w:jc w:val="center"/>
        </w:trPr>
        <w:tc>
          <w:tcPr>
            <w:tcW w:w="3092" w:type="dxa"/>
            <w:vMerge/>
            <w:tcBorders>
              <w:left w:val="single" w:sz="4" w:space="0" w:color="auto"/>
              <w:right w:val="single" w:sz="4" w:space="0" w:color="auto"/>
            </w:tcBorders>
            <w:hideMark/>
          </w:tcPr>
          <w:p w:rsidR="00F26449" w:rsidRPr="00162A79" w:rsidRDefault="00F26449" w:rsidP="00C91CAA">
            <w:pPr>
              <w:pStyle w:val="Tabletext"/>
            </w:pPr>
          </w:p>
        </w:tc>
        <w:tc>
          <w:tcPr>
            <w:tcW w:w="1991" w:type="dxa"/>
            <w:vMerge w:val="restart"/>
            <w:tcBorders>
              <w:left w:val="single" w:sz="4" w:space="0" w:color="auto"/>
              <w:right w:val="single" w:sz="4" w:space="0" w:color="auto"/>
            </w:tcBorders>
          </w:tcPr>
          <w:p w:rsidR="00F26449" w:rsidRPr="00162A79" w:rsidRDefault="00F26449" w:rsidP="00C91CAA">
            <w:pPr>
              <w:pStyle w:val="Tabletext"/>
              <w:jc w:val="right"/>
              <w:rPr>
                <w:rFonts w:asciiTheme="majorBidi" w:hAnsiTheme="majorBidi" w:cstheme="majorBidi"/>
              </w:rPr>
            </w:pPr>
            <w:r w:rsidRPr="00162A79">
              <w:rPr>
                <w:rFonts w:asciiTheme="majorBidi" w:hAnsiTheme="majorBidi" w:cstheme="majorBidi"/>
              </w:rPr>
              <w:t xml:space="preserve">Upper part </w:t>
            </w:r>
          </w:p>
          <w:p w:rsidR="00F26449" w:rsidRPr="00162A79" w:rsidDel="0091181B" w:rsidRDefault="00F26449" w:rsidP="00C91CAA">
            <w:pPr>
              <w:pStyle w:val="Tabletext"/>
              <w:jc w:val="center"/>
              <w:rPr>
                <w:rFonts w:asciiTheme="majorBidi" w:hAnsiTheme="majorBidi" w:cstheme="majorBidi"/>
              </w:rPr>
            </w:pPr>
            <w:r w:rsidRPr="00162A79">
              <w:rPr>
                <w:rFonts w:asciiTheme="majorBidi" w:hAnsiTheme="majorBidi" w:cstheme="majorBidi"/>
              </w:rPr>
              <w:t xml:space="preserve">See </w:t>
            </w:r>
            <w:hyperlink r:id="rId15" w:history="1">
              <w:proofErr w:type="spellStart"/>
              <w:r w:rsidRPr="00162A79">
                <w:rPr>
                  <w:rStyle w:val="Hyperlink"/>
                  <w:rFonts w:asciiTheme="majorBidi" w:hAnsiTheme="majorBidi" w:cstheme="majorBidi"/>
                </w:rPr>
                <w:t>ECC</w:t>
              </w:r>
              <w:proofErr w:type="spellEnd"/>
              <w:r w:rsidRPr="00162A79">
                <w:rPr>
                  <w:rStyle w:val="Hyperlink"/>
                  <w:rFonts w:asciiTheme="majorBidi" w:hAnsiTheme="majorBidi" w:cstheme="majorBidi"/>
                </w:rPr>
                <w:t>/DEC/(08)01</w:t>
              </w:r>
            </w:hyperlink>
          </w:p>
        </w:tc>
        <w:tc>
          <w:tcPr>
            <w:tcW w:w="2150"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5 905 to 5 915</w:t>
            </w:r>
          </w:p>
        </w:tc>
        <w:tc>
          <w:tcPr>
            <w:tcW w:w="2111" w:type="dxa"/>
            <w:vMerge w:val="restart"/>
            <w:tcBorders>
              <w:top w:val="single" w:sz="4" w:space="0" w:color="auto"/>
              <w:left w:val="single" w:sz="4" w:space="0" w:color="auto"/>
              <w:right w:val="single" w:sz="4" w:space="0" w:color="auto"/>
            </w:tcBorders>
          </w:tcPr>
          <w:p w:rsidR="00F26449" w:rsidRPr="00162A79" w:rsidRDefault="00F26449" w:rsidP="00C91CAA">
            <w:pPr>
              <w:pStyle w:val="Tabletext"/>
              <w:jc w:val="center"/>
            </w:pPr>
          </w:p>
        </w:tc>
      </w:tr>
      <w:tr w:rsidR="00F26449" w:rsidRPr="00162A79" w:rsidTr="00C91CAA">
        <w:trPr>
          <w:jc w:val="center"/>
        </w:trPr>
        <w:tc>
          <w:tcPr>
            <w:tcW w:w="3092" w:type="dxa"/>
            <w:vMerge/>
            <w:tcBorders>
              <w:left w:val="single" w:sz="4" w:space="0" w:color="auto"/>
              <w:bottom w:val="single" w:sz="4" w:space="0" w:color="auto"/>
              <w:right w:val="single" w:sz="4" w:space="0" w:color="auto"/>
            </w:tcBorders>
            <w:vAlign w:val="center"/>
            <w:hideMark/>
          </w:tcPr>
          <w:p w:rsidR="00F26449" w:rsidRPr="00162A79" w:rsidRDefault="00F26449" w:rsidP="00C91CAA">
            <w:pPr>
              <w:pStyle w:val="Tabletext"/>
              <w:rPr>
                <w:rFonts w:ascii="Arial" w:hAnsi="Arial"/>
                <w:b/>
                <w:sz w:val="18"/>
              </w:rPr>
            </w:pPr>
          </w:p>
        </w:tc>
        <w:tc>
          <w:tcPr>
            <w:tcW w:w="1991" w:type="dxa"/>
            <w:vMerge/>
            <w:tcBorders>
              <w:left w:val="single" w:sz="4" w:space="0" w:color="auto"/>
              <w:bottom w:val="single" w:sz="4" w:space="0" w:color="auto"/>
              <w:right w:val="single" w:sz="4" w:space="0" w:color="auto"/>
            </w:tcBorders>
          </w:tcPr>
          <w:p w:rsidR="00F26449" w:rsidRPr="00162A79" w:rsidDel="0091181B" w:rsidRDefault="00F26449" w:rsidP="00C91CAA">
            <w:pPr>
              <w:pStyle w:val="Tabletext"/>
              <w:jc w:val="center"/>
            </w:pPr>
          </w:p>
        </w:tc>
        <w:tc>
          <w:tcPr>
            <w:tcW w:w="2150"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5 915 to 5 925</w:t>
            </w:r>
          </w:p>
        </w:tc>
        <w:tc>
          <w:tcPr>
            <w:tcW w:w="2111" w:type="dxa"/>
            <w:vMerge/>
            <w:tcBorders>
              <w:left w:val="single" w:sz="4" w:space="0" w:color="auto"/>
              <w:bottom w:val="single" w:sz="4" w:space="0" w:color="auto"/>
              <w:right w:val="single" w:sz="4" w:space="0" w:color="auto"/>
            </w:tcBorders>
          </w:tcPr>
          <w:p w:rsidR="00F26449" w:rsidRPr="00162A79" w:rsidRDefault="00F26449" w:rsidP="00C91CAA">
            <w:pPr>
              <w:pStyle w:val="Tabletext"/>
              <w:jc w:val="center"/>
            </w:pPr>
          </w:p>
        </w:tc>
      </w:tr>
    </w:tbl>
    <w:p w:rsidR="00F26449" w:rsidRPr="00162A79" w:rsidRDefault="00F26449" w:rsidP="005E7B9F">
      <w:pPr>
        <w:pStyle w:val="Tablefin"/>
        <w:rPr>
          <w:lang w:val="en-GB"/>
        </w:rPr>
      </w:pPr>
    </w:p>
    <w:p w:rsidR="00F26449" w:rsidRPr="00162A79" w:rsidRDefault="00F26449" w:rsidP="00C91CAA">
      <w:r w:rsidRPr="00162A79">
        <w:t xml:space="preserve">The above regulatory measures from the </w:t>
      </w:r>
      <w:proofErr w:type="spellStart"/>
      <w:r w:rsidRPr="00162A79">
        <w:t>ECC</w:t>
      </w:r>
      <w:proofErr w:type="spellEnd"/>
      <w:r w:rsidRPr="00162A79">
        <w:t xml:space="preserve"> refer to the </w:t>
      </w:r>
      <w:proofErr w:type="spellStart"/>
      <w:r w:rsidRPr="00162A79">
        <w:t>ETSI</w:t>
      </w:r>
      <w:proofErr w:type="spellEnd"/>
      <w:r w:rsidRPr="00162A79">
        <w:t xml:space="preserve"> Harmonized Standard </w:t>
      </w:r>
      <w:proofErr w:type="spellStart"/>
      <w:r w:rsidRPr="00162A79">
        <w:t>EN</w:t>
      </w:r>
      <w:proofErr w:type="spellEnd"/>
      <w:r w:rsidRPr="00162A79">
        <w:t xml:space="preserve"> 302 571</w:t>
      </w:r>
      <w:r w:rsidRPr="00162A79">
        <w:rPr>
          <w:rStyle w:val="FootnoteReference"/>
        </w:rPr>
        <w:footnoteReference w:id="3"/>
      </w:r>
      <w:r w:rsidRPr="00162A79">
        <w:t xml:space="preserve"> and defines requirements for operation of ITS equipment in 5 855-5 925 MHz, covering the essential requirements of Article 3.2 of the Radio Equipment Directive (2014/53/EU).</w:t>
      </w:r>
    </w:p>
    <w:p w:rsidR="00F26449" w:rsidRPr="00162A79" w:rsidRDefault="00F26449" w:rsidP="00C91CAA">
      <w:pPr>
        <w:pStyle w:val="Heading2"/>
      </w:pPr>
      <w:bookmarkStart w:id="14" w:name="_Toc514254831"/>
      <w:bookmarkStart w:id="15" w:name="_Toc515525402"/>
      <w:r w:rsidRPr="00162A79">
        <w:t>1.2</w:t>
      </w:r>
      <w:r w:rsidRPr="00162A79">
        <w:tab/>
      </w:r>
      <w:r w:rsidR="008236FF" w:rsidRPr="00162A79">
        <w:t>A</w:t>
      </w:r>
      <w:r w:rsidRPr="00162A79">
        <w:t>rrangement for evolving ITS in XXX</w:t>
      </w:r>
      <w:bookmarkEnd w:id="14"/>
      <w:bookmarkEnd w:id="15"/>
    </w:p>
    <w:p w:rsidR="00F26449" w:rsidRPr="00162A79" w:rsidRDefault="00F26449" w:rsidP="00C91CAA">
      <w:r w:rsidRPr="00162A79">
        <w:t>XXX identified …</w:t>
      </w:r>
    </w:p>
    <w:p w:rsidR="00F26449" w:rsidRPr="00162A79" w:rsidRDefault="00F26449" w:rsidP="00C91CAA">
      <w:pPr>
        <w:pStyle w:val="Heading1"/>
      </w:pPr>
      <w:bookmarkStart w:id="16" w:name="_Toc514254832"/>
      <w:bookmarkStart w:id="17" w:name="_Toc515525403"/>
      <w:r w:rsidRPr="00162A79">
        <w:lastRenderedPageBreak/>
        <w:t>2</w:t>
      </w:r>
      <w:r w:rsidRPr="00162A79">
        <w:tab/>
        <w:t>Examples of arrangements for evolving intelligent transportation systems (ITS) in Region 2</w:t>
      </w:r>
      <w:bookmarkEnd w:id="16"/>
      <w:bookmarkEnd w:id="17"/>
    </w:p>
    <w:p w:rsidR="00F26449" w:rsidRPr="00162A79" w:rsidRDefault="00F26449" w:rsidP="00C91CAA">
      <w:pPr>
        <w:pStyle w:val="Heading2"/>
      </w:pPr>
      <w:bookmarkStart w:id="18" w:name="_Toc514254833"/>
      <w:bookmarkStart w:id="19" w:name="_Toc515525404"/>
      <w:r w:rsidRPr="00162A79">
        <w:t>2.1</w:t>
      </w:r>
      <w:r w:rsidRPr="00162A79">
        <w:tab/>
      </w:r>
      <w:r w:rsidR="008236FF" w:rsidRPr="00162A79">
        <w:t>A</w:t>
      </w:r>
      <w:r w:rsidRPr="00162A79">
        <w:t>rrangement for evolving ITS in the United States</w:t>
      </w:r>
      <w:bookmarkEnd w:id="18"/>
      <w:bookmarkEnd w:id="19"/>
    </w:p>
    <w:p w:rsidR="00F26449" w:rsidRPr="00162A79" w:rsidRDefault="00F26449" w:rsidP="00AC4192">
      <w:r w:rsidRPr="00162A79">
        <w:t xml:space="preserve">WAVE is one technology being pursued in the United States “to improve </w:t>
      </w:r>
      <w:proofErr w:type="spellStart"/>
      <w:r w:rsidRPr="00162A79">
        <w:t>traveler</w:t>
      </w:r>
      <w:proofErr w:type="spellEnd"/>
      <w:r w:rsidRPr="00162A79">
        <w:t xml:space="preserve"> safety, decrease traffic congestion, facilitate the reduction of air pollution, and help to conserve vital fossil fuels”</w:t>
      </w:r>
      <w:r w:rsidRPr="00162A79">
        <w:rPr>
          <w:vertAlign w:val="superscript"/>
        </w:rPr>
        <w:footnoteReference w:id="4"/>
      </w:r>
      <w:r w:rsidRPr="00162A79">
        <w:t>, and as a particular focus in the United States, to reduce highway fatalities</w:t>
      </w:r>
      <w:r w:rsidRPr="00162A79">
        <w:rPr>
          <w:vertAlign w:val="superscript"/>
        </w:rPr>
        <w:footnoteReference w:id="5"/>
      </w:r>
      <w:r w:rsidRPr="00162A79">
        <w:t xml:space="preserve">. In order to address the need for advanced </w:t>
      </w:r>
      <w:proofErr w:type="gramStart"/>
      <w:r w:rsidRPr="00162A79">
        <w:t>ITS</w:t>
      </w:r>
      <w:proofErr w:type="gramEnd"/>
      <w:r w:rsidRPr="00162A79">
        <w:t xml:space="preserve"> to provide these public benefits, a number of applications have been developed, with more still under development, to leverage the characteristics of WAVE. These applications include communications among vehicles and other mobile end users, as well as between mobile users and roadside infrastructure. Table 2 shows the frequency usage in the 5.9 GHz in the US.</w:t>
      </w:r>
    </w:p>
    <w:p w:rsidR="00F26449" w:rsidRPr="00162A79" w:rsidRDefault="00F26449" w:rsidP="005E7B9F">
      <w:pPr>
        <w:pStyle w:val="TableNo"/>
      </w:pPr>
      <w:r w:rsidRPr="00162A79">
        <w:t>Table 2</w:t>
      </w:r>
    </w:p>
    <w:p w:rsidR="00F26449" w:rsidRPr="00162A79" w:rsidRDefault="00F26449" w:rsidP="005E7B9F">
      <w:pPr>
        <w:pStyle w:val="Tabletitle"/>
        <w:rPr>
          <w:lang w:eastAsia="ja-JP"/>
        </w:rPr>
      </w:pPr>
      <w:r w:rsidRPr="00162A79">
        <w:rPr>
          <w:lang w:eastAsia="ja-JP"/>
        </w:rPr>
        <w:t xml:space="preserve">Frequency Usage for evolving ITS </w:t>
      </w:r>
      <w:proofErr w:type="spellStart"/>
      <w:r w:rsidRPr="00162A79">
        <w:rPr>
          <w:lang w:eastAsia="ja-JP"/>
        </w:rPr>
        <w:t>Radiocommunication</w:t>
      </w:r>
      <w:proofErr w:type="spellEnd"/>
      <w:r w:rsidRPr="00162A79">
        <w:rPr>
          <w:lang w:eastAsia="ja-JP"/>
        </w:rPr>
        <w:t xml:space="preserve"> in Region 2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68"/>
        <w:gridCol w:w="1856"/>
        <w:gridCol w:w="2268"/>
        <w:gridCol w:w="1736"/>
      </w:tblGrid>
      <w:tr w:rsidR="00F26449" w:rsidRPr="00162A79" w:rsidTr="00C91CAA">
        <w:trPr>
          <w:cantSplit/>
          <w:tblHeader/>
        </w:trPr>
        <w:tc>
          <w:tcPr>
            <w:tcW w:w="1384" w:type="dxa"/>
            <w:shd w:val="clear" w:color="auto" w:fill="auto"/>
            <w:vAlign w:val="center"/>
          </w:tcPr>
          <w:p w:rsidR="00F26449" w:rsidRPr="00162A79" w:rsidRDefault="00F26449" w:rsidP="00C91CAA">
            <w:pPr>
              <w:pStyle w:val="Tablehead"/>
              <w:rPr>
                <w:rFonts w:eastAsia="Malgun Gothic"/>
              </w:rPr>
            </w:pPr>
            <w:r w:rsidRPr="00162A79">
              <w:t>Country</w:t>
            </w:r>
          </w:p>
        </w:tc>
        <w:tc>
          <w:tcPr>
            <w:tcW w:w="2268" w:type="dxa"/>
            <w:shd w:val="clear" w:color="auto" w:fill="auto"/>
            <w:vAlign w:val="center"/>
          </w:tcPr>
          <w:p w:rsidR="00F26449" w:rsidRPr="00162A79" w:rsidRDefault="00F26449" w:rsidP="00C91CAA">
            <w:pPr>
              <w:pStyle w:val="Tablehead"/>
              <w:rPr>
                <w:rFonts w:eastAsia="Malgun Gothic"/>
              </w:rPr>
            </w:pPr>
            <w:r w:rsidRPr="00162A79">
              <w:t>Frequency</w:t>
            </w:r>
            <w:r w:rsidRPr="00162A79">
              <w:rPr>
                <w:rFonts w:eastAsia="Malgun Gothic"/>
              </w:rPr>
              <w:t xml:space="preserve"> </w:t>
            </w:r>
            <w:r w:rsidRPr="00162A79">
              <w:t>band</w:t>
            </w:r>
          </w:p>
        </w:tc>
        <w:tc>
          <w:tcPr>
            <w:tcW w:w="1856" w:type="dxa"/>
            <w:shd w:val="clear" w:color="auto" w:fill="auto"/>
            <w:vAlign w:val="center"/>
          </w:tcPr>
          <w:p w:rsidR="00F26449" w:rsidRPr="00162A79" w:rsidRDefault="00F26449" w:rsidP="00C91CAA">
            <w:pPr>
              <w:pStyle w:val="Tablehead"/>
            </w:pPr>
            <w:r w:rsidRPr="00162A79">
              <w:t>Technology/</w:t>
            </w:r>
            <w:r w:rsidRPr="00162A79">
              <w:br/>
              <w:t>System</w:t>
            </w:r>
          </w:p>
        </w:tc>
        <w:tc>
          <w:tcPr>
            <w:tcW w:w="2268" w:type="dxa"/>
            <w:shd w:val="clear" w:color="auto" w:fill="auto"/>
            <w:vAlign w:val="center"/>
          </w:tcPr>
          <w:p w:rsidR="00F26449" w:rsidRPr="00162A79" w:rsidRDefault="00F26449" w:rsidP="00C91CAA">
            <w:pPr>
              <w:pStyle w:val="Tablehead"/>
            </w:pPr>
            <w:r w:rsidRPr="00162A79">
              <w:t>Service</w:t>
            </w:r>
          </w:p>
        </w:tc>
        <w:tc>
          <w:tcPr>
            <w:tcW w:w="1736" w:type="dxa"/>
            <w:shd w:val="clear" w:color="auto" w:fill="auto"/>
            <w:vAlign w:val="center"/>
          </w:tcPr>
          <w:p w:rsidR="00F26449" w:rsidRPr="00162A79" w:rsidRDefault="00F26449" w:rsidP="00C91CAA">
            <w:pPr>
              <w:pStyle w:val="Tablehead"/>
            </w:pPr>
            <w:r w:rsidRPr="00162A79">
              <w:t>Deployment or plan year</w:t>
            </w:r>
          </w:p>
        </w:tc>
      </w:tr>
      <w:tr w:rsidR="00F26449" w:rsidRPr="00162A79" w:rsidTr="00C91CAA">
        <w:trPr>
          <w:cantSplit/>
        </w:trPr>
        <w:tc>
          <w:tcPr>
            <w:tcW w:w="1384" w:type="dxa"/>
            <w:shd w:val="clear" w:color="auto" w:fill="auto"/>
            <w:vAlign w:val="center"/>
          </w:tcPr>
          <w:p w:rsidR="00F26449" w:rsidRPr="00162A79" w:rsidRDefault="00F26449" w:rsidP="00C91CAA">
            <w:pPr>
              <w:pStyle w:val="Tabletext"/>
              <w:jc w:val="center"/>
              <w:rPr>
                <w:snapToGrid w:val="0"/>
                <w:lang w:eastAsia="ko-KR"/>
              </w:rPr>
            </w:pPr>
            <w:r w:rsidRPr="00162A79">
              <w:rPr>
                <w:snapToGrid w:val="0"/>
                <w:lang w:eastAsia="ko-KR"/>
              </w:rPr>
              <w:t>United States</w:t>
            </w:r>
          </w:p>
        </w:tc>
        <w:tc>
          <w:tcPr>
            <w:tcW w:w="2268" w:type="dxa"/>
            <w:shd w:val="clear" w:color="auto" w:fill="auto"/>
            <w:vAlign w:val="center"/>
          </w:tcPr>
          <w:p w:rsidR="00F26449" w:rsidRPr="00162A79" w:rsidRDefault="00F26449" w:rsidP="00162A79">
            <w:pPr>
              <w:pStyle w:val="Tabletext"/>
              <w:jc w:val="center"/>
              <w:rPr>
                <w:snapToGrid w:val="0"/>
                <w:highlight w:val="yellow"/>
                <w:lang w:eastAsia="ko-KR"/>
              </w:rPr>
            </w:pPr>
            <w:r w:rsidRPr="00162A79">
              <w:rPr>
                <w:snapToGrid w:val="0"/>
                <w:lang w:eastAsia="ja-JP"/>
              </w:rPr>
              <w:t>5</w:t>
            </w:r>
            <w:r w:rsidR="00162A79">
              <w:rPr>
                <w:snapToGrid w:val="0"/>
                <w:lang w:eastAsia="ja-JP"/>
              </w:rPr>
              <w:t> </w:t>
            </w:r>
            <w:r w:rsidRPr="00162A79">
              <w:rPr>
                <w:snapToGrid w:val="0"/>
                <w:lang w:eastAsia="ja-JP"/>
              </w:rPr>
              <w:t>850-5</w:t>
            </w:r>
            <w:r w:rsidR="00162A79">
              <w:rPr>
                <w:snapToGrid w:val="0"/>
                <w:lang w:eastAsia="ja-JP"/>
              </w:rPr>
              <w:t> </w:t>
            </w:r>
            <w:r w:rsidRPr="00162A79">
              <w:rPr>
                <w:snapToGrid w:val="0"/>
                <w:lang w:eastAsia="ja-JP"/>
              </w:rPr>
              <w:t>925 MHz</w:t>
            </w:r>
          </w:p>
        </w:tc>
        <w:tc>
          <w:tcPr>
            <w:tcW w:w="1856" w:type="dxa"/>
            <w:shd w:val="clear" w:color="auto" w:fill="auto"/>
            <w:vAlign w:val="center"/>
          </w:tcPr>
          <w:p w:rsidR="00F26449" w:rsidRPr="00162A79" w:rsidRDefault="00F26449" w:rsidP="00C91CAA">
            <w:pPr>
              <w:pStyle w:val="Tabletext"/>
              <w:rPr>
                <w:snapToGrid w:val="0"/>
                <w:lang w:eastAsia="ko-KR"/>
              </w:rPr>
            </w:pPr>
            <w:r w:rsidRPr="00162A79">
              <w:rPr>
                <w:snapToGrid w:val="0"/>
                <w:lang w:eastAsia="ko-KR"/>
              </w:rPr>
              <w:t>Vehicle to Vehicle and Vehicle to/from Infrastructure communications system</w:t>
            </w:r>
          </w:p>
        </w:tc>
        <w:tc>
          <w:tcPr>
            <w:tcW w:w="2268" w:type="dxa"/>
            <w:shd w:val="clear" w:color="auto" w:fill="auto"/>
            <w:vAlign w:val="center"/>
          </w:tcPr>
          <w:p w:rsidR="00F26449" w:rsidRPr="00162A79" w:rsidRDefault="00F26449" w:rsidP="00C91CAA">
            <w:pPr>
              <w:pStyle w:val="Tabletext"/>
              <w:rPr>
                <w:snapToGrid w:val="0"/>
                <w:lang w:eastAsia="ko-KR"/>
              </w:rPr>
            </w:pPr>
            <w:r w:rsidRPr="00162A79">
              <w:rPr>
                <w:snapToGrid w:val="0"/>
                <w:lang w:eastAsia="ko-KR"/>
              </w:rPr>
              <w:t>Safety-related, mobility and environmental information</w:t>
            </w:r>
          </w:p>
          <w:p w:rsidR="00F26449" w:rsidRPr="00162A79" w:rsidRDefault="00F26449" w:rsidP="00C91CAA">
            <w:pPr>
              <w:pStyle w:val="Tabletext"/>
              <w:rPr>
                <w:snapToGrid w:val="0"/>
                <w:lang w:eastAsia="ko-KR"/>
              </w:rPr>
            </w:pPr>
            <w:r w:rsidRPr="00162A79">
              <w:rPr>
                <w:snapToGrid w:val="0"/>
                <w:lang w:eastAsia="ko-KR"/>
              </w:rPr>
              <w:t>(Communications)</w:t>
            </w:r>
          </w:p>
        </w:tc>
        <w:tc>
          <w:tcPr>
            <w:tcW w:w="1736" w:type="dxa"/>
            <w:shd w:val="clear" w:color="auto" w:fill="auto"/>
            <w:vAlign w:val="center"/>
          </w:tcPr>
          <w:p w:rsidR="00F26449" w:rsidRPr="00162A79" w:rsidRDefault="00F26449" w:rsidP="00C91CAA">
            <w:pPr>
              <w:pStyle w:val="Tabletext"/>
              <w:rPr>
                <w:snapToGrid w:val="0"/>
                <w:lang w:eastAsia="ko-KR"/>
              </w:rPr>
            </w:pPr>
            <w:r w:rsidRPr="00162A79">
              <w:rPr>
                <w:snapToGrid w:val="0"/>
                <w:lang w:eastAsia="ko-KR"/>
              </w:rPr>
              <w:t>Model deployment – 2012</w:t>
            </w:r>
            <w:r w:rsidRPr="00162A79">
              <w:rPr>
                <w:rStyle w:val="FootnoteReference"/>
                <w:snapToGrid w:val="0"/>
                <w:sz w:val="14"/>
                <w:szCs w:val="14"/>
                <w:lang w:eastAsia="ko-KR"/>
              </w:rPr>
              <w:footnoteReference w:id="6"/>
            </w:r>
            <w:r w:rsidRPr="00162A79">
              <w:rPr>
                <w:snapToGrid w:val="0"/>
                <w:lang w:eastAsia="ko-KR"/>
              </w:rPr>
              <w:t>; Early Operational Deployments - 2016</w:t>
            </w:r>
            <w:r w:rsidRPr="00162A79">
              <w:rPr>
                <w:rStyle w:val="FootnoteReference"/>
                <w:sz w:val="14"/>
                <w:szCs w:val="14"/>
              </w:rPr>
              <w:footnoteReference w:id="7"/>
            </w:r>
            <w:r w:rsidRPr="00162A79">
              <w:rPr>
                <w:rStyle w:val="FootnoteReference"/>
                <w:sz w:val="16"/>
                <w:szCs w:val="16"/>
              </w:rPr>
              <w:t>,</w:t>
            </w:r>
            <w:r w:rsidRPr="00162A79">
              <w:rPr>
                <w:rStyle w:val="FootnoteReference"/>
                <w:sz w:val="14"/>
                <w:szCs w:val="14"/>
              </w:rPr>
              <w:footnoteReference w:id="8"/>
            </w:r>
            <w:r w:rsidRPr="00162A79">
              <w:rPr>
                <w:snapToGrid w:val="0"/>
                <w:lang w:eastAsia="ko-KR"/>
              </w:rPr>
              <w:t>; Pilot Deployments – 2017</w:t>
            </w:r>
            <w:r w:rsidRPr="00162A79">
              <w:rPr>
                <w:rStyle w:val="FootnoteReference"/>
                <w:snapToGrid w:val="0"/>
                <w:sz w:val="14"/>
                <w:szCs w:val="14"/>
                <w:lang w:eastAsia="ko-KR"/>
              </w:rPr>
              <w:footnoteReference w:id="9"/>
            </w:r>
          </w:p>
        </w:tc>
      </w:tr>
    </w:tbl>
    <w:p w:rsidR="00F26449" w:rsidRPr="00162A79" w:rsidRDefault="00F26449" w:rsidP="005E7B9F">
      <w:pPr>
        <w:pStyle w:val="Tablefin"/>
        <w:rPr>
          <w:lang w:val="en-GB"/>
        </w:rPr>
      </w:pPr>
    </w:p>
    <w:p w:rsidR="00F26449" w:rsidRPr="00162A79" w:rsidRDefault="00F26449" w:rsidP="005E7B9F">
      <w:r w:rsidRPr="00162A79">
        <w:t xml:space="preserve">Note: as noted above, there are a number of regulatory proceedings underway in the U.S., the results of which could alter the frequency usage for advanced </w:t>
      </w:r>
      <w:proofErr w:type="gramStart"/>
      <w:r w:rsidRPr="00162A79">
        <w:t>ITS</w:t>
      </w:r>
      <w:proofErr w:type="gramEnd"/>
      <w:r w:rsidRPr="00162A79">
        <w:t xml:space="preserve"> in the United States.</w:t>
      </w:r>
    </w:p>
    <w:p w:rsidR="00F26449" w:rsidRPr="00162A79" w:rsidRDefault="00F26449" w:rsidP="005E7B9F">
      <w:pPr>
        <w:rPr>
          <w:spacing w:val="-2"/>
        </w:rPr>
      </w:pPr>
      <w:r w:rsidRPr="00162A79">
        <w:rPr>
          <w:spacing w:val="-2"/>
        </w:rPr>
        <w:t>A given WAVE application may use one of several 10 MHz channels on a dynamic assignment basis under the direction of the control channel as shown in the following table. Advanced ITS safety-related applications use dedicated channels for crash-imminent safety-related and high-powered public safety-related applications, as well as flexible assignment of other service channels through the control channel mechanism to support the wide range of advanced ITS WAVE applications. Many applications will only partially use a particular assignable channel at a particular time and location, permitting sharing among WAVE applications on individual assignable service channels.</w:t>
      </w:r>
    </w:p>
    <w:p w:rsidR="00F26449" w:rsidRPr="00162A79" w:rsidRDefault="00F26449" w:rsidP="005E7B9F">
      <w:r w:rsidRPr="00162A79">
        <w:t>Safety-related applications which are not pre-assigned to the dedicated channels typically use the control channel to transmit very short, infrequent messages, or else use WAVE Service Announcements (</w:t>
      </w:r>
      <w:proofErr w:type="spellStart"/>
      <w:r w:rsidRPr="00162A79">
        <w:t>WSA</w:t>
      </w:r>
      <w:proofErr w:type="spellEnd"/>
      <w:r w:rsidRPr="00162A79">
        <w:t xml:space="preserve">) on the control channel to indicate a service channel upon which to communicate, if those messages are less dependent upon having very low latency. Lower priority messages typically use </w:t>
      </w:r>
      <w:proofErr w:type="spellStart"/>
      <w:r w:rsidRPr="00162A79">
        <w:t>WSAs</w:t>
      </w:r>
      <w:proofErr w:type="spellEnd"/>
      <w:r w:rsidRPr="00162A79">
        <w:t xml:space="preserve"> on the control channel to be assigned to a service channel which is not fully occupied by safety-related communications at that location at that time. This flexible designation of application messages to different service channels in various locations facilitates spectral efficiency and reduces interference among WAVE applications.</w:t>
      </w:r>
    </w:p>
    <w:p w:rsidR="00F26449" w:rsidRPr="00162A79" w:rsidRDefault="00F26449" w:rsidP="005E7B9F">
      <w:pPr>
        <w:pStyle w:val="FigureNo"/>
        <w:rPr>
          <w:lang w:eastAsia="ja-JP"/>
        </w:rPr>
      </w:pPr>
      <w:r w:rsidRPr="00162A79">
        <w:rPr>
          <w:lang w:eastAsia="ja-JP"/>
        </w:rPr>
        <w:t xml:space="preserve">FIGURE 1 </w:t>
      </w:r>
    </w:p>
    <w:p w:rsidR="00F26449" w:rsidRPr="00162A79" w:rsidRDefault="00F26449" w:rsidP="000D5850">
      <w:pPr>
        <w:pStyle w:val="Figuretitle"/>
      </w:pPr>
      <w:r w:rsidRPr="00162A79">
        <w:t>Current Band Plan for WAVE in the United States</w:t>
      </w:r>
      <w:r w:rsidRPr="000D5850">
        <w:rPr>
          <w:rStyle w:val="FootnoteReference"/>
          <w:sz w:val="14"/>
          <w:szCs w:val="14"/>
        </w:rPr>
        <w:footnoteReference w:id="10"/>
      </w:r>
    </w:p>
    <w:tbl>
      <w:tblPr>
        <w:tblW w:w="0" w:type="auto"/>
        <w:jc w:val="center"/>
        <w:tblLayout w:type="fixed"/>
        <w:tblCellMar>
          <w:left w:w="0" w:type="dxa"/>
          <w:right w:w="0" w:type="dxa"/>
        </w:tblCellMar>
        <w:tblLook w:val="01E0" w:firstRow="1" w:lastRow="1" w:firstColumn="1" w:lastColumn="1" w:noHBand="0" w:noVBand="0"/>
      </w:tblPr>
      <w:tblGrid>
        <w:gridCol w:w="974"/>
        <w:gridCol w:w="1194"/>
        <w:gridCol w:w="1193"/>
        <w:gridCol w:w="1194"/>
        <w:gridCol w:w="1194"/>
        <w:gridCol w:w="1194"/>
        <w:gridCol w:w="1193"/>
        <w:gridCol w:w="1191"/>
      </w:tblGrid>
      <w:tr w:rsidR="00F26449" w:rsidRPr="00162A79" w:rsidTr="00C91CAA">
        <w:trPr>
          <w:trHeight w:hRule="exact" w:val="258"/>
          <w:jc w:val="center"/>
        </w:trPr>
        <w:tc>
          <w:tcPr>
            <w:tcW w:w="974" w:type="dxa"/>
            <w:tcBorders>
              <w:top w:val="nil"/>
              <w:left w:val="single" w:sz="16" w:space="0" w:color="000000"/>
              <w:bottom w:val="nil"/>
              <w:right w:val="nil"/>
            </w:tcBorders>
          </w:tcPr>
          <w:p w:rsidR="00F26449" w:rsidRPr="00162A79" w:rsidRDefault="00F26449" w:rsidP="00C91CAA">
            <w:pPr>
              <w:widowControl w:val="0"/>
              <w:spacing w:before="40" w:after="40"/>
              <w:ind w:left="-9" w:right="-9"/>
              <w:rPr>
                <w:rFonts w:asciiTheme="majorBidi" w:eastAsia="Arial" w:hAnsiTheme="majorBidi" w:cstheme="majorBidi"/>
                <w:sz w:val="20"/>
              </w:rPr>
            </w:pPr>
            <w:r w:rsidRPr="00162A79">
              <w:rPr>
                <w:rFonts w:asciiTheme="majorBidi" w:eastAsiaTheme="minorHAnsi" w:hAnsiTheme="majorBidi" w:cstheme="majorBidi"/>
                <w:spacing w:val="-1"/>
                <w:sz w:val="20"/>
                <w:szCs w:val="22"/>
              </w:rPr>
              <w:t>5.850</w:t>
            </w:r>
            <w:r w:rsidRPr="00162A79">
              <w:rPr>
                <w:rFonts w:asciiTheme="majorBidi" w:eastAsiaTheme="minorHAnsi" w:hAnsiTheme="majorBidi" w:cstheme="majorBidi"/>
                <w:spacing w:val="-11"/>
                <w:sz w:val="20"/>
                <w:szCs w:val="22"/>
              </w:rPr>
              <w:t xml:space="preserve"> </w:t>
            </w:r>
            <w:r w:rsidRPr="00162A79">
              <w:rPr>
                <w:rFonts w:asciiTheme="majorBidi" w:eastAsiaTheme="minorHAnsi" w:hAnsiTheme="majorBidi" w:cstheme="majorBidi"/>
                <w:sz w:val="20"/>
                <w:szCs w:val="22"/>
              </w:rPr>
              <w:t>GHz</w:t>
            </w:r>
          </w:p>
        </w:tc>
        <w:tc>
          <w:tcPr>
            <w:tcW w:w="1194" w:type="dxa"/>
            <w:tcBorders>
              <w:top w:val="nil"/>
              <w:left w:val="nil"/>
              <w:bottom w:val="nil"/>
              <w:right w:val="nil"/>
            </w:tcBorders>
          </w:tcPr>
          <w:p w:rsidR="00F26449" w:rsidRPr="00162A79" w:rsidRDefault="00F26449" w:rsidP="00C91CAA">
            <w:pPr>
              <w:spacing w:before="40" w:after="40"/>
              <w:rPr>
                <w:rFonts w:asciiTheme="majorBidi" w:hAnsiTheme="majorBidi" w:cstheme="majorBidi"/>
              </w:rPr>
            </w:pPr>
          </w:p>
        </w:tc>
        <w:tc>
          <w:tcPr>
            <w:tcW w:w="2387" w:type="dxa"/>
            <w:gridSpan w:val="2"/>
            <w:tcBorders>
              <w:top w:val="nil"/>
              <w:left w:val="nil"/>
              <w:bottom w:val="single" w:sz="16" w:space="0" w:color="000000"/>
              <w:right w:val="nil"/>
            </w:tcBorders>
          </w:tcPr>
          <w:p w:rsidR="00F26449" w:rsidRPr="00162A79" w:rsidRDefault="00F26449" w:rsidP="00C91CAA">
            <w:pPr>
              <w:spacing w:before="40" w:after="40"/>
              <w:rPr>
                <w:rFonts w:asciiTheme="majorBidi" w:hAnsiTheme="majorBidi" w:cstheme="majorBidi"/>
              </w:rPr>
            </w:pPr>
          </w:p>
        </w:tc>
        <w:tc>
          <w:tcPr>
            <w:tcW w:w="1194" w:type="dxa"/>
            <w:tcBorders>
              <w:top w:val="nil"/>
              <w:left w:val="nil"/>
              <w:bottom w:val="nil"/>
              <w:right w:val="nil"/>
            </w:tcBorders>
          </w:tcPr>
          <w:p w:rsidR="00F26449" w:rsidRPr="00162A79" w:rsidRDefault="00F26449" w:rsidP="00C91CAA">
            <w:pPr>
              <w:spacing w:before="40" w:after="40"/>
              <w:rPr>
                <w:rFonts w:asciiTheme="majorBidi" w:hAnsiTheme="majorBidi" w:cstheme="majorBidi"/>
              </w:rPr>
            </w:pPr>
          </w:p>
        </w:tc>
        <w:tc>
          <w:tcPr>
            <w:tcW w:w="2387" w:type="dxa"/>
            <w:gridSpan w:val="2"/>
            <w:tcBorders>
              <w:top w:val="nil"/>
              <w:left w:val="nil"/>
              <w:bottom w:val="single" w:sz="16" w:space="0" w:color="000000"/>
              <w:right w:val="nil"/>
            </w:tcBorders>
          </w:tcPr>
          <w:p w:rsidR="00F26449" w:rsidRPr="00162A79" w:rsidRDefault="00F26449" w:rsidP="00C91CAA">
            <w:pPr>
              <w:spacing w:before="40" w:after="40"/>
              <w:rPr>
                <w:rFonts w:asciiTheme="majorBidi" w:hAnsiTheme="majorBidi" w:cstheme="majorBidi"/>
              </w:rPr>
            </w:pPr>
          </w:p>
        </w:tc>
        <w:tc>
          <w:tcPr>
            <w:tcW w:w="1191" w:type="dxa"/>
            <w:tcBorders>
              <w:top w:val="nil"/>
              <w:left w:val="nil"/>
              <w:bottom w:val="nil"/>
              <w:right w:val="single" w:sz="14" w:space="0" w:color="000000"/>
            </w:tcBorders>
          </w:tcPr>
          <w:p w:rsidR="00F26449" w:rsidRPr="00162A79" w:rsidRDefault="00F26449" w:rsidP="00C91CAA">
            <w:pPr>
              <w:widowControl w:val="0"/>
              <w:spacing w:before="40" w:after="40"/>
              <w:ind w:left="208"/>
              <w:rPr>
                <w:rFonts w:asciiTheme="majorBidi" w:eastAsia="Arial" w:hAnsiTheme="majorBidi" w:cstheme="majorBidi"/>
                <w:sz w:val="20"/>
              </w:rPr>
            </w:pPr>
            <w:r w:rsidRPr="00162A79">
              <w:rPr>
                <w:rFonts w:asciiTheme="majorBidi" w:eastAsiaTheme="minorHAnsi" w:hAnsiTheme="majorBidi" w:cstheme="majorBidi"/>
                <w:sz w:val="20"/>
                <w:szCs w:val="22"/>
              </w:rPr>
              <w:t>5.925</w:t>
            </w:r>
            <w:r w:rsidRPr="00162A79">
              <w:rPr>
                <w:rFonts w:asciiTheme="majorBidi" w:eastAsiaTheme="minorHAnsi" w:hAnsiTheme="majorBidi" w:cstheme="majorBidi"/>
                <w:spacing w:val="-10"/>
                <w:sz w:val="20"/>
                <w:szCs w:val="22"/>
              </w:rPr>
              <w:t xml:space="preserve"> </w:t>
            </w:r>
            <w:r w:rsidRPr="00162A79">
              <w:rPr>
                <w:rFonts w:asciiTheme="majorBidi" w:eastAsiaTheme="minorHAnsi" w:hAnsiTheme="majorBidi" w:cstheme="majorBidi"/>
                <w:sz w:val="20"/>
                <w:szCs w:val="22"/>
              </w:rPr>
              <w:t>GHz</w:t>
            </w:r>
          </w:p>
        </w:tc>
      </w:tr>
      <w:tr w:rsidR="00F26449" w:rsidRPr="00162A79" w:rsidTr="00C91CAA">
        <w:trPr>
          <w:trHeight w:hRule="exact" w:val="309"/>
          <w:jc w:val="center"/>
        </w:trPr>
        <w:tc>
          <w:tcPr>
            <w:tcW w:w="2168" w:type="dxa"/>
            <w:gridSpan w:val="2"/>
            <w:tcBorders>
              <w:top w:val="nil"/>
              <w:left w:val="single" w:sz="16" w:space="0" w:color="000000"/>
              <w:bottom w:val="single" w:sz="16" w:space="0" w:color="000000"/>
              <w:right w:val="single" w:sz="16" w:space="0" w:color="000000"/>
            </w:tcBorders>
          </w:tcPr>
          <w:p w:rsidR="00F26449" w:rsidRPr="00162A79" w:rsidRDefault="00F26449" w:rsidP="00C91CAA">
            <w:pPr>
              <w:spacing w:before="40" w:after="40"/>
              <w:rPr>
                <w:rFonts w:asciiTheme="majorBidi" w:hAnsiTheme="majorBidi" w:cstheme="majorBidi"/>
              </w:rPr>
            </w:pPr>
          </w:p>
        </w:tc>
        <w:tc>
          <w:tcPr>
            <w:tcW w:w="2387" w:type="dxa"/>
            <w:gridSpan w:val="2"/>
            <w:tcBorders>
              <w:top w:val="single" w:sz="16" w:space="0" w:color="000000"/>
              <w:left w:val="single" w:sz="16" w:space="0" w:color="000000"/>
              <w:bottom w:val="single" w:sz="16" w:space="0" w:color="000000"/>
              <w:right w:val="single" w:sz="16" w:space="0" w:color="000000"/>
            </w:tcBorders>
          </w:tcPr>
          <w:p w:rsidR="00F26449" w:rsidRPr="00162A79" w:rsidRDefault="00F26449" w:rsidP="00C91CAA">
            <w:pPr>
              <w:widowControl w:val="0"/>
              <w:spacing w:before="40" w:after="40" w:line="229" w:lineRule="exact"/>
              <w:ind w:left="19"/>
              <w:jc w:val="center"/>
              <w:rPr>
                <w:rFonts w:asciiTheme="majorBidi" w:eastAsia="Arial" w:hAnsiTheme="majorBidi" w:cstheme="majorBidi"/>
                <w:sz w:val="20"/>
              </w:rPr>
            </w:pPr>
            <w:proofErr w:type="spellStart"/>
            <w:r w:rsidRPr="00162A79">
              <w:rPr>
                <w:rFonts w:asciiTheme="majorBidi" w:eastAsiaTheme="minorHAnsi" w:hAnsiTheme="majorBidi" w:cstheme="majorBidi"/>
                <w:spacing w:val="-1"/>
                <w:sz w:val="20"/>
                <w:szCs w:val="22"/>
              </w:rPr>
              <w:t>CH175</w:t>
            </w:r>
            <w:proofErr w:type="spellEnd"/>
          </w:p>
        </w:tc>
        <w:tc>
          <w:tcPr>
            <w:tcW w:w="1194" w:type="dxa"/>
            <w:tcBorders>
              <w:top w:val="nil"/>
              <w:left w:val="single" w:sz="16" w:space="0" w:color="000000"/>
              <w:bottom w:val="single" w:sz="16" w:space="0" w:color="000000"/>
              <w:right w:val="single" w:sz="16" w:space="0" w:color="000000"/>
            </w:tcBorders>
          </w:tcPr>
          <w:p w:rsidR="00F26449" w:rsidRPr="00162A79" w:rsidRDefault="00F26449" w:rsidP="00C91CAA">
            <w:pPr>
              <w:spacing w:before="40" w:after="40"/>
              <w:rPr>
                <w:rFonts w:asciiTheme="majorBidi" w:hAnsiTheme="majorBidi" w:cstheme="majorBidi"/>
              </w:rPr>
            </w:pPr>
          </w:p>
        </w:tc>
        <w:tc>
          <w:tcPr>
            <w:tcW w:w="2387" w:type="dxa"/>
            <w:gridSpan w:val="2"/>
            <w:tcBorders>
              <w:top w:val="single" w:sz="16" w:space="0" w:color="000000"/>
              <w:left w:val="single" w:sz="16" w:space="0" w:color="000000"/>
              <w:bottom w:val="single" w:sz="16" w:space="0" w:color="000000"/>
              <w:right w:val="single" w:sz="16" w:space="0" w:color="000000"/>
            </w:tcBorders>
          </w:tcPr>
          <w:p w:rsidR="00F26449" w:rsidRPr="00162A79" w:rsidRDefault="00F26449" w:rsidP="00C91CAA">
            <w:pPr>
              <w:widowControl w:val="0"/>
              <w:spacing w:before="40" w:after="40" w:line="229" w:lineRule="exact"/>
              <w:ind w:left="19"/>
              <w:jc w:val="center"/>
              <w:rPr>
                <w:rFonts w:asciiTheme="majorBidi" w:eastAsia="Arial" w:hAnsiTheme="majorBidi" w:cstheme="majorBidi"/>
                <w:sz w:val="20"/>
              </w:rPr>
            </w:pPr>
            <w:proofErr w:type="spellStart"/>
            <w:r w:rsidRPr="00162A79">
              <w:rPr>
                <w:rFonts w:asciiTheme="majorBidi" w:eastAsiaTheme="minorHAnsi" w:hAnsiTheme="majorBidi" w:cstheme="majorBidi"/>
                <w:spacing w:val="-1"/>
                <w:sz w:val="20"/>
                <w:szCs w:val="22"/>
              </w:rPr>
              <w:t>CH181</w:t>
            </w:r>
            <w:proofErr w:type="spellEnd"/>
          </w:p>
        </w:tc>
        <w:tc>
          <w:tcPr>
            <w:tcW w:w="1191" w:type="dxa"/>
            <w:tcBorders>
              <w:top w:val="nil"/>
              <w:left w:val="single" w:sz="16" w:space="0" w:color="000000"/>
              <w:bottom w:val="single" w:sz="16" w:space="0" w:color="000000"/>
              <w:right w:val="single" w:sz="14" w:space="0" w:color="000000"/>
            </w:tcBorders>
          </w:tcPr>
          <w:p w:rsidR="00F26449" w:rsidRPr="00162A79" w:rsidRDefault="00F26449" w:rsidP="00C91CAA">
            <w:pPr>
              <w:spacing w:before="40" w:after="40"/>
              <w:rPr>
                <w:rFonts w:asciiTheme="majorBidi" w:hAnsiTheme="majorBidi" w:cstheme="majorBidi"/>
              </w:rPr>
            </w:pPr>
          </w:p>
        </w:tc>
      </w:tr>
      <w:tr w:rsidR="00F26449" w:rsidRPr="00162A79" w:rsidTr="00C91CAA">
        <w:trPr>
          <w:trHeight w:hRule="exact" w:val="1020"/>
          <w:jc w:val="center"/>
        </w:trPr>
        <w:tc>
          <w:tcPr>
            <w:tcW w:w="974" w:type="dxa"/>
            <w:tcBorders>
              <w:top w:val="single" w:sz="16" w:space="0" w:color="000000"/>
              <w:left w:val="single" w:sz="16" w:space="0" w:color="000000"/>
              <w:bottom w:val="single" w:sz="12" w:space="0" w:color="000000"/>
              <w:right w:val="single" w:sz="16" w:space="0" w:color="000000"/>
            </w:tcBorders>
          </w:tcPr>
          <w:p w:rsidR="00F26449" w:rsidRPr="00162A79" w:rsidRDefault="00F26449" w:rsidP="00C91CAA">
            <w:pPr>
              <w:widowControl w:val="0"/>
              <w:spacing w:before="40" w:after="40"/>
              <w:ind w:left="-9" w:right="-28"/>
              <w:jc w:val="center"/>
              <w:rPr>
                <w:rFonts w:asciiTheme="majorBidi" w:eastAsia="Arial" w:hAnsiTheme="majorBidi" w:cstheme="majorBidi"/>
                <w:sz w:val="20"/>
              </w:rPr>
            </w:pPr>
            <w:r w:rsidRPr="00162A79">
              <w:rPr>
                <w:rFonts w:asciiTheme="majorBidi" w:eastAsiaTheme="minorHAnsi" w:hAnsiTheme="majorBidi" w:cstheme="majorBidi"/>
                <w:spacing w:val="-1"/>
                <w:w w:val="95"/>
                <w:sz w:val="20"/>
                <w:szCs w:val="22"/>
              </w:rPr>
              <w:t>5 850-5 855</w:t>
            </w:r>
          </w:p>
          <w:p w:rsidR="00F26449" w:rsidRPr="00162A79" w:rsidRDefault="00F26449" w:rsidP="00C91CAA">
            <w:pPr>
              <w:widowControl w:val="0"/>
              <w:spacing w:before="40" w:after="40" w:line="302" w:lineRule="exact"/>
              <w:ind w:left="133" w:right="114"/>
              <w:jc w:val="center"/>
              <w:rPr>
                <w:rFonts w:asciiTheme="majorBidi" w:eastAsia="Arial" w:hAnsiTheme="majorBidi" w:cstheme="majorBidi"/>
                <w:sz w:val="20"/>
              </w:rPr>
            </w:pPr>
            <w:r w:rsidRPr="00162A79">
              <w:rPr>
                <w:rFonts w:asciiTheme="majorBidi" w:eastAsiaTheme="minorHAnsi" w:hAnsiTheme="majorBidi" w:cstheme="majorBidi"/>
                <w:spacing w:val="-1"/>
                <w:w w:val="95"/>
                <w:sz w:val="20"/>
                <w:szCs w:val="22"/>
              </w:rPr>
              <w:t>reserve</w:t>
            </w:r>
            <w:r w:rsidRPr="00162A79">
              <w:rPr>
                <w:rFonts w:asciiTheme="majorBidi" w:eastAsiaTheme="minorHAnsi" w:hAnsiTheme="majorBidi" w:cstheme="majorBidi"/>
                <w:spacing w:val="26"/>
                <w:w w:val="99"/>
                <w:sz w:val="20"/>
                <w:szCs w:val="22"/>
              </w:rPr>
              <w:t xml:space="preserve"> </w:t>
            </w:r>
            <w:r w:rsidRPr="00162A79">
              <w:rPr>
                <w:rFonts w:asciiTheme="majorBidi" w:eastAsiaTheme="minorHAnsi" w:hAnsiTheme="majorBidi" w:cstheme="majorBidi"/>
                <w:sz w:val="20"/>
                <w:szCs w:val="22"/>
              </w:rPr>
              <w:t>5</w:t>
            </w:r>
            <w:r w:rsidRPr="00162A79">
              <w:rPr>
                <w:rFonts w:asciiTheme="majorBidi" w:eastAsiaTheme="minorHAnsi" w:hAnsiTheme="majorBidi" w:cstheme="majorBidi"/>
                <w:spacing w:val="-7"/>
                <w:sz w:val="20"/>
                <w:szCs w:val="22"/>
              </w:rPr>
              <w:t xml:space="preserve"> </w:t>
            </w:r>
            <w:r w:rsidRPr="00162A79">
              <w:rPr>
                <w:rFonts w:asciiTheme="majorBidi" w:eastAsiaTheme="minorHAnsi" w:hAnsiTheme="majorBidi" w:cstheme="majorBidi"/>
                <w:sz w:val="20"/>
                <w:szCs w:val="22"/>
              </w:rPr>
              <w:t>MHz</w:t>
            </w:r>
          </w:p>
        </w:tc>
        <w:tc>
          <w:tcPr>
            <w:tcW w:w="1194" w:type="dxa"/>
            <w:tcBorders>
              <w:top w:val="single" w:sz="16" w:space="0" w:color="000000"/>
              <w:left w:val="single" w:sz="16" w:space="0" w:color="000000"/>
              <w:bottom w:val="single" w:sz="12" w:space="0" w:color="000000"/>
              <w:right w:val="single" w:sz="16" w:space="0" w:color="000000"/>
            </w:tcBorders>
          </w:tcPr>
          <w:p w:rsidR="00F26449" w:rsidRPr="00162A79" w:rsidRDefault="00F26449" w:rsidP="00C91CAA">
            <w:pPr>
              <w:widowControl w:val="0"/>
              <w:spacing w:before="40" w:after="40"/>
              <w:ind w:left="275"/>
              <w:rPr>
                <w:rFonts w:asciiTheme="majorBidi" w:eastAsia="Arial" w:hAnsiTheme="majorBidi" w:cstheme="majorBidi"/>
                <w:sz w:val="20"/>
              </w:rPr>
            </w:pPr>
            <w:proofErr w:type="spellStart"/>
            <w:r w:rsidRPr="00162A79">
              <w:rPr>
                <w:rFonts w:asciiTheme="majorBidi" w:eastAsiaTheme="minorHAnsi" w:hAnsiTheme="majorBidi" w:cstheme="majorBidi"/>
                <w:sz w:val="20"/>
                <w:szCs w:val="22"/>
              </w:rPr>
              <w:t>CH172</w:t>
            </w:r>
            <w:proofErr w:type="spellEnd"/>
          </w:p>
          <w:p w:rsidR="00F26449" w:rsidRPr="00162A79" w:rsidRDefault="00F26449" w:rsidP="00C91CAA">
            <w:pPr>
              <w:widowControl w:val="0"/>
              <w:spacing w:before="40" w:after="40" w:line="302" w:lineRule="exact"/>
              <w:ind w:left="246" w:right="221" w:firstLine="23"/>
              <w:rPr>
                <w:rFonts w:asciiTheme="majorBidi" w:eastAsia="Arial" w:hAnsiTheme="majorBidi" w:cstheme="majorBidi"/>
                <w:sz w:val="20"/>
              </w:rPr>
            </w:pPr>
            <w:r w:rsidRPr="00162A79">
              <w:rPr>
                <w:rFonts w:asciiTheme="majorBidi" w:eastAsiaTheme="minorHAnsi" w:hAnsiTheme="majorBidi" w:cstheme="majorBidi"/>
                <w:sz w:val="20"/>
                <w:szCs w:val="22"/>
              </w:rPr>
              <w:t>service</w:t>
            </w:r>
            <w:r w:rsidRPr="00162A79">
              <w:rPr>
                <w:rFonts w:asciiTheme="majorBidi" w:eastAsiaTheme="minorHAnsi" w:hAnsiTheme="majorBidi" w:cstheme="majorBidi"/>
                <w:spacing w:val="1"/>
                <w:w w:val="99"/>
                <w:sz w:val="20"/>
                <w:szCs w:val="22"/>
              </w:rPr>
              <w:t xml:space="preserve"> </w:t>
            </w:r>
            <w:r w:rsidRPr="00162A79">
              <w:rPr>
                <w:rFonts w:asciiTheme="majorBidi" w:eastAsiaTheme="minorHAnsi" w:hAnsiTheme="majorBidi" w:cstheme="majorBidi"/>
                <w:spacing w:val="-1"/>
                <w:sz w:val="20"/>
                <w:szCs w:val="22"/>
              </w:rPr>
              <w:t>10</w:t>
            </w:r>
            <w:r w:rsidRPr="00162A79">
              <w:rPr>
                <w:rFonts w:asciiTheme="majorBidi" w:eastAsiaTheme="minorHAnsi" w:hAnsiTheme="majorBidi" w:cstheme="majorBidi"/>
                <w:spacing w:val="-9"/>
                <w:sz w:val="20"/>
                <w:szCs w:val="22"/>
              </w:rPr>
              <w:t xml:space="preserve"> </w:t>
            </w:r>
            <w:r w:rsidRPr="00162A79">
              <w:rPr>
                <w:rFonts w:asciiTheme="majorBidi" w:eastAsiaTheme="minorHAnsi" w:hAnsiTheme="majorBidi" w:cstheme="majorBidi"/>
                <w:sz w:val="20"/>
                <w:szCs w:val="22"/>
              </w:rPr>
              <w:t>MHz</w:t>
            </w:r>
          </w:p>
        </w:tc>
        <w:tc>
          <w:tcPr>
            <w:tcW w:w="1193" w:type="dxa"/>
            <w:tcBorders>
              <w:top w:val="single" w:sz="16" w:space="0" w:color="000000"/>
              <w:left w:val="single" w:sz="16" w:space="0" w:color="000000"/>
              <w:bottom w:val="single" w:sz="12" w:space="0" w:color="000000"/>
              <w:right w:val="single" w:sz="16" w:space="0" w:color="000000"/>
            </w:tcBorders>
          </w:tcPr>
          <w:p w:rsidR="00F26449" w:rsidRPr="00162A79" w:rsidRDefault="00F26449" w:rsidP="00C91CAA">
            <w:pPr>
              <w:widowControl w:val="0"/>
              <w:spacing w:before="40" w:after="40"/>
              <w:ind w:left="276"/>
              <w:rPr>
                <w:rFonts w:asciiTheme="majorBidi" w:eastAsia="Arial" w:hAnsiTheme="majorBidi" w:cstheme="majorBidi"/>
                <w:sz w:val="20"/>
              </w:rPr>
            </w:pPr>
            <w:proofErr w:type="spellStart"/>
            <w:r w:rsidRPr="00162A79">
              <w:rPr>
                <w:rFonts w:asciiTheme="majorBidi" w:eastAsiaTheme="minorHAnsi" w:hAnsiTheme="majorBidi" w:cstheme="majorBidi"/>
                <w:sz w:val="20"/>
                <w:szCs w:val="22"/>
              </w:rPr>
              <w:t>CH174</w:t>
            </w:r>
            <w:proofErr w:type="spellEnd"/>
          </w:p>
          <w:p w:rsidR="00F26449" w:rsidRPr="00162A79" w:rsidRDefault="00F26449" w:rsidP="00C91CAA">
            <w:pPr>
              <w:widowControl w:val="0"/>
              <w:spacing w:before="40" w:after="40" w:line="302" w:lineRule="exact"/>
              <w:ind w:left="244" w:right="221" w:firstLine="24"/>
              <w:rPr>
                <w:rFonts w:asciiTheme="majorBidi" w:eastAsia="Arial" w:hAnsiTheme="majorBidi" w:cstheme="majorBidi"/>
                <w:sz w:val="20"/>
              </w:rPr>
            </w:pPr>
            <w:r w:rsidRPr="00162A79">
              <w:rPr>
                <w:rFonts w:asciiTheme="majorBidi" w:eastAsiaTheme="minorHAnsi" w:hAnsiTheme="majorBidi" w:cstheme="majorBidi"/>
                <w:sz w:val="20"/>
                <w:szCs w:val="22"/>
              </w:rPr>
              <w:t>service</w:t>
            </w:r>
            <w:r w:rsidRPr="00162A79">
              <w:rPr>
                <w:rFonts w:asciiTheme="majorBidi" w:eastAsiaTheme="minorHAnsi" w:hAnsiTheme="majorBidi" w:cstheme="majorBidi"/>
                <w:w w:val="99"/>
                <w:sz w:val="20"/>
                <w:szCs w:val="22"/>
              </w:rPr>
              <w:t xml:space="preserve"> </w:t>
            </w:r>
            <w:r w:rsidRPr="00162A79">
              <w:rPr>
                <w:rFonts w:asciiTheme="majorBidi" w:eastAsiaTheme="minorHAnsi" w:hAnsiTheme="majorBidi" w:cstheme="majorBidi"/>
                <w:sz w:val="20"/>
                <w:szCs w:val="22"/>
              </w:rPr>
              <w:t>10</w:t>
            </w:r>
            <w:r w:rsidRPr="00162A79">
              <w:rPr>
                <w:rFonts w:asciiTheme="majorBidi" w:eastAsiaTheme="minorHAnsi" w:hAnsiTheme="majorBidi" w:cstheme="majorBidi"/>
                <w:spacing w:val="-8"/>
                <w:sz w:val="20"/>
                <w:szCs w:val="22"/>
              </w:rPr>
              <w:t xml:space="preserve"> </w:t>
            </w:r>
            <w:r w:rsidRPr="00162A79">
              <w:rPr>
                <w:rFonts w:asciiTheme="majorBidi" w:eastAsiaTheme="minorHAnsi" w:hAnsiTheme="majorBidi" w:cstheme="majorBidi"/>
                <w:sz w:val="20"/>
                <w:szCs w:val="22"/>
              </w:rPr>
              <w:t>MHz</w:t>
            </w:r>
          </w:p>
        </w:tc>
        <w:tc>
          <w:tcPr>
            <w:tcW w:w="1194" w:type="dxa"/>
            <w:tcBorders>
              <w:top w:val="single" w:sz="16" w:space="0" w:color="000000"/>
              <w:left w:val="single" w:sz="16" w:space="0" w:color="000000"/>
              <w:bottom w:val="single" w:sz="12" w:space="0" w:color="000000"/>
              <w:right w:val="single" w:sz="16" w:space="0" w:color="000000"/>
            </w:tcBorders>
          </w:tcPr>
          <w:p w:rsidR="00F26449" w:rsidRPr="00162A79" w:rsidRDefault="00F26449" w:rsidP="00C91CAA">
            <w:pPr>
              <w:widowControl w:val="0"/>
              <w:spacing w:before="40" w:after="40"/>
              <w:ind w:left="277"/>
              <w:rPr>
                <w:rFonts w:asciiTheme="majorBidi" w:eastAsia="Arial" w:hAnsiTheme="majorBidi" w:cstheme="majorBidi"/>
                <w:sz w:val="20"/>
              </w:rPr>
            </w:pPr>
            <w:proofErr w:type="spellStart"/>
            <w:r w:rsidRPr="00162A79">
              <w:rPr>
                <w:rFonts w:asciiTheme="majorBidi" w:eastAsiaTheme="minorHAnsi" w:hAnsiTheme="majorBidi" w:cstheme="majorBidi"/>
                <w:sz w:val="20"/>
                <w:szCs w:val="22"/>
              </w:rPr>
              <w:t>CH176</w:t>
            </w:r>
            <w:proofErr w:type="spellEnd"/>
          </w:p>
          <w:p w:rsidR="00F26449" w:rsidRPr="00162A79" w:rsidRDefault="00F26449" w:rsidP="00C91CAA">
            <w:pPr>
              <w:widowControl w:val="0"/>
              <w:spacing w:before="40" w:after="40" w:line="302" w:lineRule="exact"/>
              <w:ind w:left="245" w:right="221" w:firstLine="24"/>
              <w:rPr>
                <w:rFonts w:asciiTheme="majorBidi" w:eastAsia="Arial" w:hAnsiTheme="majorBidi" w:cstheme="majorBidi"/>
                <w:sz w:val="20"/>
              </w:rPr>
            </w:pPr>
            <w:r w:rsidRPr="00162A79">
              <w:rPr>
                <w:rFonts w:asciiTheme="majorBidi" w:eastAsiaTheme="minorHAnsi" w:hAnsiTheme="majorBidi" w:cstheme="majorBidi"/>
                <w:sz w:val="20"/>
                <w:szCs w:val="22"/>
              </w:rPr>
              <w:t>service</w:t>
            </w:r>
            <w:r w:rsidRPr="00162A79">
              <w:rPr>
                <w:rFonts w:asciiTheme="majorBidi" w:eastAsiaTheme="minorHAnsi" w:hAnsiTheme="majorBidi" w:cstheme="majorBidi"/>
                <w:spacing w:val="22"/>
                <w:w w:val="99"/>
                <w:sz w:val="20"/>
                <w:szCs w:val="22"/>
              </w:rPr>
              <w:t xml:space="preserve"> </w:t>
            </w:r>
            <w:r w:rsidRPr="00162A79">
              <w:rPr>
                <w:rFonts w:asciiTheme="majorBidi" w:eastAsiaTheme="minorHAnsi" w:hAnsiTheme="majorBidi" w:cstheme="majorBidi"/>
                <w:sz w:val="20"/>
                <w:szCs w:val="22"/>
              </w:rPr>
              <w:t>10</w:t>
            </w:r>
            <w:r w:rsidRPr="00162A79">
              <w:rPr>
                <w:rFonts w:asciiTheme="majorBidi" w:eastAsiaTheme="minorHAnsi" w:hAnsiTheme="majorBidi" w:cstheme="majorBidi"/>
                <w:spacing w:val="-8"/>
                <w:sz w:val="20"/>
                <w:szCs w:val="22"/>
              </w:rPr>
              <w:t xml:space="preserve"> </w:t>
            </w:r>
            <w:r w:rsidRPr="00162A79">
              <w:rPr>
                <w:rFonts w:asciiTheme="majorBidi" w:eastAsiaTheme="minorHAnsi" w:hAnsiTheme="majorBidi" w:cstheme="majorBidi"/>
                <w:sz w:val="20"/>
                <w:szCs w:val="22"/>
              </w:rPr>
              <w:t>MHz</w:t>
            </w:r>
          </w:p>
        </w:tc>
        <w:tc>
          <w:tcPr>
            <w:tcW w:w="1194" w:type="dxa"/>
            <w:tcBorders>
              <w:top w:val="single" w:sz="16" w:space="0" w:color="000000"/>
              <w:left w:val="single" w:sz="16" w:space="0" w:color="000000"/>
              <w:bottom w:val="single" w:sz="12" w:space="0" w:color="000000"/>
              <w:right w:val="single" w:sz="16" w:space="0" w:color="000000"/>
            </w:tcBorders>
          </w:tcPr>
          <w:p w:rsidR="00F26449" w:rsidRPr="00162A79" w:rsidRDefault="00F26449" w:rsidP="00C91CAA">
            <w:pPr>
              <w:widowControl w:val="0"/>
              <w:spacing w:before="40" w:after="40"/>
              <w:ind w:left="277"/>
              <w:rPr>
                <w:rFonts w:asciiTheme="majorBidi" w:eastAsia="Arial" w:hAnsiTheme="majorBidi" w:cstheme="majorBidi"/>
                <w:sz w:val="20"/>
              </w:rPr>
            </w:pPr>
            <w:proofErr w:type="spellStart"/>
            <w:r w:rsidRPr="00162A79">
              <w:rPr>
                <w:rFonts w:asciiTheme="majorBidi" w:eastAsiaTheme="minorHAnsi" w:hAnsiTheme="majorBidi" w:cstheme="majorBidi"/>
                <w:spacing w:val="-1"/>
                <w:sz w:val="20"/>
                <w:szCs w:val="22"/>
              </w:rPr>
              <w:t>CH178</w:t>
            </w:r>
            <w:proofErr w:type="spellEnd"/>
          </w:p>
          <w:p w:rsidR="00F26449" w:rsidRPr="00162A79" w:rsidRDefault="00F26449" w:rsidP="00C91CAA">
            <w:pPr>
              <w:widowControl w:val="0"/>
              <w:spacing w:before="40" w:after="40" w:line="302" w:lineRule="exact"/>
              <w:ind w:left="245" w:right="223" w:firstLine="41"/>
              <w:rPr>
                <w:rFonts w:asciiTheme="majorBidi" w:eastAsia="Arial" w:hAnsiTheme="majorBidi" w:cstheme="majorBidi"/>
                <w:sz w:val="20"/>
              </w:rPr>
            </w:pPr>
            <w:r w:rsidRPr="00162A79">
              <w:rPr>
                <w:rFonts w:asciiTheme="majorBidi" w:eastAsiaTheme="minorHAnsi" w:hAnsiTheme="majorBidi" w:cstheme="majorBidi"/>
                <w:spacing w:val="-1"/>
                <w:sz w:val="20"/>
                <w:szCs w:val="22"/>
              </w:rPr>
              <w:t>control</w:t>
            </w:r>
            <w:r w:rsidRPr="00162A79">
              <w:rPr>
                <w:rFonts w:asciiTheme="majorBidi" w:eastAsiaTheme="minorHAnsi" w:hAnsiTheme="majorBidi" w:cstheme="majorBidi"/>
                <w:spacing w:val="25"/>
                <w:w w:val="99"/>
                <w:sz w:val="20"/>
                <w:szCs w:val="22"/>
              </w:rPr>
              <w:t xml:space="preserve"> </w:t>
            </w:r>
            <w:r w:rsidRPr="00162A79">
              <w:rPr>
                <w:rFonts w:asciiTheme="majorBidi" w:eastAsiaTheme="minorHAnsi" w:hAnsiTheme="majorBidi" w:cstheme="majorBidi"/>
                <w:sz w:val="20"/>
                <w:szCs w:val="22"/>
              </w:rPr>
              <w:t>10</w:t>
            </w:r>
            <w:r w:rsidRPr="00162A79">
              <w:rPr>
                <w:rFonts w:asciiTheme="majorBidi" w:eastAsiaTheme="minorHAnsi" w:hAnsiTheme="majorBidi" w:cstheme="majorBidi"/>
                <w:spacing w:val="-8"/>
                <w:sz w:val="20"/>
                <w:szCs w:val="22"/>
              </w:rPr>
              <w:t xml:space="preserve"> </w:t>
            </w:r>
            <w:r w:rsidRPr="00162A79">
              <w:rPr>
                <w:rFonts w:asciiTheme="majorBidi" w:eastAsiaTheme="minorHAnsi" w:hAnsiTheme="majorBidi" w:cstheme="majorBidi"/>
                <w:sz w:val="20"/>
                <w:szCs w:val="22"/>
              </w:rPr>
              <w:t>MHz</w:t>
            </w:r>
          </w:p>
        </w:tc>
        <w:tc>
          <w:tcPr>
            <w:tcW w:w="1194" w:type="dxa"/>
            <w:tcBorders>
              <w:top w:val="single" w:sz="16" w:space="0" w:color="000000"/>
              <w:left w:val="single" w:sz="16" w:space="0" w:color="000000"/>
              <w:bottom w:val="single" w:sz="12" w:space="0" w:color="000000"/>
              <w:right w:val="single" w:sz="16" w:space="0" w:color="000000"/>
            </w:tcBorders>
          </w:tcPr>
          <w:p w:rsidR="00F26449" w:rsidRPr="00162A79" w:rsidRDefault="00F26449" w:rsidP="00C91CAA">
            <w:pPr>
              <w:widowControl w:val="0"/>
              <w:spacing w:before="40" w:after="40"/>
              <w:ind w:left="276"/>
              <w:rPr>
                <w:rFonts w:asciiTheme="majorBidi" w:eastAsia="Arial" w:hAnsiTheme="majorBidi" w:cstheme="majorBidi"/>
                <w:sz w:val="20"/>
              </w:rPr>
            </w:pPr>
            <w:proofErr w:type="spellStart"/>
            <w:r w:rsidRPr="00162A79">
              <w:rPr>
                <w:rFonts w:asciiTheme="majorBidi" w:eastAsiaTheme="minorHAnsi" w:hAnsiTheme="majorBidi" w:cstheme="majorBidi"/>
                <w:sz w:val="20"/>
                <w:szCs w:val="22"/>
              </w:rPr>
              <w:t>CH180</w:t>
            </w:r>
            <w:proofErr w:type="spellEnd"/>
          </w:p>
          <w:p w:rsidR="00F26449" w:rsidRPr="00162A79" w:rsidRDefault="00F26449" w:rsidP="00C91CAA">
            <w:pPr>
              <w:widowControl w:val="0"/>
              <w:spacing w:before="40" w:after="40" w:line="302" w:lineRule="exact"/>
              <w:ind w:left="245" w:right="222" w:firstLine="24"/>
              <w:rPr>
                <w:rFonts w:asciiTheme="majorBidi" w:eastAsia="Arial" w:hAnsiTheme="majorBidi" w:cstheme="majorBidi"/>
                <w:sz w:val="20"/>
              </w:rPr>
            </w:pPr>
            <w:r w:rsidRPr="00162A79">
              <w:rPr>
                <w:rFonts w:asciiTheme="majorBidi" w:eastAsiaTheme="minorHAnsi" w:hAnsiTheme="majorBidi" w:cstheme="majorBidi"/>
                <w:sz w:val="20"/>
                <w:szCs w:val="22"/>
              </w:rPr>
              <w:t>service</w:t>
            </w:r>
            <w:r w:rsidRPr="00162A79">
              <w:rPr>
                <w:rFonts w:asciiTheme="majorBidi" w:eastAsiaTheme="minorHAnsi" w:hAnsiTheme="majorBidi" w:cstheme="majorBidi"/>
                <w:spacing w:val="1"/>
                <w:w w:val="99"/>
                <w:sz w:val="20"/>
                <w:szCs w:val="22"/>
              </w:rPr>
              <w:t xml:space="preserve"> </w:t>
            </w:r>
            <w:r w:rsidRPr="00162A79">
              <w:rPr>
                <w:rFonts w:asciiTheme="majorBidi" w:eastAsiaTheme="minorHAnsi" w:hAnsiTheme="majorBidi" w:cstheme="majorBidi"/>
                <w:spacing w:val="-1"/>
                <w:sz w:val="20"/>
                <w:szCs w:val="22"/>
              </w:rPr>
              <w:t>10</w:t>
            </w:r>
            <w:r w:rsidRPr="00162A79">
              <w:rPr>
                <w:rFonts w:asciiTheme="majorBidi" w:eastAsiaTheme="minorHAnsi" w:hAnsiTheme="majorBidi" w:cstheme="majorBidi"/>
                <w:spacing w:val="-8"/>
                <w:sz w:val="20"/>
                <w:szCs w:val="22"/>
              </w:rPr>
              <w:t xml:space="preserve"> </w:t>
            </w:r>
            <w:r w:rsidRPr="00162A79">
              <w:rPr>
                <w:rFonts w:asciiTheme="majorBidi" w:eastAsiaTheme="minorHAnsi" w:hAnsiTheme="majorBidi" w:cstheme="majorBidi"/>
                <w:sz w:val="20"/>
                <w:szCs w:val="22"/>
              </w:rPr>
              <w:t>MHz</w:t>
            </w:r>
          </w:p>
        </w:tc>
        <w:tc>
          <w:tcPr>
            <w:tcW w:w="1193" w:type="dxa"/>
            <w:tcBorders>
              <w:top w:val="single" w:sz="16" w:space="0" w:color="000000"/>
              <w:left w:val="single" w:sz="16" w:space="0" w:color="000000"/>
              <w:bottom w:val="single" w:sz="12" w:space="0" w:color="000000"/>
              <w:right w:val="single" w:sz="16" w:space="0" w:color="000000"/>
            </w:tcBorders>
          </w:tcPr>
          <w:p w:rsidR="00F26449" w:rsidRPr="00162A79" w:rsidRDefault="00F26449" w:rsidP="00C91CAA">
            <w:pPr>
              <w:widowControl w:val="0"/>
              <w:spacing w:before="40" w:after="40"/>
              <w:ind w:left="275"/>
              <w:rPr>
                <w:rFonts w:asciiTheme="majorBidi" w:eastAsia="Arial" w:hAnsiTheme="majorBidi" w:cstheme="majorBidi"/>
                <w:sz w:val="20"/>
              </w:rPr>
            </w:pPr>
            <w:proofErr w:type="spellStart"/>
            <w:r w:rsidRPr="00162A79">
              <w:rPr>
                <w:rFonts w:asciiTheme="majorBidi" w:eastAsiaTheme="minorHAnsi" w:hAnsiTheme="majorBidi" w:cstheme="majorBidi"/>
                <w:sz w:val="20"/>
                <w:szCs w:val="22"/>
              </w:rPr>
              <w:t>CH182</w:t>
            </w:r>
            <w:proofErr w:type="spellEnd"/>
          </w:p>
          <w:p w:rsidR="00F26449" w:rsidRPr="00162A79" w:rsidRDefault="00F26449" w:rsidP="00C91CAA">
            <w:pPr>
              <w:widowControl w:val="0"/>
              <w:spacing w:before="40" w:after="40" w:line="302" w:lineRule="exact"/>
              <w:ind w:left="244" w:right="221" w:firstLine="24"/>
              <w:rPr>
                <w:rFonts w:asciiTheme="majorBidi" w:eastAsia="Arial" w:hAnsiTheme="majorBidi" w:cstheme="majorBidi"/>
                <w:sz w:val="20"/>
              </w:rPr>
            </w:pPr>
            <w:r w:rsidRPr="00162A79">
              <w:rPr>
                <w:rFonts w:asciiTheme="majorBidi" w:eastAsiaTheme="minorHAnsi" w:hAnsiTheme="majorBidi" w:cstheme="majorBidi"/>
                <w:sz w:val="20"/>
                <w:szCs w:val="22"/>
              </w:rPr>
              <w:t>service</w:t>
            </w:r>
            <w:r w:rsidRPr="00162A79">
              <w:rPr>
                <w:rFonts w:asciiTheme="majorBidi" w:eastAsiaTheme="minorHAnsi" w:hAnsiTheme="majorBidi" w:cstheme="majorBidi"/>
                <w:w w:val="99"/>
                <w:sz w:val="20"/>
                <w:szCs w:val="22"/>
              </w:rPr>
              <w:t xml:space="preserve"> </w:t>
            </w:r>
            <w:r w:rsidRPr="00162A79">
              <w:rPr>
                <w:rFonts w:asciiTheme="majorBidi" w:eastAsiaTheme="minorHAnsi" w:hAnsiTheme="majorBidi" w:cstheme="majorBidi"/>
                <w:sz w:val="20"/>
                <w:szCs w:val="22"/>
              </w:rPr>
              <w:t>10</w:t>
            </w:r>
            <w:r w:rsidRPr="00162A79">
              <w:rPr>
                <w:rFonts w:asciiTheme="majorBidi" w:eastAsiaTheme="minorHAnsi" w:hAnsiTheme="majorBidi" w:cstheme="majorBidi"/>
                <w:spacing w:val="-8"/>
                <w:sz w:val="20"/>
                <w:szCs w:val="22"/>
              </w:rPr>
              <w:t xml:space="preserve"> </w:t>
            </w:r>
            <w:r w:rsidRPr="00162A79">
              <w:rPr>
                <w:rFonts w:asciiTheme="majorBidi" w:eastAsiaTheme="minorHAnsi" w:hAnsiTheme="majorBidi" w:cstheme="majorBidi"/>
                <w:sz w:val="20"/>
                <w:szCs w:val="22"/>
              </w:rPr>
              <w:t>MHz</w:t>
            </w:r>
          </w:p>
        </w:tc>
        <w:tc>
          <w:tcPr>
            <w:tcW w:w="1191" w:type="dxa"/>
            <w:tcBorders>
              <w:top w:val="single" w:sz="16" w:space="0" w:color="000000"/>
              <w:left w:val="single" w:sz="16" w:space="0" w:color="000000"/>
              <w:bottom w:val="single" w:sz="12" w:space="0" w:color="000000"/>
              <w:right w:val="single" w:sz="14" w:space="0" w:color="000000"/>
            </w:tcBorders>
          </w:tcPr>
          <w:p w:rsidR="00F26449" w:rsidRPr="00162A79" w:rsidRDefault="00F26449" w:rsidP="00C91CAA">
            <w:pPr>
              <w:widowControl w:val="0"/>
              <w:spacing w:before="40" w:after="40"/>
              <w:ind w:left="276"/>
              <w:rPr>
                <w:rFonts w:asciiTheme="majorBidi" w:eastAsia="Arial" w:hAnsiTheme="majorBidi" w:cstheme="majorBidi"/>
                <w:sz w:val="20"/>
              </w:rPr>
            </w:pPr>
            <w:proofErr w:type="spellStart"/>
            <w:r w:rsidRPr="00162A79">
              <w:rPr>
                <w:rFonts w:asciiTheme="majorBidi" w:eastAsiaTheme="minorHAnsi" w:hAnsiTheme="majorBidi" w:cstheme="majorBidi"/>
                <w:spacing w:val="-1"/>
                <w:sz w:val="20"/>
                <w:szCs w:val="22"/>
              </w:rPr>
              <w:t>CH184</w:t>
            </w:r>
            <w:proofErr w:type="spellEnd"/>
          </w:p>
          <w:p w:rsidR="00F26449" w:rsidRPr="00162A79" w:rsidRDefault="00F26449" w:rsidP="00C91CAA">
            <w:pPr>
              <w:widowControl w:val="0"/>
              <w:spacing w:before="40" w:after="40" w:line="302" w:lineRule="exact"/>
              <w:ind w:left="244" w:right="222" w:firstLine="24"/>
              <w:rPr>
                <w:rFonts w:asciiTheme="majorBidi" w:eastAsia="Arial" w:hAnsiTheme="majorBidi" w:cstheme="majorBidi"/>
                <w:sz w:val="20"/>
              </w:rPr>
            </w:pPr>
            <w:r w:rsidRPr="00162A79">
              <w:rPr>
                <w:rFonts w:asciiTheme="majorBidi" w:eastAsiaTheme="minorHAnsi" w:hAnsiTheme="majorBidi" w:cstheme="majorBidi"/>
                <w:spacing w:val="-1"/>
                <w:sz w:val="20"/>
                <w:szCs w:val="22"/>
              </w:rPr>
              <w:t>service</w:t>
            </w:r>
            <w:r w:rsidRPr="00162A79">
              <w:rPr>
                <w:rFonts w:asciiTheme="majorBidi" w:eastAsiaTheme="minorHAnsi" w:hAnsiTheme="majorBidi" w:cstheme="majorBidi"/>
                <w:spacing w:val="26"/>
                <w:w w:val="99"/>
                <w:sz w:val="20"/>
                <w:szCs w:val="22"/>
              </w:rPr>
              <w:t xml:space="preserve"> </w:t>
            </w:r>
            <w:r w:rsidRPr="00162A79">
              <w:rPr>
                <w:rFonts w:asciiTheme="majorBidi" w:eastAsiaTheme="minorHAnsi" w:hAnsiTheme="majorBidi" w:cstheme="majorBidi"/>
                <w:sz w:val="20"/>
                <w:szCs w:val="22"/>
              </w:rPr>
              <w:t>10</w:t>
            </w:r>
            <w:r w:rsidRPr="00162A79">
              <w:rPr>
                <w:rFonts w:asciiTheme="majorBidi" w:eastAsiaTheme="minorHAnsi" w:hAnsiTheme="majorBidi" w:cstheme="majorBidi"/>
                <w:spacing w:val="-8"/>
                <w:sz w:val="20"/>
                <w:szCs w:val="22"/>
              </w:rPr>
              <w:t xml:space="preserve"> </w:t>
            </w:r>
            <w:r w:rsidRPr="00162A79">
              <w:rPr>
                <w:rFonts w:asciiTheme="majorBidi" w:eastAsiaTheme="minorHAnsi" w:hAnsiTheme="majorBidi" w:cstheme="majorBidi"/>
                <w:sz w:val="20"/>
                <w:szCs w:val="22"/>
              </w:rPr>
              <w:t>MHz</w:t>
            </w:r>
          </w:p>
        </w:tc>
      </w:tr>
    </w:tbl>
    <w:p w:rsidR="00682954" w:rsidRPr="00162A79" w:rsidRDefault="00682954" w:rsidP="00682954">
      <w:pPr>
        <w:pStyle w:val="Tablefin"/>
        <w:rPr>
          <w:lang w:val="en-GB"/>
        </w:rPr>
      </w:pPr>
    </w:p>
    <w:p w:rsidR="00F26449" w:rsidRPr="00162A79" w:rsidRDefault="00F26449" w:rsidP="00C91CAA">
      <w:r w:rsidRPr="00162A79">
        <w:t>Note – This band plan may need to be revised if regulatory changes occur as a result of ongoing regulatory proceedings in the United States.</w:t>
      </w:r>
    </w:p>
    <w:p w:rsidR="00F26449" w:rsidRPr="00162A79" w:rsidRDefault="00F26449" w:rsidP="00C91CAA">
      <w:pPr>
        <w:pStyle w:val="Heading1"/>
      </w:pPr>
      <w:bookmarkStart w:id="20" w:name="_Toc514254834"/>
      <w:bookmarkStart w:id="21" w:name="_Toc515525405"/>
      <w:r w:rsidRPr="00162A79">
        <w:t>3</w:t>
      </w:r>
      <w:r w:rsidRPr="00162A79">
        <w:tab/>
        <w:t xml:space="preserve">Examples of arrangements for evolving </w:t>
      </w:r>
      <w:r w:rsidRPr="00162A79">
        <w:rPr>
          <w:bCs/>
          <w:iCs/>
        </w:rPr>
        <w:t>intelligent transportation systems (ITS) in R</w:t>
      </w:r>
      <w:r w:rsidRPr="00162A79">
        <w:t>egion 3</w:t>
      </w:r>
      <w:bookmarkEnd w:id="20"/>
      <w:bookmarkEnd w:id="21"/>
    </w:p>
    <w:p w:rsidR="00F26449" w:rsidRPr="00162A79" w:rsidRDefault="00F26449" w:rsidP="000D5850">
      <w:r w:rsidRPr="00162A79">
        <w:t>Some Region 3 countries identified the bands 755.5-764.5 MHz,</w:t>
      </w:r>
      <w:r w:rsidRPr="00162A79" w:rsidDel="008A5546">
        <w:t xml:space="preserve"> </w:t>
      </w:r>
      <w:r w:rsidRPr="00162A79">
        <w:t>5 770-5 850 MHz and/or 5</w:t>
      </w:r>
      <w:r w:rsidR="000D5850">
        <w:t> </w:t>
      </w:r>
      <w:r w:rsidRPr="00162A79">
        <w:t>855</w:t>
      </w:r>
      <w:r w:rsidR="000D5850">
        <w:noBreakHyphen/>
      </w:r>
      <w:r w:rsidRPr="00162A79">
        <w:t>5</w:t>
      </w:r>
      <w:r w:rsidR="000D5850">
        <w:t> </w:t>
      </w:r>
      <w:r w:rsidRPr="00162A79">
        <w:t xml:space="preserve">925 MHz for the use by ITS applications as shown in Table 3. </w:t>
      </w:r>
    </w:p>
    <w:p w:rsidR="00F26449" w:rsidRPr="00162A79" w:rsidRDefault="00F26449" w:rsidP="005E7B9F">
      <w:pPr>
        <w:pStyle w:val="TableNo"/>
      </w:pPr>
      <w:r w:rsidRPr="00162A79">
        <w:t>Table 3</w:t>
      </w:r>
    </w:p>
    <w:p w:rsidR="00F26449" w:rsidRPr="00162A79" w:rsidRDefault="00F26449" w:rsidP="005E7B9F">
      <w:pPr>
        <w:pStyle w:val="Tabletitle"/>
        <w:rPr>
          <w:lang w:eastAsia="ja-JP"/>
        </w:rPr>
      </w:pPr>
      <w:r w:rsidRPr="00162A79">
        <w:rPr>
          <w:lang w:eastAsia="ja-JP"/>
        </w:rPr>
        <w:t xml:space="preserve">Frequency usage on Advanced ITS </w:t>
      </w:r>
      <w:proofErr w:type="spellStart"/>
      <w:r w:rsidRPr="00162A79">
        <w:rPr>
          <w:lang w:eastAsia="ja-JP"/>
        </w:rPr>
        <w:t>Radiocommunication</w:t>
      </w:r>
      <w:proofErr w:type="spellEnd"/>
      <w:r w:rsidRPr="00162A79">
        <w:rPr>
          <w:lang w:eastAsia="ja-JP"/>
        </w:rPr>
        <w:t xml:space="preserve"> in Asia-Pacific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268"/>
        <w:gridCol w:w="1856"/>
        <w:gridCol w:w="2268"/>
        <w:gridCol w:w="1736"/>
      </w:tblGrid>
      <w:tr w:rsidR="00F26449" w:rsidRPr="00162A79" w:rsidTr="00C91CAA">
        <w:trPr>
          <w:trHeight w:val="20"/>
          <w:tblHeader/>
        </w:trPr>
        <w:tc>
          <w:tcPr>
            <w:tcW w:w="1384" w:type="dxa"/>
            <w:shd w:val="clear" w:color="auto" w:fill="auto"/>
            <w:vAlign w:val="center"/>
          </w:tcPr>
          <w:p w:rsidR="00F26449" w:rsidRPr="00162A79" w:rsidRDefault="00F26449" w:rsidP="00C91CAA">
            <w:pPr>
              <w:pStyle w:val="Tablehead"/>
              <w:spacing w:before="40" w:after="40"/>
              <w:rPr>
                <w:rFonts w:eastAsia="Malgun Gothic"/>
                <w:snapToGrid w:val="0"/>
                <w:lang w:eastAsia="ko-KR"/>
              </w:rPr>
            </w:pPr>
            <w:r w:rsidRPr="00162A79">
              <w:rPr>
                <w:snapToGrid w:val="0"/>
                <w:lang w:eastAsia="ko-KR"/>
              </w:rPr>
              <w:t>Country</w:t>
            </w:r>
          </w:p>
        </w:tc>
        <w:tc>
          <w:tcPr>
            <w:tcW w:w="2268" w:type="dxa"/>
            <w:shd w:val="clear" w:color="auto" w:fill="auto"/>
            <w:vAlign w:val="center"/>
          </w:tcPr>
          <w:p w:rsidR="00F26449" w:rsidRPr="00162A79" w:rsidRDefault="00F26449" w:rsidP="00C91CAA">
            <w:pPr>
              <w:pStyle w:val="Tablehead"/>
              <w:spacing w:before="40" w:after="40"/>
              <w:rPr>
                <w:rFonts w:eastAsia="Malgun Gothic"/>
                <w:snapToGrid w:val="0"/>
                <w:lang w:eastAsia="ko-KR"/>
              </w:rPr>
            </w:pPr>
            <w:r w:rsidRPr="00162A79">
              <w:rPr>
                <w:snapToGrid w:val="0"/>
                <w:lang w:eastAsia="ko-KR"/>
              </w:rPr>
              <w:t>frequenc</w:t>
            </w:r>
            <w:r w:rsidRPr="00162A79">
              <w:rPr>
                <w:snapToGrid w:val="0"/>
                <w:lang w:eastAsia="ja-JP"/>
              </w:rPr>
              <w:t>y</w:t>
            </w:r>
            <w:r w:rsidRPr="00162A79">
              <w:rPr>
                <w:rFonts w:eastAsia="Malgun Gothic"/>
                <w:snapToGrid w:val="0"/>
                <w:lang w:eastAsia="ko-KR"/>
              </w:rPr>
              <w:t xml:space="preserve"> </w:t>
            </w:r>
            <w:r w:rsidRPr="00162A79">
              <w:rPr>
                <w:snapToGrid w:val="0"/>
                <w:lang w:eastAsia="ja-JP"/>
              </w:rPr>
              <w:t>band</w:t>
            </w:r>
          </w:p>
        </w:tc>
        <w:tc>
          <w:tcPr>
            <w:tcW w:w="1856" w:type="dxa"/>
            <w:shd w:val="clear" w:color="auto" w:fill="auto"/>
            <w:vAlign w:val="center"/>
          </w:tcPr>
          <w:p w:rsidR="00F26449" w:rsidRPr="00162A79" w:rsidRDefault="00F26449" w:rsidP="00C91CAA">
            <w:pPr>
              <w:pStyle w:val="Tablehead"/>
              <w:spacing w:before="40" w:after="40"/>
              <w:rPr>
                <w:snapToGrid w:val="0"/>
                <w:lang w:eastAsia="ko-KR"/>
              </w:rPr>
            </w:pPr>
            <w:r w:rsidRPr="00162A79">
              <w:rPr>
                <w:snapToGrid w:val="0"/>
                <w:lang w:eastAsia="ko-KR"/>
              </w:rPr>
              <w:t>Technology</w:t>
            </w:r>
          </w:p>
        </w:tc>
        <w:tc>
          <w:tcPr>
            <w:tcW w:w="2268" w:type="dxa"/>
            <w:shd w:val="clear" w:color="auto" w:fill="auto"/>
            <w:vAlign w:val="center"/>
          </w:tcPr>
          <w:p w:rsidR="00F26449" w:rsidRPr="00162A79" w:rsidRDefault="00F26449" w:rsidP="00C91CAA">
            <w:pPr>
              <w:pStyle w:val="Tablehead"/>
              <w:spacing w:before="40" w:after="40"/>
              <w:rPr>
                <w:snapToGrid w:val="0"/>
                <w:lang w:eastAsia="ko-KR"/>
              </w:rPr>
            </w:pPr>
            <w:r w:rsidRPr="00162A79">
              <w:rPr>
                <w:snapToGrid w:val="0"/>
                <w:lang w:eastAsia="ko-KR"/>
              </w:rPr>
              <w:t>Application</w:t>
            </w:r>
          </w:p>
        </w:tc>
        <w:tc>
          <w:tcPr>
            <w:tcW w:w="1736" w:type="dxa"/>
            <w:shd w:val="clear" w:color="auto" w:fill="auto"/>
            <w:vAlign w:val="center"/>
          </w:tcPr>
          <w:p w:rsidR="00F26449" w:rsidRPr="00162A79" w:rsidRDefault="00F26449" w:rsidP="00C91CAA">
            <w:pPr>
              <w:pStyle w:val="Tablehead"/>
              <w:spacing w:before="40" w:after="40"/>
              <w:rPr>
                <w:snapToGrid w:val="0"/>
                <w:lang w:eastAsia="ko-KR"/>
              </w:rPr>
            </w:pPr>
            <w:r w:rsidRPr="00162A79">
              <w:rPr>
                <w:snapToGrid w:val="0"/>
                <w:lang w:eastAsia="ko-KR"/>
              </w:rPr>
              <w:t>Status</w:t>
            </w:r>
          </w:p>
        </w:tc>
      </w:tr>
      <w:tr w:rsidR="00F26449" w:rsidRPr="00162A79" w:rsidTr="00C91CAA">
        <w:trPr>
          <w:trHeight w:val="20"/>
        </w:trPr>
        <w:tc>
          <w:tcPr>
            <w:tcW w:w="1384" w:type="dxa"/>
            <w:vMerge w:val="restart"/>
            <w:shd w:val="clear" w:color="auto" w:fill="auto"/>
            <w:vAlign w:val="center"/>
          </w:tcPr>
          <w:p w:rsidR="00F26449" w:rsidRPr="00162A79" w:rsidRDefault="00F26449" w:rsidP="00C91CAA">
            <w:pPr>
              <w:pStyle w:val="Tabletext"/>
              <w:rPr>
                <w:snapToGrid w:val="0"/>
                <w:lang w:eastAsia="ja-JP"/>
              </w:rPr>
            </w:pPr>
            <w:r w:rsidRPr="00162A79">
              <w:rPr>
                <w:snapToGrid w:val="0"/>
                <w:lang w:eastAsia="ja-JP"/>
              </w:rPr>
              <w:t>Japan</w:t>
            </w:r>
          </w:p>
        </w:tc>
        <w:tc>
          <w:tcPr>
            <w:tcW w:w="2268" w:type="dxa"/>
            <w:shd w:val="clear" w:color="auto" w:fill="auto"/>
            <w:vAlign w:val="center"/>
          </w:tcPr>
          <w:p w:rsidR="00F26449" w:rsidRPr="00162A79" w:rsidRDefault="00F26449" w:rsidP="003C184D">
            <w:pPr>
              <w:pStyle w:val="Tabletext"/>
              <w:jc w:val="center"/>
              <w:rPr>
                <w:snapToGrid w:val="0"/>
                <w:lang w:eastAsia="ko-KR"/>
              </w:rPr>
            </w:pPr>
            <w:r w:rsidRPr="00162A79">
              <w:rPr>
                <w:snapToGrid w:val="0"/>
                <w:lang w:eastAsia="ja-JP"/>
              </w:rPr>
              <w:t>5 770-5 850 MHz</w:t>
            </w:r>
          </w:p>
        </w:tc>
        <w:tc>
          <w:tcPr>
            <w:tcW w:w="1856" w:type="dxa"/>
            <w:vMerge w:val="restart"/>
            <w:shd w:val="clear" w:color="auto" w:fill="auto"/>
            <w:vAlign w:val="center"/>
          </w:tcPr>
          <w:p w:rsidR="00F26449" w:rsidRPr="00162A79" w:rsidRDefault="00F26449" w:rsidP="00C91CAA">
            <w:pPr>
              <w:pStyle w:val="Tabletext"/>
              <w:rPr>
                <w:snapToGrid w:val="0"/>
                <w:lang w:eastAsia="ko-KR"/>
              </w:rPr>
            </w:pPr>
            <w:proofErr w:type="spellStart"/>
            <w:r w:rsidRPr="00162A79">
              <w:rPr>
                <w:rFonts w:eastAsia="BatangChe"/>
                <w:bCs/>
                <w:snapToGrid w:val="0"/>
                <w:lang w:eastAsia="ko-KR"/>
              </w:rPr>
              <w:t>V2V</w:t>
            </w:r>
            <w:proofErr w:type="spellEnd"/>
            <w:r w:rsidRPr="00162A79">
              <w:rPr>
                <w:rFonts w:eastAsia="BatangChe"/>
                <w:bCs/>
                <w:snapToGrid w:val="0"/>
                <w:lang w:eastAsia="ko-KR"/>
              </w:rPr>
              <w:t>/</w:t>
            </w:r>
            <w:proofErr w:type="spellStart"/>
            <w:r w:rsidRPr="00162A79">
              <w:rPr>
                <w:rFonts w:eastAsia="BatangChe"/>
                <w:bCs/>
                <w:snapToGrid w:val="0"/>
                <w:lang w:eastAsia="ko-KR"/>
              </w:rPr>
              <w:t>V2I</w:t>
            </w:r>
            <w:proofErr w:type="spellEnd"/>
            <w:r w:rsidRPr="00162A79">
              <w:rPr>
                <w:bCs/>
                <w:snapToGrid w:val="0"/>
                <w:lang w:eastAsia="ko-KR"/>
              </w:rPr>
              <w:t xml:space="preserve"> communication</w:t>
            </w:r>
          </w:p>
        </w:tc>
        <w:tc>
          <w:tcPr>
            <w:tcW w:w="2268" w:type="dxa"/>
            <w:vMerge w:val="restart"/>
            <w:shd w:val="clear" w:color="auto" w:fill="auto"/>
            <w:vAlign w:val="center"/>
          </w:tcPr>
          <w:p w:rsidR="00F26449" w:rsidRPr="00162A79" w:rsidRDefault="00F26449" w:rsidP="00C91CAA">
            <w:pPr>
              <w:pStyle w:val="Tabletext"/>
              <w:jc w:val="center"/>
              <w:rPr>
                <w:snapToGrid w:val="0"/>
                <w:lang w:eastAsia="ko-KR"/>
              </w:rPr>
            </w:pPr>
            <w:r w:rsidRPr="00162A79">
              <w:rPr>
                <w:snapToGrid w:val="0"/>
                <w:lang w:eastAsia="ko-KR"/>
              </w:rPr>
              <w:t>Safety related information</w:t>
            </w:r>
          </w:p>
        </w:tc>
        <w:tc>
          <w:tcPr>
            <w:tcW w:w="1736" w:type="dxa"/>
            <w:shd w:val="clear" w:color="auto" w:fill="auto"/>
            <w:vAlign w:val="center"/>
          </w:tcPr>
          <w:p w:rsidR="00F26449" w:rsidRPr="00162A79" w:rsidRDefault="00F26449" w:rsidP="00C91CAA">
            <w:pPr>
              <w:pStyle w:val="Tabletext"/>
              <w:rPr>
                <w:snapToGrid w:val="0"/>
                <w:lang w:eastAsia="ko-KR"/>
              </w:rPr>
            </w:pPr>
            <w:r w:rsidRPr="00162A79">
              <w:rPr>
                <w:snapToGrid w:val="0"/>
                <w:lang w:eastAsia="ko-KR"/>
              </w:rPr>
              <w:t>Guidelines for  field experiment in 2007 (revised 2013)</w:t>
            </w:r>
          </w:p>
        </w:tc>
      </w:tr>
      <w:tr w:rsidR="00F26449" w:rsidRPr="00162A79" w:rsidTr="00C91CAA">
        <w:trPr>
          <w:trHeight w:val="20"/>
        </w:trPr>
        <w:tc>
          <w:tcPr>
            <w:tcW w:w="1384" w:type="dxa"/>
            <w:vMerge/>
            <w:shd w:val="clear" w:color="auto" w:fill="auto"/>
            <w:vAlign w:val="center"/>
          </w:tcPr>
          <w:p w:rsidR="00F26449" w:rsidRPr="00162A79" w:rsidRDefault="00F26449" w:rsidP="00C91CAA">
            <w:pPr>
              <w:pStyle w:val="Tabletext"/>
              <w:rPr>
                <w:snapToGrid w:val="0"/>
                <w:lang w:eastAsia="ko-KR"/>
              </w:rPr>
            </w:pPr>
          </w:p>
        </w:tc>
        <w:tc>
          <w:tcPr>
            <w:tcW w:w="2268" w:type="dxa"/>
            <w:shd w:val="clear" w:color="auto" w:fill="auto"/>
            <w:vAlign w:val="center"/>
          </w:tcPr>
          <w:p w:rsidR="00F26449" w:rsidRPr="00162A79" w:rsidRDefault="003C184D" w:rsidP="00C91CAA">
            <w:pPr>
              <w:pStyle w:val="Tabletext"/>
              <w:jc w:val="center"/>
              <w:rPr>
                <w:snapToGrid w:val="0"/>
                <w:lang w:eastAsia="ja-JP"/>
              </w:rPr>
            </w:pPr>
            <w:r>
              <w:rPr>
                <w:snapToGrid w:val="0"/>
                <w:lang w:eastAsia="ko-KR"/>
              </w:rPr>
              <w:t>755.5-</w:t>
            </w:r>
            <w:r w:rsidR="00F26449" w:rsidRPr="00162A79">
              <w:rPr>
                <w:snapToGrid w:val="0"/>
                <w:lang w:eastAsia="ko-KR"/>
              </w:rPr>
              <w:t>764.5 MHz band</w:t>
            </w:r>
          </w:p>
        </w:tc>
        <w:tc>
          <w:tcPr>
            <w:tcW w:w="1856" w:type="dxa"/>
            <w:vMerge/>
            <w:shd w:val="clear" w:color="auto" w:fill="auto"/>
            <w:vAlign w:val="center"/>
          </w:tcPr>
          <w:p w:rsidR="00F26449" w:rsidRPr="00162A79" w:rsidRDefault="00F26449" w:rsidP="00C91CAA">
            <w:pPr>
              <w:pStyle w:val="Tabletext"/>
              <w:rPr>
                <w:snapToGrid w:val="0"/>
                <w:lang w:eastAsia="ko-KR"/>
              </w:rPr>
            </w:pPr>
          </w:p>
        </w:tc>
        <w:tc>
          <w:tcPr>
            <w:tcW w:w="2268" w:type="dxa"/>
            <w:vMerge/>
            <w:shd w:val="clear" w:color="auto" w:fill="auto"/>
            <w:vAlign w:val="center"/>
          </w:tcPr>
          <w:p w:rsidR="00F26449" w:rsidRPr="00162A79" w:rsidRDefault="00F26449" w:rsidP="00C91CAA">
            <w:pPr>
              <w:pStyle w:val="Tabletext"/>
              <w:jc w:val="center"/>
              <w:rPr>
                <w:snapToGrid w:val="0"/>
                <w:lang w:eastAsia="ko-KR"/>
              </w:rPr>
            </w:pPr>
          </w:p>
        </w:tc>
        <w:tc>
          <w:tcPr>
            <w:tcW w:w="1736" w:type="dxa"/>
            <w:shd w:val="clear" w:color="auto" w:fill="auto"/>
            <w:vAlign w:val="center"/>
          </w:tcPr>
          <w:p w:rsidR="00F26449" w:rsidRPr="00162A79" w:rsidRDefault="00F26449" w:rsidP="00C91CAA">
            <w:pPr>
              <w:pStyle w:val="Tabletext"/>
              <w:rPr>
                <w:snapToGrid w:val="0"/>
                <w:lang w:eastAsia="ja-JP"/>
              </w:rPr>
            </w:pPr>
            <w:r w:rsidRPr="00162A79">
              <w:rPr>
                <w:snapToGrid w:val="0"/>
                <w:lang w:eastAsia="ko-KR"/>
              </w:rPr>
              <w:t xml:space="preserve">Enacted in </w:t>
            </w:r>
            <w:r w:rsidRPr="00162A79">
              <w:rPr>
                <w:snapToGrid w:val="0"/>
                <w:lang w:eastAsia="ja-JP"/>
              </w:rPr>
              <w:t>2011 (revised 2013)</w:t>
            </w:r>
          </w:p>
        </w:tc>
      </w:tr>
      <w:tr w:rsidR="00F26449" w:rsidRPr="00162A79" w:rsidTr="00C91CAA">
        <w:trPr>
          <w:trHeight w:val="20"/>
        </w:trPr>
        <w:tc>
          <w:tcPr>
            <w:tcW w:w="1384" w:type="dxa"/>
            <w:shd w:val="clear" w:color="auto" w:fill="auto"/>
            <w:vAlign w:val="center"/>
          </w:tcPr>
          <w:p w:rsidR="00F26449" w:rsidRPr="00162A79" w:rsidRDefault="00F26449" w:rsidP="00C91CAA">
            <w:pPr>
              <w:pStyle w:val="Tabletext"/>
              <w:rPr>
                <w:snapToGrid w:val="0"/>
                <w:lang w:eastAsia="ko-KR"/>
              </w:rPr>
            </w:pPr>
            <w:r w:rsidRPr="00162A79">
              <w:rPr>
                <w:snapToGrid w:val="0"/>
                <w:lang w:eastAsia="ko-KR"/>
              </w:rPr>
              <w:t>Korea</w:t>
            </w:r>
          </w:p>
        </w:tc>
        <w:tc>
          <w:tcPr>
            <w:tcW w:w="2268" w:type="dxa"/>
            <w:shd w:val="clear" w:color="auto" w:fill="auto"/>
            <w:vAlign w:val="center"/>
          </w:tcPr>
          <w:p w:rsidR="00F26449" w:rsidRPr="00162A79" w:rsidRDefault="00F26449" w:rsidP="003C184D">
            <w:pPr>
              <w:pStyle w:val="Tabletext"/>
              <w:jc w:val="center"/>
              <w:rPr>
                <w:snapToGrid w:val="0"/>
                <w:lang w:eastAsia="ko-KR"/>
              </w:rPr>
            </w:pPr>
            <w:r w:rsidRPr="00162A79">
              <w:rPr>
                <w:bCs/>
                <w:snapToGrid w:val="0"/>
                <w:lang w:eastAsia="ja-JP"/>
              </w:rPr>
              <w:t>5 855-5 925 MHz</w:t>
            </w:r>
          </w:p>
        </w:tc>
        <w:tc>
          <w:tcPr>
            <w:tcW w:w="1856" w:type="dxa"/>
            <w:shd w:val="clear" w:color="auto" w:fill="auto"/>
            <w:vAlign w:val="center"/>
          </w:tcPr>
          <w:p w:rsidR="00F26449" w:rsidRPr="00162A79" w:rsidRDefault="00F26449" w:rsidP="00C91CAA">
            <w:pPr>
              <w:pStyle w:val="Tabletext"/>
              <w:rPr>
                <w:snapToGrid w:val="0"/>
                <w:lang w:eastAsia="ko-KR"/>
              </w:rPr>
            </w:pPr>
            <w:proofErr w:type="spellStart"/>
            <w:r w:rsidRPr="00162A79">
              <w:rPr>
                <w:rFonts w:eastAsia="BatangChe"/>
                <w:bCs/>
                <w:snapToGrid w:val="0"/>
                <w:lang w:eastAsia="ko-KR"/>
              </w:rPr>
              <w:t>V2V</w:t>
            </w:r>
            <w:proofErr w:type="spellEnd"/>
            <w:r w:rsidRPr="00162A79">
              <w:rPr>
                <w:rFonts w:eastAsia="BatangChe"/>
                <w:bCs/>
                <w:snapToGrid w:val="0"/>
                <w:lang w:eastAsia="ko-KR"/>
              </w:rPr>
              <w:t>/</w:t>
            </w:r>
            <w:proofErr w:type="spellStart"/>
            <w:r w:rsidRPr="00162A79">
              <w:rPr>
                <w:rFonts w:eastAsia="BatangChe"/>
                <w:bCs/>
                <w:snapToGrid w:val="0"/>
                <w:lang w:eastAsia="ko-KR"/>
              </w:rPr>
              <w:t>V2I</w:t>
            </w:r>
            <w:proofErr w:type="spellEnd"/>
            <w:r w:rsidRPr="00162A79">
              <w:rPr>
                <w:bCs/>
                <w:snapToGrid w:val="0"/>
                <w:lang w:eastAsia="ko-KR"/>
              </w:rPr>
              <w:t xml:space="preserve"> communication</w:t>
            </w:r>
          </w:p>
        </w:tc>
        <w:tc>
          <w:tcPr>
            <w:tcW w:w="2268" w:type="dxa"/>
            <w:shd w:val="clear" w:color="auto" w:fill="auto"/>
          </w:tcPr>
          <w:p w:rsidR="00F26449" w:rsidRPr="00162A79" w:rsidRDefault="00F26449" w:rsidP="00C91CAA">
            <w:pPr>
              <w:pStyle w:val="Tabletext"/>
              <w:jc w:val="center"/>
              <w:rPr>
                <w:bCs/>
                <w:snapToGrid w:val="0"/>
                <w:lang w:eastAsia="ko-KR"/>
              </w:rPr>
            </w:pPr>
            <w:r w:rsidRPr="00162A79">
              <w:rPr>
                <w:rFonts w:eastAsia="BatangChe"/>
                <w:bCs/>
                <w:snapToGrid w:val="0"/>
                <w:lang w:eastAsia="ko-KR"/>
              </w:rPr>
              <w:t>Vehicle Safety Related</w:t>
            </w:r>
          </w:p>
          <w:p w:rsidR="00F26449" w:rsidRPr="00162A79" w:rsidRDefault="00F26449" w:rsidP="00C91CAA">
            <w:pPr>
              <w:pStyle w:val="Tabletext"/>
              <w:jc w:val="center"/>
              <w:rPr>
                <w:snapToGrid w:val="0"/>
                <w:lang w:eastAsia="ko-KR"/>
              </w:rPr>
            </w:pPr>
            <w:r w:rsidRPr="00162A79">
              <w:rPr>
                <w:bCs/>
                <w:snapToGrid w:val="0"/>
                <w:lang w:eastAsia="ko-KR"/>
              </w:rPr>
              <w:t>C-ITS</w:t>
            </w:r>
          </w:p>
        </w:tc>
        <w:tc>
          <w:tcPr>
            <w:tcW w:w="1736" w:type="dxa"/>
            <w:shd w:val="clear" w:color="auto" w:fill="auto"/>
            <w:vAlign w:val="center"/>
          </w:tcPr>
          <w:p w:rsidR="00F26449" w:rsidRPr="00162A79" w:rsidRDefault="00F26449" w:rsidP="00C91CAA">
            <w:pPr>
              <w:pStyle w:val="Tabletext"/>
              <w:rPr>
                <w:snapToGrid w:val="0"/>
                <w:lang w:eastAsia="ko-KR"/>
              </w:rPr>
            </w:pPr>
            <w:r w:rsidRPr="00162A79">
              <w:rPr>
                <w:bCs/>
                <w:snapToGrid w:val="0"/>
                <w:lang w:eastAsia="ko-KR"/>
              </w:rPr>
              <w:t xml:space="preserve">Enacted in </w:t>
            </w:r>
            <w:r w:rsidRPr="00162A79">
              <w:rPr>
                <w:rFonts w:eastAsia="BatangChe"/>
                <w:bCs/>
                <w:snapToGrid w:val="0"/>
                <w:lang w:eastAsia="ko-KR"/>
              </w:rPr>
              <w:t>2016</w:t>
            </w:r>
          </w:p>
        </w:tc>
      </w:tr>
      <w:tr w:rsidR="00F26449" w:rsidRPr="00162A79" w:rsidTr="00C91CAA">
        <w:trPr>
          <w:trHeight w:val="20"/>
        </w:trPr>
        <w:tc>
          <w:tcPr>
            <w:tcW w:w="1384" w:type="dxa"/>
            <w:shd w:val="clear" w:color="auto" w:fill="auto"/>
            <w:vAlign w:val="center"/>
          </w:tcPr>
          <w:p w:rsidR="00F26449" w:rsidRPr="00162A79" w:rsidRDefault="00F26449" w:rsidP="00C91CAA">
            <w:pPr>
              <w:pStyle w:val="Tabletext"/>
              <w:rPr>
                <w:snapToGrid w:val="0"/>
                <w:lang w:eastAsia="ko-KR"/>
              </w:rPr>
            </w:pPr>
            <w:r w:rsidRPr="00162A79">
              <w:rPr>
                <w:bCs/>
                <w:snapToGrid w:val="0"/>
                <w:lang w:eastAsia="ko-KR"/>
              </w:rPr>
              <w:t>China</w:t>
            </w:r>
          </w:p>
        </w:tc>
        <w:tc>
          <w:tcPr>
            <w:tcW w:w="2268" w:type="dxa"/>
            <w:shd w:val="clear" w:color="auto" w:fill="auto"/>
            <w:vAlign w:val="center"/>
          </w:tcPr>
          <w:p w:rsidR="00F26449" w:rsidRPr="00162A79" w:rsidRDefault="00F26449" w:rsidP="003C184D">
            <w:pPr>
              <w:pStyle w:val="Tabletext"/>
              <w:jc w:val="center"/>
              <w:rPr>
                <w:bCs/>
                <w:snapToGrid w:val="0"/>
                <w:lang w:eastAsia="ko-KR"/>
              </w:rPr>
            </w:pPr>
            <w:r w:rsidRPr="00162A79">
              <w:rPr>
                <w:bCs/>
                <w:snapToGrid w:val="0"/>
                <w:lang w:eastAsia="ko-KR"/>
              </w:rPr>
              <w:t>5 905-5 925 MHz</w:t>
            </w:r>
          </w:p>
        </w:tc>
        <w:tc>
          <w:tcPr>
            <w:tcW w:w="1856" w:type="dxa"/>
            <w:shd w:val="clear" w:color="auto" w:fill="auto"/>
            <w:vAlign w:val="center"/>
          </w:tcPr>
          <w:p w:rsidR="00F26449" w:rsidRPr="00162A79" w:rsidRDefault="00F26449" w:rsidP="00C91CAA">
            <w:pPr>
              <w:pStyle w:val="Tabletext"/>
              <w:rPr>
                <w:bCs/>
                <w:snapToGrid w:val="0"/>
                <w:lang w:eastAsia="ko-KR"/>
              </w:rPr>
            </w:pPr>
            <w:r w:rsidRPr="00162A79">
              <w:rPr>
                <w:bCs/>
                <w:snapToGrid w:val="0"/>
                <w:lang w:eastAsia="ko-KR"/>
              </w:rPr>
              <w:t xml:space="preserve">LTE based </w:t>
            </w:r>
            <w:proofErr w:type="spellStart"/>
            <w:r w:rsidRPr="00162A79">
              <w:rPr>
                <w:bCs/>
                <w:snapToGrid w:val="0"/>
                <w:lang w:eastAsia="ko-KR"/>
              </w:rPr>
              <w:t>V2X</w:t>
            </w:r>
            <w:proofErr w:type="spellEnd"/>
          </w:p>
        </w:tc>
        <w:tc>
          <w:tcPr>
            <w:tcW w:w="2268" w:type="dxa"/>
            <w:shd w:val="clear" w:color="auto" w:fill="auto"/>
            <w:vAlign w:val="center"/>
          </w:tcPr>
          <w:p w:rsidR="00F26449" w:rsidRPr="00162A79" w:rsidRDefault="00F26449" w:rsidP="00C91CAA">
            <w:pPr>
              <w:pStyle w:val="Tabletext"/>
              <w:jc w:val="center"/>
              <w:rPr>
                <w:bCs/>
                <w:snapToGrid w:val="0"/>
                <w:lang w:eastAsia="ko-KR"/>
              </w:rPr>
            </w:pPr>
            <w:proofErr w:type="spellStart"/>
            <w:r w:rsidRPr="00162A79">
              <w:rPr>
                <w:bCs/>
                <w:snapToGrid w:val="0"/>
                <w:lang w:eastAsia="ko-KR"/>
              </w:rPr>
              <w:t>V2X</w:t>
            </w:r>
            <w:proofErr w:type="spellEnd"/>
            <w:r w:rsidRPr="00162A79">
              <w:rPr>
                <w:bCs/>
                <w:snapToGrid w:val="0"/>
                <w:lang w:eastAsia="ko-KR"/>
              </w:rPr>
              <w:t xml:space="preserve"> communication</w:t>
            </w:r>
          </w:p>
        </w:tc>
        <w:tc>
          <w:tcPr>
            <w:tcW w:w="1736" w:type="dxa"/>
            <w:shd w:val="clear" w:color="auto" w:fill="auto"/>
            <w:vAlign w:val="center"/>
          </w:tcPr>
          <w:p w:rsidR="00F26449" w:rsidRPr="00162A79" w:rsidRDefault="00F26449" w:rsidP="00C91CAA">
            <w:pPr>
              <w:pStyle w:val="Tabletext"/>
              <w:rPr>
                <w:bCs/>
                <w:snapToGrid w:val="0"/>
                <w:lang w:eastAsia="ko-KR"/>
              </w:rPr>
            </w:pPr>
            <w:r w:rsidRPr="00162A79">
              <w:rPr>
                <w:bCs/>
                <w:snapToGrid w:val="0"/>
                <w:lang w:eastAsia="ko-KR"/>
              </w:rPr>
              <w:t>Field</w:t>
            </w:r>
          </w:p>
          <w:p w:rsidR="00F26449" w:rsidRPr="00162A79" w:rsidRDefault="00F26449" w:rsidP="00C91CAA">
            <w:pPr>
              <w:pStyle w:val="Tabletext"/>
              <w:rPr>
                <w:bCs/>
                <w:snapToGrid w:val="0"/>
                <w:lang w:eastAsia="ko-KR"/>
              </w:rPr>
            </w:pPr>
            <w:r w:rsidRPr="00162A79">
              <w:rPr>
                <w:bCs/>
                <w:snapToGrid w:val="0"/>
                <w:lang w:eastAsia="ko-KR"/>
              </w:rPr>
              <w:t>Experiment in 2017</w:t>
            </w:r>
          </w:p>
        </w:tc>
      </w:tr>
      <w:tr w:rsidR="00F26449" w:rsidRPr="00162A79" w:rsidTr="00C91CAA">
        <w:trPr>
          <w:trHeight w:val="20"/>
        </w:trPr>
        <w:tc>
          <w:tcPr>
            <w:tcW w:w="1384" w:type="dxa"/>
            <w:shd w:val="clear" w:color="auto" w:fill="auto"/>
            <w:vAlign w:val="center"/>
          </w:tcPr>
          <w:p w:rsidR="00F26449" w:rsidRPr="00162A79" w:rsidRDefault="00F26449" w:rsidP="00C91CAA">
            <w:pPr>
              <w:pStyle w:val="Tabletext"/>
              <w:rPr>
                <w:snapToGrid w:val="0"/>
                <w:lang w:eastAsia="ko-KR"/>
              </w:rPr>
            </w:pPr>
            <w:r w:rsidRPr="00162A79">
              <w:rPr>
                <w:snapToGrid w:val="0"/>
                <w:lang w:eastAsia="ko-KR"/>
              </w:rPr>
              <w:t>Singapore</w:t>
            </w:r>
          </w:p>
        </w:tc>
        <w:tc>
          <w:tcPr>
            <w:tcW w:w="2268" w:type="dxa"/>
            <w:shd w:val="clear" w:color="auto" w:fill="auto"/>
            <w:vAlign w:val="center"/>
          </w:tcPr>
          <w:p w:rsidR="00F26449" w:rsidRPr="00162A79" w:rsidRDefault="00F26449" w:rsidP="003C184D">
            <w:pPr>
              <w:pStyle w:val="Tabletext"/>
              <w:jc w:val="center"/>
              <w:rPr>
                <w:bCs/>
                <w:snapToGrid w:val="0"/>
                <w:lang w:eastAsia="ko-KR"/>
              </w:rPr>
            </w:pPr>
            <w:r w:rsidRPr="00162A79">
              <w:rPr>
                <w:bCs/>
                <w:snapToGrid w:val="0"/>
                <w:lang w:eastAsia="ko-KR"/>
              </w:rPr>
              <w:t>5 855-5 925 MHz</w:t>
            </w:r>
          </w:p>
        </w:tc>
        <w:tc>
          <w:tcPr>
            <w:tcW w:w="1856" w:type="dxa"/>
            <w:shd w:val="clear" w:color="auto" w:fill="auto"/>
            <w:vAlign w:val="center"/>
          </w:tcPr>
          <w:p w:rsidR="00F26449" w:rsidRPr="00162A79" w:rsidRDefault="00F26449" w:rsidP="00C91CAA">
            <w:pPr>
              <w:pStyle w:val="Tabletext"/>
              <w:rPr>
                <w:bCs/>
                <w:snapToGrid w:val="0"/>
                <w:lang w:eastAsia="ko-KR"/>
              </w:rPr>
            </w:pPr>
            <w:proofErr w:type="spellStart"/>
            <w:r w:rsidRPr="00162A79">
              <w:rPr>
                <w:bCs/>
                <w:snapToGrid w:val="0"/>
                <w:lang w:eastAsia="ko-KR"/>
              </w:rPr>
              <w:t>V2V</w:t>
            </w:r>
            <w:proofErr w:type="spellEnd"/>
            <w:r w:rsidRPr="00162A79">
              <w:rPr>
                <w:bCs/>
                <w:snapToGrid w:val="0"/>
                <w:lang w:eastAsia="ko-KR"/>
              </w:rPr>
              <w:t>/</w:t>
            </w:r>
            <w:proofErr w:type="spellStart"/>
            <w:r w:rsidRPr="00162A79">
              <w:rPr>
                <w:bCs/>
                <w:snapToGrid w:val="0"/>
                <w:lang w:eastAsia="ko-KR"/>
              </w:rPr>
              <w:t>V2I</w:t>
            </w:r>
            <w:proofErr w:type="spellEnd"/>
          </w:p>
        </w:tc>
        <w:tc>
          <w:tcPr>
            <w:tcW w:w="2268" w:type="dxa"/>
            <w:shd w:val="clear" w:color="auto" w:fill="auto"/>
            <w:vAlign w:val="center"/>
          </w:tcPr>
          <w:p w:rsidR="00F26449" w:rsidRPr="00162A79" w:rsidRDefault="00F26449" w:rsidP="00C91CAA">
            <w:pPr>
              <w:pStyle w:val="Tabletext"/>
              <w:jc w:val="center"/>
              <w:rPr>
                <w:bCs/>
                <w:snapToGrid w:val="0"/>
                <w:lang w:eastAsia="ko-KR"/>
              </w:rPr>
            </w:pPr>
            <w:r w:rsidRPr="00162A79">
              <w:rPr>
                <w:bCs/>
                <w:snapToGrid w:val="0"/>
                <w:lang w:eastAsia="ko-KR"/>
              </w:rPr>
              <w:t>Traffic/Safety Related Information</w:t>
            </w:r>
          </w:p>
        </w:tc>
        <w:tc>
          <w:tcPr>
            <w:tcW w:w="1736" w:type="dxa"/>
            <w:shd w:val="clear" w:color="auto" w:fill="auto"/>
            <w:vAlign w:val="center"/>
          </w:tcPr>
          <w:p w:rsidR="00F26449" w:rsidRPr="00162A79" w:rsidRDefault="00F26449" w:rsidP="00C91CAA">
            <w:pPr>
              <w:pStyle w:val="Tabletext"/>
              <w:rPr>
                <w:bCs/>
                <w:snapToGrid w:val="0"/>
                <w:lang w:eastAsia="ko-KR"/>
              </w:rPr>
            </w:pPr>
            <w:r w:rsidRPr="00162A79">
              <w:rPr>
                <w:bCs/>
                <w:snapToGrid w:val="0"/>
                <w:lang w:eastAsia="ko-KR"/>
              </w:rPr>
              <w:t>Enacted in 2017</w:t>
            </w:r>
          </w:p>
        </w:tc>
      </w:tr>
      <w:tr w:rsidR="00F26449" w:rsidRPr="00162A79" w:rsidTr="00C91CAA">
        <w:trPr>
          <w:trHeight w:val="20"/>
        </w:trPr>
        <w:tc>
          <w:tcPr>
            <w:tcW w:w="1384" w:type="dxa"/>
            <w:shd w:val="clear" w:color="auto" w:fill="auto"/>
            <w:vAlign w:val="center"/>
          </w:tcPr>
          <w:p w:rsidR="00F26449" w:rsidRPr="00162A79" w:rsidRDefault="00F26449" w:rsidP="00C91CAA">
            <w:pPr>
              <w:pStyle w:val="Tabletext"/>
              <w:rPr>
                <w:snapToGrid w:val="0"/>
                <w:lang w:eastAsia="ko-KR"/>
              </w:rPr>
            </w:pPr>
            <w:r w:rsidRPr="00162A79">
              <w:rPr>
                <w:snapToGrid w:val="0"/>
                <w:lang w:eastAsia="ko-KR"/>
              </w:rPr>
              <w:t>Australia</w:t>
            </w:r>
          </w:p>
        </w:tc>
        <w:tc>
          <w:tcPr>
            <w:tcW w:w="2268" w:type="dxa"/>
            <w:shd w:val="clear" w:color="auto" w:fill="auto"/>
            <w:vAlign w:val="center"/>
          </w:tcPr>
          <w:p w:rsidR="00F26449" w:rsidRPr="00162A79" w:rsidRDefault="00F26449" w:rsidP="003C184D">
            <w:pPr>
              <w:pStyle w:val="Tabletext"/>
              <w:jc w:val="center"/>
              <w:rPr>
                <w:bCs/>
                <w:snapToGrid w:val="0"/>
                <w:lang w:eastAsia="ko-KR"/>
              </w:rPr>
            </w:pPr>
            <w:r w:rsidRPr="00162A79">
              <w:rPr>
                <w:bCs/>
                <w:snapToGrid w:val="0"/>
                <w:lang w:eastAsia="ko-KR"/>
              </w:rPr>
              <w:t>5 855</w:t>
            </w:r>
            <w:r w:rsidR="003C184D">
              <w:rPr>
                <w:bCs/>
                <w:snapToGrid w:val="0"/>
                <w:lang w:eastAsia="ko-KR"/>
              </w:rPr>
              <w:noBreakHyphen/>
            </w:r>
            <w:r w:rsidRPr="00162A79">
              <w:rPr>
                <w:bCs/>
                <w:snapToGrid w:val="0"/>
                <w:lang w:eastAsia="ko-KR"/>
              </w:rPr>
              <w:t>5 925 MHz</w:t>
            </w:r>
          </w:p>
        </w:tc>
        <w:tc>
          <w:tcPr>
            <w:tcW w:w="1856" w:type="dxa"/>
            <w:shd w:val="clear" w:color="auto" w:fill="auto"/>
            <w:vAlign w:val="center"/>
          </w:tcPr>
          <w:p w:rsidR="00F26449" w:rsidRPr="00162A79" w:rsidRDefault="00F26449" w:rsidP="00C91CAA">
            <w:pPr>
              <w:pStyle w:val="Tabletext"/>
              <w:rPr>
                <w:bCs/>
                <w:snapToGrid w:val="0"/>
                <w:lang w:eastAsia="ko-KR"/>
              </w:rPr>
            </w:pPr>
          </w:p>
        </w:tc>
        <w:tc>
          <w:tcPr>
            <w:tcW w:w="2268" w:type="dxa"/>
            <w:shd w:val="clear" w:color="auto" w:fill="auto"/>
            <w:vAlign w:val="center"/>
          </w:tcPr>
          <w:p w:rsidR="00F26449" w:rsidRPr="00162A79" w:rsidRDefault="00F26449" w:rsidP="00C91CAA">
            <w:pPr>
              <w:pStyle w:val="Tabletext"/>
              <w:jc w:val="center"/>
              <w:rPr>
                <w:bCs/>
                <w:snapToGrid w:val="0"/>
                <w:lang w:eastAsia="ko-KR"/>
              </w:rPr>
            </w:pPr>
          </w:p>
        </w:tc>
        <w:tc>
          <w:tcPr>
            <w:tcW w:w="1736" w:type="dxa"/>
            <w:shd w:val="clear" w:color="auto" w:fill="auto"/>
            <w:vAlign w:val="center"/>
          </w:tcPr>
          <w:p w:rsidR="00F26449" w:rsidRPr="00162A79" w:rsidRDefault="00F26449" w:rsidP="00C91CAA">
            <w:pPr>
              <w:pStyle w:val="Tabletext"/>
              <w:rPr>
                <w:bCs/>
                <w:snapToGrid w:val="0"/>
                <w:lang w:eastAsia="ko-KR"/>
              </w:rPr>
            </w:pPr>
          </w:p>
        </w:tc>
      </w:tr>
    </w:tbl>
    <w:p w:rsidR="00682954" w:rsidRPr="00162A79" w:rsidRDefault="00682954" w:rsidP="00682954">
      <w:pPr>
        <w:pStyle w:val="Tablefin"/>
        <w:rPr>
          <w:lang w:val="en-GB"/>
        </w:rPr>
      </w:pPr>
    </w:p>
    <w:p w:rsidR="00F26449" w:rsidRPr="00162A79" w:rsidRDefault="00F26449" w:rsidP="00682954">
      <w:r w:rsidRPr="00162A79">
        <w:t>Those harmonization measures include the following arrangements.</w:t>
      </w:r>
    </w:p>
    <w:p w:rsidR="00F26449" w:rsidRPr="00162A79" w:rsidRDefault="00F26449" w:rsidP="00C91CAA">
      <w:pPr>
        <w:pStyle w:val="Heading2"/>
      </w:pPr>
      <w:bookmarkStart w:id="22" w:name="_Toc514254835"/>
      <w:bookmarkStart w:id="23" w:name="_Toc515525406"/>
      <w:r w:rsidRPr="00162A79">
        <w:t>3.1</w:t>
      </w:r>
      <w:r w:rsidRPr="00162A79">
        <w:tab/>
        <w:t>Frequency use in Japan</w:t>
      </w:r>
      <w:bookmarkEnd w:id="22"/>
      <w:bookmarkEnd w:id="23"/>
    </w:p>
    <w:p w:rsidR="00F26449" w:rsidRPr="00162A79" w:rsidRDefault="00F26449" w:rsidP="00C91CAA">
      <w:pPr>
        <w:pStyle w:val="Heading3"/>
      </w:pPr>
      <w:bookmarkStart w:id="24" w:name="_Toc514254836"/>
      <w:r w:rsidRPr="00162A79">
        <w:t>3.1.1</w:t>
      </w:r>
      <w:r w:rsidRPr="00162A79">
        <w:tab/>
        <w:t>Band 5 770-5 850 MHz in Japan</w:t>
      </w:r>
      <w:bookmarkEnd w:id="24"/>
    </w:p>
    <w:p w:rsidR="00F26449" w:rsidRPr="00162A79" w:rsidRDefault="00F26449" w:rsidP="005E7B9F">
      <w:pPr>
        <w:pStyle w:val="Normalend"/>
        <w:rPr>
          <w:lang w:val="en-GB"/>
        </w:rPr>
      </w:pPr>
      <w:r w:rsidRPr="00162A79">
        <w:rPr>
          <w:lang w:val="en-GB"/>
        </w:rPr>
        <w:t xml:space="preserve">The frequency band </w:t>
      </w:r>
      <w:r w:rsidRPr="00162A79">
        <w:rPr>
          <w:lang w:val="en-GB" w:eastAsia="ja-JP"/>
        </w:rPr>
        <w:t>5 770-5 850</w:t>
      </w:r>
      <w:r w:rsidRPr="00162A79">
        <w:rPr>
          <w:lang w:val="en-GB"/>
        </w:rPr>
        <w:t xml:space="preserve"> MHz for ITS applications </w:t>
      </w:r>
      <w:r w:rsidRPr="00162A79">
        <w:rPr>
          <w:lang w:val="en-GB" w:eastAsia="ja-JP"/>
        </w:rPr>
        <w:t xml:space="preserve">(Refer to </w:t>
      </w:r>
      <w:proofErr w:type="spellStart"/>
      <w:r w:rsidRPr="00162A79">
        <w:rPr>
          <w:lang w:val="en-GB" w:eastAsia="ja-JP"/>
        </w:rPr>
        <w:t>ITU</w:t>
      </w:r>
      <w:proofErr w:type="spellEnd"/>
      <w:r w:rsidRPr="00162A79">
        <w:rPr>
          <w:lang w:val="en-GB" w:eastAsia="ja-JP"/>
        </w:rPr>
        <w:t xml:space="preserve">-R </w:t>
      </w:r>
      <w:proofErr w:type="spellStart"/>
      <w:r w:rsidRPr="00162A79">
        <w:rPr>
          <w:lang w:val="en-GB" w:eastAsia="ja-JP"/>
        </w:rPr>
        <w:t>M.1453</w:t>
      </w:r>
      <w:proofErr w:type="spellEnd"/>
      <w:r w:rsidRPr="00162A79">
        <w:rPr>
          <w:lang w:val="en-GB" w:eastAsia="ja-JP"/>
        </w:rPr>
        <w:t xml:space="preserve">-2, 2005) </w:t>
      </w:r>
      <w:r w:rsidRPr="00162A79">
        <w:rPr>
          <w:lang w:val="en-GB"/>
        </w:rPr>
        <w:t xml:space="preserve">is split into channels with a carrier frequency spacing of 5 </w:t>
      </w:r>
      <w:proofErr w:type="spellStart"/>
      <w:r w:rsidRPr="00162A79">
        <w:rPr>
          <w:lang w:val="en-GB"/>
        </w:rPr>
        <w:t>MHz.</w:t>
      </w:r>
      <w:proofErr w:type="spellEnd"/>
      <w:r w:rsidRPr="00162A79">
        <w:rPr>
          <w:lang w:val="en-GB"/>
        </w:rPr>
        <w:t xml:space="preserve"> </w:t>
      </w:r>
    </w:p>
    <w:p w:rsidR="00F26449" w:rsidRPr="00162A79" w:rsidRDefault="00F26449" w:rsidP="005E7B9F">
      <w:pPr>
        <w:rPr>
          <w:lang w:eastAsia="ja-JP"/>
        </w:rPr>
      </w:pPr>
      <w:r w:rsidRPr="00162A79">
        <w:rPr>
          <w:lang w:eastAsia="ja-JP"/>
        </w:rPr>
        <w:t>The maximum transmission power for roadside equipment (</w:t>
      </w:r>
      <w:proofErr w:type="spellStart"/>
      <w:r w:rsidRPr="00162A79">
        <w:rPr>
          <w:lang w:eastAsia="ja-JP"/>
        </w:rPr>
        <w:t>RSE</w:t>
      </w:r>
      <w:proofErr w:type="spellEnd"/>
      <w:r w:rsidRPr="00162A79">
        <w:rPr>
          <w:lang w:eastAsia="ja-JP"/>
        </w:rPr>
        <w:t xml:space="preserve">) should be less than 44.7 </w:t>
      </w:r>
      <w:proofErr w:type="spellStart"/>
      <w:r w:rsidRPr="00162A79">
        <w:rPr>
          <w:lang w:eastAsia="ja-JP"/>
        </w:rPr>
        <w:t>dBm</w:t>
      </w:r>
      <w:proofErr w:type="spellEnd"/>
      <w:r w:rsidRPr="00162A79">
        <w:rPr>
          <w:lang w:eastAsia="ja-JP"/>
        </w:rPr>
        <w:t xml:space="preserve"> </w:t>
      </w:r>
      <w:proofErr w:type="spellStart"/>
      <w:r w:rsidRPr="00162A79">
        <w:rPr>
          <w:lang w:eastAsia="ja-JP"/>
        </w:rPr>
        <w:t>e.i.r.p</w:t>
      </w:r>
      <w:proofErr w:type="spellEnd"/>
      <w:r w:rsidRPr="00162A79">
        <w:rPr>
          <w:rFonts w:eastAsiaTheme="minorEastAsia"/>
          <w:lang w:eastAsia="ja-JP"/>
        </w:rPr>
        <w:t>.</w:t>
      </w:r>
      <w:r w:rsidRPr="00162A79">
        <w:rPr>
          <w:lang w:eastAsia="ja-JP"/>
        </w:rPr>
        <w:t xml:space="preserve"> The maximum </w:t>
      </w:r>
      <w:r w:rsidRPr="00162A79">
        <w:rPr>
          <w:rFonts w:eastAsiaTheme="minorEastAsia"/>
          <w:lang w:eastAsia="ja-JP"/>
        </w:rPr>
        <w:t>transmission</w:t>
      </w:r>
      <w:r w:rsidRPr="00162A79">
        <w:rPr>
          <w:lang w:eastAsia="ja-JP"/>
        </w:rPr>
        <w:t xml:space="preserve"> power for on-board equipment (OBE) should be less than 20 </w:t>
      </w:r>
      <w:proofErr w:type="spellStart"/>
      <w:r w:rsidRPr="00162A79">
        <w:rPr>
          <w:lang w:eastAsia="ja-JP"/>
        </w:rPr>
        <w:t>dBm</w:t>
      </w:r>
      <w:proofErr w:type="spellEnd"/>
      <w:r w:rsidRPr="00162A79">
        <w:rPr>
          <w:lang w:eastAsia="ja-JP"/>
        </w:rPr>
        <w:t xml:space="preserve"> </w:t>
      </w:r>
      <w:proofErr w:type="spellStart"/>
      <w:r w:rsidRPr="00162A79">
        <w:rPr>
          <w:lang w:eastAsia="ja-JP"/>
        </w:rPr>
        <w:t>e.i.r.p</w:t>
      </w:r>
      <w:proofErr w:type="spellEnd"/>
      <w:r w:rsidRPr="00162A79">
        <w:rPr>
          <w:lang w:eastAsia="ja-JP"/>
        </w:rPr>
        <w:t>.</w:t>
      </w:r>
    </w:p>
    <w:p w:rsidR="00F26449" w:rsidRPr="00162A79" w:rsidRDefault="00F26449" w:rsidP="005E7B9F">
      <w:r w:rsidRPr="00162A79">
        <w:rPr>
          <w:rFonts w:eastAsiaTheme="minorEastAsia"/>
          <w:lang w:eastAsia="ja-JP"/>
        </w:rPr>
        <w:t>Table</w:t>
      </w:r>
      <w:r w:rsidRPr="00162A79">
        <w:t xml:space="preserve"> 4 shows channel arrangement of ITS applications using </w:t>
      </w:r>
      <w:proofErr w:type="spellStart"/>
      <w:r w:rsidRPr="00162A79">
        <w:t>DSRC</w:t>
      </w:r>
      <w:proofErr w:type="spellEnd"/>
      <w:r w:rsidRPr="00162A79">
        <w:t xml:space="preserve"> at 5.8 GHz band in Japan.</w:t>
      </w:r>
    </w:p>
    <w:p w:rsidR="00F26449" w:rsidRPr="00162A79" w:rsidRDefault="00F26449" w:rsidP="005E7B9F">
      <w:pPr>
        <w:pStyle w:val="TableNo"/>
      </w:pPr>
      <w:r w:rsidRPr="00162A79">
        <w:rPr>
          <w:lang w:eastAsia="ja-JP"/>
        </w:rPr>
        <w:t>Table</w:t>
      </w:r>
      <w:r w:rsidRPr="00162A79">
        <w:t xml:space="preserve"> </w:t>
      </w:r>
      <w:r w:rsidRPr="00162A79">
        <w:rPr>
          <w:lang w:eastAsia="ja-JP"/>
        </w:rPr>
        <w:t>4</w:t>
      </w:r>
    </w:p>
    <w:p w:rsidR="00F26449" w:rsidRPr="00162A79" w:rsidRDefault="00F26449" w:rsidP="005E7B9F">
      <w:pPr>
        <w:pStyle w:val="Tabletitle"/>
        <w:rPr>
          <w:lang w:eastAsia="ja-JP"/>
        </w:rPr>
      </w:pPr>
      <w:r w:rsidRPr="00162A79">
        <w:t>Channel arrangement for</w:t>
      </w:r>
      <w:r w:rsidRPr="00162A79">
        <w:rPr>
          <w:lang w:eastAsia="ja-JP"/>
        </w:rPr>
        <w:t xml:space="preserve"> </w:t>
      </w:r>
      <w:r w:rsidRPr="00162A79">
        <w:t xml:space="preserve">ITS applications at 5 </w:t>
      </w:r>
      <w:r w:rsidRPr="00162A79">
        <w:rPr>
          <w:lang w:eastAsia="ja-JP"/>
        </w:rPr>
        <w:t>770-5 850</w:t>
      </w:r>
      <w:r w:rsidRPr="00162A79">
        <w:t xml:space="preserve"> </w:t>
      </w:r>
      <w:r w:rsidRPr="00162A79">
        <w:rPr>
          <w:lang w:eastAsia="ja-JP"/>
        </w:rPr>
        <w:t>M</w:t>
      </w:r>
      <w:r w:rsidRPr="00162A79">
        <w:t xml:space="preserve">Hz band </w:t>
      </w:r>
      <w:r w:rsidRPr="00162A79">
        <w:rPr>
          <w:lang w:eastAsia="ja-JP"/>
        </w:rPr>
        <w:t>in Japan</w:t>
      </w:r>
    </w:p>
    <w:tbl>
      <w:tblPr>
        <w:tblStyle w:val="TableGrid"/>
        <w:tblW w:w="0" w:type="auto"/>
        <w:jc w:val="center"/>
        <w:tblLook w:val="04A0" w:firstRow="1" w:lastRow="0" w:firstColumn="1" w:lastColumn="0" w:noHBand="0" w:noVBand="1"/>
      </w:tblPr>
      <w:tblGrid>
        <w:gridCol w:w="3540"/>
        <w:gridCol w:w="3780"/>
      </w:tblGrid>
      <w:tr w:rsidR="00F26449" w:rsidRPr="00162A79" w:rsidTr="00C91CAA">
        <w:trPr>
          <w:jc w:val="center"/>
        </w:trPr>
        <w:tc>
          <w:tcPr>
            <w:tcW w:w="3540" w:type="dxa"/>
          </w:tcPr>
          <w:p w:rsidR="00F26449" w:rsidRPr="00162A79" w:rsidRDefault="00F26449" w:rsidP="00C91CAA">
            <w:pPr>
              <w:pStyle w:val="Tablehead"/>
            </w:pPr>
          </w:p>
        </w:tc>
        <w:tc>
          <w:tcPr>
            <w:tcW w:w="3780" w:type="dxa"/>
          </w:tcPr>
          <w:p w:rsidR="00F26449" w:rsidRPr="00162A79" w:rsidRDefault="00F26449" w:rsidP="00C91CAA">
            <w:pPr>
              <w:pStyle w:val="Tablehead"/>
            </w:pPr>
            <w:r w:rsidRPr="00162A79">
              <w:t>Carrier frequency</w:t>
            </w:r>
            <w:r w:rsidRPr="00162A79">
              <w:br/>
              <w:t>[MHz]</w:t>
            </w:r>
          </w:p>
        </w:tc>
      </w:tr>
      <w:tr w:rsidR="00F26449" w:rsidRPr="00162A79" w:rsidTr="00C91CAA">
        <w:trPr>
          <w:jc w:val="center"/>
        </w:trPr>
        <w:tc>
          <w:tcPr>
            <w:tcW w:w="3540" w:type="dxa"/>
            <w:vMerge w:val="restart"/>
            <w:vAlign w:val="center"/>
          </w:tcPr>
          <w:p w:rsidR="00F26449" w:rsidRPr="00162A79" w:rsidRDefault="00F26449" w:rsidP="00C91CAA">
            <w:pPr>
              <w:pStyle w:val="Tabletext"/>
            </w:pPr>
            <w:r w:rsidRPr="00162A79">
              <w:t>Road Side Equipment Channel</w:t>
            </w:r>
          </w:p>
        </w:tc>
        <w:tc>
          <w:tcPr>
            <w:tcW w:w="3780" w:type="dxa"/>
          </w:tcPr>
          <w:p w:rsidR="00F26449" w:rsidRPr="00162A79" w:rsidRDefault="00F26449" w:rsidP="00C91CAA">
            <w:pPr>
              <w:pStyle w:val="Tabletext"/>
              <w:jc w:val="center"/>
            </w:pPr>
            <w:r w:rsidRPr="00162A79">
              <w:t>5 775</w:t>
            </w:r>
          </w:p>
        </w:tc>
      </w:tr>
      <w:tr w:rsidR="00F26449" w:rsidRPr="00162A79" w:rsidTr="00C91CAA">
        <w:trPr>
          <w:jc w:val="center"/>
        </w:trPr>
        <w:tc>
          <w:tcPr>
            <w:tcW w:w="3540" w:type="dxa"/>
            <w:vMerge/>
            <w:vAlign w:val="center"/>
          </w:tcPr>
          <w:p w:rsidR="00F26449" w:rsidRPr="00162A79" w:rsidRDefault="00F26449" w:rsidP="00C91CAA">
            <w:pPr>
              <w:pStyle w:val="Tabletext"/>
              <w:rPr>
                <w:highlight w:val="yellow"/>
              </w:rPr>
            </w:pPr>
          </w:p>
        </w:tc>
        <w:tc>
          <w:tcPr>
            <w:tcW w:w="3780" w:type="dxa"/>
          </w:tcPr>
          <w:p w:rsidR="00F26449" w:rsidRPr="00162A79" w:rsidRDefault="00F26449" w:rsidP="00C91CAA">
            <w:pPr>
              <w:pStyle w:val="Tabletext"/>
              <w:jc w:val="center"/>
            </w:pPr>
            <w:r w:rsidRPr="00162A79">
              <w:t>5 780</w:t>
            </w:r>
          </w:p>
        </w:tc>
      </w:tr>
      <w:tr w:rsidR="00F26449" w:rsidRPr="00162A79" w:rsidTr="00C91CAA">
        <w:trPr>
          <w:jc w:val="center"/>
        </w:trPr>
        <w:tc>
          <w:tcPr>
            <w:tcW w:w="3540" w:type="dxa"/>
            <w:vMerge/>
            <w:vAlign w:val="center"/>
          </w:tcPr>
          <w:p w:rsidR="00F26449" w:rsidRPr="00162A79" w:rsidRDefault="00F26449" w:rsidP="00C91CAA">
            <w:pPr>
              <w:pStyle w:val="Tabletext"/>
              <w:rPr>
                <w:highlight w:val="yellow"/>
              </w:rPr>
            </w:pPr>
          </w:p>
        </w:tc>
        <w:tc>
          <w:tcPr>
            <w:tcW w:w="3780" w:type="dxa"/>
          </w:tcPr>
          <w:p w:rsidR="00F26449" w:rsidRPr="00162A79" w:rsidRDefault="00F26449" w:rsidP="00C91CAA">
            <w:pPr>
              <w:pStyle w:val="Tabletext"/>
              <w:jc w:val="center"/>
            </w:pPr>
            <w:r w:rsidRPr="00162A79">
              <w:t>5 785</w:t>
            </w:r>
          </w:p>
        </w:tc>
      </w:tr>
      <w:tr w:rsidR="00F26449" w:rsidRPr="00162A79" w:rsidTr="00C91CAA">
        <w:trPr>
          <w:jc w:val="center"/>
        </w:trPr>
        <w:tc>
          <w:tcPr>
            <w:tcW w:w="3540" w:type="dxa"/>
            <w:vMerge/>
            <w:vAlign w:val="center"/>
          </w:tcPr>
          <w:p w:rsidR="00F26449" w:rsidRPr="00162A79" w:rsidRDefault="00F26449" w:rsidP="00C91CAA">
            <w:pPr>
              <w:pStyle w:val="Tabletext"/>
              <w:rPr>
                <w:highlight w:val="yellow"/>
              </w:rPr>
            </w:pPr>
          </w:p>
        </w:tc>
        <w:tc>
          <w:tcPr>
            <w:tcW w:w="3780" w:type="dxa"/>
          </w:tcPr>
          <w:p w:rsidR="00F26449" w:rsidRPr="00162A79" w:rsidRDefault="00F26449" w:rsidP="00C91CAA">
            <w:pPr>
              <w:pStyle w:val="Tabletext"/>
              <w:jc w:val="center"/>
            </w:pPr>
            <w:r w:rsidRPr="00162A79">
              <w:t>5 790</w:t>
            </w:r>
          </w:p>
        </w:tc>
      </w:tr>
      <w:tr w:rsidR="00F26449" w:rsidRPr="00162A79" w:rsidTr="00C91CAA">
        <w:trPr>
          <w:jc w:val="center"/>
        </w:trPr>
        <w:tc>
          <w:tcPr>
            <w:tcW w:w="3540" w:type="dxa"/>
            <w:vMerge/>
            <w:vAlign w:val="center"/>
          </w:tcPr>
          <w:p w:rsidR="00F26449" w:rsidRPr="00162A79" w:rsidRDefault="00F26449" w:rsidP="00C91CAA">
            <w:pPr>
              <w:pStyle w:val="Tabletext"/>
              <w:rPr>
                <w:highlight w:val="yellow"/>
              </w:rPr>
            </w:pPr>
          </w:p>
        </w:tc>
        <w:tc>
          <w:tcPr>
            <w:tcW w:w="3780" w:type="dxa"/>
          </w:tcPr>
          <w:p w:rsidR="00F26449" w:rsidRPr="00162A79" w:rsidRDefault="00F26449" w:rsidP="00C91CAA">
            <w:pPr>
              <w:pStyle w:val="Tabletext"/>
              <w:jc w:val="center"/>
            </w:pPr>
            <w:r w:rsidRPr="00162A79">
              <w:t>5 795</w:t>
            </w:r>
          </w:p>
        </w:tc>
      </w:tr>
      <w:tr w:rsidR="00F26449" w:rsidRPr="00162A79" w:rsidTr="00C91CAA">
        <w:trPr>
          <w:trHeight w:val="118"/>
          <w:jc w:val="center"/>
        </w:trPr>
        <w:tc>
          <w:tcPr>
            <w:tcW w:w="3540" w:type="dxa"/>
            <w:vMerge/>
            <w:vAlign w:val="center"/>
          </w:tcPr>
          <w:p w:rsidR="00F26449" w:rsidRPr="00162A79" w:rsidRDefault="00F26449" w:rsidP="00C91CAA">
            <w:pPr>
              <w:pStyle w:val="Tabletext"/>
              <w:rPr>
                <w:highlight w:val="yellow"/>
              </w:rPr>
            </w:pPr>
          </w:p>
        </w:tc>
        <w:tc>
          <w:tcPr>
            <w:tcW w:w="3780" w:type="dxa"/>
          </w:tcPr>
          <w:p w:rsidR="00F26449" w:rsidRPr="00162A79" w:rsidRDefault="00F26449" w:rsidP="00C91CAA">
            <w:pPr>
              <w:pStyle w:val="Tabletext"/>
              <w:jc w:val="center"/>
            </w:pPr>
            <w:r w:rsidRPr="00162A79">
              <w:t>5 800</w:t>
            </w:r>
          </w:p>
        </w:tc>
      </w:tr>
      <w:tr w:rsidR="00F26449" w:rsidRPr="00162A79" w:rsidTr="00C91CAA">
        <w:trPr>
          <w:trHeight w:val="250"/>
          <w:jc w:val="center"/>
        </w:trPr>
        <w:tc>
          <w:tcPr>
            <w:tcW w:w="3540" w:type="dxa"/>
            <w:vMerge/>
            <w:vAlign w:val="center"/>
          </w:tcPr>
          <w:p w:rsidR="00F26449" w:rsidRPr="00162A79" w:rsidRDefault="00F26449" w:rsidP="00C91CAA">
            <w:pPr>
              <w:pStyle w:val="Tabletext"/>
              <w:rPr>
                <w:highlight w:val="yellow"/>
              </w:rPr>
            </w:pPr>
          </w:p>
        </w:tc>
        <w:tc>
          <w:tcPr>
            <w:tcW w:w="3780" w:type="dxa"/>
          </w:tcPr>
          <w:p w:rsidR="00F26449" w:rsidRPr="00162A79" w:rsidRDefault="00F26449" w:rsidP="00C91CAA">
            <w:pPr>
              <w:pStyle w:val="Tabletext"/>
              <w:jc w:val="center"/>
            </w:pPr>
            <w:r w:rsidRPr="00162A79">
              <w:t>5 805</w:t>
            </w:r>
          </w:p>
        </w:tc>
      </w:tr>
      <w:tr w:rsidR="00F26449" w:rsidRPr="00162A79" w:rsidTr="00C91CAA">
        <w:trPr>
          <w:trHeight w:val="211"/>
          <w:jc w:val="center"/>
        </w:trPr>
        <w:tc>
          <w:tcPr>
            <w:tcW w:w="3540" w:type="dxa"/>
            <w:vMerge w:val="restart"/>
            <w:vAlign w:val="center"/>
          </w:tcPr>
          <w:p w:rsidR="00F26449" w:rsidRPr="00162A79" w:rsidRDefault="00F26449" w:rsidP="00C91CAA">
            <w:pPr>
              <w:pStyle w:val="Tabletext"/>
            </w:pPr>
            <w:r w:rsidRPr="00162A79">
              <w:t>On-Board Equipment Channel</w:t>
            </w:r>
          </w:p>
        </w:tc>
        <w:tc>
          <w:tcPr>
            <w:tcW w:w="3780" w:type="dxa"/>
          </w:tcPr>
          <w:p w:rsidR="00F26449" w:rsidRPr="00162A79" w:rsidRDefault="00F26449" w:rsidP="00C91CAA">
            <w:pPr>
              <w:pStyle w:val="Tabletext"/>
              <w:jc w:val="center"/>
            </w:pPr>
            <w:r w:rsidRPr="00162A79">
              <w:t>5 815</w:t>
            </w:r>
          </w:p>
        </w:tc>
      </w:tr>
      <w:tr w:rsidR="00F26449" w:rsidRPr="00162A79" w:rsidTr="00C91CAA">
        <w:trPr>
          <w:trHeight w:val="286"/>
          <w:jc w:val="center"/>
        </w:trPr>
        <w:tc>
          <w:tcPr>
            <w:tcW w:w="3540" w:type="dxa"/>
            <w:vMerge/>
          </w:tcPr>
          <w:p w:rsidR="00F26449" w:rsidRPr="00162A79" w:rsidRDefault="00F26449" w:rsidP="00C91CAA">
            <w:pPr>
              <w:pStyle w:val="Tabletext"/>
              <w:jc w:val="center"/>
              <w:rPr>
                <w:highlight w:val="yellow"/>
              </w:rPr>
            </w:pPr>
          </w:p>
        </w:tc>
        <w:tc>
          <w:tcPr>
            <w:tcW w:w="3780" w:type="dxa"/>
          </w:tcPr>
          <w:p w:rsidR="00F26449" w:rsidRPr="00162A79" w:rsidRDefault="00F26449" w:rsidP="00C91CAA">
            <w:pPr>
              <w:pStyle w:val="Tabletext"/>
              <w:jc w:val="center"/>
            </w:pPr>
            <w:r w:rsidRPr="00162A79">
              <w:t>5 820</w:t>
            </w:r>
          </w:p>
        </w:tc>
      </w:tr>
      <w:tr w:rsidR="00F26449" w:rsidRPr="00162A79" w:rsidTr="00C91CAA">
        <w:trPr>
          <w:trHeight w:val="58"/>
          <w:jc w:val="center"/>
        </w:trPr>
        <w:tc>
          <w:tcPr>
            <w:tcW w:w="3540" w:type="dxa"/>
            <w:vMerge/>
          </w:tcPr>
          <w:p w:rsidR="00F26449" w:rsidRPr="00162A79" w:rsidRDefault="00F26449" w:rsidP="00C91CAA">
            <w:pPr>
              <w:pStyle w:val="Tabletext"/>
              <w:jc w:val="center"/>
              <w:rPr>
                <w:highlight w:val="yellow"/>
              </w:rPr>
            </w:pPr>
          </w:p>
        </w:tc>
        <w:tc>
          <w:tcPr>
            <w:tcW w:w="3780" w:type="dxa"/>
          </w:tcPr>
          <w:p w:rsidR="00F26449" w:rsidRPr="00162A79" w:rsidRDefault="00F26449" w:rsidP="00C91CAA">
            <w:pPr>
              <w:pStyle w:val="Tabletext"/>
              <w:jc w:val="center"/>
            </w:pPr>
            <w:r w:rsidRPr="00162A79">
              <w:t>5 825</w:t>
            </w:r>
          </w:p>
        </w:tc>
      </w:tr>
      <w:tr w:rsidR="00F26449" w:rsidRPr="00162A79" w:rsidTr="00C91CAA">
        <w:trPr>
          <w:trHeight w:val="167"/>
          <w:jc w:val="center"/>
        </w:trPr>
        <w:tc>
          <w:tcPr>
            <w:tcW w:w="3540" w:type="dxa"/>
            <w:vMerge/>
          </w:tcPr>
          <w:p w:rsidR="00F26449" w:rsidRPr="00162A79" w:rsidRDefault="00F26449" w:rsidP="00C91CAA">
            <w:pPr>
              <w:pStyle w:val="Tabletext"/>
              <w:jc w:val="center"/>
              <w:rPr>
                <w:highlight w:val="yellow"/>
              </w:rPr>
            </w:pPr>
          </w:p>
        </w:tc>
        <w:tc>
          <w:tcPr>
            <w:tcW w:w="3780" w:type="dxa"/>
          </w:tcPr>
          <w:p w:rsidR="00F26449" w:rsidRPr="00162A79" w:rsidRDefault="00F26449" w:rsidP="00C91CAA">
            <w:pPr>
              <w:pStyle w:val="Tabletext"/>
              <w:jc w:val="center"/>
            </w:pPr>
            <w:r w:rsidRPr="00162A79">
              <w:t>5 830</w:t>
            </w:r>
          </w:p>
        </w:tc>
      </w:tr>
      <w:tr w:rsidR="00F26449" w:rsidRPr="00162A79" w:rsidTr="00C91CAA">
        <w:trPr>
          <w:trHeight w:val="238"/>
          <w:jc w:val="center"/>
        </w:trPr>
        <w:tc>
          <w:tcPr>
            <w:tcW w:w="3540" w:type="dxa"/>
            <w:vMerge/>
          </w:tcPr>
          <w:p w:rsidR="00F26449" w:rsidRPr="00162A79" w:rsidRDefault="00F26449" w:rsidP="00C91CAA">
            <w:pPr>
              <w:pStyle w:val="Tabletext"/>
              <w:jc w:val="center"/>
              <w:rPr>
                <w:highlight w:val="yellow"/>
              </w:rPr>
            </w:pPr>
          </w:p>
        </w:tc>
        <w:tc>
          <w:tcPr>
            <w:tcW w:w="3780" w:type="dxa"/>
          </w:tcPr>
          <w:p w:rsidR="00F26449" w:rsidRPr="00162A79" w:rsidRDefault="00F26449" w:rsidP="00C91CAA">
            <w:pPr>
              <w:pStyle w:val="Tabletext"/>
              <w:jc w:val="center"/>
            </w:pPr>
            <w:r w:rsidRPr="00162A79">
              <w:t>5 835</w:t>
            </w:r>
          </w:p>
        </w:tc>
      </w:tr>
      <w:tr w:rsidR="00F26449" w:rsidRPr="00162A79" w:rsidTr="00C91CAA">
        <w:trPr>
          <w:trHeight w:val="131"/>
          <w:jc w:val="center"/>
        </w:trPr>
        <w:tc>
          <w:tcPr>
            <w:tcW w:w="3540" w:type="dxa"/>
            <w:vMerge/>
          </w:tcPr>
          <w:p w:rsidR="00F26449" w:rsidRPr="00162A79" w:rsidRDefault="00F26449" w:rsidP="00C91CAA">
            <w:pPr>
              <w:pStyle w:val="Tabletext"/>
              <w:jc w:val="center"/>
              <w:rPr>
                <w:highlight w:val="yellow"/>
              </w:rPr>
            </w:pPr>
          </w:p>
        </w:tc>
        <w:tc>
          <w:tcPr>
            <w:tcW w:w="3780" w:type="dxa"/>
          </w:tcPr>
          <w:p w:rsidR="00F26449" w:rsidRPr="00162A79" w:rsidRDefault="00F26449" w:rsidP="00C91CAA">
            <w:pPr>
              <w:pStyle w:val="Tabletext"/>
              <w:jc w:val="center"/>
            </w:pPr>
            <w:r w:rsidRPr="00162A79">
              <w:t>5 840</w:t>
            </w:r>
          </w:p>
        </w:tc>
      </w:tr>
      <w:tr w:rsidR="00F26449" w:rsidRPr="00162A79" w:rsidTr="00C91CAA">
        <w:trPr>
          <w:trHeight w:val="206"/>
          <w:jc w:val="center"/>
        </w:trPr>
        <w:tc>
          <w:tcPr>
            <w:tcW w:w="3540" w:type="dxa"/>
            <w:vMerge/>
          </w:tcPr>
          <w:p w:rsidR="00F26449" w:rsidRPr="00162A79" w:rsidRDefault="00F26449" w:rsidP="00C91CAA">
            <w:pPr>
              <w:pStyle w:val="Tabletext"/>
              <w:jc w:val="center"/>
              <w:rPr>
                <w:highlight w:val="yellow"/>
              </w:rPr>
            </w:pPr>
          </w:p>
        </w:tc>
        <w:tc>
          <w:tcPr>
            <w:tcW w:w="3780" w:type="dxa"/>
          </w:tcPr>
          <w:p w:rsidR="00F26449" w:rsidRPr="00162A79" w:rsidRDefault="00F26449" w:rsidP="00C91CAA">
            <w:pPr>
              <w:pStyle w:val="Tabletext"/>
              <w:jc w:val="center"/>
            </w:pPr>
            <w:r w:rsidRPr="00162A79">
              <w:t>5 845</w:t>
            </w:r>
          </w:p>
        </w:tc>
      </w:tr>
    </w:tbl>
    <w:p w:rsidR="00F26449" w:rsidRPr="00162A79" w:rsidRDefault="00F26449" w:rsidP="005E7B9F">
      <w:pPr>
        <w:pStyle w:val="Tablefin"/>
        <w:rPr>
          <w:lang w:val="en-GB" w:eastAsia="ja-JP"/>
        </w:rPr>
      </w:pPr>
    </w:p>
    <w:p w:rsidR="00F26449" w:rsidRPr="00162A79" w:rsidRDefault="00F26449" w:rsidP="00C91CAA">
      <w:pPr>
        <w:pStyle w:val="Heading3"/>
      </w:pPr>
      <w:bookmarkStart w:id="25" w:name="_Toc514254837"/>
      <w:r w:rsidRPr="00162A79">
        <w:t>3.1.2</w:t>
      </w:r>
      <w:r w:rsidRPr="00162A79">
        <w:tab/>
        <w:t xml:space="preserve">760 MHz band in Japan for </w:t>
      </w:r>
      <w:proofErr w:type="spellStart"/>
      <w:r w:rsidRPr="00162A79">
        <w:t>V2X</w:t>
      </w:r>
      <w:proofErr w:type="spellEnd"/>
      <w:r w:rsidRPr="00162A79">
        <w:t xml:space="preserve"> (ITS Connect)</w:t>
      </w:r>
      <w:bookmarkEnd w:id="25"/>
    </w:p>
    <w:p w:rsidR="00F26449" w:rsidRPr="00162A79" w:rsidRDefault="00F26449" w:rsidP="005E7B9F">
      <w:pPr>
        <w:rPr>
          <w:lang w:eastAsia="ja-JP"/>
        </w:rPr>
      </w:pPr>
      <w:r w:rsidRPr="00162A79">
        <w:rPr>
          <w:lang w:eastAsia="ja-JP"/>
        </w:rPr>
        <w:t xml:space="preserve">In Japan, 755.5-764.5 MHz is assigned for ITS Connect. </w:t>
      </w:r>
    </w:p>
    <w:p w:rsidR="00F26449" w:rsidRPr="00162A79" w:rsidRDefault="00F26449" w:rsidP="005E7B9F">
      <w:pPr>
        <w:rPr>
          <w:lang w:eastAsia="ja-JP"/>
        </w:rPr>
      </w:pPr>
      <w:r w:rsidRPr="00162A79">
        <w:rPr>
          <w:lang w:eastAsia="ja-JP"/>
        </w:rPr>
        <w:t>The maximum transmission power for roadside equipment (</w:t>
      </w:r>
      <w:proofErr w:type="spellStart"/>
      <w:r w:rsidRPr="00162A79">
        <w:rPr>
          <w:lang w:eastAsia="ja-JP"/>
        </w:rPr>
        <w:t>RSE</w:t>
      </w:r>
      <w:proofErr w:type="spellEnd"/>
      <w:r w:rsidRPr="00162A79">
        <w:rPr>
          <w:lang w:eastAsia="ja-JP"/>
        </w:rPr>
        <w:t xml:space="preserve">) should be less than 10 </w:t>
      </w:r>
      <w:proofErr w:type="spellStart"/>
      <w:r w:rsidRPr="00162A79">
        <w:rPr>
          <w:lang w:eastAsia="ja-JP"/>
        </w:rPr>
        <w:t>mW</w:t>
      </w:r>
      <w:proofErr w:type="spellEnd"/>
      <w:r w:rsidRPr="00162A79">
        <w:rPr>
          <w:lang w:eastAsia="ja-JP"/>
        </w:rPr>
        <w:t>/</w:t>
      </w:r>
      <w:proofErr w:type="spellStart"/>
      <w:r w:rsidRPr="00162A79">
        <w:rPr>
          <w:lang w:eastAsia="ja-JP"/>
        </w:rPr>
        <w:t>MHz</w:t>
      </w:r>
      <w:r w:rsidRPr="00162A79">
        <w:rPr>
          <w:rFonts w:eastAsiaTheme="minorEastAsia"/>
          <w:lang w:eastAsia="ja-JP"/>
        </w:rPr>
        <w:t>.</w:t>
      </w:r>
      <w:proofErr w:type="spellEnd"/>
      <w:r w:rsidRPr="00162A79">
        <w:rPr>
          <w:lang w:eastAsia="ja-JP"/>
        </w:rPr>
        <w:t xml:space="preserve"> The maximum </w:t>
      </w:r>
      <w:r w:rsidRPr="00162A79">
        <w:rPr>
          <w:rFonts w:eastAsiaTheme="minorEastAsia"/>
          <w:lang w:eastAsia="ja-JP"/>
        </w:rPr>
        <w:t>transmission</w:t>
      </w:r>
      <w:r w:rsidRPr="00162A79">
        <w:rPr>
          <w:lang w:eastAsia="ja-JP"/>
        </w:rPr>
        <w:t xml:space="preserve"> power for on-board equipment (OBE) should be less than 10 </w:t>
      </w:r>
      <w:proofErr w:type="spellStart"/>
      <w:r w:rsidRPr="00162A79">
        <w:rPr>
          <w:lang w:eastAsia="ja-JP"/>
        </w:rPr>
        <w:t>mW</w:t>
      </w:r>
      <w:proofErr w:type="spellEnd"/>
      <w:r w:rsidRPr="00162A79">
        <w:rPr>
          <w:lang w:eastAsia="ja-JP"/>
        </w:rPr>
        <w:t>/</w:t>
      </w:r>
      <w:proofErr w:type="spellStart"/>
      <w:r w:rsidRPr="00162A79">
        <w:rPr>
          <w:lang w:eastAsia="ja-JP"/>
        </w:rPr>
        <w:t>MHz.</w:t>
      </w:r>
      <w:proofErr w:type="spellEnd"/>
    </w:p>
    <w:p w:rsidR="00F26449" w:rsidRPr="00162A79" w:rsidRDefault="00F26449" w:rsidP="005E7B9F">
      <w:pPr>
        <w:rPr>
          <w:lang w:eastAsia="ja-JP"/>
        </w:rPr>
      </w:pPr>
      <w:r w:rsidRPr="00162A79">
        <w:rPr>
          <w:lang w:eastAsia="ja-JP"/>
        </w:rPr>
        <w:t xml:space="preserve">All </w:t>
      </w:r>
      <w:proofErr w:type="spellStart"/>
      <w:r w:rsidRPr="00162A79">
        <w:rPr>
          <w:lang w:eastAsia="ja-JP"/>
        </w:rPr>
        <w:t>RSU</w:t>
      </w:r>
      <w:proofErr w:type="spellEnd"/>
      <w:r w:rsidRPr="00162A79">
        <w:rPr>
          <w:lang w:eastAsia="ja-JP"/>
        </w:rPr>
        <w:t xml:space="preserve"> and OBE share one RF channel. Time slot is divided into Vehicle to Vehicle (</w:t>
      </w:r>
      <w:proofErr w:type="spellStart"/>
      <w:r w:rsidRPr="00162A79">
        <w:rPr>
          <w:lang w:eastAsia="ja-JP"/>
        </w:rPr>
        <w:t>V2V</w:t>
      </w:r>
      <w:proofErr w:type="spellEnd"/>
      <w:r w:rsidRPr="00162A79">
        <w:rPr>
          <w:lang w:eastAsia="ja-JP"/>
        </w:rPr>
        <w:t xml:space="preserve">) communication periods and </w:t>
      </w:r>
      <w:proofErr w:type="spellStart"/>
      <w:r w:rsidRPr="00162A79">
        <w:rPr>
          <w:lang w:eastAsia="ja-JP"/>
        </w:rPr>
        <w:t>I2V</w:t>
      </w:r>
      <w:proofErr w:type="spellEnd"/>
      <w:r w:rsidRPr="00162A79">
        <w:rPr>
          <w:lang w:eastAsia="ja-JP"/>
        </w:rPr>
        <w:t xml:space="preserve"> communication periods, then </w:t>
      </w:r>
      <w:proofErr w:type="spellStart"/>
      <w:r w:rsidRPr="00162A79">
        <w:rPr>
          <w:lang w:eastAsia="ja-JP"/>
        </w:rPr>
        <w:t>RSU</w:t>
      </w:r>
      <w:proofErr w:type="spellEnd"/>
      <w:r w:rsidRPr="00162A79">
        <w:rPr>
          <w:lang w:eastAsia="ja-JP"/>
        </w:rPr>
        <w:t xml:space="preserve"> and OBE can share the frequency without mutual interference. Figure 9 shows the sharing mechanism. The </w:t>
      </w:r>
      <w:proofErr w:type="spellStart"/>
      <w:r w:rsidRPr="00162A79">
        <w:rPr>
          <w:lang w:eastAsia="ja-JP"/>
        </w:rPr>
        <w:t>RSUs</w:t>
      </w:r>
      <w:proofErr w:type="spellEnd"/>
      <w:r w:rsidRPr="00162A79">
        <w:rPr>
          <w:lang w:eastAsia="ja-JP"/>
        </w:rPr>
        <w:t xml:space="preserve"> and OBEs carry out communications normally in a cycle of 100 </w:t>
      </w:r>
      <w:proofErr w:type="spellStart"/>
      <w:proofErr w:type="gramStart"/>
      <w:r w:rsidRPr="00162A79">
        <w:rPr>
          <w:lang w:eastAsia="ja-JP"/>
        </w:rPr>
        <w:t>ms</w:t>
      </w:r>
      <w:proofErr w:type="spellEnd"/>
      <w:proofErr w:type="gramEnd"/>
      <w:r w:rsidRPr="00162A79">
        <w:rPr>
          <w:lang w:eastAsia="ja-JP"/>
        </w:rPr>
        <w:t xml:space="preserve">. In the Figure 9, the </w:t>
      </w:r>
      <w:proofErr w:type="spellStart"/>
      <w:r w:rsidRPr="00162A79">
        <w:rPr>
          <w:lang w:eastAsia="ja-JP"/>
        </w:rPr>
        <w:t>RSU</w:t>
      </w:r>
      <w:proofErr w:type="spellEnd"/>
      <w:r w:rsidRPr="00162A79">
        <w:rPr>
          <w:lang w:eastAsia="ja-JP"/>
        </w:rPr>
        <w:t xml:space="preserve"> can use </w:t>
      </w:r>
      <w:proofErr w:type="spellStart"/>
      <w:r w:rsidRPr="00162A79">
        <w:rPr>
          <w:lang w:eastAsia="ja-JP"/>
        </w:rPr>
        <w:t>gray</w:t>
      </w:r>
      <w:proofErr w:type="spellEnd"/>
      <w:r w:rsidRPr="00162A79">
        <w:rPr>
          <w:lang w:eastAsia="ja-JP"/>
        </w:rPr>
        <w:t xml:space="preserve"> period. If the </w:t>
      </w:r>
      <w:proofErr w:type="spellStart"/>
      <w:r w:rsidRPr="00162A79">
        <w:rPr>
          <w:lang w:eastAsia="ja-JP"/>
        </w:rPr>
        <w:t>RSU</w:t>
      </w:r>
      <w:proofErr w:type="spellEnd"/>
      <w:r w:rsidRPr="00162A79">
        <w:rPr>
          <w:lang w:eastAsia="ja-JP"/>
        </w:rPr>
        <w:t xml:space="preserve"> does not use all 3024 us, OBE can use the time for </w:t>
      </w:r>
      <w:proofErr w:type="spellStart"/>
      <w:r w:rsidRPr="00162A79">
        <w:rPr>
          <w:lang w:eastAsia="ja-JP"/>
        </w:rPr>
        <w:t>V2V</w:t>
      </w:r>
      <w:proofErr w:type="spellEnd"/>
      <w:r w:rsidRPr="00162A79">
        <w:rPr>
          <w:lang w:eastAsia="ja-JP"/>
        </w:rPr>
        <w:t xml:space="preserve"> communication.</w:t>
      </w:r>
    </w:p>
    <w:p w:rsidR="00F26449" w:rsidRPr="00162A79" w:rsidRDefault="00F26449" w:rsidP="005E7B9F">
      <w:pPr>
        <w:pStyle w:val="FigureNo"/>
        <w:rPr>
          <w:lang w:eastAsia="ja-JP"/>
        </w:rPr>
      </w:pPr>
      <w:r w:rsidRPr="00162A79">
        <w:rPr>
          <w:lang w:eastAsia="ja-JP"/>
        </w:rPr>
        <w:t xml:space="preserve">FIGURE 2 </w:t>
      </w:r>
    </w:p>
    <w:p w:rsidR="00F26449" w:rsidRPr="00162A79" w:rsidRDefault="00F26449" w:rsidP="00682954">
      <w:pPr>
        <w:pStyle w:val="Figuretitle"/>
      </w:pPr>
      <w:proofErr w:type="spellStart"/>
      <w:r w:rsidRPr="00162A79">
        <w:t>RSU</w:t>
      </w:r>
      <w:proofErr w:type="spellEnd"/>
      <w:r w:rsidRPr="00162A79">
        <w:t xml:space="preserve"> transmitting periods</w:t>
      </w:r>
    </w:p>
    <w:p w:rsidR="00F26449" w:rsidRPr="00162A79" w:rsidRDefault="00F26449" w:rsidP="00682954">
      <w:pPr>
        <w:pStyle w:val="Figure"/>
        <w:rPr>
          <w:noProof w:val="0"/>
          <w:lang w:val="en-GB"/>
        </w:rPr>
      </w:pPr>
      <w:r w:rsidRPr="00162A79">
        <w:rPr>
          <w:noProof w:val="0"/>
          <w:lang w:val="en-GB"/>
        </w:rPr>
        <w:drawing>
          <wp:inline distT="0" distB="0" distL="0" distR="0" wp14:anchorId="65552CE4" wp14:editId="0FA80910">
            <wp:extent cx="5036185" cy="1276350"/>
            <wp:effectExtent l="0" t="0" r="0" b="0"/>
            <wp:docPr id="2199" name="図 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6185" cy="1276350"/>
                    </a:xfrm>
                    <a:prstGeom prst="rect">
                      <a:avLst/>
                    </a:prstGeom>
                    <a:noFill/>
                    <a:ln>
                      <a:noFill/>
                    </a:ln>
                  </pic:spPr>
                </pic:pic>
              </a:graphicData>
            </a:graphic>
          </wp:inline>
        </w:drawing>
      </w:r>
    </w:p>
    <w:p w:rsidR="00F26449" w:rsidRPr="00162A79" w:rsidRDefault="00F26449" w:rsidP="002A5CA6">
      <w:pPr>
        <w:rPr>
          <w:lang w:eastAsia="ja-JP"/>
        </w:rPr>
      </w:pPr>
      <w:r w:rsidRPr="00162A79">
        <w:rPr>
          <w:lang w:eastAsia="ja-JP"/>
        </w:rPr>
        <w:t xml:space="preserve">In order to avoid collision between OBE to OBE, </w:t>
      </w:r>
      <w:proofErr w:type="spellStart"/>
      <w:r w:rsidRPr="00162A79">
        <w:rPr>
          <w:lang w:eastAsia="ja-JP"/>
        </w:rPr>
        <w:t>CSMA</w:t>
      </w:r>
      <w:proofErr w:type="spellEnd"/>
      <w:r w:rsidRPr="00162A79">
        <w:rPr>
          <w:lang w:eastAsia="ja-JP"/>
        </w:rPr>
        <w:t>/CA protocol is used.</w:t>
      </w:r>
    </w:p>
    <w:p w:rsidR="00F26449" w:rsidRPr="00162A79" w:rsidRDefault="00F26449" w:rsidP="00C91CAA">
      <w:pPr>
        <w:pStyle w:val="Heading2"/>
      </w:pPr>
      <w:bookmarkStart w:id="26" w:name="_Toc514254838"/>
      <w:bookmarkStart w:id="27" w:name="_Toc515525407"/>
      <w:bookmarkStart w:id="28" w:name="_Toc483990105"/>
      <w:r w:rsidRPr="00162A79">
        <w:rPr>
          <w:lang w:eastAsia="ja-JP"/>
        </w:rPr>
        <w:t>3.2</w:t>
      </w:r>
      <w:r w:rsidRPr="00162A79">
        <w:rPr>
          <w:lang w:eastAsia="ja-JP"/>
        </w:rPr>
        <w:tab/>
        <w:t xml:space="preserve">Frequency use in </w:t>
      </w:r>
      <w:r w:rsidRPr="00162A79">
        <w:t>Korea</w:t>
      </w:r>
      <w:bookmarkEnd w:id="26"/>
      <w:bookmarkEnd w:id="27"/>
    </w:p>
    <w:p w:rsidR="00F26449" w:rsidRPr="00162A79" w:rsidRDefault="00F26449" w:rsidP="005E7B9F">
      <w:pPr>
        <w:rPr>
          <w:snapToGrid w:val="0"/>
        </w:rPr>
      </w:pPr>
      <w:proofErr w:type="spellStart"/>
      <w:r w:rsidRPr="00162A79">
        <w:rPr>
          <w:rFonts w:eastAsiaTheme="minorEastAsia"/>
        </w:rPr>
        <w:t>V2X</w:t>
      </w:r>
      <w:proofErr w:type="spellEnd"/>
      <w:r w:rsidRPr="00162A79">
        <w:rPr>
          <w:rFonts w:eastAsiaTheme="minorEastAsia"/>
        </w:rPr>
        <w:t xml:space="preserve"> communication technology has been developed for vehicle safety and Cooperative ITS applications</w:t>
      </w:r>
      <w:bookmarkStart w:id="29" w:name="#7c46fe70"/>
      <w:bookmarkEnd w:id="29"/>
      <w:r w:rsidRPr="00162A79">
        <w:rPr>
          <w:rFonts w:eastAsiaTheme="minorEastAsia"/>
        </w:rPr>
        <w:t>.</w:t>
      </w:r>
    </w:p>
    <w:p w:rsidR="00F26449" w:rsidRPr="00162A79" w:rsidRDefault="00F26449" w:rsidP="005E7B9F">
      <w:pPr>
        <w:rPr>
          <w:snapToGrid w:val="0"/>
          <w:lang w:eastAsia="ko-KR"/>
        </w:rPr>
      </w:pPr>
      <w:r w:rsidRPr="00162A79">
        <w:rPr>
          <w:snapToGrid w:val="0"/>
          <w:lang w:eastAsia="ko-KR"/>
        </w:rPr>
        <w:t>In the Republic of Korea, the frequency band is 5 855-5 925 MHz for C-ITS (</w:t>
      </w:r>
      <w:proofErr w:type="spellStart"/>
      <w:r w:rsidRPr="00162A79">
        <w:rPr>
          <w:snapToGrid w:val="0"/>
          <w:lang w:eastAsia="ko-KR"/>
        </w:rPr>
        <w:t>V2V</w:t>
      </w:r>
      <w:proofErr w:type="spellEnd"/>
      <w:r w:rsidRPr="00162A79">
        <w:rPr>
          <w:snapToGrid w:val="0"/>
          <w:lang w:eastAsia="ko-KR"/>
        </w:rPr>
        <w:t xml:space="preserve"> and </w:t>
      </w:r>
      <w:proofErr w:type="spellStart"/>
      <w:r w:rsidRPr="00162A79">
        <w:rPr>
          <w:snapToGrid w:val="0"/>
          <w:lang w:eastAsia="ko-KR"/>
        </w:rPr>
        <w:t>V2I</w:t>
      </w:r>
      <w:proofErr w:type="spellEnd"/>
      <w:r w:rsidRPr="00162A79">
        <w:rPr>
          <w:snapToGrid w:val="0"/>
          <w:lang w:eastAsia="ko-KR"/>
        </w:rPr>
        <w:t xml:space="preserve"> communications) and can use 7 radio frequency channel with 10</w:t>
      </w:r>
      <w:r w:rsidR="00107330">
        <w:rPr>
          <w:snapToGrid w:val="0"/>
          <w:lang w:eastAsia="ko-KR"/>
        </w:rPr>
        <w:t> </w:t>
      </w:r>
      <w:r w:rsidRPr="00162A79">
        <w:rPr>
          <w:snapToGrid w:val="0"/>
          <w:lang w:eastAsia="ko-KR"/>
        </w:rPr>
        <w:t>MHz channel bandwidth as shown in Table 5. In channel operation, control channel uses 5 895-5 905 MHz radio cannel and the other 6 radio channel can be used for service channel. Also, the each RF channel has 20</w:t>
      </w:r>
      <w:r w:rsidR="00107330">
        <w:rPr>
          <w:snapToGrid w:val="0"/>
          <w:lang w:eastAsia="ko-KR"/>
        </w:rPr>
        <w:t> </w:t>
      </w:r>
      <w:proofErr w:type="spellStart"/>
      <w:r w:rsidRPr="00162A79">
        <w:rPr>
          <w:snapToGrid w:val="0"/>
          <w:lang w:eastAsia="ko-KR"/>
        </w:rPr>
        <w:t>dBm</w:t>
      </w:r>
      <w:proofErr w:type="spellEnd"/>
      <w:r w:rsidRPr="00162A79">
        <w:rPr>
          <w:snapToGrid w:val="0"/>
          <w:lang w:eastAsia="ko-KR"/>
        </w:rPr>
        <w:t xml:space="preserve"> in radio transmit power level. </w:t>
      </w:r>
    </w:p>
    <w:p w:rsidR="00F26449" w:rsidRPr="00162A79" w:rsidRDefault="00F26449" w:rsidP="005E7B9F">
      <w:pPr>
        <w:pStyle w:val="TableNo"/>
        <w:spacing w:before="360"/>
        <w:rPr>
          <w:rFonts w:eastAsiaTheme="minorEastAsia"/>
          <w:lang w:eastAsia="ko-KR"/>
        </w:rPr>
      </w:pPr>
      <w:r w:rsidRPr="00162A79">
        <w:rPr>
          <w:rFonts w:eastAsiaTheme="minorEastAsia"/>
          <w:lang w:eastAsia="ko-KR"/>
        </w:rPr>
        <w:t xml:space="preserve">TABLE 5 </w:t>
      </w:r>
    </w:p>
    <w:p w:rsidR="00F26449" w:rsidRPr="00162A79" w:rsidRDefault="00F26449" w:rsidP="005E7B9F">
      <w:pPr>
        <w:pStyle w:val="Tabletitle"/>
        <w:rPr>
          <w:rFonts w:eastAsiaTheme="minorEastAsia"/>
          <w:lang w:eastAsia="ko-KR"/>
        </w:rPr>
      </w:pPr>
      <w:r w:rsidRPr="00162A79">
        <w:rPr>
          <w:rFonts w:eastAsiaTheme="minorEastAsia"/>
          <w:lang w:eastAsia="ko-KR"/>
        </w:rPr>
        <w:t xml:space="preserve">Radio channel assignment for ITS in Korea </w:t>
      </w:r>
    </w:p>
    <w:tbl>
      <w:tblPr>
        <w:tblW w:w="6560" w:type="dxa"/>
        <w:jc w:val="center"/>
        <w:tblLayout w:type="fixed"/>
        <w:tblCellMar>
          <w:top w:w="15" w:type="dxa"/>
          <w:left w:w="15" w:type="dxa"/>
          <w:bottom w:w="15" w:type="dxa"/>
          <w:right w:w="15" w:type="dxa"/>
        </w:tblCellMar>
        <w:tblLook w:val="0000" w:firstRow="0" w:lastRow="0" w:firstColumn="0" w:lastColumn="0" w:noHBand="0" w:noVBand="0"/>
      </w:tblPr>
      <w:tblGrid>
        <w:gridCol w:w="1883"/>
        <w:gridCol w:w="2409"/>
        <w:gridCol w:w="2268"/>
      </w:tblGrid>
      <w:tr w:rsidR="00F26449" w:rsidRPr="00162A79" w:rsidTr="00C91CAA">
        <w:trPr>
          <w:trHeight w:val="603"/>
          <w:jc w:val="center"/>
        </w:trPr>
        <w:tc>
          <w:tcPr>
            <w:tcW w:w="188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26449" w:rsidRPr="00162A79" w:rsidRDefault="00F26449" w:rsidP="00C91CAA">
            <w:pPr>
              <w:pStyle w:val="Tablehead"/>
              <w:rPr>
                <w:rFonts w:eastAsia="BatangChe"/>
                <w:szCs w:val="24"/>
              </w:rPr>
            </w:pPr>
            <w:r w:rsidRPr="00162A79">
              <w:rPr>
                <w:rFonts w:eastAsia="Gulim"/>
                <w:lang w:eastAsia="ko-KR"/>
              </w:rPr>
              <w:t xml:space="preserve">Channel </w:t>
            </w:r>
            <w:r w:rsidR="003C184D" w:rsidRPr="00162A79">
              <w:rPr>
                <w:rFonts w:eastAsia="Gulim"/>
                <w:lang w:eastAsia="ko-KR"/>
              </w:rPr>
              <w:t>number</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26449" w:rsidRPr="00162A79" w:rsidRDefault="00F26449" w:rsidP="00C91CAA">
            <w:pPr>
              <w:pStyle w:val="Tablehead"/>
              <w:rPr>
                <w:rFonts w:eastAsia="BatangChe"/>
                <w:szCs w:val="24"/>
              </w:rPr>
            </w:pPr>
            <w:r w:rsidRPr="00162A79">
              <w:rPr>
                <w:rFonts w:eastAsia="BatangChe"/>
                <w:szCs w:val="24"/>
              </w:rPr>
              <w:t xml:space="preserve">Frequency </w:t>
            </w:r>
            <w:r w:rsidR="003C184D" w:rsidRPr="00162A79">
              <w:rPr>
                <w:rFonts w:eastAsia="Gulim"/>
                <w:lang w:eastAsia="ko-KR"/>
              </w:rPr>
              <w:t>band</w:t>
            </w:r>
            <w:r w:rsidR="003C184D">
              <w:rPr>
                <w:rFonts w:eastAsia="Gulim"/>
                <w:lang w:eastAsia="ko-KR"/>
              </w:rPr>
              <w:t xml:space="preserve"> </w:t>
            </w:r>
            <w:r w:rsidRPr="00162A79">
              <w:rPr>
                <w:rFonts w:eastAsia="Gulim"/>
                <w:lang w:eastAsia="ko-KR"/>
              </w:rPr>
              <w:t>(MHz)</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F26449" w:rsidRPr="00162A79" w:rsidRDefault="00F26449" w:rsidP="00C91CAA">
            <w:pPr>
              <w:pStyle w:val="Tablehead"/>
              <w:rPr>
                <w:rFonts w:eastAsia="BatangChe"/>
                <w:szCs w:val="24"/>
              </w:rPr>
            </w:pPr>
            <w:r w:rsidRPr="00162A79">
              <w:rPr>
                <w:rFonts w:eastAsia="Gulim"/>
                <w:lang w:eastAsia="ko-KR"/>
              </w:rPr>
              <w:t xml:space="preserve">Channel </w:t>
            </w:r>
            <w:r w:rsidR="003C184D" w:rsidRPr="00162A79">
              <w:rPr>
                <w:rFonts w:eastAsia="Gulim"/>
                <w:lang w:eastAsia="ko-KR"/>
              </w:rPr>
              <w:t>usage</w:t>
            </w:r>
          </w:p>
        </w:tc>
      </w:tr>
      <w:tr w:rsidR="00F26449" w:rsidRPr="00162A79" w:rsidTr="00C91CA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C91CAA">
            <w:pPr>
              <w:pStyle w:val="Tabletext"/>
              <w:jc w:val="center"/>
              <w:rPr>
                <w:rFonts w:eastAsia="Gulim"/>
                <w:lang w:eastAsia="ko-KR"/>
              </w:rPr>
            </w:pPr>
            <w:r w:rsidRPr="00162A79">
              <w:rPr>
                <w:rFonts w:eastAsia="Gulim"/>
                <w:lang w:eastAsia="ko-KR"/>
              </w:rPr>
              <w:t>1</w:t>
            </w:r>
          </w:p>
        </w:tc>
        <w:tc>
          <w:tcPr>
            <w:tcW w:w="2409"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3C184D">
            <w:pPr>
              <w:pStyle w:val="Tabletext"/>
              <w:jc w:val="center"/>
              <w:rPr>
                <w:rFonts w:eastAsia="Gulim"/>
                <w:lang w:eastAsia="ko-KR"/>
              </w:rPr>
            </w:pPr>
            <w:r w:rsidRPr="00162A79">
              <w:rPr>
                <w:rFonts w:eastAsia="Gulim"/>
                <w:lang w:eastAsia="ko-KR"/>
              </w:rPr>
              <w:t>5 855</w:t>
            </w:r>
            <w:r w:rsidR="003C184D">
              <w:rPr>
                <w:rFonts w:eastAsia="Gulim"/>
                <w:lang w:eastAsia="ko-KR"/>
              </w:rPr>
              <w:t>-</w:t>
            </w:r>
            <w:r w:rsidRPr="00162A79">
              <w:rPr>
                <w:rFonts w:eastAsia="Gulim"/>
                <w:lang w:eastAsia="ko-KR"/>
              </w:rPr>
              <w:t>5 865</w:t>
            </w:r>
          </w:p>
        </w:tc>
        <w:tc>
          <w:tcPr>
            <w:tcW w:w="2268"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C91CAA">
            <w:pPr>
              <w:pStyle w:val="Tabletext"/>
              <w:jc w:val="center"/>
              <w:rPr>
                <w:rFonts w:eastAsia="Gulim"/>
                <w:lang w:eastAsia="ko-KR"/>
              </w:rPr>
            </w:pPr>
            <w:r w:rsidRPr="00162A79">
              <w:rPr>
                <w:rFonts w:eastAsia="Gulim"/>
                <w:lang w:eastAsia="ko-KR"/>
              </w:rPr>
              <w:t>Service Channel</w:t>
            </w:r>
          </w:p>
        </w:tc>
      </w:tr>
      <w:tr w:rsidR="00F26449" w:rsidRPr="00162A79" w:rsidTr="00C91CA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C91CAA">
            <w:pPr>
              <w:pStyle w:val="Tabletext"/>
              <w:jc w:val="center"/>
              <w:rPr>
                <w:rFonts w:eastAsia="Gulim"/>
                <w:lang w:eastAsia="ko-KR"/>
              </w:rPr>
            </w:pPr>
            <w:r w:rsidRPr="00162A79">
              <w:rPr>
                <w:rFonts w:eastAsia="Gulim"/>
                <w:lang w:eastAsia="ko-KR"/>
              </w:rPr>
              <w:t>2</w:t>
            </w:r>
          </w:p>
        </w:tc>
        <w:tc>
          <w:tcPr>
            <w:tcW w:w="2409"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3C184D">
            <w:pPr>
              <w:pStyle w:val="Tabletext"/>
              <w:jc w:val="center"/>
              <w:rPr>
                <w:rFonts w:eastAsia="Gulim"/>
                <w:lang w:eastAsia="ko-KR"/>
              </w:rPr>
            </w:pPr>
            <w:r w:rsidRPr="00162A79">
              <w:rPr>
                <w:rFonts w:eastAsia="Gulim"/>
                <w:lang w:eastAsia="ko-KR"/>
              </w:rPr>
              <w:t>5 865-5 875</w:t>
            </w:r>
          </w:p>
        </w:tc>
        <w:tc>
          <w:tcPr>
            <w:tcW w:w="2268" w:type="dxa"/>
            <w:tcBorders>
              <w:top w:val="single" w:sz="6" w:space="0" w:color="000000"/>
              <w:left w:val="single" w:sz="6" w:space="0" w:color="000000"/>
              <w:bottom w:val="single" w:sz="6" w:space="0" w:color="000000"/>
              <w:right w:val="single" w:sz="6" w:space="0" w:color="000000"/>
            </w:tcBorders>
          </w:tcPr>
          <w:p w:rsidR="00F26449" w:rsidRPr="00162A79" w:rsidRDefault="00F26449" w:rsidP="00C91CAA">
            <w:pPr>
              <w:pStyle w:val="Tabletext"/>
              <w:jc w:val="center"/>
            </w:pPr>
            <w:r w:rsidRPr="00162A79">
              <w:rPr>
                <w:rFonts w:eastAsia="Gulim"/>
                <w:lang w:eastAsia="ko-KR"/>
              </w:rPr>
              <w:t>Service Channel</w:t>
            </w:r>
          </w:p>
        </w:tc>
      </w:tr>
      <w:tr w:rsidR="00F26449" w:rsidRPr="00162A79" w:rsidTr="00C91CA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C91CAA">
            <w:pPr>
              <w:pStyle w:val="Tabletext"/>
              <w:jc w:val="center"/>
              <w:rPr>
                <w:rFonts w:eastAsia="Gulim"/>
                <w:lang w:eastAsia="ko-KR"/>
              </w:rPr>
            </w:pPr>
            <w:r w:rsidRPr="00162A79">
              <w:rPr>
                <w:rFonts w:eastAsia="Gulim"/>
                <w:lang w:eastAsia="ko-KR"/>
              </w:rPr>
              <w:t>3</w:t>
            </w:r>
          </w:p>
        </w:tc>
        <w:tc>
          <w:tcPr>
            <w:tcW w:w="2409"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3C184D">
            <w:pPr>
              <w:pStyle w:val="Tabletext"/>
              <w:jc w:val="center"/>
              <w:rPr>
                <w:rFonts w:eastAsia="Gulim"/>
                <w:lang w:eastAsia="ko-KR"/>
              </w:rPr>
            </w:pPr>
            <w:r w:rsidRPr="00162A79">
              <w:rPr>
                <w:rFonts w:eastAsia="Gulim"/>
                <w:lang w:eastAsia="ko-KR"/>
              </w:rPr>
              <w:t>5 875-5 885</w:t>
            </w:r>
          </w:p>
        </w:tc>
        <w:tc>
          <w:tcPr>
            <w:tcW w:w="2268" w:type="dxa"/>
            <w:tcBorders>
              <w:top w:val="single" w:sz="6" w:space="0" w:color="000000"/>
              <w:left w:val="single" w:sz="6" w:space="0" w:color="000000"/>
              <w:bottom w:val="single" w:sz="6" w:space="0" w:color="000000"/>
              <w:right w:val="single" w:sz="6" w:space="0" w:color="000000"/>
            </w:tcBorders>
          </w:tcPr>
          <w:p w:rsidR="00F26449" w:rsidRPr="00162A79" w:rsidRDefault="00F26449" w:rsidP="00C91CAA">
            <w:pPr>
              <w:pStyle w:val="Tabletext"/>
              <w:jc w:val="center"/>
            </w:pPr>
            <w:r w:rsidRPr="00162A79">
              <w:rPr>
                <w:rFonts w:eastAsia="Gulim"/>
                <w:lang w:eastAsia="ko-KR"/>
              </w:rPr>
              <w:t>Service Channel</w:t>
            </w:r>
          </w:p>
        </w:tc>
      </w:tr>
      <w:tr w:rsidR="00F26449" w:rsidRPr="00162A79" w:rsidTr="00C91CA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C91CAA">
            <w:pPr>
              <w:pStyle w:val="Tabletext"/>
              <w:jc w:val="center"/>
              <w:rPr>
                <w:rFonts w:eastAsia="Gulim"/>
                <w:lang w:eastAsia="ko-KR"/>
              </w:rPr>
            </w:pPr>
            <w:r w:rsidRPr="00162A79">
              <w:rPr>
                <w:rFonts w:eastAsia="Gulim"/>
                <w:lang w:eastAsia="ko-KR"/>
              </w:rPr>
              <w:t>4</w:t>
            </w:r>
          </w:p>
        </w:tc>
        <w:tc>
          <w:tcPr>
            <w:tcW w:w="2409"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3C184D">
            <w:pPr>
              <w:pStyle w:val="Tabletext"/>
              <w:jc w:val="center"/>
              <w:rPr>
                <w:rFonts w:eastAsia="Gulim"/>
                <w:lang w:eastAsia="ko-KR"/>
              </w:rPr>
            </w:pPr>
            <w:r w:rsidRPr="00162A79">
              <w:rPr>
                <w:rFonts w:eastAsia="Gulim"/>
                <w:lang w:eastAsia="ko-KR"/>
              </w:rPr>
              <w:t>5 885-5 895</w:t>
            </w:r>
          </w:p>
        </w:tc>
        <w:tc>
          <w:tcPr>
            <w:tcW w:w="2268" w:type="dxa"/>
            <w:tcBorders>
              <w:top w:val="single" w:sz="6" w:space="0" w:color="000000"/>
              <w:left w:val="single" w:sz="6" w:space="0" w:color="000000"/>
              <w:bottom w:val="single" w:sz="6" w:space="0" w:color="000000"/>
              <w:right w:val="single" w:sz="6" w:space="0" w:color="000000"/>
            </w:tcBorders>
          </w:tcPr>
          <w:p w:rsidR="00F26449" w:rsidRPr="00162A79" w:rsidRDefault="00F26449" w:rsidP="00C91CAA">
            <w:pPr>
              <w:pStyle w:val="Tabletext"/>
              <w:jc w:val="center"/>
            </w:pPr>
            <w:r w:rsidRPr="00162A79">
              <w:rPr>
                <w:rFonts w:eastAsia="Gulim"/>
                <w:lang w:eastAsia="ko-KR"/>
              </w:rPr>
              <w:t>Service Channel</w:t>
            </w:r>
          </w:p>
        </w:tc>
      </w:tr>
      <w:tr w:rsidR="00F26449" w:rsidRPr="00162A79" w:rsidTr="00C91CA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C91CAA">
            <w:pPr>
              <w:pStyle w:val="Tabletext"/>
              <w:jc w:val="center"/>
              <w:rPr>
                <w:rFonts w:eastAsia="Gulim"/>
                <w:lang w:eastAsia="ko-KR"/>
              </w:rPr>
            </w:pPr>
            <w:r w:rsidRPr="00162A79">
              <w:rPr>
                <w:rFonts w:eastAsia="Gulim"/>
              </w:rPr>
              <w:t>5</w:t>
            </w:r>
          </w:p>
        </w:tc>
        <w:tc>
          <w:tcPr>
            <w:tcW w:w="2409"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3C184D">
            <w:pPr>
              <w:pStyle w:val="Tabletext"/>
              <w:jc w:val="center"/>
              <w:rPr>
                <w:rFonts w:eastAsia="Gulim"/>
                <w:lang w:eastAsia="ko-KR"/>
              </w:rPr>
            </w:pPr>
            <w:r w:rsidRPr="00162A79">
              <w:rPr>
                <w:rFonts w:eastAsia="Gulim"/>
                <w:lang w:eastAsia="ko-KR"/>
              </w:rPr>
              <w:t>5 895-5 905</w:t>
            </w:r>
          </w:p>
        </w:tc>
        <w:tc>
          <w:tcPr>
            <w:tcW w:w="2268"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C91CAA">
            <w:pPr>
              <w:pStyle w:val="Tabletext"/>
              <w:jc w:val="center"/>
              <w:rPr>
                <w:rFonts w:eastAsia="Gulim"/>
                <w:lang w:eastAsia="ko-KR"/>
              </w:rPr>
            </w:pPr>
            <w:r w:rsidRPr="00162A79">
              <w:rPr>
                <w:rFonts w:eastAsia="Gulim"/>
                <w:lang w:eastAsia="ko-KR"/>
              </w:rPr>
              <w:t>Control Channel</w:t>
            </w:r>
          </w:p>
        </w:tc>
      </w:tr>
      <w:tr w:rsidR="00F26449" w:rsidRPr="00162A79" w:rsidTr="00C91CA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C91CAA">
            <w:pPr>
              <w:pStyle w:val="Tabletext"/>
              <w:jc w:val="center"/>
              <w:rPr>
                <w:rFonts w:eastAsia="Gulim"/>
                <w:lang w:eastAsia="ko-KR"/>
              </w:rPr>
            </w:pPr>
            <w:r w:rsidRPr="00162A79">
              <w:rPr>
                <w:rFonts w:eastAsia="Gulim"/>
                <w:lang w:eastAsia="ko-KR"/>
              </w:rPr>
              <w:t>6</w:t>
            </w:r>
          </w:p>
        </w:tc>
        <w:tc>
          <w:tcPr>
            <w:tcW w:w="2409"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3C184D">
            <w:pPr>
              <w:pStyle w:val="Tabletext"/>
              <w:jc w:val="center"/>
              <w:rPr>
                <w:rFonts w:eastAsia="Gulim"/>
                <w:lang w:eastAsia="ko-KR"/>
              </w:rPr>
            </w:pPr>
            <w:r w:rsidRPr="00162A79">
              <w:rPr>
                <w:rFonts w:eastAsia="Gulim"/>
                <w:lang w:eastAsia="ko-KR"/>
              </w:rPr>
              <w:t>5 905-5 915</w:t>
            </w:r>
          </w:p>
        </w:tc>
        <w:tc>
          <w:tcPr>
            <w:tcW w:w="2268" w:type="dxa"/>
            <w:tcBorders>
              <w:top w:val="single" w:sz="6" w:space="0" w:color="000000"/>
              <w:left w:val="single" w:sz="6" w:space="0" w:color="000000"/>
              <w:bottom w:val="single" w:sz="6" w:space="0" w:color="000000"/>
              <w:right w:val="single" w:sz="6" w:space="0" w:color="000000"/>
            </w:tcBorders>
          </w:tcPr>
          <w:p w:rsidR="00F26449" w:rsidRPr="00162A79" w:rsidRDefault="00F26449" w:rsidP="00C91CAA">
            <w:pPr>
              <w:pStyle w:val="Tabletext"/>
              <w:jc w:val="center"/>
            </w:pPr>
            <w:r w:rsidRPr="00162A79">
              <w:rPr>
                <w:rFonts w:eastAsia="Gulim"/>
                <w:lang w:eastAsia="ko-KR"/>
              </w:rPr>
              <w:t>Service Channel</w:t>
            </w:r>
          </w:p>
        </w:tc>
      </w:tr>
      <w:tr w:rsidR="00F26449" w:rsidRPr="00162A79" w:rsidTr="00C91CAA">
        <w:trPr>
          <w:jc w:val="center"/>
        </w:trPr>
        <w:tc>
          <w:tcPr>
            <w:tcW w:w="1883"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C91CAA">
            <w:pPr>
              <w:pStyle w:val="Tabletext"/>
              <w:jc w:val="center"/>
              <w:rPr>
                <w:rFonts w:eastAsia="Gulim"/>
                <w:lang w:eastAsia="ko-KR"/>
              </w:rPr>
            </w:pPr>
            <w:r w:rsidRPr="00162A79">
              <w:rPr>
                <w:rFonts w:eastAsia="Gulim"/>
                <w:lang w:eastAsia="ko-KR"/>
              </w:rPr>
              <w:t>7</w:t>
            </w:r>
          </w:p>
        </w:tc>
        <w:tc>
          <w:tcPr>
            <w:tcW w:w="2409" w:type="dxa"/>
            <w:tcBorders>
              <w:top w:val="single" w:sz="6" w:space="0" w:color="000000"/>
              <w:left w:val="single" w:sz="6" w:space="0" w:color="000000"/>
              <w:bottom w:val="single" w:sz="6" w:space="0" w:color="000000"/>
              <w:right w:val="single" w:sz="6" w:space="0" w:color="000000"/>
            </w:tcBorders>
            <w:vAlign w:val="center"/>
          </w:tcPr>
          <w:p w:rsidR="00F26449" w:rsidRPr="00162A79" w:rsidRDefault="00F26449" w:rsidP="003C184D">
            <w:pPr>
              <w:pStyle w:val="Tabletext"/>
              <w:jc w:val="center"/>
              <w:rPr>
                <w:rFonts w:eastAsia="BatangChe"/>
                <w:szCs w:val="24"/>
              </w:rPr>
            </w:pPr>
            <w:r w:rsidRPr="00162A79">
              <w:rPr>
                <w:rFonts w:eastAsia="Gulim"/>
                <w:lang w:eastAsia="ko-KR"/>
              </w:rPr>
              <w:t>5 915-5 925</w:t>
            </w:r>
          </w:p>
        </w:tc>
        <w:tc>
          <w:tcPr>
            <w:tcW w:w="2268" w:type="dxa"/>
            <w:tcBorders>
              <w:top w:val="single" w:sz="6" w:space="0" w:color="000000"/>
              <w:left w:val="single" w:sz="6" w:space="0" w:color="000000"/>
              <w:bottom w:val="single" w:sz="6" w:space="0" w:color="000000"/>
              <w:right w:val="single" w:sz="6" w:space="0" w:color="000000"/>
            </w:tcBorders>
          </w:tcPr>
          <w:p w:rsidR="00F26449" w:rsidRPr="00162A79" w:rsidRDefault="00F26449" w:rsidP="00C91CAA">
            <w:pPr>
              <w:pStyle w:val="Tabletext"/>
              <w:jc w:val="center"/>
            </w:pPr>
            <w:r w:rsidRPr="00162A79">
              <w:rPr>
                <w:rFonts w:eastAsia="Gulim"/>
                <w:lang w:eastAsia="ko-KR"/>
              </w:rPr>
              <w:t>Service Channel</w:t>
            </w:r>
          </w:p>
        </w:tc>
      </w:tr>
    </w:tbl>
    <w:p w:rsidR="00682954" w:rsidRPr="00162A79" w:rsidRDefault="00682954" w:rsidP="00682954">
      <w:pPr>
        <w:pStyle w:val="Tablefin"/>
        <w:rPr>
          <w:lang w:val="en-GB"/>
        </w:rPr>
      </w:pPr>
      <w:bookmarkStart w:id="30" w:name="_Toc514254839"/>
    </w:p>
    <w:p w:rsidR="00F26449" w:rsidRPr="00162A79" w:rsidRDefault="00F26449" w:rsidP="00C91CAA">
      <w:pPr>
        <w:pStyle w:val="Heading2"/>
      </w:pPr>
      <w:bookmarkStart w:id="31" w:name="_Toc515525408"/>
      <w:r w:rsidRPr="00162A79">
        <w:rPr>
          <w:lang w:eastAsia="ja-JP"/>
        </w:rPr>
        <w:t>3.3</w:t>
      </w:r>
      <w:r w:rsidRPr="00162A79">
        <w:rPr>
          <w:lang w:eastAsia="ja-JP"/>
        </w:rPr>
        <w:tab/>
        <w:t xml:space="preserve">Frequency use in </w:t>
      </w:r>
      <w:r w:rsidRPr="00162A79">
        <w:t>Singapore</w:t>
      </w:r>
      <w:bookmarkEnd w:id="30"/>
      <w:bookmarkEnd w:id="31"/>
    </w:p>
    <w:p w:rsidR="00F26449" w:rsidRPr="00162A79" w:rsidRDefault="00F26449" w:rsidP="005E7B9F">
      <w:pPr>
        <w:rPr>
          <w:rFonts w:eastAsia="BatangChe"/>
          <w:snapToGrid w:val="0"/>
        </w:rPr>
      </w:pPr>
      <w:r w:rsidRPr="00162A79">
        <w:rPr>
          <w:rFonts w:eastAsia="BatangChe"/>
          <w:snapToGrid w:val="0"/>
        </w:rPr>
        <w:t>The frequency band 5 855-5 925 MHz for ITS applications is split into channels with a bandwidth of 10 MHz per channel. The ITS service channelling arrangements and the RF transmit power could be found in Table 6 below.</w:t>
      </w:r>
    </w:p>
    <w:p w:rsidR="00F26449" w:rsidRPr="00162A79" w:rsidRDefault="00F26449" w:rsidP="005E7B9F">
      <w:pPr>
        <w:pStyle w:val="TableNo"/>
      </w:pPr>
      <w:r w:rsidRPr="00162A79">
        <w:t xml:space="preserve">TABLE 6 </w:t>
      </w:r>
    </w:p>
    <w:p w:rsidR="00F26449" w:rsidRPr="00162A79" w:rsidRDefault="00F26449" w:rsidP="005E7B9F">
      <w:pPr>
        <w:pStyle w:val="Tabletitle"/>
      </w:pPr>
      <w:r w:rsidRPr="00162A79">
        <w:t>Singapore its service channel allocation</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063"/>
        <w:gridCol w:w="2795"/>
        <w:gridCol w:w="2684"/>
      </w:tblGrid>
      <w:tr w:rsidR="00F26449" w:rsidRPr="00162A79" w:rsidTr="00107330">
        <w:trPr>
          <w:jc w:val="center"/>
        </w:trPr>
        <w:tc>
          <w:tcPr>
            <w:tcW w:w="4063" w:type="dxa"/>
            <w:tcBorders>
              <w:top w:val="single" w:sz="4" w:space="0" w:color="auto"/>
              <w:left w:val="single" w:sz="4" w:space="0" w:color="auto"/>
              <w:bottom w:val="single" w:sz="4" w:space="0" w:color="auto"/>
              <w:right w:val="single" w:sz="4" w:space="0" w:color="auto"/>
            </w:tcBorders>
            <w:vAlign w:val="center"/>
          </w:tcPr>
          <w:p w:rsidR="00F26449" w:rsidRPr="00162A79" w:rsidRDefault="00F26449" w:rsidP="00107330">
            <w:pPr>
              <w:pStyle w:val="Tablehead"/>
              <w:keepLines/>
            </w:pPr>
          </w:p>
        </w:tc>
        <w:tc>
          <w:tcPr>
            <w:tcW w:w="2795" w:type="dxa"/>
            <w:tcBorders>
              <w:top w:val="single" w:sz="4" w:space="0" w:color="auto"/>
              <w:left w:val="single" w:sz="4" w:space="0" w:color="auto"/>
              <w:bottom w:val="single" w:sz="4" w:space="0" w:color="auto"/>
              <w:right w:val="single" w:sz="4" w:space="0" w:color="auto"/>
            </w:tcBorders>
            <w:vAlign w:val="center"/>
            <w:hideMark/>
          </w:tcPr>
          <w:p w:rsidR="00F26449" w:rsidRPr="00162A79" w:rsidRDefault="00F26449" w:rsidP="00107330">
            <w:pPr>
              <w:pStyle w:val="Tablehead"/>
              <w:keepLines/>
            </w:pPr>
            <w:r w:rsidRPr="00162A79">
              <w:t>Channel type</w:t>
            </w:r>
          </w:p>
        </w:tc>
        <w:tc>
          <w:tcPr>
            <w:tcW w:w="2684" w:type="dxa"/>
            <w:tcBorders>
              <w:top w:val="single" w:sz="4" w:space="0" w:color="auto"/>
              <w:left w:val="single" w:sz="4" w:space="0" w:color="auto"/>
              <w:bottom w:val="single" w:sz="4" w:space="0" w:color="auto"/>
              <w:right w:val="single" w:sz="4" w:space="0" w:color="auto"/>
            </w:tcBorders>
            <w:vAlign w:val="center"/>
            <w:hideMark/>
          </w:tcPr>
          <w:p w:rsidR="00F26449" w:rsidRPr="00162A79" w:rsidRDefault="00F26449" w:rsidP="00107330">
            <w:pPr>
              <w:pStyle w:val="Tablehead"/>
              <w:keepLines/>
            </w:pPr>
            <w:r w:rsidRPr="00162A79">
              <w:t xml:space="preserve">Frequency range </w:t>
            </w:r>
            <w:r w:rsidRPr="00162A79">
              <w:br/>
              <w:t>[MHz]</w:t>
            </w:r>
          </w:p>
        </w:tc>
      </w:tr>
      <w:tr w:rsidR="00F26449" w:rsidRPr="00162A79" w:rsidTr="00C91CAA">
        <w:trPr>
          <w:jc w:val="center"/>
        </w:trPr>
        <w:tc>
          <w:tcPr>
            <w:tcW w:w="4063" w:type="dxa"/>
            <w:vMerge w:val="restart"/>
            <w:tcBorders>
              <w:top w:val="single" w:sz="4" w:space="0" w:color="auto"/>
              <w:left w:val="single" w:sz="4" w:space="0" w:color="auto"/>
              <w:bottom w:val="single" w:sz="4" w:space="0" w:color="auto"/>
              <w:right w:val="single" w:sz="4" w:space="0" w:color="auto"/>
            </w:tcBorders>
            <w:hideMark/>
          </w:tcPr>
          <w:p w:rsidR="00F26449" w:rsidRPr="00162A79" w:rsidRDefault="00F26449" w:rsidP="003C184D">
            <w:pPr>
              <w:pStyle w:val="Tabletext"/>
              <w:keepNext/>
              <w:keepLines/>
            </w:pPr>
            <w:r w:rsidRPr="00162A79">
              <w:t xml:space="preserve">Non-Safety related </w:t>
            </w:r>
          </w:p>
        </w:tc>
        <w:tc>
          <w:tcPr>
            <w:tcW w:w="2795" w:type="dxa"/>
            <w:tcBorders>
              <w:top w:val="single" w:sz="4" w:space="0" w:color="auto"/>
              <w:left w:val="single" w:sz="4" w:space="0" w:color="auto"/>
              <w:bottom w:val="single" w:sz="4" w:space="0" w:color="auto"/>
              <w:right w:val="single" w:sz="4" w:space="0" w:color="auto"/>
            </w:tcBorders>
            <w:hideMark/>
          </w:tcPr>
          <w:p w:rsidR="00F26449" w:rsidRPr="00162A79" w:rsidRDefault="00F26449" w:rsidP="003C184D">
            <w:pPr>
              <w:pStyle w:val="Tabletext"/>
              <w:keepNext/>
              <w:keepLines/>
              <w:jc w:val="center"/>
            </w:pPr>
            <w:r w:rsidRPr="00162A79">
              <w:t>Service Channel</w:t>
            </w:r>
          </w:p>
        </w:tc>
        <w:tc>
          <w:tcPr>
            <w:tcW w:w="2684" w:type="dxa"/>
            <w:tcBorders>
              <w:top w:val="single" w:sz="4" w:space="0" w:color="auto"/>
              <w:left w:val="single" w:sz="4" w:space="0" w:color="auto"/>
              <w:bottom w:val="single" w:sz="4" w:space="0" w:color="auto"/>
              <w:right w:val="single" w:sz="4" w:space="0" w:color="auto"/>
            </w:tcBorders>
            <w:hideMark/>
          </w:tcPr>
          <w:p w:rsidR="00F26449" w:rsidRPr="00162A79" w:rsidRDefault="00F26449" w:rsidP="003C184D">
            <w:pPr>
              <w:pStyle w:val="Tabletext"/>
              <w:keepNext/>
              <w:keepLines/>
              <w:jc w:val="center"/>
            </w:pPr>
            <w:r w:rsidRPr="00162A79">
              <w:t>5 855 to 5 865</w:t>
            </w:r>
          </w:p>
        </w:tc>
      </w:tr>
      <w:tr w:rsidR="00F26449" w:rsidRPr="00162A79" w:rsidTr="00C91CAA">
        <w:trPr>
          <w:jc w:val="center"/>
        </w:trPr>
        <w:tc>
          <w:tcPr>
            <w:tcW w:w="4063" w:type="dxa"/>
            <w:vMerge/>
            <w:tcBorders>
              <w:top w:val="single" w:sz="4" w:space="0" w:color="auto"/>
              <w:left w:val="single" w:sz="4" w:space="0" w:color="auto"/>
              <w:bottom w:val="single" w:sz="4" w:space="0" w:color="auto"/>
              <w:right w:val="single" w:sz="4" w:space="0" w:color="auto"/>
            </w:tcBorders>
            <w:vAlign w:val="center"/>
            <w:hideMark/>
          </w:tcPr>
          <w:p w:rsidR="00F26449" w:rsidRPr="00162A79" w:rsidRDefault="00F26449" w:rsidP="00C91CAA">
            <w:pPr>
              <w:pStyle w:val="Tabletext"/>
            </w:pPr>
          </w:p>
        </w:tc>
        <w:tc>
          <w:tcPr>
            <w:tcW w:w="2795"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Service Channel</w:t>
            </w:r>
          </w:p>
        </w:tc>
        <w:tc>
          <w:tcPr>
            <w:tcW w:w="2684"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5 865 to 5 875</w:t>
            </w:r>
          </w:p>
        </w:tc>
      </w:tr>
      <w:tr w:rsidR="00F26449" w:rsidRPr="00162A79" w:rsidTr="00C91CAA">
        <w:trPr>
          <w:jc w:val="center"/>
        </w:trPr>
        <w:tc>
          <w:tcPr>
            <w:tcW w:w="4063" w:type="dxa"/>
            <w:vMerge w:val="restart"/>
            <w:tcBorders>
              <w:top w:val="single" w:sz="4" w:space="0" w:color="auto"/>
              <w:left w:val="single" w:sz="4" w:space="0" w:color="auto"/>
              <w:right w:val="single" w:sz="4" w:space="0" w:color="auto"/>
            </w:tcBorders>
            <w:hideMark/>
          </w:tcPr>
          <w:p w:rsidR="00F26449" w:rsidRPr="00162A79" w:rsidRDefault="00F26449" w:rsidP="00C91CAA">
            <w:pPr>
              <w:pStyle w:val="Tabletext"/>
            </w:pPr>
            <w:r w:rsidRPr="00162A79">
              <w:t xml:space="preserve">Traffic/Safety related </w:t>
            </w:r>
          </w:p>
        </w:tc>
        <w:tc>
          <w:tcPr>
            <w:tcW w:w="2795"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Service Channel</w:t>
            </w:r>
          </w:p>
        </w:tc>
        <w:tc>
          <w:tcPr>
            <w:tcW w:w="2684"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5 875 to 5 885</w:t>
            </w:r>
          </w:p>
        </w:tc>
      </w:tr>
      <w:tr w:rsidR="00F26449" w:rsidRPr="00162A79" w:rsidTr="00C91CAA">
        <w:trPr>
          <w:jc w:val="center"/>
        </w:trPr>
        <w:tc>
          <w:tcPr>
            <w:tcW w:w="4063" w:type="dxa"/>
            <w:vMerge/>
            <w:tcBorders>
              <w:left w:val="single" w:sz="4" w:space="0" w:color="auto"/>
              <w:right w:val="single" w:sz="4" w:space="0" w:color="auto"/>
            </w:tcBorders>
            <w:vAlign w:val="center"/>
            <w:hideMark/>
          </w:tcPr>
          <w:p w:rsidR="00F26449" w:rsidRPr="00162A79" w:rsidRDefault="00F26449" w:rsidP="00C91CAA">
            <w:pPr>
              <w:pStyle w:val="Tabletext"/>
            </w:pPr>
          </w:p>
        </w:tc>
        <w:tc>
          <w:tcPr>
            <w:tcW w:w="2795"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Control Channel</w:t>
            </w:r>
          </w:p>
        </w:tc>
        <w:tc>
          <w:tcPr>
            <w:tcW w:w="2684"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5 885 to 5 895</w:t>
            </w:r>
          </w:p>
        </w:tc>
      </w:tr>
      <w:tr w:rsidR="00F26449" w:rsidRPr="00162A79" w:rsidTr="00C91CAA">
        <w:trPr>
          <w:jc w:val="center"/>
        </w:trPr>
        <w:tc>
          <w:tcPr>
            <w:tcW w:w="4063" w:type="dxa"/>
            <w:vMerge/>
            <w:tcBorders>
              <w:left w:val="single" w:sz="4" w:space="0" w:color="auto"/>
              <w:right w:val="single" w:sz="4" w:space="0" w:color="auto"/>
            </w:tcBorders>
            <w:vAlign w:val="center"/>
            <w:hideMark/>
          </w:tcPr>
          <w:p w:rsidR="00F26449" w:rsidRPr="00162A79" w:rsidRDefault="00F26449" w:rsidP="00C91CAA">
            <w:pPr>
              <w:pStyle w:val="Tabletext"/>
            </w:pPr>
          </w:p>
        </w:tc>
        <w:tc>
          <w:tcPr>
            <w:tcW w:w="2795"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Service Channel</w:t>
            </w:r>
          </w:p>
        </w:tc>
        <w:tc>
          <w:tcPr>
            <w:tcW w:w="2684"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5 895 to 5 905</w:t>
            </w:r>
          </w:p>
        </w:tc>
      </w:tr>
      <w:tr w:rsidR="00F26449" w:rsidRPr="00162A79" w:rsidTr="00C91CAA">
        <w:trPr>
          <w:jc w:val="center"/>
        </w:trPr>
        <w:tc>
          <w:tcPr>
            <w:tcW w:w="4063" w:type="dxa"/>
            <w:vMerge/>
            <w:tcBorders>
              <w:left w:val="single" w:sz="4" w:space="0" w:color="auto"/>
              <w:right w:val="single" w:sz="4" w:space="0" w:color="auto"/>
            </w:tcBorders>
            <w:hideMark/>
          </w:tcPr>
          <w:p w:rsidR="00F26449" w:rsidRPr="00162A79" w:rsidRDefault="00F26449" w:rsidP="00C91CAA">
            <w:pPr>
              <w:pStyle w:val="Tabletext"/>
            </w:pPr>
          </w:p>
        </w:tc>
        <w:tc>
          <w:tcPr>
            <w:tcW w:w="2795"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Service Channel</w:t>
            </w:r>
          </w:p>
        </w:tc>
        <w:tc>
          <w:tcPr>
            <w:tcW w:w="2684"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5 905 to 5 915</w:t>
            </w:r>
          </w:p>
        </w:tc>
      </w:tr>
      <w:tr w:rsidR="00F26449" w:rsidRPr="00162A79" w:rsidTr="00C91CAA">
        <w:trPr>
          <w:jc w:val="center"/>
        </w:trPr>
        <w:tc>
          <w:tcPr>
            <w:tcW w:w="4063" w:type="dxa"/>
            <w:vMerge/>
            <w:tcBorders>
              <w:left w:val="single" w:sz="4" w:space="0" w:color="auto"/>
              <w:bottom w:val="single" w:sz="4" w:space="0" w:color="auto"/>
              <w:right w:val="single" w:sz="4" w:space="0" w:color="auto"/>
            </w:tcBorders>
            <w:vAlign w:val="center"/>
            <w:hideMark/>
          </w:tcPr>
          <w:p w:rsidR="00F26449" w:rsidRPr="00162A79" w:rsidRDefault="00F26449" w:rsidP="00C91CAA">
            <w:pPr>
              <w:pStyle w:val="Tabletext"/>
            </w:pPr>
          </w:p>
        </w:tc>
        <w:tc>
          <w:tcPr>
            <w:tcW w:w="2795"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Service Channel</w:t>
            </w:r>
          </w:p>
        </w:tc>
        <w:tc>
          <w:tcPr>
            <w:tcW w:w="2684" w:type="dxa"/>
            <w:tcBorders>
              <w:top w:val="single" w:sz="4" w:space="0" w:color="auto"/>
              <w:left w:val="single" w:sz="4" w:space="0" w:color="auto"/>
              <w:bottom w:val="single" w:sz="4" w:space="0" w:color="auto"/>
              <w:right w:val="single" w:sz="4" w:space="0" w:color="auto"/>
            </w:tcBorders>
            <w:hideMark/>
          </w:tcPr>
          <w:p w:rsidR="00F26449" w:rsidRPr="00162A79" w:rsidRDefault="00F26449" w:rsidP="00C91CAA">
            <w:pPr>
              <w:pStyle w:val="Tabletext"/>
              <w:jc w:val="center"/>
            </w:pPr>
            <w:r w:rsidRPr="00162A79">
              <w:t>5 915 to 5 925</w:t>
            </w:r>
          </w:p>
        </w:tc>
      </w:tr>
    </w:tbl>
    <w:p w:rsidR="00682954" w:rsidRPr="00162A79" w:rsidRDefault="00682954" w:rsidP="00682954">
      <w:pPr>
        <w:pStyle w:val="Tablefin"/>
        <w:rPr>
          <w:lang w:val="en-GB"/>
        </w:rPr>
      </w:pPr>
    </w:p>
    <w:p w:rsidR="00F26449" w:rsidRPr="00162A79" w:rsidRDefault="00F26449" w:rsidP="005E7B9F">
      <w:pPr>
        <w:rPr>
          <w:szCs w:val="24"/>
        </w:rPr>
      </w:pPr>
      <w:r w:rsidRPr="00162A79">
        <w:rPr>
          <w:szCs w:val="24"/>
        </w:rPr>
        <w:t xml:space="preserve">Typical RF power limit of up to 33 </w:t>
      </w:r>
      <w:proofErr w:type="spellStart"/>
      <w:r w:rsidRPr="00162A79">
        <w:rPr>
          <w:szCs w:val="24"/>
        </w:rPr>
        <w:t>dBm</w:t>
      </w:r>
      <w:proofErr w:type="spellEnd"/>
      <w:r w:rsidRPr="00162A79">
        <w:rPr>
          <w:szCs w:val="24"/>
        </w:rPr>
        <w:t xml:space="preserve"> </w:t>
      </w:r>
      <w:proofErr w:type="spellStart"/>
      <w:r w:rsidR="00682954" w:rsidRPr="00162A79">
        <w:rPr>
          <w:szCs w:val="24"/>
        </w:rPr>
        <w:t>e.i.r.p</w:t>
      </w:r>
      <w:proofErr w:type="spellEnd"/>
      <w:r w:rsidR="00682954" w:rsidRPr="00162A79">
        <w:rPr>
          <w:szCs w:val="24"/>
        </w:rPr>
        <w:t xml:space="preserve">. </w:t>
      </w:r>
      <w:r w:rsidRPr="00162A79">
        <w:rPr>
          <w:szCs w:val="24"/>
        </w:rPr>
        <w:t xml:space="preserve">for traffic/safety related channels and 20 </w:t>
      </w:r>
      <w:proofErr w:type="spellStart"/>
      <w:r w:rsidRPr="00162A79">
        <w:rPr>
          <w:szCs w:val="24"/>
        </w:rPr>
        <w:t>dBm</w:t>
      </w:r>
      <w:proofErr w:type="spellEnd"/>
      <w:r w:rsidRPr="00162A79">
        <w:rPr>
          <w:szCs w:val="24"/>
        </w:rPr>
        <w:t xml:space="preserve"> </w:t>
      </w:r>
      <w:proofErr w:type="spellStart"/>
      <w:r w:rsidR="008930D8" w:rsidRPr="00162A79">
        <w:rPr>
          <w:szCs w:val="24"/>
        </w:rPr>
        <w:t>e.i.r.p</w:t>
      </w:r>
      <w:proofErr w:type="spellEnd"/>
      <w:r w:rsidR="008930D8" w:rsidRPr="00162A79">
        <w:rPr>
          <w:szCs w:val="24"/>
        </w:rPr>
        <w:t xml:space="preserve">. </w:t>
      </w:r>
      <w:r w:rsidRPr="00162A79">
        <w:rPr>
          <w:szCs w:val="24"/>
        </w:rPr>
        <w:t>for non-safety related channels.</w:t>
      </w:r>
      <w:bookmarkEnd w:id="28"/>
    </w:p>
    <w:p w:rsidR="00F26449" w:rsidRPr="00162A79" w:rsidRDefault="00F26449" w:rsidP="00620F57">
      <w:pPr>
        <w:pStyle w:val="Heading2"/>
      </w:pPr>
      <w:bookmarkStart w:id="32" w:name="_Toc515525409"/>
      <w:r w:rsidRPr="00162A79">
        <w:rPr>
          <w:lang w:eastAsia="ja-JP"/>
        </w:rPr>
        <w:t>3.4</w:t>
      </w:r>
      <w:r w:rsidRPr="00162A79">
        <w:rPr>
          <w:lang w:eastAsia="ja-JP"/>
        </w:rPr>
        <w:tab/>
        <w:t xml:space="preserve">Frequency use in </w:t>
      </w:r>
      <w:r w:rsidRPr="00162A79">
        <w:t>Australia</w:t>
      </w:r>
      <w:bookmarkEnd w:id="32"/>
    </w:p>
    <w:p w:rsidR="00F26449" w:rsidRPr="00162A79" w:rsidRDefault="00F26449" w:rsidP="00620F57">
      <w:pPr>
        <w:rPr>
          <w:lang w:eastAsia="ko-KR"/>
        </w:rPr>
      </w:pPr>
      <w:r w:rsidRPr="00162A79">
        <w:rPr>
          <w:lang w:eastAsia="ko-KR"/>
        </w:rPr>
        <w:t>The frequency band 5 855–5 925 MHz has been made available for use by ITS systems. Individual licensing is not required. However, the following conditions are to be met:</w:t>
      </w:r>
    </w:p>
    <w:p w:rsidR="00F26449" w:rsidRPr="00162A79" w:rsidRDefault="00682954" w:rsidP="00682954">
      <w:pPr>
        <w:pStyle w:val="enumlev1"/>
        <w:rPr>
          <w:lang w:eastAsia="ko-KR"/>
        </w:rPr>
      </w:pPr>
      <w:r w:rsidRPr="00162A79">
        <w:rPr>
          <w:lang w:eastAsia="ko-KR"/>
        </w:rPr>
        <w:t>a)</w:t>
      </w:r>
      <w:r w:rsidRPr="00162A79">
        <w:rPr>
          <w:lang w:eastAsia="ko-KR"/>
        </w:rPr>
        <w:tab/>
      </w:r>
      <w:proofErr w:type="gramStart"/>
      <w:r w:rsidR="00F26449" w:rsidRPr="00162A79">
        <w:rPr>
          <w:lang w:eastAsia="ko-KR"/>
        </w:rPr>
        <w:t>the</w:t>
      </w:r>
      <w:proofErr w:type="gramEnd"/>
      <w:r w:rsidR="00F26449" w:rsidRPr="00162A79">
        <w:rPr>
          <w:lang w:eastAsia="ko-KR"/>
        </w:rPr>
        <w:t xml:space="preserve"> ITS station must be operated:</w:t>
      </w:r>
    </w:p>
    <w:p w:rsidR="00F26449" w:rsidRPr="00162A79" w:rsidRDefault="00682954" w:rsidP="00682954">
      <w:pPr>
        <w:pStyle w:val="enumlev2"/>
        <w:rPr>
          <w:lang w:eastAsia="ko-KR"/>
        </w:rPr>
      </w:pPr>
      <w:proofErr w:type="spellStart"/>
      <w:r w:rsidRPr="00162A79">
        <w:rPr>
          <w:lang w:eastAsia="ko-KR"/>
        </w:rPr>
        <w:t>i</w:t>
      </w:r>
      <w:proofErr w:type="spellEnd"/>
      <w:r w:rsidRPr="00162A79">
        <w:rPr>
          <w:lang w:eastAsia="ko-KR"/>
        </w:rPr>
        <w:t>)</w:t>
      </w:r>
      <w:r w:rsidRPr="00162A79">
        <w:rPr>
          <w:lang w:eastAsia="ko-KR"/>
        </w:rPr>
        <w:tab/>
      </w:r>
      <w:proofErr w:type="gramStart"/>
      <w:r w:rsidR="00F26449" w:rsidRPr="00162A79">
        <w:rPr>
          <w:lang w:eastAsia="ko-KR"/>
        </w:rPr>
        <w:t>on</w:t>
      </w:r>
      <w:proofErr w:type="gramEnd"/>
      <w:r w:rsidR="00F26449" w:rsidRPr="00162A79">
        <w:rPr>
          <w:lang w:eastAsia="ko-KR"/>
        </w:rPr>
        <w:t xml:space="preserve"> a frequency, or within a range of frequencies, greater than 5 855 MHz and not greater than 5 925 MHz; and</w:t>
      </w:r>
    </w:p>
    <w:p w:rsidR="00F26449" w:rsidRPr="00162A79" w:rsidRDefault="00682954" w:rsidP="00682954">
      <w:pPr>
        <w:pStyle w:val="enumlev2"/>
        <w:rPr>
          <w:lang w:eastAsia="ko-KR"/>
        </w:rPr>
      </w:pPr>
      <w:r w:rsidRPr="00162A79">
        <w:rPr>
          <w:lang w:eastAsia="ko-KR"/>
        </w:rPr>
        <w:t>ii)</w:t>
      </w:r>
      <w:r w:rsidRPr="00162A79">
        <w:rPr>
          <w:lang w:eastAsia="ko-KR"/>
        </w:rPr>
        <w:tab/>
      </w:r>
      <w:proofErr w:type="gramStart"/>
      <w:r w:rsidR="00F26449" w:rsidRPr="00162A79">
        <w:rPr>
          <w:lang w:eastAsia="ko-KR"/>
        </w:rPr>
        <w:t>at</w:t>
      </w:r>
      <w:proofErr w:type="gramEnd"/>
      <w:r w:rsidR="00F26449" w:rsidRPr="00162A79">
        <w:rPr>
          <w:lang w:eastAsia="ko-KR"/>
        </w:rPr>
        <w:t xml:space="preserve"> a radiated power that does not exceed a maximum </w:t>
      </w:r>
      <w:proofErr w:type="spellStart"/>
      <w:r w:rsidR="00F26449" w:rsidRPr="00162A79">
        <w:rPr>
          <w:lang w:eastAsia="ko-KR"/>
        </w:rPr>
        <w:t>e.i.r.p</w:t>
      </w:r>
      <w:proofErr w:type="spellEnd"/>
      <w:r w:rsidR="00F26449" w:rsidRPr="00162A79">
        <w:rPr>
          <w:lang w:eastAsia="ko-KR"/>
        </w:rPr>
        <w:t xml:space="preserve">. of 23 </w:t>
      </w:r>
      <w:proofErr w:type="spellStart"/>
      <w:r w:rsidR="00F26449" w:rsidRPr="00162A79">
        <w:rPr>
          <w:lang w:eastAsia="ko-KR"/>
        </w:rPr>
        <w:t>dBm</w:t>
      </w:r>
      <w:proofErr w:type="spellEnd"/>
      <w:r w:rsidR="00F26449" w:rsidRPr="00162A79">
        <w:rPr>
          <w:lang w:eastAsia="ko-KR"/>
        </w:rPr>
        <w:t>/MHz;</w:t>
      </w:r>
    </w:p>
    <w:p w:rsidR="00F26449" w:rsidRPr="00162A79" w:rsidRDefault="00682954" w:rsidP="003C184D">
      <w:pPr>
        <w:pStyle w:val="enumlev1"/>
        <w:rPr>
          <w:lang w:eastAsia="ko-KR"/>
        </w:rPr>
      </w:pPr>
      <w:r w:rsidRPr="00162A79">
        <w:rPr>
          <w:lang w:eastAsia="ko-KR"/>
        </w:rPr>
        <w:t>b)</w:t>
      </w:r>
      <w:r w:rsidRPr="00162A79">
        <w:rPr>
          <w:lang w:eastAsia="ko-KR"/>
        </w:rPr>
        <w:tab/>
      </w:r>
      <w:r w:rsidR="00F26449" w:rsidRPr="00162A79">
        <w:rPr>
          <w:lang w:eastAsia="ko-KR"/>
        </w:rPr>
        <w:t xml:space="preserve">the ITS station must not be operated within 70 kilometres of the Murchison </w:t>
      </w:r>
      <w:proofErr w:type="spellStart"/>
      <w:r w:rsidR="00F26449" w:rsidRPr="00162A79">
        <w:rPr>
          <w:lang w:eastAsia="ko-KR"/>
        </w:rPr>
        <w:t>Radioastronomy</w:t>
      </w:r>
      <w:proofErr w:type="spellEnd"/>
      <w:r w:rsidR="00F26449" w:rsidRPr="00162A79">
        <w:rPr>
          <w:lang w:eastAsia="ko-KR"/>
        </w:rPr>
        <w:t xml:space="preserve"> Observatory located at latitude 26</w:t>
      </w:r>
      <w:r w:rsidR="003C184D">
        <w:rPr>
          <w:lang w:eastAsia="ko-KR"/>
        </w:rPr>
        <w:t>º</w:t>
      </w:r>
      <w:r w:rsidR="00F26449" w:rsidRPr="00162A79">
        <w:rPr>
          <w:lang w:eastAsia="ko-KR"/>
        </w:rPr>
        <w:t xml:space="preserve"> 42’ 15” south, longitude 116</w:t>
      </w:r>
      <w:r w:rsidR="003C184D">
        <w:rPr>
          <w:lang w:eastAsia="ko-KR"/>
        </w:rPr>
        <w:t>º</w:t>
      </w:r>
      <w:r w:rsidR="00F26449" w:rsidRPr="00162A79">
        <w:rPr>
          <w:lang w:eastAsia="ko-KR"/>
        </w:rPr>
        <w:t xml:space="preserve"> 39’ 32” east;</w:t>
      </w:r>
    </w:p>
    <w:p w:rsidR="00F26449" w:rsidRPr="00162A79" w:rsidRDefault="00682954" w:rsidP="00682954">
      <w:pPr>
        <w:pStyle w:val="enumlev1"/>
        <w:rPr>
          <w:lang w:eastAsia="ko-KR"/>
        </w:rPr>
      </w:pPr>
      <w:r w:rsidRPr="00162A79">
        <w:rPr>
          <w:lang w:eastAsia="ko-KR"/>
        </w:rPr>
        <w:t>c)</w:t>
      </w:r>
      <w:r w:rsidRPr="00162A79">
        <w:rPr>
          <w:lang w:eastAsia="ko-KR"/>
        </w:rPr>
        <w:tab/>
      </w:r>
      <w:proofErr w:type="gramStart"/>
      <w:r w:rsidR="00F26449" w:rsidRPr="00162A79">
        <w:rPr>
          <w:lang w:eastAsia="ko-KR"/>
        </w:rPr>
        <w:t>the</w:t>
      </w:r>
      <w:proofErr w:type="gramEnd"/>
      <w:r w:rsidR="00F26449" w:rsidRPr="00162A79">
        <w:rPr>
          <w:lang w:eastAsia="ko-KR"/>
        </w:rPr>
        <w:t xml:space="preserve"> ITS station must comply with </w:t>
      </w:r>
      <w:proofErr w:type="spellStart"/>
      <w:r w:rsidR="00F26449" w:rsidRPr="00162A79">
        <w:rPr>
          <w:lang w:eastAsia="ko-KR"/>
        </w:rPr>
        <w:t>ETSI</w:t>
      </w:r>
      <w:proofErr w:type="spellEnd"/>
      <w:r w:rsidR="00F26449" w:rsidRPr="00162A79">
        <w:rPr>
          <w:lang w:eastAsia="ko-KR"/>
        </w:rPr>
        <w:t xml:space="preserve"> Standard </w:t>
      </w:r>
      <w:proofErr w:type="spellStart"/>
      <w:r w:rsidR="00F26449" w:rsidRPr="00162A79">
        <w:rPr>
          <w:lang w:eastAsia="ko-KR"/>
        </w:rPr>
        <w:t>EN</w:t>
      </w:r>
      <w:proofErr w:type="spellEnd"/>
      <w:r w:rsidR="00F26449" w:rsidRPr="00162A79">
        <w:rPr>
          <w:lang w:eastAsia="ko-KR"/>
        </w:rPr>
        <w:t xml:space="preserve"> 302 571; and</w:t>
      </w:r>
    </w:p>
    <w:p w:rsidR="00F26449" w:rsidRPr="00162A79" w:rsidRDefault="00682954" w:rsidP="00682954">
      <w:pPr>
        <w:pStyle w:val="enumlev1"/>
        <w:rPr>
          <w:lang w:eastAsia="ko-KR"/>
        </w:rPr>
      </w:pPr>
      <w:r w:rsidRPr="00162A79">
        <w:rPr>
          <w:lang w:eastAsia="ko-KR"/>
        </w:rPr>
        <w:t>d)</w:t>
      </w:r>
      <w:r w:rsidRPr="00162A79">
        <w:rPr>
          <w:lang w:eastAsia="ko-KR"/>
        </w:rPr>
        <w:tab/>
      </w:r>
      <w:proofErr w:type="gramStart"/>
      <w:r w:rsidR="00F26449" w:rsidRPr="00162A79">
        <w:rPr>
          <w:lang w:eastAsia="ko-KR"/>
        </w:rPr>
        <w:t>other</w:t>
      </w:r>
      <w:proofErr w:type="gramEnd"/>
      <w:r w:rsidR="00F26449" w:rsidRPr="00162A79">
        <w:rPr>
          <w:lang w:eastAsia="ko-KR"/>
        </w:rPr>
        <w:t xml:space="preserve"> conditions concerned with general public exposure to electromagnetic radiation as defined in the </w:t>
      </w:r>
      <w:hyperlink r:id="rId17" w:history="1">
        <w:proofErr w:type="spellStart"/>
        <w:r w:rsidR="00F26449" w:rsidRPr="00162A79">
          <w:rPr>
            <w:rStyle w:val="Hyperlink"/>
            <w:rFonts w:asciiTheme="majorBidi" w:hAnsiTheme="majorBidi" w:cstheme="majorBidi"/>
            <w:i/>
            <w:spacing w:val="-4"/>
            <w:szCs w:val="24"/>
            <w:lang w:eastAsia="ko-KR"/>
          </w:rPr>
          <w:t>Radiocommunications</w:t>
        </w:r>
        <w:proofErr w:type="spellEnd"/>
        <w:r w:rsidR="00F26449" w:rsidRPr="00162A79">
          <w:rPr>
            <w:rStyle w:val="Hyperlink"/>
            <w:rFonts w:asciiTheme="majorBidi" w:hAnsiTheme="majorBidi" w:cstheme="majorBidi"/>
            <w:i/>
            <w:spacing w:val="-4"/>
            <w:szCs w:val="24"/>
            <w:lang w:eastAsia="ko-KR"/>
          </w:rPr>
          <w:t xml:space="preserve"> (Intelligent Transport Systems) Class Licence 2017</w:t>
        </w:r>
      </w:hyperlink>
      <w:r w:rsidR="00F26449" w:rsidRPr="00162A79">
        <w:rPr>
          <w:lang w:eastAsia="ko-KR"/>
        </w:rPr>
        <w:t>.</w:t>
      </w:r>
    </w:p>
    <w:p w:rsidR="00F26449" w:rsidRPr="00162A79" w:rsidRDefault="00F26449" w:rsidP="00C91CAA">
      <w:pPr>
        <w:pStyle w:val="Heading1"/>
      </w:pPr>
      <w:bookmarkStart w:id="33" w:name="_Toc514254840"/>
      <w:bookmarkStart w:id="34" w:name="_Toc515525410"/>
      <w:r w:rsidRPr="00162A79">
        <w:t>4</w:t>
      </w:r>
      <w:r w:rsidRPr="00162A79">
        <w:tab/>
        <w:t>Examples of other arrangements for intelligent transportation systems (ITS)</w:t>
      </w:r>
      <w:bookmarkEnd w:id="33"/>
      <w:bookmarkEnd w:id="34"/>
    </w:p>
    <w:p w:rsidR="00F26449" w:rsidRPr="00162A79" w:rsidRDefault="00F26449" w:rsidP="00BA6D9F">
      <w:pPr>
        <w:rPr>
          <w:i/>
          <w:iCs/>
        </w:rPr>
      </w:pPr>
      <w:r w:rsidRPr="00162A79">
        <w:rPr>
          <w:i/>
          <w:iCs/>
        </w:rPr>
        <w:t>[If considered necessary</w:t>
      </w:r>
      <w:r w:rsidR="00625FF3" w:rsidRPr="00162A79">
        <w:rPr>
          <w:i/>
          <w:iCs/>
        </w:rPr>
        <w:t>.</w:t>
      </w:r>
      <w:r w:rsidRPr="00162A79">
        <w:rPr>
          <w:i/>
          <w:iCs/>
        </w:rPr>
        <w:t>]</w:t>
      </w:r>
    </w:p>
    <w:p w:rsidR="000069D4" w:rsidRPr="00162A79" w:rsidRDefault="000069D4" w:rsidP="00DD4BED">
      <w:pPr>
        <w:rPr>
          <w:lang w:eastAsia="zh-CN"/>
        </w:rPr>
      </w:pPr>
    </w:p>
    <w:p w:rsidR="00682954" w:rsidRPr="00162A79" w:rsidRDefault="00682954" w:rsidP="0032202E">
      <w:pPr>
        <w:pStyle w:val="Reasons"/>
      </w:pPr>
    </w:p>
    <w:sectPr w:rsidR="00682954" w:rsidRPr="00162A79" w:rsidSect="00D02712">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373" w:rsidRDefault="00F90373">
      <w:r>
        <w:separator/>
      </w:r>
    </w:p>
  </w:endnote>
  <w:endnote w:type="continuationSeparator" w:id="0">
    <w:p w:rsidR="00F90373" w:rsidRDefault="00F9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107330">
    <w:pPr>
      <w:pStyle w:val="Footer"/>
      <w:rPr>
        <w:lang w:val="en-US"/>
      </w:rPr>
    </w:pPr>
    <w:r>
      <w:fldChar w:fldCharType="begin"/>
    </w:r>
    <w:r>
      <w:instrText xml:space="preserve"> FILENAME \p \* MERGEFORMAT </w:instrText>
    </w:r>
    <w:r>
      <w:fldChar w:fldCharType="separate"/>
    </w:r>
    <w:r w:rsidR="00244827" w:rsidRPr="00244827">
      <w:rPr>
        <w:lang w:val="en-US"/>
      </w:rPr>
      <w:t>M</w:t>
    </w:r>
    <w:r w:rsidR="00244827">
      <w:t>:\BRSGD\TEXT2018\SG05\WP5A\800\844\844N33e.docx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244827">
      <w:t>04.06.18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44827">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107330" w:rsidP="00E6257C">
    <w:pPr>
      <w:pStyle w:val="Footer"/>
      <w:rPr>
        <w:lang w:val="en-US"/>
      </w:rPr>
    </w:pPr>
    <w:r>
      <w:fldChar w:fldCharType="begin"/>
    </w:r>
    <w:r>
      <w:instrText xml:space="preserve"> FILENAME \p \* MERGEFORMAT </w:instrText>
    </w:r>
    <w:r>
      <w:fldChar w:fldCharType="separate"/>
    </w:r>
    <w:r w:rsidR="00244827" w:rsidRPr="00244827">
      <w:rPr>
        <w:lang w:val="en-US"/>
      </w:rPr>
      <w:t>M</w:t>
    </w:r>
    <w:r w:rsidR="00244827">
      <w:t>:\BRSGD\TEXT2018\SG05\WP5A\800\844\844N33e.docx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244827">
      <w:t>04.06.18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44827">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373" w:rsidRDefault="00F90373">
      <w:r>
        <w:t>____________________</w:t>
      </w:r>
    </w:p>
  </w:footnote>
  <w:footnote w:type="continuationSeparator" w:id="0">
    <w:p w:rsidR="00F90373" w:rsidRDefault="00F90373">
      <w:r>
        <w:continuationSeparator/>
      </w:r>
    </w:p>
  </w:footnote>
  <w:footnote w:id="1">
    <w:p w:rsidR="00F26449" w:rsidRPr="00682954" w:rsidRDefault="00F26449">
      <w:pPr>
        <w:pStyle w:val="FootnoteText"/>
        <w:rPr>
          <w:rFonts w:asciiTheme="majorBidi" w:hAnsiTheme="majorBidi" w:cstheme="majorBidi"/>
        </w:rPr>
      </w:pPr>
      <w:r w:rsidRPr="00682954">
        <w:rPr>
          <w:rStyle w:val="FootnoteReference"/>
          <w:rFonts w:asciiTheme="majorBidi" w:hAnsiTheme="majorBidi" w:cstheme="majorBidi"/>
        </w:rPr>
        <w:footnoteRef/>
      </w:r>
      <w:r w:rsidRPr="00682954">
        <w:rPr>
          <w:rFonts w:asciiTheme="majorBidi" w:hAnsiTheme="majorBidi" w:cstheme="majorBidi"/>
        </w:rPr>
        <w:tab/>
      </w:r>
      <w:hyperlink r:id="rId1" w:history="1">
        <w:r w:rsidRPr="00682954">
          <w:rPr>
            <w:rStyle w:val="Hyperlink"/>
            <w:rFonts w:asciiTheme="majorBidi" w:hAnsiTheme="majorBidi" w:cstheme="majorBidi"/>
            <w:szCs w:val="24"/>
          </w:rPr>
          <w:t>https://www.c-roads.eu/platform.html</w:t>
        </w:r>
      </w:hyperlink>
      <w:r w:rsidR="00682954" w:rsidRPr="00682954">
        <w:rPr>
          <w:rFonts w:asciiTheme="majorBidi" w:hAnsiTheme="majorBidi" w:cstheme="majorBidi"/>
          <w:szCs w:val="24"/>
        </w:rPr>
        <w:t>.</w:t>
      </w:r>
      <w:r w:rsidRPr="00682954">
        <w:rPr>
          <w:rFonts w:asciiTheme="majorBidi" w:hAnsiTheme="majorBidi" w:cstheme="majorBidi"/>
          <w:szCs w:val="24"/>
        </w:rPr>
        <w:t xml:space="preserve"> </w:t>
      </w:r>
    </w:p>
  </w:footnote>
  <w:footnote w:id="2">
    <w:p w:rsidR="00F26449" w:rsidRPr="00682954" w:rsidRDefault="00F26449">
      <w:pPr>
        <w:pStyle w:val="FootnoteText"/>
        <w:rPr>
          <w:rFonts w:asciiTheme="majorBidi" w:hAnsiTheme="majorBidi" w:cstheme="majorBidi"/>
        </w:rPr>
      </w:pPr>
      <w:r w:rsidRPr="00682954">
        <w:rPr>
          <w:rStyle w:val="FootnoteReference"/>
          <w:rFonts w:asciiTheme="majorBidi" w:hAnsiTheme="majorBidi" w:cstheme="majorBidi"/>
        </w:rPr>
        <w:footnoteRef/>
      </w:r>
      <w:r w:rsidRPr="00682954">
        <w:rPr>
          <w:rFonts w:asciiTheme="majorBidi" w:hAnsiTheme="majorBidi" w:cstheme="majorBidi"/>
        </w:rPr>
        <w:tab/>
      </w:r>
      <w:hyperlink r:id="rId2" w:history="1">
        <w:r w:rsidRPr="00682954">
          <w:rPr>
            <w:rStyle w:val="Hyperlink"/>
            <w:rFonts w:asciiTheme="majorBidi" w:hAnsiTheme="majorBidi" w:cstheme="majorBidi"/>
            <w:szCs w:val="24"/>
            <w:lang w:val="en-US"/>
          </w:rPr>
          <w:t>https://www.volkswagenag.com/en/news/2017/06/pwlan.html#</w:t>
        </w:r>
      </w:hyperlink>
      <w:r w:rsidR="00682954" w:rsidRPr="00682954">
        <w:rPr>
          <w:rFonts w:asciiTheme="majorBidi" w:hAnsiTheme="majorBidi" w:cstheme="majorBidi"/>
          <w:szCs w:val="24"/>
        </w:rPr>
        <w:t>.</w:t>
      </w:r>
      <w:r w:rsidRPr="00682954">
        <w:rPr>
          <w:rFonts w:asciiTheme="majorBidi" w:hAnsiTheme="majorBidi" w:cstheme="majorBidi"/>
          <w:szCs w:val="24"/>
          <w:lang w:val="en-US"/>
        </w:rPr>
        <w:t xml:space="preserve"> </w:t>
      </w:r>
    </w:p>
  </w:footnote>
  <w:footnote w:id="3">
    <w:p w:rsidR="00F26449" w:rsidRPr="00162A79" w:rsidRDefault="00F26449" w:rsidP="00162A79">
      <w:pPr>
        <w:pStyle w:val="FootnoteText"/>
        <w:rPr>
          <w:spacing w:val="-2"/>
        </w:rPr>
      </w:pPr>
      <w:r w:rsidRPr="00682954">
        <w:rPr>
          <w:rStyle w:val="FootnoteReference"/>
          <w:rFonts w:asciiTheme="majorBidi" w:hAnsiTheme="majorBidi" w:cstheme="majorBidi"/>
        </w:rPr>
        <w:footnoteRef/>
      </w:r>
      <w:r w:rsidR="00682954">
        <w:tab/>
      </w:r>
      <w:hyperlink r:id="rId3" w:history="1">
        <w:r w:rsidR="00162A79" w:rsidRPr="00162A79">
          <w:rPr>
            <w:rStyle w:val="Hyperlink"/>
            <w:rFonts w:asciiTheme="majorBidi" w:hAnsiTheme="majorBidi" w:cstheme="majorBidi"/>
            <w:spacing w:val="-2"/>
            <w:szCs w:val="24"/>
          </w:rPr>
          <w:t>http://www.etsi.org/deliver/etsi_en/302500_302599/302571/02.00.00_20/en_302571v020000a.pdf</w:t>
        </w:r>
      </w:hyperlink>
      <w:r w:rsidR="00682954" w:rsidRPr="00162A79">
        <w:rPr>
          <w:spacing w:val="-2"/>
          <w:szCs w:val="24"/>
        </w:rPr>
        <w:t>.</w:t>
      </w:r>
    </w:p>
  </w:footnote>
  <w:footnote w:id="4">
    <w:p w:rsidR="00F26449" w:rsidRPr="00682954" w:rsidRDefault="00F26449" w:rsidP="005E7B9F">
      <w:pPr>
        <w:pStyle w:val="FootnoteText"/>
        <w:spacing w:after="120"/>
        <w:ind w:left="144" w:hanging="144"/>
        <w:rPr>
          <w:rFonts w:asciiTheme="majorBidi" w:hAnsiTheme="majorBidi" w:cstheme="majorBidi"/>
          <w:sz w:val="20"/>
        </w:rPr>
      </w:pPr>
      <w:r w:rsidRPr="000D5850">
        <w:rPr>
          <w:rStyle w:val="FootnoteReference"/>
        </w:rPr>
        <w:footnoteRef/>
      </w:r>
      <w:r w:rsidRPr="00682954">
        <w:rPr>
          <w:rFonts w:asciiTheme="majorBidi" w:hAnsiTheme="majorBidi" w:cstheme="majorBidi"/>
          <w:sz w:val="20"/>
        </w:rPr>
        <w:tab/>
      </w:r>
      <w:r w:rsidRPr="00682954">
        <w:rPr>
          <w:rFonts w:asciiTheme="majorBidi" w:hAnsiTheme="majorBidi" w:cstheme="majorBidi"/>
          <w:sz w:val="20"/>
        </w:rPr>
        <w:tab/>
      </w:r>
      <w:r w:rsidRPr="00682954">
        <w:rPr>
          <w:rFonts w:asciiTheme="majorBidi" w:hAnsiTheme="majorBidi" w:cstheme="majorBidi"/>
          <w:szCs w:val="24"/>
        </w:rPr>
        <w:t>FCC Report and Order, October 1999, ET Docket No. 98-95.</w:t>
      </w:r>
    </w:p>
  </w:footnote>
  <w:footnote w:id="5">
    <w:p w:rsidR="00F26449" w:rsidRPr="00682954" w:rsidRDefault="00F26449" w:rsidP="005E7B9F">
      <w:pPr>
        <w:pStyle w:val="FootnoteText"/>
        <w:spacing w:after="120"/>
        <w:rPr>
          <w:rFonts w:asciiTheme="majorBidi" w:hAnsiTheme="majorBidi" w:cstheme="majorBidi"/>
          <w:sz w:val="20"/>
        </w:rPr>
      </w:pPr>
      <w:r w:rsidRPr="000D5850">
        <w:rPr>
          <w:rStyle w:val="FootnoteReference"/>
        </w:rPr>
        <w:footnoteRef/>
      </w:r>
      <w:r w:rsidRPr="00682954">
        <w:rPr>
          <w:rFonts w:asciiTheme="majorBidi" w:hAnsiTheme="majorBidi" w:cstheme="majorBidi"/>
          <w:sz w:val="20"/>
        </w:rPr>
        <w:tab/>
      </w:r>
      <w:r w:rsidRPr="00682954">
        <w:rPr>
          <w:rFonts w:asciiTheme="majorBidi" w:hAnsiTheme="majorBidi" w:cstheme="majorBidi"/>
          <w:szCs w:val="24"/>
        </w:rPr>
        <w:t xml:space="preserve">Press Release, U.S. Transportation Secretary </w:t>
      </w:r>
      <w:proofErr w:type="spellStart"/>
      <w:r w:rsidRPr="00682954">
        <w:rPr>
          <w:rFonts w:asciiTheme="majorBidi" w:hAnsiTheme="majorBidi" w:cstheme="majorBidi"/>
          <w:szCs w:val="24"/>
        </w:rPr>
        <w:t>Mineta</w:t>
      </w:r>
      <w:proofErr w:type="spellEnd"/>
      <w:r w:rsidRPr="00682954">
        <w:rPr>
          <w:rFonts w:asciiTheme="majorBidi" w:hAnsiTheme="majorBidi" w:cstheme="majorBidi"/>
          <w:szCs w:val="24"/>
        </w:rPr>
        <w:t xml:space="preserve"> Announces Opening of Crash-Preventing “Intelligent Intersection” Test Facility (June 24, 2003) (</w:t>
      </w:r>
      <w:hyperlink r:id="rId4" w:history="1">
        <w:r w:rsidRPr="00682954">
          <w:rPr>
            <w:rStyle w:val="Hyperlink"/>
            <w:rFonts w:asciiTheme="majorBidi" w:hAnsiTheme="majorBidi" w:cstheme="majorBidi"/>
            <w:szCs w:val="24"/>
          </w:rPr>
          <w:t>http://</w:t>
        </w:r>
        <w:proofErr w:type="spellStart"/>
        <w:r w:rsidRPr="00682954">
          <w:rPr>
            <w:rStyle w:val="Hyperlink"/>
            <w:rFonts w:asciiTheme="majorBidi" w:hAnsiTheme="majorBidi" w:cstheme="majorBidi"/>
            <w:szCs w:val="24"/>
          </w:rPr>
          <w:t>www.its.dot.gov</w:t>
        </w:r>
        <w:proofErr w:type="spellEnd"/>
        <w:r w:rsidRPr="00682954">
          <w:rPr>
            <w:rStyle w:val="Hyperlink"/>
            <w:rFonts w:asciiTheme="majorBidi" w:hAnsiTheme="majorBidi" w:cstheme="majorBidi"/>
            <w:szCs w:val="24"/>
          </w:rPr>
          <w:t>/press/</w:t>
        </w:r>
        <w:proofErr w:type="spellStart"/>
        <w:r w:rsidRPr="00682954">
          <w:rPr>
            <w:rStyle w:val="Hyperlink"/>
            <w:rFonts w:asciiTheme="majorBidi" w:hAnsiTheme="majorBidi" w:cstheme="majorBidi"/>
            <w:szCs w:val="24"/>
          </w:rPr>
          <w:t>fhw2003.htm</w:t>
        </w:r>
        <w:proofErr w:type="spellEnd"/>
      </w:hyperlink>
      <w:r w:rsidRPr="00682954">
        <w:rPr>
          <w:rFonts w:asciiTheme="majorBidi" w:hAnsiTheme="majorBidi" w:cstheme="majorBidi"/>
          <w:szCs w:val="24"/>
        </w:rPr>
        <w:t>).</w:t>
      </w:r>
    </w:p>
  </w:footnote>
  <w:footnote w:id="6">
    <w:p w:rsidR="00F26449" w:rsidRPr="00503A92" w:rsidRDefault="00F26449" w:rsidP="005E7B9F">
      <w:pPr>
        <w:pStyle w:val="FootnoteText"/>
        <w:rPr>
          <w:sz w:val="20"/>
        </w:rPr>
      </w:pPr>
      <w:r w:rsidRPr="000D5850">
        <w:rPr>
          <w:rStyle w:val="FootnoteReference"/>
        </w:rPr>
        <w:footnoteRef/>
      </w:r>
      <w:r w:rsidRPr="00AC4192">
        <w:rPr>
          <w:sz w:val="20"/>
        </w:rPr>
        <w:t xml:space="preserve"> </w:t>
      </w:r>
      <w:r w:rsidRPr="00503A92">
        <w:rPr>
          <w:sz w:val="20"/>
        </w:rPr>
        <w:tab/>
      </w:r>
      <w:hyperlink r:id="rId5" w:history="1">
        <w:r w:rsidRPr="00C91CAA">
          <w:rPr>
            <w:rStyle w:val="Hyperlink"/>
            <w:rFonts w:asciiTheme="majorBidi" w:hAnsiTheme="majorBidi" w:cstheme="majorBidi"/>
            <w:szCs w:val="24"/>
          </w:rPr>
          <w:t>https://www.nhtsa.gov/sites/nhtsa.dot.gov/files/812171-safetypilotmodeldeploydeltestcondrtmrep.pdf</w:t>
        </w:r>
      </w:hyperlink>
      <w:r w:rsidRPr="00C91CAA">
        <w:rPr>
          <w:rFonts w:asciiTheme="majorBidi" w:hAnsiTheme="majorBidi" w:cstheme="majorBidi"/>
          <w:szCs w:val="24"/>
        </w:rPr>
        <w:t>.</w:t>
      </w:r>
    </w:p>
  </w:footnote>
  <w:footnote w:id="7">
    <w:p w:rsidR="00F26449" w:rsidRPr="00503A92" w:rsidRDefault="00F26449" w:rsidP="005E7B9F">
      <w:pPr>
        <w:pStyle w:val="FootnoteText"/>
        <w:rPr>
          <w:sz w:val="20"/>
          <w:lang w:val="en-US"/>
        </w:rPr>
      </w:pPr>
      <w:r w:rsidRPr="000D5850">
        <w:rPr>
          <w:rStyle w:val="FootnoteReference"/>
        </w:rPr>
        <w:footnoteRef/>
      </w:r>
      <w:r w:rsidRPr="00503A92">
        <w:rPr>
          <w:sz w:val="20"/>
        </w:rPr>
        <w:t xml:space="preserve"> </w:t>
      </w:r>
      <w:r w:rsidRPr="00503A92">
        <w:rPr>
          <w:sz w:val="20"/>
        </w:rPr>
        <w:tab/>
      </w:r>
      <w:hyperlink r:id="rId6" w:history="1">
        <w:r w:rsidRPr="00C91CAA">
          <w:rPr>
            <w:rStyle w:val="Hyperlink"/>
            <w:rFonts w:asciiTheme="majorBidi" w:hAnsiTheme="majorBidi" w:cstheme="majorBidi"/>
            <w:szCs w:val="24"/>
          </w:rPr>
          <w:t>http://corporatenews.pressroom.toyota.com/releases/toyota-umtri-largest-connected-car-proving-ground.htm</w:t>
        </w:r>
      </w:hyperlink>
      <w:r w:rsidRPr="00C91CAA">
        <w:rPr>
          <w:rFonts w:asciiTheme="majorBidi" w:hAnsiTheme="majorBidi" w:cstheme="majorBidi"/>
          <w:szCs w:val="24"/>
        </w:rPr>
        <w:t>.</w:t>
      </w:r>
    </w:p>
  </w:footnote>
  <w:footnote w:id="8">
    <w:p w:rsidR="00F26449" w:rsidRPr="00503A92" w:rsidRDefault="00F26449" w:rsidP="005E7B9F">
      <w:pPr>
        <w:pStyle w:val="FootnoteText"/>
        <w:rPr>
          <w:sz w:val="20"/>
          <w:lang w:val="en-US"/>
        </w:rPr>
      </w:pPr>
      <w:r w:rsidRPr="000D5850">
        <w:rPr>
          <w:rStyle w:val="FootnoteReference"/>
        </w:rPr>
        <w:footnoteRef/>
      </w:r>
      <w:r w:rsidRPr="00503A92">
        <w:rPr>
          <w:sz w:val="20"/>
        </w:rPr>
        <w:t xml:space="preserve"> </w:t>
      </w:r>
      <w:r w:rsidRPr="00503A92">
        <w:rPr>
          <w:sz w:val="20"/>
        </w:rPr>
        <w:tab/>
      </w:r>
      <w:hyperlink r:id="rId7" w:history="1">
        <w:r w:rsidRPr="00C91CAA">
          <w:rPr>
            <w:rStyle w:val="Hyperlink"/>
            <w:rFonts w:asciiTheme="majorBidi" w:hAnsiTheme="majorBidi" w:cstheme="majorBidi"/>
            <w:szCs w:val="24"/>
          </w:rPr>
          <w:t>http://</w:t>
        </w:r>
        <w:proofErr w:type="spellStart"/>
        <w:r w:rsidRPr="00C91CAA">
          <w:rPr>
            <w:rStyle w:val="Hyperlink"/>
            <w:rFonts w:asciiTheme="majorBidi" w:hAnsiTheme="majorBidi" w:cstheme="majorBidi"/>
            <w:szCs w:val="24"/>
          </w:rPr>
          <w:t>www.aztech.org</w:t>
        </w:r>
        <w:proofErr w:type="spellEnd"/>
        <w:r w:rsidRPr="00C91CAA">
          <w:rPr>
            <w:rStyle w:val="Hyperlink"/>
            <w:rFonts w:asciiTheme="majorBidi" w:hAnsiTheme="majorBidi" w:cstheme="majorBidi"/>
            <w:szCs w:val="24"/>
          </w:rPr>
          <w:t>/projects/connected-vehicles-</w:t>
        </w:r>
        <w:proofErr w:type="spellStart"/>
        <w:r w:rsidRPr="00C91CAA">
          <w:rPr>
            <w:rStyle w:val="Hyperlink"/>
            <w:rFonts w:asciiTheme="majorBidi" w:hAnsiTheme="majorBidi" w:cstheme="majorBidi"/>
            <w:szCs w:val="24"/>
          </w:rPr>
          <w:t>research.htm</w:t>
        </w:r>
        <w:proofErr w:type="spellEnd"/>
      </w:hyperlink>
      <w:r w:rsidRPr="00C91CAA">
        <w:rPr>
          <w:rFonts w:asciiTheme="majorBidi" w:hAnsiTheme="majorBidi" w:cstheme="majorBidi"/>
          <w:szCs w:val="24"/>
        </w:rPr>
        <w:t>.</w:t>
      </w:r>
    </w:p>
  </w:footnote>
  <w:footnote w:id="9">
    <w:p w:rsidR="00F26449" w:rsidRPr="00503A92" w:rsidRDefault="00F26449" w:rsidP="00AC4192">
      <w:pPr>
        <w:pStyle w:val="FootnoteText"/>
        <w:tabs>
          <w:tab w:val="clear" w:pos="255"/>
          <w:tab w:val="left" w:pos="280"/>
        </w:tabs>
        <w:rPr>
          <w:sz w:val="20"/>
          <w:lang w:val="en-US"/>
        </w:rPr>
      </w:pPr>
      <w:r w:rsidRPr="000D5850">
        <w:rPr>
          <w:rStyle w:val="FootnoteReference"/>
        </w:rPr>
        <w:footnoteRef/>
      </w:r>
      <w:r>
        <w:rPr>
          <w:sz w:val="20"/>
        </w:rPr>
        <w:tab/>
      </w:r>
      <w:hyperlink r:id="rId8" w:history="1">
        <w:r w:rsidRPr="00C91CAA">
          <w:rPr>
            <w:rStyle w:val="Hyperlink"/>
            <w:rFonts w:asciiTheme="majorBidi" w:hAnsiTheme="majorBidi" w:cstheme="majorBidi"/>
            <w:szCs w:val="24"/>
          </w:rPr>
          <w:t>http://</w:t>
        </w:r>
        <w:proofErr w:type="spellStart"/>
        <w:r w:rsidRPr="00C91CAA">
          <w:rPr>
            <w:rStyle w:val="Hyperlink"/>
            <w:rFonts w:asciiTheme="majorBidi" w:hAnsiTheme="majorBidi" w:cstheme="majorBidi"/>
            <w:szCs w:val="24"/>
          </w:rPr>
          <w:t>www.its.dot.gov</w:t>
        </w:r>
        <w:proofErr w:type="spellEnd"/>
        <w:r w:rsidRPr="00C91CAA">
          <w:rPr>
            <w:rStyle w:val="Hyperlink"/>
            <w:rFonts w:asciiTheme="majorBidi" w:hAnsiTheme="majorBidi" w:cstheme="majorBidi"/>
            <w:szCs w:val="24"/>
          </w:rPr>
          <w:t>/factsheets/</w:t>
        </w:r>
        <w:proofErr w:type="spellStart"/>
        <w:r w:rsidRPr="00C91CAA">
          <w:rPr>
            <w:rStyle w:val="Hyperlink"/>
            <w:rFonts w:asciiTheme="majorBidi" w:hAnsiTheme="majorBidi" w:cstheme="majorBidi"/>
            <w:szCs w:val="24"/>
          </w:rPr>
          <w:t>JPO_cvPilot.htm</w:t>
        </w:r>
        <w:proofErr w:type="spellEnd"/>
      </w:hyperlink>
      <w:r w:rsidRPr="00C91CAA">
        <w:rPr>
          <w:rFonts w:asciiTheme="majorBidi" w:hAnsiTheme="majorBidi" w:cstheme="majorBidi"/>
          <w:szCs w:val="24"/>
        </w:rPr>
        <w:t>.</w:t>
      </w:r>
    </w:p>
  </w:footnote>
  <w:footnote w:id="10">
    <w:p w:rsidR="00F26449" w:rsidRPr="00AC4192" w:rsidRDefault="00F26449">
      <w:pPr>
        <w:pStyle w:val="FootnoteText"/>
        <w:rPr>
          <w:lang w:val="en-US"/>
        </w:rPr>
      </w:pPr>
      <w:r w:rsidRPr="00107330">
        <w:rPr>
          <w:rStyle w:val="FootnoteReference"/>
        </w:rPr>
        <w:footnoteRef/>
      </w:r>
      <w:r>
        <w:tab/>
      </w:r>
      <w:r w:rsidRPr="00AC4192">
        <w:rPr>
          <w:szCs w:val="24"/>
        </w:rPr>
        <w:t>FCC 03-324 REPORT AND ORDER, December 2003, ET Docket No. 98-95.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07330">
      <w:rPr>
        <w:rStyle w:val="PageNumber"/>
        <w:noProof/>
      </w:rPr>
      <w:t>2</w:t>
    </w:r>
    <w:r w:rsidR="00D02712">
      <w:rPr>
        <w:rStyle w:val="PageNumber"/>
      </w:rPr>
      <w:fldChar w:fldCharType="end"/>
    </w:r>
    <w:r>
      <w:rPr>
        <w:rStyle w:val="PageNumber"/>
      </w:rPr>
      <w:t xml:space="preserve"> -</w:t>
    </w:r>
  </w:p>
  <w:p w:rsidR="00FA124A" w:rsidRDefault="00F26449">
    <w:pPr>
      <w:pStyle w:val="Header"/>
      <w:rPr>
        <w:lang w:val="en-US"/>
      </w:rPr>
    </w:pPr>
    <w:r>
      <w:rPr>
        <w:lang w:val="en-US"/>
      </w:rPr>
      <w:t>5A/</w:t>
    </w:r>
    <w:r w:rsidR="00AF1FCD">
      <w:rPr>
        <w:lang w:val="en-US"/>
      </w:rPr>
      <w:t>844 (Annex 33</w:t>
    </w:r>
    <w:r w:rsidR="00625FF3">
      <w:rPr>
        <w:lang w:val="en-US"/>
      </w:rPr>
      <w:t>)</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E2EC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2C0B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081D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203F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8C87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2DD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3A7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B4F3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2B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82C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E22916"/>
    <w:multiLevelType w:val="hybridMultilevel"/>
    <w:tmpl w:val="28187EE4"/>
    <w:lvl w:ilvl="0" w:tplc="ABF0C2BA">
      <w:start w:val="1"/>
      <w:numFmt w:val="lowerLetter"/>
      <w:lvlText w:val="(%1)"/>
      <w:lvlJc w:val="left"/>
      <w:pPr>
        <w:ind w:left="720" w:hanging="360"/>
      </w:pPr>
      <w:rPr>
        <w:rFonts w:hint="default"/>
      </w:rPr>
    </w:lvl>
    <w:lvl w:ilvl="1" w:tplc="284E8BC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49"/>
    <w:rsid w:val="00003543"/>
    <w:rsid w:val="000069D4"/>
    <w:rsid w:val="000174AD"/>
    <w:rsid w:val="00023F3B"/>
    <w:rsid w:val="00047A1D"/>
    <w:rsid w:val="000604B9"/>
    <w:rsid w:val="00075F24"/>
    <w:rsid w:val="000A3F3D"/>
    <w:rsid w:val="000A7D55"/>
    <w:rsid w:val="000B0EEA"/>
    <w:rsid w:val="000C12C8"/>
    <w:rsid w:val="000C2E8E"/>
    <w:rsid w:val="000D5850"/>
    <w:rsid w:val="000E0E7C"/>
    <w:rsid w:val="000F1B4B"/>
    <w:rsid w:val="00107330"/>
    <w:rsid w:val="0012744F"/>
    <w:rsid w:val="00131178"/>
    <w:rsid w:val="00156F66"/>
    <w:rsid w:val="00162A79"/>
    <w:rsid w:val="00163271"/>
    <w:rsid w:val="00182528"/>
    <w:rsid w:val="0018500B"/>
    <w:rsid w:val="00196A19"/>
    <w:rsid w:val="001E255A"/>
    <w:rsid w:val="00202DC1"/>
    <w:rsid w:val="002116EE"/>
    <w:rsid w:val="002309D8"/>
    <w:rsid w:val="00244827"/>
    <w:rsid w:val="00295BB4"/>
    <w:rsid w:val="002A5CA6"/>
    <w:rsid w:val="002A7FE2"/>
    <w:rsid w:val="002E1B4F"/>
    <w:rsid w:val="002F2E67"/>
    <w:rsid w:val="002F7CB3"/>
    <w:rsid w:val="00315546"/>
    <w:rsid w:val="0032638F"/>
    <w:rsid w:val="00330567"/>
    <w:rsid w:val="00336F7B"/>
    <w:rsid w:val="00363A87"/>
    <w:rsid w:val="00386A9D"/>
    <w:rsid w:val="00391081"/>
    <w:rsid w:val="003B2789"/>
    <w:rsid w:val="003C13CE"/>
    <w:rsid w:val="003C184D"/>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25FF3"/>
    <w:rsid w:val="00650299"/>
    <w:rsid w:val="00655FC5"/>
    <w:rsid w:val="00682954"/>
    <w:rsid w:val="00784060"/>
    <w:rsid w:val="007D1184"/>
    <w:rsid w:val="00814E0A"/>
    <w:rsid w:val="0082062D"/>
    <w:rsid w:val="00822581"/>
    <w:rsid w:val="008236FF"/>
    <w:rsid w:val="008309DD"/>
    <w:rsid w:val="0083227A"/>
    <w:rsid w:val="00866900"/>
    <w:rsid w:val="00876A8A"/>
    <w:rsid w:val="00881BA1"/>
    <w:rsid w:val="008930D8"/>
    <w:rsid w:val="008C2302"/>
    <w:rsid w:val="008C26B8"/>
    <w:rsid w:val="008F0538"/>
    <w:rsid w:val="008F208F"/>
    <w:rsid w:val="00982084"/>
    <w:rsid w:val="00995963"/>
    <w:rsid w:val="009B24B2"/>
    <w:rsid w:val="009B61EB"/>
    <w:rsid w:val="009C2064"/>
    <w:rsid w:val="009D1697"/>
    <w:rsid w:val="009F3A46"/>
    <w:rsid w:val="009F6520"/>
    <w:rsid w:val="00A014F8"/>
    <w:rsid w:val="00A5173C"/>
    <w:rsid w:val="00A61AEF"/>
    <w:rsid w:val="00AA7D90"/>
    <w:rsid w:val="00AD2345"/>
    <w:rsid w:val="00AF173A"/>
    <w:rsid w:val="00AF196E"/>
    <w:rsid w:val="00AF1FCD"/>
    <w:rsid w:val="00B066A4"/>
    <w:rsid w:val="00B069C1"/>
    <w:rsid w:val="00B07A13"/>
    <w:rsid w:val="00B4279B"/>
    <w:rsid w:val="00B45FC9"/>
    <w:rsid w:val="00B76F35"/>
    <w:rsid w:val="00B81138"/>
    <w:rsid w:val="00BC7CCF"/>
    <w:rsid w:val="00BE470B"/>
    <w:rsid w:val="00C3772A"/>
    <w:rsid w:val="00C57A91"/>
    <w:rsid w:val="00C729EB"/>
    <w:rsid w:val="00CC01C2"/>
    <w:rsid w:val="00CC0670"/>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7333A"/>
    <w:rsid w:val="00F25662"/>
    <w:rsid w:val="00F26449"/>
    <w:rsid w:val="00F55987"/>
    <w:rsid w:val="00F9037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5539F79-993D-43CC-80D0-84747CF1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Appel note de bas de p + 11 pt,Italic,Appel note de bas de p1,Appel note de bas de p2,Footnote,Ref"/>
    <w:basedOn w:val="DefaultParagraphFont"/>
    <w:qFormat/>
    <w:rsid w:val="008F208F"/>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arattere"/>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0"/>
    <w:qFormat/>
    <w:rsid w:val="008F208F"/>
    <w:pPr>
      <w:keepNext/>
      <w:spacing w:before="560" w:after="120"/>
      <w:jc w:val="center"/>
    </w:pPr>
    <w:rPr>
      <w:caps/>
      <w:sz w:val="20"/>
    </w:rPr>
  </w:style>
  <w:style w:type="paragraph" w:customStyle="1" w:styleId="Tabletitle">
    <w:name w:val="Table_title"/>
    <w:basedOn w:val="Normal"/>
    <w:next w:val="Tabletext"/>
    <w:link w:val="TabletitleChar"/>
    <w:qForma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682954"/>
    <w:pPr>
      <w:spacing w:after="240"/>
      <w:jc w:val="center"/>
    </w:pPr>
    <w:rPr>
      <w:noProof/>
      <w:lang w:val="en-US" w:eastAsia="zh-CN"/>
    </w:rPr>
  </w:style>
  <w:style w:type="character" w:styleId="PageNumber">
    <w:name w:val="page number"/>
    <w:basedOn w:val="DefaultParagraphFont"/>
    <w:rsid w:val="00E63C59"/>
  </w:style>
  <w:style w:type="paragraph" w:customStyle="1" w:styleId="Figuretitle">
    <w:name w:val="Figure_title"/>
    <w:basedOn w:val="Normal"/>
    <w:next w:val="Normal"/>
    <w:link w:val="FiguretitleChar"/>
    <w:qFormat/>
    <w:rsid w:val="00682954"/>
    <w:pPr>
      <w:keepNext/>
      <w:keepLines/>
      <w:spacing w:before="0" w:after="120"/>
      <w:jc w:val="center"/>
    </w:pPr>
    <w:rPr>
      <w:rFonts w:ascii="Times New Roman Bold" w:hAnsi="Times New Roman Bold"/>
      <w:b/>
      <w:sz w:val="20"/>
      <w:lang w:eastAsia="ja-JP"/>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qFormat/>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bChar">
    <w:name w:val="Heading_b Char"/>
    <w:basedOn w:val="DefaultParagraphFont"/>
    <w:link w:val="Headingb"/>
    <w:locked/>
    <w:rsid w:val="00F26449"/>
    <w:rPr>
      <w:rFonts w:ascii="Times New Roman Bold" w:hAnsi="Times New Roman Bold" w:cs="Times New Roman Bold"/>
      <w:b/>
      <w:sz w:val="24"/>
      <w:lang w:val="fr-CH" w:eastAsia="en-US"/>
    </w:rPr>
  </w:style>
  <w:style w:type="character" w:customStyle="1" w:styleId="NormalaftertitleChar">
    <w:name w:val="Normal_after_title Char"/>
    <w:basedOn w:val="DefaultParagraphFont"/>
    <w:link w:val="Normalaftertitle"/>
    <w:uiPriority w:val="99"/>
    <w:locked/>
    <w:rsid w:val="00F26449"/>
    <w:rPr>
      <w:rFonts w:ascii="Times New Roman" w:hAnsi="Times New Roman"/>
      <w:sz w:val="24"/>
      <w:lang w:val="en-GB" w:eastAsia="en-US"/>
    </w:rPr>
  </w:style>
  <w:style w:type="character" w:customStyle="1" w:styleId="TableheadChar">
    <w:name w:val="Table_head Char"/>
    <w:basedOn w:val="DefaultParagraphFont"/>
    <w:link w:val="Tablehead"/>
    <w:locked/>
    <w:rsid w:val="00F26449"/>
    <w:rPr>
      <w:rFonts w:ascii="Times New Roman Bold" w:hAnsi="Times New Roman Bold" w:cs="Times New Roman Bold"/>
      <w:b/>
      <w:lang w:val="en-GB" w:eastAsia="en-US"/>
    </w:rPr>
  </w:style>
  <w:style w:type="character" w:customStyle="1" w:styleId="TableNo0">
    <w:name w:val="Table_No Знак"/>
    <w:link w:val="TableNo"/>
    <w:locked/>
    <w:rsid w:val="00F26449"/>
    <w:rPr>
      <w:rFonts w:ascii="Times New Roman" w:hAnsi="Times New Roman"/>
      <w:caps/>
      <w:lang w:val="en-GB" w:eastAsia="en-US"/>
    </w:rPr>
  </w:style>
  <w:style w:type="character" w:customStyle="1" w:styleId="TabletextChar">
    <w:name w:val="Table_text Char"/>
    <w:basedOn w:val="DefaultParagraphFont"/>
    <w:link w:val="Tabletext"/>
    <w:qFormat/>
    <w:locked/>
    <w:rsid w:val="00F26449"/>
    <w:rPr>
      <w:rFonts w:ascii="Times New Roman" w:hAnsi="Times New Roman"/>
      <w:lang w:val="en-GB" w:eastAsia="en-US"/>
    </w:rPr>
  </w:style>
  <w:style w:type="paragraph" w:customStyle="1" w:styleId="Summary">
    <w:name w:val="Summary"/>
    <w:basedOn w:val="Normal"/>
    <w:next w:val="Normalaftertitle"/>
    <w:link w:val="SummaryZchn"/>
    <w:autoRedefine/>
    <w:rsid w:val="00F26449"/>
    <w:pPr>
      <w:tabs>
        <w:tab w:val="clear" w:pos="1134"/>
        <w:tab w:val="clear" w:pos="1871"/>
        <w:tab w:val="clear" w:pos="2268"/>
        <w:tab w:val="left" w:pos="794"/>
        <w:tab w:val="left" w:pos="1191"/>
        <w:tab w:val="left" w:pos="1588"/>
        <w:tab w:val="left" w:pos="1985"/>
      </w:tabs>
      <w:spacing w:after="480"/>
      <w:jc w:val="both"/>
    </w:pPr>
    <w:rPr>
      <w:szCs w:val="24"/>
      <w:lang w:val="en-US"/>
    </w:rPr>
  </w:style>
  <w:style w:type="character" w:customStyle="1" w:styleId="SummaryZchn">
    <w:name w:val="Summary Zchn"/>
    <w:basedOn w:val="DefaultParagraphFont"/>
    <w:link w:val="Summary"/>
    <w:rsid w:val="00F26449"/>
    <w:rPr>
      <w:rFonts w:ascii="Times New Roman" w:eastAsia="MS Mincho" w:hAnsi="Times New Roman"/>
      <w:sz w:val="24"/>
      <w:szCs w:val="24"/>
      <w:lang w:eastAsia="en-US"/>
    </w:rPr>
  </w:style>
  <w:style w:type="paragraph" w:styleId="ListParagraph">
    <w:name w:val="List Paragraph"/>
    <w:basedOn w:val="Normal"/>
    <w:uiPriority w:val="34"/>
    <w:qFormat/>
    <w:rsid w:val="00F26449"/>
    <w:pPr>
      <w:ind w:left="720"/>
      <w:contextualSpacing/>
    </w:pPr>
  </w:style>
  <w:style w:type="table" w:styleId="TableGrid">
    <w:name w:val="Table Grid"/>
    <w:basedOn w:val="TableNormal"/>
    <w:uiPriority w:val="39"/>
    <w:qFormat/>
    <w:rsid w:val="00F26449"/>
    <w:rPr>
      <w:rFonts w:ascii="Century"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link w:val="AnnexNo"/>
    <w:qFormat/>
    <w:locked/>
    <w:rsid w:val="00F26449"/>
    <w:rPr>
      <w:rFonts w:ascii="Times New Roman" w:hAnsi="Times New Roman"/>
      <w:caps/>
      <w:sz w:val="28"/>
      <w:lang w:val="en-GB" w:eastAsia="en-US"/>
    </w:rPr>
  </w:style>
  <w:style w:type="character" w:styleId="Hyperlink">
    <w:name w:val="Hyperlink"/>
    <w:basedOn w:val="DefaultParagraphFont"/>
    <w:uiPriority w:val="99"/>
    <w:unhideWhenUsed/>
    <w:rsid w:val="00F26449"/>
    <w:rPr>
      <w:rFonts w:ascii="Trebuchet MS" w:hAnsi="Trebuchet MS" w:hint="default"/>
      <w:strike w:val="0"/>
      <w:dstrike w:val="0"/>
      <w:color w:val="000066"/>
      <w:u w:val="single"/>
      <w:effect w:val="none"/>
    </w:rPr>
  </w:style>
  <w:style w:type="character" w:customStyle="1" w:styleId="TabletitleChar">
    <w:name w:val="Table_title Char"/>
    <w:link w:val="Tabletitle"/>
    <w:qFormat/>
    <w:locked/>
    <w:rsid w:val="00F26449"/>
    <w:rPr>
      <w:rFonts w:ascii="Times New Roman Bold" w:hAnsi="Times New Roman Bold"/>
      <w:b/>
      <w:lang w:val="en-GB" w:eastAsia="en-US"/>
    </w:rPr>
  </w:style>
  <w:style w:type="character" w:customStyle="1" w:styleId="SourceCarattere">
    <w:name w:val="Source Carattere"/>
    <w:basedOn w:val="DefaultParagraphFont"/>
    <w:link w:val="Source"/>
    <w:locked/>
    <w:rsid w:val="00F26449"/>
    <w:rPr>
      <w:rFonts w:ascii="Times New Roman" w:hAnsi="Times New Roman"/>
      <w:b/>
      <w:sz w:val="28"/>
      <w:lang w:val="en-GB" w:eastAsia="en-US"/>
    </w:rPr>
  </w:style>
  <w:style w:type="paragraph" w:customStyle="1" w:styleId="Tablefin">
    <w:name w:val="Table_fin"/>
    <w:basedOn w:val="Tablelegend"/>
    <w:qFormat/>
    <w:rsid w:val="00F26449"/>
    <w:pPr>
      <w:spacing w:before="0"/>
    </w:pPr>
    <w:rPr>
      <w:lang w:val="en-US"/>
    </w:rPr>
  </w:style>
  <w:style w:type="paragraph" w:styleId="TOCHeading">
    <w:name w:val="TOC Heading"/>
    <w:basedOn w:val="Heading1"/>
    <w:next w:val="Normal"/>
    <w:uiPriority w:val="39"/>
    <w:unhideWhenUsed/>
    <w:qFormat/>
    <w:rsid w:val="00F26449"/>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de-DE" w:eastAsia="zh-CN"/>
    </w:rPr>
  </w:style>
  <w:style w:type="character" w:customStyle="1" w:styleId="Heading1Char">
    <w:name w:val="Heading 1 Char"/>
    <w:basedOn w:val="DefaultParagraphFont"/>
    <w:link w:val="Heading1"/>
    <w:rsid w:val="00F26449"/>
    <w:rPr>
      <w:rFonts w:ascii="Times New Roman" w:hAnsi="Times New Roman"/>
      <w:b/>
      <w:sz w:val="28"/>
      <w:lang w:val="en-GB" w:eastAsia="en-US"/>
    </w:rPr>
  </w:style>
  <w:style w:type="character" w:customStyle="1" w:styleId="Heading2Char">
    <w:name w:val="Heading 2 Char"/>
    <w:basedOn w:val="DefaultParagraphFont"/>
    <w:link w:val="Heading2"/>
    <w:rsid w:val="00F26449"/>
    <w:rPr>
      <w:rFonts w:ascii="Times New Roman" w:hAnsi="Times New Roman"/>
      <w:b/>
      <w:sz w:val="24"/>
      <w:lang w:val="en-GB" w:eastAsia="en-US"/>
    </w:rPr>
  </w:style>
  <w:style w:type="character" w:customStyle="1" w:styleId="Heading3Char">
    <w:name w:val="Heading 3 Char"/>
    <w:basedOn w:val="DefaultParagraphFont"/>
    <w:link w:val="Heading3"/>
    <w:rsid w:val="00F26449"/>
    <w:rPr>
      <w:rFonts w:ascii="Times New Roman" w:hAnsi="Times New Roman"/>
      <w:b/>
      <w:sz w:val="24"/>
      <w:lang w:val="en-GB" w:eastAsia="en-US"/>
    </w:rPr>
  </w:style>
  <w:style w:type="character" w:customStyle="1" w:styleId="FiguretitleChar">
    <w:name w:val="Figure_title Char"/>
    <w:link w:val="Figuretitle"/>
    <w:locked/>
    <w:rsid w:val="00682954"/>
    <w:rPr>
      <w:rFonts w:ascii="Times New Roman Bold" w:hAnsi="Times New Roman Bold"/>
      <w:b/>
      <w:lang w:val="en-GB" w:eastAsia="ja-JP"/>
    </w:rPr>
  </w:style>
  <w:style w:type="character" w:styleId="CommentReference">
    <w:name w:val="annotation reference"/>
    <w:basedOn w:val="DefaultParagraphFont"/>
    <w:semiHidden/>
    <w:unhideWhenUsed/>
    <w:rsid w:val="00F26449"/>
    <w:rPr>
      <w:sz w:val="16"/>
      <w:szCs w:val="16"/>
    </w:rPr>
  </w:style>
  <w:style w:type="paragraph" w:styleId="CommentText">
    <w:name w:val="annotation text"/>
    <w:basedOn w:val="Normal"/>
    <w:link w:val="CommentTextChar"/>
    <w:semiHidden/>
    <w:unhideWhenUsed/>
    <w:rsid w:val="00F26449"/>
    <w:rPr>
      <w:sz w:val="20"/>
    </w:rPr>
  </w:style>
  <w:style w:type="character" w:customStyle="1" w:styleId="CommentTextChar">
    <w:name w:val="Comment Text Char"/>
    <w:basedOn w:val="DefaultParagraphFont"/>
    <w:link w:val="CommentText"/>
    <w:semiHidden/>
    <w:rsid w:val="00F2644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26449"/>
    <w:rPr>
      <w:b/>
      <w:bCs/>
    </w:rPr>
  </w:style>
  <w:style w:type="character" w:customStyle="1" w:styleId="CommentSubjectChar">
    <w:name w:val="Comment Subject Char"/>
    <w:basedOn w:val="CommentTextChar"/>
    <w:link w:val="CommentSubject"/>
    <w:semiHidden/>
    <w:rsid w:val="00F26449"/>
    <w:rPr>
      <w:rFonts w:ascii="Times New Roman" w:hAnsi="Times New Roman"/>
      <w:b/>
      <w:bCs/>
      <w:lang w:val="en-GB" w:eastAsia="en-US"/>
    </w:rPr>
  </w:style>
  <w:style w:type="paragraph" w:styleId="Revision">
    <w:name w:val="Revision"/>
    <w:hidden/>
    <w:uiPriority w:val="99"/>
    <w:semiHidden/>
    <w:rsid w:val="00F26449"/>
    <w:rPr>
      <w:rFonts w:ascii="Times New Roman" w:hAnsi="Times New Roman"/>
      <w:sz w:val="24"/>
      <w:lang w:val="en-GB" w:eastAsia="en-US"/>
    </w:rPr>
  </w:style>
  <w:style w:type="paragraph" w:styleId="BalloonText">
    <w:name w:val="Balloon Text"/>
    <w:basedOn w:val="Normal"/>
    <w:link w:val="BalloonTextChar"/>
    <w:semiHidden/>
    <w:unhideWhenUsed/>
    <w:rsid w:val="00F2644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26449"/>
    <w:rPr>
      <w:rFonts w:ascii="Segoe UI" w:hAnsi="Segoe UI" w:cs="Segoe UI"/>
      <w:sz w:val="18"/>
      <w:szCs w:val="18"/>
      <w:lang w:val="en-GB" w:eastAsia="en-US"/>
    </w:rPr>
  </w:style>
  <w:style w:type="paragraph" w:customStyle="1" w:styleId="EditorsNotet">
    <w:name w:val="EditorsNotet"/>
    <w:basedOn w:val="Normal"/>
    <w:rsid w:val="00682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rodocdb.dk/Docs/doc98/official/pdf/ECCDEC080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rodocdb.dk/Docs/doc98/official/pdf/REC0801.PDF" TargetMode="External"/><Relationship Id="rId17" Type="http://schemas.openxmlformats.org/officeDocument/2006/relationships/hyperlink" Target="https://www.legislation.gov.au/Details/F2018L00026"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R-QUE-SG05.205" TargetMode="External"/><Relationship Id="rId5" Type="http://schemas.openxmlformats.org/officeDocument/2006/relationships/styles" Target="styles.xml"/><Relationship Id="rId15" Type="http://schemas.openxmlformats.org/officeDocument/2006/relationships/hyperlink" Target="http://www.erodocdb.dk/Docs/doc98/official/pdf/ECCDEC0801.PDF" TargetMode="Externa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legal-content/EN/TXT/PDF/?uri=CELEX:32008D0671&amp;from=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ts.dot.gov/factsheets/JPO_cvPilot.htm" TargetMode="External"/><Relationship Id="rId3" Type="http://schemas.openxmlformats.org/officeDocument/2006/relationships/hyperlink" Target="http://www.etsi.org/deliver/etsi_en/302500_302599/302571/02.00.00_20/en_302571v020000a.pdf" TargetMode="External"/><Relationship Id="rId7" Type="http://schemas.openxmlformats.org/officeDocument/2006/relationships/hyperlink" Target="http://www.aztech.org/projects/connected-vehicles-research.htm" TargetMode="External"/><Relationship Id="rId2" Type="http://schemas.openxmlformats.org/officeDocument/2006/relationships/hyperlink" Target="https://www.volkswagenag.com/en/news/2017/06/pwlan.html" TargetMode="External"/><Relationship Id="rId1" Type="http://schemas.openxmlformats.org/officeDocument/2006/relationships/hyperlink" Target="https://www.c-roads.eu/platform.html" TargetMode="External"/><Relationship Id="rId6" Type="http://schemas.openxmlformats.org/officeDocument/2006/relationships/hyperlink" Target="http://corporatenews.pressroom.toyota.com/releases/toyota-umtri-largest-connected-car-proving-ground.htm" TargetMode="External"/><Relationship Id="rId5" Type="http://schemas.openxmlformats.org/officeDocument/2006/relationships/hyperlink" Target="https://www.nhtsa.gov/sites/nhtsa.dot.gov/files/812171-safetypilotmodeldeploydeltestcondrtmrep.pdf" TargetMode="External"/><Relationship Id="rId4" Type="http://schemas.openxmlformats.org/officeDocument/2006/relationships/hyperlink" Target="http://www.its.dot.gov/press/fhw200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24D18C0B-3C8B-44CD-AEAB-9803412901F6}">
  <ds:schemaRefs>
    <ds:schemaRef ds:uri="http://schemas.microsoft.com/sharepoint/v3/contenttype/forms"/>
  </ds:schemaRefs>
</ds:datastoreItem>
</file>

<file path=customXml/itemProps2.xml><?xml version="1.0" encoding="utf-8"?>
<ds:datastoreItem xmlns:ds="http://schemas.openxmlformats.org/officeDocument/2006/customXml" ds:itemID="{7704DB0C-1F1F-4767-9371-0A6E6DF88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4548F-B5EE-45D2-A2C6-CB4D5096DBF5}">
  <ds:schemaRefs>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52e7451a-2438-4699-974e-3752ec5efa44"/>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8</TotalTime>
  <Pages>7</Pages>
  <Words>1868</Words>
  <Characters>10957</Characters>
  <Application>Microsoft Office Word</Application>
  <DocSecurity>0</DocSecurity>
  <Lines>91</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12800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delaRosaT.2</dc:creator>
  <cp:lastModifiedBy>delaRosaT.2</cp:lastModifiedBy>
  <cp:revision>4</cp:revision>
  <cp:lastPrinted>2008-02-21T14:04:00Z</cp:lastPrinted>
  <dcterms:created xsi:type="dcterms:W3CDTF">2018-06-04T13:04:00Z</dcterms:created>
  <dcterms:modified xsi:type="dcterms:W3CDTF">2018-06-04T13:12:00Z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