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7530DF" w:rsidP="007530DF">
            <w:pPr>
              <w:shd w:val="solid" w:color="FFFFFF" w:fill="FFFFFF"/>
              <w:spacing w:before="0" w:line="240" w:lineRule="atLeast"/>
              <w:jc w:val="right"/>
            </w:pPr>
            <w:bookmarkStart w:id="0" w:name="ditulogo"/>
            <w:bookmarkEnd w:id="0"/>
            <w:r w:rsidRPr="00F21593">
              <w:rPr>
                <w:rFonts w:ascii="Verdana" w:hAnsi="Verdana"/>
                <w:noProof/>
                <w:color w:val="FFFFFF"/>
                <w:sz w:val="26"/>
                <w:szCs w:val="26"/>
                <w:lang w:val="en-US" w:eastAsia="zh-CN"/>
              </w:rPr>
              <w:drawing>
                <wp:inline distT="0" distB="0" distL="0" distR="0">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7530DF" w:rsidRDefault="007530DF" w:rsidP="007530D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 February 2016</w:t>
            </w:r>
          </w:p>
          <w:p w:rsidR="007530DF" w:rsidRPr="00982084" w:rsidRDefault="007530DF" w:rsidP="007530D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w:t>
            </w:r>
            <w:r>
              <w:rPr>
                <w:rFonts w:ascii="Verdana" w:hAnsi="Verdana"/>
                <w:sz w:val="20"/>
              </w:rPr>
              <w:tab/>
            </w:r>
            <w:hyperlink r:id="rId9" w:history="1">
              <w:r w:rsidRPr="00D66F33">
                <w:rPr>
                  <w:rStyle w:val="Hyperlink"/>
                  <w:rFonts w:ascii="Verdana" w:hAnsi="Verdana"/>
                  <w:sz w:val="20"/>
                </w:rPr>
                <w:t>ITU-R 229-4/5</w:t>
              </w:r>
            </w:hyperlink>
          </w:p>
        </w:tc>
        <w:tc>
          <w:tcPr>
            <w:tcW w:w="3451" w:type="dxa"/>
          </w:tcPr>
          <w:p w:rsidR="000069D4" w:rsidRPr="007530DF" w:rsidRDefault="007530DF"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5D/12-E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7530DF" w:rsidRDefault="007530DF" w:rsidP="00A5173C">
            <w:pPr>
              <w:shd w:val="solid" w:color="FFFFFF" w:fill="FFFFFF"/>
              <w:spacing w:before="0" w:line="240" w:lineRule="atLeast"/>
              <w:rPr>
                <w:rFonts w:ascii="Verdana" w:hAnsi="Verdana"/>
                <w:sz w:val="20"/>
                <w:lang w:eastAsia="zh-CN"/>
              </w:rPr>
            </w:pPr>
            <w:r>
              <w:rPr>
                <w:rFonts w:ascii="Verdana" w:hAnsi="Verdana"/>
                <w:b/>
                <w:sz w:val="20"/>
                <w:lang w:eastAsia="zh-CN"/>
              </w:rPr>
              <w:t>2 February 2016</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Default="007530DF"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321052" w:rsidRDefault="00321052" w:rsidP="00A5173C">
            <w:pPr>
              <w:shd w:val="solid" w:color="FFFFFF" w:fill="FFFFFF"/>
              <w:spacing w:before="0" w:line="240" w:lineRule="atLeast"/>
              <w:rPr>
                <w:rFonts w:ascii="Verdana" w:eastAsia="SimSun" w:hAnsi="Verdana"/>
                <w:b/>
                <w:sz w:val="20"/>
                <w:lang w:eastAsia="zh-CN"/>
              </w:rPr>
            </w:pPr>
          </w:p>
          <w:p w:rsidR="00321052" w:rsidRPr="007530DF" w:rsidRDefault="0032105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GENERAL ASPECTS</w:t>
            </w:r>
            <w:bookmarkStart w:id="5" w:name="_GoBack"/>
            <w:bookmarkEnd w:id="5"/>
          </w:p>
        </w:tc>
      </w:tr>
      <w:tr w:rsidR="000069D4">
        <w:trPr>
          <w:cantSplit/>
        </w:trPr>
        <w:tc>
          <w:tcPr>
            <w:tcW w:w="10031" w:type="dxa"/>
            <w:gridSpan w:val="2"/>
          </w:tcPr>
          <w:p w:rsidR="000069D4" w:rsidRDefault="007530DF" w:rsidP="007530DF">
            <w:pPr>
              <w:pStyle w:val="Source"/>
              <w:rPr>
                <w:lang w:eastAsia="zh-CN"/>
              </w:rPr>
            </w:pPr>
            <w:bookmarkStart w:id="6" w:name="dsource" w:colFirst="0" w:colLast="0"/>
            <w:bookmarkEnd w:id="4"/>
            <w:r w:rsidRPr="00B577A5">
              <w:rPr>
                <w:lang w:val="en-CA" w:eastAsia="zh-CN"/>
              </w:rPr>
              <w:t>Ericsson Canada, Inc.</w:t>
            </w:r>
          </w:p>
        </w:tc>
      </w:tr>
      <w:tr w:rsidR="000069D4">
        <w:trPr>
          <w:cantSplit/>
        </w:trPr>
        <w:tc>
          <w:tcPr>
            <w:tcW w:w="10031" w:type="dxa"/>
            <w:gridSpan w:val="2"/>
          </w:tcPr>
          <w:p w:rsidR="000069D4" w:rsidRDefault="007530DF" w:rsidP="00A5173C">
            <w:pPr>
              <w:pStyle w:val="Title1"/>
              <w:rPr>
                <w:lang w:eastAsia="zh-CN"/>
              </w:rPr>
            </w:pPr>
            <w:bookmarkStart w:id="7" w:name="drec" w:colFirst="0" w:colLast="0"/>
            <w:bookmarkEnd w:id="6"/>
            <w:r w:rsidRPr="00B577A5">
              <w:rPr>
                <w:lang w:val="en-CA" w:eastAsia="ja-JP"/>
              </w:rPr>
              <w:t>PROPOSED Working document towards a preliminary draft new Report M.[IMT.TV-600] “TELEVISION distribution using terrestrial International Mobile Telecommunication (IMT)</w:t>
            </w:r>
            <w:r w:rsidRPr="00B577A5">
              <w:rPr>
                <w:lang w:val="en-CA"/>
              </w:rPr>
              <w:t xml:space="preserve"> </w:t>
            </w:r>
            <w:r w:rsidRPr="00B577A5">
              <w:rPr>
                <w:lang w:val="en-CA" w:eastAsia="ja-JP"/>
              </w:rPr>
              <w:t xml:space="preserve">networks in the </w:t>
            </w:r>
            <w:r w:rsidRPr="00B577A5">
              <w:rPr>
                <w:lang w:val="en-CA"/>
              </w:rPr>
              <w:t>frequency range 470-698</w:t>
            </w:r>
            <w:r w:rsidRPr="00B577A5">
              <w:rPr>
                <w:lang w:val="en-CA" w:eastAsia="ja-JP"/>
              </w:rPr>
              <w:t xml:space="preserve"> MH</w:t>
            </w:r>
            <w:r w:rsidRPr="00B577A5">
              <w:rPr>
                <w:caps w:val="0"/>
                <w:lang w:val="en-CA" w:eastAsia="ja-JP"/>
              </w:rPr>
              <w:t>z</w:t>
            </w:r>
            <w:r w:rsidRPr="00B577A5">
              <w:rPr>
                <w:lang w:val="en-CA" w:eastAsia="ja-JP"/>
              </w:rPr>
              <w:t>”</w:t>
            </w:r>
          </w:p>
        </w:tc>
      </w:tr>
      <w:tr w:rsidR="000069D4">
        <w:trPr>
          <w:cantSplit/>
        </w:trPr>
        <w:tc>
          <w:tcPr>
            <w:tcW w:w="10031" w:type="dxa"/>
            <w:gridSpan w:val="2"/>
          </w:tcPr>
          <w:p w:rsidR="000069D4" w:rsidRDefault="000069D4" w:rsidP="00A5173C">
            <w:pPr>
              <w:pStyle w:val="Title1"/>
              <w:rPr>
                <w:lang w:eastAsia="zh-CN"/>
              </w:rPr>
            </w:pPr>
            <w:bookmarkStart w:id="8" w:name="dtitle1" w:colFirst="0" w:colLast="0"/>
            <w:bookmarkEnd w:id="7"/>
          </w:p>
        </w:tc>
      </w:tr>
    </w:tbl>
    <w:p w:rsidR="007530DF" w:rsidRPr="007530DF" w:rsidRDefault="007530DF" w:rsidP="0024611E">
      <w:pPr>
        <w:rPr>
          <w:lang w:val="en-US" w:eastAsia="zh-CN"/>
        </w:rPr>
      </w:pPr>
      <w:bookmarkStart w:id="9" w:name="dbreak"/>
      <w:bookmarkEnd w:id="8"/>
      <w:bookmarkEnd w:id="9"/>
    </w:p>
    <w:p w:rsidR="007530DF" w:rsidRPr="0024611E" w:rsidRDefault="007530DF" w:rsidP="0024611E">
      <w:pPr>
        <w:pStyle w:val="Heading1"/>
      </w:pPr>
      <w:r w:rsidRPr="0024611E">
        <w:t>1</w:t>
      </w:r>
      <w:r w:rsidRPr="0024611E">
        <w:tab/>
        <w:t>Introduction</w:t>
      </w:r>
    </w:p>
    <w:p w:rsidR="007530DF" w:rsidRPr="00B577A5" w:rsidRDefault="007530DF" w:rsidP="007530DF">
      <w:pPr>
        <w:pStyle w:val="PlainText"/>
        <w:spacing w:before="120"/>
        <w:rPr>
          <w:rFonts w:ascii="Times New Roman" w:hAnsi="Times New Roman" w:cs="Times New Roman"/>
          <w:sz w:val="24"/>
          <w:szCs w:val="24"/>
          <w:lang w:val="en-CA"/>
        </w:rPr>
      </w:pPr>
      <w:r w:rsidRPr="00B577A5">
        <w:rPr>
          <w:rFonts w:ascii="Times New Roman" w:eastAsia="Times New Roman" w:hAnsi="Times New Roman" w:cs="Times New Roman"/>
          <w:sz w:val="24"/>
          <w:szCs w:val="24"/>
          <w:lang w:val="en-CA"/>
        </w:rPr>
        <w:t>At WRC-1</w:t>
      </w:r>
      <w:r>
        <w:rPr>
          <w:rFonts w:ascii="Times New Roman" w:eastAsia="Times New Roman" w:hAnsi="Times New Roman" w:cs="Times New Roman"/>
          <w:sz w:val="24"/>
          <w:szCs w:val="24"/>
          <w:lang w:val="en-CA"/>
        </w:rPr>
        <w:t>5</w:t>
      </w:r>
      <w:r w:rsidRPr="00B577A5">
        <w:rPr>
          <w:rFonts w:ascii="Times New Roman" w:eastAsia="Times New Roman" w:hAnsi="Times New Roman" w:cs="Times New Roman"/>
          <w:sz w:val="24"/>
          <w:szCs w:val="24"/>
          <w:lang w:val="en-CA"/>
        </w:rPr>
        <w:t xml:space="preserve"> the band 470-698 MHz or parts of it were identified for use by IMT in a number of countries in Regions 2 and 3; refer to the Article 5 table of allocations footnotes 5.idR2a, 5.idR2b and 5.idR3 in the </w:t>
      </w:r>
      <w:hyperlink r:id="rId10" w:history="1">
        <w:r w:rsidRPr="00B577A5">
          <w:rPr>
            <w:rStyle w:val="Hyperlink"/>
            <w:rFonts w:ascii="Times New Roman" w:hAnsi="Times New Roman"/>
            <w:sz w:val="24"/>
            <w:szCs w:val="24"/>
            <w:lang w:val="en-CA"/>
          </w:rPr>
          <w:t>WRC-15 Provisional Final Acts</w:t>
        </w:r>
      </w:hyperlink>
      <w:r w:rsidRPr="00B577A5">
        <w:rPr>
          <w:rFonts w:ascii="Times New Roman" w:eastAsia="Times New Roman" w:hAnsi="Times New Roman" w:cs="Times New Roman"/>
          <w:sz w:val="24"/>
          <w:szCs w:val="24"/>
          <w:lang w:val="en-CA"/>
        </w:rPr>
        <w:t>. Since this band is also allocated to the broadcasting service, it offers the possibility of synergistic deployments for the distribution of television content.</w:t>
      </w:r>
    </w:p>
    <w:p w:rsidR="007530DF" w:rsidRPr="00B577A5" w:rsidRDefault="007530DF" w:rsidP="007530DF">
      <w:pPr>
        <w:pStyle w:val="PlainText"/>
        <w:spacing w:before="120"/>
        <w:rPr>
          <w:rFonts w:ascii="Times New Roman" w:eastAsia="Times New Roman" w:hAnsi="Times New Roman" w:cs="Times New Roman"/>
          <w:sz w:val="24"/>
          <w:szCs w:val="20"/>
          <w:lang w:val="en-CA"/>
        </w:rPr>
      </w:pPr>
      <w:r w:rsidRPr="00B577A5">
        <w:rPr>
          <w:rFonts w:ascii="Times New Roman" w:hAnsi="Times New Roman" w:cs="Times New Roman"/>
          <w:sz w:val="24"/>
          <w:szCs w:val="24"/>
          <w:lang w:val="en-CA"/>
        </w:rPr>
        <w:t xml:space="preserve">Work has already been conducted in a number of organizations (e.g., EBU, CITEL) to examine the digital television transition and opportunities for application convergence between broadcasting and broadband networks to distribute audio-visual content.  In particular </w:t>
      </w:r>
      <w:hyperlink r:id="rId11" w:history="1">
        <w:r w:rsidRPr="00B577A5">
          <w:rPr>
            <w:rStyle w:val="Hyperlink"/>
            <w:rFonts w:ascii="Times New Roman" w:eastAsia="Times New Roman" w:hAnsi="Times New Roman"/>
            <w:sz w:val="24"/>
            <w:szCs w:val="20"/>
            <w:lang w:val="en-CA"/>
          </w:rPr>
          <w:t>Report ITU-R M.2373</w:t>
        </w:r>
      </w:hyperlink>
      <w:r w:rsidRPr="00B577A5">
        <w:rPr>
          <w:rFonts w:ascii="Times New Roman" w:eastAsia="Times New Roman" w:hAnsi="Times New Roman" w:cs="Times New Roman"/>
          <w:sz w:val="24"/>
          <w:szCs w:val="20"/>
          <w:lang w:val="en-CA"/>
        </w:rPr>
        <w:t xml:space="preserve"> examines the capabilities of IMT systems to deliver audio-visual services, especially, given the increasing desire by users to consume such content at any time, in any place with their preferred device.  It examines those user requirements as well as some of the requirements from the audio-visual content providers and examines the use cases where IMT offers advantages over other audio-visual delivery systems, and evaluates the capabilities of the system in meeting those requirements.  However, the content of Report ITU-R M.2373 is not band-specific; therefore it is now timely to investigate the opportunities presented by the identification for IMT </w:t>
      </w:r>
      <w:r>
        <w:rPr>
          <w:rFonts w:ascii="Times New Roman" w:eastAsia="Times New Roman" w:hAnsi="Times New Roman" w:cs="Times New Roman"/>
          <w:sz w:val="24"/>
          <w:szCs w:val="20"/>
          <w:lang w:val="en-CA"/>
        </w:rPr>
        <w:t>in frequencies within</w:t>
      </w:r>
      <w:r w:rsidRPr="00B577A5">
        <w:rPr>
          <w:rFonts w:ascii="Times New Roman" w:eastAsia="Times New Roman" w:hAnsi="Times New Roman" w:cs="Times New Roman"/>
          <w:sz w:val="24"/>
          <w:szCs w:val="20"/>
          <w:lang w:val="en-CA"/>
        </w:rPr>
        <w:t xml:space="preserve"> </w:t>
      </w:r>
      <w:r>
        <w:rPr>
          <w:rFonts w:ascii="Times New Roman" w:eastAsia="Times New Roman" w:hAnsi="Times New Roman" w:cs="Times New Roman"/>
          <w:sz w:val="24"/>
          <w:szCs w:val="20"/>
          <w:lang w:val="en-CA"/>
        </w:rPr>
        <w:t xml:space="preserve">the range </w:t>
      </w:r>
      <w:r w:rsidRPr="00B577A5">
        <w:rPr>
          <w:rFonts w:ascii="Times New Roman" w:eastAsia="Times New Roman" w:hAnsi="Times New Roman" w:cs="Times New Roman"/>
          <w:sz w:val="24"/>
          <w:szCs w:val="20"/>
          <w:lang w:val="en-CA"/>
        </w:rPr>
        <w:t xml:space="preserve">470-698 MHz, as more countries extend their transition </w:t>
      </w:r>
      <w:r>
        <w:rPr>
          <w:rFonts w:ascii="Times New Roman" w:eastAsia="Times New Roman" w:hAnsi="Times New Roman" w:cs="Times New Roman"/>
          <w:sz w:val="24"/>
          <w:szCs w:val="20"/>
          <w:lang w:val="en-CA"/>
        </w:rPr>
        <w:t xml:space="preserve">from analog </w:t>
      </w:r>
      <w:r w:rsidRPr="00B577A5">
        <w:rPr>
          <w:rFonts w:ascii="Times New Roman" w:eastAsia="Times New Roman" w:hAnsi="Times New Roman" w:cs="Times New Roman"/>
          <w:sz w:val="24"/>
          <w:szCs w:val="20"/>
          <w:lang w:val="en-CA"/>
        </w:rPr>
        <w:t>to digital television broadcasting.</w:t>
      </w:r>
    </w:p>
    <w:p w:rsidR="007530DF" w:rsidRPr="00B577A5" w:rsidRDefault="007530DF" w:rsidP="007530DF">
      <w:pPr>
        <w:pStyle w:val="PlainText"/>
        <w:spacing w:before="120"/>
        <w:rPr>
          <w:rFonts w:ascii="Times New Roman" w:eastAsia="Times New Roman" w:hAnsi="Times New Roman" w:cs="Times New Roman"/>
          <w:sz w:val="24"/>
          <w:szCs w:val="20"/>
          <w:lang w:val="en-CA"/>
        </w:rPr>
      </w:pPr>
      <w:r w:rsidRPr="00B577A5">
        <w:rPr>
          <w:rFonts w:ascii="Times New Roman" w:eastAsia="Times New Roman" w:hAnsi="Times New Roman" w:cs="Times New Roman"/>
          <w:sz w:val="24"/>
          <w:szCs w:val="20"/>
          <w:lang w:val="en-CA"/>
        </w:rPr>
        <w:t>This contribution is intended to initiate the development of a working document to address these issues and help develop transition plans and effective network deployments for the delivery of television content.</w:t>
      </w:r>
    </w:p>
    <w:p w:rsidR="0024611E" w:rsidRDefault="0024611E" w:rsidP="0024611E">
      <w:pPr>
        <w:pStyle w:val="Heading1"/>
      </w:pPr>
      <w:r>
        <w:br w:type="page"/>
      </w:r>
    </w:p>
    <w:p w:rsidR="007530DF" w:rsidRPr="0024611E" w:rsidRDefault="007530DF" w:rsidP="0024611E">
      <w:pPr>
        <w:pStyle w:val="Heading1"/>
      </w:pPr>
      <w:r w:rsidRPr="0024611E">
        <w:lastRenderedPageBreak/>
        <w:t>2</w:t>
      </w:r>
      <w:r w:rsidRPr="0024611E">
        <w:tab/>
        <w:t>Proposal</w:t>
      </w:r>
    </w:p>
    <w:p w:rsidR="007530DF" w:rsidRPr="00B577A5" w:rsidRDefault="007530DF" w:rsidP="007530DF">
      <w:pPr>
        <w:rPr>
          <w:lang w:val="en-CA"/>
        </w:rPr>
      </w:pPr>
      <w:r w:rsidRPr="00B577A5">
        <w:rPr>
          <w:lang w:val="en-CA"/>
        </w:rPr>
        <w:t xml:space="preserve">Ericsson proposes that WP 5D initiates the development of a working document towards a preliminary draft new Report M.[IMT.TV-600] “Television distribution using terrestrial International Mobile Telecommunication (IMT) networks in the frequency range 470-698 MHz” as shown in </w:t>
      </w:r>
      <w:hyperlink w:anchor="att1" w:history="1">
        <w:r w:rsidRPr="00B577A5">
          <w:rPr>
            <w:rStyle w:val="Hyperlink"/>
            <w:lang w:val="en-CA"/>
          </w:rPr>
          <w:t>Attachment 1</w:t>
        </w:r>
      </w:hyperlink>
      <w:r w:rsidRPr="00B577A5">
        <w:rPr>
          <w:lang w:val="en-CA"/>
        </w:rPr>
        <w:t>.</w:t>
      </w:r>
    </w:p>
    <w:p w:rsidR="007530DF" w:rsidRPr="00B577A5" w:rsidRDefault="007530DF" w:rsidP="007530DF">
      <w:pPr>
        <w:rPr>
          <w:lang w:val="en-CA"/>
        </w:rPr>
      </w:pPr>
      <w:r w:rsidRPr="00B577A5">
        <w:rPr>
          <w:lang w:val="en-CA"/>
        </w:rPr>
        <w:t xml:space="preserve">Furthermore, it would be useful to liaise with WP 6A at an early stage, therefore </w:t>
      </w:r>
      <w:hyperlink w:anchor="att2" w:history="1">
        <w:r w:rsidRPr="00B577A5">
          <w:rPr>
            <w:rStyle w:val="Hyperlink"/>
            <w:lang w:val="en-CA"/>
          </w:rPr>
          <w:t>Attachment 2</w:t>
        </w:r>
      </w:hyperlink>
      <w:r w:rsidRPr="00B577A5">
        <w:rPr>
          <w:lang w:val="en-CA"/>
        </w:rPr>
        <w:t xml:space="preserve"> proposes a draft liaison statement for consideration by WP 5D.</w:t>
      </w:r>
    </w:p>
    <w:p w:rsidR="007530DF" w:rsidRPr="00B577A5" w:rsidRDefault="007530DF" w:rsidP="007530DF">
      <w:pPr>
        <w:rPr>
          <w:lang w:val="en-CA"/>
        </w:rPr>
      </w:pPr>
      <w:r w:rsidRPr="00B577A5">
        <w:rPr>
          <w:lang w:val="en-CA"/>
        </w:rPr>
        <w:t xml:space="preserve">A detailed workplan for the development of a working document towards a preliminary draft new Report ITU-R M.[IMT.TV-600] is proposed in </w:t>
      </w:r>
      <w:hyperlink w:anchor="att3" w:history="1">
        <w:r w:rsidRPr="00B577A5">
          <w:rPr>
            <w:rStyle w:val="Hyperlink"/>
            <w:lang w:val="en-CA"/>
          </w:rPr>
          <w:t>Attachment 3</w:t>
        </w:r>
      </w:hyperlink>
      <w:r w:rsidRPr="00B577A5">
        <w:rPr>
          <w:lang w:val="en-CA"/>
        </w:rPr>
        <w:t>.</w:t>
      </w:r>
    </w:p>
    <w:p w:rsidR="007530DF" w:rsidRPr="00321052" w:rsidRDefault="007530DF" w:rsidP="0024611E">
      <w:pPr>
        <w:pStyle w:val="Headingb"/>
        <w:rPr>
          <w:lang w:val="en-US"/>
        </w:rPr>
      </w:pPr>
      <w:r w:rsidRPr="00321052">
        <w:rPr>
          <w:lang w:val="en-US"/>
        </w:rPr>
        <w:t>List of attachments:</w:t>
      </w:r>
    </w:p>
    <w:p w:rsidR="007530DF" w:rsidRPr="00B577A5" w:rsidRDefault="00321052" w:rsidP="003F0AB7">
      <w:pPr>
        <w:ind w:left="1871" w:hanging="1871"/>
        <w:rPr>
          <w:lang w:val="en-CA"/>
        </w:rPr>
      </w:pPr>
      <w:hyperlink w:anchor="att1" w:history="1">
        <w:r w:rsidR="007530DF" w:rsidRPr="00B577A5">
          <w:rPr>
            <w:rStyle w:val="Hyperlink"/>
            <w:b/>
            <w:bCs/>
            <w:lang w:val="en-CA"/>
          </w:rPr>
          <w:t>Attachment 1</w:t>
        </w:r>
      </w:hyperlink>
      <w:r w:rsidR="007530DF" w:rsidRPr="00B577A5">
        <w:rPr>
          <w:b/>
          <w:bCs/>
          <w:lang w:val="en-CA"/>
        </w:rPr>
        <w:t>:</w:t>
      </w:r>
      <w:r w:rsidR="007530DF" w:rsidRPr="00B577A5">
        <w:rPr>
          <w:b/>
          <w:bCs/>
          <w:lang w:val="en-CA"/>
        </w:rPr>
        <w:tab/>
      </w:r>
      <w:r w:rsidR="007530DF" w:rsidRPr="00B577A5">
        <w:rPr>
          <w:lang w:val="en-CA"/>
        </w:rPr>
        <w:t>Working document towards a preliminary draft new Report M.[IMT.TV-600] “Television distribution using terrestrial International Mobile Telecommunication (IMT) networks in the frequency range 470-698 MHz”</w:t>
      </w:r>
    </w:p>
    <w:p w:rsidR="007530DF" w:rsidRPr="00B577A5" w:rsidRDefault="00321052" w:rsidP="0024611E">
      <w:pPr>
        <w:rPr>
          <w:lang w:val="en-CA"/>
        </w:rPr>
      </w:pPr>
      <w:hyperlink w:anchor="att2" w:history="1">
        <w:r w:rsidR="007530DF" w:rsidRPr="00B577A5">
          <w:rPr>
            <w:rStyle w:val="Hyperlink"/>
            <w:b/>
            <w:lang w:val="en-CA"/>
          </w:rPr>
          <w:t>Attachment 2</w:t>
        </w:r>
      </w:hyperlink>
      <w:r w:rsidR="007530DF" w:rsidRPr="00B577A5">
        <w:rPr>
          <w:b/>
          <w:lang w:val="en-CA"/>
        </w:rPr>
        <w:t xml:space="preserve">: </w:t>
      </w:r>
      <w:r w:rsidR="007530DF" w:rsidRPr="00B577A5">
        <w:rPr>
          <w:lang w:val="en-CA"/>
        </w:rPr>
        <w:tab/>
        <w:t>Proposed draft liaison statement to WP 6A.</w:t>
      </w:r>
    </w:p>
    <w:p w:rsidR="007530DF" w:rsidRPr="00B577A5" w:rsidRDefault="00321052" w:rsidP="003F0AB7">
      <w:pPr>
        <w:ind w:left="1871" w:hanging="1871"/>
        <w:rPr>
          <w:lang w:val="en-CA"/>
        </w:rPr>
      </w:pPr>
      <w:hyperlink w:anchor="att3" w:history="1">
        <w:r w:rsidR="007530DF" w:rsidRPr="00B577A5">
          <w:rPr>
            <w:rStyle w:val="Hyperlink"/>
            <w:b/>
            <w:lang w:val="en-CA"/>
          </w:rPr>
          <w:t>Attachment 3</w:t>
        </w:r>
      </w:hyperlink>
      <w:r w:rsidR="007530DF" w:rsidRPr="00B577A5">
        <w:rPr>
          <w:b/>
          <w:lang w:val="en-CA"/>
        </w:rPr>
        <w:t xml:space="preserve">: </w:t>
      </w:r>
      <w:r w:rsidR="007530DF" w:rsidRPr="00B577A5">
        <w:rPr>
          <w:lang w:val="en-CA"/>
        </w:rPr>
        <w:tab/>
        <w:t>Detailed workplan for the development of a working document towards a preliminary draft new Report ITU-R M.[IMT.TV-600]</w:t>
      </w:r>
      <w:r w:rsidR="007530DF">
        <w:rPr>
          <w:lang w:val="en-CA"/>
        </w:rPr>
        <w:t xml:space="preserve"> </w:t>
      </w:r>
      <w:r w:rsidR="007530DF" w:rsidRPr="00B577A5">
        <w:rPr>
          <w:lang w:val="en-CA"/>
        </w:rPr>
        <w:t>“Television distribution using terrestrial International Mobile Telecommunication (IMT) networks in the frequency range 470-698 MHz”.</w:t>
      </w:r>
    </w:p>
    <w:p w:rsidR="007530DF" w:rsidRPr="00B577A5" w:rsidRDefault="007530DF" w:rsidP="007530DF">
      <w:pPr>
        <w:pStyle w:val="AnnexNo"/>
        <w:spacing w:before="120"/>
        <w:rPr>
          <w:lang w:val="en-CA"/>
        </w:rPr>
      </w:pPr>
      <w:r w:rsidRPr="00B577A5">
        <w:rPr>
          <w:lang w:val="en-CA"/>
        </w:rPr>
        <w:br w:type="page"/>
      </w:r>
      <w:r w:rsidRPr="00B577A5">
        <w:rPr>
          <w:lang w:val="en-CA"/>
        </w:rPr>
        <w:lastRenderedPageBreak/>
        <w:t>Attachment</w:t>
      </w:r>
      <w:bookmarkStart w:id="10" w:name="att1"/>
      <w:bookmarkEnd w:id="10"/>
      <w:r w:rsidRPr="00B577A5">
        <w:rPr>
          <w:lang w:val="en-CA"/>
        </w:rPr>
        <w:t xml:space="preserve"> 1</w:t>
      </w:r>
    </w:p>
    <w:p w:rsidR="007530DF" w:rsidRPr="00B577A5" w:rsidRDefault="007530DF" w:rsidP="007530DF">
      <w:pPr>
        <w:pStyle w:val="RepNo"/>
        <w:rPr>
          <w:color w:val="000000" w:themeColor="text1"/>
          <w:lang w:val="en-CA" w:eastAsia="zh-CN"/>
        </w:rPr>
      </w:pPr>
      <w:bookmarkStart w:id="11" w:name="attach53"/>
      <w:bookmarkEnd w:id="11"/>
      <w:r w:rsidRPr="00B577A5">
        <w:rPr>
          <w:color w:val="000000" w:themeColor="text1"/>
          <w:lang w:val="en-CA" w:eastAsia="zh-CN"/>
        </w:rPr>
        <w:t xml:space="preserve">Working Document towards a Preliminary Draft </w:t>
      </w:r>
      <w:r w:rsidRPr="00B577A5">
        <w:rPr>
          <w:color w:val="000000" w:themeColor="text1"/>
          <w:lang w:val="en-CA" w:eastAsia="zh-CN"/>
        </w:rPr>
        <w:br/>
        <w:t>New Report ITU-R</w:t>
      </w:r>
      <w:r w:rsidRPr="00B577A5">
        <w:rPr>
          <w:lang w:val="en-CA"/>
        </w:rPr>
        <w:t xml:space="preserve"> </w:t>
      </w:r>
      <w:r w:rsidRPr="00B577A5">
        <w:rPr>
          <w:color w:val="000000" w:themeColor="text1"/>
          <w:lang w:val="en-CA" w:eastAsia="zh-CN"/>
        </w:rPr>
        <w:t>M.[IMT.TV-600]</w:t>
      </w:r>
    </w:p>
    <w:p w:rsidR="007530DF" w:rsidRPr="00B577A5" w:rsidRDefault="007530DF" w:rsidP="007530DF">
      <w:pPr>
        <w:pStyle w:val="Reptitle"/>
        <w:rPr>
          <w:color w:val="000000" w:themeColor="text1"/>
          <w:szCs w:val="28"/>
          <w:lang w:val="en-CA" w:eastAsia="zh-CN"/>
        </w:rPr>
      </w:pPr>
      <w:r w:rsidRPr="00B577A5">
        <w:rPr>
          <w:color w:val="000000" w:themeColor="text1"/>
          <w:lang w:val="en-CA"/>
        </w:rPr>
        <w:t>Television distribution using terrestrial International Mobile Telecommunication (IMT) networks in the frequency range 470-698 MHz</w:t>
      </w:r>
    </w:p>
    <w:p w:rsidR="007530DF" w:rsidRPr="00B577A5" w:rsidRDefault="007530DF" w:rsidP="007530DF">
      <w:pPr>
        <w:pStyle w:val="Headingb"/>
        <w:rPr>
          <w:lang w:val="en-CA"/>
        </w:rPr>
      </w:pPr>
    </w:p>
    <w:sdt>
      <w:sdtPr>
        <w:rPr>
          <w:lang w:val="en-CA"/>
        </w:rPr>
        <w:id w:val="1571148602"/>
        <w:docPartObj>
          <w:docPartGallery w:val="Table of Contents"/>
          <w:docPartUnique/>
        </w:docPartObj>
      </w:sdtPr>
      <w:sdtEndPr>
        <w:rPr>
          <w:b/>
          <w:bCs/>
          <w:noProof/>
        </w:rPr>
      </w:sdtEndPr>
      <w:sdtContent>
        <w:p w:rsidR="007530DF" w:rsidRPr="00B577A5" w:rsidRDefault="007530DF" w:rsidP="007530DF">
          <w:pPr>
            <w:jc w:val="center"/>
            <w:rPr>
              <w:lang w:val="en-CA" w:eastAsia="ja-JP"/>
            </w:rPr>
          </w:pPr>
          <w:r w:rsidRPr="00B577A5">
            <w:rPr>
              <w:lang w:val="en-CA" w:eastAsia="ja-JP"/>
            </w:rPr>
            <w:t>TABLE OF CONTENTS</w:t>
          </w:r>
        </w:p>
        <w:p w:rsidR="007530DF" w:rsidRDefault="007530DF"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r w:rsidRPr="00B577A5">
            <w:rPr>
              <w:lang w:val="en-CA"/>
            </w:rPr>
            <w:fldChar w:fldCharType="begin"/>
          </w:r>
          <w:r w:rsidRPr="00B577A5">
            <w:rPr>
              <w:lang w:val="en-CA"/>
            </w:rPr>
            <w:instrText xml:space="preserve"> TOC \o "1-3" \h \z \u </w:instrText>
          </w:r>
          <w:r w:rsidRPr="00B577A5">
            <w:rPr>
              <w:lang w:val="en-CA"/>
            </w:rPr>
            <w:fldChar w:fldCharType="separate"/>
          </w:r>
          <w:hyperlink w:anchor="_Toc441622054" w:history="1">
            <w:r w:rsidRPr="002751F7">
              <w:rPr>
                <w:rStyle w:val="Hyperlink"/>
                <w:noProof/>
                <w:lang w:val="en-CA"/>
              </w:rPr>
              <w:t>1</w:t>
            </w:r>
            <w:r>
              <w:rPr>
                <w:rFonts w:asciiTheme="minorHAnsi" w:eastAsiaTheme="minorEastAsia" w:hAnsiTheme="minorHAnsi" w:cstheme="minorBidi"/>
                <w:noProof/>
                <w:sz w:val="22"/>
                <w:szCs w:val="22"/>
                <w:lang w:val="en-US" w:eastAsia="zh-CN"/>
              </w:rPr>
              <w:tab/>
            </w:r>
            <w:r w:rsidRPr="002751F7">
              <w:rPr>
                <w:rStyle w:val="Hyperlink"/>
                <w:noProof/>
                <w:lang w:val="en-CA"/>
              </w:rPr>
              <w:t>Introduction</w:t>
            </w:r>
            <w:r>
              <w:rPr>
                <w:noProof/>
                <w:webHidden/>
              </w:rPr>
              <w:tab/>
            </w:r>
            <w:r>
              <w:rPr>
                <w:noProof/>
                <w:webHidden/>
              </w:rPr>
              <w:fldChar w:fldCharType="begin"/>
            </w:r>
            <w:r>
              <w:rPr>
                <w:noProof/>
                <w:webHidden/>
              </w:rPr>
              <w:instrText xml:space="preserve"> PAGEREF _Toc441622054 \h </w:instrText>
            </w:r>
            <w:r>
              <w:rPr>
                <w:noProof/>
                <w:webHidden/>
              </w:rPr>
            </w:r>
            <w:r>
              <w:rPr>
                <w:noProof/>
                <w:webHidden/>
              </w:rPr>
              <w:fldChar w:fldCharType="separate"/>
            </w:r>
            <w:r w:rsidR="003F0AB7">
              <w:rPr>
                <w:noProof/>
                <w:webHidden/>
              </w:rPr>
              <w:t>4</w:t>
            </w:r>
            <w:r>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55" w:history="1">
            <w:r w:rsidR="007530DF" w:rsidRPr="002751F7">
              <w:rPr>
                <w:rStyle w:val="Hyperlink"/>
                <w:noProof/>
                <w:lang w:val="en-CA"/>
              </w:rPr>
              <w:t>2</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Background and motivation</w:t>
            </w:r>
            <w:r w:rsidR="007530DF">
              <w:rPr>
                <w:noProof/>
                <w:webHidden/>
              </w:rPr>
              <w:tab/>
            </w:r>
            <w:r w:rsidR="007530DF">
              <w:rPr>
                <w:noProof/>
                <w:webHidden/>
              </w:rPr>
              <w:fldChar w:fldCharType="begin"/>
            </w:r>
            <w:r w:rsidR="007530DF">
              <w:rPr>
                <w:noProof/>
                <w:webHidden/>
              </w:rPr>
              <w:instrText xml:space="preserve"> PAGEREF _Toc441622055 \h </w:instrText>
            </w:r>
            <w:r w:rsidR="007530DF">
              <w:rPr>
                <w:noProof/>
                <w:webHidden/>
              </w:rPr>
            </w:r>
            <w:r w:rsidR="007530DF">
              <w:rPr>
                <w:noProof/>
                <w:webHidden/>
              </w:rPr>
              <w:fldChar w:fldCharType="separate"/>
            </w:r>
            <w:r w:rsidR="003F0AB7">
              <w:rPr>
                <w:noProof/>
                <w:webHidden/>
              </w:rPr>
              <w:t>4</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56" w:history="1">
            <w:r w:rsidR="007530DF" w:rsidRPr="002751F7">
              <w:rPr>
                <w:rStyle w:val="Hyperlink"/>
                <w:noProof/>
                <w:lang w:val="en-CA"/>
              </w:rPr>
              <w:t>3</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Related documents</w:t>
            </w:r>
            <w:r w:rsidR="007530DF">
              <w:rPr>
                <w:noProof/>
                <w:webHidden/>
              </w:rPr>
              <w:tab/>
            </w:r>
            <w:r w:rsidR="007530DF">
              <w:rPr>
                <w:noProof/>
                <w:webHidden/>
              </w:rPr>
              <w:fldChar w:fldCharType="begin"/>
            </w:r>
            <w:r w:rsidR="007530DF">
              <w:rPr>
                <w:noProof/>
                <w:webHidden/>
              </w:rPr>
              <w:instrText xml:space="preserve"> PAGEREF _Toc441622056 \h </w:instrText>
            </w:r>
            <w:r w:rsidR="007530DF">
              <w:rPr>
                <w:noProof/>
                <w:webHidden/>
              </w:rPr>
            </w:r>
            <w:r w:rsidR="007530DF">
              <w:rPr>
                <w:noProof/>
                <w:webHidden/>
              </w:rPr>
              <w:fldChar w:fldCharType="separate"/>
            </w:r>
            <w:r w:rsidR="003F0AB7">
              <w:rPr>
                <w:noProof/>
                <w:webHidden/>
              </w:rPr>
              <w:t>4</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57" w:history="1">
            <w:r w:rsidR="007530DF" w:rsidRPr="002751F7">
              <w:rPr>
                <w:rStyle w:val="Hyperlink"/>
                <w:rFonts w:asciiTheme="majorBidi" w:hAnsiTheme="majorBidi" w:cstheme="majorBidi"/>
                <w:noProof/>
                <w:lang w:val="en-CA"/>
              </w:rPr>
              <w:t>4</w:t>
            </w:r>
            <w:r w:rsidR="007530DF">
              <w:rPr>
                <w:rFonts w:asciiTheme="minorHAnsi" w:eastAsiaTheme="minorEastAsia" w:hAnsiTheme="minorHAnsi" w:cstheme="minorBidi"/>
                <w:noProof/>
                <w:sz w:val="22"/>
                <w:szCs w:val="22"/>
                <w:lang w:val="en-US" w:eastAsia="zh-CN"/>
              </w:rPr>
              <w:tab/>
            </w:r>
            <w:r w:rsidR="007530DF" w:rsidRPr="002751F7">
              <w:rPr>
                <w:rStyle w:val="Hyperlink"/>
                <w:rFonts w:asciiTheme="majorBidi" w:hAnsiTheme="majorBidi" w:cstheme="majorBidi"/>
                <w:noProof/>
                <w:lang w:val="en-CA"/>
              </w:rPr>
              <w:t>Vocabulary</w:t>
            </w:r>
            <w:r w:rsidR="007530DF">
              <w:rPr>
                <w:noProof/>
                <w:webHidden/>
              </w:rPr>
              <w:tab/>
            </w:r>
            <w:r w:rsidR="007530DF">
              <w:rPr>
                <w:noProof/>
                <w:webHidden/>
              </w:rPr>
              <w:fldChar w:fldCharType="begin"/>
            </w:r>
            <w:r w:rsidR="007530DF">
              <w:rPr>
                <w:noProof/>
                <w:webHidden/>
              </w:rPr>
              <w:instrText xml:space="preserve"> PAGEREF _Toc441622057 \h </w:instrText>
            </w:r>
            <w:r w:rsidR="007530DF">
              <w:rPr>
                <w:noProof/>
                <w:webHidden/>
              </w:rPr>
            </w:r>
            <w:r w:rsidR="007530DF">
              <w:rPr>
                <w:noProof/>
                <w:webHidden/>
              </w:rPr>
              <w:fldChar w:fldCharType="separate"/>
            </w:r>
            <w:r w:rsidR="003F0AB7">
              <w:rPr>
                <w:noProof/>
                <w:webHidden/>
              </w:rPr>
              <w:t>4</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58" w:history="1">
            <w:r w:rsidR="007530DF" w:rsidRPr="002751F7">
              <w:rPr>
                <w:rStyle w:val="Hyperlink"/>
                <w:noProof/>
                <w:lang w:val="en-CA"/>
              </w:rPr>
              <w:t>5</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Characteristics of the 470-698 MHz frequency range for television distribution</w:t>
            </w:r>
            <w:r w:rsidR="007530DF">
              <w:rPr>
                <w:noProof/>
                <w:webHidden/>
              </w:rPr>
              <w:tab/>
            </w:r>
            <w:r w:rsidR="007530DF">
              <w:rPr>
                <w:noProof/>
                <w:webHidden/>
              </w:rPr>
              <w:fldChar w:fldCharType="begin"/>
            </w:r>
            <w:r w:rsidR="007530DF">
              <w:rPr>
                <w:noProof/>
                <w:webHidden/>
              </w:rPr>
              <w:instrText xml:space="preserve"> PAGEREF _Toc441622058 \h </w:instrText>
            </w:r>
            <w:r w:rsidR="007530DF">
              <w:rPr>
                <w:noProof/>
                <w:webHidden/>
              </w:rPr>
            </w:r>
            <w:r w:rsidR="007530DF">
              <w:rPr>
                <w:noProof/>
                <w:webHidden/>
              </w:rPr>
              <w:fldChar w:fldCharType="separate"/>
            </w:r>
            <w:r w:rsidR="003F0AB7">
              <w:rPr>
                <w:noProof/>
                <w:webHidden/>
              </w:rPr>
              <w:t>5</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59" w:history="1">
            <w:r w:rsidR="007530DF" w:rsidRPr="002751F7">
              <w:rPr>
                <w:rStyle w:val="Hyperlink"/>
                <w:noProof/>
                <w:lang w:val="en-CA"/>
              </w:rPr>
              <w:t>6</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Deployment scenarios</w:t>
            </w:r>
            <w:r w:rsidR="007530DF">
              <w:rPr>
                <w:noProof/>
                <w:webHidden/>
              </w:rPr>
              <w:tab/>
            </w:r>
            <w:r w:rsidR="007530DF">
              <w:rPr>
                <w:noProof/>
                <w:webHidden/>
              </w:rPr>
              <w:fldChar w:fldCharType="begin"/>
            </w:r>
            <w:r w:rsidR="007530DF">
              <w:rPr>
                <w:noProof/>
                <w:webHidden/>
              </w:rPr>
              <w:instrText xml:space="preserve"> PAGEREF _Toc441622059 \h </w:instrText>
            </w:r>
            <w:r w:rsidR="007530DF">
              <w:rPr>
                <w:noProof/>
                <w:webHidden/>
              </w:rPr>
            </w:r>
            <w:r w:rsidR="007530DF">
              <w:rPr>
                <w:noProof/>
                <w:webHidden/>
              </w:rPr>
              <w:fldChar w:fldCharType="separate"/>
            </w:r>
            <w:r w:rsidR="003F0AB7">
              <w:rPr>
                <w:noProof/>
                <w:webHidden/>
              </w:rPr>
              <w:t>5</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60" w:history="1">
            <w:r w:rsidR="007530DF" w:rsidRPr="002751F7">
              <w:rPr>
                <w:rStyle w:val="Hyperlink"/>
                <w:noProof/>
                <w:lang w:val="en-CA"/>
              </w:rPr>
              <w:t>7</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Convergence between broadcasting and mobile services: evolution/migration strategies</w:t>
            </w:r>
            <w:r w:rsidR="007530DF">
              <w:rPr>
                <w:noProof/>
                <w:webHidden/>
              </w:rPr>
              <w:tab/>
            </w:r>
            <w:r w:rsidR="007530DF">
              <w:rPr>
                <w:noProof/>
                <w:webHidden/>
              </w:rPr>
              <w:fldChar w:fldCharType="begin"/>
            </w:r>
            <w:r w:rsidR="007530DF">
              <w:rPr>
                <w:noProof/>
                <w:webHidden/>
              </w:rPr>
              <w:instrText xml:space="preserve"> PAGEREF _Toc441622060 \h </w:instrText>
            </w:r>
            <w:r w:rsidR="007530DF">
              <w:rPr>
                <w:noProof/>
                <w:webHidden/>
              </w:rPr>
            </w:r>
            <w:r w:rsidR="007530DF">
              <w:rPr>
                <w:noProof/>
                <w:webHidden/>
              </w:rPr>
              <w:fldChar w:fldCharType="separate"/>
            </w:r>
            <w:r w:rsidR="003F0AB7">
              <w:rPr>
                <w:noProof/>
                <w:webHidden/>
              </w:rPr>
              <w:t>5</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61" w:history="1">
            <w:r w:rsidR="007530DF" w:rsidRPr="002751F7">
              <w:rPr>
                <w:rStyle w:val="Hyperlink"/>
                <w:noProof/>
                <w:lang w:val="en-CA"/>
              </w:rPr>
              <w:t>8</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Spectrum sharing and interference mitigation</w:t>
            </w:r>
            <w:r w:rsidR="007530DF">
              <w:rPr>
                <w:noProof/>
                <w:webHidden/>
              </w:rPr>
              <w:tab/>
            </w:r>
            <w:r w:rsidR="007530DF">
              <w:rPr>
                <w:noProof/>
                <w:webHidden/>
              </w:rPr>
              <w:fldChar w:fldCharType="begin"/>
            </w:r>
            <w:r w:rsidR="007530DF">
              <w:rPr>
                <w:noProof/>
                <w:webHidden/>
              </w:rPr>
              <w:instrText xml:space="preserve"> PAGEREF _Toc441622061 \h </w:instrText>
            </w:r>
            <w:r w:rsidR="007530DF">
              <w:rPr>
                <w:noProof/>
                <w:webHidden/>
              </w:rPr>
            </w:r>
            <w:r w:rsidR="007530DF">
              <w:rPr>
                <w:noProof/>
                <w:webHidden/>
              </w:rPr>
              <w:fldChar w:fldCharType="separate"/>
            </w:r>
            <w:r w:rsidR="003F0AB7">
              <w:rPr>
                <w:noProof/>
                <w:webHidden/>
              </w:rPr>
              <w:t>6</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62" w:history="1">
            <w:r w:rsidR="007530DF" w:rsidRPr="002751F7">
              <w:rPr>
                <w:rStyle w:val="Hyperlink"/>
                <w:noProof/>
                <w:lang w:val="en-CA"/>
              </w:rPr>
              <w:t>9</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Desirable future enhancements for television distribution over IMT</w:t>
            </w:r>
            <w:r w:rsidR="007530DF">
              <w:rPr>
                <w:noProof/>
                <w:webHidden/>
              </w:rPr>
              <w:tab/>
            </w:r>
            <w:r w:rsidR="007530DF">
              <w:rPr>
                <w:noProof/>
                <w:webHidden/>
              </w:rPr>
              <w:fldChar w:fldCharType="begin"/>
            </w:r>
            <w:r w:rsidR="007530DF">
              <w:rPr>
                <w:noProof/>
                <w:webHidden/>
              </w:rPr>
              <w:instrText xml:space="preserve"> PAGEREF _Toc441622062 \h </w:instrText>
            </w:r>
            <w:r w:rsidR="007530DF">
              <w:rPr>
                <w:noProof/>
                <w:webHidden/>
              </w:rPr>
            </w:r>
            <w:r w:rsidR="007530DF">
              <w:rPr>
                <w:noProof/>
                <w:webHidden/>
              </w:rPr>
              <w:fldChar w:fldCharType="separate"/>
            </w:r>
            <w:r w:rsidR="003F0AB7">
              <w:rPr>
                <w:noProof/>
                <w:webHidden/>
              </w:rPr>
              <w:t>6</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63" w:history="1">
            <w:r w:rsidR="007530DF" w:rsidRPr="002751F7">
              <w:rPr>
                <w:rStyle w:val="Hyperlink"/>
                <w:noProof/>
                <w:lang w:val="en-CA"/>
              </w:rPr>
              <w:t>10</w:t>
            </w:r>
            <w:r w:rsidR="007530DF">
              <w:rPr>
                <w:rFonts w:asciiTheme="minorHAnsi" w:eastAsiaTheme="minorEastAsia" w:hAnsiTheme="minorHAnsi" w:cstheme="minorBidi"/>
                <w:noProof/>
                <w:sz w:val="22"/>
                <w:szCs w:val="22"/>
                <w:lang w:val="en-US" w:eastAsia="zh-CN"/>
              </w:rPr>
              <w:tab/>
            </w:r>
            <w:r w:rsidR="007530DF" w:rsidRPr="002751F7">
              <w:rPr>
                <w:rStyle w:val="Hyperlink"/>
                <w:noProof/>
                <w:lang w:val="en-CA"/>
              </w:rPr>
              <w:t>Conclusions</w:t>
            </w:r>
            <w:r w:rsidR="007530DF">
              <w:rPr>
                <w:noProof/>
                <w:webHidden/>
              </w:rPr>
              <w:tab/>
            </w:r>
            <w:r w:rsidR="007530DF">
              <w:rPr>
                <w:noProof/>
                <w:webHidden/>
              </w:rPr>
              <w:fldChar w:fldCharType="begin"/>
            </w:r>
            <w:r w:rsidR="007530DF">
              <w:rPr>
                <w:noProof/>
                <w:webHidden/>
              </w:rPr>
              <w:instrText xml:space="preserve"> PAGEREF _Toc441622063 \h </w:instrText>
            </w:r>
            <w:r w:rsidR="007530DF">
              <w:rPr>
                <w:noProof/>
                <w:webHidden/>
              </w:rPr>
            </w:r>
            <w:r w:rsidR="007530DF">
              <w:rPr>
                <w:noProof/>
                <w:webHidden/>
              </w:rPr>
              <w:fldChar w:fldCharType="separate"/>
            </w:r>
            <w:r w:rsidR="003F0AB7">
              <w:rPr>
                <w:noProof/>
                <w:webHidden/>
              </w:rPr>
              <w:t>6</w:t>
            </w:r>
            <w:r w:rsidR="007530DF">
              <w:rPr>
                <w:noProof/>
                <w:webHidden/>
              </w:rPr>
              <w:fldChar w:fldCharType="end"/>
            </w:r>
          </w:hyperlink>
        </w:p>
        <w:p w:rsidR="007530DF" w:rsidRDefault="00321052" w:rsidP="007530DF">
          <w:pPr>
            <w:pStyle w:val="TOC1"/>
            <w:tabs>
              <w:tab w:val="clear" w:pos="7938"/>
              <w:tab w:val="clear" w:pos="9526"/>
              <w:tab w:val="left" w:pos="9270"/>
            </w:tabs>
            <w:rPr>
              <w:rFonts w:asciiTheme="minorHAnsi" w:eastAsiaTheme="minorEastAsia" w:hAnsiTheme="minorHAnsi" w:cstheme="minorBidi"/>
              <w:noProof/>
              <w:sz w:val="22"/>
              <w:szCs w:val="22"/>
              <w:lang w:val="en-US" w:eastAsia="zh-CN"/>
            </w:rPr>
          </w:pPr>
          <w:hyperlink w:anchor="_Toc441622064" w:history="1">
            <w:r w:rsidR="007530DF" w:rsidRPr="002751F7">
              <w:rPr>
                <w:rStyle w:val="Hyperlink"/>
                <w:bCs/>
                <w:noProof/>
                <w:lang w:val="en-CA"/>
              </w:rPr>
              <w:t>Annex 1</w:t>
            </w:r>
            <w:r w:rsidR="007530DF">
              <w:rPr>
                <w:noProof/>
                <w:webHidden/>
              </w:rPr>
              <w:tab/>
            </w:r>
            <w:r w:rsidR="007530DF">
              <w:rPr>
                <w:noProof/>
                <w:webHidden/>
              </w:rPr>
              <w:fldChar w:fldCharType="begin"/>
            </w:r>
            <w:r w:rsidR="007530DF">
              <w:rPr>
                <w:noProof/>
                <w:webHidden/>
              </w:rPr>
              <w:instrText xml:space="preserve"> PAGEREF _Toc441622064 \h </w:instrText>
            </w:r>
            <w:r w:rsidR="007530DF">
              <w:rPr>
                <w:noProof/>
                <w:webHidden/>
              </w:rPr>
            </w:r>
            <w:r w:rsidR="007530DF">
              <w:rPr>
                <w:noProof/>
                <w:webHidden/>
              </w:rPr>
              <w:fldChar w:fldCharType="separate"/>
            </w:r>
            <w:r w:rsidR="003F0AB7">
              <w:rPr>
                <w:noProof/>
                <w:webHidden/>
              </w:rPr>
              <w:t>7</w:t>
            </w:r>
            <w:r w:rsidR="007530DF">
              <w:rPr>
                <w:noProof/>
                <w:webHidden/>
              </w:rPr>
              <w:fldChar w:fldCharType="end"/>
            </w:r>
          </w:hyperlink>
        </w:p>
        <w:p w:rsidR="007530DF" w:rsidRPr="00B577A5" w:rsidRDefault="007530DF" w:rsidP="007530DF">
          <w:pPr>
            <w:tabs>
              <w:tab w:val="left" w:leader="dot" w:pos="9360"/>
            </w:tabs>
            <w:rPr>
              <w:lang w:val="en-CA"/>
            </w:rPr>
          </w:pPr>
          <w:r w:rsidRPr="00B577A5">
            <w:rPr>
              <w:b/>
              <w:bCs/>
              <w:noProof/>
              <w:lang w:val="en-CA"/>
            </w:rPr>
            <w:fldChar w:fldCharType="end"/>
          </w:r>
        </w:p>
      </w:sdtContent>
    </w:sdt>
    <w:p w:rsidR="007530DF" w:rsidRPr="00B577A5" w:rsidRDefault="007530DF" w:rsidP="007530D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2"/>
          <w:szCs w:val="22"/>
          <w:lang w:val="en-CA"/>
        </w:rPr>
      </w:pPr>
      <w:r w:rsidRPr="00B577A5">
        <w:rPr>
          <w:sz w:val="22"/>
          <w:szCs w:val="22"/>
          <w:lang w:val="en-CA"/>
        </w:rPr>
        <w:br w:type="page"/>
      </w:r>
    </w:p>
    <w:p w:rsidR="007530DF" w:rsidRPr="00B577A5" w:rsidRDefault="007530DF" w:rsidP="007530DF">
      <w:pPr>
        <w:pStyle w:val="Heading1"/>
        <w:spacing w:before="180"/>
        <w:ind w:left="0" w:firstLine="0"/>
        <w:rPr>
          <w:lang w:val="en-CA"/>
        </w:rPr>
      </w:pPr>
      <w:bookmarkStart w:id="12" w:name="_Toc433271140"/>
      <w:bookmarkStart w:id="13" w:name="_Toc441622054"/>
      <w:bookmarkStart w:id="14" w:name="att2"/>
      <w:r w:rsidRPr="00B577A5">
        <w:rPr>
          <w:lang w:val="en-CA"/>
        </w:rPr>
        <w:lastRenderedPageBreak/>
        <w:t>1</w:t>
      </w:r>
      <w:r w:rsidRPr="00B577A5">
        <w:rPr>
          <w:lang w:val="en-CA"/>
        </w:rPr>
        <w:tab/>
        <w:t>Introduction</w:t>
      </w:r>
      <w:bookmarkEnd w:id="12"/>
      <w:bookmarkEnd w:id="13"/>
    </w:p>
    <w:p w:rsidR="007530DF" w:rsidRPr="00B577A5" w:rsidRDefault="007530DF" w:rsidP="007530DF">
      <w:pPr>
        <w:rPr>
          <w:iCs/>
          <w:lang w:val="en-CA"/>
        </w:rPr>
      </w:pPr>
      <w:r w:rsidRPr="00B577A5">
        <w:rPr>
          <w:iCs/>
          <w:lang w:val="en-CA"/>
        </w:rPr>
        <w:t xml:space="preserve">This Report addresses the opportunities presented by the IMT identification </w:t>
      </w:r>
      <w:r>
        <w:rPr>
          <w:iCs/>
          <w:lang w:val="en-CA"/>
        </w:rPr>
        <w:t>within the frequency range</w:t>
      </w:r>
      <w:r w:rsidRPr="00B577A5">
        <w:rPr>
          <w:iCs/>
          <w:lang w:val="en-CA"/>
        </w:rPr>
        <w:t xml:space="preserve"> 470-698 MHz in order to provide guidance on the development of transition plans and effective network deployments for the distribution of television content. </w:t>
      </w:r>
    </w:p>
    <w:p w:rsidR="007530DF" w:rsidRPr="00B577A5" w:rsidRDefault="007530DF" w:rsidP="007530DF">
      <w:pPr>
        <w:pStyle w:val="Heading1"/>
        <w:rPr>
          <w:lang w:val="en-CA"/>
        </w:rPr>
      </w:pPr>
      <w:bookmarkStart w:id="15" w:name="_Toc422341240"/>
      <w:bookmarkStart w:id="16" w:name="_Toc433271141"/>
      <w:bookmarkStart w:id="17" w:name="_Toc441622055"/>
      <w:r w:rsidRPr="00B577A5">
        <w:rPr>
          <w:lang w:val="en-CA"/>
        </w:rPr>
        <w:t>2</w:t>
      </w:r>
      <w:r w:rsidRPr="00B577A5">
        <w:rPr>
          <w:lang w:val="en-CA"/>
        </w:rPr>
        <w:tab/>
        <w:t>Background and motivation</w:t>
      </w:r>
      <w:bookmarkEnd w:id="15"/>
      <w:bookmarkEnd w:id="16"/>
      <w:bookmarkEnd w:id="17"/>
    </w:p>
    <w:p w:rsidR="007530DF" w:rsidRPr="00B577A5" w:rsidRDefault="007530DF" w:rsidP="007530DF">
      <w:pPr>
        <w:pStyle w:val="PlainText"/>
        <w:spacing w:before="120"/>
        <w:rPr>
          <w:rFonts w:ascii="Times New Roman" w:hAnsi="Times New Roman" w:cs="Times New Roman"/>
          <w:sz w:val="24"/>
          <w:szCs w:val="24"/>
          <w:lang w:val="en-CA"/>
        </w:rPr>
      </w:pPr>
      <w:bookmarkStart w:id="18" w:name="_Toc422341241"/>
      <w:bookmarkStart w:id="19" w:name="_Toc433271142"/>
      <w:r w:rsidRPr="00B577A5">
        <w:rPr>
          <w:rFonts w:ascii="Times New Roman" w:eastAsia="Times New Roman" w:hAnsi="Times New Roman" w:cs="Times New Roman"/>
          <w:sz w:val="24"/>
          <w:szCs w:val="24"/>
          <w:lang w:val="en-CA"/>
        </w:rPr>
        <w:t>At WRC-1</w:t>
      </w:r>
      <w:r>
        <w:rPr>
          <w:rFonts w:ascii="Times New Roman" w:eastAsia="Times New Roman" w:hAnsi="Times New Roman" w:cs="Times New Roman"/>
          <w:sz w:val="24"/>
          <w:szCs w:val="24"/>
          <w:lang w:val="en-CA"/>
        </w:rPr>
        <w:t>5</w:t>
      </w:r>
      <w:r w:rsidRPr="00B577A5">
        <w:rPr>
          <w:rFonts w:ascii="Times New Roman" w:eastAsia="Times New Roman" w:hAnsi="Times New Roman" w:cs="Times New Roman"/>
          <w:sz w:val="24"/>
          <w:szCs w:val="24"/>
          <w:lang w:val="en-CA"/>
        </w:rPr>
        <w:t xml:space="preserve"> the band 470-698 MHz or parts of it were identified for use by IMT in a number of countries in Regions 2 and 3, refer to the Article 5 table of allocations footnotes 5.idR2a, 5.idR2b and 5.idR3 in the </w:t>
      </w:r>
      <w:hyperlink r:id="rId12" w:history="1">
        <w:r w:rsidRPr="00B577A5">
          <w:rPr>
            <w:rStyle w:val="Hyperlink"/>
            <w:rFonts w:ascii="Times New Roman" w:hAnsi="Times New Roman"/>
            <w:sz w:val="24"/>
            <w:szCs w:val="24"/>
            <w:lang w:val="en-CA"/>
          </w:rPr>
          <w:t>WRC-15 Provisional Final Acts</w:t>
        </w:r>
      </w:hyperlink>
      <w:r w:rsidRPr="00B577A5">
        <w:rPr>
          <w:rFonts w:ascii="Times New Roman" w:eastAsia="Times New Roman" w:hAnsi="Times New Roman" w:cs="Times New Roman"/>
          <w:sz w:val="24"/>
          <w:szCs w:val="24"/>
          <w:lang w:val="en-CA"/>
        </w:rPr>
        <w:t xml:space="preserve"> </w:t>
      </w:r>
      <w:r w:rsidRPr="00B577A5">
        <w:rPr>
          <w:rFonts w:ascii="Times New Roman" w:eastAsia="Times New Roman" w:hAnsi="Times New Roman" w:cs="Times New Roman"/>
          <w:i/>
          <w:sz w:val="24"/>
          <w:szCs w:val="24"/>
          <w:lang w:val="en-CA"/>
        </w:rPr>
        <w:t>[Editor’s Note: update reference when the new edition of the RR is published]</w:t>
      </w:r>
      <w:r w:rsidRPr="00B577A5">
        <w:rPr>
          <w:rFonts w:ascii="Times New Roman" w:eastAsia="Times New Roman" w:hAnsi="Times New Roman" w:cs="Times New Roman"/>
          <w:sz w:val="24"/>
          <w:szCs w:val="24"/>
          <w:lang w:val="en-CA"/>
        </w:rPr>
        <w:t>.  Since this band is also allocated to the broadcasting service, it offers the possibility of synergistic deployments for the distribution of television content.</w:t>
      </w:r>
    </w:p>
    <w:p w:rsidR="007530DF" w:rsidRPr="00B577A5" w:rsidRDefault="007530DF" w:rsidP="007530DF">
      <w:pPr>
        <w:pStyle w:val="PlainText"/>
        <w:spacing w:before="120"/>
        <w:rPr>
          <w:rFonts w:ascii="Times New Roman" w:eastAsia="Times New Roman" w:hAnsi="Times New Roman" w:cs="Times New Roman"/>
          <w:sz w:val="24"/>
          <w:szCs w:val="20"/>
          <w:lang w:val="en-CA"/>
        </w:rPr>
      </w:pPr>
      <w:r w:rsidRPr="00B577A5">
        <w:rPr>
          <w:rFonts w:ascii="Times New Roman" w:hAnsi="Times New Roman" w:cs="Times New Roman"/>
          <w:sz w:val="24"/>
          <w:szCs w:val="24"/>
          <w:lang w:val="en-CA"/>
        </w:rPr>
        <w:t>Work has already been conducted in a number of organizations (e.g., EBU, CITEL) to examine the digital television transition and opportunities for application convergence between broadcasting and broadband networks to distribute audio-visual content.  In particular</w:t>
      </w:r>
      <w:r>
        <w:rPr>
          <w:rFonts w:ascii="Times New Roman" w:hAnsi="Times New Roman" w:cs="Times New Roman"/>
          <w:sz w:val="24"/>
          <w:szCs w:val="24"/>
          <w:lang w:val="en-CA"/>
        </w:rPr>
        <w:t>,</w:t>
      </w:r>
      <w:r w:rsidRPr="00B577A5">
        <w:rPr>
          <w:rFonts w:ascii="Times New Roman" w:hAnsi="Times New Roman" w:cs="Times New Roman"/>
          <w:sz w:val="24"/>
          <w:szCs w:val="24"/>
          <w:lang w:val="en-CA"/>
        </w:rPr>
        <w:t xml:space="preserve"> </w:t>
      </w:r>
      <w:hyperlink r:id="rId13" w:history="1">
        <w:r w:rsidRPr="00B577A5">
          <w:rPr>
            <w:rStyle w:val="Hyperlink"/>
            <w:rFonts w:ascii="Times New Roman" w:eastAsia="Times New Roman" w:hAnsi="Times New Roman"/>
            <w:sz w:val="24"/>
            <w:szCs w:val="20"/>
            <w:lang w:val="en-CA"/>
          </w:rPr>
          <w:t>Report ITU-R M.2373</w:t>
        </w:r>
      </w:hyperlink>
      <w:r w:rsidRPr="00B577A5">
        <w:rPr>
          <w:rFonts w:ascii="Times New Roman" w:eastAsia="Times New Roman" w:hAnsi="Times New Roman" w:cs="Times New Roman"/>
          <w:sz w:val="24"/>
          <w:szCs w:val="20"/>
          <w:lang w:val="en-CA"/>
        </w:rPr>
        <w:t xml:space="preserve"> examines the capabilities of IMT systems to deliver audio-visual services, especially, given the increasing desire by users to consume such content at any time, in any place with their preferred device.  It examines those user requirements as well as some of the requirements from the audio-visual content providers and examines the use cases where IMT offers advantages over other audio-visual delivery systems, and evaluates the capabilities of the system in meeting those requirements.</w:t>
      </w:r>
      <w:r>
        <w:rPr>
          <w:rFonts w:ascii="Times New Roman" w:eastAsia="Times New Roman" w:hAnsi="Times New Roman" w:cs="Times New Roman"/>
          <w:sz w:val="24"/>
          <w:szCs w:val="20"/>
          <w:lang w:val="en-CA"/>
        </w:rPr>
        <w:t xml:space="preserve"> </w:t>
      </w:r>
      <w:r w:rsidRPr="00021CB6">
        <w:rPr>
          <w:rFonts w:ascii="Times New Roman" w:eastAsia="Times New Roman" w:hAnsi="Times New Roman" w:cs="Times New Roman"/>
          <w:sz w:val="24"/>
          <w:szCs w:val="20"/>
          <w:lang w:val="en-CA"/>
        </w:rPr>
        <w:t>Report ITU-R M.2373</w:t>
      </w:r>
      <w:r>
        <w:rPr>
          <w:rFonts w:ascii="Times New Roman" w:eastAsia="Times New Roman" w:hAnsi="Times New Roman" w:cs="Times New Roman"/>
          <w:sz w:val="24"/>
          <w:szCs w:val="20"/>
          <w:lang w:val="en-CA"/>
        </w:rPr>
        <w:t xml:space="preserve"> also includes </w:t>
      </w:r>
      <w:r w:rsidRPr="00021CB6">
        <w:rPr>
          <w:rFonts w:ascii="Times New Roman" w:eastAsia="Times New Roman" w:hAnsi="Times New Roman" w:cs="Times New Roman"/>
          <w:sz w:val="24"/>
          <w:szCs w:val="20"/>
          <w:lang w:val="en-CA"/>
        </w:rPr>
        <w:t>a detailed description of the features of IMT enhanced Multimedia Broadcast Multicast Services (eMBMS) that enable transport of content to multiple users.</w:t>
      </w:r>
    </w:p>
    <w:p w:rsidR="007530DF" w:rsidRPr="00B577A5" w:rsidRDefault="007530DF" w:rsidP="007530DF">
      <w:pPr>
        <w:pStyle w:val="PlainText"/>
        <w:spacing w:before="120"/>
        <w:rPr>
          <w:rFonts w:ascii="Times New Roman" w:eastAsia="Times New Roman" w:hAnsi="Times New Roman" w:cs="Times New Roman"/>
          <w:sz w:val="24"/>
          <w:szCs w:val="20"/>
          <w:lang w:val="en-CA"/>
        </w:rPr>
      </w:pPr>
      <w:r w:rsidRPr="00B577A5">
        <w:rPr>
          <w:rFonts w:ascii="Times New Roman" w:eastAsia="Times New Roman" w:hAnsi="Times New Roman" w:cs="Times New Roman"/>
          <w:sz w:val="24"/>
          <w:szCs w:val="20"/>
          <w:lang w:val="en-CA"/>
        </w:rPr>
        <w:t>Application convergence can be implemented in any band and Report ITU-R M.2373 does not address any specific band.  It is now timely to consider the deployment of complementary networks for the distribution of television content in the band 470-698 MHz</w:t>
      </w:r>
      <w:r>
        <w:rPr>
          <w:rFonts w:ascii="Times New Roman" w:eastAsia="Times New Roman" w:hAnsi="Times New Roman" w:cs="Times New Roman"/>
          <w:sz w:val="24"/>
          <w:szCs w:val="20"/>
          <w:lang w:val="en-CA"/>
        </w:rPr>
        <w:t>, made possible by the new IMT identification in this band and the flexibility offered by the co-primary allocation to the broadcasting and mobile services in the countries which have it</w:t>
      </w:r>
      <w:r w:rsidRPr="00B577A5">
        <w:rPr>
          <w:rFonts w:ascii="Times New Roman" w:eastAsia="Times New Roman" w:hAnsi="Times New Roman" w:cs="Times New Roman"/>
          <w:sz w:val="24"/>
          <w:szCs w:val="20"/>
          <w:lang w:val="en-CA"/>
        </w:rPr>
        <w:t xml:space="preserve">.  In particular, as more countries convert their broadcasting systems to digital television it will be necessary to consider evolution strategies to make the best use of the various modes of distribution of television content for the benefit of </w:t>
      </w:r>
      <w:r>
        <w:rPr>
          <w:rFonts w:ascii="Times New Roman" w:eastAsia="Times New Roman" w:hAnsi="Times New Roman" w:cs="Times New Roman"/>
          <w:sz w:val="24"/>
          <w:szCs w:val="20"/>
          <w:lang w:val="en-CA"/>
        </w:rPr>
        <w:t>consumer</w:t>
      </w:r>
      <w:r w:rsidRPr="00B577A5">
        <w:rPr>
          <w:rFonts w:ascii="Times New Roman" w:eastAsia="Times New Roman" w:hAnsi="Times New Roman" w:cs="Times New Roman"/>
          <w:sz w:val="24"/>
          <w:szCs w:val="20"/>
          <w:lang w:val="en-CA"/>
        </w:rPr>
        <w:t>s, service providers, network providers and content providers.</w:t>
      </w:r>
    </w:p>
    <w:p w:rsidR="007530DF" w:rsidRPr="00B577A5" w:rsidRDefault="007530DF" w:rsidP="007530DF">
      <w:pPr>
        <w:pStyle w:val="Heading1"/>
        <w:rPr>
          <w:lang w:val="en-CA"/>
        </w:rPr>
      </w:pPr>
      <w:bookmarkStart w:id="20" w:name="_Toc441622056"/>
      <w:r w:rsidRPr="00B577A5">
        <w:rPr>
          <w:lang w:val="en-CA"/>
        </w:rPr>
        <w:t>3</w:t>
      </w:r>
      <w:r w:rsidRPr="00B577A5">
        <w:rPr>
          <w:lang w:val="en-CA"/>
        </w:rPr>
        <w:tab/>
        <w:t>Related documents</w:t>
      </w:r>
      <w:bookmarkEnd w:id="18"/>
      <w:bookmarkEnd w:id="19"/>
      <w:bookmarkEnd w:id="20"/>
    </w:p>
    <w:p w:rsidR="007530DF" w:rsidRPr="00B577A5" w:rsidRDefault="007530DF" w:rsidP="007530DF">
      <w:pPr>
        <w:pStyle w:val="enumlev1"/>
        <w:rPr>
          <w:lang w:val="en-CA"/>
        </w:rPr>
      </w:pPr>
      <w:r w:rsidRPr="00B577A5">
        <w:rPr>
          <w:lang w:val="en-CA"/>
        </w:rPr>
        <w:t>1</w:t>
      </w:r>
      <w:r w:rsidRPr="00B577A5">
        <w:rPr>
          <w:lang w:val="en-CA"/>
        </w:rPr>
        <w:tab/>
      </w:r>
      <w:hyperlink r:id="rId14" w:history="1">
        <w:r w:rsidRPr="00B577A5">
          <w:rPr>
            <w:rStyle w:val="Hyperlink"/>
            <w:lang w:val="en-CA"/>
          </w:rPr>
          <w:t>Report ITU-R M.2373</w:t>
        </w:r>
      </w:hyperlink>
      <w:r w:rsidRPr="00B577A5">
        <w:rPr>
          <w:lang w:val="en-CA"/>
        </w:rPr>
        <w:t xml:space="preserve"> − </w:t>
      </w:r>
      <w:r w:rsidRPr="00B577A5">
        <w:rPr>
          <w:iCs/>
          <w:lang w:val="en-CA"/>
        </w:rPr>
        <w:t>Audio-visual capabilities and applications supported by terrestrial IMT systems</w:t>
      </w:r>
      <w:r w:rsidRPr="00B577A5">
        <w:rPr>
          <w:lang w:val="en-CA"/>
        </w:rPr>
        <w:t xml:space="preserve"> (2015).</w:t>
      </w:r>
    </w:p>
    <w:p w:rsidR="007530DF" w:rsidRPr="00B577A5" w:rsidRDefault="007530DF" w:rsidP="007530DF">
      <w:pPr>
        <w:pStyle w:val="enumlev1"/>
        <w:rPr>
          <w:lang w:val="en-CA"/>
        </w:rPr>
      </w:pPr>
      <w:r w:rsidRPr="00B577A5">
        <w:rPr>
          <w:lang w:val="en-CA"/>
        </w:rPr>
        <w:t>2</w:t>
      </w:r>
      <w:r w:rsidRPr="00B577A5">
        <w:rPr>
          <w:lang w:val="en-CA"/>
        </w:rPr>
        <w:tab/>
        <w:t xml:space="preserve">CITEL Technical Notebook “Cooperation and convergence between broadcasting and mobile services using LTE networks” Available: </w:t>
      </w:r>
      <w:hyperlink r:id="rId15" w:history="1">
        <w:r w:rsidRPr="00B577A5">
          <w:rPr>
            <w:rStyle w:val="Hyperlink"/>
            <w:lang w:val="en-CA"/>
          </w:rPr>
          <w:t>https://www.citel.oas.org/en/SiteAssets/About-Citel/Publications/Technical_Notebook/P2!R-3339p1_i.pdf</w:t>
        </w:r>
      </w:hyperlink>
      <w:r w:rsidRPr="00B577A5">
        <w:rPr>
          <w:lang w:val="en-CA"/>
        </w:rPr>
        <w:t>.</w:t>
      </w:r>
    </w:p>
    <w:p w:rsidR="007530DF" w:rsidRPr="00B577A5" w:rsidRDefault="007530DF" w:rsidP="007530DF">
      <w:pPr>
        <w:pStyle w:val="enumlev1"/>
        <w:rPr>
          <w:lang w:val="en-CA"/>
        </w:rPr>
      </w:pPr>
      <w:r w:rsidRPr="00B577A5">
        <w:rPr>
          <w:lang w:val="en-CA"/>
        </w:rPr>
        <w:t>3</w:t>
      </w:r>
      <w:r w:rsidRPr="00B577A5">
        <w:rPr>
          <w:lang w:val="en-CA"/>
        </w:rPr>
        <w:tab/>
        <w:t xml:space="preserve">EBU Technical Report TR 026 “Assessment of Available Options for the Distribution of Broadcast Services”, June 2014. Available: </w:t>
      </w:r>
      <w:hyperlink r:id="rId16" w:history="1">
        <w:r w:rsidRPr="00B577A5">
          <w:rPr>
            <w:rStyle w:val="Hyperlink"/>
            <w:lang w:val="en-CA"/>
          </w:rPr>
          <w:t>https://tech.ebu.ch/docs/techreports/tr026.pdf</w:t>
        </w:r>
      </w:hyperlink>
      <w:r w:rsidRPr="00B577A5">
        <w:rPr>
          <w:lang w:val="en-CA"/>
        </w:rPr>
        <w:t>.</w:t>
      </w:r>
    </w:p>
    <w:p w:rsidR="007530DF" w:rsidRPr="00B577A5" w:rsidRDefault="007530DF" w:rsidP="007530DF">
      <w:pPr>
        <w:pStyle w:val="enumlev1"/>
        <w:rPr>
          <w:rFonts w:eastAsia="Batang"/>
          <w:lang w:val="en-CA"/>
        </w:rPr>
      </w:pPr>
      <w:r w:rsidRPr="00B577A5">
        <w:rPr>
          <w:lang w:val="en-CA"/>
        </w:rPr>
        <w:t>4</w:t>
      </w:r>
      <w:r w:rsidRPr="00B577A5">
        <w:rPr>
          <w:lang w:val="en-CA"/>
        </w:rPr>
        <w:tab/>
      </w:r>
      <w:r w:rsidRPr="00B577A5">
        <w:rPr>
          <w:szCs w:val="24"/>
          <w:lang w:val="en-CA" w:eastAsia="zh-CN"/>
        </w:rPr>
        <w:t xml:space="preserve">ECC Report 224 “Long Term Vision for the UHF broadcasting band” November 2014. </w:t>
      </w:r>
      <w:hyperlink r:id="rId17" w:history="1">
        <w:r w:rsidRPr="00B577A5">
          <w:rPr>
            <w:rStyle w:val="Hyperlink"/>
            <w:szCs w:val="24"/>
            <w:lang w:val="en-CA" w:eastAsia="zh-CN"/>
          </w:rPr>
          <w:t>http://www.erodocdb.dk/doks/doccategoryECC.aspx?doccatid=4</w:t>
        </w:r>
      </w:hyperlink>
    </w:p>
    <w:p w:rsidR="007530DF" w:rsidRPr="00B577A5" w:rsidRDefault="007530DF" w:rsidP="007530DF">
      <w:pPr>
        <w:pStyle w:val="Heading1"/>
        <w:rPr>
          <w:rFonts w:asciiTheme="majorBidi" w:hAnsiTheme="majorBidi" w:cstheme="majorBidi"/>
          <w:szCs w:val="28"/>
          <w:lang w:val="en-CA"/>
        </w:rPr>
      </w:pPr>
      <w:bookmarkStart w:id="21" w:name="_Toc422341242"/>
      <w:bookmarkStart w:id="22" w:name="_Toc433271143"/>
      <w:bookmarkStart w:id="23" w:name="_Toc441622057"/>
      <w:r w:rsidRPr="00B577A5">
        <w:rPr>
          <w:rFonts w:asciiTheme="majorBidi" w:hAnsiTheme="majorBidi" w:cstheme="majorBidi"/>
          <w:szCs w:val="28"/>
          <w:lang w:val="en-CA"/>
        </w:rPr>
        <w:t>4</w:t>
      </w:r>
      <w:r w:rsidRPr="00B577A5">
        <w:rPr>
          <w:rFonts w:asciiTheme="majorBidi" w:hAnsiTheme="majorBidi" w:cstheme="majorBidi"/>
          <w:szCs w:val="28"/>
          <w:lang w:val="en-CA"/>
        </w:rPr>
        <w:tab/>
      </w:r>
      <w:bookmarkEnd w:id="21"/>
      <w:bookmarkEnd w:id="22"/>
      <w:r w:rsidRPr="00B577A5">
        <w:rPr>
          <w:rFonts w:asciiTheme="majorBidi" w:hAnsiTheme="majorBidi" w:cstheme="majorBidi"/>
          <w:szCs w:val="28"/>
          <w:lang w:val="en-CA"/>
        </w:rPr>
        <w:t>Vocabulary</w:t>
      </w:r>
      <w:bookmarkEnd w:id="23"/>
      <w:r w:rsidRPr="00B577A5">
        <w:rPr>
          <w:rFonts w:asciiTheme="majorBidi" w:hAnsiTheme="majorBidi" w:cstheme="majorBidi"/>
          <w:szCs w:val="28"/>
          <w:lang w:val="en-CA"/>
        </w:rPr>
        <w:t xml:space="preserve"> </w:t>
      </w:r>
    </w:p>
    <w:p w:rsidR="007530DF" w:rsidRPr="00B577A5" w:rsidRDefault="007530DF" w:rsidP="007530DF">
      <w:pPr>
        <w:rPr>
          <w:i/>
          <w:lang w:val="en-CA"/>
        </w:rPr>
      </w:pPr>
      <w:r w:rsidRPr="00B577A5">
        <w:rPr>
          <w:i/>
          <w:lang w:val="en-CA"/>
        </w:rPr>
        <w:t>&lt;TBD&gt;</w:t>
      </w:r>
    </w:p>
    <w:p w:rsidR="007530DF" w:rsidRPr="00B577A5" w:rsidRDefault="007530DF" w:rsidP="007530DF">
      <w:pPr>
        <w:pStyle w:val="Heading1"/>
        <w:rPr>
          <w:lang w:val="en-CA"/>
        </w:rPr>
      </w:pPr>
      <w:bookmarkStart w:id="24" w:name="_Toc422341243"/>
      <w:bookmarkStart w:id="25" w:name="_Toc433271144"/>
      <w:bookmarkStart w:id="26" w:name="_Toc441622058"/>
      <w:r w:rsidRPr="00B577A5">
        <w:rPr>
          <w:lang w:val="en-CA"/>
        </w:rPr>
        <w:lastRenderedPageBreak/>
        <w:t>5</w:t>
      </w:r>
      <w:r w:rsidRPr="00B577A5">
        <w:rPr>
          <w:lang w:val="en-CA"/>
        </w:rPr>
        <w:tab/>
      </w:r>
      <w:bookmarkEnd w:id="24"/>
      <w:bookmarkEnd w:id="25"/>
      <w:r w:rsidRPr="00B577A5">
        <w:rPr>
          <w:lang w:val="en-CA"/>
        </w:rPr>
        <w:t>Characteristics of the 470-698 MHz frequency range for television distribution</w:t>
      </w:r>
      <w:bookmarkEnd w:id="26"/>
    </w:p>
    <w:p w:rsidR="007530DF" w:rsidRPr="00B577A5" w:rsidRDefault="007530DF" w:rsidP="007530DF">
      <w:pPr>
        <w:pStyle w:val="PlainText"/>
        <w:spacing w:before="120"/>
        <w:rPr>
          <w:rFonts w:ascii="Times New Roman" w:hAnsi="Times New Roman" w:cs="Times New Roman"/>
          <w:sz w:val="24"/>
          <w:szCs w:val="24"/>
          <w:lang w:val="en-CA"/>
        </w:rPr>
      </w:pPr>
      <w:r w:rsidRPr="00B577A5">
        <w:rPr>
          <w:rFonts w:ascii="Times New Roman" w:eastAsia="Times New Roman" w:hAnsi="Times New Roman" w:cs="Times New Roman"/>
          <w:sz w:val="24"/>
          <w:szCs w:val="24"/>
          <w:lang w:val="en-CA"/>
        </w:rPr>
        <w:t xml:space="preserve">The band 470-698 MHz, or parts of it, are identified for use by IMT in a number of countries in Regions 2 and 3.  Since the frequency range 470-698 MHz is also allocated to the broadcasting service the IMT identification is subject to the condition that </w:t>
      </w:r>
      <w:r w:rsidRPr="00B577A5">
        <w:rPr>
          <w:rFonts w:ascii="Times New Roman" w:hAnsi="Times New Roman" w:cs="Times New Roman"/>
          <w:sz w:val="24"/>
          <w:szCs w:val="24"/>
          <w:lang w:val="en-CA"/>
        </w:rPr>
        <w:t xml:space="preserve">mobile service stations of the IMT system within the frequency band are subject to agreement obtained under No. </w:t>
      </w:r>
      <w:r w:rsidRPr="00B577A5">
        <w:rPr>
          <w:rFonts w:ascii="Times New Roman" w:hAnsi="Times New Roman" w:cs="Times New Roman"/>
          <w:b/>
          <w:bCs/>
          <w:sz w:val="24"/>
          <w:szCs w:val="24"/>
          <w:lang w:val="en-CA"/>
        </w:rPr>
        <w:t xml:space="preserve">9.21 </w:t>
      </w:r>
      <w:r w:rsidRPr="00B577A5">
        <w:rPr>
          <w:rFonts w:ascii="Times New Roman" w:hAnsi="Times New Roman" w:cs="Times New Roman"/>
          <w:sz w:val="24"/>
          <w:szCs w:val="24"/>
          <w:lang w:val="en-CA"/>
        </w:rPr>
        <w:t>and shall not cause harmful interference to</w:t>
      </w:r>
      <w:r>
        <w:rPr>
          <w:rFonts w:ascii="Times New Roman" w:hAnsi="Times New Roman" w:cs="Times New Roman"/>
          <w:sz w:val="24"/>
          <w:szCs w:val="24"/>
          <w:lang w:val="en-CA"/>
        </w:rPr>
        <w:t>,</w:t>
      </w:r>
      <w:r w:rsidRPr="00B577A5">
        <w:rPr>
          <w:rFonts w:ascii="Times New Roman" w:hAnsi="Times New Roman" w:cs="Times New Roman"/>
          <w:sz w:val="24"/>
          <w:szCs w:val="24"/>
          <w:lang w:val="en-CA"/>
        </w:rPr>
        <w:t xml:space="preserve"> or claim protection from</w:t>
      </w:r>
      <w:r>
        <w:rPr>
          <w:rFonts w:ascii="Times New Roman" w:hAnsi="Times New Roman" w:cs="Times New Roman"/>
          <w:sz w:val="24"/>
          <w:szCs w:val="24"/>
          <w:lang w:val="en-CA"/>
        </w:rPr>
        <w:t>,</w:t>
      </w:r>
      <w:r w:rsidRPr="00B577A5">
        <w:rPr>
          <w:rFonts w:ascii="Times New Roman" w:hAnsi="Times New Roman" w:cs="Times New Roman"/>
          <w:sz w:val="24"/>
          <w:szCs w:val="24"/>
          <w:lang w:val="en-CA"/>
        </w:rPr>
        <w:t xml:space="preserve"> the broadcasting service of neighbouring countries.</w:t>
      </w:r>
    </w:p>
    <w:p w:rsidR="007530DF" w:rsidRDefault="007530DF" w:rsidP="007530DF">
      <w:pPr>
        <w:pStyle w:val="PlainText"/>
        <w:spacing w:before="120"/>
        <w:rPr>
          <w:rFonts w:ascii="Times New Roman" w:eastAsia="Times New Roman" w:hAnsi="Times New Roman" w:cs="Times New Roman"/>
          <w:sz w:val="24"/>
          <w:szCs w:val="24"/>
          <w:lang w:val="en-CA"/>
        </w:rPr>
      </w:pPr>
      <w:r w:rsidRPr="00B577A5">
        <w:rPr>
          <w:rFonts w:ascii="Times New Roman" w:hAnsi="Times New Roman" w:cs="Times New Roman"/>
          <w:sz w:val="24"/>
          <w:szCs w:val="24"/>
          <w:lang w:val="en-CA"/>
        </w:rPr>
        <w:t xml:space="preserve">Within the frequency range </w:t>
      </w:r>
      <w:r w:rsidRPr="00B577A5">
        <w:rPr>
          <w:rFonts w:ascii="Times New Roman" w:eastAsia="Times New Roman" w:hAnsi="Times New Roman" w:cs="Times New Roman"/>
          <w:sz w:val="24"/>
          <w:szCs w:val="24"/>
          <w:lang w:val="en-CA"/>
        </w:rPr>
        <w:t>470-698 MHz</w:t>
      </w:r>
      <w:r>
        <w:rPr>
          <w:rFonts w:ascii="Times New Roman" w:eastAsia="Times New Roman" w:hAnsi="Times New Roman" w:cs="Times New Roman"/>
          <w:sz w:val="24"/>
          <w:szCs w:val="24"/>
          <w:lang w:val="en-CA"/>
        </w:rPr>
        <w:t>,</w:t>
      </w:r>
      <w:r w:rsidRPr="00B577A5">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in Region 2 </w:t>
      </w:r>
      <w:r w:rsidRPr="00B577A5">
        <w:rPr>
          <w:rFonts w:ascii="Times New Roman" w:eastAsia="Times New Roman" w:hAnsi="Times New Roman" w:cs="Times New Roman"/>
          <w:sz w:val="24"/>
          <w:szCs w:val="24"/>
          <w:lang w:val="en-CA"/>
        </w:rPr>
        <w:t xml:space="preserve">the band 608-614 MHz is allocated to the radio astronomy service </w:t>
      </w:r>
      <w:r w:rsidRPr="00357ADC">
        <w:rPr>
          <w:rFonts w:ascii="Times New Roman" w:eastAsia="Times New Roman" w:hAnsi="Times New Roman" w:cs="Times New Roman"/>
          <w:sz w:val="24"/>
          <w:szCs w:val="24"/>
          <w:lang w:val="en-CA"/>
        </w:rPr>
        <w:t>on a primary basis</w:t>
      </w:r>
      <w:r w:rsidRPr="00B577A5">
        <w:rPr>
          <w:rFonts w:ascii="Times New Roman" w:eastAsia="Times New Roman" w:hAnsi="Times New Roman" w:cs="Times New Roman"/>
          <w:sz w:val="24"/>
          <w:szCs w:val="24"/>
          <w:lang w:val="en-CA"/>
        </w:rPr>
        <w:t>.</w:t>
      </w:r>
    </w:p>
    <w:p w:rsidR="007530DF" w:rsidRDefault="007530DF" w:rsidP="007530DF">
      <w:pPr>
        <w:pStyle w:val="Note2"/>
        <w:rPr>
          <w:lang w:val="en-AU"/>
        </w:rPr>
      </w:pPr>
      <w:r w:rsidRPr="00961EF1">
        <w:rPr>
          <w:rStyle w:val="Artdef"/>
        </w:rPr>
        <w:t>5.304</w:t>
      </w:r>
      <w:r w:rsidRPr="00961EF1">
        <w:rPr>
          <w:rStyle w:val="Artdef"/>
        </w:rPr>
        <w:tab/>
      </w:r>
      <w:r>
        <w:rPr>
          <w:i/>
          <w:lang w:val="en-AU"/>
        </w:rPr>
        <w:t>Additional allocation:  </w:t>
      </w:r>
      <w:r>
        <w:rPr>
          <w:lang w:val="en-AU"/>
        </w:rPr>
        <w:t xml:space="preserve">in the African Broadcasting Area (see Nos. </w:t>
      </w:r>
      <w:r w:rsidRPr="002813BA">
        <w:rPr>
          <w:rStyle w:val="Artref"/>
          <w:b/>
          <w:bCs/>
        </w:rPr>
        <w:t>5.10</w:t>
      </w:r>
      <w:r>
        <w:rPr>
          <w:lang w:val="en-AU"/>
        </w:rPr>
        <w:t xml:space="preserve"> to </w:t>
      </w:r>
      <w:r w:rsidRPr="002813BA">
        <w:rPr>
          <w:rStyle w:val="Artref"/>
          <w:b/>
          <w:bCs/>
        </w:rPr>
        <w:t>5.13</w:t>
      </w:r>
      <w:r>
        <w:rPr>
          <w:lang w:val="en-AU"/>
        </w:rPr>
        <w:t>), the band 606-614 </w:t>
      </w:r>
      <w:r w:rsidRPr="00961EF1">
        <w:t>MHz</w:t>
      </w:r>
      <w:r>
        <w:rPr>
          <w:lang w:val="en-AU"/>
        </w:rPr>
        <w:t xml:space="preserve"> is also allocated to the radio astronomy service on a primary basis.</w:t>
      </w:r>
    </w:p>
    <w:p w:rsidR="007530DF" w:rsidRDefault="007530DF" w:rsidP="007530DF">
      <w:pPr>
        <w:pStyle w:val="Note2"/>
        <w:rPr>
          <w:lang w:val="en-AU"/>
        </w:rPr>
      </w:pPr>
      <w:r w:rsidRPr="00961EF1">
        <w:rPr>
          <w:rStyle w:val="Artdef"/>
        </w:rPr>
        <w:t>5.305</w:t>
      </w:r>
      <w:r w:rsidRPr="00961EF1">
        <w:rPr>
          <w:rStyle w:val="Artdef"/>
        </w:rPr>
        <w:tab/>
      </w:r>
      <w:r>
        <w:rPr>
          <w:i/>
          <w:lang w:val="en-AU"/>
        </w:rPr>
        <w:t>Additional allocation:  </w:t>
      </w:r>
      <w:r>
        <w:rPr>
          <w:lang w:val="en-AU"/>
        </w:rPr>
        <w:t xml:space="preserve">in China, the band 606-614 MHz is also allocated to the radio astronomy </w:t>
      </w:r>
      <w:r w:rsidRPr="00961EF1">
        <w:t>service</w:t>
      </w:r>
      <w:r>
        <w:rPr>
          <w:lang w:val="en-AU"/>
        </w:rPr>
        <w:t xml:space="preserve"> on a primary basis.</w:t>
      </w:r>
    </w:p>
    <w:p w:rsidR="007530DF" w:rsidRDefault="007530DF" w:rsidP="007530DF">
      <w:pPr>
        <w:pStyle w:val="Note2"/>
        <w:rPr>
          <w:lang w:val="en-AU"/>
        </w:rPr>
      </w:pPr>
      <w:r w:rsidRPr="00961EF1">
        <w:rPr>
          <w:rStyle w:val="Artdef"/>
        </w:rPr>
        <w:t>5.306</w:t>
      </w:r>
      <w:r w:rsidRPr="00961EF1">
        <w:rPr>
          <w:rStyle w:val="Artdef"/>
        </w:rPr>
        <w:tab/>
      </w:r>
      <w:r>
        <w:rPr>
          <w:i/>
          <w:lang w:val="en-AU"/>
        </w:rPr>
        <w:t>Additional allocation:  </w:t>
      </w:r>
      <w:r>
        <w:rPr>
          <w:lang w:val="en-AU"/>
        </w:rPr>
        <w:t>in Region 1, except in the African Broadcasting Area (see Nos. </w:t>
      </w:r>
      <w:r w:rsidRPr="002813BA">
        <w:rPr>
          <w:rStyle w:val="Artref"/>
          <w:b/>
          <w:bCs/>
        </w:rPr>
        <w:t>5.10</w:t>
      </w:r>
      <w:r>
        <w:rPr>
          <w:lang w:val="en-AU"/>
        </w:rPr>
        <w:t xml:space="preserve"> to </w:t>
      </w:r>
      <w:r w:rsidRPr="002813BA">
        <w:rPr>
          <w:rStyle w:val="Artref"/>
          <w:b/>
          <w:bCs/>
        </w:rPr>
        <w:t>5.13</w:t>
      </w:r>
      <w:r>
        <w:rPr>
          <w:lang w:val="en-AU"/>
        </w:rPr>
        <w:t>), and in Region 3, the band 608-614 MHz is also allocated to the radio astronomy service on a secondary basis.</w:t>
      </w:r>
    </w:p>
    <w:p w:rsidR="007530DF" w:rsidRDefault="007530DF" w:rsidP="007530DF">
      <w:pPr>
        <w:pStyle w:val="Note2"/>
        <w:rPr>
          <w:lang w:val="en-AU"/>
        </w:rPr>
      </w:pPr>
      <w:r w:rsidRPr="00961EF1">
        <w:rPr>
          <w:rStyle w:val="Artdef"/>
        </w:rPr>
        <w:t>5.307</w:t>
      </w:r>
      <w:r w:rsidRPr="00961EF1">
        <w:rPr>
          <w:rStyle w:val="Artdef"/>
        </w:rPr>
        <w:tab/>
      </w:r>
      <w:r>
        <w:rPr>
          <w:i/>
          <w:lang w:val="en-AU"/>
        </w:rPr>
        <w:t>Additional allocation:  </w:t>
      </w:r>
      <w:r>
        <w:rPr>
          <w:lang w:val="en-AU"/>
        </w:rPr>
        <w:t xml:space="preserve">in India, the band 608-614 MHz is also allocated to the radio astronomy </w:t>
      </w:r>
      <w:r w:rsidRPr="00961EF1">
        <w:t>service</w:t>
      </w:r>
      <w:r>
        <w:rPr>
          <w:lang w:val="en-AU"/>
        </w:rPr>
        <w:t xml:space="preserve"> on a primary basis.</w:t>
      </w:r>
    </w:p>
    <w:p w:rsidR="007530DF" w:rsidRDefault="007530DF" w:rsidP="007530DF">
      <w:pPr>
        <w:tabs>
          <w:tab w:val="clear" w:pos="1134"/>
          <w:tab w:val="clear" w:pos="1871"/>
          <w:tab w:val="clear" w:pos="2268"/>
        </w:tabs>
        <w:overflowPunct/>
        <w:textAlignment w:val="auto"/>
        <w:rPr>
          <w:szCs w:val="24"/>
          <w:lang w:val="en-US" w:eastAsia="zh-CN"/>
        </w:rPr>
      </w:pPr>
      <w:r w:rsidRPr="00E97067">
        <w:rPr>
          <w:b/>
          <w:szCs w:val="24"/>
          <w:lang w:val="en-US" w:eastAsia="zh-CN"/>
        </w:rPr>
        <w:t>5.312A</w:t>
      </w:r>
      <w:r>
        <w:rPr>
          <w:szCs w:val="24"/>
          <w:lang w:val="en-US" w:eastAsia="zh-CN"/>
        </w:rPr>
        <w:tab/>
      </w:r>
      <w:r>
        <w:rPr>
          <w:szCs w:val="24"/>
          <w:lang w:val="en-US" w:eastAsia="zh-CN"/>
        </w:rPr>
        <w:tab/>
      </w:r>
      <w:r w:rsidRPr="0068317C">
        <w:rPr>
          <w:szCs w:val="24"/>
          <w:lang w:val="en-US" w:eastAsia="zh-CN"/>
        </w:rPr>
        <w:t>In Region 1, the use of the frequency band 694-790 MHz by the mobile, except</w:t>
      </w:r>
      <w:r>
        <w:rPr>
          <w:szCs w:val="24"/>
          <w:lang w:val="en-US" w:eastAsia="zh-CN"/>
        </w:rPr>
        <w:t xml:space="preserve"> </w:t>
      </w:r>
      <w:r w:rsidRPr="0068317C">
        <w:rPr>
          <w:szCs w:val="24"/>
          <w:lang w:val="en-US" w:eastAsia="zh-CN"/>
        </w:rPr>
        <w:t>aeronautical mobile, service is subject to the provisions of Resolution</w:t>
      </w:r>
      <w:r>
        <w:rPr>
          <w:szCs w:val="24"/>
          <w:lang w:val="en-US" w:eastAsia="zh-CN"/>
        </w:rPr>
        <w:t xml:space="preserve"> </w:t>
      </w:r>
      <w:r w:rsidRPr="0068317C">
        <w:rPr>
          <w:b/>
          <w:szCs w:val="24"/>
          <w:lang w:val="en-US" w:eastAsia="zh-CN"/>
        </w:rPr>
        <w:t>760</w:t>
      </w:r>
      <w:r w:rsidRPr="0068317C">
        <w:rPr>
          <w:szCs w:val="24"/>
          <w:lang w:val="en-US" w:eastAsia="zh-CN"/>
        </w:rPr>
        <w:t xml:space="preserve"> </w:t>
      </w:r>
      <w:r>
        <w:rPr>
          <w:szCs w:val="24"/>
          <w:lang w:val="en-US" w:eastAsia="zh-CN"/>
        </w:rPr>
        <w:t>[</w:t>
      </w:r>
      <w:r w:rsidRPr="0068317C">
        <w:rPr>
          <w:b/>
          <w:bCs/>
          <w:szCs w:val="24"/>
          <w:lang w:val="en-US" w:eastAsia="zh-CN"/>
        </w:rPr>
        <w:t>COM4/4</w:t>
      </w:r>
      <w:r>
        <w:rPr>
          <w:b/>
          <w:bCs/>
          <w:szCs w:val="24"/>
          <w:lang w:val="en-US" w:eastAsia="zh-CN"/>
        </w:rPr>
        <w:t>]</w:t>
      </w:r>
      <w:r w:rsidRPr="0068317C">
        <w:rPr>
          <w:b/>
          <w:bCs/>
          <w:szCs w:val="24"/>
          <w:lang w:val="en-US" w:eastAsia="zh-CN"/>
        </w:rPr>
        <w:t xml:space="preserve"> (WRC-15)</w:t>
      </w:r>
      <w:r>
        <w:rPr>
          <w:szCs w:val="24"/>
          <w:lang w:val="en-US" w:eastAsia="zh-CN"/>
        </w:rPr>
        <w:t>. S</w:t>
      </w:r>
      <w:r w:rsidRPr="0068317C">
        <w:rPr>
          <w:szCs w:val="24"/>
          <w:lang w:val="en-US" w:eastAsia="zh-CN"/>
        </w:rPr>
        <w:t xml:space="preserve">ee </w:t>
      </w:r>
      <w:r>
        <w:rPr>
          <w:szCs w:val="24"/>
          <w:lang w:val="en-US" w:eastAsia="zh-CN"/>
        </w:rPr>
        <w:t xml:space="preserve">also </w:t>
      </w:r>
      <w:r w:rsidRPr="0068317C">
        <w:rPr>
          <w:szCs w:val="24"/>
          <w:lang w:val="en-US" w:eastAsia="zh-CN"/>
        </w:rPr>
        <w:t xml:space="preserve">Resolution </w:t>
      </w:r>
      <w:r w:rsidRPr="0068317C">
        <w:rPr>
          <w:b/>
          <w:bCs/>
          <w:szCs w:val="24"/>
          <w:lang w:val="en-US" w:eastAsia="zh-CN"/>
        </w:rPr>
        <w:t>224 (Rev.WRC-15)</w:t>
      </w:r>
      <w:r w:rsidRPr="0068317C">
        <w:rPr>
          <w:szCs w:val="24"/>
          <w:lang w:val="en-US" w:eastAsia="zh-CN"/>
        </w:rPr>
        <w:t>.</w:t>
      </w:r>
    </w:p>
    <w:p w:rsidR="007530DF" w:rsidRPr="00B577A5" w:rsidRDefault="007530DF" w:rsidP="007530DF">
      <w:pPr>
        <w:pStyle w:val="PlainText"/>
        <w:spacing w:before="120"/>
        <w:rPr>
          <w:rFonts w:ascii="Times New Roman" w:hAnsi="Times New Roman" w:cs="Times New Roman"/>
          <w:sz w:val="24"/>
          <w:szCs w:val="24"/>
          <w:lang w:val="en-CA"/>
        </w:rPr>
      </w:pPr>
      <w:r w:rsidRPr="00B577A5">
        <w:rPr>
          <w:rFonts w:ascii="Times New Roman" w:eastAsia="Times New Roman" w:hAnsi="Times New Roman" w:cs="Times New Roman"/>
          <w:sz w:val="24"/>
          <w:szCs w:val="24"/>
          <w:lang w:val="en-CA"/>
        </w:rPr>
        <w:t>…</w:t>
      </w:r>
    </w:p>
    <w:p w:rsidR="007530DF" w:rsidRPr="00B577A5" w:rsidRDefault="007530DF" w:rsidP="007530DF">
      <w:pPr>
        <w:pStyle w:val="Heading1"/>
        <w:rPr>
          <w:lang w:val="en-CA"/>
        </w:rPr>
      </w:pPr>
      <w:bookmarkStart w:id="27" w:name="_Toc422341247"/>
      <w:bookmarkStart w:id="28" w:name="_Toc433271148"/>
      <w:bookmarkStart w:id="29" w:name="_Toc441622059"/>
      <w:r w:rsidRPr="00B577A5">
        <w:rPr>
          <w:lang w:val="en-CA"/>
        </w:rPr>
        <w:t>6</w:t>
      </w:r>
      <w:r w:rsidRPr="00B577A5">
        <w:rPr>
          <w:lang w:val="en-CA"/>
        </w:rPr>
        <w:tab/>
      </w:r>
      <w:bookmarkEnd w:id="27"/>
      <w:bookmarkEnd w:id="28"/>
      <w:r w:rsidRPr="00B577A5">
        <w:rPr>
          <w:lang w:val="en-CA"/>
        </w:rPr>
        <w:t xml:space="preserve">Deployment </w:t>
      </w:r>
      <w:r>
        <w:rPr>
          <w:lang w:val="en-CA"/>
        </w:rPr>
        <w:t>s</w:t>
      </w:r>
      <w:r w:rsidRPr="00B577A5">
        <w:rPr>
          <w:lang w:val="en-CA"/>
        </w:rPr>
        <w:t>cenarios</w:t>
      </w:r>
      <w:bookmarkEnd w:id="29"/>
    </w:p>
    <w:p w:rsidR="007530DF" w:rsidRPr="00B577A5" w:rsidRDefault="007530DF" w:rsidP="007530DF">
      <w:pPr>
        <w:rPr>
          <w:lang w:val="en-CA"/>
        </w:rPr>
      </w:pPr>
      <w:r w:rsidRPr="00B577A5">
        <w:rPr>
          <w:lang w:val="en-CA"/>
        </w:rPr>
        <w:t>The purpose of this section is to investigate possible deployment scenarios for IMT in the band 470-698 MHz.  Possibilities include:</w:t>
      </w:r>
    </w:p>
    <w:p w:rsidR="007530DF" w:rsidRPr="00B577A5" w:rsidRDefault="007530DF" w:rsidP="007530DF">
      <w:pPr>
        <w:rPr>
          <w:lang w:val="en-CA"/>
        </w:rPr>
      </w:pPr>
      <w:r w:rsidRPr="00B577A5">
        <w:rPr>
          <w:lang w:val="en-CA"/>
        </w:rPr>
        <w:t>- Traditional FDD (symmetric or asymmetric) and TDD deployments of IMT systems.</w:t>
      </w:r>
    </w:p>
    <w:p w:rsidR="007530DF" w:rsidRPr="00B577A5" w:rsidRDefault="007530DF" w:rsidP="007530DF">
      <w:pPr>
        <w:rPr>
          <w:lang w:val="en-CA"/>
        </w:rPr>
      </w:pPr>
      <w:r w:rsidRPr="00B577A5">
        <w:rPr>
          <w:lang w:val="en-CA"/>
        </w:rPr>
        <w:t>- IMT downlink only</w:t>
      </w:r>
      <w:r>
        <w:rPr>
          <w:lang w:val="en-CA"/>
        </w:rPr>
        <w:t>,</w:t>
      </w:r>
      <w:r w:rsidRPr="00B577A5">
        <w:rPr>
          <w:lang w:val="en-CA"/>
        </w:rPr>
        <w:t xml:space="preserve"> to maximize the capacity for television distribution and minimize interference to adjacent broadcasting systems.</w:t>
      </w:r>
    </w:p>
    <w:p w:rsidR="007530DF" w:rsidRPr="00B577A5" w:rsidRDefault="007530DF" w:rsidP="007530DF">
      <w:pPr>
        <w:rPr>
          <w:lang w:val="en-CA"/>
        </w:rPr>
      </w:pPr>
      <w:r w:rsidRPr="00B577A5">
        <w:rPr>
          <w:lang w:val="en-CA"/>
        </w:rPr>
        <w:t>…</w:t>
      </w:r>
    </w:p>
    <w:p w:rsidR="007530DF" w:rsidRPr="00B577A5" w:rsidRDefault="007530DF" w:rsidP="007530DF">
      <w:pPr>
        <w:pStyle w:val="Heading1"/>
        <w:rPr>
          <w:lang w:val="en-CA"/>
        </w:rPr>
      </w:pPr>
      <w:bookmarkStart w:id="30" w:name="_Toc422341248"/>
      <w:bookmarkStart w:id="31" w:name="_Toc433271149"/>
      <w:bookmarkStart w:id="32" w:name="_Toc441622060"/>
      <w:r w:rsidRPr="00B577A5">
        <w:rPr>
          <w:lang w:val="en-CA"/>
        </w:rPr>
        <w:t>7</w:t>
      </w:r>
      <w:r w:rsidRPr="00B577A5">
        <w:rPr>
          <w:lang w:val="en-CA"/>
        </w:rPr>
        <w:tab/>
      </w:r>
      <w:bookmarkEnd w:id="30"/>
      <w:bookmarkEnd w:id="31"/>
      <w:r w:rsidRPr="00B577A5">
        <w:rPr>
          <w:lang w:val="en-CA"/>
        </w:rPr>
        <w:t>Convergence between broadcasting and mobile services: evolution/migration strategies</w:t>
      </w:r>
      <w:bookmarkEnd w:id="32"/>
    </w:p>
    <w:p w:rsidR="007530DF" w:rsidRPr="00B577A5" w:rsidRDefault="007530DF" w:rsidP="007530DF">
      <w:pPr>
        <w:rPr>
          <w:lang w:val="en-CA"/>
        </w:rPr>
      </w:pPr>
      <w:r w:rsidRPr="00B577A5">
        <w:rPr>
          <w:lang w:val="en-CA"/>
        </w:rPr>
        <w:t>Since it will take years to realize the maximum potential of the convergence between broadcasting and mobile services it is necessary to provide guidance on evolution/migration strategies. Countries may extend their transition to digital television broadcasting at different pace</w:t>
      </w:r>
      <w:r>
        <w:rPr>
          <w:lang w:val="en-CA"/>
        </w:rPr>
        <w:t>s,</w:t>
      </w:r>
      <w:r w:rsidRPr="00B577A5">
        <w:rPr>
          <w:lang w:val="en-CA"/>
        </w:rPr>
        <w:t xml:space="preserve"> and </w:t>
      </w:r>
      <w:r>
        <w:rPr>
          <w:lang w:val="en-CA"/>
        </w:rPr>
        <w:t xml:space="preserve">evolving </w:t>
      </w:r>
      <w:r w:rsidRPr="00B577A5">
        <w:rPr>
          <w:lang w:val="en-CA"/>
        </w:rPr>
        <w:t>consumer behaviours, such as those described in Report ITU-R M.2373, will have an influence on the preferred mode of distribution of television</w:t>
      </w:r>
      <w:r>
        <w:rPr>
          <w:lang w:val="en-CA"/>
        </w:rPr>
        <w:t>,</w:t>
      </w:r>
      <w:r w:rsidRPr="00B577A5">
        <w:rPr>
          <w:lang w:val="en-CA"/>
        </w:rPr>
        <w:t xml:space="preserve"> depending on the nature of the content and </w:t>
      </w:r>
      <w:r>
        <w:rPr>
          <w:lang w:val="en-CA"/>
        </w:rPr>
        <w:t xml:space="preserve">the </w:t>
      </w:r>
      <w:r w:rsidRPr="00B577A5">
        <w:rPr>
          <w:lang w:val="en-CA"/>
        </w:rPr>
        <w:t>target audience.</w:t>
      </w:r>
    </w:p>
    <w:p w:rsidR="007530DF" w:rsidRPr="00B577A5" w:rsidRDefault="007530DF" w:rsidP="007530DF">
      <w:pPr>
        <w:rPr>
          <w:lang w:val="en-CA"/>
        </w:rPr>
      </w:pPr>
      <w:r w:rsidRPr="00B577A5">
        <w:rPr>
          <w:lang w:val="en-CA"/>
        </w:rPr>
        <w:t xml:space="preserve">This section is intended to provide such guidance …  </w:t>
      </w:r>
    </w:p>
    <w:p w:rsidR="007530DF" w:rsidRPr="00B577A5" w:rsidRDefault="007530DF" w:rsidP="007530DF">
      <w:pPr>
        <w:pStyle w:val="Heading1"/>
        <w:rPr>
          <w:lang w:val="en-CA"/>
        </w:rPr>
      </w:pPr>
      <w:bookmarkStart w:id="33" w:name="_Toc422341252"/>
      <w:bookmarkStart w:id="34" w:name="_Toc433271153"/>
      <w:bookmarkStart w:id="35" w:name="_Toc441622061"/>
      <w:r w:rsidRPr="00B577A5">
        <w:rPr>
          <w:lang w:val="en-CA"/>
        </w:rPr>
        <w:lastRenderedPageBreak/>
        <w:t>8</w:t>
      </w:r>
      <w:r w:rsidRPr="00B577A5">
        <w:rPr>
          <w:lang w:val="en-CA"/>
        </w:rPr>
        <w:tab/>
      </w:r>
      <w:bookmarkEnd w:id="33"/>
      <w:bookmarkEnd w:id="34"/>
      <w:r w:rsidRPr="00B577A5">
        <w:rPr>
          <w:lang w:val="en-CA"/>
        </w:rPr>
        <w:t>Spectrum sharing and interference mitigation</w:t>
      </w:r>
      <w:bookmarkEnd w:id="35"/>
    </w:p>
    <w:p w:rsidR="007530DF" w:rsidRPr="00B577A5" w:rsidRDefault="007530DF" w:rsidP="007530DF">
      <w:pPr>
        <w:rPr>
          <w:szCs w:val="24"/>
          <w:lang w:val="en-CA"/>
        </w:rPr>
      </w:pPr>
      <w:r w:rsidRPr="00B577A5">
        <w:rPr>
          <w:szCs w:val="24"/>
          <w:lang w:val="en-CA"/>
        </w:rPr>
        <w:t>Studies have already been conducted on spectrum sharing and interference mitigation between broadcasting and mobile broadband deployment i</w:t>
      </w:r>
      <w:r>
        <w:rPr>
          <w:szCs w:val="24"/>
          <w:lang w:val="en-CA"/>
        </w:rPr>
        <w:t>n</w:t>
      </w:r>
      <w:r w:rsidRPr="00B577A5">
        <w:rPr>
          <w:szCs w:val="24"/>
          <w:lang w:val="en-CA"/>
        </w:rPr>
        <w:t xml:space="preserve"> the 700 MHz band.  These studies</w:t>
      </w:r>
      <w:r>
        <w:rPr>
          <w:szCs w:val="24"/>
          <w:lang w:val="en-CA"/>
        </w:rPr>
        <w:t>,</w:t>
      </w:r>
      <w:r w:rsidRPr="00B577A5">
        <w:rPr>
          <w:szCs w:val="24"/>
          <w:lang w:val="en-CA"/>
        </w:rPr>
        <w:t xml:space="preserve"> as well as new studies</w:t>
      </w:r>
      <w:r>
        <w:rPr>
          <w:szCs w:val="24"/>
          <w:lang w:val="en-CA"/>
        </w:rPr>
        <w:t xml:space="preserve"> in the 600 MHz band,</w:t>
      </w:r>
      <w:r w:rsidRPr="00B577A5">
        <w:rPr>
          <w:szCs w:val="24"/>
          <w:lang w:val="en-CA"/>
        </w:rPr>
        <w:t xml:space="preserve"> will assist in planning the evolution of both the broadcasting service and the mobile service in the frequency range 470-698 MHz.</w:t>
      </w:r>
    </w:p>
    <w:p w:rsidR="007530DF" w:rsidRPr="00B577A5" w:rsidRDefault="007530DF" w:rsidP="007530DF">
      <w:pPr>
        <w:rPr>
          <w:i/>
          <w:szCs w:val="24"/>
          <w:lang w:val="en-CA"/>
        </w:rPr>
      </w:pPr>
      <w:r w:rsidRPr="00B577A5">
        <w:rPr>
          <w:i/>
          <w:szCs w:val="24"/>
          <w:lang w:val="en-CA"/>
        </w:rPr>
        <w:t>[Editor’s Note: List and describe the relevant Recommendations and Reports].</w:t>
      </w:r>
    </w:p>
    <w:p w:rsidR="007530DF" w:rsidRPr="00B577A5" w:rsidRDefault="007530DF" w:rsidP="007530DF">
      <w:pPr>
        <w:pStyle w:val="Heading1"/>
        <w:rPr>
          <w:lang w:val="en-CA"/>
        </w:rPr>
      </w:pPr>
      <w:bookmarkStart w:id="36" w:name="_Toc422341257"/>
      <w:bookmarkStart w:id="37" w:name="_Toc433271158"/>
      <w:bookmarkStart w:id="38" w:name="_Toc441622062"/>
      <w:r w:rsidRPr="00B577A5">
        <w:rPr>
          <w:lang w:val="en-CA"/>
        </w:rPr>
        <w:t>9</w:t>
      </w:r>
      <w:r w:rsidRPr="00B577A5">
        <w:rPr>
          <w:lang w:val="en-CA"/>
        </w:rPr>
        <w:tab/>
        <w:t>Desirable future enhancements for television distribution over IMT</w:t>
      </w:r>
      <w:bookmarkEnd w:id="36"/>
      <w:bookmarkEnd w:id="37"/>
      <w:bookmarkEnd w:id="38"/>
      <w:r w:rsidRPr="00B577A5">
        <w:rPr>
          <w:lang w:val="en-CA"/>
        </w:rPr>
        <w:t xml:space="preserve"> </w:t>
      </w:r>
    </w:p>
    <w:p w:rsidR="007530DF" w:rsidRPr="00B577A5" w:rsidRDefault="007530DF" w:rsidP="007530DF">
      <w:pPr>
        <w:rPr>
          <w:i/>
          <w:lang w:val="en-CA"/>
        </w:rPr>
      </w:pPr>
      <w:r w:rsidRPr="00B577A5">
        <w:rPr>
          <w:i/>
          <w:lang w:val="en-CA"/>
        </w:rPr>
        <w:t>&lt;TBD&gt;</w:t>
      </w:r>
    </w:p>
    <w:p w:rsidR="007530DF" w:rsidRPr="00B577A5" w:rsidRDefault="007530DF" w:rsidP="007530DF">
      <w:pPr>
        <w:pStyle w:val="Heading1"/>
        <w:rPr>
          <w:lang w:val="en-CA"/>
        </w:rPr>
      </w:pPr>
      <w:bookmarkStart w:id="39" w:name="_Toc422341258"/>
      <w:bookmarkStart w:id="40" w:name="_Toc433271159"/>
      <w:bookmarkStart w:id="41" w:name="_Toc441622063"/>
      <w:r w:rsidRPr="00B577A5">
        <w:rPr>
          <w:lang w:val="en-CA"/>
        </w:rPr>
        <w:t>10</w:t>
      </w:r>
      <w:r w:rsidRPr="00B577A5">
        <w:rPr>
          <w:lang w:val="en-CA"/>
        </w:rPr>
        <w:tab/>
      </w:r>
      <w:bookmarkEnd w:id="39"/>
      <w:r w:rsidRPr="00B577A5">
        <w:rPr>
          <w:lang w:val="en-CA"/>
        </w:rPr>
        <w:t>Conclusions</w:t>
      </w:r>
      <w:bookmarkEnd w:id="40"/>
      <w:bookmarkEnd w:id="41"/>
      <w:r w:rsidRPr="00B577A5">
        <w:rPr>
          <w:lang w:val="en-CA"/>
        </w:rPr>
        <w:t xml:space="preserve"> </w:t>
      </w:r>
    </w:p>
    <w:p w:rsidR="007530DF" w:rsidRPr="00B577A5" w:rsidRDefault="007530DF" w:rsidP="007530DF">
      <w:pPr>
        <w:rPr>
          <w:i/>
          <w:lang w:val="en-CA"/>
        </w:rPr>
      </w:pPr>
      <w:r w:rsidRPr="00B577A5">
        <w:rPr>
          <w:i/>
          <w:lang w:val="en-CA"/>
        </w:rPr>
        <w:t>&lt;TBD&gt;</w:t>
      </w:r>
    </w:p>
    <w:p w:rsidR="007530DF" w:rsidRPr="00B577A5" w:rsidRDefault="007530DF" w:rsidP="007530DF">
      <w:pPr>
        <w:rPr>
          <w:b/>
          <w:bCs/>
          <w:lang w:val="en-CA"/>
        </w:rPr>
      </w:pPr>
    </w:p>
    <w:p w:rsidR="007530DF" w:rsidRPr="00B577A5" w:rsidRDefault="007530DF" w:rsidP="007530DF">
      <w:pPr>
        <w:rPr>
          <w:b/>
          <w:bCs/>
          <w:u w:val="single"/>
          <w:lang w:val="en-CA"/>
        </w:rPr>
      </w:pPr>
      <w:r w:rsidRPr="00B577A5">
        <w:rPr>
          <w:b/>
          <w:bCs/>
          <w:lang w:val="en-CA"/>
        </w:rPr>
        <w:t>Annexes:</w:t>
      </w:r>
    </w:p>
    <w:p w:rsidR="007530DF" w:rsidRPr="00B577A5" w:rsidRDefault="007530DF" w:rsidP="007530DF">
      <w:pPr>
        <w:rPr>
          <w:lang w:val="en-CA"/>
        </w:rPr>
      </w:pPr>
      <w:r w:rsidRPr="00B577A5">
        <w:rPr>
          <w:lang w:val="en-CA"/>
        </w:rPr>
        <w:t>Annex 1: List of acronyms</w:t>
      </w:r>
    </w:p>
    <w:p w:rsidR="007530DF" w:rsidRPr="00B577A5" w:rsidRDefault="007530DF" w:rsidP="007530DF">
      <w:pPr>
        <w:rPr>
          <w:sz w:val="28"/>
          <w:lang w:val="en-CA"/>
        </w:rPr>
      </w:pPr>
      <w:r w:rsidRPr="00B577A5">
        <w:rPr>
          <w:lang w:val="en-CA"/>
        </w:rPr>
        <w:br w:type="page"/>
      </w:r>
    </w:p>
    <w:p w:rsidR="007530DF" w:rsidRPr="00B577A5" w:rsidRDefault="007530DF" w:rsidP="003F0AB7">
      <w:pPr>
        <w:pStyle w:val="AnnexNo"/>
        <w:rPr>
          <w:lang w:val="en-CA"/>
        </w:rPr>
      </w:pPr>
      <w:bookmarkStart w:id="42" w:name="_Toc433271160"/>
      <w:bookmarkStart w:id="43" w:name="_Toc441622064"/>
      <w:r w:rsidRPr="00B577A5">
        <w:rPr>
          <w:lang w:val="en-CA"/>
        </w:rPr>
        <w:lastRenderedPageBreak/>
        <w:t>Annex 1</w:t>
      </w:r>
      <w:bookmarkEnd w:id="42"/>
      <w:bookmarkEnd w:id="43"/>
    </w:p>
    <w:p w:rsidR="007530DF" w:rsidRPr="00B577A5" w:rsidRDefault="007530DF" w:rsidP="007530DF">
      <w:pPr>
        <w:pStyle w:val="AnnexNotitle"/>
        <w:spacing w:before="240" w:after="480"/>
        <w:rPr>
          <w:lang w:val="en-CA"/>
        </w:rPr>
      </w:pPr>
      <w:r w:rsidRPr="00B577A5">
        <w:rPr>
          <w:lang w:val="en-CA"/>
        </w:rPr>
        <w:t>List of acronyms</w:t>
      </w:r>
    </w:p>
    <w:p w:rsidR="007530DF" w:rsidRDefault="007530DF" w:rsidP="007530DF">
      <w:pPr>
        <w:tabs>
          <w:tab w:val="left" w:pos="2175"/>
        </w:tabs>
        <w:rPr>
          <w:i/>
          <w:lang w:val="en-CA" w:eastAsia="zh-CN"/>
        </w:rPr>
      </w:pPr>
      <w:r w:rsidRPr="00B577A5">
        <w:rPr>
          <w:i/>
          <w:lang w:val="en-CA" w:eastAsia="zh-CN"/>
        </w:rPr>
        <w:t>[Editor’s Note: Upon completion of the draft Report delete those not used and add others as needed]</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AAC</w:t>
      </w:r>
      <w:r w:rsidRPr="00B577A5">
        <w:rPr>
          <w:lang w:val="en-CA" w:eastAsia="zh-CN"/>
        </w:rPr>
        <w:tab/>
        <w:t>Automatic congestion control</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AL-FEC</w:t>
      </w:r>
      <w:r w:rsidRPr="00B577A5">
        <w:rPr>
          <w:lang w:val="en-CA" w:eastAsia="zh-CN"/>
        </w:rPr>
        <w:tab/>
        <w:t>Application layer forward error correction</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AMR</w:t>
      </w:r>
      <w:r w:rsidRPr="00B577A5">
        <w:rPr>
          <w:lang w:val="en-CA" w:eastAsia="zh-CN"/>
        </w:rPr>
        <w:tab/>
        <w:t>Adaptive multi-rate</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BLER</w:t>
      </w:r>
      <w:r w:rsidRPr="00B577A5">
        <w:rPr>
          <w:lang w:val="en-CA" w:eastAsia="zh-CN"/>
        </w:rPr>
        <w:tab/>
        <w:t>Block error ratio</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BM-SC</w:t>
      </w:r>
      <w:r w:rsidRPr="00B577A5">
        <w:rPr>
          <w:lang w:val="en-CA" w:eastAsia="zh-CN"/>
        </w:rPr>
        <w:tab/>
        <w:t>Broadcast-multicast service center</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CP</w:t>
      </w:r>
      <w:r w:rsidRPr="00B577A5">
        <w:rPr>
          <w:lang w:val="en-CA" w:eastAsia="zh-CN"/>
        </w:rPr>
        <w:tab/>
        <w:t>Cyclic prefix</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CRC</w:t>
      </w:r>
      <w:r w:rsidRPr="00B577A5">
        <w:rPr>
          <w:lang w:val="en-CA" w:eastAsia="zh-CN"/>
        </w:rPr>
        <w:tab/>
        <w:t>Cyclic redundancy check</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DASH</w:t>
      </w:r>
      <w:r w:rsidRPr="00B577A5">
        <w:rPr>
          <w:lang w:val="en-CA" w:eastAsia="zh-CN"/>
        </w:rPr>
        <w:tab/>
        <w:t>Dynamic adaptive streaming over http</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DL</w:t>
      </w:r>
      <w:r w:rsidRPr="00B577A5">
        <w:rPr>
          <w:lang w:val="en-CA" w:eastAsia="zh-CN"/>
        </w:rPr>
        <w:tab/>
        <w:t>Downlink</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DL-SCH</w:t>
      </w:r>
      <w:r w:rsidRPr="00B577A5">
        <w:rPr>
          <w:lang w:val="en-CA" w:eastAsia="zh-CN"/>
        </w:rPr>
        <w:tab/>
        <w:t>Downlink synchronization channel</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DRM</w:t>
      </w:r>
      <w:r w:rsidRPr="00B577A5">
        <w:rPr>
          <w:lang w:val="en-CA" w:eastAsia="zh-CN"/>
        </w:rPr>
        <w:tab/>
        <w:t>Digital rights management</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DTT</w:t>
      </w:r>
      <w:r w:rsidRPr="00B577A5">
        <w:rPr>
          <w:lang w:val="en-CA" w:eastAsia="zh-CN"/>
        </w:rPr>
        <w:tab/>
        <w:t>Digital terrestrial TV</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DTTB</w:t>
      </w:r>
      <w:r w:rsidRPr="00B577A5">
        <w:rPr>
          <w:lang w:val="en-CA" w:eastAsia="zh-CN"/>
        </w:rPr>
        <w:tab/>
        <w:t>Digital terrestrial television broadcasting</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DVB-T</w:t>
      </w:r>
      <w:r w:rsidRPr="00B577A5">
        <w:rPr>
          <w:lang w:val="en-CA" w:eastAsia="zh-CN"/>
        </w:rPr>
        <w:tab/>
        <w:t>Digital video broadcasting - terrestrial</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eMBMS</w:t>
      </w:r>
      <w:r w:rsidRPr="00B577A5">
        <w:rPr>
          <w:lang w:val="en-CA" w:eastAsia="zh-CN"/>
        </w:rPr>
        <w:tab/>
        <w:t>Enhanced multimedia broadcast and multicast service</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eNB</w:t>
      </w:r>
      <w:r w:rsidRPr="00B577A5">
        <w:rPr>
          <w:lang w:val="en-CA" w:eastAsia="zh-CN"/>
        </w:rPr>
        <w:tab/>
        <w:t>E-UTRAN Node B, evolved Node B, ‘LTE base station’</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EPC</w:t>
      </w:r>
      <w:r w:rsidRPr="00B577A5">
        <w:rPr>
          <w:lang w:val="en-CA" w:eastAsia="zh-CN"/>
        </w:rPr>
        <w:tab/>
        <w:t>Evolved packet core</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EPG</w:t>
      </w:r>
      <w:r w:rsidRPr="00B577A5">
        <w:rPr>
          <w:lang w:val="en-CA" w:eastAsia="zh-CN"/>
        </w:rPr>
        <w:tab/>
        <w:t>Electronic program guide</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E-UTRA</w:t>
      </w:r>
      <w:r w:rsidRPr="00B577A5">
        <w:rPr>
          <w:lang w:val="en-CA" w:eastAsia="zh-CN"/>
        </w:rPr>
        <w:tab/>
        <w:t>Evolved universal terrestrial radio access network</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FDD</w:t>
      </w:r>
      <w:r w:rsidRPr="00B577A5">
        <w:rPr>
          <w:lang w:val="en-CA" w:eastAsia="zh-CN"/>
        </w:rPr>
        <w:tab/>
        <w:t>Frequency division duplex</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FEC</w:t>
      </w:r>
      <w:r w:rsidRPr="00B577A5">
        <w:rPr>
          <w:lang w:val="en-CA" w:eastAsia="zh-CN"/>
        </w:rPr>
        <w:tab/>
        <w:t>Forward error correction</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FFT</w:t>
      </w:r>
      <w:r w:rsidRPr="00B577A5">
        <w:rPr>
          <w:lang w:val="en-CA" w:eastAsia="zh-CN"/>
        </w:rPr>
        <w:tab/>
        <w:t>Fast Fourier transformation</w:t>
      </w:r>
    </w:p>
    <w:p w:rsidR="007530DF" w:rsidRPr="00B577A5" w:rsidRDefault="007530DF" w:rsidP="007530DF">
      <w:pPr>
        <w:tabs>
          <w:tab w:val="clear" w:pos="1134"/>
          <w:tab w:val="left" w:pos="1440"/>
          <w:tab w:val="left" w:pos="2175"/>
        </w:tabs>
        <w:spacing w:before="60" w:after="60"/>
        <w:ind w:left="1440" w:hanging="1440"/>
        <w:rPr>
          <w:lang w:val="en-CA"/>
        </w:rPr>
      </w:pPr>
      <w:r w:rsidRPr="00B577A5">
        <w:rPr>
          <w:lang w:val="en-CA"/>
        </w:rPr>
        <w:t>FLUTE</w:t>
      </w:r>
      <w:r w:rsidRPr="00B577A5">
        <w:rPr>
          <w:lang w:val="en-CA"/>
        </w:rPr>
        <w:tab/>
      </w:r>
      <w:r w:rsidRPr="00B577A5">
        <w:rPr>
          <w:lang w:val="en-CA" w:eastAsia="zh-CN"/>
        </w:rPr>
        <w:t>Protocol</w:t>
      </w:r>
      <w:r w:rsidRPr="00B577A5">
        <w:rPr>
          <w:lang w:val="en-CA"/>
        </w:rPr>
        <w:t xml:space="preserve"> for the unidirectional delivery of files over the internet, which is particularly suited to multicast networks</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FRAND</w:t>
      </w:r>
      <w:r w:rsidRPr="00B577A5">
        <w:rPr>
          <w:lang w:val="en-CA" w:eastAsia="zh-CN"/>
        </w:rPr>
        <w:tab/>
        <w:t>Fair, reasonable and non-discriminatory</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GBR</w:t>
      </w:r>
      <w:r w:rsidRPr="00B577A5">
        <w:rPr>
          <w:lang w:val="en-CA" w:eastAsia="zh-CN"/>
        </w:rPr>
        <w:tab/>
        <w:t>Guaranteed bit rate bearer</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GPS</w:t>
      </w:r>
      <w:r w:rsidRPr="00B577A5">
        <w:rPr>
          <w:lang w:val="en-CA" w:eastAsia="zh-CN"/>
        </w:rPr>
        <w:tab/>
        <w:t>Global positioning system</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HD</w:t>
      </w:r>
      <w:r w:rsidRPr="00B577A5">
        <w:rPr>
          <w:lang w:val="en-CA" w:eastAsia="zh-CN"/>
        </w:rPr>
        <w:tab/>
        <w:t>High definition</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HSPA</w:t>
      </w:r>
      <w:r w:rsidRPr="00B577A5">
        <w:rPr>
          <w:lang w:val="en-CA" w:eastAsia="zh-CN"/>
        </w:rPr>
        <w:tab/>
        <w:t>High speed packet access</w:t>
      </w:r>
    </w:p>
    <w:p w:rsidR="007530DF" w:rsidRPr="00B577A5" w:rsidRDefault="007530DF" w:rsidP="003F0AB7">
      <w:pPr>
        <w:tabs>
          <w:tab w:val="clear" w:pos="1134"/>
          <w:tab w:val="left" w:pos="1440"/>
          <w:tab w:val="left" w:pos="2175"/>
        </w:tabs>
        <w:spacing w:before="60" w:after="60"/>
        <w:ind w:left="1440" w:hanging="1440"/>
        <w:rPr>
          <w:lang w:val="en-CA" w:eastAsia="zh-CN"/>
        </w:rPr>
      </w:pPr>
      <w:r w:rsidRPr="00B577A5">
        <w:rPr>
          <w:lang w:val="en-CA" w:eastAsia="zh-CN"/>
        </w:rPr>
        <w:t>HTTP</w:t>
      </w:r>
      <w:r w:rsidRPr="00B577A5">
        <w:rPr>
          <w:lang w:val="en-CA" w:eastAsia="zh-CN"/>
        </w:rPr>
        <w:tab/>
        <w:t>Hypertext transfer protocol</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IP</w:t>
      </w:r>
      <w:r w:rsidRPr="00B577A5">
        <w:rPr>
          <w:lang w:val="en-CA" w:eastAsia="zh-CN"/>
        </w:rPr>
        <w:tab/>
        <w:t>Internet Protocol</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IP-OTT</w:t>
      </w:r>
      <w:r w:rsidRPr="00B577A5">
        <w:rPr>
          <w:lang w:val="en-CA" w:eastAsia="zh-CN"/>
        </w:rPr>
        <w:tab/>
        <w:t>IP over the Top content</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LTE</w:t>
      </w:r>
      <w:r w:rsidRPr="00B577A5">
        <w:rPr>
          <w:lang w:val="en-CA" w:eastAsia="zh-CN"/>
        </w:rPr>
        <w:tab/>
        <w:t>Long term Evolution</w:t>
      </w:r>
    </w:p>
    <w:p w:rsidR="007530DF" w:rsidRPr="00B577A5" w:rsidRDefault="007530DF" w:rsidP="007530DF">
      <w:pPr>
        <w:tabs>
          <w:tab w:val="clear" w:pos="1134"/>
          <w:tab w:val="left" w:pos="1440"/>
          <w:tab w:val="left" w:pos="2175"/>
        </w:tabs>
        <w:spacing w:before="60" w:after="60"/>
        <w:ind w:left="1440" w:hanging="1440"/>
        <w:rPr>
          <w:lang w:val="en-CA" w:eastAsia="zh-CN"/>
        </w:rPr>
      </w:pPr>
      <w:r w:rsidRPr="00B577A5">
        <w:rPr>
          <w:lang w:val="en-CA" w:eastAsia="zh-CN"/>
        </w:rPr>
        <w:t>LTE PDCP/RLC/MAC</w:t>
      </w:r>
      <w:r w:rsidRPr="00B577A5">
        <w:rPr>
          <w:lang w:val="en-CA" w:eastAsia="zh-CN"/>
        </w:rPr>
        <w:tab/>
        <w:t xml:space="preserve">LTE </w:t>
      </w:r>
      <w:r w:rsidRPr="00B577A5">
        <w:rPr>
          <w:lang w:val="en-CA"/>
        </w:rPr>
        <w:t>packet</w:t>
      </w:r>
      <w:r w:rsidRPr="00B577A5">
        <w:rPr>
          <w:lang w:val="en-CA" w:eastAsia="zh-CN"/>
        </w:rPr>
        <w:t xml:space="preserve"> data </w:t>
      </w:r>
      <w:r w:rsidRPr="00B577A5">
        <w:rPr>
          <w:lang w:val="en-CA"/>
        </w:rPr>
        <w:t>convergence</w:t>
      </w:r>
      <w:r w:rsidRPr="00B577A5">
        <w:rPr>
          <w:lang w:val="en-CA" w:eastAsia="zh-CN"/>
        </w:rPr>
        <w:t xml:space="preserve"> protocol/radio link control/medium access control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M1</w:t>
      </w:r>
      <w:r w:rsidRPr="00B577A5">
        <w:rPr>
          <w:lang w:val="en-CA" w:eastAsia="zh-CN"/>
        </w:rPr>
        <w:tab/>
        <w:t>Logical interface between MBMS GW and eNBs</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lastRenderedPageBreak/>
        <w:t>M2</w:t>
      </w:r>
      <w:r w:rsidRPr="00B577A5">
        <w:rPr>
          <w:lang w:val="en-CA" w:eastAsia="zh-CN"/>
        </w:rPr>
        <w:tab/>
        <w:t>Logical control interface between MCE and eNBs</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M3</w:t>
      </w:r>
      <w:r w:rsidRPr="00B577A5">
        <w:rPr>
          <w:lang w:val="en-CA" w:eastAsia="zh-CN"/>
        </w:rPr>
        <w:tab/>
        <w:t>Interface between MME and MCE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MBB</w:t>
      </w:r>
      <w:r w:rsidRPr="00B577A5">
        <w:rPr>
          <w:lang w:val="en-CA" w:eastAsia="zh-CN"/>
        </w:rPr>
        <w:tab/>
        <w:t>Mobile broadband</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MBMS</w:t>
      </w:r>
      <w:r w:rsidRPr="00B577A5">
        <w:rPr>
          <w:lang w:val="en-CA" w:eastAsia="zh-CN"/>
        </w:rPr>
        <w:tab/>
        <w:t>Multimedia broadcast and multicast service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MBMS CP</w:t>
      </w:r>
      <w:r w:rsidRPr="00B577A5">
        <w:rPr>
          <w:lang w:val="en-CA" w:eastAsia="zh-CN"/>
        </w:rPr>
        <w:tab/>
        <w:t>Multimedia broadcast and multicast service cyclic prefix</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MBMS GW</w:t>
      </w:r>
      <w:r w:rsidRPr="00B577A5">
        <w:rPr>
          <w:lang w:val="en-CA" w:eastAsia="zh-CN"/>
        </w:rPr>
        <w:tab/>
        <w:t>MBMS gateway</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MBMS SAI</w:t>
      </w:r>
      <w:r w:rsidRPr="00B577A5">
        <w:rPr>
          <w:lang w:val="en-CA" w:eastAsia="zh-CN"/>
        </w:rPr>
        <w:tab/>
        <w:t>MBMS service area identity</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MBSFN</w:t>
      </w:r>
      <w:r w:rsidRPr="00B577A5">
        <w:rPr>
          <w:lang w:val="en-CA" w:eastAsia="zh-CN"/>
        </w:rPr>
        <w:tab/>
        <w:t>Multimedia broadcast and multicast service single frequency network</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MCE</w:t>
      </w:r>
      <w:r w:rsidRPr="00B577A5">
        <w:rPr>
          <w:lang w:val="en-CA" w:eastAsia="zh-CN"/>
        </w:rPr>
        <w:tab/>
        <w:t>Multi-cell/multicast coordination entity</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MCH</w:t>
      </w:r>
      <w:r w:rsidRPr="00B577A5">
        <w:rPr>
          <w:lang w:val="en-CA" w:eastAsia="zh-CN"/>
        </w:rPr>
        <w:tab/>
        <w:t>Multicast channel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MCS</w:t>
      </w:r>
      <w:r w:rsidRPr="00B577A5">
        <w:rPr>
          <w:lang w:val="en-CA" w:eastAsia="zh-CN"/>
        </w:rPr>
        <w:tab/>
        <w:t>Modulation and coding scheme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MDT</w:t>
      </w:r>
      <w:r w:rsidRPr="00B577A5">
        <w:rPr>
          <w:lang w:val="en-CA" w:eastAsia="zh-CN"/>
        </w:rPr>
        <w:tab/>
        <w:t>Minimization of drive tests</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MIKEY</w:t>
      </w:r>
      <w:r w:rsidRPr="00B577A5">
        <w:rPr>
          <w:lang w:val="en-CA" w:eastAsia="zh-CN"/>
        </w:rPr>
        <w:tab/>
        <w:t>Multimedia Internet KEYing</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MIMO</w:t>
      </w:r>
      <w:r w:rsidRPr="00B577A5">
        <w:rPr>
          <w:lang w:val="en-CA" w:eastAsia="zh-CN"/>
        </w:rPr>
        <w:tab/>
        <w:t>Multiple input multiple output</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MME</w:t>
      </w:r>
      <w:r w:rsidRPr="00B577A5">
        <w:rPr>
          <w:lang w:val="en-CA" w:eastAsia="zh-CN"/>
        </w:rPr>
        <w:tab/>
        <w:t>Mobility management entity</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MNO</w:t>
      </w:r>
      <w:r w:rsidRPr="00B577A5">
        <w:rPr>
          <w:lang w:val="en-CA" w:eastAsia="zh-CN"/>
        </w:rPr>
        <w:tab/>
        <w:t>Mobile network operator</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MSK</w:t>
      </w:r>
      <w:r w:rsidRPr="00B577A5">
        <w:rPr>
          <w:lang w:val="en-CA" w:eastAsia="zh-CN"/>
        </w:rPr>
        <w:tab/>
        <w:t>MBMS service key</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MSP</w:t>
      </w:r>
      <w:r w:rsidRPr="00B577A5">
        <w:rPr>
          <w:lang w:val="en-CA" w:eastAsia="zh-CN"/>
        </w:rPr>
        <w:tab/>
        <w:t>MCH scheduling period</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MTK</w:t>
      </w:r>
      <w:r w:rsidRPr="00B577A5">
        <w:rPr>
          <w:lang w:val="en-CA" w:eastAsia="zh-CN"/>
        </w:rPr>
        <w:tab/>
        <w:t>MBMS traffic key</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NCT</w:t>
      </w:r>
      <w:r w:rsidRPr="00B577A5">
        <w:rPr>
          <w:lang w:val="en-CA" w:eastAsia="zh-CN"/>
        </w:rPr>
        <w:tab/>
        <w:t>New carrier type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O&amp;M</w:t>
      </w:r>
      <w:r w:rsidRPr="00B577A5">
        <w:rPr>
          <w:lang w:val="en-CA" w:eastAsia="zh-CN"/>
        </w:rPr>
        <w:tab/>
        <w:t>Operations and maintenance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OFDM</w:t>
      </w:r>
      <w:r w:rsidRPr="00B577A5">
        <w:rPr>
          <w:lang w:val="en-CA" w:eastAsia="zh-CN"/>
        </w:rPr>
        <w:tab/>
        <w:t>Orthogonal frequency division multiplex</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PDN</w:t>
      </w:r>
      <w:r w:rsidRPr="00B577A5">
        <w:rPr>
          <w:lang w:val="en-CA" w:eastAsia="zh-CN"/>
        </w:rPr>
        <w:tab/>
        <w:t>Public data network</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PSM</w:t>
      </w:r>
      <w:r w:rsidRPr="00B577A5">
        <w:rPr>
          <w:lang w:val="en-CA" w:eastAsia="zh-CN"/>
        </w:rPr>
        <w:tab/>
        <w:t>Public service media</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PSS</w:t>
      </w:r>
      <w:r w:rsidRPr="00B577A5">
        <w:rPr>
          <w:lang w:val="en-CA" w:eastAsia="zh-CN"/>
        </w:rPr>
        <w:tab/>
        <w:t>Packet-switched streaming</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P-TM</w:t>
      </w:r>
      <w:r w:rsidRPr="00B577A5">
        <w:rPr>
          <w:lang w:val="en-CA" w:eastAsia="zh-CN"/>
        </w:rPr>
        <w:tab/>
        <w:t>Point-to-multipoint</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P-P</w:t>
      </w:r>
      <w:r w:rsidRPr="00B577A5">
        <w:rPr>
          <w:lang w:val="en-CA" w:eastAsia="zh-CN"/>
        </w:rPr>
        <w:tab/>
        <w:t>Point-to-point</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QCI</w:t>
      </w:r>
      <w:r w:rsidRPr="00B577A5">
        <w:rPr>
          <w:lang w:val="en-CA" w:eastAsia="zh-CN"/>
        </w:rPr>
        <w:tab/>
        <w:t>Qos class identifier</w:t>
      </w:r>
    </w:p>
    <w:p w:rsidR="007530DF" w:rsidRPr="00B577A5" w:rsidRDefault="007530DF" w:rsidP="007530DF">
      <w:pPr>
        <w:tabs>
          <w:tab w:val="clear" w:pos="1134"/>
          <w:tab w:val="left" w:pos="1440"/>
        </w:tabs>
        <w:spacing w:before="60" w:after="60"/>
        <w:ind w:left="1440" w:hanging="1440"/>
        <w:rPr>
          <w:lang w:val="en-CA" w:eastAsia="zh-CN"/>
        </w:rPr>
      </w:pPr>
      <w:r w:rsidRPr="00B577A5">
        <w:rPr>
          <w:lang w:val="en-CA" w:eastAsia="zh-CN"/>
        </w:rPr>
        <w:t>QoE</w:t>
      </w:r>
      <w:r w:rsidRPr="00B577A5">
        <w:rPr>
          <w:lang w:val="en-CA" w:eastAsia="zh-CN"/>
        </w:rPr>
        <w:tab/>
        <w:t>Quality of experience: The overall acceptability of an application or service, as perceived subjectively by the end-user. It includes the complete end-to-end system effects (client, terminal, network, services, etc.) And it may be influenced by user expectations and context.</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QoS</w:t>
      </w:r>
      <w:r w:rsidRPr="00B577A5">
        <w:rPr>
          <w:lang w:val="en-CA" w:eastAsia="zh-CN"/>
        </w:rPr>
        <w:tab/>
        <w:t>Quality of service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RRC</w:t>
      </w:r>
      <w:r w:rsidRPr="00B577A5">
        <w:rPr>
          <w:lang w:val="en-CA" w:eastAsia="zh-CN"/>
        </w:rPr>
        <w:tab/>
        <w:t>Radio resource control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RTCP</w:t>
      </w:r>
      <w:r w:rsidRPr="00B577A5">
        <w:rPr>
          <w:lang w:val="en-CA" w:eastAsia="zh-CN"/>
        </w:rPr>
        <w:tab/>
        <w:t>Rtp control protocol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RTP</w:t>
      </w:r>
      <w:r w:rsidRPr="00B577A5">
        <w:rPr>
          <w:lang w:val="en-CA" w:eastAsia="zh-CN"/>
        </w:rPr>
        <w:tab/>
        <w:t>Real time protocol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SCTP/IP</w:t>
      </w:r>
      <w:r w:rsidRPr="00B577A5">
        <w:rPr>
          <w:lang w:val="en-CA" w:eastAsia="zh-CN"/>
        </w:rPr>
        <w:tab/>
        <w:t>S common transport protocol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SDL</w:t>
      </w:r>
      <w:r w:rsidRPr="00B577A5">
        <w:rPr>
          <w:lang w:val="en-CA" w:eastAsia="zh-CN"/>
        </w:rPr>
        <w:tab/>
        <w:t>Supplemental downlink</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SFN</w:t>
      </w:r>
      <w:r w:rsidRPr="00B577A5">
        <w:rPr>
          <w:lang w:val="en-CA" w:eastAsia="zh-CN"/>
        </w:rPr>
        <w:tab/>
        <w:t>Single frequency network</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SGmb</w:t>
      </w:r>
      <w:r w:rsidRPr="00B577A5">
        <w:rPr>
          <w:lang w:val="en-CA" w:eastAsia="zh-CN"/>
        </w:rPr>
        <w:tab/>
        <w:t>Reference point for the control plane between BM-SC and MBMS GW</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SGi-mb</w:t>
      </w:r>
      <w:r w:rsidRPr="00B577A5">
        <w:rPr>
          <w:lang w:val="en-CA" w:eastAsia="zh-CN"/>
        </w:rPr>
        <w:tab/>
        <w:t>Reference point for the user plane between BM-SC and MBMS GW</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SIM</w:t>
      </w:r>
      <w:r w:rsidRPr="00B577A5">
        <w:rPr>
          <w:lang w:val="en-CA" w:eastAsia="zh-CN"/>
        </w:rPr>
        <w:tab/>
        <w:t>GSM subscription identity module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lastRenderedPageBreak/>
        <w:t>SINR</w:t>
      </w:r>
      <w:r w:rsidRPr="00B577A5">
        <w:rPr>
          <w:lang w:val="en-CA" w:eastAsia="zh-CN"/>
        </w:rPr>
        <w:tab/>
        <w:t>Signal to interference + noise ratio</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Sm</w:t>
      </w:r>
      <w:r w:rsidRPr="00B577A5">
        <w:rPr>
          <w:lang w:val="en-CA" w:eastAsia="zh-CN"/>
        </w:rPr>
        <w:tab/>
        <w:t>Reference point for the control plane between MME and MBMS GW</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SRTP</w:t>
      </w:r>
      <w:r w:rsidRPr="00B577A5">
        <w:rPr>
          <w:lang w:val="en-CA" w:eastAsia="zh-CN"/>
        </w:rPr>
        <w:tab/>
        <w:t>Secure real-time transport protocol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SYNC</w:t>
      </w:r>
      <w:r w:rsidRPr="00B577A5">
        <w:rPr>
          <w:lang w:val="en-CA" w:eastAsia="zh-CN"/>
        </w:rPr>
        <w:tab/>
        <w:t>MBMS synchronization protocol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TCP</w:t>
      </w:r>
      <w:r w:rsidRPr="00B577A5">
        <w:rPr>
          <w:lang w:val="en-CA" w:eastAsia="zh-CN"/>
        </w:rPr>
        <w:tab/>
        <w:t>Transmission control protocol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TDD</w:t>
      </w:r>
      <w:r w:rsidRPr="00B577A5">
        <w:rPr>
          <w:lang w:val="en-CA" w:eastAsia="zh-CN"/>
        </w:rPr>
        <w:tab/>
        <w:t>Time division duplex</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i/>
          <w:lang w:val="en-CA" w:eastAsia="zh-CN"/>
        </w:rPr>
        <w:t>T</w:t>
      </w:r>
      <w:r w:rsidRPr="00B577A5">
        <w:rPr>
          <w:i/>
          <w:vertAlign w:val="subscript"/>
          <w:lang w:val="en-CA" w:eastAsia="zh-CN"/>
        </w:rPr>
        <w:t>CP</w:t>
      </w:r>
      <w:r w:rsidRPr="00B577A5">
        <w:rPr>
          <w:lang w:val="en-CA" w:eastAsia="zh-CN"/>
        </w:rPr>
        <w:tab/>
        <w:t>Cyclic prefix length</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i/>
          <w:lang w:val="en-CA" w:eastAsia="zh-CN"/>
        </w:rPr>
        <w:t>T</w:t>
      </w:r>
      <w:r w:rsidRPr="00B577A5">
        <w:rPr>
          <w:i/>
          <w:vertAlign w:val="subscript"/>
          <w:lang w:val="en-CA" w:eastAsia="zh-CN"/>
        </w:rPr>
        <w:t>u</w:t>
      </w:r>
      <w:r w:rsidRPr="00B577A5">
        <w:rPr>
          <w:lang w:val="en-CA" w:eastAsia="zh-CN"/>
        </w:rPr>
        <w:tab/>
        <w:t>Useful symbol time</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UDP</w:t>
      </w:r>
      <w:r w:rsidRPr="00B577A5">
        <w:rPr>
          <w:lang w:val="en-CA" w:eastAsia="zh-CN"/>
        </w:rPr>
        <w:tab/>
        <w:t>User datagram protocol</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UE</w:t>
      </w:r>
      <w:r w:rsidRPr="00B577A5">
        <w:rPr>
          <w:lang w:val="en-CA" w:eastAsia="zh-CN"/>
        </w:rPr>
        <w:tab/>
        <w:t>User equipment</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UHD</w:t>
      </w:r>
      <w:r w:rsidRPr="00B577A5">
        <w:rPr>
          <w:lang w:val="en-CA" w:eastAsia="zh-CN"/>
        </w:rPr>
        <w:tab/>
        <w:t>Ultra high Definition</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UL</w:t>
      </w:r>
      <w:r w:rsidRPr="00B577A5">
        <w:rPr>
          <w:lang w:val="en-CA" w:eastAsia="zh-CN"/>
        </w:rPr>
        <w:tab/>
        <w:t>Uplink</w:t>
      </w:r>
    </w:p>
    <w:p w:rsidR="007530DF" w:rsidRPr="00B577A5" w:rsidRDefault="007530DF" w:rsidP="007530DF">
      <w:pPr>
        <w:tabs>
          <w:tab w:val="clear" w:pos="1134"/>
          <w:tab w:val="left" w:pos="1440"/>
          <w:tab w:val="left" w:pos="2077"/>
        </w:tabs>
        <w:spacing w:before="60" w:after="60"/>
        <w:ind w:left="1440" w:hanging="1440"/>
        <w:rPr>
          <w:lang w:val="en-CA" w:eastAsia="zh-CN"/>
        </w:rPr>
      </w:pPr>
      <w:r w:rsidRPr="00B577A5">
        <w:rPr>
          <w:lang w:val="en-CA" w:eastAsia="zh-CN"/>
        </w:rPr>
        <w:t>UP</w:t>
      </w:r>
      <w:r w:rsidRPr="00B577A5">
        <w:rPr>
          <w:lang w:val="en-CA" w:eastAsia="zh-CN"/>
        </w:rPr>
        <w:tab/>
        <w:t>User plane</w:t>
      </w:r>
    </w:p>
    <w:p w:rsidR="007530DF" w:rsidRPr="00E51157" w:rsidRDefault="007530DF" w:rsidP="007530DF">
      <w:pPr>
        <w:tabs>
          <w:tab w:val="clear" w:pos="1134"/>
          <w:tab w:val="left" w:pos="1440"/>
          <w:tab w:val="left" w:pos="2077"/>
        </w:tabs>
        <w:spacing w:before="60" w:after="60"/>
        <w:ind w:left="1440" w:hanging="1440"/>
        <w:rPr>
          <w:lang w:val="fr-CH"/>
        </w:rPr>
      </w:pPr>
      <w:r w:rsidRPr="00E51157">
        <w:rPr>
          <w:lang w:val="fr-CH" w:eastAsia="zh-CN"/>
        </w:rPr>
        <w:t>USD</w:t>
      </w:r>
      <w:r w:rsidRPr="00E51157">
        <w:rPr>
          <w:lang w:val="fr-CH" w:eastAsia="zh-CN"/>
        </w:rPr>
        <w:tab/>
        <w:t>User service description</w:t>
      </w:r>
    </w:p>
    <w:p w:rsidR="007530DF" w:rsidRPr="00E51157" w:rsidRDefault="007530DF" w:rsidP="007530DF">
      <w:pPr>
        <w:outlineLvl w:val="0"/>
        <w:rPr>
          <w:b/>
          <w:sz w:val="28"/>
          <w:szCs w:val="28"/>
          <w:lang w:val="fr-CH"/>
        </w:rPr>
      </w:pPr>
      <w:r w:rsidRPr="00E51157">
        <w:rPr>
          <w:lang w:val="fr-CH"/>
        </w:rPr>
        <w:br w:type="page"/>
      </w:r>
    </w:p>
    <w:p w:rsidR="007530DF" w:rsidRPr="00E51157" w:rsidRDefault="007530DF" w:rsidP="007530DF">
      <w:pPr>
        <w:pStyle w:val="AnnexNo"/>
        <w:spacing w:before="120"/>
        <w:rPr>
          <w:lang w:val="fr-CH"/>
        </w:rPr>
      </w:pPr>
      <w:r w:rsidRPr="00E51157">
        <w:rPr>
          <w:lang w:val="fr-CH"/>
        </w:rPr>
        <w:lastRenderedPageBreak/>
        <w:t>Attachment 2</w:t>
      </w:r>
      <w:bookmarkEnd w:id="14"/>
    </w:p>
    <w:p w:rsidR="007530DF" w:rsidRDefault="007530DF" w:rsidP="007530DF">
      <w:pPr>
        <w:pStyle w:val="RepNo"/>
        <w:rPr>
          <w:color w:val="000000" w:themeColor="text1"/>
          <w:lang w:val="en-CA" w:eastAsia="zh-CN"/>
        </w:rPr>
      </w:pPr>
      <w:r w:rsidRPr="00B577A5">
        <w:rPr>
          <w:color w:val="000000" w:themeColor="text1"/>
          <w:lang w:val="en-CA" w:eastAsia="zh-CN"/>
        </w:rPr>
        <w:t>PROPOSED DRAFT LIAISON STATEMENT TO wORKING pARTY 6a</w:t>
      </w:r>
    </w:p>
    <w:p w:rsidR="007530DF" w:rsidRPr="009E1FC1" w:rsidRDefault="007530DF" w:rsidP="007530DF">
      <w:pPr>
        <w:pStyle w:val="Reptitle"/>
        <w:spacing w:before="0"/>
        <w:rPr>
          <w:lang w:val="en-CA" w:eastAsia="zh-CN"/>
        </w:rPr>
      </w:pPr>
      <w:r w:rsidRPr="009E1FC1">
        <w:rPr>
          <w:rFonts w:ascii="Times New Roman" w:hAnsi="Times New Roman"/>
          <w:b w:val="0"/>
          <w:caps/>
          <w:color w:val="000000" w:themeColor="text1"/>
          <w:lang w:val="en-CA" w:eastAsia="zh-CN"/>
        </w:rPr>
        <w:t>(COPY FOR INFORMATION TO THE ITU-D/ITU-R Joint Group for Resolution 9</w:t>
      </w:r>
      <w:r>
        <w:rPr>
          <w:rFonts w:ascii="Times New Roman" w:hAnsi="Times New Roman"/>
          <w:b w:val="0"/>
          <w:caps/>
          <w:color w:val="000000" w:themeColor="text1"/>
          <w:lang w:val="en-CA" w:eastAsia="zh-CN"/>
        </w:rPr>
        <w:t xml:space="preserve"> </w:t>
      </w:r>
      <w:r w:rsidRPr="009E1FC1">
        <w:rPr>
          <w:rFonts w:ascii="Times New Roman" w:eastAsia="SimHei" w:hAnsi="Times New Roman"/>
          <w:b w:val="0"/>
          <w:lang w:eastAsia="zh-CN"/>
        </w:rPr>
        <w:t>(Rev. Dubai, 2014)</w:t>
      </w:r>
      <w:r w:rsidRPr="009E1FC1">
        <w:rPr>
          <w:rFonts w:ascii="Times New Roman" w:hAnsi="Times New Roman"/>
          <w:b w:val="0"/>
          <w:caps/>
          <w:color w:val="000000" w:themeColor="text1"/>
          <w:lang w:val="en-CA" w:eastAsia="zh-CN"/>
        </w:rPr>
        <w:t>)</w:t>
      </w:r>
    </w:p>
    <w:p w:rsidR="007530DF" w:rsidRPr="00B577A5" w:rsidRDefault="007530DF" w:rsidP="007530DF">
      <w:pPr>
        <w:pStyle w:val="Reptitle"/>
        <w:rPr>
          <w:color w:val="000000" w:themeColor="text1"/>
          <w:szCs w:val="28"/>
          <w:lang w:val="en-CA" w:eastAsia="zh-CN"/>
        </w:rPr>
      </w:pPr>
      <w:r w:rsidRPr="00B577A5">
        <w:rPr>
          <w:color w:val="000000" w:themeColor="text1"/>
          <w:szCs w:val="28"/>
          <w:lang w:val="en-CA" w:eastAsia="zh-CN"/>
        </w:rPr>
        <w:t>Television distribution using terrestrial International Mobile Telecommunication (IMT) networks in the frequency range 470-698 MHz</w:t>
      </w:r>
    </w:p>
    <w:p w:rsidR="007530DF" w:rsidRPr="00B577A5" w:rsidRDefault="007530DF" w:rsidP="007530DF">
      <w:pPr>
        <w:pStyle w:val="Headingb"/>
        <w:rPr>
          <w:lang w:val="en-CA"/>
        </w:rPr>
      </w:pPr>
    </w:p>
    <w:p w:rsidR="007530DF" w:rsidRPr="00B577A5" w:rsidRDefault="007530DF" w:rsidP="007530DF">
      <w:pPr>
        <w:pStyle w:val="Headingb"/>
        <w:rPr>
          <w:rFonts w:ascii="Times New Roman" w:hAnsi="Times New Roman" w:cs="Times New Roman"/>
          <w:b w:val="0"/>
          <w:lang w:val="en-CA"/>
        </w:rPr>
      </w:pPr>
      <w:r w:rsidRPr="00B577A5">
        <w:rPr>
          <w:rFonts w:ascii="Times New Roman" w:hAnsi="Times New Roman" w:cs="Times New Roman"/>
          <w:b w:val="0"/>
          <w:lang w:val="en-CA"/>
        </w:rPr>
        <w:t xml:space="preserve">Working Party 5D (WP 5D) has initiated the development </w:t>
      </w:r>
      <w:r w:rsidRPr="00B577A5">
        <w:rPr>
          <w:rFonts w:ascii="Times New Roman" w:hAnsi="Times New Roman" w:cs="Times New Roman"/>
          <w:b w:val="0"/>
          <w:lang w:val="en-CA" w:eastAsia="zh-CN"/>
        </w:rPr>
        <w:t xml:space="preserve">of a </w:t>
      </w:r>
      <w:r w:rsidRPr="00B577A5">
        <w:rPr>
          <w:rFonts w:ascii="Times New Roman" w:hAnsi="Times New Roman" w:cs="Times New Roman"/>
          <w:b w:val="0"/>
          <w:lang w:val="en-CA"/>
        </w:rPr>
        <w:t>working document towards a preliminary draft new Report M.[IMT.TV-600] “Television distribution using terrestrial International Mobile Telecommunication (IMT) networks in the frequency range 470-698 MHz”.</w:t>
      </w:r>
    </w:p>
    <w:p w:rsidR="007530DF" w:rsidRPr="00B577A5" w:rsidRDefault="007530DF" w:rsidP="007530DF">
      <w:pPr>
        <w:rPr>
          <w:lang w:val="en-CA"/>
        </w:rPr>
      </w:pPr>
      <w:r w:rsidRPr="00B577A5">
        <w:rPr>
          <w:lang w:val="en-CA"/>
        </w:rPr>
        <w:t xml:space="preserve">The objective is to address the opportunities presented by the IMT identification in the band 470-698 MHz, or parts of it, in order to provide guidance on the development of transition plans </w:t>
      </w:r>
      <w:r>
        <w:rPr>
          <w:lang w:val="en-CA"/>
        </w:rPr>
        <w:t>to</w:t>
      </w:r>
      <w:r w:rsidRPr="00B577A5">
        <w:rPr>
          <w:lang w:val="en-CA"/>
        </w:rPr>
        <w:t xml:space="preserve"> effective network deployments for the distribution of television content.</w:t>
      </w:r>
    </w:p>
    <w:p w:rsidR="007530DF" w:rsidRPr="00B577A5" w:rsidRDefault="007530DF" w:rsidP="007530DF">
      <w:pPr>
        <w:rPr>
          <w:lang w:val="en-CA"/>
        </w:rPr>
      </w:pPr>
      <w:r w:rsidRPr="00B577A5">
        <w:rPr>
          <w:lang w:val="en-CA"/>
        </w:rPr>
        <w:t>Attached is the current version of the working document.  WP 5D invites WP 6A to provide comments.</w:t>
      </w:r>
    </w:p>
    <w:p w:rsidR="007530DF" w:rsidRPr="00B577A5" w:rsidRDefault="007530DF" w:rsidP="007530DF">
      <w:pPr>
        <w:rPr>
          <w:lang w:val="en-CA"/>
        </w:rPr>
      </w:pPr>
      <w:r w:rsidRPr="00B577A5">
        <w:rPr>
          <w:lang w:val="en-CA"/>
        </w:rPr>
        <w:t>WP 5D plans to complete the preliminary draft new Report at its Meeting No. 28, currently scheduled for 3-11 October 2017.  The next meeting of WP 5D (Meeting No. 24) will be held from 14-22 June 2016.</w:t>
      </w:r>
    </w:p>
    <w:p w:rsidR="007530DF" w:rsidRPr="000F26B7" w:rsidRDefault="007530DF" w:rsidP="007530DF">
      <w:pPr>
        <w:rPr>
          <w:lang w:val="en-CA"/>
        </w:rPr>
      </w:pPr>
      <w:r w:rsidRPr="00B577A5">
        <w:rPr>
          <w:lang w:val="en-CA"/>
        </w:rPr>
        <w:t>WP 5D looks forward to the cooperation of WP 6A in the development of this draft new Report.</w:t>
      </w:r>
    </w:p>
    <w:p w:rsidR="007530DF" w:rsidRPr="00B577A5" w:rsidRDefault="007530DF" w:rsidP="007530DF">
      <w:pPr>
        <w:rPr>
          <w:lang w:val="en-CA"/>
        </w:rPr>
      </w:pPr>
    </w:p>
    <w:p w:rsidR="007530DF" w:rsidRPr="00B577A5" w:rsidRDefault="007530DF" w:rsidP="007530DF">
      <w:pPr>
        <w:tabs>
          <w:tab w:val="clear" w:pos="1134"/>
          <w:tab w:val="left" w:pos="1440"/>
        </w:tabs>
        <w:ind w:left="1440" w:hanging="1440"/>
        <w:rPr>
          <w:lang w:val="en-CA"/>
        </w:rPr>
      </w:pPr>
      <w:r w:rsidRPr="00B577A5">
        <w:rPr>
          <w:b/>
          <w:lang w:val="en-CA"/>
        </w:rPr>
        <w:t>Attachment:</w:t>
      </w:r>
      <w:r w:rsidRPr="00B577A5">
        <w:rPr>
          <w:lang w:val="en-CA"/>
        </w:rPr>
        <w:tab/>
        <w:t>Working document towards a preliminary draft new Report M.[IMT.TV-600] “Television distribution using terrestrial International Mobile Telecommunication (IMT) networks in the frequency range 470-698 MHz”</w:t>
      </w:r>
    </w:p>
    <w:p w:rsidR="007530DF" w:rsidRPr="00B577A5" w:rsidRDefault="007530DF" w:rsidP="007530DF">
      <w:pPr>
        <w:tabs>
          <w:tab w:val="clear" w:pos="1134"/>
          <w:tab w:val="left" w:pos="1440"/>
        </w:tabs>
        <w:rPr>
          <w:b/>
          <w:lang w:val="en-CA"/>
        </w:rPr>
      </w:pPr>
    </w:p>
    <w:p w:rsidR="007530DF" w:rsidRPr="00B577A5" w:rsidRDefault="007530DF" w:rsidP="007530DF">
      <w:pPr>
        <w:tabs>
          <w:tab w:val="clear" w:pos="1134"/>
          <w:tab w:val="left" w:pos="1440"/>
        </w:tabs>
        <w:rPr>
          <w:lang w:val="en-CA"/>
        </w:rPr>
      </w:pPr>
      <w:r w:rsidRPr="00B577A5">
        <w:rPr>
          <w:b/>
          <w:lang w:val="en-CA"/>
        </w:rPr>
        <w:t>Status:</w:t>
      </w:r>
      <w:r w:rsidRPr="00B577A5">
        <w:rPr>
          <w:lang w:val="en-CA"/>
        </w:rPr>
        <w:tab/>
        <w:t>For action.</w:t>
      </w:r>
    </w:p>
    <w:p w:rsidR="007530DF" w:rsidRPr="00B577A5" w:rsidRDefault="007530DF" w:rsidP="007530DF">
      <w:pPr>
        <w:tabs>
          <w:tab w:val="clear" w:pos="1134"/>
          <w:tab w:val="clear" w:pos="1871"/>
          <w:tab w:val="clear" w:pos="2268"/>
          <w:tab w:val="left" w:pos="1440"/>
          <w:tab w:val="left" w:pos="5103"/>
          <w:tab w:val="left" w:pos="6237"/>
        </w:tabs>
        <w:rPr>
          <w:lang w:val="en-CA"/>
        </w:rPr>
      </w:pPr>
      <w:r w:rsidRPr="00B577A5">
        <w:rPr>
          <w:b/>
          <w:lang w:val="en-CA"/>
        </w:rPr>
        <w:t>Contact:</w:t>
      </w:r>
      <w:r w:rsidRPr="00B577A5">
        <w:rPr>
          <w:b/>
          <w:lang w:val="en-CA"/>
        </w:rPr>
        <w:tab/>
      </w:r>
      <w:r w:rsidRPr="00B577A5">
        <w:rPr>
          <w:lang w:val="en-CA"/>
        </w:rPr>
        <w:t>&lt;TBD&gt;</w:t>
      </w:r>
      <w:r w:rsidRPr="00B577A5">
        <w:rPr>
          <w:lang w:val="en-CA"/>
        </w:rPr>
        <w:tab/>
      </w:r>
      <w:r w:rsidRPr="00B577A5">
        <w:rPr>
          <w:b/>
          <w:lang w:val="en-CA"/>
        </w:rPr>
        <w:t>E-mail:</w:t>
      </w:r>
      <w:r w:rsidRPr="00B577A5">
        <w:rPr>
          <w:lang w:val="en-CA"/>
        </w:rPr>
        <w:tab/>
        <w:t>&lt;TBD&gt;</w:t>
      </w:r>
    </w:p>
    <w:p w:rsidR="007530DF" w:rsidRPr="00B577A5" w:rsidRDefault="007530DF" w:rsidP="007530DF">
      <w:pPr>
        <w:tabs>
          <w:tab w:val="clear" w:pos="1134"/>
          <w:tab w:val="clear" w:pos="1871"/>
          <w:tab w:val="clear" w:pos="2268"/>
        </w:tabs>
        <w:overflowPunct/>
        <w:autoSpaceDE/>
        <w:autoSpaceDN/>
        <w:adjustRightInd/>
        <w:spacing w:before="0"/>
        <w:textAlignment w:val="auto"/>
        <w:rPr>
          <w:lang w:val="en-CA"/>
        </w:rPr>
      </w:pPr>
      <w:r w:rsidRPr="00B577A5">
        <w:rPr>
          <w:lang w:val="en-CA"/>
        </w:rPr>
        <w:br w:type="page"/>
      </w:r>
    </w:p>
    <w:p w:rsidR="007530DF" w:rsidRPr="00B577A5" w:rsidRDefault="007530DF" w:rsidP="003F0AB7">
      <w:pPr>
        <w:pStyle w:val="AnnexNo"/>
        <w:spacing w:before="80" w:after="40"/>
        <w:rPr>
          <w:lang w:val="en-CA"/>
        </w:rPr>
      </w:pPr>
      <w:bookmarkStart w:id="44" w:name="att3"/>
      <w:r w:rsidRPr="00B577A5">
        <w:rPr>
          <w:lang w:val="en-CA"/>
        </w:rPr>
        <w:lastRenderedPageBreak/>
        <w:t>Attachment 3</w:t>
      </w:r>
    </w:p>
    <w:bookmarkEnd w:id="44"/>
    <w:p w:rsidR="007530DF" w:rsidRPr="00B577A5" w:rsidRDefault="007530DF" w:rsidP="003F0AB7">
      <w:pPr>
        <w:pStyle w:val="Appendixtitle"/>
        <w:spacing w:before="120" w:after="40"/>
        <w:rPr>
          <w:lang w:val="en-CA" w:eastAsia="ja-JP"/>
        </w:rPr>
      </w:pPr>
      <w:r w:rsidRPr="00B577A5">
        <w:rPr>
          <w:lang w:val="en-CA" w:eastAsia="zh-CN"/>
        </w:rPr>
        <w:t xml:space="preserve">Detailed </w:t>
      </w:r>
      <w:r w:rsidRPr="00B577A5">
        <w:rPr>
          <w:lang w:val="en-CA"/>
        </w:rPr>
        <w:t>workplan</w:t>
      </w:r>
      <w:r w:rsidRPr="00B577A5">
        <w:rPr>
          <w:lang w:val="en-CA" w:eastAsia="zh-CN"/>
        </w:rPr>
        <w:t xml:space="preserve"> for the development of a working document towards a preliminary draft new Report ITU-R M.[IMT.TV-600]</w:t>
      </w:r>
      <w:r>
        <w:rPr>
          <w:lang w:val="en-CA" w:eastAsia="zh-CN"/>
        </w:rPr>
        <w:t xml:space="preserve"> </w:t>
      </w:r>
      <w:r w:rsidRPr="00CA411C">
        <w:rPr>
          <w:lang w:val="en-CA" w:eastAsia="zh-CN"/>
        </w:rPr>
        <w:t>“Television distribution using terrestrial International Mobile Telecommunication (IMT) networks in the frequency range 470-698 MHz”</w:t>
      </w:r>
    </w:p>
    <w:p w:rsidR="007530DF" w:rsidRPr="00B577A5" w:rsidRDefault="007530DF" w:rsidP="007530DF">
      <w:pPr>
        <w:spacing w:after="120"/>
        <w:rPr>
          <w:lang w:val="en-CA" w:eastAsia="ja-JP"/>
        </w:rPr>
      </w:pPr>
      <w:r w:rsidRPr="00B577A5">
        <w:rPr>
          <w:lang w:val="en-CA" w:eastAsia="ja-JP"/>
        </w:rPr>
        <w:t>Source:</w:t>
      </w:r>
      <w:r w:rsidRPr="00B577A5">
        <w:rPr>
          <w:lang w:val="en-CA" w:eastAsia="ja-JP"/>
        </w:rPr>
        <w:tab/>
        <w:t>&lt;TBD&gt;</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3"/>
        <w:gridCol w:w="7417"/>
      </w:tblGrid>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Title</w:t>
            </w:r>
          </w:p>
        </w:tc>
        <w:tc>
          <w:tcPr>
            <w:tcW w:w="7417" w:type="dxa"/>
          </w:tcPr>
          <w:p w:rsidR="007530DF" w:rsidRPr="00B577A5" w:rsidRDefault="007530DF" w:rsidP="003F0AB7">
            <w:pPr>
              <w:spacing w:before="40" w:after="20"/>
              <w:rPr>
                <w:rFonts w:asciiTheme="majorBidi" w:eastAsia="Batang" w:hAnsiTheme="majorBidi" w:cstheme="majorBidi"/>
                <w:sz w:val="20"/>
                <w:lang w:val="en-CA"/>
              </w:rPr>
            </w:pPr>
            <w:r w:rsidRPr="00B577A5">
              <w:rPr>
                <w:rFonts w:asciiTheme="majorBidi" w:eastAsia="Batang" w:hAnsiTheme="majorBidi" w:cstheme="majorBidi"/>
                <w:sz w:val="20"/>
                <w:lang w:val="en-CA" w:eastAsia="ko-KR"/>
              </w:rPr>
              <w:t>“</w:t>
            </w:r>
            <w:r w:rsidRPr="00B577A5">
              <w:rPr>
                <w:rFonts w:eastAsia="Batang"/>
                <w:color w:val="000000" w:themeColor="text1"/>
                <w:sz w:val="20"/>
                <w:lang w:val="en-CA" w:eastAsia="zh-CN"/>
              </w:rPr>
              <w:t>Television distribution using terrestrial International Mobile Telecommunication (IMT) networks in the frequency range 470-698 MHz</w:t>
            </w:r>
            <w:r w:rsidRPr="00B577A5">
              <w:rPr>
                <w:rFonts w:asciiTheme="majorBidi" w:eastAsia="Batang" w:hAnsiTheme="majorBidi" w:cstheme="majorBidi"/>
                <w:sz w:val="20"/>
                <w:lang w:val="en-CA" w:eastAsia="ko-KR"/>
              </w:rPr>
              <w:t>”</w:t>
            </w:r>
          </w:p>
        </w:tc>
      </w:tr>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Identifier</w:t>
            </w:r>
          </w:p>
        </w:tc>
        <w:tc>
          <w:tcPr>
            <w:tcW w:w="7417" w:type="dxa"/>
          </w:tcPr>
          <w:p w:rsidR="007530DF" w:rsidRPr="00B577A5" w:rsidRDefault="007530DF" w:rsidP="003F0AB7">
            <w:pPr>
              <w:spacing w:before="40" w:after="20"/>
              <w:rPr>
                <w:rFonts w:asciiTheme="majorBidi" w:eastAsia="Batang" w:hAnsiTheme="majorBidi" w:cstheme="majorBidi"/>
                <w:sz w:val="20"/>
                <w:lang w:val="en-CA"/>
              </w:rPr>
            </w:pPr>
            <w:r w:rsidRPr="00B577A5">
              <w:rPr>
                <w:rFonts w:asciiTheme="majorBidi" w:eastAsia="Batang" w:hAnsiTheme="majorBidi" w:cstheme="majorBidi"/>
                <w:sz w:val="20"/>
                <w:lang w:val="en-CA"/>
              </w:rPr>
              <w:t>M.[IMT.TV-600]</w:t>
            </w:r>
          </w:p>
        </w:tc>
      </w:tr>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Document type</w:t>
            </w:r>
          </w:p>
        </w:tc>
        <w:tc>
          <w:tcPr>
            <w:tcW w:w="7417" w:type="dxa"/>
          </w:tcPr>
          <w:p w:rsidR="007530DF" w:rsidRPr="00B577A5" w:rsidRDefault="007530DF" w:rsidP="003F0AB7">
            <w:pPr>
              <w:spacing w:before="40" w:after="20"/>
              <w:rPr>
                <w:rFonts w:asciiTheme="majorBidi" w:eastAsia="Batang" w:hAnsiTheme="majorBidi" w:cstheme="majorBidi"/>
                <w:sz w:val="20"/>
                <w:lang w:val="en-CA"/>
              </w:rPr>
            </w:pPr>
            <w:r w:rsidRPr="00B577A5">
              <w:rPr>
                <w:rFonts w:asciiTheme="majorBidi" w:eastAsia="Batang" w:hAnsiTheme="majorBidi" w:cstheme="majorBidi"/>
                <w:sz w:val="20"/>
                <w:lang w:val="en-CA"/>
              </w:rPr>
              <w:t>Report</w:t>
            </w:r>
          </w:p>
        </w:tc>
      </w:tr>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WP 5D Lead Group</w:t>
            </w:r>
          </w:p>
        </w:tc>
        <w:tc>
          <w:tcPr>
            <w:tcW w:w="7417" w:type="dxa"/>
          </w:tcPr>
          <w:p w:rsidR="007530DF" w:rsidRPr="00A97693" w:rsidRDefault="007530DF" w:rsidP="003F0AB7">
            <w:pPr>
              <w:spacing w:before="40" w:after="20"/>
              <w:rPr>
                <w:rFonts w:asciiTheme="majorBidi" w:eastAsia="Batang" w:hAnsiTheme="majorBidi" w:cstheme="majorBidi"/>
                <w:sz w:val="20"/>
                <w:lang w:val="en-CA"/>
              </w:rPr>
            </w:pPr>
            <w:r w:rsidRPr="00A97693">
              <w:rPr>
                <w:rFonts w:asciiTheme="majorBidi" w:eastAsia="Batang" w:hAnsiTheme="majorBidi" w:cstheme="majorBidi"/>
                <w:sz w:val="20"/>
                <w:lang w:val="en-CA"/>
              </w:rPr>
              <w:t>WG General Aspects</w:t>
            </w:r>
          </w:p>
        </w:tc>
      </w:tr>
      <w:tr w:rsidR="007530DF" w:rsidRPr="00CA411C"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SWG Chair</w:t>
            </w:r>
          </w:p>
        </w:tc>
        <w:tc>
          <w:tcPr>
            <w:tcW w:w="7417" w:type="dxa"/>
          </w:tcPr>
          <w:p w:rsidR="007530DF" w:rsidRPr="00CA411C" w:rsidRDefault="007530DF" w:rsidP="003F0AB7">
            <w:pPr>
              <w:spacing w:before="40" w:after="20"/>
              <w:rPr>
                <w:rFonts w:asciiTheme="majorBidi" w:eastAsia="Batang" w:hAnsiTheme="majorBidi" w:cstheme="majorBidi"/>
                <w:sz w:val="20"/>
                <w:lang w:val="fr-FR"/>
              </w:rPr>
            </w:pPr>
          </w:p>
        </w:tc>
      </w:tr>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Editor</w:t>
            </w:r>
          </w:p>
        </w:tc>
        <w:tc>
          <w:tcPr>
            <w:tcW w:w="7417" w:type="dxa"/>
          </w:tcPr>
          <w:p w:rsidR="007530DF" w:rsidRPr="00A97693" w:rsidRDefault="007530DF" w:rsidP="003F0AB7">
            <w:pPr>
              <w:spacing w:before="40" w:after="20"/>
              <w:rPr>
                <w:rFonts w:asciiTheme="majorBidi" w:eastAsia="Batang" w:hAnsiTheme="majorBidi" w:cstheme="majorBidi"/>
                <w:sz w:val="20"/>
                <w:lang w:val="en-CA"/>
              </w:rPr>
            </w:pPr>
          </w:p>
        </w:tc>
      </w:tr>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Focus for scope and work</w:t>
            </w:r>
          </w:p>
        </w:tc>
        <w:tc>
          <w:tcPr>
            <w:tcW w:w="7417" w:type="dxa"/>
          </w:tcPr>
          <w:p w:rsidR="007530DF" w:rsidRPr="00B577A5" w:rsidRDefault="007530DF" w:rsidP="003F0AB7">
            <w:pPr>
              <w:tabs>
                <w:tab w:val="left" w:pos="284"/>
              </w:tabs>
              <w:spacing w:before="40" w:after="20"/>
              <w:rPr>
                <w:rFonts w:asciiTheme="majorBidi" w:eastAsia="Batang" w:hAnsiTheme="majorBidi" w:cstheme="majorBidi"/>
                <w:sz w:val="20"/>
                <w:lang w:val="en-CA"/>
              </w:rPr>
            </w:pPr>
            <w:r w:rsidRPr="002070F8">
              <w:rPr>
                <w:rFonts w:eastAsia="Batang"/>
                <w:sz w:val="20"/>
                <w:lang w:val="en-CA" w:eastAsia="zh-CN"/>
              </w:rPr>
              <w:t>This Report addresses the opportunities presented by the IMT identification within the frequency range 470-698 MHz in order to provide guidance on the development of transition plans and effective network deployments for the dis</w:t>
            </w:r>
            <w:r>
              <w:rPr>
                <w:rFonts w:eastAsia="Batang"/>
                <w:sz w:val="20"/>
                <w:lang w:val="en-CA" w:eastAsia="zh-CN"/>
              </w:rPr>
              <w:t>tribution of television content</w:t>
            </w:r>
            <w:r w:rsidRPr="00B577A5">
              <w:rPr>
                <w:rFonts w:eastAsia="Batang"/>
                <w:sz w:val="20"/>
                <w:lang w:val="en-CA" w:eastAsia="zh-CN"/>
              </w:rPr>
              <w:t>.</w:t>
            </w:r>
          </w:p>
        </w:tc>
      </w:tr>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Related documents</w:t>
            </w:r>
          </w:p>
        </w:tc>
        <w:tc>
          <w:tcPr>
            <w:tcW w:w="7417" w:type="dxa"/>
          </w:tcPr>
          <w:p w:rsidR="007530DF" w:rsidRPr="00B577A5" w:rsidRDefault="00321052" w:rsidP="003F0AB7">
            <w:pPr>
              <w:spacing w:before="40" w:after="20"/>
              <w:rPr>
                <w:rFonts w:asciiTheme="majorBidi" w:eastAsia="Batang" w:hAnsiTheme="majorBidi" w:cstheme="majorBidi"/>
                <w:sz w:val="20"/>
                <w:lang w:val="en-CA"/>
              </w:rPr>
            </w:pPr>
            <w:hyperlink r:id="rId18" w:history="1">
              <w:r w:rsidR="007530DF" w:rsidRPr="00B577A5">
                <w:rPr>
                  <w:rStyle w:val="Hyperlink"/>
                  <w:sz w:val="20"/>
                  <w:lang w:val="en-CA"/>
                </w:rPr>
                <w:t>Report ITU-R M.2373</w:t>
              </w:r>
            </w:hyperlink>
            <w:r w:rsidR="007530DF" w:rsidRPr="00B577A5">
              <w:rPr>
                <w:sz w:val="20"/>
                <w:lang w:val="en-CA"/>
              </w:rPr>
              <w:t xml:space="preserve"> − </w:t>
            </w:r>
            <w:r w:rsidR="007530DF" w:rsidRPr="00B577A5">
              <w:rPr>
                <w:iCs/>
                <w:sz w:val="20"/>
                <w:lang w:val="en-CA"/>
              </w:rPr>
              <w:t>Audio-visual capabilities and applications supported by terrestrial IMT systems</w:t>
            </w:r>
            <w:r w:rsidR="007530DF" w:rsidRPr="00B577A5">
              <w:rPr>
                <w:sz w:val="20"/>
                <w:lang w:val="en-CA"/>
              </w:rPr>
              <w:t xml:space="preserve"> (2015).</w:t>
            </w:r>
          </w:p>
          <w:p w:rsidR="007530DF" w:rsidRPr="00B577A5" w:rsidRDefault="00321052" w:rsidP="003F0AB7">
            <w:pPr>
              <w:spacing w:before="40" w:after="20"/>
              <w:rPr>
                <w:rFonts w:asciiTheme="majorBidi" w:eastAsia="Batang" w:hAnsiTheme="majorBidi" w:cstheme="majorBidi"/>
                <w:sz w:val="20"/>
                <w:lang w:val="en-CA"/>
              </w:rPr>
            </w:pPr>
            <w:hyperlink r:id="rId19" w:history="1">
              <w:r w:rsidR="007530DF" w:rsidRPr="00B577A5">
                <w:rPr>
                  <w:rStyle w:val="Hyperlink"/>
                  <w:rFonts w:asciiTheme="majorBidi" w:eastAsia="Batang" w:hAnsiTheme="majorBidi" w:cstheme="majorBidi"/>
                  <w:sz w:val="20"/>
                  <w:lang w:val="en-CA"/>
                </w:rPr>
                <w:t>Question ITU-R 229-4/5</w:t>
              </w:r>
            </w:hyperlink>
          </w:p>
        </w:tc>
      </w:tr>
      <w:tr w:rsidR="007530DF" w:rsidRPr="00B577A5" w:rsidTr="00257B17">
        <w:trPr>
          <w:jc w:val="center"/>
        </w:trPr>
        <w:tc>
          <w:tcPr>
            <w:tcW w:w="2113" w:type="dxa"/>
          </w:tcPr>
          <w:p w:rsidR="007530DF" w:rsidRPr="00B577A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Batang" w:hAnsiTheme="majorBidi" w:cstheme="majorBidi"/>
                <w:b/>
                <w:bCs/>
                <w:sz w:val="20"/>
                <w:lang w:val="en-CA"/>
              </w:rPr>
            </w:pPr>
            <w:r w:rsidRPr="00B577A5">
              <w:rPr>
                <w:rFonts w:asciiTheme="majorBidi" w:eastAsia="Batang" w:hAnsiTheme="majorBidi" w:cstheme="majorBidi"/>
                <w:b/>
                <w:bCs/>
                <w:sz w:val="20"/>
                <w:lang w:val="en-CA"/>
              </w:rPr>
              <w:t>Milestones</w:t>
            </w:r>
          </w:p>
        </w:tc>
        <w:tc>
          <w:tcPr>
            <w:tcW w:w="7417" w:type="dxa"/>
          </w:tcPr>
          <w:p w:rsidR="007530DF" w:rsidRPr="008D7F9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b/>
                <w:bCs/>
                <w:sz w:val="20"/>
                <w:u w:val="single"/>
                <w:lang w:val="en-CA"/>
              </w:rPr>
            </w:pPr>
            <w:r w:rsidRPr="008D7F95">
              <w:rPr>
                <w:b/>
                <w:bCs/>
                <w:sz w:val="20"/>
                <w:u w:val="single"/>
                <w:lang w:val="en-CA"/>
              </w:rPr>
              <w:t>Meeting No. 23 (23 February – 2 March 2016, Beijing, China)</w:t>
            </w:r>
          </w:p>
          <w:p w:rsidR="007530DF" w:rsidRPr="008D7F95" w:rsidRDefault="007530DF" w:rsidP="003F0AB7">
            <w:pPr>
              <w:numPr>
                <w:ilvl w:val="0"/>
                <w:numId w:val="1"/>
              </w:numPr>
              <w:tabs>
                <w:tab w:val="left" w:pos="284"/>
                <w:tab w:val="left" w:pos="615"/>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SimSun"/>
                <w:sz w:val="20"/>
                <w:lang w:val="en-CA" w:eastAsia="zh-CN"/>
              </w:rPr>
            </w:pPr>
            <w:r w:rsidRPr="008D7F95">
              <w:rPr>
                <w:rFonts w:eastAsia="SimSun"/>
                <w:sz w:val="20"/>
                <w:lang w:val="en-CA" w:eastAsia="zh-CN"/>
              </w:rPr>
              <w:t>Consider the received contributions</w:t>
            </w:r>
          </w:p>
          <w:p w:rsidR="007530DF" w:rsidRPr="008D7F95" w:rsidRDefault="007530DF" w:rsidP="003F0AB7">
            <w:pPr>
              <w:numPr>
                <w:ilvl w:val="0"/>
                <w:numId w:val="1"/>
              </w:numPr>
              <w:tabs>
                <w:tab w:val="left" w:pos="284"/>
                <w:tab w:val="left" w:pos="615"/>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SimSun"/>
                <w:sz w:val="20"/>
                <w:lang w:val="en-CA" w:eastAsia="zh-CN"/>
              </w:rPr>
            </w:pPr>
            <w:r w:rsidRPr="008D7F95">
              <w:rPr>
                <w:rFonts w:eastAsia="SimSun"/>
                <w:sz w:val="20"/>
                <w:lang w:val="en-CA" w:eastAsia="zh-CN"/>
              </w:rPr>
              <w:t xml:space="preserve">Develop </w:t>
            </w:r>
            <w:r w:rsidRPr="00B577A5">
              <w:rPr>
                <w:rFonts w:asciiTheme="majorBidi" w:eastAsia="Batang" w:hAnsiTheme="majorBidi" w:cstheme="majorBidi"/>
                <w:sz w:val="20"/>
                <w:lang w:val="en-CA"/>
              </w:rPr>
              <w:t>a detailed work plan</w:t>
            </w:r>
          </w:p>
          <w:p w:rsidR="007530DF" w:rsidRPr="008D7F95" w:rsidRDefault="007530DF" w:rsidP="003F0AB7">
            <w:pPr>
              <w:numPr>
                <w:ilvl w:val="0"/>
                <w:numId w:val="1"/>
              </w:numPr>
              <w:tabs>
                <w:tab w:val="left" w:pos="284"/>
                <w:tab w:val="left" w:pos="615"/>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SimSun"/>
                <w:sz w:val="20"/>
                <w:lang w:val="en-CA" w:eastAsia="zh-CN"/>
              </w:rPr>
            </w:pPr>
            <w:r w:rsidRPr="008D7F95">
              <w:rPr>
                <w:rFonts w:eastAsia="SimSun"/>
                <w:sz w:val="20"/>
                <w:lang w:val="en-CA" w:eastAsia="zh-CN"/>
              </w:rPr>
              <w:t xml:space="preserve">Produce first version of working document towards </w:t>
            </w:r>
            <w:r w:rsidRPr="00B577A5">
              <w:rPr>
                <w:rFonts w:eastAsia="SimSun"/>
                <w:sz w:val="20"/>
                <w:lang w:val="en-CA" w:eastAsia="zh-CN"/>
              </w:rPr>
              <w:t xml:space="preserve">a draft new Report </w:t>
            </w:r>
          </w:p>
          <w:p w:rsidR="007530DF" w:rsidRPr="00B577A5" w:rsidRDefault="007530DF" w:rsidP="003F0AB7">
            <w:pPr>
              <w:numPr>
                <w:ilvl w:val="0"/>
                <w:numId w:val="1"/>
              </w:numPr>
              <w:tabs>
                <w:tab w:val="left" w:pos="284"/>
                <w:tab w:val="left" w:pos="615"/>
                <w:tab w:val="left" w:pos="851"/>
                <w:tab w:val="left" w:pos="1418"/>
                <w:tab w:val="left" w:pos="1701"/>
                <w:tab w:val="left" w:pos="1985"/>
                <w:tab w:val="left" w:pos="2552"/>
                <w:tab w:val="left" w:pos="2835"/>
                <w:tab w:val="left" w:pos="3119"/>
                <w:tab w:val="left" w:pos="3402"/>
                <w:tab w:val="left" w:pos="3686"/>
                <w:tab w:val="left" w:pos="3969"/>
              </w:tabs>
              <w:spacing w:before="40" w:after="20"/>
              <w:ind w:left="320" w:hanging="297"/>
              <w:rPr>
                <w:rFonts w:eastAsia="SimSun"/>
                <w:sz w:val="20"/>
                <w:lang w:val="en-CA" w:eastAsia="zh-CN"/>
              </w:rPr>
            </w:pPr>
            <w:r w:rsidRPr="008D7F95">
              <w:rPr>
                <w:rFonts w:eastAsia="SimSun"/>
                <w:sz w:val="20"/>
                <w:lang w:val="en-CA" w:eastAsia="zh-CN"/>
              </w:rPr>
              <w:t xml:space="preserve">Send a liaison statement to </w:t>
            </w:r>
            <w:r w:rsidRPr="00B577A5">
              <w:rPr>
                <w:rFonts w:eastAsia="SimSun"/>
                <w:sz w:val="20"/>
                <w:lang w:val="en-CA" w:eastAsia="zh-CN"/>
              </w:rPr>
              <w:t>WP 6A</w:t>
            </w:r>
            <w:r w:rsidRPr="008D7F95">
              <w:rPr>
                <w:rFonts w:eastAsia="SimSun"/>
                <w:sz w:val="20"/>
                <w:lang w:val="en-CA" w:eastAsia="zh-CN"/>
              </w:rPr>
              <w:t>.</w:t>
            </w:r>
          </w:p>
          <w:p w:rsidR="007530DF" w:rsidRPr="008D7F95" w:rsidRDefault="007530DF" w:rsidP="003F0AB7">
            <w:pPr>
              <w:numPr>
                <w:ilvl w:val="0"/>
                <w:numId w:val="1"/>
              </w:numPr>
              <w:tabs>
                <w:tab w:val="left" w:pos="284"/>
                <w:tab w:val="left" w:pos="615"/>
                <w:tab w:val="left" w:pos="851"/>
                <w:tab w:val="left" w:pos="1418"/>
                <w:tab w:val="left" w:pos="1701"/>
                <w:tab w:val="left" w:pos="1985"/>
                <w:tab w:val="left" w:pos="2552"/>
                <w:tab w:val="left" w:pos="2835"/>
                <w:tab w:val="left" w:pos="3119"/>
                <w:tab w:val="left" w:pos="3402"/>
                <w:tab w:val="left" w:pos="3686"/>
                <w:tab w:val="left" w:pos="3969"/>
              </w:tabs>
              <w:spacing w:before="40" w:after="20"/>
              <w:ind w:left="320" w:hanging="297"/>
              <w:rPr>
                <w:rFonts w:eastAsia="SimSun"/>
                <w:sz w:val="20"/>
                <w:lang w:val="en-CA" w:eastAsia="zh-CN"/>
              </w:rPr>
            </w:pPr>
            <w:r w:rsidRPr="00B577A5">
              <w:rPr>
                <w:rFonts w:asciiTheme="majorBidi" w:eastAsia="Batang" w:hAnsiTheme="majorBidi" w:cstheme="majorBidi"/>
                <w:sz w:val="20"/>
                <w:lang w:val="en-CA"/>
              </w:rPr>
              <w:t>Call for contributions in the WP 5D chairman’s report.</w:t>
            </w:r>
          </w:p>
          <w:p w:rsidR="007530DF" w:rsidRPr="008D7F95" w:rsidRDefault="007530DF" w:rsidP="003F0AB7">
            <w:pPr>
              <w:spacing w:after="20"/>
              <w:rPr>
                <w:b/>
                <w:sz w:val="20"/>
                <w:u w:val="single"/>
                <w:lang w:val="en-CA"/>
              </w:rPr>
            </w:pPr>
            <w:r w:rsidRPr="008D7F95">
              <w:rPr>
                <w:b/>
                <w:sz w:val="20"/>
                <w:u w:val="single"/>
                <w:lang w:val="en-CA"/>
              </w:rPr>
              <w:t xml:space="preserve">Meeting </w:t>
            </w:r>
            <w:r w:rsidRPr="008D7F95">
              <w:rPr>
                <w:rFonts w:eastAsia="SimSun"/>
                <w:b/>
                <w:sz w:val="20"/>
                <w:u w:val="single"/>
                <w:lang w:val="en-CA" w:eastAsia="zh-CN"/>
              </w:rPr>
              <w:t xml:space="preserve">No. </w:t>
            </w:r>
            <w:r w:rsidRPr="008D7F95">
              <w:rPr>
                <w:b/>
                <w:sz w:val="20"/>
                <w:u w:val="single"/>
                <w:lang w:val="en-CA"/>
              </w:rPr>
              <w:t>24 (14-22 June 2016, [TBD])</w:t>
            </w:r>
          </w:p>
          <w:p w:rsidR="007530DF" w:rsidRPr="00B577A5" w:rsidRDefault="007530DF" w:rsidP="003F0AB7">
            <w:pPr>
              <w:tabs>
                <w:tab w:val="clear" w:pos="1134"/>
                <w:tab w:val="clear" w:pos="1871"/>
                <w:tab w:val="clear" w:pos="2268"/>
                <w:tab w:val="left" w:pos="277"/>
              </w:tabs>
              <w:spacing w:before="40" w:after="20"/>
              <w:rPr>
                <w:rFonts w:asciiTheme="majorBidi" w:eastAsia="Batang" w:hAnsiTheme="majorBidi" w:cstheme="majorBidi"/>
                <w:sz w:val="20"/>
                <w:lang w:val="en-CA"/>
              </w:rPr>
            </w:pPr>
            <w:r w:rsidRPr="00B577A5">
              <w:rPr>
                <w:rFonts w:asciiTheme="majorBidi" w:eastAsia="Batang" w:hAnsiTheme="majorBidi" w:cstheme="majorBidi"/>
                <w:sz w:val="20"/>
                <w:lang w:val="en-CA"/>
              </w:rPr>
              <w:t>1</w:t>
            </w:r>
            <w:r w:rsidRPr="00B577A5">
              <w:rPr>
                <w:rFonts w:asciiTheme="majorBidi" w:eastAsia="Batang" w:hAnsiTheme="majorBidi" w:cstheme="majorBidi"/>
                <w:sz w:val="20"/>
                <w:lang w:val="en-CA"/>
              </w:rPr>
              <w:tab/>
              <w:t>Continue to develop the working document based on input contributions</w:t>
            </w:r>
          </w:p>
          <w:p w:rsidR="007530DF" w:rsidRPr="00B577A5" w:rsidRDefault="007530DF" w:rsidP="003F0AB7">
            <w:pPr>
              <w:tabs>
                <w:tab w:val="clear" w:pos="1134"/>
                <w:tab w:val="clear" w:pos="1871"/>
                <w:tab w:val="clear" w:pos="2268"/>
                <w:tab w:val="left" w:pos="277"/>
              </w:tabs>
              <w:spacing w:before="40" w:after="20"/>
              <w:rPr>
                <w:rFonts w:asciiTheme="majorBidi" w:eastAsia="Batang" w:hAnsiTheme="majorBidi" w:cstheme="majorBidi"/>
                <w:sz w:val="20"/>
                <w:lang w:val="en-CA"/>
              </w:rPr>
            </w:pPr>
            <w:r w:rsidRPr="00B577A5">
              <w:rPr>
                <w:rFonts w:asciiTheme="majorBidi" w:eastAsia="Batang" w:hAnsiTheme="majorBidi" w:cstheme="majorBidi"/>
                <w:sz w:val="20"/>
                <w:lang w:val="en-CA"/>
              </w:rPr>
              <w:t>2</w:t>
            </w:r>
            <w:r w:rsidRPr="00B577A5">
              <w:rPr>
                <w:rFonts w:asciiTheme="majorBidi" w:eastAsia="Batang" w:hAnsiTheme="majorBidi" w:cstheme="majorBidi"/>
                <w:sz w:val="20"/>
                <w:lang w:val="en-CA"/>
              </w:rPr>
              <w:tab/>
              <w:t>Consider liaison activity.</w:t>
            </w:r>
          </w:p>
          <w:p w:rsidR="007530DF" w:rsidRPr="008D7F9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20"/>
              <w:rPr>
                <w:b/>
                <w:sz w:val="20"/>
                <w:u w:val="single"/>
                <w:lang w:val="en-CA"/>
              </w:rPr>
            </w:pPr>
            <w:r w:rsidRPr="008D7F95">
              <w:rPr>
                <w:b/>
                <w:sz w:val="20"/>
                <w:u w:val="single"/>
                <w:lang w:val="en-CA"/>
              </w:rPr>
              <w:t>Meeting No. 25 (4-12 October 2016, [TBD])</w:t>
            </w:r>
          </w:p>
          <w:p w:rsidR="007530DF" w:rsidRPr="008D7F95" w:rsidRDefault="007530DF" w:rsidP="003F0AB7">
            <w:pPr>
              <w:keepNext/>
              <w:keepLines/>
              <w:numPr>
                <w:ilvl w:val="0"/>
                <w:numId w:val="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Consider the received contributions</w:t>
            </w:r>
          </w:p>
          <w:p w:rsidR="007530DF" w:rsidRPr="008D7F95" w:rsidRDefault="007530DF" w:rsidP="003F0AB7">
            <w:pPr>
              <w:keepNext/>
              <w:keepLines/>
              <w:numPr>
                <w:ilvl w:val="0"/>
                <w:numId w:val="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 xml:space="preserve">Consider any necessary liaison statements </w:t>
            </w:r>
          </w:p>
          <w:p w:rsidR="007530DF" w:rsidRPr="008D7F95" w:rsidRDefault="007530DF" w:rsidP="003F0AB7">
            <w:pPr>
              <w:keepNext/>
              <w:keepLines/>
              <w:numPr>
                <w:ilvl w:val="0"/>
                <w:numId w:val="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 xml:space="preserve">Produce </w:t>
            </w:r>
            <w:r w:rsidRPr="00B577A5">
              <w:rPr>
                <w:sz w:val="20"/>
                <w:lang w:val="en-CA"/>
              </w:rPr>
              <w:t xml:space="preserve">a </w:t>
            </w:r>
            <w:r w:rsidRPr="008D7F95">
              <w:rPr>
                <w:sz w:val="20"/>
                <w:lang w:val="en-CA"/>
              </w:rPr>
              <w:t xml:space="preserve">new version of </w:t>
            </w:r>
            <w:r w:rsidRPr="00B577A5">
              <w:rPr>
                <w:sz w:val="20"/>
                <w:lang w:val="en-CA"/>
              </w:rPr>
              <w:t xml:space="preserve">the </w:t>
            </w:r>
            <w:r w:rsidRPr="008D7F95">
              <w:rPr>
                <w:sz w:val="20"/>
                <w:lang w:val="en-CA"/>
              </w:rPr>
              <w:t xml:space="preserve">working document towards </w:t>
            </w:r>
            <w:r w:rsidRPr="00B577A5">
              <w:rPr>
                <w:rFonts w:eastAsia="SimSun"/>
                <w:sz w:val="20"/>
                <w:lang w:val="en-CA" w:eastAsia="zh-CN"/>
              </w:rPr>
              <w:t>a draft new Report</w:t>
            </w:r>
          </w:p>
          <w:p w:rsidR="007530DF" w:rsidRPr="008D7F95" w:rsidRDefault="007530DF" w:rsidP="003F0AB7">
            <w:pPr>
              <w:keepNext/>
              <w:keepLines/>
              <w:numPr>
                <w:ilvl w:val="0"/>
                <w:numId w:val="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eastAsia="zh-CN"/>
              </w:rPr>
            </w:pPr>
            <w:r w:rsidRPr="008D7F95">
              <w:rPr>
                <w:sz w:val="20"/>
                <w:lang w:val="en-CA" w:eastAsia="zh-CN"/>
              </w:rPr>
              <w:t xml:space="preserve">Review and revise </w:t>
            </w:r>
            <w:r w:rsidRPr="00B577A5">
              <w:rPr>
                <w:sz w:val="20"/>
                <w:lang w:val="en-CA" w:eastAsia="zh-CN"/>
              </w:rPr>
              <w:t xml:space="preserve">the </w:t>
            </w:r>
            <w:r w:rsidRPr="008D7F95">
              <w:rPr>
                <w:sz w:val="20"/>
                <w:lang w:val="en-CA" w:eastAsia="zh-CN"/>
              </w:rPr>
              <w:t xml:space="preserve">workplan as </w:t>
            </w:r>
            <w:r w:rsidRPr="00B577A5">
              <w:rPr>
                <w:sz w:val="20"/>
                <w:lang w:val="en-CA" w:eastAsia="zh-CN"/>
              </w:rPr>
              <w:t>required</w:t>
            </w:r>
          </w:p>
          <w:p w:rsidR="007530DF" w:rsidRPr="008D7F9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20"/>
              <w:rPr>
                <w:b/>
                <w:sz w:val="20"/>
                <w:u w:val="single"/>
                <w:lang w:val="en-CA"/>
              </w:rPr>
            </w:pPr>
            <w:r w:rsidRPr="008D7F95">
              <w:rPr>
                <w:b/>
                <w:sz w:val="20"/>
                <w:u w:val="single"/>
                <w:lang w:val="en-CA"/>
              </w:rPr>
              <w:t>Meeting No. 26 (14-22 February 2017, [TBD])</w:t>
            </w:r>
          </w:p>
          <w:p w:rsidR="007530DF" w:rsidRPr="008D7F95" w:rsidRDefault="007530DF" w:rsidP="003F0AB7">
            <w:pPr>
              <w:keepNext/>
              <w:keepLines/>
              <w:numPr>
                <w:ilvl w:val="0"/>
                <w:numId w:val="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Consider the received contributions</w:t>
            </w:r>
          </w:p>
          <w:p w:rsidR="007530DF" w:rsidRPr="008D7F95" w:rsidRDefault="007530DF" w:rsidP="003F0AB7">
            <w:pPr>
              <w:keepNext/>
              <w:keepLines/>
              <w:numPr>
                <w:ilvl w:val="0"/>
                <w:numId w:val="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 xml:space="preserve">Consider any necessary liaison statements </w:t>
            </w:r>
          </w:p>
          <w:p w:rsidR="007530DF" w:rsidRPr="008D7F95" w:rsidRDefault="007530DF" w:rsidP="003F0AB7">
            <w:pPr>
              <w:keepNext/>
              <w:keepLines/>
              <w:numPr>
                <w:ilvl w:val="0"/>
                <w:numId w:val="3"/>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eastAsia="zh-CN"/>
              </w:rPr>
              <w:t xml:space="preserve">Review and revise </w:t>
            </w:r>
            <w:r w:rsidRPr="00B577A5">
              <w:rPr>
                <w:sz w:val="20"/>
                <w:lang w:val="en-CA" w:eastAsia="zh-CN"/>
              </w:rPr>
              <w:t xml:space="preserve">the </w:t>
            </w:r>
            <w:r w:rsidRPr="008D7F95">
              <w:rPr>
                <w:sz w:val="20"/>
                <w:lang w:val="en-CA" w:eastAsia="zh-CN"/>
              </w:rPr>
              <w:t xml:space="preserve">workplan as </w:t>
            </w:r>
            <w:r w:rsidRPr="00B577A5">
              <w:rPr>
                <w:sz w:val="20"/>
                <w:lang w:val="en-CA" w:eastAsia="zh-CN"/>
              </w:rPr>
              <w:t>required</w:t>
            </w:r>
          </w:p>
          <w:p w:rsidR="007530DF" w:rsidRPr="008D7F95" w:rsidRDefault="007530DF" w:rsidP="003F0AB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20"/>
              <w:rPr>
                <w:b/>
                <w:bCs/>
                <w:sz w:val="20"/>
                <w:u w:val="single"/>
                <w:lang w:val="en-CA"/>
              </w:rPr>
            </w:pPr>
            <w:r w:rsidRPr="008D7F95">
              <w:rPr>
                <w:b/>
                <w:bCs/>
                <w:sz w:val="20"/>
                <w:u w:val="single"/>
                <w:lang w:val="en-CA"/>
              </w:rPr>
              <w:t>Meeting No. 27 (13-21 June 2017</w:t>
            </w:r>
            <w:r w:rsidRPr="008D7F95">
              <w:rPr>
                <w:b/>
                <w:sz w:val="20"/>
                <w:u w:val="single"/>
                <w:lang w:val="en-CA"/>
              </w:rPr>
              <w:t>, [TBD]</w:t>
            </w:r>
            <w:r w:rsidRPr="008D7F95">
              <w:rPr>
                <w:b/>
                <w:bCs/>
                <w:sz w:val="20"/>
                <w:u w:val="single"/>
                <w:lang w:val="en-CA"/>
              </w:rPr>
              <w:t>)</w:t>
            </w:r>
          </w:p>
          <w:p w:rsidR="007530DF" w:rsidRPr="008D7F95" w:rsidRDefault="007530DF" w:rsidP="003F0AB7">
            <w:pPr>
              <w:keepNext/>
              <w:keepLines/>
              <w:numPr>
                <w:ilvl w:val="0"/>
                <w:numId w:val="4"/>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Consider the received contributions</w:t>
            </w:r>
          </w:p>
          <w:p w:rsidR="007530DF" w:rsidRPr="008D7F95" w:rsidRDefault="007530DF" w:rsidP="003F0AB7">
            <w:pPr>
              <w:keepNext/>
              <w:keepLines/>
              <w:numPr>
                <w:ilvl w:val="0"/>
                <w:numId w:val="4"/>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 xml:space="preserve">Produce a relatively stable version of the draft </w:t>
            </w:r>
            <w:r w:rsidRPr="00B577A5">
              <w:rPr>
                <w:sz w:val="20"/>
                <w:lang w:val="en-CA"/>
              </w:rPr>
              <w:t>Report</w:t>
            </w:r>
          </w:p>
          <w:p w:rsidR="007530DF" w:rsidRPr="008D7F95" w:rsidRDefault="007530DF" w:rsidP="003F0AB7">
            <w:pPr>
              <w:keepLines/>
              <w:numPr>
                <w:ilvl w:val="0"/>
                <w:numId w:val="4"/>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61"/>
              <w:rPr>
                <w:sz w:val="20"/>
                <w:lang w:val="en-CA" w:eastAsia="ko-KR"/>
              </w:rPr>
            </w:pPr>
            <w:r w:rsidRPr="008D7F95">
              <w:rPr>
                <w:sz w:val="20"/>
                <w:lang w:val="en-CA"/>
              </w:rPr>
              <w:t>Consider any necessary liaison statements</w:t>
            </w:r>
          </w:p>
          <w:p w:rsidR="007530DF" w:rsidRPr="008D7F95" w:rsidRDefault="007530DF" w:rsidP="003F0A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20"/>
              <w:rPr>
                <w:b/>
                <w:sz w:val="20"/>
                <w:u w:val="single"/>
                <w:lang w:val="en-CA"/>
              </w:rPr>
            </w:pPr>
            <w:r w:rsidRPr="008D7F95">
              <w:rPr>
                <w:b/>
                <w:sz w:val="20"/>
                <w:u w:val="single"/>
                <w:lang w:val="en-CA"/>
              </w:rPr>
              <w:t>Meeting No. 28 (3-11 October 2017, [TBD])</w:t>
            </w:r>
          </w:p>
          <w:p w:rsidR="007530DF" w:rsidRPr="008D7F95" w:rsidRDefault="007530DF" w:rsidP="003F0AB7">
            <w:pPr>
              <w:keepNext/>
              <w:keepLines/>
              <w:numPr>
                <w:ilvl w:val="0"/>
                <w:numId w:val="5"/>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Consider the received contributions</w:t>
            </w:r>
          </w:p>
          <w:p w:rsidR="007530DF" w:rsidRPr="008D7F95" w:rsidRDefault="007530DF" w:rsidP="003F0AB7">
            <w:pPr>
              <w:keepNext/>
              <w:keepLines/>
              <w:numPr>
                <w:ilvl w:val="0"/>
                <w:numId w:val="5"/>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sz w:val="20"/>
                <w:lang w:val="en-CA"/>
              </w:rPr>
            </w:pPr>
            <w:r w:rsidRPr="008D7F95">
              <w:rPr>
                <w:sz w:val="20"/>
                <w:lang w:val="en-CA"/>
              </w:rPr>
              <w:t xml:space="preserve">Consider any necessary liaison statements </w:t>
            </w:r>
          </w:p>
          <w:p w:rsidR="007530DF" w:rsidRPr="00B577A5" w:rsidRDefault="007530DF" w:rsidP="003F0AB7">
            <w:pPr>
              <w:pStyle w:val="ListParagraph"/>
              <w:numPr>
                <w:ilvl w:val="0"/>
                <w:numId w:val="5"/>
              </w:numPr>
              <w:tabs>
                <w:tab w:val="left" w:pos="284"/>
              </w:tabs>
              <w:spacing w:before="40" w:after="20"/>
              <w:rPr>
                <w:rFonts w:asciiTheme="majorBidi" w:eastAsia="Batang" w:hAnsiTheme="majorBidi" w:cstheme="majorBidi"/>
                <w:sz w:val="20"/>
                <w:lang w:val="en-CA"/>
              </w:rPr>
            </w:pPr>
            <w:r w:rsidRPr="00B577A5">
              <w:rPr>
                <w:rFonts w:ascii="Times New Roman" w:eastAsia="Times New Roman" w:hAnsi="Times New Roman"/>
                <w:sz w:val="20"/>
                <w:szCs w:val="20"/>
                <w:lang w:val="en-CA"/>
              </w:rPr>
              <w:t>Targeted finalization of the draft new Report ITU-R M.[IMT.TV-600]</w:t>
            </w:r>
          </w:p>
        </w:tc>
      </w:tr>
    </w:tbl>
    <w:p w:rsidR="000069D4" w:rsidRPr="003F0AB7" w:rsidRDefault="007530DF" w:rsidP="003F0AB7">
      <w:pPr>
        <w:spacing w:before="0"/>
        <w:jc w:val="center"/>
        <w:rPr>
          <w:lang w:val="en-CA" w:eastAsia="zh-CN"/>
        </w:rPr>
      </w:pPr>
      <w:r w:rsidRPr="00B577A5">
        <w:rPr>
          <w:lang w:val="en-CA"/>
        </w:rPr>
        <w:t>______________</w:t>
      </w:r>
    </w:p>
    <w:sectPr w:rsidR="000069D4" w:rsidRPr="003F0AB7"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0DF" w:rsidRDefault="007530DF">
      <w:r>
        <w:separator/>
      </w:r>
    </w:p>
  </w:endnote>
  <w:endnote w:type="continuationSeparator" w:id="0">
    <w:p w:rsidR="007530DF" w:rsidRDefault="0075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4611E" w:rsidRDefault="0024611E" w:rsidP="0024611E">
    <w:pPr>
      <w:pStyle w:val="Footer"/>
      <w:rPr>
        <w:lang w:val="en-US"/>
      </w:rPr>
    </w:pPr>
    <w:fldSimple w:instr=" FILENAME \p \* MERGEFORMAT ">
      <w:r w:rsidRPr="0024611E">
        <w:rPr>
          <w:lang w:val="en-US"/>
        </w:rPr>
        <w:t>M</w:t>
      </w:r>
      <w:r>
        <w:t>:\BRSGD\TEXT2016\SG05\WP5D\000\012e.docx</w:t>
      </w:r>
    </w:fldSimple>
    <w:r w:rsidRPr="002F7CB3">
      <w:rPr>
        <w:lang w:val="en-US"/>
      </w:rPr>
      <w:tab/>
    </w:r>
    <w:r>
      <w:fldChar w:fldCharType="begin"/>
    </w:r>
    <w:r>
      <w:instrText xml:space="preserve"> savedate \@ dd.MM.yy </w:instrText>
    </w:r>
    <w:r>
      <w:fldChar w:fldCharType="separate"/>
    </w:r>
    <w:r w:rsidR="00321052">
      <w:t>02.02.16</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21052" w:rsidP="00E6257C">
    <w:pPr>
      <w:pStyle w:val="Footer"/>
      <w:rPr>
        <w:lang w:val="en-US"/>
      </w:rPr>
    </w:pPr>
    <w:r>
      <w:fldChar w:fldCharType="begin"/>
    </w:r>
    <w:r>
      <w:instrText xml:space="preserve"> FILENAME \p \* MERGEFORMAT </w:instrText>
    </w:r>
    <w:r>
      <w:fldChar w:fldCharType="separate"/>
    </w:r>
    <w:r w:rsidR="0024611E" w:rsidRPr="0024611E">
      <w:rPr>
        <w:lang w:val="en-US"/>
      </w:rPr>
      <w:t>M</w:t>
    </w:r>
    <w:r w:rsidR="0024611E">
      <w:t>:\BRSGD\TEXT2016\SG05\WP5D\000\012e.docx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02.02.16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4611E">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0DF" w:rsidRDefault="007530DF">
      <w:r>
        <w:t>____________________</w:t>
      </w:r>
    </w:p>
  </w:footnote>
  <w:footnote w:type="continuationSeparator" w:id="0">
    <w:p w:rsidR="007530DF" w:rsidRDefault="00753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21052">
      <w:rPr>
        <w:rStyle w:val="PageNumber"/>
        <w:noProof/>
      </w:rPr>
      <w:t>11</w:t>
    </w:r>
    <w:r w:rsidR="00D02712">
      <w:rPr>
        <w:rStyle w:val="PageNumber"/>
      </w:rPr>
      <w:fldChar w:fldCharType="end"/>
    </w:r>
    <w:r>
      <w:rPr>
        <w:rStyle w:val="PageNumber"/>
      </w:rPr>
      <w:t xml:space="preserve"> -</w:t>
    </w:r>
  </w:p>
  <w:p w:rsidR="00FA124A" w:rsidRDefault="007530DF">
    <w:pPr>
      <w:pStyle w:val="Header"/>
      <w:rPr>
        <w:lang w:val="en-US"/>
      </w:rPr>
    </w:pPr>
    <w:r>
      <w:rPr>
        <w:lang w:val="en-US"/>
      </w:rPr>
      <w:t>5D/12-E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F1AFE"/>
    <w:multiLevelType w:val="hybridMultilevel"/>
    <w:tmpl w:val="915E2D7A"/>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3356F8"/>
    <w:multiLevelType w:val="hybridMultilevel"/>
    <w:tmpl w:val="915E2D7A"/>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0075DA"/>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50593C"/>
    <w:multiLevelType w:val="hybridMultilevel"/>
    <w:tmpl w:val="375635F2"/>
    <w:lvl w:ilvl="0" w:tplc="0409000F">
      <w:start w:val="1"/>
      <w:numFmt w:val="decimal"/>
      <w:lvlText w:val="%1."/>
      <w:lvlJc w:val="left"/>
      <w:pPr>
        <w:ind w:left="443" w:hanging="420"/>
      </w:p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 w15:restartNumberingAfterBreak="0">
    <w:nsid w:val="7A805B65"/>
    <w:multiLevelType w:val="hybridMultilevel"/>
    <w:tmpl w:val="67A4772C"/>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DF"/>
    <w:rsid w:val="000069D4"/>
    <w:rsid w:val="000174AD"/>
    <w:rsid w:val="000A7D55"/>
    <w:rsid w:val="000C2E8E"/>
    <w:rsid w:val="000E0E7C"/>
    <w:rsid w:val="000F1B4B"/>
    <w:rsid w:val="0012744F"/>
    <w:rsid w:val="00156F66"/>
    <w:rsid w:val="00163271"/>
    <w:rsid w:val="00182528"/>
    <w:rsid w:val="0018500B"/>
    <w:rsid w:val="00196A19"/>
    <w:rsid w:val="00202DC1"/>
    <w:rsid w:val="002116EE"/>
    <w:rsid w:val="002309D8"/>
    <w:rsid w:val="0024611E"/>
    <w:rsid w:val="002A7FE2"/>
    <w:rsid w:val="002E1B4F"/>
    <w:rsid w:val="002F2E67"/>
    <w:rsid w:val="002F7CB3"/>
    <w:rsid w:val="00315546"/>
    <w:rsid w:val="00321052"/>
    <w:rsid w:val="00330567"/>
    <w:rsid w:val="00386A9D"/>
    <w:rsid w:val="00391081"/>
    <w:rsid w:val="003B2789"/>
    <w:rsid w:val="003C13CE"/>
    <w:rsid w:val="003E2518"/>
    <w:rsid w:val="003E7CEF"/>
    <w:rsid w:val="003F0AB7"/>
    <w:rsid w:val="004B1EF7"/>
    <w:rsid w:val="004B3FAD"/>
    <w:rsid w:val="00501DCA"/>
    <w:rsid w:val="00513A47"/>
    <w:rsid w:val="005408DF"/>
    <w:rsid w:val="00573344"/>
    <w:rsid w:val="00583F9B"/>
    <w:rsid w:val="005E5C10"/>
    <w:rsid w:val="005F2C78"/>
    <w:rsid w:val="006144E4"/>
    <w:rsid w:val="00650299"/>
    <w:rsid w:val="00655FC5"/>
    <w:rsid w:val="007530DF"/>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5173C"/>
    <w:rsid w:val="00A61AEF"/>
    <w:rsid w:val="00AD2345"/>
    <w:rsid w:val="00AF173A"/>
    <w:rsid w:val="00B066A4"/>
    <w:rsid w:val="00B07A13"/>
    <w:rsid w:val="00B4279B"/>
    <w:rsid w:val="00B45FC9"/>
    <w:rsid w:val="00B81138"/>
    <w:rsid w:val="00BC7CCF"/>
    <w:rsid w:val="00BE470B"/>
    <w:rsid w:val="00C57A91"/>
    <w:rsid w:val="00CC01C2"/>
    <w:rsid w:val="00CF21F2"/>
    <w:rsid w:val="00D02712"/>
    <w:rsid w:val="00D214D0"/>
    <w:rsid w:val="00D6546B"/>
    <w:rsid w:val="00DC17D3"/>
    <w:rsid w:val="00DD4BED"/>
    <w:rsid w:val="00DE39F0"/>
    <w:rsid w:val="00DF0AF3"/>
    <w:rsid w:val="00DF7E9F"/>
    <w:rsid w:val="00E27D7E"/>
    <w:rsid w:val="00E42E13"/>
    <w:rsid w:val="00E56D5C"/>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B7083CB-DD73-40B3-8EB1-7CDC16F3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eading 1*,Chapter Style,level 1,Heading,H1,h1,h11,NMP Heading 1,título 1,h12,h13,h14,h15,h16,h17,h111,h121,h131,h141,h151,h161,h18,h112,h122,h132,h142,h152,h162,h19,h113,h123,h133,h143,h153,h163,1,Heading 1 3GPP,app heading 1,l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Heading 1* Char,Chapter Style Char,level 1 Char,Heading Char,H1 Char,h1 Char,h11 Char,NMP Heading 1 Char,título 1 Char,h12 Char,h13 Char,h14 Char,h15 Char,h16 Char,h17 Char,h111 Char,h121 Char,h131 Char,h141 Char,h151 Char,h161 Char"/>
    <w:basedOn w:val="DefaultParagraphFont"/>
    <w:link w:val="Heading1"/>
    <w:rsid w:val="007530DF"/>
    <w:rPr>
      <w:rFonts w:ascii="Times New Roman" w:hAnsi="Times New Roman"/>
      <w:b/>
      <w:sz w:val="28"/>
      <w:lang w:val="en-GB" w:eastAsia="en-US"/>
    </w:rPr>
  </w:style>
  <w:style w:type="character" w:styleId="Hyperlink">
    <w:name w:val="Hyperlink"/>
    <w:aliases w:val="CEO_Hyperlink"/>
    <w:uiPriority w:val="99"/>
    <w:rsid w:val="007530DF"/>
    <w:rPr>
      <w:rFonts w:cs="Times New Roman"/>
      <w:color w:val="0000FF"/>
      <w:u w:val="single"/>
    </w:rPr>
  </w:style>
  <w:style w:type="character" w:customStyle="1" w:styleId="HeadingbChar">
    <w:name w:val="Heading_b Char"/>
    <w:basedOn w:val="DefaultParagraphFont"/>
    <w:link w:val="Headingb"/>
    <w:locked/>
    <w:rsid w:val="007530DF"/>
    <w:rPr>
      <w:rFonts w:ascii="Times New Roman Bold" w:hAnsi="Times New Roman Bold" w:cs="Times New Roman Bold"/>
      <w:b/>
      <w:sz w:val="24"/>
      <w:lang w:val="fr-CH" w:eastAsia="en-US"/>
    </w:rPr>
  </w:style>
  <w:style w:type="paragraph" w:styleId="ListParagraph">
    <w:name w:val="List Paragraph"/>
    <w:basedOn w:val="Normal"/>
    <w:link w:val="ListParagraphChar"/>
    <w:uiPriority w:val="34"/>
    <w:qFormat/>
    <w:rsid w:val="007530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numlev1Char">
    <w:name w:val="enumlev1 Char"/>
    <w:link w:val="enumlev1"/>
    <w:locked/>
    <w:rsid w:val="007530DF"/>
    <w:rPr>
      <w:rFonts w:ascii="Times New Roman" w:hAnsi="Times New Roman"/>
      <w:sz w:val="24"/>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7530DF"/>
    <w:rPr>
      <w:b/>
      <w:sz w:val="24"/>
      <w:lang w:val="en-GB" w:eastAsia="en-US"/>
    </w:rPr>
  </w:style>
  <w:style w:type="character" w:customStyle="1" w:styleId="AnnexNoChar">
    <w:name w:val="Annex_No Char"/>
    <w:basedOn w:val="DefaultParagraphFont"/>
    <w:link w:val="AnnexNo"/>
    <w:rsid w:val="007530DF"/>
    <w:rPr>
      <w:rFonts w:ascii="Times New Roman" w:hAnsi="Times New Roman"/>
      <w:caps/>
      <w:sz w:val="28"/>
      <w:lang w:val="en-GB" w:eastAsia="en-US"/>
    </w:rPr>
  </w:style>
  <w:style w:type="character" w:customStyle="1" w:styleId="ListParagraphChar">
    <w:name w:val="List Paragraph Char"/>
    <w:link w:val="ListParagraph"/>
    <w:uiPriority w:val="34"/>
    <w:locked/>
    <w:rsid w:val="007530DF"/>
    <w:rPr>
      <w:rFonts w:ascii="Calibri" w:eastAsia="SimSun" w:hAnsi="Calibri"/>
      <w:sz w:val="22"/>
      <w:szCs w:val="22"/>
      <w:lang w:eastAsia="en-US"/>
    </w:rPr>
  </w:style>
  <w:style w:type="paragraph" w:styleId="PlainText">
    <w:name w:val="Plain Text"/>
    <w:basedOn w:val="Normal"/>
    <w:link w:val="PlainTextChar"/>
    <w:uiPriority w:val="99"/>
    <w:unhideWhenUsed/>
    <w:rsid w:val="007530DF"/>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7530DF"/>
    <w:rPr>
      <w:rFonts w:ascii="Calibri" w:eastAsiaTheme="minorHAnsi" w:hAnsi="Calibri" w:cs="Calibri"/>
      <w:sz w:val="22"/>
      <w:szCs w:val="22"/>
      <w:lang w:eastAsia="en-US"/>
    </w:rPr>
  </w:style>
  <w:style w:type="paragraph" w:customStyle="1" w:styleId="AnnexNotitle">
    <w:name w:val="Annex_No &amp; title"/>
    <w:basedOn w:val="Normal"/>
    <w:next w:val="Normal"/>
    <w:rsid w:val="007530DF"/>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Note2">
    <w:name w:val="Note2"/>
    <w:basedOn w:val="Note"/>
    <w:link w:val="Note2Char"/>
    <w:qFormat/>
    <w:rsid w:val="007530DF"/>
    <w:pPr>
      <w:jc w:val="both"/>
    </w:pPr>
    <w:rPr>
      <w:szCs w:val="16"/>
    </w:rPr>
  </w:style>
  <w:style w:type="character" w:customStyle="1" w:styleId="Note2Char">
    <w:name w:val="Note2 Char"/>
    <w:basedOn w:val="DefaultParagraphFont"/>
    <w:link w:val="Note2"/>
    <w:rsid w:val="007530DF"/>
    <w:rPr>
      <w:rFonts w:ascii="Times New Roman" w:hAnsi="Times New Roman"/>
      <w:sz w:val="24"/>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R-REP-M.2373" TargetMode="External"/><Relationship Id="rId18" Type="http://schemas.openxmlformats.org/officeDocument/2006/relationships/hyperlink" Target="http://www.itu.int/pub/R-REP-M.237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pub/R-ACT-WRC.11-2015/en" TargetMode="External"/><Relationship Id="rId17" Type="http://schemas.openxmlformats.org/officeDocument/2006/relationships/hyperlink" Target="http://www.erodocdb.dk/doks/doccategoryECC.aspx?doccatid=4" TargetMode="External"/><Relationship Id="rId2" Type="http://schemas.openxmlformats.org/officeDocument/2006/relationships/numbering" Target="numbering.xml"/><Relationship Id="rId16" Type="http://schemas.openxmlformats.org/officeDocument/2006/relationships/hyperlink" Target="https://tech.ebu.ch/docs/techreports/tr02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P-M.237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el.oas.org/en/SiteAssets/About-Citel/Publications/Technical_Notebook/P2!R-3339p1_i.pdf" TargetMode="External"/><Relationship Id="rId23" Type="http://schemas.openxmlformats.org/officeDocument/2006/relationships/fontTable" Target="fontTable.xml"/><Relationship Id="rId10" Type="http://schemas.openxmlformats.org/officeDocument/2006/relationships/hyperlink" Target="http://www.itu.int/pub/R-ACT-WRC.11-2015/en" TargetMode="External"/><Relationship Id="rId19" Type="http://schemas.openxmlformats.org/officeDocument/2006/relationships/hyperlink" Target="http://www.itu.int/pub/R-QUE-SG05.229" TargetMode="External"/><Relationship Id="rId4" Type="http://schemas.openxmlformats.org/officeDocument/2006/relationships/settings" Target="settings.xml"/><Relationship Id="rId9" Type="http://schemas.openxmlformats.org/officeDocument/2006/relationships/hyperlink" Target="http://www.itu.int/pub/R-QUE-SG05.229" TargetMode="External"/><Relationship Id="rId14" Type="http://schemas.openxmlformats.org/officeDocument/2006/relationships/hyperlink" Target="http://www.itu.int/pub/R-REP-M.2373"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1BE6-F684-41A9-A8AD-878D9EE2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16</TotalTime>
  <Pages>11</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Detraz, Laurence</cp:lastModifiedBy>
  <cp:revision>3</cp:revision>
  <cp:lastPrinted>2008-02-21T14:04:00Z</cp:lastPrinted>
  <dcterms:created xsi:type="dcterms:W3CDTF">2016-02-02T09:23:00Z</dcterms:created>
  <dcterms:modified xsi:type="dcterms:W3CDTF">2016-02-02T09:39:00Z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