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237"/>
        <w:gridCol w:w="567"/>
        <w:gridCol w:w="3227"/>
      </w:tblGrid>
      <w:tr w:rsidR="00BB1D82" w:rsidRPr="006D1841" w:rsidTr="00D4575A">
        <w:trPr>
          <w:cantSplit/>
        </w:trPr>
        <w:tc>
          <w:tcPr>
            <w:tcW w:w="6804" w:type="dxa"/>
            <w:gridSpan w:val="2"/>
          </w:tcPr>
          <w:p w:rsidR="00BB1D82" w:rsidRPr="006D1841" w:rsidRDefault="00851625" w:rsidP="002A6F8F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6D1841">
              <w:rPr>
                <w:rFonts w:ascii="Verdana" w:hAnsi="Verdana"/>
                <w:b/>
                <w:bCs/>
                <w:sz w:val="20"/>
              </w:rPr>
              <w:t>Conférence mondiale des radiocommunications (CMR-15)</w:t>
            </w:r>
            <w:r w:rsidRPr="006D1841">
              <w:rPr>
                <w:rFonts w:ascii="Verdana" w:hAnsi="Verdana"/>
                <w:b/>
                <w:bCs/>
                <w:sz w:val="20"/>
              </w:rPr>
              <w:br/>
            </w:r>
            <w:r w:rsidRPr="006D1841">
              <w:rPr>
                <w:rFonts w:ascii="Verdana" w:hAnsi="Verdana"/>
                <w:b/>
                <w:bCs/>
                <w:sz w:val="18"/>
                <w:szCs w:val="18"/>
              </w:rPr>
              <w:t>Genève,</w:t>
            </w:r>
            <w:r w:rsidR="00E537FF" w:rsidRPr="006D184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6D1841">
              <w:rPr>
                <w:rFonts w:ascii="Verdana" w:hAnsi="Verdana"/>
                <w:b/>
                <w:bCs/>
                <w:sz w:val="18"/>
                <w:szCs w:val="18"/>
              </w:rPr>
              <w:t>2-27 novembre 2015</w:t>
            </w:r>
          </w:p>
        </w:tc>
        <w:tc>
          <w:tcPr>
            <w:tcW w:w="3227" w:type="dxa"/>
          </w:tcPr>
          <w:p w:rsidR="00BB1D82" w:rsidRPr="006D1841" w:rsidRDefault="002C28A4" w:rsidP="002C28A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6D1841">
              <w:rPr>
                <w:noProof/>
                <w:lang w:eastAsia="zh-CN"/>
              </w:rPr>
              <w:drawing>
                <wp:inline distT="0" distB="0" distL="0" distR="0" wp14:anchorId="47CAA160" wp14:editId="439DA94E">
                  <wp:extent cx="1247775" cy="93583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6D1841" w:rsidTr="00D4575A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BB1D82" w:rsidRPr="006D1841" w:rsidRDefault="002C28A4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6D1841">
              <w:rPr>
                <w:rFonts w:ascii="Verdana" w:hAnsi="Verdana"/>
                <w:b/>
                <w:bCs/>
                <w:sz w:val="20"/>
              </w:rPr>
              <w:t>UNION INTERNATIONALE DES TÉLÉCOMMUNICATIONS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BB1D82" w:rsidRPr="006D1841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6D1841" w:rsidTr="00D4575A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BB1D82" w:rsidRPr="006D1841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BB1D82" w:rsidRPr="006D1841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6D1841" w:rsidTr="000D073B">
        <w:trPr>
          <w:cantSplit/>
        </w:trPr>
        <w:tc>
          <w:tcPr>
            <w:tcW w:w="6237" w:type="dxa"/>
            <w:shd w:val="clear" w:color="auto" w:fill="auto"/>
          </w:tcPr>
          <w:p w:rsidR="00BB1D82" w:rsidRPr="006D1841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D1841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794" w:type="dxa"/>
            <w:gridSpan w:val="2"/>
            <w:shd w:val="clear" w:color="auto" w:fill="auto"/>
          </w:tcPr>
          <w:p w:rsidR="00BB1D82" w:rsidRPr="006D1841" w:rsidRDefault="006D4724" w:rsidP="00D4575A">
            <w:pPr>
              <w:spacing w:before="0"/>
              <w:rPr>
                <w:rFonts w:ascii="Verdana" w:hAnsi="Verdana"/>
                <w:sz w:val="20"/>
              </w:rPr>
            </w:pPr>
            <w:r w:rsidRPr="006D1841">
              <w:rPr>
                <w:rFonts w:ascii="Verdana" w:eastAsia="SimSun" w:hAnsi="Verdana" w:cs="Traditional Arabic"/>
                <w:b/>
                <w:sz w:val="20"/>
              </w:rPr>
              <w:t>Addendum 2 au</w:t>
            </w:r>
            <w:r w:rsidRPr="006D1841">
              <w:rPr>
                <w:rFonts w:ascii="Verdana" w:eastAsia="SimSun" w:hAnsi="Verdana" w:cs="Traditional Arabic"/>
                <w:b/>
                <w:sz w:val="20"/>
              </w:rPr>
              <w:br/>
              <w:t xml:space="preserve">Document </w:t>
            </w:r>
            <w:r w:rsidR="000D073B">
              <w:rPr>
                <w:rFonts w:ascii="Verdana" w:eastAsia="SimSun" w:hAnsi="Verdana" w:cs="Traditional Arabic"/>
                <w:b/>
                <w:sz w:val="20"/>
              </w:rPr>
              <w:t>6</w:t>
            </w:r>
            <w:bookmarkStart w:id="2" w:name="_GoBack"/>
            <w:bookmarkEnd w:id="2"/>
            <w:r w:rsidRPr="006D1841">
              <w:rPr>
                <w:rFonts w:ascii="Verdana" w:eastAsia="SimSun" w:hAnsi="Verdana" w:cs="Traditional Arabic"/>
                <w:b/>
                <w:sz w:val="20"/>
              </w:rPr>
              <w:t>(Add.23)(Add.2)</w:t>
            </w:r>
            <w:r w:rsidR="00BB1D82" w:rsidRPr="006D1841">
              <w:rPr>
                <w:rFonts w:ascii="Verdana" w:hAnsi="Verdana"/>
                <w:b/>
                <w:sz w:val="20"/>
              </w:rPr>
              <w:t>-</w:t>
            </w:r>
            <w:r w:rsidRPr="006D1841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6D1841" w:rsidTr="000D073B">
        <w:trPr>
          <w:cantSplit/>
        </w:trPr>
        <w:tc>
          <w:tcPr>
            <w:tcW w:w="6237" w:type="dxa"/>
            <w:shd w:val="clear" w:color="auto" w:fill="auto"/>
          </w:tcPr>
          <w:p w:rsidR="00690C7B" w:rsidRPr="006D1841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794" w:type="dxa"/>
            <w:gridSpan w:val="2"/>
            <w:shd w:val="clear" w:color="auto" w:fill="auto"/>
          </w:tcPr>
          <w:p w:rsidR="00690C7B" w:rsidRPr="006D1841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D1841">
              <w:rPr>
                <w:rFonts w:ascii="Verdana" w:hAnsi="Verdana"/>
                <w:b/>
                <w:sz w:val="20"/>
              </w:rPr>
              <w:t>14 octobre 2015</w:t>
            </w:r>
          </w:p>
        </w:tc>
      </w:tr>
      <w:tr w:rsidR="00690C7B" w:rsidRPr="006D1841" w:rsidTr="000D073B">
        <w:trPr>
          <w:cantSplit/>
        </w:trPr>
        <w:tc>
          <w:tcPr>
            <w:tcW w:w="6237" w:type="dxa"/>
          </w:tcPr>
          <w:p w:rsidR="00690C7B" w:rsidRPr="006D1841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794" w:type="dxa"/>
            <w:gridSpan w:val="2"/>
          </w:tcPr>
          <w:p w:rsidR="00690C7B" w:rsidRPr="006D1841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6D1841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6D1841" w:rsidTr="00276E75">
        <w:trPr>
          <w:cantSplit/>
        </w:trPr>
        <w:tc>
          <w:tcPr>
            <w:tcW w:w="10031" w:type="dxa"/>
            <w:gridSpan w:val="3"/>
          </w:tcPr>
          <w:p w:rsidR="00690C7B" w:rsidRPr="006D1841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6D1841" w:rsidTr="00276E75">
        <w:trPr>
          <w:cantSplit/>
        </w:trPr>
        <w:tc>
          <w:tcPr>
            <w:tcW w:w="10031" w:type="dxa"/>
            <w:gridSpan w:val="3"/>
          </w:tcPr>
          <w:p w:rsidR="00690C7B" w:rsidRPr="006D1841" w:rsidRDefault="00690C7B" w:rsidP="00690C7B">
            <w:pPr>
              <w:pStyle w:val="Source"/>
            </w:pPr>
            <w:bookmarkStart w:id="3" w:name="dsource" w:colFirst="0" w:colLast="0"/>
            <w:proofErr w:type="spellStart"/>
            <w:r w:rsidRPr="006D1841">
              <w:t>Etats-Unis</w:t>
            </w:r>
            <w:proofErr w:type="spellEnd"/>
            <w:r w:rsidRPr="006D1841">
              <w:t xml:space="preserve"> d</w:t>
            </w:r>
            <w:r w:rsidR="005C4BCC" w:rsidRPr="006D1841">
              <w:t>'</w:t>
            </w:r>
            <w:r w:rsidRPr="006D1841">
              <w:t>Amérique</w:t>
            </w:r>
          </w:p>
        </w:tc>
      </w:tr>
      <w:tr w:rsidR="00690C7B" w:rsidRPr="006D1841" w:rsidTr="00276E75">
        <w:trPr>
          <w:cantSplit/>
        </w:trPr>
        <w:tc>
          <w:tcPr>
            <w:tcW w:w="10031" w:type="dxa"/>
            <w:gridSpan w:val="3"/>
          </w:tcPr>
          <w:p w:rsidR="00690C7B" w:rsidRPr="006D1841" w:rsidRDefault="00A41688" w:rsidP="00D4575A">
            <w:pPr>
              <w:pStyle w:val="Title1"/>
            </w:pPr>
            <w:bookmarkStart w:id="4" w:name="dtitle1" w:colFirst="0" w:colLast="0"/>
            <w:bookmarkEnd w:id="3"/>
            <w:r w:rsidRPr="006D1841">
              <w:t>propositions pour les travaux de la conf</w:t>
            </w:r>
            <w:r w:rsidR="00D4575A" w:rsidRPr="006D1841">
              <w:t>é</w:t>
            </w:r>
            <w:r w:rsidRPr="006D1841">
              <w:t>rence</w:t>
            </w:r>
          </w:p>
        </w:tc>
      </w:tr>
      <w:tr w:rsidR="00690C7B" w:rsidRPr="006D1841" w:rsidTr="00276E75">
        <w:trPr>
          <w:cantSplit/>
        </w:trPr>
        <w:tc>
          <w:tcPr>
            <w:tcW w:w="10031" w:type="dxa"/>
            <w:gridSpan w:val="3"/>
          </w:tcPr>
          <w:p w:rsidR="00690C7B" w:rsidRPr="006D1841" w:rsidRDefault="00690C7B" w:rsidP="00690C7B">
            <w:pPr>
              <w:pStyle w:val="Title2"/>
            </w:pPr>
            <w:bookmarkStart w:id="5" w:name="dtitle2" w:colFirst="0" w:colLast="0"/>
            <w:bookmarkEnd w:id="4"/>
          </w:p>
        </w:tc>
      </w:tr>
      <w:tr w:rsidR="00690C7B" w:rsidRPr="006D1841" w:rsidTr="00276E75">
        <w:trPr>
          <w:cantSplit/>
        </w:trPr>
        <w:tc>
          <w:tcPr>
            <w:tcW w:w="10031" w:type="dxa"/>
            <w:gridSpan w:val="3"/>
          </w:tcPr>
          <w:p w:rsidR="00690C7B" w:rsidRPr="006D1841" w:rsidRDefault="00690C7B" w:rsidP="00690C7B">
            <w:pPr>
              <w:pStyle w:val="Agendaitem"/>
              <w:rPr>
                <w:lang w:val="fr-FR"/>
              </w:rPr>
            </w:pPr>
            <w:bookmarkStart w:id="6" w:name="dtitle3" w:colFirst="0" w:colLast="0"/>
            <w:bookmarkEnd w:id="5"/>
            <w:r w:rsidRPr="006D1841">
              <w:rPr>
                <w:lang w:val="fr-FR"/>
              </w:rPr>
              <w:t>Point 9.2 de l</w:t>
            </w:r>
            <w:r w:rsidR="005C4BCC" w:rsidRPr="006D1841">
              <w:rPr>
                <w:lang w:val="fr-FR"/>
              </w:rPr>
              <w:t>'</w:t>
            </w:r>
            <w:r w:rsidRPr="006D1841">
              <w:rPr>
                <w:lang w:val="fr-FR"/>
              </w:rPr>
              <w:t>ordre du jour</w:t>
            </w:r>
          </w:p>
        </w:tc>
      </w:tr>
    </w:tbl>
    <w:bookmarkEnd w:id="6"/>
    <w:p w:rsidR="00276E75" w:rsidRPr="006D1841" w:rsidRDefault="00643750" w:rsidP="00251A58">
      <w:r w:rsidRPr="006D1841">
        <w:t>9</w:t>
      </w:r>
      <w:r w:rsidRPr="006D1841">
        <w:tab/>
        <w:t>examiner et approuver le rapport du Directeur du Bureau des radiocommunications, conformément à l</w:t>
      </w:r>
      <w:r w:rsidR="005C4BCC" w:rsidRPr="006D1841">
        <w:t>'</w:t>
      </w:r>
      <w:r w:rsidRPr="006D1841">
        <w:t>article 7 de la Convention:</w:t>
      </w:r>
    </w:p>
    <w:p w:rsidR="00276E75" w:rsidRPr="006D1841" w:rsidRDefault="00643750" w:rsidP="00251A58">
      <w:r w:rsidRPr="006D1841">
        <w:t>9.2</w:t>
      </w:r>
      <w:r w:rsidRPr="006D1841">
        <w:tab/>
        <w:t>sur les difficultés rencontrées ou les incohérences constatées dans l</w:t>
      </w:r>
      <w:r w:rsidR="005C4BCC" w:rsidRPr="006D1841">
        <w:t>'</w:t>
      </w:r>
      <w:r w:rsidRPr="006D1841">
        <w:t>application du Règlement des radiocommunications; et</w:t>
      </w:r>
    </w:p>
    <w:p w:rsidR="00321CAD" w:rsidRPr="006D1841" w:rsidRDefault="00321CAD" w:rsidP="00251A58"/>
    <w:p w:rsidR="00A41688" w:rsidRPr="006D1841" w:rsidRDefault="000724D3" w:rsidP="00320CAD">
      <w:pPr>
        <w:pStyle w:val="Headingb"/>
      </w:pPr>
      <w:r w:rsidRPr="006D1841">
        <w:t>Considérations générales</w:t>
      </w:r>
    </w:p>
    <w:p w:rsidR="00A41688" w:rsidRPr="006D1841" w:rsidRDefault="000724D3" w:rsidP="00D4575A">
      <w:pPr>
        <w:rPr>
          <w:szCs w:val="24"/>
        </w:rPr>
      </w:pPr>
      <w:r w:rsidRPr="006D1841">
        <w:t xml:space="preserve">Au </w:t>
      </w:r>
      <w:r w:rsidR="00A34DCE" w:rsidRPr="006D1841">
        <w:t xml:space="preserve">§ </w:t>
      </w:r>
      <w:r w:rsidR="00A41688" w:rsidRPr="006D1841">
        <w:t>3.2.2.4.2</w:t>
      </w:r>
      <w:r w:rsidR="00A34DCE" w:rsidRPr="006D1841">
        <w:t xml:space="preserve"> </w:t>
      </w:r>
      <w:r w:rsidRPr="006D1841">
        <w:t>de l</w:t>
      </w:r>
      <w:r w:rsidR="005C4BCC" w:rsidRPr="006D1841">
        <w:t>'</w:t>
      </w:r>
      <w:r w:rsidR="00A41688" w:rsidRPr="006D1841">
        <w:t>Addendum 2</w:t>
      </w:r>
      <w:r w:rsidR="00A34DCE" w:rsidRPr="006D1841">
        <w:t xml:space="preserve"> du r</w:t>
      </w:r>
      <w:r w:rsidRPr="006D1841">
        <w:t>apport du Directeur du Bureau des radiocommunications à la CMR</w:t>
      </w:r>
      <w:r w:rsidR="00D4575A" w:rsidRPr="006D1841">
        <w:noBreakHyphen/>
      </w:r>
      <w:r w:rsidRPr="006D1841">
        <w:t>15</w:t>
      </w:r>
      <w:r w:rsidR="00A34DCE" w:rsidRPr="006D1841">
        <w:t>,</w:t>
      </w:r>
      <w:r w:rsidRPr="006D1841">
        <w:t xml:space="preserve"> il est </w:t>
      </w:r>
      <w:r w:rsidR="00A34DCE" w:rsidRPr="006D1841">
        <w:t>indiqué</w:t>
      </w:r>
      <w:r w:rsidRPr="006D1841">
        <w:t xml:space="preserve"> qu</w:t>
      </w:r>
      <w:r w:rsidR="005C4BCC" w:rsidRPr="006D1841">
        <w:t>'</w:t>
      </w:r>
      <w:r w:rsidRPr="006D1841">
        <w:t xml:space="preserve">il est nécessaire de </w:t>
      </w:r>
      <w:r w:rsidR="00A34DCE" w:rsidRPr="006D1841">
        <w:t>poursuivre les</w:t>
      </w:r>
      <w:r w:rsidRPr="006D1841">
        <w:t xml:space="preserve"> étude</w:t>
      </w:r>
      <w:r w:rsidR="00A34DCE" w:rsidRPr="006D1841">
        <w:t>s</w:t>
      </w:r>
      <w:r w:rsidRPr="006D1841">
        <w:t xml:space="preserve"> sur les limites de puissance applicables </w:t>
      </w:r>
      <w:r w:rsidR="00A34DCE" w:rsidRPr="006D1841">
        <w:t xml:space="preserve">aux systèmes non OSG, afin que </w:t>
      </w:r>
      <w:r w:rsidRPr="006D1841">
        <w:t xml:space="preserve">ces limites </w:t>
      </w:r>
      <w:r w:rsidR="00A34DCE" w:rsidRPr="006D1841">
        <w:t>s</w:t>
      </w:r>
      <w:r w:rsidR="005C4BCC" w:rsidRPr="006D1841">
        <w:t>'</w:t>
      </w:r>
      <w:r w:rsidR="00A34DCE" w:rsidRPr="006D1841">
        <w:t xml:space="preserve">appliquent </w:t>
      </w:r>
      <w:r w:rsidRPr="006D1841">
        <w:t xml:space="preserve">aux systèmes fonctionnant avec des caractéristiques sensiblement différentes de celles qui avaient été prises pour hypothèse au moment </w:t>
      </w:r>
      <w:r w:rsidR="00A34DCE" w:rsidRPr="006D1841">
        <w:t>de l</w:t>
      </w:r>
      <w:r w:rsidR="005C4BCC" w:rsidRPr="006D1841">
        <w:t>'</w:t>
      </w:r>
      <w:r w:rsidR="00A34DCE" w:rsidRPr="006D1841">
        <w:t xml:space="preserve">adoption des </w:t>
      </w:r>
      <w:r w:rsidRPr="006D1841">
        <w:t xml:space="preserve">limites. Plus précisément, </w:t>
      </w:r>
      <w:r w:rsidR="00A34DCE" w:rsidRPr="006D1841">
        <w:t>il est souligné dans le ra</w:t>
      </w:r>
      <w:r w:rsidRPr="006D1841">
        <w:t>pport du Directeur que l</w:t>
      </w:r>
      <w:r w:rsidR="005C4BCC" w:rsidRPr="006D1841">
        <w:t>'</w:t>
      </w:r>
      <w:r w:rsidR="00D4575A" w:rsidRPr="006D1841">
        <w:t>UIT</w:t>
      </w:r>
      <w:r w:rsidR="00D4575A" w:rsidRPr="006D1841">
        <w:noBreakHyphen/>
      </w:r>
      <w:r w:rsidRPr="006D1841">
        <w:t>R voudra peut-être revoir les limites de puissance indiquée</w:t>
      </w:r>
      <w:r w:rsidR="00A34DCE" w:rsidRPr="006D1841">
        <w:t>s</w:t>
      </w:r>
      <w:r w:rsidRPr="006D1841">
        <w:t xml:space="preserve"> dans les Articles</w:t>
      </w:r>
      <w:r w:rsidR="001F6EED" w:rsidRPr="006D1841">
        <w:t> </w:t>
      </w:r>
      <w:r w:rsidR="00A41688" w:rsidRPr="006D1841">
        <w:t xml:space="preserve">21 </w:t>
      </w:r>
      <w:r w:rsidR="00D4575A" w:rsidRPr="006D1841">
        <w:t>et</w:t>
      </w:r>
      <w:r w:rsidR="00A41688" w:rsidRPr="006D1841">
        <w:t xml:space="preserve"> 22 </w:t>
      </w:r>
      <w:r w:rsidR="00D4575A" w:rsidRPr="006D1841">
        <w:t>«</w:t>
      </w:r>
      <w:r w:rsidR="0095197D" w:rsidRPr="006D1841">
        <w:t>compte tenu des caractéristiques des réseaux soumis dernièrement et du fait que, d</w:t>
      </w:r>
      <w:r w:rsidR="005C4BCC" w:rsidRPr="006D1841">
        <w:t>'</w:t>
      </w:r>
      <w:r w:rsidR="0095197D" w:rsidRPr="006D1841">
        <w:t>une manière générale, l</w:t>
      </w:r>
      <w:r w:rsidR="005C4BCC" w:rsidRPr="006D1841">
        <w:t>'</w:t>
      </w:r>
      <w:r w:rsidR="0095197D" w:rsidRPr="006D1841">
        <w:t>exploitation de systèmes du SFS non OSG suscite un intérêt croissant, l</w:t>
      </w:r>
      <w:r w:rsidR="005C4BCC" w:rsidRPr="006D1841">
        <w:t>'</w:t>
      </w:r>
      <w:r w:rsidR="0095197D" w:rsidRPr="006D1841">
        <w:t>objectif étant de faire en sorte que tous les services existants bénéficient d</w:t>
      </w:r>
      <w:r w:rsidR="005C4BCC" w:rsidRPr="006D1841">
        <w:t>'</w:t>
      </w:r>
      <w:r w:rsidR="0095197D" w:rsidRPr="006D1841">
        <w:t>une protection suffisante</w:t>
      </w:r>
      <w:r w:rsidR="00D4575A" w:rsidRPr="006D1841">
        <w:t>»</w:t>
      </w:r>
      <w:r w:rsidR="00204AF7" w:rsidRPr="006D1841">
        <w:t>.</w:t>
      </w:r>
    </w:p>
    <w:p w:rsidR="00A41688" w:rsidRPr="006D1841" w:rsidRDefault="000724D3" w:rsidP="00320CAD">
      <w:r w:rsidRPr="006D1841">
        <w:rPr>
          <w:szCs w:val="24"/>
        </w:rPr>
        <w:t xml:space="preserve">Les Articles </w:t>
      </w:r>
      <w:r w:rsidR="00A41688" w:rsidRPr="006D1841">
        <w:rPr>
          <w:szCs w:val="24"/>
        </w:rPr>
        <w:t xml:space="preserve">21 </w:t>
      </w:r>
      <w:r w:rsidRPr="006D1841">
        <w:rPr>
          <w:color w:val="000000"/>
          <w:szCs w:val="24"/>
          <w:lang w:eastAsia="zh-CN"/>
        </w:rPr>
        <w:t>et</w:t>
      </w:r>
      <w:r w:rsidR="00A41688" w:rsidRPr="006D1841">
        <w:rPr>
          <w:color w:val="000000"/>
          <w:szCs w:val="24"/>
          <w:lang w:eastAsia="zh-CN"/>
        </w:rPr>
        <w:t xml:space="preserve"> 22 </w:t>
      </w:r>
      <w:r w:rsidRPr="006D1841">
        <w:rPr>
          <w:color w:val="000000"/>
          <w:szCs w:val="24"/>
          <w:lang w:eastAsia="zh-CN"/>
        </w:rPr>
        <w:t>du Règlement des radiocommunications contiennent des dispositions visant à garantir la compatibilité entre les systèmes non OSG du SFS exploités et les services bénéficiant d</w:t>
      </w:r>
      <w:r w:rsidR="005C4BCC" w:rsidRPr="006D1841">
        <w:rPr>
          <w:color w:val="000000"/>
          <w:szCs w:val="24"/>
          <w:lang w:eastAsia="zh-CN"/>
        </w:rPr>
        <w:t>'</w:t>
      </w:r>
      <w:r w:rsidRPr="006D1841">
        <w:rPr>
          <w:color w:val="000000"/>
          <w:szCs w:val="24"/>
          <w:lang w:eastAsia="zh-CN"/>
        </w:rPr>
        <w:t>attributions à titre primaire avec égalité des droits. Au nombr</w:t>
      </w:r>
      <w:r w:rsidR="00204AF7" w:rsidRPr="006D1841">
        <w:rPr>
          <w:color w:val="000000"/>
          <w:szCs w:val="24"/>
          <w:lang w:eastAsia="zh-CN"/>
        </w:rPr>
        <w:t>e de ces dispositions figurent d</w:t>
      </w:r>
      <w:r w:rsidRPr="006D1841">
        <w:rPr>
          <w:color w:val="000000"/>
          <w:szCs w:val="24"/>
          <w:lang w:eastAsia="zh-CN"/>
        </w:rPr>
        <w:t xml:space="preserve">es limites de puissance surfacique équivalente pour la liaison montante et la liaison descendante </w:t>
      </w:r>
      <w:r w:rsidR="00A41688" w:rsidRPr="006D1841">
        <w:rPr>
          <w:color w:val="000000"/>
          <w:szCs w:val="24"/>
        </w:rPr>
        <w:t>(</w:t>
      </w:r>
      <w:proofErr w:type="spellStart"/>
      <w:r w:rsidR="00A41688" w:rsidRPr="006D1841">
        <w:rPr>
          <w:color w:val="000000"/>
          <w:szCs w:val="24"/>
        </w:rPr>
        <w:t>epfd</w:t>
      </w:r>
      <w:proofErr w:type="spellEnd"/>
      <w:r w:rsidR="00A41688" w:rsidRPr="006D1841">
        <w:rPr>
          <w:color w:val="000000"/>
          <w:szCs w:val="24"/>
        </w:rPr>
        <w:t>↑</w:t>
      </w:r>
      <w:r w:rsidR="00321CAD" w:rsidRPr="006D1841">
        <w:rPr>
          <w:color w:val="000000"/>
          <w:szCs w:val="24"/>
        </w:rPr>
        <w:t xml:space="preserve"> </w:t>
      </w:r>
      <w:r w:rsidRPr="006D1841">
        <w:rPr>
          <w:color w:val="000000"/>
          <w:szCs w:val="24"/>
        </w:rPr>
        <w:t>et</w:t>
      </w:r>
      <w:r w:rsidR="00D4575A" w:rsidRPr="006D1841">
        <w:rPr>
          <w:color w:val="000000"/>
          <w:szCs w:val="24"/>
        </w:rPr>
        <w:t xml:space="preserve"> </w:t>
      </w:r>
      <w:proofErr w:type="spellStart"/>
      <w:r w:rsidR="00A41688" w:rsidRPr="006D1841">
        <w:t>epfd</w:t>
      </w:r>
      <w:proofErr w:type="spellEnd"/>
      <w:r w:rsidR="00A41688" w:rsidRPr="006D1841">
        <w:rPr>
          <w:rFonts w:ascii="TimesNewRoman" w:hAnsi="TimesNewRoman" w:cs="TimesNewRoman"/>
          <w:color w:val="000000"/>
          <w:szCs w:val="24"/>
          <w:lang w:eastAsia="zh-CN"/>
        </w:rPr>
        <w:t>↓</w:t>
      </w:r>
      <w:r w:rsidR="00A41688" w:rsidRPr="006D1841">
        <w:t xml:space="preserve">) </w:t>
      </w:r>
      <w:r w:rsidRPr="006D1841">
        <w:t>qui doivent être respecté</w:t>
      </w:r>
      <w:r w:rsidR="00C753BC" w:rsidRPr="006D1841">
        <w:t>es</w:t>
      </w:r>
      <w:r w:rsidRPr="006D1841">
        <w:t xml:space="preserve"> pour p</w:t>
      </w:r>
      <w:r w:rsidR="00204AF7" w:rsidRPr="006D1841">
        <w:t>rotéger les réseaux OSG contre l</w:t>
      </w:r>
      <w:r w:rsidRPr="006D1841">
        <w:t>es brouillages inacceptables, conformément au numéro</w:t>
      </w:r>
      <w:r w:rsidR="00A41688" w:rsidRPr="006D1841">
        <w:t xml:space="preserve"> 22.2</w:t>
      </w:r>
      <w:r w:rsidR="00204AF7" w:rsidRPr="006D1841">
        <w:t>,</w:t>
      </w:r>
      <w:r w:rsidRPr="006D1841">
        <w:t xml:space="preserve"> et les limites de puissance surfacique en liaison descendante indiquées </w:t>
      </w:r>
      <w:r w:rsidR="00204AF7" w:rsidRPr="006D1841">
        <w:t>au</w:t>
      </w:r>
      <w:r w:rsidRPr="006D1841">
        <w:t xml:space="preserve"> numéro</w:t>
      </w:r>
      <w:r w:rsidR="00A41688" w:rsidRPr="006D1841">
        <w:t xml:space="preserve"> 21.16 </w:t>
      </w:r>
      <w:r w:rsidRPr="006D1841">
        <w:t>pour protéger les services de Terre</w:t>
      </w:r>
      <w:r w:rsidR="00204AF7" w:rsidRPr="006D1841">
        <w:t>.</w:t>
      </w:r>
    </w:p>
    <w:p w:rsidR="00A41688" w:rsidRPr="006D1841" w:rsidRDefault="000C61B0" w:rsidP="0071238F">
      <w:pPr>
        <w:rPr>
          <w:szCs w:val="24"/>
        </w:rPr>
      </w:pPr>
      <w:r w:rsidRPr="006D1841">
        <w:rPr>
          <w:szCs w:val="24"/>
        </w:rPr>
        <w:t>Compte tenu de la configuration orbitale particulière des systèmes fonctionnant en orbite fortement elliptique</w:t>
      </w:r>
      <w:r w:rsidR="007C6B0E" w:rsidRPr="006D1841">
        <w:rPr>
          <w:szCs w:val="24"/>
        </w:rPr>
        <w:t xml:space="preserve"> </w:t>
      </w:r>
      <w:r w:rsidR="00A41688" w:rsidRPr="006D1841">
        <w:rPr>
          <w:szCs w:val="24"/>
        </w:rPr>
        <w:t>(HEO)</w:t>
      </w:r>
      <w:r w:rsidRPr="006D1841">
        <w:rPr>
          <w:szCs w:val="24"/>
        </w:rPr>
        <w:t xml:space="preserve"> qui </w:t>
      </w:r>
      <w:r w:rsidR="00204AF7" w:rsidRPr="006D1841">
        <w:rPr>
          <w:szCs w:val="24"/>
        </w:rPr>
        <w:t>avaient</w:t>
      </w:r>
      <w:r w:rsidRPr="006D1841">
        <w:rPr>
          <w:szCs w:val="24"/>
        </w:rPr>
        <w:t xml:space="preserve"> été proposés lorsque</w:t>
      </w:r>
      <w:r w:rsidR="007C6B0E" w:rsidRPr="006D1841">
        <w:rPr>
          <w:szCs w:val="24"/>
        </w:rPr>
        <w:t xml:space="preserve"> </w:t>
      </w:r>
      <w:r w:rsidRPr="006D1841">
        <w:rPr>
          <w:szCs w:val="24"/>
        </w:rPr>
        <w:t>les limites ont été adoptées, les limites</w:t>
      </w:r>
      <w:r w:rsidR="00A41688" w:rsidRPr="006D1841">
        <w:rPr>
          <w:szCs w:val="24"/>
        </w:rPr>
        <w:t xml:space="preserve"> </w:t>
      </w:r>
      <w:r w:rsidRPr="006D1841">
        <w:rPr>
          <w:szCs w:val="24"/>
        </w:rPr>
        <w:t>d</w:t>
      </w:r>
      <w:r w:rsidR="005C4BCC" w:rsidRPr="006D1841">
        <w:rPr>
          <w:szCs w:val="24"/>
        </w:rPr>
        <w:t>'</w:t>
      </w:r>
      <w:proofErr w:type="spellStart"/>
      <w:r w:rsidR="00A41688" w:rsidRPr="006D1841">
        <w:rPr>
          <w:szCs w:val="24"/>
        </w:rPr>
        <w:t>epfd</w:t>
      </w:r>
      <w:proofErr w:type="spellEnd"/>
      <w:r w:rsidRPr="006D1841">
        <w:rPr>
          <w:szCs w:val="24"/>
        </w:rPr>
        <w:t xml:space="preserve"> dans les bandes </w:t>
      </w:r>
      <w:r w:rsidR="00A41688" w:rsidRPr="006D1841">
        <w:rPr>
          <w:szCs w:val="24"/>
        </w:rPr>
        <w:t>3 700-4 200 MHz</w:t>
      </w:r>
      <w:r w:rsidR="00A41688" w:rsidRPr="006D1841">
        <w:rPr>
          <w:color w:val="0D0D0D" w:themeColor="text1" w:themeTint="F2"/>
          <w:szCs w:val="24"/>
        </w:rPr>
        <w:t xml:space="preserve"> (</w:t>
      </w:r>
      <w:r w:rsidRPr="006D1841">
        <w:rPr>
          <w:color w:val="0D0D0D" w:themeColor="text1" w:themeTint="F2"/>
          <w:szCs w:val="24"/>
        </w:rPr>
        <w:t>espace vers Terre</w:t>
      </w:r>
      <w:r w:rsidR="00A41688" w:rsidRPr="006D1841">
        <w:rPr>
          <w:color w:val="0D0D0D" w:themeColor="text1" w:themeTint="F2"/>
          <w:szCs w:val="24"/>
        </w:rPr>
        <w:t xml:space="preserve">) </w:t>
      </w:r>
      <w:r w:rsidRPr="006D1841">
        <w:rPr>
          <w:color w:val="0D0D0D" w:themeColor="text1" w:themeTint="F2"/>
          <w:szCs w:val="24"/>
        </w:rPr>
        <w:t xml:space="preserve">et </w:t>
      </w:r>
      <w:r w:rsidR="00A41688" w:rsidRPr="006D1841">
        <w:rPr>
          <w:color w:val="0D0D0D" w:themeColor="text1" w:themeTint="F2"/>
          <w:szCs w:val="24"/>
        </w:rPr>
        <w:t>5 925-6 725 MHz</w:t>
      </w:r>
      <w:r w:rsidR="00A41688" w:rsidRPr="006D1841">
        <w:rPr>
          <w:szCs w:val="24"/>
        </w:rPr>
        <w:t xml:space="preserve"> (</w:t>
      </w:r>
      <w:r w:rsidRPr="006D1841">
        <w:rPr>
          <w:szCs w:val="24"/>
        </w:rPr>
        <w:t>Terre vers espace</w:t>
      </w:r>
      <w:r w:rsidR="00A41688" w:rsidRPr="006D1841">
        <w:rPr>
          <w:szCs w:val="24"/>
        </w:rPr>
        <w:t xml:space="preserve">) </w:t>
      </w:r>
      <w:r w:rsidRPr="006D1841">
        <w:rPr>
          <w:szCs w:val="24"/>
        </w:rPr>
        <w:t xml:space="preserve">sont </w:t>
      </w:r>
      <w:r w:rsidR="00204AF7" w:rsidRPr="006D1841">
        <w:rPr>
          <w:szCs w:val="24"/>
        </w:rPr>
        <w:t>nettement</w:t>
      </w:r>
      <w:r w:rsidRPr="006D1841">
        <w:rPr>
          <w:szCs w:val="24"/>
        </w:rPr>
        <w:t xml:space="preserve"> plus strictes que dans les autres bandes du SFS. En outre, les limites de puissance </w:t>
      </w:r>
      <w:r w:rsidRPr="006D1841">
        <w:rPr>
          <w:szCs w:val="24"/>
        </w:rPr>
        <w:lastRenderedPageBreak/>
        <w:t>surfacique</w:t>
      </w:r>
      <w:r w:rsidR="00A41688" w:rsidRPr="006D1841">
        <w:rPr>
          <w:szCs w:val="24"/>
        </w:rPr>
        <w:t xml:space="preserve"> </w:t>
      </w:r>
      <w:r w:rsidR="00204AF7" w:rsidRPr="006D1841">
        <w:rPr>
          <w:szCs w:val="24"/>
        </w:rPr>
        <w:t xml:space="preserve">dans la bande 3 700-4 200 MHz </w:t>
      </w:r>
      <w:r w:rsidRPr="006D1841">
        <w:rPr>
          <w:szCs w:val="24"/>
        </w:rPr>
        <w:t xml:space="preserve">sont plus strictes de </w:t>
      </w:r>
      <w:r w:rsidR="00A41688" w:rsidRPr="006D1841">
        <w:rPr>
          <w:szCs w:val="24"/>
        </w:rPr>
        <w:t>8 dB</w:t>
      </w:r>
      <w:r w:rsidRPr="006D1841">
        <w:rPr>
          <w:szCs w:val="24"/>
        </w:rPr>
        <w:t xml:space="preserve"> pour les systèmes non OSG que pour les systèmes OSG, pour des angles d</w:t>
      </w:r>
      <w:r w:rsidR="005C4BCC" w:rsidRPr="006D1841">
        <w:rPr>
          <w:szCs w:val="24"/>
        </w:rPr>
        <w:t>'</w:t>
      </w:r>
      <w:r w:rsidRPr="006D1841">
        <w:rPr>
          <w:szCs w:val="24"/>
        </w:rPr>
        <w:t>arrivée compris entre 25</w:t>
      </w:r>
      <w:r w:rsidRPr="006D1841">
        <w:rPr>
          <w:lang w:eastAsia="zh-CN"/>
        </w:rPr>
        <w:t>°</w:t>
      </w:r>
      <w:r w:rsidR="007C6B0E" w:rsidRPr="006D1841">
        <w:rPr>
          <w:lang w:eastAsia="zh-CN"/>
        </w:rPr>
        <w:t xml:space="preserve"> </w:t>
      </w:r>
      <w:r w:rsidRPr="006D1841">
        <w:rPr>
          <w:lang w:eastAsia="zh-CN"/>
        </w:rPr>
        <w:t>et</w:t>
      </w:r>
      <w:r w:rsidR="007C6B0E" w:rsidRPr="006D1841">
        <w:rPr>
          <w:lang w:eastAsia="zh-CN"/>
        </w:rPr>
        <w:t xml:space="preserve"> </w:t>
      </w:r>
      <w:r w:rsidRPr="006D1841">
        <w:rPr>
          <w:lang w:eastAsia="zh-CN"/>
        </w:rPr>
        <w:t>90°</w:t>
      </w:r>
      <w:r w:rsidRPr="006D1841">
        <w:rPr>
          <w:szCs w:val="24"/>
        </w:rPr>
        <w:t>,</w:t>
      </w:r>
      <w:r w:rsidR="007C6B0E" w:rsidRPr="006D1841">
        <w:rPr>
          <w:szCs w:val="24"/>
        </w:rPr>
        <w:t xml:space="preserve"> </w:t>
      </w:r>
      <w:r w:rsidRPr="006D1841">
        <w:rPr>
          <w:szCs w:val="24"/>
        </w:rPr>
        <w:t>même s</w:t>
      </w:r>
      <w:r w:rsidR="005C4BCC" w:rsidRPr="006D1841">
        <w:rPr>
          <w:szCs w:val="24"/>
        </w:rPr>
        <w:t>'</w:t>
      </w:r>
      <w:r w:rsidRPr="006D1841">
        <w:rPr>
          <w:szCs w:val="24"/>
        </w:rPr>
        <w:t>il n</w:t>
      </w:r>
      <w:r w:rsidR="005C4BCC" w:rsidRPr="006D1841">
        <w:rPr>
          <w:szCs w:val="24"/>
        </w:rPr>
        <w:t>'</w:t>
      </w:r>
      <w:r w:rsidRPr="006D1841">
        <w:rPr>
          <w:szCs w:val="24"/>
        </w:rPr>
        <w:t>existe pas une telle différence</w:t>
      </w:r>
      <w:r w:rsidR="007C6B0E" w:rsidRPr="006D1841">
        <w:rPr>
          <w:szCs w:val="24"/>
        </w:rPr>
        <w:t xml:space="preserve"> </w:t>
      </w:r>
      <w:r w:rsidRPr="006D1841">
        <w:rPr>
          <w:szCs w:val="24"/>
        </w:rPr>
        <w:t>dans d</w:t>
      </w:r>
      <w:r w:rsidR="005C4BCC" w:rsidRPr="006D1841">
        <w:rPr>
          <w:szCs w:val="24"/>
        </w:rPr>
        <w:t>'</w:t>
      </w:r>
      <w:r w:rsidRPr="006D1841">
        <w:rPr>
          <w:szCs w:val="24"/>
        </w:rPr>
        <w:t>autres bandes du SFS</w:t>
      </w:r>
      <w:r w:rsidR="007C6B0E" w:rsidRPr="006D1841">
        <w:rPr>
          <w:szCs w:val="24"/>
        </w:rPr>
        <w:t>.</w:t>
      </w:r>
      <w:r w:rsidR="00D70558" w:rsidRPr="006D1841">
        <w:rPr>
          <w:szCs w:val="24"/>
        </w:rPr>
        <w:t xml:space="preserve"> </w:t>
      </w:r>
      <w:r w:rsidR="00204AF7" w:rsidRPr="006D1841">
        <w:rPr>
          <w:szCs w:val="24"/>
        </w:rPr>
        <w:t>De plus</w:t>
      </w:r>
      <w:r w:rsidR="00D70558" w:rsidRPr="006D1841">
        <w:rPr>
          <w:szCs w:val="24"/>
        </w:rPr>
        <w:t>, dans cette bande, les limites de puissance surfacique applicable</w:t>
      </w:r>
      <w:r w:rsidR="00204AF7" w:rsidRPr="006D1841">
        <w:rPr>
          <w:szCs w:val="24"/>
        </w:rPr>
        <w:t>s</w:t>
      </w:r>
      <w:r w:rsidR="00D70558" w:rsidRPr="006D1841">
        <w:rPr>
          <w:szCs w:val="24"/>
        </w:rPr>
        <w:t xml:space="preserve"> aux systèmes non OSG pour des angles d</w:t>
      </w:r>
      <w:r w:rsidR="005C4BCC" w:rsidRPr="006D1841">
        <w:rPr>
          <w:szCs w:val="24"/>
        </w:rPr>
        <w:t>'</w:t>
      </w:r>
      <w:r w:rsidR="00D70558" w:rsidRPr="006D1841">
        <w:rPr>
          <w:szCs w:val="24"/>
        </w:rPr>
        <w:t xml:space="preserve">arrivée inférieurs à 25° reposent sur le nombre de satellites non OSG dans un </w:t>
      </w:r>
      <w:r w:rsidR="00D70558" w:rsidRPr="006D1841">
        <w:rPr>
          <w:i/>
          <w:iCs/>
          <w:szCs w:val="24"/>
        </w:rPr>
        <w:t>hémisphère donné</w:t>
      </w:r>
      <w:r w:rsidR="00D70558" w:rsidRPr="006D1841">
        <w:rPr>
          <w:szCs w:val="24"/>
        </w:rPr>
        <w:t>, conformément au numéro</w:t>
      </w:r>
      <w:r w:rsidR="0071238F" w:rsidRPr="006D1841">
        <w:rPr>
          <w:szCs w:val="24"/>
        </w:rPr>
        <w:t> </w:t>
      </w:r>
      <w:r w:rsidR="00A41688" w:rsidRPr="006D1841">
        <w:rPr>
          <w:szCs w:val="24"/>
        </w:rPr>
        <w:t>21.16.15</w:t>
      </w:r>
      <w:r w:rsidR="00D70558" w:rsidRPr="006D1841">
        <w:rPr>
          <w:szCs w:val="24"/>
        </w:rPr>
        <w:t>, ce qui signifie</w:t>
      </w:r>
      <w:r w:rsidR="007C6B0E" w:rsidRPr="006D1841">
        <w:rPr>
          <w:szCs w:val="24"/>
        </w:rPr>
        <w:t xml:space="preserve"> </w:t>
      </w:r>
      <w:r w:rsidR="00D70558" w:rsidRPr="006D1841">
        <w:rPr>
          <w:szCs w:val="24"/>
        </w:rPr>
        <w:t>implicitement que seuls les systèmes HEO ont été pris en compte, étant donné que pour la plupart des types de systèmes non OSG en orbite circulaire</w:t>
      </w:r>
      <w:r w:rsidR="007C6B0E" w:rsidRPr="006D1841">
        <w:rPr>
          <w:szCs w:val="24"/>
        </w:rPr>
        <w:t>,</w:t>
      </w:r>
      <w:r w:rsidR="00D70558" w:rsidRPr="006D1841">
        <w:rPr>
          <w:szCs w:val="24"/>
        </w:rPr>
        <w:t xml:space="preserve"> bon nombre des</w:t>
      </w:r>
      <w:r w:rsidR="007C6B0E" w:rsidRPr="006D1841">
        <w:rPr>
          <w:szCs w:val="24"/>
        </w:rPr>
        <w:t xml:space="preserve"> satellites se trouvant dans un hémisphère donné</w:t>
      </w:r>
      <w:r w:rsidR="00D70558" w:rsidRPr="006D1841">
        <w:rPr>
          <w:szCs w:val="24"/>
        </w:rPr>
        <w:t xml:space="preserve"> ne serai</w:t>
      </w:r>
      <w:r w:rsidR="00F52C43" w:rsidRPr="006D1841">
        <w:rPr>
          <w:szCs w:val="24"/>
        </w:rPr>
        <w:t>en</w:t>
      </w:r>
      <w:r w:rsidR="00D70558" w:rsidRPr="006D1841">
        <w:rPr>
          <w:szCs w:val="24"/>
        </w:rPr>
        <w:t>t pas visible</w:t>
      </w:r>
      <w:r w:rsidR="00F52C43" w:rsidRPr="006D1841">
        <w:rPr>
          <w:szCs w:val="24"/>
        </w:rPr>
        <w:t>s</w:t>
      </w:r>
      <w:r w:rsidR="00D70558" w:rsidRPr="006D1841">
        <w:rPr>
          <w:szCs w:val="24"/>
        </w:rPr>
        <w:t xml:space="preserve"> depuis un emplacement précis</w:t>
      </w:r>
      <w:r w:rsidR="00D70558" w:rsidRPr="006D1841">
        <w:rPr>
          <w:color w:val="000000"/>
        </w:rPr>
        <w:t xml:space="preserve"> sur la Terre</w:t>
      </w:r>
      <w:r w:rsidR="007C6B0E" w:rsidRPr="006D1841">
        <w:rPr>
          <w:szCs w:val="24"/>
        </w:rPr>
        <w:t>.</w:t>
      </w:r>
      <w:r w:rsidR="00A41688" w:rsidRPr="006D1841">
        <w:rPr>
          <w:szCs w:val="24"/>
        </w:rPr>
        <w:t xml:space="preserve"> </w:t>
      </w:r>
    </w:p>
    <w:p w:rsidR="00A41688" w:rsidRPr="006D1841" w:rsidRDefault="00F52C43" w:rsidP="004129D6">
      <w:pPr>
        <w:rPr>
          <w:lang w:eastAsia="zh-CN"/>
        </w:rPr>
      </w:pPr>
      <w:r w:rsidRPr="006D1841">
        <w:rPr>
          <w:szCs w:val="24"/>
        </w:rPr>
        <w:t xml:space="preserve">Les hypothèses </w:t>
      </w:r>
      <w:r w:rsidR="007C6B0E" w:rsidRPr="006D1841">
        <w:rPr>
          <w:szCs w:val="24"/>
        </w:rPr>
        <w:t xml:space="preserve">formulées précédemment </w:t>
      </w:r>
      <w:r w:rsidRPr="006D1841">
        <w:rPr>
          <w:szCs w:val="24"/>
        </w:rPr>
        <w:t>concernant les caractéristiques opérationnelles des systèmes non OSG ne sont pas représentatives des systèmes non OSG qui souhaitent exploiter la bande C</w:t>
      </w:r>
      <w:r w:rsidR="007C6B0E" w:rsidRPr="006D1841">
        <w:rPr>
          <w:szCs w:val="24"/>
        </w:rPr>
        <w:t>.</w:t>
      </w:r>
      <w:r w:rsidRPr="006D1841">
        <w:rPr>
          <w:szCs w:val="24"/>
        </w:rPr>
        <w:t xml:space="preserve"> En conséquence, il est proposé d</w:t>
      </w:r>
      <w:r w:rsidR="005C4BCC" w:rsidRPr="006D1841">
        <w:rPr>
          <w:szCs w:val="24"/>
        </w:rPr>
        <w:t>'</w:t>
      </w:r>
      <w:r w:rsidRPr="006D1841">
        <w:rPr>
          <w:szCs w:val="24"/>
        </w:rPr>
        <w:t>adopter un projet de nouvelle Résolution invitant l</w:t>
      </w:r>
      <w:r w:rsidR="005C4BCC" w:rsidRPr="006D1841">
        <w:rPr>
          <w:szCs w:val="24"/>
        </w:rPr>
        <w:t>'</w:t>
      </w:r>
      <w:r w:rsidRPr="006D1841">
        <w:rPr>
          <w:szCs w:val="24"/>
        </w:rPr>
        <w:t>UIT</w:t>
      </w:r>
      <w:r w:rsidR="007C6B0E" w:rsidRPr="006D1841">
        <w:rPr>
          <w:szCs w:val="24"/>
        </w:rPr>
        <w:noBreakHyphen/>
      </w:r>
      <w:r w:rsidRPr="006D1841">
        <w:rPr>
          <w:szCs w:val="24"/>
        </w:rPr>
        <w:t xml:space="preserve">R à mener des études sur les limites de puissance </w:t>
      </w:r>
      <w:r w:rsidR="007C6B0E" w:rsidRPr="006D1841">
        <w:rPr>
          <w:szCs w:val="24"/>
        </w:rPr>
        <w:t>prescrites dans les</w:t>
      </w:r>
      <w:r w:rsidRPr="006D1841">
        <w:rPr>
          <w:szCs w:val="24"/>
        </w:rPr>
        <w:t xml:space="preserve"> Articles</w:t>
      </w:r>
      <w:r w:rsidR="004129D6" w:rsidRPr="006D1841">
        <w:rPr>
          <w:szCs w:val="24"/>
        </w:rPr>
        <w:t> </w:t>
      </w:r>
      <w:r w:rsidRPr="006D1841">
        <w:rPr>
          <w:szCs w:val="24"/>
        </w:rPr>
        <w:t>21 et 22 applicables aux systèmes non OSG</w:t>
      </w:r>
      <w:r w:rsidR="007C6B0E" w:rsidRPr="006D1841">
        <w:rPr>
          <w:szCs w:val="24"/>
        </w:rPr>
        <w:t xml:space="preserve"> </w:t>
      </w:r>
      <w:r w:rsidRPr="006D1841">
        <w:rPr>
          <w:szCs w:val="24"/>
        </w:rPr>
        <w:t>dans les bandes</w:t>
      </w:r>
      <w:r w:rsidRPr="006D1841">
        <w:rPr>
          <w:lang w:eastAsia="zh-CN"/>
        </w:rPr>
        <w:t xml:space="preserve"> </w:t>
      </w:r>
      <w:r w:rsidRPr="006D1841">
        <w:t>3 700-4 200 MHz</w:t>
      </w:r>
      <w:r w:rsidR="007C6B0E" w:rsidRPr="006D1841">
        <w:t xml:space="preserve"> </w:t>
      </w:r>
      <w:r w:rsidRPr="006D1841">
        <w:t>et</w:t>
      </w:r>
      <w:r w:rsidR="007C6B0E" w:rsidRPr="006D1841">
        <w:t xml:space="preserve"> </w:t>
      </w:r>
      <w:r w:rsidRPr="006D1841">
        <w:t>5 925-6</w:t>
      </w:r>
      <w:r w:rsidR="004129D6" w:rsidRPr="006D1841">
        <w:t> </w:t>
      </w:r>
      <w:r w:rsidRPr="006D1841">
        <w:t>725</w:t>
      </w:r>
      <w:r w:rsidR="004129D6" w:rsidRPr="006D1841">
        <w:t> </w:t>
      </w:r>
      <w:r w:rsidRPr="006D1841">
        <w:t>MHz</w:t>
      </w:r>
      <w:r w:rsidRPr="006D1841">
        <w:rPr>
          <w:szCs w:val="24"/>
        </w:rPr>
        <w:t xml:space="preserve"> et sur l</w:t>
      </w:r>
      <w:r w:rsidR="005C4BCC" w:rsidRPr="006D1841">
        <w:rPr>
          <w:szCs w:val="24"/>
        </w:rPr>
        <w:t>'</w:t>
      </w:r>
      <w:r w:rsidRPr="006D1841">
        <w:rPr>
          <w:szCs w:val="24"/>
        </w:rPr>
        <w:t xml:space="preserve">élaboration de limites de puissance appropriées applicables aux systèmes non OSG dans les bandes </w:t>
      </w:r>
      <w:r w:rsidRPr="006D1841">
        <w:t>4</w:t>
      </w:r>
      <w:r w:rsidRPr="006D1841">
        <w:rPr>
          <w:szCs w:val="24"/>
        </w:rPr>
        <w:t> </w:t>
      </w:r>
      <w:r w:rsidRPr="006D1841">
        <w:t>500-4 800</w:t>
      </w:r>
      <w:r w:rsidR="0071238F" w:rsidRPr="006D1841">
        <w:t> </w:t>
      </w:r>
      <w:r w:rsidRPr="006D1841">
        <w:t>MHz</w:t>
      </w:r>
      <w:r w:rsidR="007C6B0E" w:rsidRPr="006D1841">
        <w:t xml:space="preserve"> </w:t>
      </w:r>
      <w:r w:rsidRPr="006D1841">
        <w:rPr>
          <w:color w:val="0D0D0D" w:themeColor="text1" w:themeTint="F2"/>
          <w:szCs w:val="24"/>
        </w:rPr>
        <w:t>et 6</w:t>
      </w:r>
      <w:r w:rsidRPr="006D1841">
        <w:rPr>
          <w:szCs w:val="24"/>
        </w:rPr>
        <w:t> </w:t>
      </w:r>
      <w:r w:rsidRPr="006D1841">
        <w:rPr>
          <w:color w:val="0D0D0D" w:themeColor="text1" w:themeTint="F2"/>
          <w:szCs w:val="24"/>
        </w:rPr>
        <w:t>725-7</w:t>
      </w:r>
      <w:r w:rsidRPr="006D1841">
        <w:rPr>
          <w:szCs w:val="24"/>
        </w:rPr>
        <w:t> </w:t>
      </w:r>
      <w:r w:rsidRPr="006D1841">
        <w:rPr>
          <w:color w:val="0D0D0D" w:themeColor="text1" w:themeTint="F2"/>
          <w:szCs w:val="24"/>
        </w:rPr>
        <w:t>025</w:t>
      </w:r>
      <w:r w:rsidR="00321CAD" w:rsidRPr="006D1841">
        <w:rPr>
          <w:color w:val="0D0D0D" w:themeColor="text1" w:themeTint="F2"/>
          <w:szCs w:val="24"/>
        </w:rPr>
        <w:t xml:space="preserve"> </w:t>
      </w:r>
      <w:r w:rsidR="00BC1AEF" w:rsidRPr="006D1841">
        <w:rPr>
          <w:color w:val="0D0D0D" w:themeColor="text1" w:themeTint="F2"/>
          <w:szCs w:val="24"/>
        </w:rPr>
        <w:t>MHz</w:t>
      </w:r>
      <w:r w:rsidRPr="006D1841">
        <w:rPr>
          <w:lang w:eastAsia="zh-CN"/>
        </w:rPr>
        <w:t>,</w:t>
      </w:r>
      <w:r w:rsidRPr="006D1841">
        <w:rPr>
          <w:szCs w:val="24"/>
        </w:rPr>
        <w:t xml:space="preserve"> tout en </w:t>
      </w:r>
      <w:r w:rsidRPr="006D1841">
        <w:rPr>
          <w:color w:val="000000"/>
        </w:rPr>
        <w:t>faisant en sorte</w:t>
      </w:r>
      <w:r w:rsidRPr="006D1841">
        <w:rPr>
          <w:szCs w:val="24"/>
        </w:rPr>
        <w:t>, comme indiqué dans le rapport du Directeur,</w:t>
      </w:r>
      <w:r w:rsidR="007C6B0E" w:rsidRPr="006D1841">
        <w:rPr>
          <w:szCs w:val="24"/>
        </w:rPr>
        <w:t xml:space="preserve"> </w:t>
      </w:r>
      <w:r w:rsidRPr="006D1841">
        <w:rPr>
          <w:szCs w:val="24"/>
        </w:rPr>
        <w:t xml:space="preserve">que </w:t>
      </w:r>
      <w:r w:rsidR="0071238F" w:rsidRPr="006D1841">
        <w:rPr>
          <w:szCs w:val="24"/>
        </w:rPr>
        <w:t>«</w:t>
      </w:r>
      <w:r w:rsidRPr="006D1841">
        <w:rPr>
          <w:color w:val="000000"/>
        </w:rPr>
        <w:t>tous les services existants bénéficient d</w:t>
      </w:r>
      <w:r w:rsidR="005C4BCC" w:rsidRPr="006D1841">
        <w:rPr>
          <w:color w:val="000000"/>
        </w:rPr>
        <w:t>'</w:t>
      </w:r>
      <w:r w:rsidRPr="006D1841">
        <w:rPr>
          <w:color w:val="000000"/>
        </w:rPr>
        <w:t>une protection suffisante</w:t>
      </w:r>
      <w:r w:rsidR="0071238F" w:rsidRPr="006D1841">
        <w:rPr>
          <w:color w:val="000000"/>
        </w:rPr>
        <w:t>»</w:t>
      </w:r>
      <w:r w:rsidR="007C6B0E" w:rsidRPr="006D1841">
        <w:rPr>
          <w:szCs w:val="24"/>
        </w:rPr>
        <w:t>.</w:t>
      </w:r>
      <w:r w:rsidRPr="006D1841">
        <w:rPr>
          <w:szCs w:val="24"/>
        </w:rPr>
        <w:t xml:space="preserve"> </w:t>
      </w:r>
    </w:p>
    <w:p w:rsidR="00A41688" w:rsidRPr="006D1841" w:rsidRDefault="00A41688" w:rsidP="00320CAD">
      <w:pPr>
        <w:pStyle w:val="Headingb"/>
      </w:pPr>
      <w:r w:rsidRPr="006D1841">
        <w:t>Proposition</w:t>
      </w:r>
      <w:r w:rsidR="00CE2EBA" w:rsidRPr="006D1841">
        <w:t xml:space="preserve"> </w:t>
      </w:r>
    </w:p>
    <w:p w:rsidR="003A583E" w:rsidRPr="006D1841" w:rsidRDefault="003A583E" w:rsidP="00320CAD"/>
    <w:p w:rsidR="00A41688" w:rsidRPr="006D1841" w:rsidRDefault="00A41688" w:rsidP="00320CAD"/>
    <w:p w:rsidR="0015203F" w:rsidRPr="006D1841" w:rsidRDefault="0015203F" w:rsidP="00320CA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D1841">
        <w:br w:type="page"/>
      </w:r>
    </w:p>
    <w:p w:rsidR="00186638" w:rsidRPr="006D1841" w:rsidRDefault="00643750" w:rsidP="00320CAD">
      <w:pPr>
        <w:pStyle w:val="Proposal"/>
      </w:pPr>
      <w:r w:rsidRPr="006D1841">
        <w:lastRenderedPageBreak/>
        <w:t>ADD</w:t>
      </w:r>
      <w:r w:rsidRPr="006D1841">
        <w:tab/>
        <w:t>USA/6A23A2A2/1</w:t>
      </w:r>
    </w:p>
    <w:p w:rsidR="00F77F93" w:rsidRPr="006D1841" w:rsidRDefault="00CE2EBA" w:rsidP="00251A58">
      <w:pPr>
        <w:pStyle w:val="ResNo"/>
      </w:pPr>
      <w:r w:rsidRPr="006D1841">
        <w:t xml:space="preserve">Projet de nouvelle </w:t>
      </w:r>
      <w:r w:rsidR="00F77F93" w:rsidRPr="006D1841">
        <w:t>R</w:t>
      </w:r>
      <w:r w:rsidR="00251A58" w:rsidRPr="006D1841">
        <w:t>é</w:t>
      </w:r>
      <w:r w:rsidR="00F77F93" w:rsidRPr="006D1841">
        <w:t>solution [USA-A92-NGSO FSS C-BAND] (</w:t>
      </w:r>
      <w:r w:rsidRPr="006D1841">
        <w:t>CMR</w:t>
      </w:r>
      <w:r w:rsidR="001F6EED" w:rsidRPr="006D1841">
        <w:noBreakHyphen/>
      </w:r>
      <w:r w:rsidR="00F77F93" w:rsidRPr="006D1841">
        <w:t>15)</w:t>
      </w:r>
    </w:p>
    <w:p w:rsidR="0095197D" w:rsidRPr="006D1841" w:rsidRDefault="00330F88" w:rsidP="00320CAD">
      <w:pPr>
        <w:pStyle w:val="Restitle"/>
        <w:rPr>
          <w:rFonts w:ascii="Times New Roman" w:hAnsi="Times New Roman"/>
        </w:rPr>
      </w:pPr>
      <w:r w:rsidRPr="006D1841">
        <w:rPr>
          <w:rFonts w:ascii="Times New Roman" w:hAnsi="Times New Roman"/>
        </w:rPr>
        <w:t>Dispositions</w:t>
      </w:r>
      <w:r w:rsidR="0095197D" w:rsidRPr="006D1841">
        <w:rPr>
          <w:rFonts w:ascii="Times New Roman" w:hAnsi="Times New Roman"/>
        </w:rPr>
        <w:t xml:space="preserve"> r</w:t>
      </w:r>
      <w:r w:rsidR="0095197D" w:rsidRPr="006D1841">
        <w:t>é</w:t>
      </w:r>
      <w:r w:rsidR="0095197D" w:rsidRPr="006D1841">
        <w:rPr>
          <w:rFonts w:ascii="Times New Roman" w:hAnsi="Times New Roman"/>
        </w:rPr>
        <w:t>glementaire</w:t>
      </w:r>
      <w:r w:rsidRPr="006D1841">
        <w:rPr>
          <w:rFonts w:ascii="Times New Roman" w:hAnsi="Times New Roman"/>
        </w:rPr>
        <w:t>s</w:t>
      </w:r>
      <w:r w:rsidR="0095197D" w:rsidRPr="006D1841">
        <w:rPr>
          <w:rFonts w:ascii="Times New Roman" w:hAnsi="Times New Roman"/>
        </w:rPr>
        <w:t xml:space="preserve"> applicable</w:t>
      </w:r>
      <w:r w:rsidRPr="006D1841">
        <w:rPr>
          <w:rFonts w:ascii="Times New Roman" w:hAnsi="Times New Roman"/>
        </w:rPr>
        <w:t>s</w:t>
      </w:r>
      <w:r w:rsidR="0095197D" w:rsidRPr="006D1841">
        <w:rPr>
          <w:rFonts w:ascii="Times New Roman" w:hAnsi="Times New Roman"/>
        </w:rPr>
        <w:t xml:space="preserve"> aux syst</w:t>
      </w:r>
      <w:r w:rsidR="0095197D" w:rsidRPr="006D1841">
        <w:t>è</w:t>
      </w:r>
      <w:r w:rsidR="0095197D" w:rsidRPr="006D1841">
        <w:rPr>
          <w:rFonts w:ascii="Times New Roman" w:hAnsi="Times New Roman"/>
        </w:rPr>
        <w:t xml:space="preserve">mes </w:t>
      </w:r>
      <w:r w:rsidR="0095197D" w:rsidRPr="006D1841">
        <w:t>à</w:t>
      </w:r>
      <w:r w:rsidR="0095197D" w:rsidRPr="006D1841">
        <w:rPr>
          <w:rFonts w:ascii="Times New Roman" w:hAnsi="Times New Roman"/>
        </w:rPr>
        <w:t xml:space="preserve"> satellites non</w:t>
      </w:r>
      <w:r w:rsidR="0095197D" w:rsidRPr="006D1841">
        <w:t> </w:t>
      </w:r>
      <w:r w:rsidRPr="006D1841">
        <w:rPr>
          <w:rFonts w:ascii="Times New Roman" w:hAnsi="Times New Roman"/>
        </w:rPr>
        <w:t>géostationnaires</w:t>
      </w:r>
      <w:r w:rsidR="007C6B0E" w:rsidRPr="006D1841">
        <w:rPr>
          <w:rFonts w:ascii="Times New Roman" w:hAnsi="Times New Roman"/>
        </w:rPr>
        <w:t xml:space="preserve"> </w:t>
      </w:r>
      <w:r w:rsidR="0095197D" w:rsidRPr="006D1841">
        <w:rPr>
          <w:rFonts w:ascii="Times New Roman" w:hAnsi="Times New Roman"/>
        </w:rPr>
        <w:t>dans les bandes de fr</w:t>
      </w:r>
      <w:r w:rsidR="0095197D" w:rsidRPr="006D1841">
        <w:t>é</w:t>
      </w:r>
      <w:r w:rsidR="0095197D" w:rsidRPr="006D1841">
        <w:rPr>
          <w:rFonts w:ascii="Times New Roman" w:hAnsi="Times New Roman"/>
        </w:rPr>
        <w:t xml:space="preserve">quences </w:t>
      </w:r>
      <w:r w:rsidR="0095197D" w:rsidRPr="006D1841">
        <w:rPr>
          <w:szCs w:val="28"/>
        </w:rPr>
        <w:t xml:space="preserve">3 700-4 200 MHz, </w:t>
      </w:r>
      <w:r w:rsidR="001F6EED" w:rsidRPr="006D1841">
        <w:rPr>
          <w:szCs w:val="28"/>
        </w:rPr>
        <w:br/>
      </w:r>
      <w:r w:rsidR="0095197D" w:rsidRPr="006D1841">
        <w:rPr>
          <w:szCs w:val="28"/>
        </w:rPr>
        <w:t xml:space="preserve">4 500-4 800 MHz </w:t>
      </w:r>
      <w:r w:rsidRPr="006D1841">
        <w:rPr>
          <w:szCs w:val="28"/>
        </w:rPr>
        <w:t xml:space="preserve">et </w:t>
      </w:r>
      <w:r w:rsidR="0095197D" w:rsidRPr="006D1841">
        <w:rPr>
          <w:szCs w:val="28"/>
        </w:rPr>
        <w:t>5 925-7 025 MHz</w:t>
      </w:r>
      <w:r w:rsidR="007C6B0E" w:rsidRPr="006D1841">
        <w:rPr>
          <w:szCs w:val="28"/>
        </w:rPr>
        <w:t xml:space="preserve"> </w:t>
      </w:r>
      <w:r w:rsidRPr="006D1841">
        <w:t>attribuées au</w:t>
      </w:r>
      <w:r w:rsidR="0095197D" w:rsidRPr="006D1841">
        <w:rPr>
          <w:szCs w:val="28"/>
        </w:rPr>
        <w:t xml:space="preserve"> service</w:t>
      </w:r>
      <w:r w:rsidR="007C6B0E" w:rsidRPr="006D1841">
        <w:rPr>
          <w:rFonts w:ascii="Times New Roman" w:hAnsi="Times New Roman"/>
        </w:rPr>
        <w:t xml:space="preserve"> </w:t>
      </w:r>
      <w:r w:rsidRPr="006D1841">
        <w:rPr>
          <w:rFonts w:ascii="Times New Roman" w:hAnsi="Times New Roman"/>
        </w:rPr>
        <w:t>fixe par satellite</w:t>
      </w:r>
    </w:p>
    <w:p w:rsidR="00F77F93" w:rsidRPr="006D1841" w:rsidRDefault="001F2093" w:rsidP="00320CAD">
      <w:pPr>
        <w:pStyle w:val="Normalaftertitle"/>
        <w:keepNext/>
        <w:rPr>
          <w:szCs w:val="24"/>
        </w:rPr>
      </w:pPr>
      <w:r w:rsidRPr="006D1841">
        <w:rPr>
          <w:szCs w:val="24"/>
        </w:rPr>
        <w:t xml:space="preserve">La Conférence mondiale des radiocommunications </w:t>
      </w:r>
      <w:r w:rsidR="00F77F93" w:rsidRPr="006D1841">
        <w:rPr>
          <w:szCs w:val="24"/>
        </w:rPr>
        <w:t>(</w:t>
      </w:r>
      <w:r w:rsidR="00DB3F9C" w:rsidRPr="006D1841">
        <w:rPr>
          <w:szCs w:val="24"/>
        </w:rPr>
        <w:t>Genève</w:t>
      </w:r>
      <w:r w:rsidR="00F77F93" w:rsidRPr="006D1841">
        <w:rPr>
          <w:szCs w:val="24"/>
        </w:rPr>
        <w:t>, 2015),</w:t>
      </w:r>
    </w:p>
    <w:p w:rsidR="0095197D" w:rsidRPr="006D1841" w:rsidRDefault="001F2093" w:rsidP="001A7E2B">
      <w:pPr>
        <w:pStyle w:val="Call"/>
      </w:pPr>
      <w:r w:rsidRPr="006D1841">
        <w:t xml:space="preserve">considérant </w:t>
      </w:r>
    </w:p>
    <w:p w:rsidR="0095197D" w:rsidRPr="006D1841" w:rsidRDefault="00F77F93" w:rsidP="001A7E2B">
      <w:r w:rsidRPr="006D1841">
        <w:rPr>
          <w:i/>
        </w:rPr>
        <w:t>a)</w:t>
      </w:r>
      <w:r w:rsidRPr="006D1841">
        <w:tab/>
      </w:r>
      <w:r w:rsidR="0095197D" w:rsidRPr="006D1841">
        <w:t>que les systèmes reposant sur l</w:t>
      </w:r>
      <w:r w:rsidR="005C4BCC" w:rsidRPr="006D1841">
        <w:t>'</w:t>
      </w:r>
      <w:r w:rsidR="0095197D" w:rsidRPr="006D1841">
        <w:t>utilisation des nouvelles technologies associées aux constellations de satellites géostationnaires (OSG) et non géostationnaires (non OSG) permettent d</w:t>
      </w:r>
      <w:r w:rsidR="005C4BCC" w:rsidRPr="006D1841">
        <w:t>'</w:t>
      </w:r>
      <w:r w:rsidR="0095197D" w:rsidRPr="006D1841">
        <w:t>offrir</w:t>
      </w:r>
      <w:r w:rsidR="001F2093" w:rsidRPr="006D1841">
        <w:t>, même</w:t>
      </w:r>
      <w:r w:rsidR="007C6B0E" w:rsidRPr="006D1841">
        <w:t xml:space="preserve"> </w:t>
      </w:r>
      <w:r w:rsidR="001F2093" w:rsidRPr="006D1841">
        <w:t>dans les régions les plus isolées du monde,</w:t>
      </w:r>
      <w:r w:rsidR="0095197D" w:rsidRPr="006D1841">
        <w:t xml:space="preserve"> des moyens de communication</w:t>
      </w:r>
      <w:r w:rsidR="007C6B0E" w:rsidRPr="006D1841">
        <w:t xml:space="preserve"> </w:t>
      </w:r>
      <w:r w:rsidR="0095197D" w:rsidRPr="006D1841">
        <w:t>à</w:t>
      </w:r>
      <w:r w:rsidR="001F2093" w:rsidRPr="006D1841">
        <w:t xml:space="preserve"> forte</w:t>
      </w:r>
      <w:r w:rsidR="007C6B0E" w:rsidRPr="006D1841">
        <w:t xml:space="preserve"> </w:t>
      </w:r>
      <w:r w:rsidR="00DB3F9C" w:rsidRPr="006D1841">
        <w:t>capacité et à faible coût</w:t>
      </w:r>
      <w:r w:rsidR="0095197D" w:rsidRPr="006D1841">
        <w:t>;</w:t>
      </w:r>
    </w:p>
    <w:p w:rsidR="00F77F93" w:rsidRPr="006D1841" w:rsidRDefault="00F77F93" w:rsidP="001A7E2B">
      <w:pPr>
        <w:rPr>
          <w:rFonts w:eastAsia="Calibri"/>
          <w:iCs/>
          <w:szCs w:val="24"/>
        </w:rPr>
      </w:pPr>
      <w:r w:rsidRPr="006D1841">
        <w:rPr>
          <w:i/>
        </w:rPr>
        <w:t>b)</w:t>
      </w:r>
      <w:r w:rsidRPr="006D1841">
        <w:rPr>
          <w:iCs/>
        </w:rPr>
        <w:tab/>
      </w:r>
      <w:r w:rsidR="001F2093" w:rsidRPr="006D1841">
        <w:rPr>
          <w:iCs/>
        </w:rPr>
        <w:t>que les orbites de satellites OSG et non OSG ainsi que les bandes de fréquences associées constituent de</w:t>
      </w:r>
      <w:r w:rsidR="007C6B0E" w:rsidRPr="006D1841">
        <w:rPr>
          <w:iCs/>
        </w:rPr>
        <w:t xml:space="preserve"> </w:t>
      </w:r>
      <w:r w:rsidR="001F2093" w:rsidRPr="006D1841">
        <w:rPr>
          <w:iCs/>
        </w:rPr>
        <w:t>précieuses ressources et qu</w:t>
      </w:r>
      <w:r w:rsidR="005C4BCC" w:rsidRPr="006D1841">
        <w:rPr>
          <w:iCs/>
        </w:rPr>
        <w:t>'</w:t>
      </w:r>
      <w:r w:rsidR="001F2093" w:rsidRPr="006D1841">
        <w:rPr>
          <w:iCs/>
        </w:rPr>
        <w:t>il convient d</w:t>
      </w:r>
      <w:r w:rsidR="005C4BCC" w:rsidRPr="006D1841">
        <w:rPr>
          <w:iCs/>
        </w:rPr>
        <w:t>'</w:t>
      </w:r>
      <w:r w:rsidR="001F2093" w:rsidRPr="006D1841">
        <w:rPr>
          <w:iCs/>
        </w:rPr>
        <w:t>assurer un accès équitable à ces ressources, dans l</w:t>
      </w:r>
      <w:r w:rsidR="005C4BCC" w:rsidRPr="006D1841">
        <w:rPr>
          <w:iCs/>
        </w:rPr>
        <w:t>'</w:t>
      </w:r>
      <w:r w:rsidR="001F2093" w:rsidRPr="006D1841">
        <w:rPr>
          <w:iCs/>
        </w:rPr>
        <w:t>intérêt de tous les pays</w:t>
      </w:r>
      <w:r w:rsidRPr="006D1841">
        <w:rPr>
          <w:iCs/>
        </w:rPr>
        <w:t>;</w:t>
      </w:r>
    </w:p>
    <w:p w:rsidR="00F77F93" w:rsidRPr="006D1841" w:rsidRDefault="00F77F93" w:rsidP="001A7E2B">
      <w:pPr>
        <w:rPr>
          <w:rFonts w:asciiTheme="majorBidi" w:hAnsiTheme="majorBidi" w:cstheme="majorBidi"/>
          <w:iCs/>
          <w:szCs w:val="24"/>
        </w:rPr>
      </w:pPr>
      <w:r w:rsidRPr="006D1841">
        <w:rPr>
          <w:i/>
        </w:rPr>
        <w:t>c)</w:t>
      </w:r>
      <w:r w:rsidRPr="006D1841">
        <w:rPr>
          <w:iCs/>
        </w:rPr>
        <w:tab/>
      </w:r>
      <w:r w:rsidR="006E0CED" w:rsidRPr="006D1841">
        <w:rPr>
          <w:iCs/>
        </w:rPr>
        <w:t>que des mesures propres à faciliter l</w:t>
      </w:r>
      <w:r w:rsidR="005C4BCC" w:rsidRPr="006D1841">
        <w:rPr>
          <w:iCs/>
        </w:rPr>
        <w:t>'</w:t>
      </w:r>
      <w:r w:rsidR="006E0CED" w:rsidRPr="006D1841">
        <w:rPr>
          <w:iCs/>
        </w:rPr>
        <w:t>utilisation de nouveaux systèmes non OSG permettraient de renforcer considérablement la capacité,</w:t>
      </w:r>
      <w:r w:rsidR="007C6B0E" w:rsidRPr="006D1841">
        <w:rPr>
          <w:iCs/>
        </w:rPr>
        <w:t xml:space="preserve"> </w:t>
      </w:r>
      <w:r w:rsidR="001F2093" w:rsidRPr="006D1841">
        <w:rPr>
          <w:color w:val="000000"/>
        </w:rPr>
        <w:t>l</w:t>
      </w:r>
      <w:r w:rsidR="005C4BCC" w:rsidRPr="006D1841">
        <w:rPr>
          <w:color w:val="000000"/>
        </w:rPr>
        <w:t>'</w:t>
      </w:r>
      <w:r w:rsidR="001F2093" w:rsidRPr="006D1841">
        <w:rPr>
          <w:color w:val="000000"/>
        </w:rPr>
        <w:t>efficacité d</w:t>
      </w:r>
      <w:r w:rsidR="005C4BCC" w:rsidRPr="006D1841">
        <w:rPr>
          <w:color w:val="000000"/>
        </w:rPr>
        <w:t>'</w:t>
      </w:r>
      <w:r w:rsidR="001F2093" w:rsidRPr="006D1841">
        <w:rPr>
          <w:color w:val="000000"/>
        </w:rPr>
        <w:t>utilisation du spectre</w:t>
      </w:r>
      <w:r w:rsidR="001F2093" w:rsidRPr="006D1841">
        <w:rPr>
          <w:iCs/>
        </w:rPr>
        <w:t xml:space="preserve"> </w:t>
      </w:r>
      <w:r w:rsidR="006E0CED" w:rsidRPr="006D1841">
        <w:rPr>
          <w:iCs/>
        </w:rPr>
        <w:t>et les avantages découlant de l</w:t>
      </w:r>
      <w:r w:rsidR="005C4BCC" w:rsidRPr="006D1841">
        <w:rPr>
          <w:iCs/>
        </w:rPr>
        <w:t>'</w:t>
      </w:r>
      <w:r w:rsidR="006E0CED" w:rsidRPr="006D1841">
        <w:rPr>
          <w:iCs/>
        </w:rPr>
        <w:t xml:space="preserve">exploitation des systèmes OSG et non OSG dans les bandes </w:t>
      </w:r>
      <w:r w:rsidRPr="006D1841">
        <w:rPr>
          <w:iCs/>
        </w:rPr>
        <w:t>3</w:t>
      </w:r>
      <w:r w:rsidR="001A7E2B" w:rsidRPr="006D1841">
        <w:rPr>
          <w:iCs/>
        </w:rPr>
        <w:t> </w:t>
      </w:r>
      <w:r w:rsidRPr="006D1841">
        <w:rPr>
          <w:iCs/>
        </w:rPr>
        <w:t>700-4</w:t>
      </w:r>
      <w:r w:rsidR="001A7E2B" w:rsidRPr="006D1841">
        <w:rPr>
          <w:iCs/>
        </w:rPr>
        <w:t> </w:t>
      </w:r>
      <w:r w:rsidRPr="006D1841">
        <w:rPr>
          <w:iCs/>
        </w:rPr>
        <w:t>200</w:t>
      </w:r>
      <w:r w:rsidR="001A7E2B" w:rsidRPr="006D1841">
        <w:rPr>
          <w:iCs/>
        </w:rPr>
        <w:t> </w:t>
      </w:r>
      <w:r w:rsidRPr="006D1841">
        <w:rPr>
          <w:iCs/>
        </w:rPr>
        <w:t>MHz, 4 500-4 800 MHz</w:t>
      </w:r>
      <w:r w:rsidR="007C6B0E" w:rsidRPr="006D1841">
        <w:rPr>
          <w:iCs/>
        </w:rPr>
        <w:t xml:space="preserve"> </w:t>
      </w:r>
      <w:r w:rsidR="006E0CED" w:rsidRPr="006D1841">
        <w:rPr>
          <w:iCs/>
        </w:rPr>
        <w:t xml:space="preserve">et </w:t>
      </w:r>
      <w:r w:rsidRPr="006D1841">
        <w:rPr>
          <w:iCs/>
        </w:rPr>
        <w:t>5 925-7 025 MHz,</w:t>
      </w:r>
    </w:p>
    <w:p w:rsidR="00F77F93" w:rsidRPr="006D1841" w:rsidRDefault="00F77F93" w:rsidP="001A7E2B">
      <w:pPr>
        <w:pStyle w:val="Call"/>
      </w:pPr>
      <w:r w:rsidRPr="006D1841">
        <w:t>not</w:t>
      </w:r>
      <w:r w:rsidR="00BE117D" w:rsidRPr="006D1841">
        <w:t>ant</w:t>
      </w:r>
    </w:p>
    <w:p w:rsidR="00F77F93" w:rsidRPr="006D1841" w:rsidRDefault="00F77F93" w:rsidP="001A7E2B">
      <w:r w:rsidRPr="006D1841">
        <w:rPr>
          <w:i/>
        </w:rPr>
        <w:t>a)</w:t>
      </w:r>
      <w:r w:rsidRPr="006D1841">
        <w:tab/>
      </w:r>
      <w:r w:rsidR="00BE117D" w:rsidRPr="006D1841">
        <w:t>que les limites de puissance surfacique</w:t>
      </w:r>
      <w:r w:rsidR="007C6B0E" w:rsidRPr="006D1841">
        <w:t xml:space="preserve"> </w:t>
      </w:r>
      <w:r w:rsidR="00DB3F9C" w:rsidRPr="006D1841">
        <w:t>prescrites à</w:t>
      </w:r>
      <w:r w:rsidR="00BE117D" w:rsidRPr="006D1841">
        <w:t xml:space="preserve"> l</w:t>
      </w:r>
      <w:r w:rsidR="005C4BCC" w:rsidRPr="006D1841">
        <w:t>'</w:t>
      </w:r>
      <w:r w:rsidR="00BE117D" w:rsidRPr="006D1841">
        <w:t xml:space="preserve">Article </w:t>
      </w:r>
      <w:r w:rsidR="00BE117D" w:rsidRPr="006D1841">
        <w:rPr>
          <w:b/>
          <w:bCs/>
        </w:rPr>
        <w:t>21</w:t>
      </w:r>
      <w:r w:rsidR="007C6B0E" w:rsidRPr="006D1841">
        <w:t xml:space="preserve"> </w:t>
      </w:r>
      <w:r w:rsidR="00DB3F9C" w:rsidRPr="006D1841">
        <w:t>ainsi que</w:t>
      </w:r>
      <w:r w:rsidR="00BE117D" w:rsidRPr="006D1841">
        <w:t xml:space="preserve"> les </w:t>
      </w:r>
      <w:r w:rsidR="00BE117D" w:rsidRPr="006D1841">
        <w:rPr>
          <w:color w:val="000000"/>
        </w:rPr>
        <w:t xml:space="preserve">limites de puissance surfacique équivalente </w:t>
      </w:r>
      <w:r w:rsidR="00DB3F9C" w:rsidRPr="006D1841">
        <w:t>(</w:t>
      </w:r>
      <w:proofErr w:type="spellStart"/>
      <w:r w:rsidR="00DB3F9C" w:rsidRPr="006D1841">
        <w:t>epfd</w:t>
      </w:r>
      <w:proofErr w:type="spellEnd"/>
      <w:r w:rsidR="00DB3F9C" w:rsidRPr="006D1841">
        <w:t xml:space="preserve">↓) prescrites à </w:t>
      </w:r>
      <w:r w:rsidR="00BE117D" w:rsidRPr="006D1841">
        <w:rPr>
          <w:color w:val="000000"/>
        </w:rPr>
        <w:t>l</w:t>
      </w:r>
      <w:r w:rsidR="005C4BCC" w:rsidRPr="006D1841">
        <w:rPr>
          <w:color w:val="000000"/>
        </w:rPr>
        <w:t>'</w:t>
      </w:r>
      <w:r w:rsidR="00BE117D" w:rsidRPr="006D1841">
        <w:rPr>
          <w:color w:val="000000"/>
        </w:rPr>
        <w:t xml:space="preserve">Article </w:t>
      </w:r>
      <w:r w:rsidR="00BE117D" w:rsidRPr="006D1841">
        <w:rPr>
          <w:b/>
          <w:bCs/>
          <w:color w:val="000000"/>
        </w:rPr>
        <w:t>22</w:t>
      </w:r>
      <w:r w:rsidR="00BE117D" w:rsidRPr="006D1841">
        <w:t xml:space="preserve"> dans la bande de fréquences</w:t>
      </w:r>
      <w:r w:rsidRPr="006D1841">
        <w:t xml:space="preserve"> 3 700-4 200 MHz (</w:t>
      </w:r>
      <w:r w:rsidR="005C4BCC" w:rsidRPr="006D1841">
        <w:t>espace vers Terre</w:t>
      </w:r>
      <w:r w:rsidRPr="006D1841">
        <w:t>)</w:t>
      </w:r>
      <w:r w:rsidR="005C4BCC" w:rsidRPr="006D1841">
        <w:t xml:space="preserve">, </w:t>
      </w:r>
      <w:r w:rsidR="00BE117D" w:rsidRPr="006D1841">
        <w:t xml:space="preserve">et les </w:t>
      </w:r>
      <w:r w:rsidR="00BE117D" w:rsidRPr="006D1841">
        <w:rPr>
          <w:color w:val="000000"/>
        </w:rPr>
        <w:t>limites</w:t>
      </w:r>
      <w:r w:rsidR="005C4BCC" w:rsidRPr="006D1841">
        <w:rPr>
          <w:color w:val="000000"/>
        </w:rPr>
        <w:t xml:space="preserve"> d'</w:t>
      </w:r>
      <w:proofErr w:type="spellStart"/>
      <w:r w:rsidR="005C4BCC" w:rsidRPr="006D1841">
        <w:rPr>
          <w:color w:val="000000"/>
        </w:rPr>
        <w:t>epfd</w:t>
      </w:r>
      <w:proofErr w:type="spellEnd"/>
      <w:r w:rsidR="005C4BCC" w:rsidRPr="006D1841">
        <w:rPr>
          <w:color w:val="000000"/>
        </w:rPr>
        <w:t xml:space="preserve"> indiquées à</w:t>
      </w:r>
      <w:r w:rsidR="00BE117D" w:rsidRPr="006D1841">
        <w:rPr>
          <w:color w:val="000000"/>
        </w:rPr>
        <w:t xml:space="preserve"> l</w:t>
      </w:r>
      <w:r w:rsidR="005C4BCC" w:rsidRPr="006D1841">
        <w:rPr>
          <w:color w:val="000000"/>
        </w:rPr>
        <w:t>'</w:t>
      </w:r>
      <w:r w:rsidR="00BE117D" w:rsidRPr="006D1841">
        <w:rPr>
          <w:color w:val="000000"/>
        </w:rPr>
        <w:t xml:space="preserve">Article </w:t>
      </w:r>
      <w:r w:rsidR="00BE117D" w:rsidRPr="006D1841">
        <w:rPr>
          <w:b/>
          <w:bCs/>
          <w:color w:val="000000"/>
        </w:rPr>
        <w:t>22</w:t>
      </w:r>
      <w:r w:rsidR="00BE117D" w:rsidRPr="006D1841">
        <w:t xml:space="preserve"> (</w:t>
      </w:r>
      <w:proofErr w:type="spellStart"/>
      <w:r w:rsidRPr="006D1841">
        <w:t>epfd</w:t>
      </w:r>
      <w:proofErr w:type="spellEnd"/>
      <w:r w:rsidRPr="006D1841">
        <w:t>↑</w:t>
      </w:r>
      <w:r w:rsidR="00BE117D" w:rsidRPr="006D1841">
        <w:t>)</w:t>
      </w:r>
      <w:r w:rsidR="007C6B0E" w:rsidRPr="006D1841">
        <w:t xml:space="preserve"> </w:t>
      </w:r>
      <w:r w:rsidR="00BE117D" w:rsidRPr="006D1841">
        <w:t xml:space="preserve">dans la bande de fréquences </w:t>
      </w:r>
      <w:r w:rsidRPr="006D1841">
        <w:t>5 925-6 725 MHz (</w:t>
      </w:r>
      <w:r w:rsidR="00CE2EBA" w:rsidRPr="006D1841">
        <w:t xml:space="preserve">Terre vers espace </w:t>
      </w:r>
      <w:r w:rsidRPr="006D1841">
        <w:t xml:space="preserve">) </w:t>
      </w:r>
      <w:r w:rsidR="00BE117D" w:rsidRPr="006D1841">
        <w:t>sont fondées sur une configuration particulière</w:t>
      </w:r>
      <w:r w:rsidR="007C6B0E" w:rsidRPr="006D1841">
        <w:t xml:space="preserve"> </w:t>
      </w:r>
      <w:r w:rsidR="00BE117D" w:rsidRPr="006D1841">
        <w:t>d</w:t>
      </w:r>
      <w:r w:rsidR="005C4BCC" w:rsidRPr="006D1841">
        <w:t>'</w:t>
      </w:r>
      <w:r w:rsidR="00BE117D" w:rsidRPr="006D1841">
        <w:rPr>
          <w:color w:val="000000"/>
        </w:rPr>
        <w:t>orbite</w:t>
      </w:r>
      <w:r w:rsidR="007C6B0E" w:rsidRPr="006D1841">
        <w:rPr>
          <w:color w:val="000000"/>
        </w:rPr>
        <w:t xml:space="preserve"> </w:t>
      </w:r>
      <w:r w:rsidR="00BE117D" w:rsidRPr="006D1841">
        <w:rPr>
          <w:color w:val="000000"/>
        </w:rPr>
        <w:t>fortement elliptique</w:t>
      </w:r>
      <w:r w:rsidR="007C6B0E" w:rsidRPr="006D1841">
        <w:rPr>
          <w:color w:val="000000"/>
        </w:rPr>
        <w:t>,</w:t>
      </w:r>
      <w:r w:rsidR="00BE117D" w:rsidRPr="006D1841">
        <w:t xml:space="preserve"> alors que les nouveaux systèmes non OSG souhait</w:t>
      </w:r>
      <w:r w:rsidR="005C4BCC" w:rsidRPr="006D1841">
        <w:t>a</w:t>
      </w:r>
      <w:r w:rsidR="00BE117D" w:rsidRPr="006D1841">
        <w:t>nt fonctionner dans ces bandes peuvent utiliser d</w:t>
      </w:r>
      <w:r w:rsidR="005C4BCC" w:rsidRPr="006D1841">
        <w:t>'</w:t>
      </w:r>
      <w:r w:rsidR="00BE117D" w:rsidRPr="006D1841">
        <w:t xml:space="preserve">autres orbites; </w:t>
      </w:r>
    </w:p>
    <w:p w:rsidR="00F77F93" w:rsidRPr="006D1841" w:rsidRDefault="00F77F93" w:rsidP="001A7E2B">
      <w:r w:rsidRPr="006D1841">
        <w:rPr>
          <w:i/>
        </w:rPr>
        <w:t>b)</w:t>
      </w:r>
      <w:r w:rsidRPr="006D1841">
        <w:tab/>
      </w:r>
      <w:r w:rsidR="00BE117D" w:rsidRPr="006D1841">
        <w:t>que l</w:t>
      </w:r>
      <w:r w:rsidR="005C4BCC" w:rsidRPr="006D1841">
        <w:t>'</w:t>
      </w:r>
      <w:r w:rsidR="00BE117D" w:rsidRPr="006D1841">
        <w:t xml:space="preserve">Article </w:t>
      </w:r>
      <w:r w:rsidR="00BE117D" w:rsidRPr="006D1841">
        <w:rPr>
          <w:b/>
          <w:bCs/>
        </w:rPr>
        <w:t>22</w:t>
      </w:r>
      <w:r w:rsidR="00BE117D" w:rsidRPr="006D1841">
        <w:t xml:space="preserve"> ne prescrit aucune limite d</w:t>
      </w:r>
      <w:r w:rsidR="005C4BCC" w:rsidRPr="006D1841">
        <w:t>'</w:t>
      </w:r>
      <w:r w:rsidRPr="006D1841">
        <w:t xml:space="preserve"> </w:t>
      </w:r>
      <w:proofErr w:type="spellStart"/>
      <w:r w:rsidRPr="006D1841">
        <w:t>epfd</w:t>
      </w:r>
      <w:proofErr w:type="spellEnd"/>
      <w:r w:rsidRPr="006D1841">
        <w:t xml:space="preserve">↓ </w:t>
      </w:r>
      <w:r w:rsidR="00BE117D" w:rsidRPr="006D1841">
        <w:t>et d</w:t>
      </w:r>
      <w:r w:rsidR="005C4BCC" w:rsidRPr="006D1841">
        <w:t>'</w:t>
      </w:r>
      <w:proofErr w:type="spellStart"/>
      <w:r w:rsidRPr="006D1841">
        <w:t>epfd</w:t>
      </w:r>
      <w:proofErr w:type="spellEnd"/>
      <w:r w:rsidRPr="006D1841">
        <w:t xml:space="preserve">↑ </w:t>
      </w:r>
      <w:r w:rsidR="00BE117D" w:rsidRPr="006D1841">
        <w:t>pour les systèmes non OSG</w:t>
      </w:r>
      <w:r w:rsidR="007C6B0E" w:rsidRPr="006D1841">
        <w:t xml:space="preserve"> </w:t>
      </w:r>
      <w:r w:rsidR="00BE117D" w:rsidRPr="006D1841">
        <w:t>dans les bandes de fréquences</w:t>
      </w:r>
      <w:r w:rsidR="007C6B0E" w:rsidRPr="006D1841">
        <w:t xml:space="preserve"> </w:t>
      </w:r>
      <w:r w:rsidRPr="006D1841">
        <w:t>4 500-4 800 MHz (</w:t>
      </w:r>
      <w:r w:rsidR="00CE2EBA" w:rsidRPr="006D1841">
        <w:t>espace vers Terre</w:t>
      </w:r>
      <w:r w:rsidRPr="006D1841">
        <w:t xml:space="preserve">) </w:t>
      </w:r>
      <w:r w:rsidR="00BE117D" w:rsidRPr="006D1841">
        <w:t xml:space="preserve">et </w:t>
      </w:r>
      <w:r w:rsidRPr="006D1841">
        <w:t xml:space="preserve">6 725-7 025 </w:t>
      </w:r>
      <w:r w:rsidR="001A7E2B" w:rsidRPr="006D1841">
        <w:t xml:space="preserve">MHz </w:t>
      </w:r>
      <w:r w:rsidRPr="006D1841">
        <w:t>(</w:t>
      </w:r>
      <w:r w:rsidR="001A7E2B" w:rsidRPr="006D1841">
        <w:t>Terre vers espace)</w:t>
      </w:r>
      <w:r w:rsidRPr="006D1841">
        <w:t xml:space="preserve"> </w:t>
      </w:r>
      <w:r w:rsidR="00BE117D" w:rsidRPr="006D1841">
        <w:t>attribuées au service fixe par satellite (SFS), dont l</w:t>
      </w:r>
      <w:r w:rsidR="005C4BCC" w:rsidRPr="006D1841">
        <w:t>'</w:t>
      </w:r>
      <w:r w:rsidR="00BE117D" w:rsidRPr="006D1841">
        <w:t>utilisation est soumise</w:t>
      </w:r>
      <w:r w:rsidR="007C6B0E" w:rsidRPr="006D1841">
        <w:t xml:space="preserve"> </w:t>
      </w:r>
      <w:r w:rsidR="00BE117D" w:rsidRPr="006D1841">
        <w:t>aux dispositions de l</w:t>
      </w:r>
      <w:r w:rsidR="005C4BCC" w:rsidRPr="006D1841">
        <w:t>'</w:t>
      </w:r>
      <w:r w:rsidR="00BE117D" w:rsidRPr="006D1841">
        <w:t xml:space="preserve">Appendice </w:t>
      </w:r>
      <w:r w:rsidR="00BE117D" w:rsidRPr="006D1841">
        <w:rPr>
          <w:b/>
          <w:bCs/>
        </w:rPr>
        <w:t>30B</w:t>
      </w:r>
      <w:r w:rsidRPr="006D1841">
        <w:t>;</w:t>
      </w:r>
    </w:p>
    <w:p w:rsidR="0095197D" w:rsidRPr="006D1841" w:rsidRDefault="00F77F93" w:rsidP="001A7E2B">
      <w:r w:rsidRPr="006D1841">
        <w:rPr>
          <w:i/>
        </w:rPr>
        <w:t>c)</w:t>
      </w:r>
      <w:r w:rsidRPr="006D1841">
        <w:tab/>
      </w:r>
      <w:r w:rsidR="00E75A79" w:rsidRPr="006D1841">
        <w:t>que, dans l</w:t>
      </w:r>
      <w:r w:rsidR="005C4BCC" w:rsidRPr="006D1841">
        <w:t>e rapport du Directeur à la CMR</w:t>
      </w:r>
      <w:r w:rsidR="005C4BCC" w:rsidRPr="006D1841">
        <w:noBreakHyphen/>
      </w:r>
      <w:r w:rsidR="00E75A79" w:rsidRPr="006D1841">
        <w:t>15, il est reconnu qu</w:t>
      </w:r>
      <w:r w:rsidR="005C4BCC" w:rsidRPr="006D1841">
        <w:t>'</w:t>
      </w:r>
      <w:r w:rsidR="00E75A79" w:rsidRPr="006D1841">
        <w:t>il faudra peut-être «</w:t>
      </w:r>
      <w:r w:rsidR="0095197D" w:rsidRPr="006D1841">
        <w:t xml:space="preserve">revoir </w:t>
      </w:r>
      <w:r w:rsidR="00E75A79" w:rsidRPr="006D1841">
        <w:t>ou</w:t>
      </w:r>
      <w:r w:rsidR="007C6B0E" w:rsidRPr="006D1841">
        <w:t xml:space="preserve"> </w:t>
      </w:r>
      <w:r w:rsidR="00E75A79" w:rsidRPr="006D1841">
        <w:t xml:space="preserve">confirmer </w:t>
      </w:r>
      <w:r w:rsidR="0095197D" w:rsidRPr="006D1841">
        <w:t>les hypothèses</w:t>
      </w:r>
      <w:r w:rsidR="00E75A79" w:rsidRPr="006D1841">
        <w:t>»</w:t>
      </w:r>
      <w:r w:rsidR="007C6B0E" w:rsidRPr="006D1841">
        <w:t xml:space="preserve"> </w:t>
      </w:r>
      <w:r w:rsidR="0095197D" w:rsidRPr="006D1841">
        <w:t>qui ont conduit aux valeurs actuelles des limites de puissance</w:t>
      </w:r>
      <w:r w:rsidR="00E75A79" w:rsidRPr="006D1841">
        <w:t xml:space="preserve"> indiquées </w:t>
      </w:r>
      <w:r w:rsidR="0095197D" w:rsidRPr="006D1841">
        <w:t xml:space="preserve">dans les Articles </w:t>
      </w:r>
      <w:r w:rsidR="0095197D" w:rsidRPr="006D1841">
        <w:rPr>
          <w:b/>
          <w:bCs/>
        </w:rPr>
        <w:t>21</w:t>
      </w:r>
      <w:r w:rsidR="0095197D" w:rsidRPr="006D1841">
        <w:t xml:space="preserve"> et </w:t>
      </w:r>
      <w:r w:rsidR="0095197D" w:rsidRPr="006D1841">
        <w:rPr>
          <w:b/>
          <w:bCs/>
        </w:rPr>
        <w:t>22</w:t>
      </w:r>
      <w:r w:rsidR="007C6B0E" w:rsidRPr="006D1841">
        <w:t>,</w:t>
      </w:r>
      <w:r w:rsidR="00D02B2D" w:rsidRPr="006D1841">
        <w:t xml:space="preserve"> </w:t>
      </w:r>
      <w:r w:rsidR="0095197D" w:rsidRPr="006D1841">
        <w:t>compte tenu des caractéristiques des</w:t>
      </w:r>
      <w:r w:rsidR="00E75A79" w:rsidRPr="006D1841">
        <w:t xml:space="preserve"> systèmes </w:t>
      </w:r>
      <w:r w:rsidR="0095197D" w:rsidRPr="006D1841">
        <w:t xml:space="preserve">soumis dernièrement et du fait que, </w:t>
      </w:r>
      <w:r w:rsidR="00E75A79" w:rsidRPr="006D1841">
        <w:t>«</w:t>
      </w:r>
      <w:r w:rsidR="0095197D" w:rsidRPr="006D1841">
        <w:t>d</w:t>
      </w:r>
      <w:r w:rsidR="005C4BCC" w:rsidRPr="006D1841">
        <w:t>'</w:t>
      </w:r>
      <w:r w:rsidR="0095197D" w:rsidRPr="006D1841">
        <w:t>une manière générale, l</w:t>
      </w:r>
      <w:r w:rsidR="005C4BCC" w:rsidRPr="006D1841">
        <w:t>'</w:t>
      </w:r>
      <w:r w:rsidR="0095197D" w:rsidRPr="006D1841">
        <w:t>exploitation de</w:t>
      </w:r>
      <w:r w:rsidR="00E75A79" w:rsidRPr="006D1841">
        <w:t>s</w:t>
      </w:r>
      <w:r w:rsidR="0095197D" w:rsidRPr="006D1841">
        <w:t xml:space="preserve"> systèmes du SFS non OSG suscite un intérêt croissant, l</w:t>
      </w:r>
      <w:r w:rsidR="005C4BCC" w:rsidRPr="006D1841">
        <w:t>'</w:t>
      </w:r>
      <w:r w:rsidR="0095197D" w:rsidRPr="006D1841">
        <w:t>objectif étant de faire en sorte que tous les services existants bénéficient d</w:t>
      </w:r>
      <w:r w:rsidR="005C4BCC" w:rsidRPr="006D1841">
        <w:t>'</w:t>
      </w:r>
      <w:r w:rsidR="0095197D" w:rsidRPr="006D1841">
        <w:t>une protection suffisante</w:t>
      </w:r>
      <w:r w:rsidR="005C4BCC" w:rsidRPr="006D1841">
        <w:t>»;</w:t>
      </w:r>
    </w:p>
    <w:p w:rsidR="00F77F93" w:rsidRPr="006D1841" w:rsidRDefault="00F77F93" w:rsidP="00D02B2D">
      <w:pPr>
        <w:rPr>
          <w:rFonts w:asciiTheme="majorBidi" w:hAnsiTheme="majorBidi" w:cstheme="majorBidi"/>
          <w:szCs w:val="24"/>
        </w:rPr>
      </w:pPr>
      <w:r w:rsidRPr="006D1841">
        <w:rPr>
          <w:i/>
        </w:rPr>
        <w:t>d)</w:t>
      </w:r>
      <w:r w:rsidRPr="006D1841">
        <w:tab/>
      </w:r>
      <w:r w:rsidR="00E75A79" w:rsidRPr="006D1841">
        <w:t xml:space="preserve">que des études bien définies, tenant compte des caractéristiques techniques et opérationnelles actuelles, permettront de </w:t>
      </w:r>
      <w:r w:rsidR="005C4BCC" w:rsidRPr="006D1841">
        <w:t>déterminer</w:t>
      </w:r>
      <w:r w:rsidR="00E75A79" w:rsidRPr="006D1841">
        <w:t>, pour les systèmes non OSG,</w:t>
      </w:r>
      <w:r w:rsidR="007C6B0E" w:rsidRPr="006D1841">
        <w:t xml:space="preserve"> </w:t>
      </w:r>
      <w:r w:rsidR="00E75A79" w:rsidRPr="006D1841">
        <w:t>des limites</w:t>
      </w:r>
      <w:r w:rsidR="007C6B0E" w:rsidRPr="006D1841">
        <w:t xml:space="preserve"> </w:t>
      </w:r>
      <w:r w:rsidR="00E75A79" w:rsidRPr="006D1841">
        <w:t>de puissance surfacique de l</w:t>
      </w:r>
      <w:r w:rsidR="005C4BCC" w:rsidRPr="006D1841">
        <w:t>'</w:t>
      </w:r>
      <w:r w:rsidR="00E75A79" w:rsidRPr="006D1841">
        <w:t xml:space="preserve">Article </w:t>
      </w:r>
      <w:r w:rsidR="00E75A79" w:rsidRPr="006D1841">
        <w:rPr>
          <w:b/>
          <w:bCs/>
        </w:rPr>
        <w:t>21</w:t>
      </w:r>
      <w:r w:rsidR="00E75A79" w:rsidRPr="006D1841">
        <w:t xml:space="preserve"> et des limites de puissance surfacique équivalente de l</w:t>
      </w:r>
      <w:r w:rsidR="005C4BCC" w:rsidRPr="006D1841">
        <w:t>'Article </w:t>
      </w:r>
      <w:r w:rsidR="00E75A79" w:rsidRPr="006D1841">
        <w:rPr>
          <w:b/>
          <w:bCs/>
        </w:rPr>
        <w:t>22</w:t>
      </w:r>
      <w:r w:rsidR="00E75A79" w:rsidRPr="006D1841">
        <w:t xml:space="preserve"> appropriées</w:t>
      </w:r>
      <w:r w:rsidR="007C6B0E" w:rsidRPr="006D1841">
        <w:t xml:space="preserve"> </w:t>
      </w:r>
      <w:r w:rsidR="00E75A79" w:rsidRPr="006D1841">
        <w:t>pour les bandes 3 700-4 200 MHz, 4 500-4 800 MHz et</w:t>
      </w:r>
      <w:r w:rsidR="007C6B0E" w:rsidRPr="006D1841">
        <w:t xml:space="preserve"> </w:t>
      </w:r>
      <w:r w:rsidR="00E75A79" w:rsidRPr="006D1841">
        <w:t>5</w:t>
      </w:r>
      <w:r w:rsidR="00D02B2D" w:rsidRPr="006D1841">
        <w:t> </w:t>
      </w:r>
      <w:r w:rsidR="00E75A79" w:rsidRPr="006D1841">
        <w:t>925-7</w:t>
      </w:r>
      <w:r w:rsidR="00D02B2D" w:rsidRPr="006D1841">
        <w:t> 025 </w:t>
      </w:r>
      <w:r w:rsidR="00E75A79" w:rsidRPr="006D1841">
        <w:t>MHz</w:t>
      </w:r>
      <w:r w:rsidR="007C6B0E" w:rsidRPr="006D1841">
        <w:t>,</w:t>
      </w:r>
    </w:p>
    <w:p w:rsidR="00F77F93" w:rsidRPr="006D1841" w:rsidRDefault="003E62AA" w:rsidP="001A7E2B">
      <w:pPr>
        <w:pStyle w:val="Call"/>
      </w:pPr>
      <w:r w:rsidRPr="006D1841">
        <w:lastRenderedPageBreak/>
        <w:t xml:space="preserve">reconnaissant </w:t>
      </w:r>
    </w:p>
    <w:p w:rsidR="00F77F93" w:rsidRPr="006D1841" w:rsidRDefault="00F77F93" w:rsidP="001A7E2B">
      <w:pPr>
        <w:rPr>
          <w:rFonts w:asciiTheme="majorBidi" w:hAnsiTheme="majorBidi" w:cstheme="majorBidi"/>
        </w:rPr>
      </w:pPr>
      <w:r w:rsidRPr="006D1841">
        <w:rPr>
          <w:i/>
          <w:iCs/>
        </w:rPr>
        <w:t>a)</w:t>
      </w:r>
      <w:r w:rsidRPr="006D1841">
        <w:tab/>
      </w:r>
      <w:r w:rsidR="00BA2DD6" w:rsidRPr="006D1841">
        <w:t>que, pour permettre aux réseaux OSG et aux systèmes non OSG d</w:t>
      </w:r>
      <w:r w:rsidR="005C4BCC" w:rsidRPr="006D1841">
        <w:t>'</w:t>
      </w:r>
      <w:r w:rsidR="00BA2DD6" w:rsidRPr="006D1841">
        <w:t>utiliser au mieux les orbites de satellites et les bandes de fréquences attribuées au SFS, il convient de tenir compte des autres services auxquels ces bandes sont, de plus, attribuée à titre pr</w:t>
      </w:r>
      <w:r w:rsidR="007F1B30" w:rsidRPr="006D1841">
        <w:t>imaire</w:t>
      </w:r>
      <w:r w:rsidRPr="006D1841">
        <w:t>;</w:t>
      </w:r>
    </w:p>
    <w:p w:rsidR="00F77F93" w:rsidRPr="006D1841" w:rsidRDefault="00F77F93" w:rsidP="001A7E2B">
      <w:r w:rsidRPr="006D1841">
        <w:rPr>
          <w:i/>
          <w:iCs/>
        </w:rPr>
        <w:t>b)</w:t>
      </w:r>
      <w:r w:rsidRPr="006D1841">
        <w:tab/>
      </w:r>
      <w:r w:rsidR="00BA2DD6" w:rsidRPr="006D1841">
        <w:t>que les bandes 3 700-4 200 MHz, 4 500-4 800 MHz et</w:t>
      </w:r>
      <w:r w:rsidR="007C6B0E" w:rsidRPr="006D1841">
        <w:t xml:space="preserve"> </w:t>
      </w:r>
      <w:r w:rsidR="00BA2DD6" w:rsidRPr="006D1841">
        <w:t>5 925-7 025 MHz sont, de plus, attribuées dans une plusieurs Régions</w:t>
      </w:r>
      <w:r w:rsidR="007C6B0E" w:rsidRPr="006D1841">
        <w:t xml:space="preserve"> </w:t>
      </w:r>
      <w:r w:rsidR="00BA2DD6" w:rsidRPr="006D1841">
        <w:t>au service fixe et</w:t>
      </w:r>
      <w:r w:rsidR="007C6B0E" w:rsidRPr="006D1841">
        <w:t xml:space="preserve"> </w:t>
      </w:r>
      <w:r w:rsidR="00BA2DD6" w:rsidRPr="006D1841">
        <w:t>au service mobile à titre primaire</w:t>
      </w:r>
      <w:r w:rsidRPr="006D1841">
        <w:t xml:space="preserve">; </w:t>
      </w:r>
    </w:p>
    <w:p w:rsidR="00F77F93" w:rsidRPr="006D1841" w:rsidRDefault="00F77F93" w:rsidP="00D02B2D">
      <w:r w:rsidRPr="006D1841">
        <w:rPr>
          <w:i/>
          <w:iCs/>
        </w:rPr>
        <w:t>c)</w:t>
      </w:r>
      <w:r w:rsidRPr="006D1841">
        <w:tab/>
      </w:r>
      <w:r w:rsidR="00BA2DD6" w:rsidRPr="006D1841">
        <w:t>que,</w:t>
      </w:r>
      <w:r w:rsidR="007C6B0E" w:rsidRPr="006D1841">
        <w:t xml:space="preserve"> </w:t>
      </w:r>
      <w:r w:rsidR="00BA2DD6" w:rsidRPr="006D1841">
        <w:t xml:space="preserve">dans les bandes de fréquences </w:t>
      </w:r>
      <w:r w:rsidRPr="006D1841">
        <w:rPr>
          <w:color w:val="0D0D0D" w:themeColor="text1" w:themeTint="F2"/>
        </w:rPr>
        <w:t xml:space="preserve">3 700-4 200 MHz, 4 500-4 800 MHz </w:t>
      </w:r>
      <w:r w:rsidR="00BA2DD6" w:rsidRPr="006D1841">
        <w:rPr>
          <w:color w:val="0D0D0D" w:themeColor="text1" w:themeTint="F2"/>
        </w:rPr>
        <w:t>et</w:t>
      </w:r>
      <w:r w:rsidR="007C6B0E" w:rsidRPr="006D1841">
        <w:rPr>
          <w:color w:val="0D0D0D" w:themeColor="text1" w:themeTint="F2"/>
        </w:rPr>
        <w:t xml:space="preserve"> </w:t>
      </w:r>
      <w:r w:rsidRPr="006D1841">
        <w:rPr>
          <w:color w:val="0D0D0D" w:themeColor="text1" w:themeTint="F2"/>
        </w:rPr>
        <w:t>5 925-7</w:t>
      </w:r>
      <w:r w:rsidR="00D02B2D" w:rsidRPr="006D1841">
        <w:rPr>
          <w:color w:val="0D0D0D" w:themeColor="text1" w:themeTint="F2"/>
        </w:rPr>
        <w:t> </w:t>
      </w:r>
      <w:r w:rsidRPr="006D1841">
        <w:rPr>
          <w:color w:val="0D0D0D" w:themeColor="text1" w:themeTint="F2"/>
        </w:rPr>
        <w:t>025</w:t>
      </w:r>
      <w:r w:rsidR="00D02B2D" w:rsidRPr="006D1841">
        <w:rPr>
          <w:color w:val="0D0D0D" w:themeColor="text1" w:themeTint="F2"/>
        </w:rPr>
        <w:t> </w:t>
      </w:r>
      <w:r w:rsidRPr="006D1841">
        <w:rPr>
          <w:color w:val="0D0D0D" w:themeColor="text1" w:themeTint="F2"/>
        </w:rPr>
        <w:t>MH</w:t>
      </w:r>
      <w:r w:rsidRPr="006D1841">
        <w:rPr>
          <w:rFonts w:asciiTheme="majorBidi" w:hAnsiTheme="majorBidi" w:cstheme="majorBidi"/>
        </w:rPr>
        <w:t>z</w:t>
      </w:r>
      <w:r w:rsidR="007C6B0E" w:rsidRPr="006D1841">
        <w:rPr>
          <w:rFonts w:asciiTheme="majorBidi" w:hAnsiTheme="majorBidi" w:cstheme="majorBidi"/>
        </w:rPr>
        <w:t>,</w:t>
      </w:r>
      <w:r w:rsidR="00BA2DD6" w:rsidRPr="006D1841">
        <w:rPr>
          <w:rFonts w:asciiTheme="majorBidi" w:hAnsiTheme="majorBidi" w:cstheme="majorBidi"/>
        </w:rPr>
        <w:t xml:space="preserve"> les systèmes non OSG du SFS ne doivent pas, aux termes</w:t>
      </w:r>
      <w:r w:rsidR="007C6B0E" w:rsidRPr="006D1841">
        <w:rPr>
          <w:rFonts w:asciiTheme="majorBidi" w:hAnsiTheme="majorBidi" w:cstheme="majorBidi"/>
        </w:rPr>
        <w:t xml:space="preserve"> </w:t>
      </w:r>
      <w:r w:rsidR="00BA2DD6" w:rsidRPr="006D1841">
        <w:rPr>
          <w:rFonts w:asciiTheme="majorBidi" w:hAnsiTheme="majorBidi" w:cstheme="majorBidi"/>
        </w:rPr>
        <w:t xml:space="preserve">du numéro </w:t>
      </w:r>
      <w:r w:rsidR="00BA2DD6" w:rsidRPr="006D1841">
        <w:rPr>
          <w:rFonts w:asciiTheme="majorBidi" w:hAnsiTheme="majorBidi" w:cstheme="majorBidi"/>
          <w:b/>
          <w:bCs/>
        </w:rPr>
        <w:t>22.2</w:t>
      </w:r>
      <w:r w:rsidR="00BA2DD6" w:rsidRPr="006D1841">
        <w:rPr>
          <w:rFonts w:asciiTheme="majorBidi" w:hAnsiTheme="majorBidi" w:cstheme="majorBidi"/>
        </w:rPr>
        <w:t>,</w:t>
      </w:r>
      <w:r w:rsidR="007C6B0E" w:rsidRPr="006D1841">
        <w:rPr>
          <w:rFonts w:asciiTheme="majorBidi" w:hAnsiTheme="majorBidi" w:cstheme="majorBidi"/>
        </w:rPr>
        <w:t xml:space="preserve"> </w:t>
      </w:r>
      <w:r w:rsidR="00BA2DD6" w:rsidRPr="006D1841">
        <w:rPr>
          <w:rFonts w:asciiTheme="majorBidi" w:hAnsiTheme="majorBidi" w:cstheme="majorBidi"/>
        </w:rPr>
        <w:t>causer de brouillages inacceptables aux réseaux non OSG du SFS, ni demander à bénéficier d</w:t>
      </w:r>
      <w:r w:rsidR="005C4BCC" w:rsidRPr="006D1841">
        <w:rPr>
          <w:rFonts w:asciiTheme="majorBidi" w:hAnsiTheme="majorBidi" w:cstheme="majorBidi"/>
        </w:rPr>
        <w:t>'</w:t>
      </w:r>
      <w:r w:rsidR="00BA2DD6" w:rsidRPr="006D1841">
        <w:rPr>
          <w:rFonts w:asciiTheme="majorBidi" w:hAnsiTheme="majorBidi" w:cstheme="majorBidi"/>
        </w:rPr>
        <w:t>une protection vis-à-vis de ces réseaux</w:t>
      </w:r>
      <w:r w:rsidRPr="006D1841">
        <w:t>;</w:t>
      </w:r>
    </w:p>
    <w:p w:rsidR="0095197D" w:rsidRPr="006D1841" w:rsidRDefault="00F77F93" w:rsidP="00D02B2D">
      <w:pPr>
        <w:rPr>
          <w:shd w:val="pct15" w:color="auto" w:fill="FFFFFF"/>
        </w:rPr>
      </w:pPr>
      <w:r w:rsidRPr="006D1841">
        <w:rPr>
          <w:i/>
          <w:iCs/>
        </w:rPr>
        <w:t>d)</w:t>
      </w:r>
      <w:r w:rsidRPr="006D1841">
        <w:tab/>
      </w:r>
      <w:r w:rsidR="00BA2DD6" w:rsidRPr="006D1841">
        <w:t>que, conformément au numéro</w:t>
      </w:r>
      <w:r w:rsidR="007C6B0E" w:rsidRPr="006D1841">
        <w:t xml:space="preserve"> </w:t>
      </w:r>
      <w:r w:rsidR="00BA2DD6" w:rsidRPr="006D1841">
        <w:rPr>
          <w:b/>
          <w:bCs/>
        </w:rPr>
        <w:t>5.458B</w:t>
      </w:r>
      <w:r w:rsidR="00BA2DD6" w:rsidRPr="006D1841">
        <w:t>, l</w:t>
      </w:r>
      <w:r w:rsidR="005C4BCC" w:rsidRPr="006D1841">
        <w:t>'</w:t>
      </w:r>
      <w:r w:rsidR="0095197D" w:rsidRPr="006D1841">
        <w:t>attribution</w:t>
      </w:r>
      <w:r w:rsidR="005C4BCC" w:rsidRPr="006D1841">
        <w:t xml:space="preserve"> à titre primaire</w:t>
      </w:r>
      <w:r w:rsidR="0095197D" w:rsidRPr="006D1841">
        <w:t xml:space="preserve"> dans le sens espace vers Terre au </w:t>
      </w:r>
      <w:r w:rsidR="00BA2DD6" w:rsidRPr="006D1841">
        <w:t>SFS</w:t>
      </w:r>
      <w:r w:rsidR="007C6B0E" w:rsidRPr="006D1841">
        <w:t xml:space="preserve"> </w:t>
      </w:r>
      <w:r w:rsidR="0095197D" w:rsidRPr="006D1841">
        <w:t>dans la bande 6</w:t>
      </w:r>
      <w:r w:rsidR="0095197D" w:rsidRPr="006D1841">
        <w:rPr>
          <w:sz w:val="12"/>
          <w:szCs w:val="12"/>
        </w:rPr>
        <w:t> </w:t>
      </w:r>
      <w:r w:rsidR="0095197D" w:rsidRPr="006D1841">
        <w:t>700-7</w:t>
      </w:r>
      <w:r w:rsidR="0095197D" w:rsidRPr="006D1841">
        <w:rPr>
          <w:sz w:val="12"/>
          <w:szCs w:val="12"/>
        </w:rPr>
        <w:t> </w:t>
      </w:r>
      <w:r w:rsidR="0095197D" w:rsidRPr="006D1841">
        <w:t>075 MHz est limitée aux liaisons de connexion destinées aux systèmes</w:t>
      </w:r>
      <w:r w:rsidR="00BA2DD6" w:rsidRPr="006D1841">
        <w:rPr>
          <w:rFonts w:asciiTheme="majorBidi" w:hAnsiTheme="majorBidi" w:cstheme="majorBidi"/>
        </w:rPr>
        <w:t xml:space="preserve"> non OSG</w:t>
      </w:r>
      <w:r w:rsidR="007C6B0E" w:rsidRPr="006D1841">
        <w:rPr>
          <w:rFonts w:asciiTheme="majorBidi" w:hAnsiTheme="majorBidi" w:cstheme="majorBidi"/>
        </w:rPr>
        <w:t xml:space="preserve"> </w:t>
      </w:r>
      <w:r w:rsidR="0095197D" w:rsidRPr="006D1841">
        <w:t>du service mobile par satellite</w:t>
      </w:r>
      <w:r w:rsidR="00BA2DD6" w:rsidRPr="006D1841">
        <w:t xml:space="preserve"> (SMS)</w:t>
      </w:r>
      <w:r w:rsidR="007F1B30" w:rsidRPr="006D1841">
        <w:t>;</w:t>
      </w:r>
    </w:p>
    <w:p w:rsidR="00F77F93" w:rsidRPr="006D1841" w:rsidRDefault="00F77F93" w:rsidP="00D02B2D">
      <w:r w:rsidRPr="006D1841">
        <w:rPr>
          <w:i/>
          <w:iCs/>
        </w:rPr>
        <w:t>e)</w:t>
      </w:r>
      <w:r w:rsidRPr="006D1841">
        <w:tab/>
      </w:r>
      <w:r w:rsidR="004C2D42" w:rsidRPr="006D1841">
        <w:t xml:space="preserve">que les numéros </w:t>
      </w:r>
      <w:r w:rsidR="004C2D42" w:rsidRPr="006D1841">
        <w:rPr>
          <w:b/>
          <w:bCs/>
        </w:rPr>
        <w:t>5.440A</w:t>
      </w:r>
      <w:r w:rsidR="007C6B0E" w:rsidRPr="006D1841">
        <w:t xml:space="preserve"> </w:t>
      </w:r>
      <w:r w:rsidR="004C2D42" w:rsidRPr="006D1841">
        <w:t>et</w:t>
      </w:r>
      <w:r w:rsidR="007C6B0E" w:rsidRPr="006D1841">
        <w:t xml:space="preserve"> </w:t>
      </w:r>
      <w:r w:rsidR="004C2D42" w:rsidRPr="006D1841">
        <w:rPr>
          <w:b/>
          <w:bCs/>
        </w:rPr>
        <w:t>5.457C</w:t>
      </w:r>
      <w:r w:rsidR="004C2D42" w:rsidRPr="006D1841">
        <w:rPr>
          <w:color w:val="000000"/>
        </w:rPr>
        <w:t xml:space="preserve"> ont </w:t>
      </w:r>
      <w:r w:rsidR="004C2D42" w:rsidRPr="006D1841">
        <w:t>été adoptés pour examiner l</w:t>
      </w:r>
      <w:r w:rsidR="005C4BCC" w:rsidRPr="006D1841">
        <w:t>'</w:t>
      </w:r>
      <w:r w:rsidR="004C2D42" w:rsidRPr="006D1841">
        <w:t>exploitation</w:t>
      </w:r>
      <w:r w:rsidR="004C2D42" w:rsidRPr="006D1841">
        <w:rPr>
          <w:b/>
          <w:bCs/>
        </w:rPr>
        <w:t xml:space="preserve"> </w:t>
      </w:r>
      <w:r w:rsidR="004C2D42" w:rsidRPr="006D1841">
        <w:t>de la</w:t>
      </w:r>
      <w:r w:rsidR="007C6B0E" w:rsidRPr="006D1841">
        <w:rPr>
          <w:b/>
          <w:bCs/>
        </w:rPr>
        <w:t xml:space="preserve"> </w:t>
      </w:r>
      <w:r w:rsidR="004C2D42" w:rsidRPr="006D1841">
        <w:rPr>
          <w:color w:val="000000"/>
        </w:rPr>
        <w:t xml:space="preserve">télémesure mobile aéronautique (AMT) </w:t>
      </w:r>
      <w:r w:rsidR="00276E75" w:rsidRPr="006D1841">
        <w:rPr>
          <w:color w:val="000000"/>
        </w:rPr>
        <w:t xml:space="preserve">pour les essais en vol </w:t>
      </w:r>
      <w:r w:rsidR="004C2D42" w:rsidRPr="006D1841">
        <w:rPr>
          <w:color w:val="000000"/>
        </w:rPr>
        <w:t>par des stations d</w:t>
      </w:r>
      <w:r w:rsidR="005C4BCC" w:rsidRPr="006D1841">
        <w:rPr>
          <w:color w:val="000000"/>
        </w:rPr>
        <w:t>'</w:t>
      </w:r>
      <w:r w:rsidR="004C2D42" w:rsidRPr="006D1841">
        <w:rPr>
          <w:color w:val="000000"/>
        </w:rPr>
        <w:t>aéronef</w:t>
      </w:r>
      <w:r w:rsidR="007C6B0E" w:rsidRPr="006D1841">
        <w:t xml:space="preserve"> </w:t>
      </w:r>
      <w:r w:rsidRPr="006D1841">
        <w:t>(</w:t>
      </w:r>
      <w:r w:rsidR="004C2D42" w:rsidRPr="006D1841">
        <w:t>voir le numéro</w:t>
      </w:r>
      <w:r w:rsidRPr="006D1841">
        <w:t xml:space="preserve"> </w:t>
      </w:r>
      <w:r w:rsidRPr="006D1841">
        <w:rPr>
          <w:b/>
          <w:bCs/>
        </w:rPr>
        <w:t>1.83</w:t>
      </w:r>
      <w:r w:rsidRPr="006D1841">
        <w:t xml:space="preserve">) </w:t>
      </w:r>
      <w:r w:rsidR="004C2D42" w:rsidRPr="006D1841">
        <w:t xml:space="preserve">dans les bandes </w:t>
      </w:r>
      <w:r w:rsidRPr="006D1841">
        <w:t xml:space="preserve">4 400-4 940 MHz </w:t>
      </w:r>
      <w:r w:rsidR="005C4BCC" w:rsidRPr="006D1841">
        <w:t>et</w:t>
      </w:r>
      <w:r w:rsidRPr="006D1841">
        <w:t xml:space="preserve"> 5 925-6 700 MHz </w:t>
      </w:r>
      <w:r w:rsidR="004C2D42" w:rsidRPr="006D1841">
        <w:rPr>
          <w:color w:val="000000"/>
        </w:rPr>
        <w:t xml:space="preserve">en ce qui concerne le SFS </w:t>
      </w:r>
      <w:r w:rsidR="00ED7B22" w:rsidRPr="006D1841">
        <w:rPr>
          <w:color w:val="000000"/>
        </w:rPr>
        <w:t>lorsque ce service n</w:t>
      </w:r>
      <w:r w:rsidR="005C4BCC" w:rsidRPr="006D1841">
        <w:rPr>
          <w:color w:val="000000"/>
        </w:rPr>
        <w:t>'</w:t>
      </w:r>
      <w:r w:rsidR="00ED7B22" w:rsidRPr="006D1841">
        <w:rPr>
          <w:color w:val="000000"/>
        </w:rPr>
        <w:t>utilise que des réseaux OSG</w:t>
      </w:r>
      <w:r w:rsidR="007C6B0E" w:rsidRPr="006D1841">
        <w:rPr>
          <w:color w:val="000000"/>
        </w:rPr>
        <w:t>,</w:t>
      </w:r>
    </w:p>
    <w:p w:rsidR="00F77F93" w:rsidRPr="006D1841" w:rsidRDefault="00ED7B22" w:rsidP="001A7E2B">
      <w:pPr>
        <w:pStyle w:val="Call"/>
      </w:pPr>
      <w:r w:rsidRPr="006D1841">
        <w:t>décide d</w:t>
      </w:r>
      <w:r w:rsidR="005C4BCC" w:rsidRPr="006D1841">
        <w:t>'</w:t>
      </w:r>
      <w:r w:rsidRPr="006D1841">
        <w:t>inviter l</w:t>
      </w:r>
      <w:r w:rsidR="005C4BCC" w:rsidRPr="006D1841">
        <w:t>'</w:t>
      </w:r>
      <w:r w:rsidRPr="006D1841">
        <w:t xml:space="preserve">UIT-R </w:t>
      </w:r>
    </w:p>
    <w:p w:rsidR="00F77F93" w:rsidRPr="006D1841" w:rsidRDefault="00ED7B22" w:rsidP="001A7E2B">
      <w:pPr>
        <w:rPr>
          <w:szCs w:val="24"/>
        </w:rPr>
      </w:pPr>
      <w:r w:rsidRPr="006D1841">
        <w:t>à étudier les questions ci-après concernant les systèmes non</w:t>
      </w:r>
      <w:r w:rsidR="005C4BCC" w:rsidRPr="006D1841">
        <w:t xml:space="preserve"> </w:t>
      </w:r>
      <w:r w:rsidRPr="006D1841">
        <w:t>GSO dans les bandes de fréquences suivantes attribuées au SFS</w:t>
      </w:r>
      <w:r w:rsidR="00F77F93" w:rsidRPr="006D1841">
        <w:rPr>
          <w:szCs w:val="24"/>
        </w:rPr>
        <w:t xml:space="preserve">: </w:t>
      </w:r>
    </w:p>
    <w:p w:rsidR="00F77F93" w:rsidRPr="006D1841" w:rsidRDefault="00F77F93" w:rsidP="00BE4CC8">
      <w:r w:rsidRPr="006D1841">
        <w:rPr>
          <w:i/>
          <w:iCs/>
        </w:rPr>
        <w:t>a)</w:t>
      </w:r>
      <w:r w:rsidRPr="006D1841">
        <w:tab/>
      </w:r>
      <w:r w:rsidR="00ED7B22" w:rsidRPr="006D1841">
        <w:t xml:space="preserve">dans la bande de fréquences </w:t>
      </w:r>
      <w:r w:rsidRPr="006D1841">
        <w:t>3 700-4 200 MHz (</w:t>
      </w:r>
      <w:r w:rsidR="00CE2EBA" w:rsidRPr="006D1841">
        <w:t>espace vers Terre</w:t>
      </w:r>
      <w:r w:rsidRPr="006D1841">
        <w:t>)</w:t>
      </w:r>
      <w:r w:rsidR="00ED7B22" w:rsidRPr="006D1841">
        <w:t>, limites de puissance surfacique de l</w:t>
      </w:r>
      <w:r w:rsidR="005C4BCC" w:rsidRPr="006D1841">
        <w:t>'</w:t>
      </w:r>
      <w:r w:rsidR="00ED7B22" w:rsidRPr="006D1841">
        <w:t xml:space="preserve">Article </w:t>
      </w:r>
      <w:r w:rsidR="00ED7B22" w:rsidRPr="006D1841">
        <w:rPr>
          <w:b/>
          <w:bCs/>
        </w:rPr>
        <w:t>21</w:t>
      </w:r>
      <w:r w:rsidR="00ED7B22" w:rsidRPr="006D1841">
        <w:t xml:space="preserve"> pour permettre aux </w:t>
      </w:r>
      <w:r w:rsidR="005C4BCC" w:rsidRPr="006D1841">
        <w:t>systèmes</w:t>
      </w:r>
      <w:r w:rsidR="007C6B0E" w:rsidRPr="006D1841">
        <w:t xml:space="preserve"> </w:t>
      </w:r>
      <w:r w:rsidR="00ED7B22" w:rsidRPr="006D1841">
        <w:t>non OSG présentant</w:t>
      </w:r>
      <w:r w:rsidR="007C6B0E" w:rsidRPr="006D1841">
        <w:t xml:space="preserve"> </w:t>
      </w:r>
      <w:r w:rsidR="00ED7B22" w:rsidRPr="006D1841">
        <w:t>différentes configurations orbitales de fonctionner dans ces bandes de fréquences attribuées au SFS, tout en veillant à ce que les services existants ayant des</w:t>
      </w:r>
      <w:r w:rsidR="007C6B0E" w:rsidRPr="006D1841">
        <w:t xml:space="preserve"> </w:t>
      </w:r>
      <w:r w:rsidR="00ED7B22" w:rsidRPr="006D1841">
        <w:t>attributions à titre primaire bénéficient d</w:t>
      </w:r>
      <w:r w:rsidR="005C4BCC" w:rsidRPr="006D1841">
        <w:t>'</w:t>
      </w:r>
      <w:r w:rsidR="00ED7B22" w:rsidRPr="006D1841">
        <w:t>une protection</w:t>
      </w:r>
      <w:r w:rsidRPr="006D1841">
        <w:t>;</w:t>
      </w:r>
    </w:p>
    <w:p w:rsidR="00F77F93" w:rsidRPr="006D1841" w:rsidRDefault="00F77F93" w:rsidP="00BE4CC8">
      <w:r w:rsidRPr="006D1841">
        <w:rPr>
          <w:i/>
          <w:iCs/>
        </w:rPr>
        <w:t>b)</w:t>
      </w:r>
      <w:r w:rsidRPr="006D1841">
        <w:tab/>
      </w:r>
      <w:r w:rsidR="00ED7B22" w:rsidRPr="006D1841">
        <w:t xml:space="preserve">dans les bandes de fréquences </w:t>
      </w:r>
      <w:r w:rsidRPr="006D1841">
        <w:t xml:space="preserve">3 700-4 200 MHz </w:t>
      </w:r>
      <w:r w:rsidRPr="006D1841">
        <w:rPr>
          <w:color w:val="0D0D0D" w:themeColor="text1" w:themeTint="F2"/>
        </w:rPr>
        <w:t>(</w:t>
      </w:r>
      <w:r w:rsidR="00CE2EBA" w:rsidRPr="006D1841">
        <w:rPr>
          <w:color w:val="0D0D0D" w:themeColor="text1" w:themeTint="F2"/>
        </w:rPr>
        <w:t>espace vers Terre</w:t>
      </w:r>
      <w:r w:rsidRPr="006D1841">
        <w:rPr>
          <w:color w:val="0D0D0D" w:themeColor="text1" w:themeTint="F2"/>
        </w:rPr>
        <w:t>)</w:t>
      </w:r>
      <w:r w:rsidRPr="006D1841">
        <w:t xml:space="preserve"> </w:t>
      </w:r>
      <w:r w:rsidR="00ED7B22" w:rsidRPr="006D1841">
        <w:t xml:space="preserve">et </w:t>
      </w:r>
      <w:r w:rsidRPr="006D1841">
        <w:rPr>
          <w:color w:val="0D0D0D" w:themeColor="text1" w:themeTint="F2"/>
        </w:rPr>
        <w:t>5</w:t>
      </w:r>
      <w:r w:rsidRPr="006D1841">
        <w:t> </w:t>
      </w:r>
      <w:r w:rsidRPr="006D1841">
        <w:rPr>
          <w:color w:val="0D0D0D" w:themeColor="text1" w:themeTint="F2"/>
        </w:rPr>
        <w:t>925-6</w:t>
      </w:r>
      <w:r w:rsidRPr="006D1841">
        <w:t> </w:t>
      </w:r>
      <w:r w:rsidRPr="006D1841">
        <w:rPr>
          <w:color w:val="0D0D0D" w:themeColor="text1" w:themeTint="F2"/>
        </w:rPr>
        <w:t>725</w:t>
      </w:r>
      <w:r w:rsidR="00A32397" w:rsidRPr="006D1841">
        <w:rPr>
          <w:color w:val="0D0D0D" w:themeColor="text1" w:themeTint="F2"/>
        </w:rPr>
        <w:t> </w:t>
      </w:r>
      <w:r w:rsidRPr="006D1841">
        <w:rPr>
          <w:color w:val="0D0D0D" w:themeColor="text1" w:themeTint="F2"/>
        </w:rPr>
        <w:t>MHz</w:t>
      </w:r>
      <w:r w:rsidRPr="006D1841">
        <w:t xml:space="preserve"> (</w:t>
      </w:r>
      <w:r w:rsidR="00CE2EBA" w:rsidRPr="006D1841">
        <w:t xml:space="preserve">Terre vers espace </w:t>
      </w:r>
      <w:r w:rsidRPr="006D1841">
        <w:t>)</w:t>
      </w:r>
      <w:r w:rsidR="007C6B0E" w:rsidRPr="006D1841">
        <w:t>,</w:t>
      </w:r>
      <w:r w:rsidRPr="006D1841">
        <w:t xml:space="preserve"> </w:t>
      </w:r>
      <w:r w:rsidR="00ED7B22" w:rsidRPr="006D1841">
        <w:t>limites d</w:t>
      </w:r>
      <w:r w:rsidR="005C4BCC" w:rsidRPr="006D1841">
        <w:t>'</w:t>
      </w:r>
      <w:proofErr w:type="spellStart"/>
      <w:r w:rsidRPr="006D1841">
        <w:t>epfd</w:t>
      </w:r>
      <w:proofErr w:type="spellEnd"/>
      <w:r w:rsidRPr="006D1841">
        <w:rPr>
          <w:rFonts w:ascii="TimesNewRoman" w:hAnsi="TimesNewRoman" w:cs="TimesNewRoman"/>
          <w:color w:val="000000"/>
          <w:lang w:eastAsia="zh-CN"/>
        </w:rPr>
        <w:t>↓</w:t>
      </w:r>
      <w:r w:rsidR="007C6B0E" w:rsidRPr="006D1841">
        <w:rPr>
          <w:rFonts w:ascii="TimesNewRoman" w:hAnsi="TimesNewRoman" w:cs="TimesNewRoman"/>
          <w:b/>
          <w:color w:val="000000"/>
          <w:lang w:eastAsia="zh-CN"/>
        </w:rPr>
        <w:t xml:space="preserve"> </w:t>
      </w:r>
      <w:r w:rsidR="00ED7B22" w:rsidRPr="006D1841">
        <w:t>et d</w:t>
      </w:r>
      <w:r w:rsidR="005C4BCC" w:rsidRPr="006D1841">
        <w:t>'</w:t>
      </w:r>
      <w:proofErr w:type="spellStart"/>
      <w:r w:rsidRPr="006D1841">
        <w:t>epfd</w:t>
      </w:r>
      <w:proofErr w:type="spellEnd"/>
      <w:r w:rsidRPr="006D1841">
        <w:rPr>
          <w:rFonts w:ascii="TimesNewRoman" w:hAnsi="TimesNewRoman" w:cs="TimesNewRoman"/>
          <w:color w:val="000000"/>
          <w:lang w:eastAsia="zh-CN"/>
        </w:rPr>
        <w:t>↑</w:t>
      </w:r>
      <w:r w:rsidRPr="006D1841">
        <w:t xml:space="preserve"> </w:t>
      </w:r>
      <w:r w:rsidR="00ED7B22" w:rsidRPr="006D1841">
        <w:t>de l</w:t>
      </w:r>
      <w:r w:rsidR="005C4BCC" w:rsidRPr="006D1841">
        <w:t>'</w:t>
      </w:r>
      <w:r w:rsidR="00ED7B22" w:rsidRPr="006D1841">
        <w:t xml:space="preserve"> Article </w:t>
      </w:r>
      <w:r w:rsidR="00ED7B22" w:rsidRPr="006D1841">
        <w:rPr>
          <w:b/>
        </w:rPr>
        <w:t>22</w:t>
      </w:r>
      <w:r w:rsidR="00ED7B22" w:rsidRPr="006D1841">
        <w:t xml:space="preserve"> applicables aux systèmes non OSG,</w:t>
      </w:r>
      <w:r w:rsidR="00ED7B22" w:rsidRPr="006D1841">
        <w:rPr>
          <w:color w:val="0D0D0D" w:themeColor="text1" w:themeTint="F2"/>
        </w:rPr>
        <w:t xml:space="preserve"> pour permettre aux </w:t>
      </w:r>
      <w:r w:rsidR="005C4BCC" w:rsidRPr="006D1841">
        <w:rPr>
          <w:color w:val="0D0D0D" w:themeColor="text1" w:themeTint="F2"/>
        </w:rPr>
        <w:t>systèmes</w:t>
      </w:r>
      <w:r w:rsidR="007C6B0E" w:rsidRPr="006D1841">
        <w:rPr>
          <w:color w:val="0D0D0D" w:themeColor="text1" w:themeTint="F2"/>
        </w:rPr>
        <w:t xml:space="preserve"> </w:t>
      </w:r>
      <w:r w:rsidR="00ED7B22" w:rsidRPr="006D1841">
        <w:rPr>
          <w:color w:val="0D0D0D" w:themeColor="text1" w:themeTint="F2"/>
        </w:rPr>
        <w:t>non OSG présentant</w:t>
      </w:r>
      <w:r w:rsidR="007C6B0E" w:rsidRPr="006D1841">
        <w:rPr>
          <w:color w:val="0D0D0D" w:themeColor="text1" w:themeTint="F2"/>
        </w:rPr>
        <w:t xml:space="preserve"> </w:t>
      </w:r>
      <w:r w:rsidR="00ED7B22" w:rsidRPr="006D1841">
        <w:rPr>
          <w:color w:val="0D0D0D" w:themeColor="text1" w:themeTint="F2"/>
        </w:rPr>
        <w:t>différentes configurations orbitales de fonctionner dans ces bandes de fréquences</w:t>
      </w:r>
      <w:r w:rsidR="007C6B0E" w:rsidRPr="006D1841">
        <w:t>,</w:t>
      </w:r>
      <w:r w:rsidR="00ED7B22" w:rsidRPr="006D1841">
        <w:rPr>
          <w:color w:val="0D0D0D" w:themeColor="text1" w:themeTint="F2"/>
        </w:rPr>
        <w:t xml:space="preserve"> tout en </w:t>
      </w:r>
      <w:r w:rsidR="005C4BCC" w:rsidRPr="006D1841">
        <w:rPr>
          <w:color w:val="0D0D0D" w:themeColor="text1" w:themeTint="F2"/>
        </w:rPr>
        <w:t>faisant en sorte</w:t>
      </w:r>
      <w:r w:rsidR="00ED7B22" w:rsidRPr="006D1841">
        <w:rPr>
          <w:color w:val="0D0D0D" w:themeColor="text1" w:themeTint="F2"/>
        </w:rPr>
        <w:t xml:space="preserve"> que les réseaux OSG bénéficient d</w:t>
      </w:r>
      <w:r w:rsidR="005C4BCC" w:rsidRPr="006D1841">
        <w:rPr>
          <w:color w:val="0D0D0D" w:themeColor="text1" w:themeTint="F2"/>
        </w:rPr>
        <w:t>'</w:t>
      </w:r>
      <w:r w:rsidR="00ED7B22" w:rsidRPr="006D1841">
        <w:rPr>
          <w:color w:val="0D0D0D" w:themeColor="text1" w:themeTint="F2"/>
        </w:rPr>
        <w:t>une protection contre les brouillages</w:t>
      </w:r>
      <w:r w:rsidR="007C6B0E" w:rsidRPr="006D1841">
        <w:rPr>
          <w:color w:val="0D0D0D" w:themeColor="text1" w:themeTint="F2"/>
        </w:rPr>
        <w:t xml:space="preserve"> </w:t>
      </w:r>
      <w:r w:rsidR="00ED7B22" w:rsidRPr="006D1841">
        <w:rPr>
          <w:color w:val="0D0D0D" w:themeColor="text1" w:themeTint="F2"/>
        </w:rPr>
        <w:t>inacceptables,</w:t>
      </w:r>
      <w:r w:rsidR="007C6B0E" w:rsidRPr="006D1841">
        <w:rPr>
          <w:color w:val="0D0D0D" w:themeColor="text1" w:themeTint="F2"/>
        </w:rPr>
        <w:t xml:space="preserve"> </w:t>
      </w:r>
      <w:r w:rsidR="00ED7B22" w:rsidRPr="006D1841">
        <w:rPr>
          <w:color w:val="0D0D0D" w:themeColor="text1" w:themeTint="F2"/>
        </w:rPr>
        <w:t>conformément au numéro</w:t>
      </w:r>
      <w:r w:rsidR="005C4BCC" w:rsidRPr="006D1841">
        <w:rPr>
          <w:color w:val="0D0D0D" w:themeColor="text1" w:themeTint="F2"/>
        </w:rPr>
        <w:t> </w:t>
      </w:r>
      <w:r w:rsidR="00ED7B22" w:rsidRPr="006D1841">
        <w:rPr>
          <w:b/>
        </w:rPr>
        <w:t xml:space="preserve">22.2 </w:t>
      </w:r>
      <w:r w:rsidR="00ED7B22" w:rsidRPr="006D1841">
        <w:rPr>
          <w:bCs/>
        </w:rPr>
        <w:t>ainsi qu</w:t>
      </w:r>
      <w:r w:rsidR="005C4BCC" w:rsidRPr="006D1841">
        <w:rPr>
          <w:bCs/>
        </w:rPr>
        <w:t>'</w:t>
      </w:r>
      <w:r w:rsidR="00ED7B22" w:rsidRPr="006D1841">
        <w:rPr>
          <w:bCs/>
        </w:rPr>
        <w:t>aux critères de protection actuels</w:t>
      </w:r>
      <w:r w:rsidRPr="006D1841">
        <w:t>;</w:t>
      </w:r>
      <w:r w:rsidR="007C6B0E" w:rsidRPr="006D1841">
        <w:rPr>
          <w:i/>
        </w:rPr>
        <w:t xml:space="preserve"> </w:t>
      </w:r>
    </w:p>
    <w:p w:rsidR="00F77F93" w:rsidRPr="006D1841" w:rsidRDefault="00F77F93" w:rsidP="00BE4CC8">
      <w:r w:rsidRPr="006D1841">
        <w:rPr>
          <w:i/>
          <w:iCs/>
        </w:rPr>
        <w:t>c)</w:t>
      </w:r>
      <w:r w:rsidRPr="006D1841">
        <w:tab/>
      </w:r>
      <w:r w:rsidR="00ED7B22" w:rsidRPr="006D1841">
        <w:t xml:space="preserve">dans les bandes de fréquences </w:t>
      </w:r>
      <w:r w:rsidRPr="006D1841">
        <w:t xml:space="preserve">4 500-4 800 MHz </w:t>
      </w:r>
      <w:r w:rsidRPr="006D1841">
        <w:rPr>
          <w:color w:val="0D0D0D" w:themeColor="text1" w:themeTint="F2"/>
        </w:rPr>
        <w:t>(</w:t>
      </w:r>
      <w:r w:rsidR="00CE2EBA" w:rsidRPr="006D1841">
        <w:rPr>
          <w:color w:val="0D0D0D" w:themeColor="text1" w:themeTint="F2"/>
        </w:rPr>
        <w:t xml:space="preserve">espace vers Terre </w:t>
      </w:r>
      <w:r w:rsidRPr="006D1841">
        <w:rPr>
          <w:color w:val="0D0D0D" w:themeColor="text1" w:themeTint="F2"/>
        </w:rPr>
        <w:t xml:space="preserve">) </w:t>
      </w:r>
      <w:r w:rsidR="00ED7B22" w:rsidRPr="006D1841">
        <w:rPr>
          <w:color w:val="0D0D0D" w:themeColor="text1" w:themeTint="F2"/>
        </w:rPr>
        <w:t xml:space="preserve">et </w:t>
      </w:r>
      <w:r w:rsidRPr="006D1841">
        <w:rPr>
          <w:color w:val="0D0D0D" w:themeColor="text1" w:themeTint="F2"/>
        </w:rPr>
        <w:t>6</w:t>
      </w:r>
      <w:r w:rsidRPr="006D1841">
        <w:t> </w:t>
      </w:r>
      <w:r w:rsidRPr="006D1841">
        <w:rPr>
          <w:color w:val="0D0D0D" w:themeColor="text1" w:themeTint="F2"/>
        </w:rPr>
        <w:t>725-7</w:t>
      </w:r>
      <w:r w:rsidRPr="006D1841">
        <w:t> </w:t>
      </w:r>
      <w:r w:rsidRPr="006D1841">
        <w:rPr>
          <w:color w:val="0D0D0D" w:themeColor="text1" w:themeTint="F2"/>
        </w:rPr>
        <w:t>025</w:t>
      </w:r>
      <w:r w:rsidR="005A1F2B" w:rsidRPr="006D1841">
        <w:rPr>
          <w:color w:val="0D0D0D" w:themeColor="text1" w:themeTint="F2"/>
        </w:rPr>
        <w:t> MHz</w:t>
      </w:r>
      <w:r w:rsidR="00321CAD" w:rsidRPr="006D1841">
        <w:rPr>
          <w:color w:val="0D0D0D" w:themeColor="text1" w:themeTint="F2"/>
        </w:rPr>
        <w:t xml:space="preserve"> </w:t>
      </w:r>
      <w:r w:rsidRPr="006D1841">
        <w:t>(</w:t>
      </w:r>
      <w:r w:rsidR="00CE2EBA" w:rsidRPr="006D1841">
        <w:t xml:space="preserve">Terre vers espace </w:t>
      </w:r>
      <w:r w:rsidRPr="006D1841">
        <w:t>)</w:t>
      </w:r>
      <w:r w:rsidR="007C6B0E" w:rsidRPr="006D1841">
        <w:t>,</w:t>
      </w:r>
      <w:r w:rsidR="00ED7B22" w:rsidRPr="006D1841">
        <w:rPr>
          <w:color w:val="0D0D0D" w:themeColor="text1" w:themeTint="F2"/>
        </w:rPr>
        <w:t xml:space="preserve"> définition éventuelle de limites d</w:t>
      </w:r>
      <w:r w:rsidR="005C4BCC" w:rsidRPr="006D1841">
        <w:rPr>
          <w:color w:val="0D0D0D" w:themeColor="text1" w:themeTint="F2"/>
        </w:rPr>
        <w:t>'</w:t>
      </w:r>
      <w:proofErr w:type="spellStart"/>
      <w:r w:rsidR="00ED7B22" w:rsidRPr="006D1841">
        <w:t>epfd</w:t>
      </w:r>
      <w:proofErr w:type="spellEnd"/>
      <w:r w:rsidR="00ED7B22" w:rsidRPr="006D1841">
        <w:rPr>
          <w:rFonts w:ascii="TimesNewRoman" w:hAnsi="TimesNewRoman" w:cs="TimesNewRoman"/>
          <w:color w:val="000000"/>
          <w:lang w:eastAsia="zh-CN"/>
        </w:rPr>
        <w:t>↓</w:t>
      </w:r>
      <w:r w:rsidR="00ED7B22" w:rsidRPr="006D1841">
        <w:rPr>
          <w:rFonts w:ascii="TimesNewRoman" w:hAnsi="TimesNewRoman" w:cs="TimesNewRoman"/>
          <w:b/>
          <w:color w:val="000000"/>
          <w:lang w:eastAsia="zh-CN"/>
        </w:rPr>
        <w:t xml:space="preserve"> </w:t>
      </w:r>
      <w:r w:rsidR="00ED7B22" w:rsidRPr="006D1841">
        <w:t>et d</w:t>
      </w:r>
      <w:r w:rsidR="005C4BCC" w:rsidRPr="006D1841">
        <w:t>'</w:t>
      </w:r>
      <w:proofErr w:type="spellStart"/>
      <w:r w:rsidR="00ED7B22" w:rsidRPr="006D1841">
        <w:t>epfd</w:t>
      </w:r>
      <w:proofErr w:type="spellEnd"/>
      <w:r w:rsidR="00ED7B22" w:rsidRPr="006D1841">
        <w:rPr>
          <w:rFonts w:ascii="TimesNewRoman" w:hAnsi="TimesNewRoman" w:cs="TimesNewRoman"/>
          <w:color w:val="000000"/>
          <w:lang w:eastAsia="zh-CN"/>
        </w:rPr>
        <w:t>↑</w:t>
      </w:r>
      <w:r w:rsidR="00ED7B22" w:rsidRPr="006D1841">
        <w:t xml:space="preserve"> de l</w:t>
      </w:r>
      <w:r w:rsidR="005C4BCC" w:rsidRPr="006D1841">
        <w:t>'</w:t>
      </w:r>
      <w:r w:rsidR="00ED7B22" w:rsidRPr="006D1841">
        <w:t>Article</w:t>
      </w:r>
      <w:r w:rsidR="005C4BCC" w:rsidRPr="006D1841">
        <w:t> </w:t>
      </w:r>
      <w:r w:rsidR="00ED7B22" w:rsidRPr="006D1841">
        <w:rPr>
          <w:b/>
        </w:rPr>
        <w:t>22</w:t>
      </w:r>
      <w:r w:rsidR="005C4BCC" w:rsidRPr="006D1841">
        <w:rPr>
          <w:bCs/>
        </w:rPr>
        <w:t>,</w:t>
      </w:r>
      <w:r w:rsidR="007C6B0E" w:rsidRPr="006D1841">
        <w:t xml:space="preserve"> </w:t>
      </w:r>
      <w:r w:rsidR="00ED7B22" w:rsidRPr="006D1841">
        <w:t>analogue</w:t>
      </w:r>
      <w:r w:rsidR="005C4BCC" w:rsidRPr="006D1841">
        <w:t>s</w:t>
      </w:r>
      <w:r w:rsidR="00ED7B22" w:rsidRPr="006D1841">
        <w:t xml:space="preserve"> à celle</w:t>
      </w:r>
      <w:r w:rsidR="005A1F2B" w:rsidRPr="006D1841">
        <w:t>s</w:t>
      </w:r>
      <w:r w:rsidR="00ED7B22" w:rsidRPr="006D1841">
        <w:t xml:space="preserve"> qui sont applicables dans d</w:t>
      </w:r>
      <w:r w:rsidR="005C4BCC" w:rsidRPr="006D1841">
        <w:t>'</w:t>
      </w:r>
      <w:r w:rsidR="00ED7B22" w:rsidRPr="006D1841">
        <w:t xml:space="preserve">autres bandes du SFS, afin de de permettre aux systèmes non OSG de fonctionner dans ces bandes de fréquences, </w:t>
      </w:r>
      <w:r w:rsidR="00ED7B22" w:rsidRPr="006D1841">
        <w:rPr>
          <w:color w:val="0D0D0D" w:themeColor="text1" w:themeTint="F2"/>
        </w:rPr>
        <w:t xml:space="preserve">tout </w:t>
      </w:r>
      <w:r w:rsidR="005C4BCC" w:rsidRPr="006D1841">
        <w:rPr>
          <w:color w:val="0D0D0D" w:themeColor="text1" w:themeTint="F2"/>
        </w:rPr>
        <w:t>en faisant en sorte</w:t>
      </w:r>
      <w:r w:rsidR="00ED7B22" w:rsidRPr="006D1841">
        <w:rPr>
          <w:color w:val="0D0D0D" w:themeColor="text1" w:themeTint="F2"/>
        </w:rPr>
        <w:t xml:space="preserve"> que les réseaux OSG bénéficient d</w:t>
      </w:r>
      <w:r w:rsidR="005C4BCC" w:rsidRPr="006D1841">
        <w:rPr>
          <w:color w:val="0D0D0D" w:themeColor="text1" w:themeTint="F2"/>
        </w:rPr>
        <w:t>'</w:t>
      </w:r>
      <w:r w:rsidR="00ED7B22" w:rsidRPr="006D1841">
        <w:rPr>
          <w:color w:val="0D0D0D" w:themeColor="text1" w:themeTint="F2"/>
        </w:rPr>
        <w:t>une protection contre les brouillages</w:t>
      </w:r>
      <w:r w:rsidR="007C6B0E" w:rsidRPr="006D1841">
        <w:rPr>
          <w:color w:val="0D0D0D" w:themeColor="text1" w:themeTint="F2"/>
        </w:rPr>
        <w:t xml:space="preserve"> </w:t>
      </w:r>
      <w:r w:rsidR="00ED7B22" w:rsidRPr="006D1841">
        <w:rPr>
          <w:color w:val="0D0D0D" w:themeColor="text1" w:themeTint="F2"/>
        </w:rPr>
        <w:t>inacceptables,</w:t>
      </w:r>
      <w:r w:rsidR="007C6B0E" w:rsidRPr="006D1841">
        <w:rPr>
          <w:color w:val="0D0D0D" w:themeColor="text1" w:themeTint="F2"/>
        </w:rPr>
        <w:t xml:space="preserve"> </w:t>
      </w:r>
      <w:r w:rsidR="00ED7B22" w:rsidRPr="006D1841">
        <w:rPr>
          <w:color w:val="0D0D0D" w:themeColor="text1" w:themeTint="F2"/>
        </w:rPr>
        <w:t>conformément au numéro</w:t>
      </w:r>
      <w:r w:rsidR="005C4BCC" w:rsidRPr="006D1841">
        <w:rPr>
          <w:color w:val="0D0D0D" w:themeColor="text1" w:themeTint="F2"/>
        </w:rPr>
        <w:t> </w:t>
      </w:r>
      <w:r w:rsidR="00ED7B22" w:rsidRPr="006D1841">
        <w:rPr>
          <w:b/>
        </w:rPr>
        <w:t xml:space="preserve">22.2 </w:t>
      </w:r>
      <w:r w:rsidR="00ED7B22" w:rsidRPr="006D1841">
        <w:rPr>
          <w:bCs/>
        </w:rPr>
        <w:t>ainsi qu</w:t>
      </w:r>
      <w:r w:rsidR="005C4BCC" w:rsidRPr="006D1841">
        <w:rPr>
          <w:bCs/>
        </w:rPr>
        <w:t>'</w:t>
      </w:r>
      <w:r w:rsidR="00ED7B22" w:rsidRPr="006D1841">
        <w:rPr>
          <w:bCs/>
        </w:rPr>
        <w:t>aux critères de protection actuels</w:t>
      </w:r>
      <w:r w:rsidRPr="006D1841">
        <w:t>;</w:t>
      </w:r>
    </w:p>
    <w:p w:rsidR="00F77F93" w:rsidRPr="006D1841" w:rsidRDefault="00F77F93" w:rsidP="00BE4CC8">
      <w:pPr>
        <w:rPr>
          <w:b/>
          <w:szCs w:val="24"/>
        </w:rPr>
      </w:pPr>
      <w:r w:rsidRPr="006D1841">
        <w:rPr>
          <w:i/>
          <w:iCs/>
        </w:rPr>
        <w:t>d)</w:t>
      </w:r>
      <w:r w:rsidRPr="006D1841">
        <w:tab/>
      </w:r>
      <w:r w:rsidR="00ED7B22" w:rsidRPr="006D1841">
        <w:rPr>
          <w:szCs w:val="24"/>
        </w:rPr>
        <w:t xml:space="preserve">dans la bande de fréquences </w:t>
      </w:r>
      <w:r w:rsidRPr="006D1841">
        <w:t>6 700-7 025 MHz</w:t>
      </w:r>
      <w:r w:rsidR="007C6B0E" w:rsidRPr="006D1841">
        <w:t>,</w:t>
      </w:r>
      <w:r w:rsidRPr="006D1841">
        <w:t xml:space="preserve"> </w:t>
      </w:r>
      <w:r w:rsidR="00ED7B22" w:rsidRPr="006D1841">
        <w:t xml:space="preserve">protection des liaisons de connexion pour les systèmes du SMS </w:t>
      </w:r>
      <w:r w:rsidR="00AC5459" w:rsidRPr="006D1841">
        <w:t xml:space="preserve">exploités dans le sens </w:t>
      </w:r>
      <w:r w:rsidR="00CE2EBA" w:rsidRPr="006D1841">
        <w:t xml:space="preserve">espace vers Terre </w:t>
      </w:r>
      <w:r w:rsidR="00AC5459" w:rsidRPr="006D1841">
        <w:t>contre les brouillages inacceptables, conformément aux critères actuels, causés par les stations terriennes des systèmes non OSG du SFS fonctionnant dans le sens</w:t>
      </w:r>
      <w:r w:rsidR="007C6B0E" w:rsidRPr="006D1841">
        <w:t xml:space="preserve"> </w:t>
      </w:r>
      <w:r w:rsidR="00CE2EBA" w:rsidRPr="006D1841">
        <w:t>Terre vers espace</w:t>
      </w:r>
      <w:r w:rsidRPr="006D1841">
        <w:t>;</w:t>
      </w:r>
    </w:p>
    <w:p w:rsidR="00F77F93" w:rsidRPr="006D1841" w:rsidRDefault="00F77F93" w:rsidP="00465E99">
      <w:pPr>
        <w:keepLines/>
      </w:pPr>
      <w:r w:rsidRPr="006D1841">
        <w:rPr>
          <w:i/>
          <w:iCs/>
        </w:rPr>
        <w:lastRenderedPageBreak/>
        <w:t>e)</w:t>
      </w:r>
      <w:r w:rsidRPr="006D1841">
        <w:tab/>
      </w:r>
      <w:r w:rsidR="00ED7B22" w:rsidRPr="006D1841">
        <w:rPr>
          <w:szCs w:val="24"/>
        </w:rPr>
        <w:t>dans les bandes</w:t>
      </w:r>
      <w:r w:rsidR="007C6B0E" w:rsidRPr="006D1841">
        <w:rPr>
          <w:szCs w:val="24"/>
        </w:rPr>
        <w:t xml:space="preserve"> </w:t>
      </w:r>
      <w:r w:rsidRPr="006D1841">
        <w:t>4</w:t>
      </w:r>
      <w:r w:rsidRPr="006D1841">
        <w:rPr>
          <w:szCs w:val="24"/>
        </w:rPr>
        <w:t> </w:t>
      </w:r>
      <w:r w:rsidRPr="006D1841">
        <w:t>500-4</w:t>
      </w:r>
      <w:r w:rsidRPr="006D1841">
        <w:rPr>
          <w:szCs w:val="24"/>
        </w:rPr>
        <w:t> </w:t>
      </w:r>
      <w:r w:rsidRPr="006D1841">
        <w:t>800 MHz (</w:t>
      </w:r>
      <w:r w:rsidR="00CE2EBA" w:rsidRPr="006D1841">
        <w:t xml:space="preserve">espace vers Terre </w:t>
      </w:r>
      <w:r w:rsidRPr="006D1841">
        <w:t>)</w:t>
      </w:r>
      <w:r w:rsidR="007C6B0E" w:rsidRPr="006D1841">
        <w:t xml:space="preserve"> </w:t>
      </w:r>
      <w:r w:rsidR="00276E75" w:rsidRPr="006D1841">
        <w:t xml:space="preserve">et </w:t>
      </w:r>
      <w:r w:rsidRPr="006D1841">
        <w:t>5</w:t>
      </w:r>
      <w:r w:rsidRPr="006D1841">
        <w:rPr>
          <w:szCs w:val="24"/>
        </w:rPr>
        <w:t> </w:t>
      </w:r>
      <w:r w:rsidRPr="006D1841">
        <w:t>925-6</w:t>
      </w:r>
      <w:r w:rsidRPr="006D1841">
        <w:rPr>
          <w:szCs w:val="24"/>
        </w:rPr>
        <w:t> </w:t>
      </w:r>
      <w:r w:rsidRPr="006D1841">
        <w:t>700 MHz (</w:t>
      </w:r>
      <w:r w:rsidR="00CE2EBA" w:rsidRPr="006D1841">
        <w:t xml:space="preserve">Terre vers espace </w:t>
      </w:r>
      <w:r w:rsidRPr="006D1841">
        <w:t xml:space="preserve">), </w:t>
      </w:r>
      <w:r w:rsidR="00276E75" w:rsidRPr="006D1841">
        <w:t xml:space="preserve">élaboration de dispositions réglementaires visant à préciser que les numéros </w:t>
      </w:r>
      <w:r w:rsidR="00276E75" w:rsidRPr="006D1841">
        <w:rPr>
          <w:b/>
          <w:bCs/>
        </w:rPr>
        <w:t>5.440A</w:t>
      </w:r>
      <w:r w:rsidR="00276E75" w:rsidRPr="006D1841">
        <w:t xml:space="preserve"> et</w:t>
      </w:r>
      <w:r w:rsidR="007C6B0E" w:rsidRPr="006D1841">
        <w:t xml:space="preserve"> </w:t>
      </w:r>
      <w:r w:rsidR="00276E75" w:rsidRPr="006D1841">
        <w:rPr>
          <w:b/>
          <w:bCs/>
        </w:rPr>
        <w:t>5.457C</w:t>
      </w:r>
      <w:r w:rsidR="007C6B0E" w:rsidRPr="006D1841">
        <w:t xml:space="preserve"> </w:t>
      </w:r>
      <w:r w:rsidR="00276E75" w:rsidRPr="006D1841">
        <w:t>s</w:t>
      </w:r>
      <w:r w:rsidR="005C4BCC" w:rsidRPr="006D1841">
        <w:t>'</w:t>
      </w:r>
      <w:r w:rsidR="00276E75" w:rsidRPr="006D1841">
        <w:t xml:space="preserve">appliqueront, afin de </w:t>
      </w:r>
      <w:r w:rsidR="005C4BCC" w:rsidRPr="006D1841">
        <w:t>faire en sorte</w:t>
      </w:r>
      <w:r w:rsidR="00276E75" w:rsidRPr="006D1841">
        <w:t xml:space="preserve"> que les systèmes non OSG du SFS ne</w:t>
      </w:r>
      <w:r w:rsidR="007C6B0E" w:rsidRPr="006D1841">
        <w:t xml:space="preserve"> </w:t>
      </w:r>
      <w:r w:rsidR="00276E75" w:rsidRPr="006D1841">
        <w:t>causent pas de brouillages préjudiciables aux stations d</w:t>
      </w:r>
      <w:r w:rsidR="005C4BCC" w:rsidRPr="006D1841">
        <w:t>'</w:t>
      </w:r>
      <w:r w:rsidR="00276E75" w:rsidRPr="006D1841">
        <w:t>aéronef utilisées pour la télémesure mobile aéronautique (AMT) pour les essais en vol</w:t>
      </w:r>
      <w:r w:rsidR="007C6B0E" w:rsidRPr="006D1841">
        <w:t>,</w:t>
      </w:r>
      <w:r w:rsidR="00276E75" w:rsidRPr="006D1841">
        <w:t xml:space="preserve"> et ne demandent pas à bénéficier d</w:t>
      </w:r>
      <w:r w:rsidR="005C4BCC" w:rsidRPr="006D1841">
        <w:t>'</w:t>
      </w:r>
      <w:r w:rsidR="00276E75" w:rsidRPr="006D1841">
        <w:t>une protection vis-à-vis de ces stations,</w:t>
      </w:r>
    </w:p>
    <w:p w:rsidR="0095197D" w:rsidRPr="006D1841" w:rsidRDefault="0095197D" w:rsidP="00BE4CC8">
      <w:pPr>
        <w:pStyle w:val="Call"/>
      </w:pPr>
      <w:r w:rsidRPr="006D1841">
        <w:t>décide en outre</w:t>
      </w:r>
      <w:r w:rsidR="00276E75" w:rsidRPr="006D1841">
        <w:t xml:space="preserve"> d</w:t>
      </w:r>
      <w:r w:rsidR="005C4BCC" w:rsidRPr="006D1841">
        <w:t>'</w:t>
      </w:r>
      <w:r w:rsidR="00276E75" w:rsidRPr="006D1841">
        <w:t>inviter la CMR</w:t>
      </w:r>
      <w:r w:rsidR="005C4BCC" w:rsidRPr="006D1841">
        <w:noBreakHyphen/>
      </w:r>
      <w:r w:rsidR="00276E75" w:rsidRPr="006D1841">
        <w:t>19</w:t>
      </w:r>
    </w:p>
    <w:p w:rsidR="0095197D" w:rsidRPr="006D1841" w:rsidRDefault="0095197D" w:rsidP="00BE4CC8">
      <w:r w:rsidRPr="006D1841">
        <w:t xml:space="preserve">à examiner les résultats des études susmentionnées et à prendre les mesures </w:t>
      </w:r>
      <w:r w:rsidR="00276E75" w:rsidRPr="006D1841">
        <w:t>voulues</w:t>
      </w:r>
      <w:r w:rsidRPr="006D1841">
        <w:t>,</w:t>
      </w:r>
    </w:p>
    <w:p w:rsidR="0095197D" w:rsidRPr="006D1841" w:rsidRDefault="00276E75" w:rsidP="00320CAD">
      <w:pPr>
        <w:pStyle w:val="Call"/>
      </w:pPr>
      <w:r w:rsidRPr="006D1841">
        <w:t>décide d</w:t>
      </w:r>
      <w:r w:rsidR="005C4BCC" w:rsidRPr="006D1841">
        <w:t>'</w:t>
      </w:r>
      <w:r w:rsidR="0095197D" w:rsidRPr="006D1841">
        <w:t>invite</w:t>
      </w:r>
      <w:r w:rsidRPr="006D1841">
        <w:t>r</w:t>
      </w:r>
      <w:r w:rsidR="0095197D" w:rsidRPr="006D1841">
        <w:t xml:space="preserve"> les administrations</w:t>
      </w:r>
    </w:p>
    <w:p w:rsidR="0095197D" w:rsidRPr="006D1841" w:rsidRDefault="0095197D" w:rsidP="005A1F2B">
      <w:r w:rsidRPr="006D1841">
        <w:t>à participer aux études en soumettant des contributions à l</w:t>
      </w:r>
      <w:r w:rsidR="005C4BCC" w:rsidRPr="006D1841">
        <w:t>'</w:t>
      </w:r>
      <w:r w:rsidR="008A5B09" w:rsidRPr="006D1841">
        <w:t>UIT-R,</w:t>
      </w:r>
    </w:p>
    <w:p w:rsidR="0095197D" w:rsidRPr="006D1841" w:rsidRDefault="0095197D" w:rsidP="00320CAD">
      <w:pPr>
        <w:pStyle w:val="Call"/>
        <w:keepNext w:val="0"/>
      </w:pPr>
      <w:r w:rsidRPr="006D1841">
        <w:t>charge le Directeur du Bureau des radiocommunications</w:t>
      </w:r>
    </w:p>
    <w:p w:rsidR="00F77F93" w:rsidRPr="006D1841" w:rsidRDefault="00276E75" w:rsidP="005A1F2B">
      <w:r w:rsidRPr="006D1841">
        <w:t>de communiquer les résultats des</w:t>
      </w:r>
      <w:r w:rsidR="007C6B0E" w:rsidRPr="006D1841">
        <w:t xml:space="preserve"> </w:t>
      </w:r>
      <w:r w:rsidRPr="006D1841">
        <w:t xml:space="preserve">études susmentionnées dans son rapport à la </w:t>
      </w:r>
      <w:r w:rsidR="00CE2EBA" w:rsidRPr="006D1841">
        <w:rPr>
          <w:szCs w:val="24"/>
        </w:rPr>
        <w:t>CMR</w:t>
      </w:r>
      <w:r w:rsidR="005C4BCC" w:rsidRPr="006D1841">
        <w:rPr>
          <w:szCs w:val="24"/>
        </w:rPr>
        <w:noBreakHyphen/>
      </w:r>
      <w:r w:rsidR="00F77F93" w:rsidRPr="006D1841">
        <w:rPr>
          <w:szCs w:val="24"/>
        </w:rPr>
        <w:t>19.</w:t>
      </w:r>
    </w:p>
    <w:p w:rsidR="00F77F93" w:rsidRPr="006D1841" w:rsidRDefault="0095197D" w:rsidP="00465E99">
      <w:pPr>
        <w:pStyle w:val="Reasons"/>
      </w:pPr>
      <w:r w:rsidRPr="006D1841">
        <w:rPr>
          <w:b/>
        </w:rPr>
        <w:t>Motifs</w:t>
      </w:r>
      <w:r w:rsidR="00F77F93" w:rsidRPr="006D1841">
        <w:rPr>
          <w:b/>
        </w:rPr>
        <w:t>:</w:t>
      </w:r>
      <w:r w:rsidR="00F77F93" w:rsidRPr="006D1841">
        <w:tab/>
      </w:r>
      <w:r w:rsidR="00276E75" w:rsidRPr="006D1841">
        <w:t>Cette nouvelle Résolution offrira un cadre et fournira des orientations à l</w:t>
      </w:r>
      <w:r w:rsidR="005C4BCC" w:rsidRPr="006D1841">
        <w:t>'</w:t>
      </w:r>
      <w:r w:rsidR="00276E75" w:rsidRPr="006D1841">
        <w:t>UIT-R, afin</w:t>
      </w:r>
      <w:r w:rsidR="007C6B0E" w:rsidRPr="006D1841">
        <w:t xml:space="preserve"> </w:t>
      </w:r>
      <w:r w:rsidR="00276E75" w:rsidRPr="006D1841">
        <w:t>d</w:t>
      </w:r>
      <w:r w:rsidR="005C4BCC" w:rsidRPr="006D1841">
        <w:t>'</w:t>
      </w:r>
      <w:r w:rsidR="00276E75" w:rsidRPr="006D1841">
        <w:t xml:space="preserve">examiner une </w:t>
      </w:r>
      <w:r w:rsidR="00276E75" w:rsidRPr="006D1841">
        <w:rPr>
          <w:color w:val="000000"/>
        </w:rPr>
        <w:t>plus grande diversité</w:t>
      </w:r>
      <w:r w:rsidR="00276E75" w:rsidRPr="006D1841">
        <w:t xml:space="preserve"> de systèmes non OSG souhaitant fonctionner dans les bandes de fréquences </w:t>
      </w:r>
      <w:r w:rsidR="00276E75" w:rsidRPr="006D1841">
        <w:rPr>
          <w:rFonts w:asciiTheme="majorBidi" w:hAnsiTheme="majorBidi" w:cstheme="majorBidi"/>
          <w:szCs w:val="24"/>
        </w:rPr>
        <w:t>3 700-4 200 MHz, 4 500-4 800 MHz</w:t>
      </w:r>
      <w:r w:rsidR="007C6B0E" w:rsidRPr="006D1841">
        <w:rPr>
          <w:rFonts w:asciiTheme="majorBidi" w:hAnsiTheme="majorBidi" w:cstheme="majorBidi"/>
          <w:szCs w:val="24"/>
        </w:rPr>
        <w:t xml:space="preserve"> </w:t>
      </w:r>
      <w:r w:rsidR="00276E75" w:rsidRPr="006D1841">
        <w:rPr>
          <w:rFonts w:asciiTheme="majorBidi" w:hAnsiTheme="majorBidi" w:cstheme="majorBidi"/>
          <w:szCs w:val="24"/>
        </w:rPr>
        <w:t>et 5 925-7 025 MHz</w:t>
      </w:r>
      <w:r w:rsidR="00276E75" w:rsidRPr="006D1841">
        <w:t xml:space="preserve"> attribuées au SFS, tout en assurant la protection des réseaux OSG et des autres services primaires existants</w:t>
      </w:r>
      <w:r w:rsidR="008A5B09" w:rsidRPr="006D1841">
        <w:t>.</w:t>
      </w:r>
    </w:p>
    <w:p w:rsidR="00CE0F7F" w:rsidRPr="006D1841" w:rsidRDefault="00CE0F7F" w:rsidP="00320CAD">
      <w:pPr>
        <w:pStyle w:val="Reasons"/>
      </w:pPr>
    </w:p>
    <w:p w:rsidR="00F77F93" w:rsidRPr="006D1841" w:rsidRDefault="00F77F93" w:rsidP="00320CAD">
      <w:pPr>
        <w:jc w:val="center"/>
      </w:pPr>
      <w:r w:rsidRPr="006D1841">
        <w:t>______________</w:t>
      </w:r>
    </w:p>
    <w:p w:rsidR="006D1841" w:rsidRPr="006D1841" w:rsidRDefault="006D1841">
      <w:pPr>
        <w:jc w:val="center"/>
      </w:pPr>
    </w:p>
    <w:sectPr w:rsidR="006D1841" w:rsidRPr="006D1841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E75" w:rsidRDefault="00276E75">
      <w:r>
        <w:separator/>
      </w:r>
    </w:p>
  </w:endnote>
  <w:endnote w:type="continuationSeparator" w:id="0">
    <w:p w:rsidR="00276E75" w:rsidRDefault="0027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E75" w:rsidRDefault="00276E7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D073B">
      <w:rPr>
        <w:noProof/>
        <w:lang w:val="en-US"/>
      </w:rPr>
      <w:t>P:\FRA\ITU-R\CONF-R\CMR15\000\006ADD23ADD02ADD02F.docx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073B">
      <w:rPr>
        <w:noProof/>
      </w:rPr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D073B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E75" w:rsidRDefault="00276E7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D073B">
      <w:rPr>
        <w:lang w:val="en-US"/>
      </w:rPr>
      <w:t>P:\FRA\ITU-R\CONF-R\CMR15\000\006ADD23ADD02ADD02F.docx</w:t>
    </w:r>
    <w:r>
      <w:fldChar w:fldCharType="end"/>
    </w:r>
    <w:r w:rsidRPr="00A41688">
      <w:rPr>
        <w:lang w:val="en-US"/>
      </w:rPr>
      <w:t xml:space="preserve"> (388237)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073B"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D073B"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E75" w:rsidRDefault="00276E7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0D073B">
      <w:rPr>
        <w:lang w:val="en-US"/>
      </w:rPr>
      <w:t>P:\FRA\ITU-R\CONF-R\CMR15\000\006ADD23ADD02ADD02F.docx</w:t>
    </w:r>
    <w:r>
      <w:fldChar w:fldCharType="end"/>
    </w:r>
    <w:r w:rsidRPr="00A41688">
      <w:rPr>
        <w:lang w:val="en-US"/>
      </w:rPr>
      <w:t xml:space="preserve"> (388237)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D073B">
      <w:t>27.10.15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D073B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E75" w:rsidRDefault="00276E75">
      <w:r>
        <w:rPr>
          <w:b/>
        </w:rPr>
        <w:t>_______________</w:t>
      </w:r>
    </w:p>
  </w:footnote>
  <w:footnote w:type="continuationSeparator" w:id="0">
    <w:p w:rsidR="00276E75" w:rsidRDefault="00276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E75" w:rsidRDefault="00276E75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0D073B">
      <w:rPr>
        <w:noProof/>
      </w:rPr>
      <w:t>5</w:t>
    </w:r>
    <w:r>
      <w:fldChar w:fldCharType="end"/>
    </w:r>
  </w:p>
  <w:p w:rsidR="00276E75" w:rsidRDefault="00276E75" w:rsidP="002C28A4">
    <w:pPr>
      <w:pStyle w:val="Header"/>
    </w:pPr>
    <w:r>
      <w:t>CMR15/6(Add.23)(Add.2)(Add.2)-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B264389-CB04-42CF-B51F-433517245EEC}"/>
    <w:docVar w:name="dgnword-eventsink" w:val="220058688"/>
  </w:docVars>
  <w:rsids>
    <w:rsidRoot w:val="00BB1D82"/>
    <w:rsid w:val="00007EC7"/>
    <w:rsid w:val="00010B43"/>
    <w:rsid w:val="00016648"/>
    <w:rsid w:val="0003522F"/>
    <w:rsid w:val="000724D3"/>
    <w:rsid w:val="00080E2C"/>
    <w:rsid w:val="000A4755"/>
    <w:rsid w:val="000B2E0C"/>
    <w:rsid w:val="000B3D0C"/>
    <w:rsid w:val="000C61B0"/>
    <w:rsid w:val="000D073B"/>
    <w:rsid w:val="001167B9"/>
    <w:rsid w:val="001267A0"/>
    <w:rsid w:val="0015203F"/>
    <w:rsid w:val="00160C64"/>
    <w:rsid w:val="0018169B"/>
    <w:rsid w:val="00186638"/>
    <w:rsid w:val="0019352B"/>
    <w:rsid w:val="001960D0"/>
    <w:rsid w:val="001A7E2B"/>
    <w:rsid w:val="001F17E8"/>
    <w:rsid w:val="001F2093"/>
    <w:rsid w:val="001F6EED"/>
    <w:rsid w:val="00204306"/>
    <w:rsid w:val="00204AF7"/>
    <w:rsid w:val="00232FD2"/>
    <w:rsid w:val="00251A58"/>
    <w:rsid w:val="00261545"/>
    <w:rsid w:val="0026554E"/>
    <w:rsid w:val="00276E75"/>
    <w:rsid w:val="002A4622"/>
    <w:rsid w:val="002A6F8F"/>
    <w:rsid w:val="002B17E5"/>
    <w:rsid w:val="002C0EBF"/>
    <w:rsid w:val="002C28A4"/>
    <w:rsid w:val="00315AFE"/>
    <w:rsid w:val="00320CAD"/>
    <w:rsid w:val="00321CAD"/>
    <w:rsid w:val="00330F88"/>
    <w:rsid w:val="003606A6"/>
    <w:rsid w:val="0036650C"/>
    <w:rsid w:val="00393ACD"/>
    <w:rsid w:val="003A583E"/>
    <w:rsid w:val="003E112B"/>
    <w:rsid w:val="003E1D1C"/>
    <w:rsid w:val="003E62AA"/>
    <w:rsid w:val="003E7B05"/>
    <w:rsid w:val="004129D6"/>
    <w:rsid w:val="00465E99"/>
    <w:rsid w:val="00466211"/>
    <w:rsid w:val="00475D9D"/>
    <w:rsid w:val="004834A9"/>
    <w:rsid w:val="004C2D42"/>
    <w:rsid w:val="004D01FC"/>
    <w:rsid w:val="004E28C3"/>
    <w:rsid w:val="004F1F8E"/>
    <w:rsid w:val="00512A32"/>
    <w:rsid w:val="00541CD3"/>
    <w:rsid w:val="00586CF2"/>
    <w:rsid w:val="005A1F2B"/>
    <w:rsid w:val="005C3768"/>
    <w:rsid w:val="005C4BCC"/>
    <w:rsid w:val="005C6C3F"/>
    <w:rsid w:val="00600950"/>
    <w:rsid w:val="00613635"/>
    <w:rsid w:val="0062093D"/>
    <w:rsid w:val="00637ECF"/>
    <w:rsid w:val="00643750"/>
    <w:rsid w:val="00647B59"/>
    <w:rsid w:val="00690C7B"/>
    <w:rsid w:val="006A4B45"/>
    <w:rsid w:val="006D1841"/>
    <w:rsid w:val="006D4724"/>
    <w:rsid w:val="006E0CED"/>
    <w:rsid w:val="006F6133"/>
    <w:rsid w:val="00701BAE"/>
    <w:rsid w:val="0071238F"/>
    <w:rsid w:val="00721F04"/>
    <w:rsid w:val="00730E95"/>
    <w:rsid w:val="007426B9"/>
    <w:rsid w:val="00764342"/>
    <w:rsid w:val="00774362"/>
    <w:rsid w:val="00786598"/>
    <w:rsid w:val="007926C5"/>
    <w:rsid w:val="007A04E8"/>
    <w:rsid w:val="007C6B0E"/>
    <w:rsid w:val="007F1B30"/>
    <w:rsid w:val="00800F13"/>
    <w:rsid w:val="00851625"/>
    <w:rsid w:val="00863C0A"/>
    <w:rsid w:val="008A3120"/>
    <w:rsid w:val="008A5B09"/>
    <w:rsid w:val="008D41BE"/>
    <w:rsid w:val="008D58D3"/>
    <w:rsid w:val="00923064"/>
    <w:rsid w:val="00930FFD"/>
    <w:rsid w:val="00936D25"/>
    <w:rsid w:val="00941EA5"/>
    <w:rsid w:val="0095197D"/>
    <w:rsid w:val="00964700"/>
    <w:rsid w:val="00966C16"/>
    <w:rsid w:val="0098732F"/>
    <w:rsid w:val="009A045F"/>
    <w:rsid w:val="009C7E7C"/>
    <w:rsid w:val="00A00473"/>
    <w:rsid w:val="00A03C9B"/>
    <w:rsid w:val="00A32397"/>
    <w:rsid w:val="00A34DCE"/>
    <w:rsid w:val="00A37105"/>
    <w:rsid w:val="00A41688"/>
    <w:rsid w:val="00A606C3"/>
    <w:rsid w:val="00A65D4D"/>
    <w:rsid w:val="00A76454"/>
    <w:rsid w:val="00A83B09"/>
    <w:rsid w:val="00A84541"/>
    <w:rsid w:val="00AC5459"/>
    <w:rsid w:val="00AE36A0"/>
    <w:rsid w:val="00AF5E0B"/>
    <w:rsid w:val="00B00294"/>
    <w:rsid w:val="00B1123C"/>
    <w:rsid w:val="00B64FD0"/>
    <w:rsid w:val="00B8275D"/>
    <w:rsid w:val="00BA2DD6"/>
    <w:rsid w:val="00BA5BD0"/>
    <w:rsid w:val="00BB19B1"/>
    <w:rsid w:val="00BB1D82"/>
    <w:rsid w:val="00BC1AEF"/>
    <w:rsid w:val="00BE117D"/>
    <w:rsid w:val="00BE4CC8"/>
    <w:rsid w:val="00BF26E7"/>
    <w:rsid w:val="00C53FCA"/>
    <w:rsid w:val="00C753BC"/>
    <w:rsid w:val="00C76BAF"/>
    <w:rsid w:val="00C814B9"/>
    <w:rsid w:val="00CD516F"/>
    <w:rsid w:val="00CD5367"/>
    <w:rsid w:val="00CE0F7F"/>
    <w:rsid w:val="00CE2EBA"/>
    <w:rsid w:val="00D02B2D"/>
    <w:rsid w:val="00D119A7"/>
    <w:rsid w:val="00D25FBA"/>
    <w:rsid w:val="00D32B28"/>
    <w:rsid w:val="00D42954"/>
    <w:rsid w:val="00D4575A"/>
    <w:rsid w:val="00D66EAC"/>
    <w:rsid w:val="00D70558"/>
    <w:rsid w:val="00D730DF"/>
    <w:rsid w:val="00D772F0"/>
    <w:rsid w:val="00D77BDC"/>
    <w:rsid w:val="00DB3F9C"/>
    <w:rsid w:val="00DC402B"/>
    <w:rsid w:val="00DE0932"/>
    <w:rsid w:val="00E03A27"/>
    <w:rsid w:val="00E049F1"/>
    <w:rsid w:val="00E37A25"/>
    <w:rsid w:val="00E537FF"/>
    <w:rsid w:val="00E6539B"/>
    <w:rsid w:val="00E70A31"/>
    <w:rsid w:val="00E75A79"/>
    <w:rsid w:val="00EA3F38"/>
    <w:rsid w:val="00EA5AB6"/>
    <w:rsid w:val="00EC7615"/>
    <w:rsid w:val="00ED16AA"/>
    <w:rsid w:val="00ED7B22"/>
    <w:rsid w:val="00EF662E"/>
    <w:rsid w:val="00F148F1"/>
    <w:rsid w:val="00F52C43"/>
    <w:rsid w:val="00F65CAA"/>
    <w:rsid w:val="00F77F93"/>
    <w:rsid w:val="00FA3BBF"/>
    <w:rsid w:val="00FC41F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4B4D42B8-B2EE-4A06-97FE-A3E351B2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786598"/>
    <w:rPr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CallChar">
    <w:name w:val="Call Char"/>
    <w:link w:val="Call"/>
    <w:locked/>
    <w:rsid w:val="00F77F93"/>
    <w:rPr>
      <w:rFonts w:ascii="Times New Roman" w:hAnsi="Times New Roman"/>
      <w:i/>
      <w:sz w:val="24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77F93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R15-WRC15-C-0006!A23-A2-A2!MSW-F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2E4FB-CEEA-489D-9113-AA9AC4E7AC21}">
  <ds:schemaRefs>
    <ds:schemaRef ds:uri="http://schemas.microsoft.com/office/2006/documentManagement/types"/>
    <ds:schemaRef ds:uri="http://www.w3.org/XML/1998/namespace"/>
    <ds:schemaRef ds:uri="996b2e75-67fd-4955-a3b0-5ab9934cb50b"/>
    <ds:schemaRef ds:uri="http://schemas.microsoft.com/office/2006/metadata/properties"/>
    <ds:schemaRef ds:uri="http://purl.org/dc/terms/"/>
    <ds:schemaRef ds:uri="http://purl.org/dc/dcmitype/"/>
    <ds:schemaRef ds:uri="32a1a8c5-2265-4ebc-b7a0-2071e2c5c9bb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D010F7A-8D0F-4C8A-BF58-A55355BC8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1800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R15-WRC15-C-0006!A23-A2-A2!MSW-F</vt:lpstr>
    </vt:vector>
  </TitlesOfParts>
  <Manager>Secrétariat général - Pool</Manager>
  <Company>Union internationale des télécommunications (UIT)</Company>
  <LinksUpToDate>false</LinksUpToDate>
  <CharactersWithSpaces>11468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R15-WRC15-C-0006!A23-A2-A2!MSW-F</dc:title>
  <dc:subject>Conférence mondiale des radiocommunications - 2015</dc:subject>
  <dc:creator>Documents Proposals Manager (DPM)</dc:creator>
  <cp:keywords>DPM_v5.2015.10.15_prod</cp:keywords>
  <dc:description/>
  <cp:lastModifiedBy>Alidra, Patricia</cp:lastModifiedBy>
  <cp:revision>29</cp:revision>
  <cp:lastPrinted>2015-10-26T14:07:00Z</cp:lastPrinted>
  <dcterms:created xsi:type="dcterms:W3CDTF">2015-10-22T21:07:00Z</dcterms:created>
  <dcterms:modified xsi:type="dcterms:W3CDTF">2015-10-27T07:04:00Z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