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8228CE"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8228CE">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8228CE" w:rsidRDefault="003E1608" w:rsidP="008228CE">
            <w:pPr>
              <w:pStyle w:val="Adress"/>
              <w:framePr w:hSpace="0" w:wrap="auto" w:xAlign="left" w:yAlign="inline"/>
            </w:pPr>
            <w:r w:rsidRPr="008228CE">
              <w:rPr>
                <w:rtl/>
              </w:rPr>
              <w:t xml:space="preserve">الإضافة </w:t>
            </w:r>
            <w:r w:rsidRPr="008228CE">
              <w:t>3</w:t>
            </w:r>
            <w:r w:rsidRPr="008228CE">
              <w:br/>
            </w:r>
            <w:r w:rsidRPr="008228CE">
              <w:rPr>
                <w:rtl/>
              </w:rPr>
              <w:t xml:space="preserve">للوثيقة </w:t>
            </w:r>
            <w:r w:rsidRPr="008228CE">
              <w:t>6(Add.23)(Add.2)-</w:t>
            </w:r>
            <w:r w:rsidR="008228CE" w:rsidRPr="008228CE">
              <w:t>A</w:t>
            </w:r>
            <w:r w:rsidRPr="008228CE">
              <w:t xml:space="preserve"> </w:t>
            </w:r>
          </w:p>
        </w:tc>
      </w:tr>
      <w:tr w:rsidR="00764079" w:rsidTr="003E1608">
        <w:trPr>
          <w:cantSplit/>
        </w:trPr>
        <w:tc>
          <w:tcPr>
            <w:tcW w:w="6619" w:type="dxa"/>
            <w:shd w:val="clear" w:color="auto" w:fill="auto"/>
          </w:tcPr>
          <w:p w:rsidR="00764079" w:rsidRPr="008228CE" w:rsidRDefault="00764079" w:rsidP="00D44350">
            <w:pPr>
              <w:pStyle w:val="Adress"/>
              <w:framePr w:hSpace="0" w:wrap="auto" w:xAlign="left" w:yAlign="inline"/>
              <w:rPr>
                <w:rtl/>
              </w:rPr>
            </w:pPr>
          </w:p>
        </w:tc>
        <w:tc>
          <w:tcPr>
            <w:tcW w:w="3053" w:type="dxa"/>
            <w:shd w:val="clear" w:color="auto" w:fill="auto"/>
            <w:vAlign w:val="center"/>
          </w:tcPr>
          <w:p w:rsidR="00764079" w:rsidRPr="008228CE" w:rsidRDefault="00764079" w:rsidP="00D44350">
            <w:pPr>
              <w:pStyle w:val="Adress"/>
              <w:framePr w:hSpace="0" w:wrap="auto" w:xAlign="left" w:yAlign="inline"/>
              <w:rPr>
                <w:rtl/>
              </w:rPr>
            </w:pPr>
            <w:r w:rsidRPr="008228CE">
              <w:t>14</w:t>
            </w:r>
            <w:r w:rsidRPr="008228CE">
              <w:rPr>
                <w:rtl/>
              </w:rPr>
              <w:t xml:space="preserve"> أكتوبر </w:t>
            </w:r>
            <w:r w:rsidRPr="008228CE">
              <w:t>2015</w:t>
            </w:r>
          </w:p>
        </w:tc>
      </w:tr>
      <w:tr w:rsidR="00764079" w:rsidTr="003E1608">
        <w:trPr>
          <w:cantSplit/>
        </w:trPr>
        <w:tc>
          <w:tcPr>
            <w:tcW w:w="6619" w:type="dxa"/>
          </w:tcPr>
          <w:p w:rsidR="00764079" w:rsidRPr="008228CE" w:rsidRDefault="00764079" w:rsidP="00D44350">
            <w:pPr>
              <w:pStyle w:val="Adress"/>
              <w:framePr w:hSpace="0" w:wrap="auto" w:xAlign="left" w:yAlign="inline"/>
              <w:rPr>
                <w:rFonts w:eastAsia="SimSun" w:hint="eastAsia"/>
                <w:rtl/>
              </w:rPr>
            </w:pPr>
          </w:p>
        </w:tc>
        <w:tc>
          <w:tcPr>
            <w:tcW w:w="3053" w:type="dxa"/>
            <w:vAlign w:val="center"/>
          </w:tcPr>
          <w:p w:rsidR="00764079" w:rsidRPr="008228CE" w:rsidRDefault="00764079" w:rsidP="00D44350">
            <w:pPr>
              <w:pStyle w:val="Adress"/>
              <w:framePr w:hSpace="0" w:wrap="auto" w:xAlign="left" w:yAlign="inline"/>
            </w:pPr>
            <w:r w:rsidRPr="008228CE">
              <w:rPr>
                <w:rtl/>
              </w:rPr>
              <w:t>الأصل: بالإنكليزية</w:t>
            </w:r>
          </w:p>
        </w:tc>
      </w:tr>
      <w:tr w:rsidR="00764079" w:rsidTr="003E1608">
        <w:trPr>
          <w:cantSplit/>
        </w:trPr>
        <w:tc>
          <w:tcPr>
            <w:tcW w:w="9672" w:type="dxa"/>
            <w:gridSpan w:val="2"/>
          </w:tcPr>
          <w:p w:rsidR="00764079" w:rsidRPr="008228CE"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الولايات المتحدة الأمريكية</w:t>
            </w:r>
          </w:p>
        </w:tc>
      </w:tr>
      <w:tr w:rsidR="008228CE" w:rsidTr="003E1608">
        <w:trPr>
          <w:cantSplit/>
        </w:trPr>
        <w:tc>
          <w:tcPr>
            <w:tcW w:w="9672" w:type="dxa"/>
            <w:gridSpan w:val="2"/>
          </w:tcPr>
          <w:p w:rsidR="008228CE" w:rsidRPr="00BD6EF3" w:rsidRDefault="008228CE" w:rsidP="008228CE">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7B15B2">
            <w:pPr>
              <w:pStyle w:val="Agendaitem"/>
              <w:spacing w:before="240" w:line="192" w:lineRule="auto"/>
            </w:pPr>
            <w:r w:rsidRPr="008204AC">
              <w:rPr>
                <w:rtl/>
              </w:rPr>
              <w:t xml:space="preserve">البنـد </w:t>
            </w:r>
            <w:r w:rsidR="007B15B2">
              <w:rPr>
                <w:lang w:val="en-US"/>
              </w:rPr>
              <w:t>2.9</w:t>
            </w:r>
            <w:r w:rsidR="007B15B2">
              <w:rPr>
                <w:rFonts w:hint="cs"/>
                <w:rtl/>
                <w:lang w:val="en-US"/>
              </w:rPr>
              <w:t xml:space="preserve"> </w:t>
            </w:r>
            <w:r w:rsidRPr="008204AC">
              <w:rPr>
                <w:rtl/>
              </w:rPr>
              <w:t>من جدول الأعمال</w:t>
            </w:r>
          </w:p>
        </w:tc>
      </w:tr>
    </w:tbl>
    <w:p w:rsidR="00534840" w:rsidRPr="00431196" w:rsidRDefault="00BC4E2E" w:rsidP="00ED4791">
      <w:pPr>
        <w:pStyle w:val="Normalaftertitle"/>
        <w:rPr>
          <w:rFonts w:eastAsia="SimSun"/>
          <w:rtl/>
        </w:rPr>
      </w:pPr>
      <w:r w:rsidRPr="00431196">
        <w:rPr>
          <w:rFonts w:eastAsia="SimSun"/>
        </w:rPr>
        <w:t>9</w:t>
      </w:r>
      <w:r w:rsidRPr="00431196">
        <w:rPr>
          <w:rFonts w:eastAsia="SimSun" w:hint="cs"/>
          <w:rtl/>
        </w:rPr>
        <w:tab/>
        <w:t xml:space="preserve">النظر في تقرير مدير مكتب الاتصالات الراديوية وإقراره، وفقاً للمادة </w:t>
      </w:r>
      <w:r w:rsidRPr="00431196">
        <w:rPr>
          <w:rFonts w:eastAsia="SimSun"/>
        </w:rPr>
        <w:t>7</w:t>
      </w:r>
      <w:r w:rsidRPr="00431196">
        <w:rPr>
          <w:rFonts w:eastAsia="SimSun" w:hint="cs"/>
          <w:rtl/>
        </w:rPr>
        <w:t xml:space="preserve"> من الاتفاقية:</w:t>
      </w:r>
    </w:p>
    <w:p w:rsidR="00BE4A66" w:rsidRDefault="00BC4E2E" w:rsidP="00431196">
      <w:pPr>
        <w:rPr>
          <w:rFonts w:eastAsia="SimSun"/>
          <w:rtl/>
        </w:rPr>
      </w:pPr>
      <w:r w:rsidRPr="00431196">
        <w:rPr>
          <w:rFonts w:eastAsia="SimSun"/>
        </w:rPr>
        <w:t>2.9</w:t>
      </w:r>
      <w:r w:rsidRPr="00431196">
        <w:rPr>
          <w:rFonts w:eastAsia="SimSun" w:hint="cs"/>
          <w:rtl/>
        </w:rPr>
        <w:tab/>
        <w:t>بشأن أي صعوبات أو حالات تضارب ووجهت في تطبيق لوائح الراديو؛</w:t>
      </w:r>
    </w:p>
    <w:p w:rsidR="009E03AA" w:rsidRPr="008C1488" w:rsidRDefault="009E03AA" w:rsidP="00ED4791">
      <w:pPr>
        <w:spacing w:before="360" w:after="240"/>
        <w:rPr>
          <w:rFonts w:ascii="Times New Roman italic" w:hAnsi="Times New Roman italic"/>
          <w:i/>
          <w:iCs/>
          <w:rtl/>
          <w:lang w:bidi="ar-EG"/>
        </w:rPr>
      </w:pPr>
      <w:r w:rsidRPr="008C1488">
        <w:rPr>
          <w:rFonts w:ascii="Times New Roman Bold" w:hAnsi="Times New Roman Bold" w:hint="cs"/>
          <w:b/>
          <w:bCs/>
          <w:rtl/>
          <w:lang w:bidi="ar-EG"/>
        </w:rPr>
        <w:t>المسألة:</w:t>
      </w:r>
      <w:r w:rsidRPr="003A4543">
        <w:rPr>
          <w:rFonts w:ascii="Times New Roman italic" w:hAnsi="Times New Roman italic" w:hint="cs"/>
          <w:rtl/>
          <w:lang w:bidi="ar-EG"/>
        </w:rPr>
        <w:t xml:space="preserve"> </w:t>
      </w:r>
      <w:r w:rsidR="003A4543" w:rsidRPr="003A4543">
        <w:rPr>
          <w:rFonts w:ascii="Times New Roman italic" w:hAnsi="Times New Roman italic" w:hint="cs"/>
          <w:rtl/>
          <w:lang w:bidi="ar-EG"/>
        </w:rPr>
        <w:t xml:space="preserve"> </w:t>
      </w:r>
      <w:r w:rsidRPr="003A4543">
        <w:rPr>
          <w:rFonts w:ascii="Times New Roman italic" w:hAnsi="Times New Roman italic" w:hint="cs"/>
          <w:i/>
          <w:iCs/>
          <w:rtl/>
          <w:lang w:bidi="ar-EG"/>
        </w:rPr>
        <w:t xml:space="preserve">القسم </w:t>
      </w:r>
      <w:r w:rsidRPr="003A4543">
        <w:rPr>
          <w:rFonts w:ascii="Times New Roman italic" w:hAnsi="Times New Roman italic"/>
          <w:i/>
          <w:iCs/>
          <w:lang w:bidi="ar-EG"/>
        </w:rPr>
        <w:t>3.4.2.2.3</w:t>
      </w:r>
      <w:r w:rsidRPr="003A4543">
        <w:rPr>
          <w:rFonts w:ascii="Times New Roman italic" w:hAnsi="Times New Roman italic" w:hint="cs"/>
          <w:i/>
          <w:iCs/>
          <w:rtl/>
          <w:lang w:bidi="ar-EG"/>
        </w:rPr>
        <w:t xml:space="preserve"> التنسيق بين الأنظمة غير المستقرة بالنسبة إلى الأرض في الخدمة الثابتة الساتلية</w:t>
      </w:r>
    </w:p>
    <w:p w:rsidR="00F16602" w:rsidRDefault="009E03AA" w:rsidP="00D82F45">
      <w:pPr>
        <w:pStyle w:val="Headingb"/>
        <w:rPr>
          <w:rtl/>
        </w:rPr>
      </w:pPr>
      <w:r>
        <w:rPr>
          <w:rFonts w:hint="cs"/>
          <w:rtl/>
        </w:rPr>
        <w:t xml:space="preserve">معلومات </w:t>
      </w:r>
      <w:r w:rsidR="00DD7DF5">
        <w:rPr>
          <w:rFonts w:hint="cs"/>
          <w:rtl/>
        </w:rPr>
        <w:t>أ</w:t>
      </w:r>
      <w:r w:rsidR="00D82F45">
        <w:rPr>
          <w:rFonts w:hint="cs"/>
          <w:rtl/>
        </w:rPr>
        <w:t>ساسية</w:t>
      </w:r>
    </w:p>
    <w:p w:rsidR="00285D59" w:rsidRPr="00285D59" w:rsidRDefault="00285D59" w:rsidP="00285D59">
      <w:r w:rsidRPr="00285D59">
        <w:rPr>
          <w:rtl/>
        </w:rPr>
        <w:t>يرد في تقرير المدير أنه طُلب من المكتب توضيح إجراء التنسيق بين النظم غير المستقرة بالنسبة إلى الأرض، بوضع قائمة بمتطلبات التنسيق التنظيمية والعلاقات بين النظم والشبكات المعنية</w:t>
      </w:r>
      <w:r w:rsidRPr="00285D59">
        <w:t>.</w:t>
      </w:r>
      <w:r w:rsidRPr="00285D59">
        <w:rPr>
          <w:rtl/>
          <w:lang w:bidi="ar-EG"/>
        </w:rPr>
        <w:t xml:space="preserve"> </w:t>
      </w:r>
      <w:r w:rsidRPr="00285D59">
        <w:rPr>
          <w:rtl/>
        </w:rPr>
        <w:t>ويُستشهد في تقرير المدير بالقاعدة الإجرائية المتعلقة بالرقم</w:t>
      </w:r>
      <w:r>
        <w:rPr>
          <w:rFonts w:hint="cs"/>
          <w:rtl/>
        </w:rPr>
        <w:t> </w:t>
      </w:r>
      <w:r>
        <w:t>6.9</w:t>
      </w:r>
      <w:r>
        <w:rPr>
          <w:rFonts w:hint="cs"/>
          <w:rtl/>
          <w:lang w:bidi="ar-EG"/>
        </w:rPr>
        <w:t xml:space="preserve"> </w:t>
      </w:r>
      <w:r w:rsidRPr="00285D59">
        <w:rPr>
          <w:rtl/>
        </w:rPr>
        <w:t>من لوائح الراديو، حيث يشار إلى أن الغرض من الرقم</w:t>
      </w:r>
      <w:r>
        <w:rPr>
          <w:rFonts w:hint="cs"/>
          <w:rtl/>
        </w:rPr>
        <w:t> </w:t>
      </w:r>
      <w:r>
        <w:t>6.9</w:t>
      </w:r>
      <w:r w:rsidRPr="00285D59">
        <w:rPr>
          <w:rtl/>
        </w:rPr>
        <w:t xml:space="preserve"> هو تحديد هويات الإدارات التي يجب أن يوجَّه إليها طلب التنسيق، لا</w:t>
      </w:r>
      <w:r>
        <w:rPr>
          <w:rFonts w:hint="cs"/>
          <w:rtl/>
        </w:rPr>
        <w:t> </w:t>
      </w:r>
      <w:r w:rsidRPr="00285D59">
        <w:rPr>
          <w:rtl/>
        </w:rPr>
        <w:t>تبيان ترتيب الأولويات فيما يخص حق الحصول على موقع مداري معيَّن، وأن عملية التنسيق عملية تجري في الاتجاهين، وأنه لا</w:t>
      </w:r>
      <w:r>
        <w:rPr>
          <w:rFonts w:hint="cs"/>
          <w:rtl/>
        </w:rPr>
        <w:t> </w:t>
      </w:r>
      <w:r w:rsidRPr="00285D59">
        <w:rPr>
          <w:rtl/>
        </w:rPr>
        <w:t>تحظى أي إدارة بأي أولوية خاصة نتيجةً لكونها الأولى في بدء مرحلة النشر المسبق أو طلب إجراء التنسيق</w:t>
      </w:r>
      <w:r w:rsidRPr="00285D59">
        <w:t>.</w:t>
      </w:r>
    </w:p>
    <w:p w:rsidR="00285D59" w:rsidRPr="00285D59" w:rsidRDefault="00285D59" w:rsidP="00285D59">
      <w:r w:rsidRPr="00285D59">
        <w:rPr>
          <w:rtl/>
        </w:rPr>
        <w:t>ويلاحَظ في تقرير المدير أن تنسيق ما يعمل في الخدمة الثابتة الساتلية من النظم غير المستقرة بالنسبة إلى الأرض المبلَّغ عنها حديثاً لا</w:t>
      </w:r>
      <w:r>
        <w:rPr>
          <w:rFonts w:hint="cs"/>
          <w:rtl/>
        </w:rPr>
        <w:t> </w:t>
      </w:r>
      <w:r w:rsidRPr="00285D59">
        <w:rPr>
          <w:rtl/>
        </w:rPr>
        <w:t>يستند إلا إلى تراكب الترددات وأنه، على الرغم من إعداد توصيات لقطاع الاتصالات الراديوية تساق فيها أمثلة على حسابات للتداخل تشمل نظماً غير مستقرة بالنسبة إلى الأرض ويوصَف مختلف معايير حماية الخدمة الثابتة الساتلية، لم يُتَّفق حتى الآن ضمن قطاع الاتصالات الراديوية على أي منهجية لتقييم التوافق بين الأنظمة غير المستقرة بالنسبة إلى الأرض في الخدمة الثابتة الساتلية</w:t>
      </w:r>
      <w:r w:rsidRPr="00285D59">
        <w:t>.</w:t>
      </w:r>
    </w:p>
    <w:p w:rsidR="00285D59" w:rsidRPr="00285D59" w:rsidRDefault="00285D59" w:rsidP="003A4543">
      <w:r w:rsidRPr="00285D59">
        <w:rPr>
          <w:rtl/>
        </w:rPr>
        <w:t xml:space="preserve">كما يتزايد التقدم إلى المكتب بطلبات للحصول على معلومات بشأن الطرائق والنهوج الممكن اتّباعها لإجراء التنسيق </w:t>
      </w:r>
      <w:r w:rsidRPr="008C1488">
        <w:rPr>
          <w:rtl/>
          <w:lang w:bidi="ar-EG"/>
        </w:rPr>
        <w:t>بين النظم غير المستقرة بالنسبة إلى الأرض في الخدمة الثابتة الساتلية</w:t>
      </w:r>
      <w:r w:rsidRPr="00285D59">
        <w:rPr>
          <w:rtl/>
        </w:rPr>
        <w:t xml:space="preserve">. وحتى الآن أوصى المكتب الأطراف المعنية بأن تتّفق على أساس ثنائي </w:t>
      </w:r>
      <w:r w:rsidRPr="00285D59">
        <w:rPr>
          <w:rtl/>
        </w:rPr>
        <w:lastRenderedPageBreak/>
        <w:t xml:space="preserve">بشأن المنهجية التي ينبغي اتّباعها. بيد أن طبيعة ما بُلِّغ عنه حتى الآن من </w:t>
      </w:r>
      <w:r w:rsidRPr="008C1488">
        <w:rPr>
          <w:rtl/>
          <w:lang w:bidi="ar-EG"/>
        </w:rPr>
        <w:t>النظم غير المستقرة بالنسبة إلى الأرض في الخدمة الثابتة الساتلية،</w:t>
      </w:r>
      <w:r w:rsidRPr="00285D59">
        <w:rPr>
          <w:rtl/>
          <w:lang w:bidi="ar-EG"/>
        </w:rPr>
        <w:t xml:space="preserve"> </w:t>
      </w:r>
      <w:r w:rsidRPr="00285D59">
        <w:rPr>
          <w:rtl/>
        </w:rPr>
        <w:t>التي تتضمن أعداداً طائلة من السواتل التي لها طائفة واسعة من الخصائص المدارية وتغطية عالمية لسطح الأرض المرئي، قد</w:t>
      </w:r>
      <w:r w:rsidR="003A4543">
        <w:rPr>
          <w:rFonts w:hint="cs"/>
          <w:rtl/>
        </w:rPr>
        <w:t> </w:t>
      </w:r>
      <w:r w:rsidRPr="00285D59">
        <w:rPr>
          <w:rtl/>
        </w:rPr>
        <w:t>تتطلب نهوجاً للتنسيق مبتكرة</w:t>
      </w:r>
      <w:r w:rsidRPr="00285D59">
        <w:t>.</w:t>
      </w:r>
    </w:p>
    <w:p w:rsidR="00285D59" w:rsidRPr="00285D59" w:rsidRDefault="00285D59" w:rsidP="00285D59">
      <w:r w:rsidRPr="00285D59">
        <w:rPr>
          <w:rtl/>
          <w:lang w:bidi="ar-EG"/>
        </w:rPr>
        <w:t>و</w:t>
      </w:r>
      <w:r w:rsidRPr="00285D59">
        <w:rPr>
          <w:rtl/>
        </w:rPr>
        <w:t xml:space="preserve">يقترح المكتب إمكان موافقة الإدارات على نهج تنسيقي أكثر دينامية، كأن تأخذ بنهج يراعي مزامنة المدارات، والتكنولوجيا، واستعمال النظم في الوقت الفعلي فيما يخص جميع </w:t>
      </w:r>
      <w:r w:rsidRPr="008C1488">
        <w:rPr>
          <w:rtl/>
          <w:lang w:bidi="ar-EG"/>
        </w:rPr>
        <w:t>ما يعمل من النظم غير المستقرة بالنسبة إلى الأرض في</w:t>
      </w:r>
      <w:r w:rsidRPr="008C1488">
        <w:rPr>
          <w:rFonts w:hint="cs"/>
          <w:rtl/>
          <w:lang w:bidi="ar-EG"/>
        </w:rPr>
        <w:t> </w:t>
      </w:r>
      <w:r w:rsidRPr="008C1488">
        <w:rPr>
          <w:rtl/>
          <w:lang w:bidi="ar-EG"/>
        </w:rPr>
        <w:t>الخدمة الثابتة الساتلية</w:t>
      </w:r>
      <w:r w:rsidRPr="00285D59">
        <w:rPr>
          <w:rtl/>
          <w:lang w:bidi="ar-EG"/>
        </w:rPr>
        <w:t>.</w:t>
      </w:r>
    </w:p>
    <w:p w:rsidR="00285D59" w:rsidRDefault="00285D59" w:rsidP="00285D59">
      <w:pPr>
        <w:pStyle w:val="Headingb"/>
      </w:pPr>
      <w:r>
        <w:rPr>
          <w:rtl/>
        </w:rPr>
        <w:t>هدف المقترح</w:t>
      </w:r>
    </w:p>
    <w:p w:rsidR="00285D59" w:rsidRPr="00285D59" w:rsidRDefault="00285D59" w:rsidP="00285D59">
      <w:r w:rsidRPr="00285D59">
        <w:rPr>
          <w:rtl/>
          <w:lang w:bidi="ar-JO"/>
        </w:rPr>
        <w:t>إن التبليغات التي جرت حديثاً فيما يخص النظم الساتلية غير المستقرة بالنسبة إلى الأرض في الخدمة الثابتة الساتلية كثيرة وقد تستلزم من الإدارات القدرة على تذليل مسألة التوافق فيما بين هذه النظم بصورة دينامية في الوقت الفعلي، ما قد تتعذر التهيئة له في</w:t>
      </w:r>
      <w:r>
        <w:rPr>
          <w:rFonts w:hint="cs"/>
          <w:rtl/>
          <w:lang w:bidi="ar-JO"/>
        </w:rPr>
        <w:t> </w:t>
      </w:r>
      <w:r w:rsidRPr="00285D59">
        <w:rPr>
          <w:rtl/>
          <w:lang w:bidi="ar-JO"/>
        </w:rPr>
        <w:t>إطار إجراءات التنسيق الثنائي المعمول بها حالياً. وقد يتاح للإدارات المعنية خيار للتنسيق على أساس متعدد الأطراف يتمثَّل في</w:t>
      </w:r>
      <w:r>
        <w:rPr>
          <w:rFonts w:hint="cs"/>
          <w:rtl/>
          <w:lang w:bidi="ar-JO"/>
        </w:rPr>
        <w:t> </w:t>
      </w:r>
      <w:r w:rsidRPr="00285D59">
        <w:rPr>
          <w:rtl/>
          <w:lang w:bidi="ar-JO"/>
        </w:rPr>
        <w:t>اتّباع نهج متَّسم بمزيد من التعاون بين الإدارات/جهات التشغيل المعنية بشأن تنسيق النظم غير المستقرة بالنسبة إلى الأرض في</w:t>
      </w:r>
      <w:r>
        <w:rPr>
          <w:rFonts w:hint="cs"/>
          <w:rtl/>
          <w:lang w:bidi="ar-JO"/>
        </w:rPr>
        <w:t> </w:t>
      </w:r>
      <w:r w:rsidRPr="00285D59">
        <w:rPr>
          <w:rtl/>
          <w:lang w:bidi="ar-JO"/>
        </w:rPr>
        <w:t>الخدمة الثابتة الساتلية، يتخطى حدود النهج الثنائي التقليدي. ويمكن أن يفضي ذلك إلى إنجاز التنسيق على نحو أسرع.</w:t>
      </w:r>
    </w:p>
    <w:p w:rsidR="00285D59" w:rsidRPr="00285D59" w:rsidRDefault="00285D59" w:rsidP="00285D59">
      <w:r w:rsidRPr="00285D59">
        <w:rPr>
          <w:rtl/>
          <w:lang w:bidi="ar-JO"/>
        </w:rPr>
        <w:t xml:space="preserve">ويجوز لكل إدارة أن تطلب المساعدة من المكتب أو من اللجنة في تطبيق إجراءات التنسيق والتبليغ وتسجيل تخصيصات التردد بموجب لوائح الراديو (كما تقضي به مثلاً أحكام الأرقام </w:t>
      </w:r>
      <w:r w:rsidRPr="00285D59">
        <w:t>5.7</w:t>
      </w:r>
      <w:r w:rsidRPr="00285D59">
        <w:rPr>
          <w:rtl/>
          <w:lang w:bidi="ar-JO"/>
        </w:rPr>
        <w:t xml:space="preserve"> و</w:t>
      </w:r>
      <w:r w:rsidRPr="00285D59">
        <w:t>5B.9</w:t>
      </w:r>
      <w:r w:rsidRPr="00285D59">
        <w:rPr>
          <w:rtl/>
          <w:lang w:bidi="ar-JO"/>
        </w:rPr>
        <w:t xml:space="preserve"> و</w:t>
      </w:r>
      <w:r w:rsidRPr="00285D59">
        <w:t>33.9</w:t>
      </w:r>
      <w:r w:rsidRPr="00285D59">
        <w:rPr>
          <w:rtl/>
          <w:lang w:bidi="ar-JO"/>
        </w:rPr>
        <w:t>، إلخ</w:t>
      </w:r>
      <w:r w:rsidR="003A4543">
        <w:rPr>
          <w:rFonts w:hint="cs"/>
          <w:rtl/>
          <w:lang w:bidi="ar-JO"/>
        </w:rPr>
        <w:t>.</w:t>
      </w:r>
      <w:r w:rsidRPr="00285D59">
        <w:rPr>
          <w:rtl/>
          <w:lang w:bidi="ar-JO"/>
        </w:rPr>
        <w:t>). وانطلاقاً من الاعتراف بكثرة التبليغات التي جرت مؤخراً قد يكون من المستحسَن أن يخوَّل مدير مكتب الاتصالات الراديوية صلاحية دعوة الجهات التي تتولى تشغيل النظم غير المستقرة بالنسبة إلى الأرض في الخدمة الثابتة الساتلية إلى اجتماع تنسيق متعدد الأطراف تكون المشاركة فيه طوعية.</w:t>
      </w:r>
    </w:p>
    <w:p w:rsidR="00285D59" w:rsidRPr="00285D59" w:rsidRDefault="00285D59" w:rsidP="00ED4791">
      <w:r w:rsidRPr="00285D59">
        <w:rPr>
          <w:rtl/>
          <w:lang w:bidi="ar-JO"/>
        </w:rPr>
        <w:t>بيد أن الولايات المتحدة الأمريكية تنب</w:t>
      </w:r>
      <w:r w:rsidRPr="00285D59">
        <w:rPr>
          <w:rtl/>
          <w:lang w:bidi="ar-EG"/>
        </w:rPr>
        <w:t>ِّ</w:t>
      </w:r>
      <w:r w:rsidRPr="00285D59">
        <w:rPr>
          <w:rtl/>
          <w:lang w:bidi="ar-JO"/>
        </w:rPr>
        <w:t>ه إلى أنه لا يمكن تناول التنسيق فيما بين النظم غير المستقرة بالنسبة إلى الأرض في</w:t>
      </w:r>
      <w:r w:rsidR="00ED4791">
        <w:rPr>
          <w:rFonts w:hint="cs"/>
          <w:rtl/>
          <w:lang w:bidi="ar-JO"/>
        </w:rPr>
        <w:t> </w:t>
      </w:r>
      <w:r w:rsidRPr="00285D59">
        <w:rPr>
          <w:rtl/>
          <w:lang w:bidi="ar-JO"/>
        </w:rPr>
        <w:t>الخدمة الثابتة الساتلية بمعزل عن غيره. فالكثير من ال</w:t>
      </w:r>
      <w:r w:rsidR="00ED2C71">
        <w:rPr>
          <w:rtl/>
          <w:lang w:bidi="ar-JO"/>
        </w:rPr>
        <w:t>نطاقات</w:t>
      </w:r>
      <w:r w:rsidRPr="00285D59">
        <w:rPr>
          <w:rtl/>
          <w:lang w:bidi="ar-JO"/>
        </w:rPr>
        <w:t xml:space="preserve"> التي تحظى بالاهتمام متقاسَم مع شبكاتٍ ساتليةٍ مستقرة بالنسبة إلى الأرض ومحطاتٍ غير مستقرة بالنسبة إلى الأرض عاملةٍ أو مزمَعٍ إعمالها من محطات وصلات التغذية الخاصة بالخدمة الثابتة الساتلية الداعمة للخدمة المتنقلة الساتلية، ومع خدمات الأرض القائمة.</w:t>
      </w:r>
    </w:p>
    <w:p w:rsidR="002919E1" w:rsidRPr="002919E1" w:rsidRDefault="008F4626" w:rsidP="00344237">
      <w:pPr>
        <w:rPr>
          <w:noProof/>
          <w:rtl/>
          <w:lang w:bidi="ar-EG"/>
        </w:rPr>
      </w:pPr>
      <w:r w:rsidRPr="002919E1">
        <w:rPr>
          <w:rtl/>
        </w:rPr>
        <w:br w:type="page"/>
      </w:r>
    </w:p>
    <w:p w:rsidR="0096096A" w:rsidRDefault="00BC4E2E">
      <w:pPr>
        <w:pStyle w:val="Proposal"/>
      </w:pPr>
      <w:r>
        <w:lastRenderedPageBreak/>
        <w:t>ADD</w:t>
      </w:r>
      <w:r>
        <w:tab/>
        <w:t>USA/6A23A2A3/1</w:t>
      </w:r>
      <w:r w:rsidR="003A4543">
        <w:rPr>
          <w:rFonts w:hint="cs"/>
          <w:rtl/>
        </w:rPr>
        <w:t> </w:t>
      </w:r>
    </w:p>
    <w:p w:rsidR="0096096A" w:rsidRPr="00D22E53" w:rsidRDefault="00BC4E2E" w:rsidP="00285D59">
      <w:pPr>
        <w:pStyle w:val="ResNo"/>
        <w:rPr>
          <w:sz w:val="26"/>
          <w:szCs w:val="36"/>
        </w:rPr>
      </w:pPr>
      <w:r w:rsidRPr="00D22E53">
        <w:rPr>
          <w:sz w:val="26"/>
          <w:szCs w:val="36"/>
          <w:rtl/>
        </w:rPr>
        <w:t xml:space="preserve">مشـروع قـرار جديـد </w:t>
      </w:r>
      <w:r w:rsidRPr="00D22E53">
        <w:rPr>
          <w:sz w:val="26"/>
          <w:szCs w:val="36"/>
        </w:rPr>
        <w:t>[USA</w:t>
      </w:r>
      <w:r w:rsidR="00285D59">
        <w:rPr>
          <w:sz w:val="26"/>
          <w:szCs w:val="36"/>
        </w:rPr>
        <w:noBreakHyphen/>
      </w:r>
      <w:r w:rsidRPr="00D22E53">
        <w:rPr>
          <w:sz w:val="26"/>
          <w:szCs w:val="36"/>
        </w:rPr>
        <w:t>A92</w:t>
      </w:r>
      <w:r w:rsidR="00285D59">
        <w:rPr>
          <w:sz w:val="26"/>
          <w:szCs w:val="36"/>
        </w:rPr>
        <w:noBreakHyphen/>
      </w:r>
      <w:r w:rsidRPr="00D22E53">
        <w:rPr>
          <w:sz w:val="26"/>
          <w:szCs w:val="36"/>
        </w:rPr>
        <w:t>NON</w:t>
      </w:r>
      <w:r w:rsidR="00285D59">
        <w:rPr>
          <w:sz w:val="26"/>
          <w:szCs w:val="36"/>
        </w:rPr>
        <w:noBreakHyphen/>
      </w:r>
      <w:r w:rsidRPr="00D22E53">
        <w:rPr>
          <w:sz w:val="26"/>
          <w:szCs w:val="36"/>
        </w:rPr>
        <w:t>GSO</w:t>
      </w:r>
      <w:r w:rsidR="00285D59">
        <w:rPr>
          <w:sz w:val="26"/>
          <w:szCs w:val="36"/>
        </w:rPr>
        <w:t> </w:t>
      </w:r>
      <w:r w:rsidRPr="00D22E53">
        <w:rPr>
          <w:sz w:val="26"/>
          <w:szCs w:val="36"/>
        </w:rPr>
        <w:t>FSS]</w:t>
      </w:r>
      <w:r w:rsidR="00285D59">
        <w:rPr>
          <w:sz w:val="26"/>
          <w:szCs w:val="36"/>
        </w:rPr>
        <w:t> (WRC</w:t>
      </w:r>
      <w:r w:rsidR="00285D59">
        <w:rPr>
          <w:sz w:val="26"/>
          <w:szCs w:val="36"/>
        </w:rPr>
        <w:noBreakHyphen/>
        <w:t>15)</w:t>
      </w:r>
    </w:p>
    <w:p w:rsidR="00285D59" w:rsidRDefault="00285D59" w:rsidP="00285D59">
      <w:pPr>
        <w:pStyle w:val="Restitle"/>
        <w:rPr>
          <w:lang w:bidi="ar-JO"/>
        </w:rPr>
      </w:pPr>
      <w:r w:rsidRPr="00285D59">
        <w:rPr>
          <w:rtl/>
          <w:lang w:bidi="ar-JO"/>
        </w:rPr>
        <w:t xml:space="preserve">الدراسات المتعلقة بالتنسيق بين النظم غير المستقرة بالنسبة إلى الأرض في الخدمة الثابتة الساتلية العاملة في بعض </w:t>
      </w:r>
      <w:r w:rsidR="00ED2C71">
        <w:rPr>
          <w:rtl/>
          <w:lang w:bidi="ar-JO"/>
        </w:rPr>
        <w:t>نطاقات</w:t>
      </w:r>
      <w:r w:rsidRPr="00285D59">
        <w:rPr>
          <w:rtl/>
          <w:lang w:bidi="ar-JO"/>
        </w:rPr>
        <w:t xml:space="preserve"> التردد، ووسائل تيسير اجتماعات </w:t>
      </w:r>
      <w:r>
        <w:rPr>
          <w:lang w:bidi="ar-JO"/>
        </w:rPr>
        <w:br/>
      </w:r>
      <w:r w:rsidRPr="00285D59">
        <w:rPr>
          <w:rtl/>
          <w:lang w:bidi="ar-JO"/>
        </w:rPr>
        <w:t>التنسيق المتعددة الأطراف بين الإدارات</w:t>
      </w:r>
    </w:p>
    <w:p w:rsidR="00285D59" w:rsidRPr="00285D59" w:rsidRDefault="00285D59" w:rsidP="00285D59">
      <w:pPr>
        <w:rPr>
          <w:lang w:bidi="ar-JO"/>
        </w:rPr>
      </w:pPr>
      <w:r w:rsidRPr="00285D59">
        <w:rPr>
          <w:rtl/>
          <w:lang w:bidi="ar-JO"/>
        </w:rPr>
        <w:t xml:space="preserve">إن المؤتمر العالمي للاتصالات الراديوية (جنيف، </w:t>
      </w:r>
      <w:r w:rsidRPr="00285D59">
        <w:rPr>
          <w:lang w:bidi="ar-JO"/>
        </w:rPr>
        <w:t>2015</w:t>
      </w:r>
      <w:r>
        <w:rPr>
          <w:rtl/>
          <w:lang w:bidi="ar-JO"/>
        </w:rPr>
        <w:t>)،</w:t>
      </w:r>
    </w:p>
    <w:p w:rsidR="00285D59" w:rsidRPr="00285D59" w:rsidRDefault="00285D59" w:rsidP="00285D59">
      <w:pPr>
        <w:pStyle w:val="Call"/>
        <w:rPr>
          <w:lang w:bidi="ar-JO"/>
        </w:rPr>
      </w:pPr>
      <w:r w:rsidRPr="00285D59">
        <w:rPr>
          <w:rtl/>
          <w:lang w:bidi="ar-JO"/>
        </w:rPr>
        <w:t>إذ يضع في اعتباره</w:t>
      </w:r>
    </w:p>
    <w:p w:rsidR="00285D59" w:rsidRPr="00285D59" w:rsidRDefault="00ED4791" w:rsidP="00285D59">
      <w:pPr>
        <w:rPr>
          <w:lang w:bidi="ar-JO"/>
        </w:rPr>
      </w:pPr>
      <w:r>
        <w:rPr>
          <w:rFonts w:hint="cs"/>
          <w:i/>
          <w:iCs/>
          <w:rtl/>
          <w:lang w:bidi="ar-JO"/>
        </w:rPr>
        <w:t> </w:t>
      </w:r>
      <w:r w:rsidR="00285D59" w:rsidRPr="00285D59">
        <w:rPr>
          <w:i/>
          <w:iCs/>
          <w:rtl/>
          <w:lang w:bidi="ar-JO"/>
        </w:rPr>
        <w:t>أ</w:t>
      </w:r>
      <w:r>
        <w:rPr>
          <w:rFonts w:hint="cs"/>
          <w:i/>
          <w:iCs/>
          <w:rtl/>
          <w:lang w:bidi="ar-JO"/>
        </w:rPr>
        <w:t> </w:t>
      </w:r>
      <w:r w:rsidR="00285D59" w:rsidRPr="00285D59">
        <w:rPr>
          <w:i/>
          <w:iCs/>
          <w:rtl/>
          <w:lang w:bidi="ar-JO"/>
        </w:rPr>
        <w:t>)</w:t>
      </w:r>
      <w:r w:rsidR="00285D59" w:rsidRPr="00285D59">
        <w:rPr>
          <w:rtl/>
          <w:lang w:bidi="ar-JO"/>
        </w:rPr>
        <w:tab/>
        <w:t xml:space="preserve">أنه، حتى تاريخه، تسنّى للنظم غير المستقرة بالنسبة إلى الأرض </w:t>
      </w:r>
      <w:r w:rsidR="00A04726" w:rsidRPr="00B4605A">
        <w:t>(non-GSO)</w:t>
      </w:r>
      <w:r w:rsidR="00A04726">
        <w:rPr>
          <w:rFonts w:hint="cs"/>
          <w:rtl/>
          <w:lang w:bidi="ar-JO"/>
        </w:rPr>
        <w:t xml:space="preserve"> </w:t>
      </w:r>
      <w:r w:rsidR="00285D59" w:rsidRPr="00285D59">
        <w:rPr>
          <w:rtl/>
          <w:lang w:bidi="ar-JO"/>
        </w:rPr>
        <w:t xml:space="preserve">في الخدمة الثابتة الساتلية </w:t>
      </w:r>
      <w:r w:rsidR="00A04726" w:rsidRPr="00B4605A">
        <w:t>(FSS)</w:t>
      </w:r>
      <w:r w:rsidR="00A04726">
        <w:rPr>
          <w:rFonts w:hint="cs"/>
          <w:rtl/>
          <w:lang w:bidi="ar-JO"/>
        </w:rPr>
        <w:t xml:space="preserve"> </w:t>
      </w:r>
      <w:r w:rsidR="00285D59" w:rsidRPr="00285D59">
        <w:rPr>
          <w:rtl/>
          <w:lang w:bidi="ar-JO"/>
        </w:rPr>
        <w:t xml:space="preserve">تذليل مسائل عدم التوافق بين النظم على أساس ثنائي بموجب القسمين </w:t>
      </w:r>
      <w:r w:rsidR="00285D59" w:rsidRPr="00285D59">
        <w:rPr>
          <w:lang w:val="en-GB" w:bidi="ar-JO"/>
        </w:rPr>
        <w:t>I</w:t>
      </w:r>
      <w:r w:rsidR="00285D59" w:rsidRPr="00285D59">
        <w:rPr>
          <w:rtl/>
          <w:lang w:bidi="ar-JO"/>
        </w:rPr>
        <w:t xml:space="preserve"> و</w:t>
      </w:r>
      <w:r w:rsidR="00285D59" w:rsidRPr="00285D59">
        <w:rPr>
          <w:lang w:bidi="ar-JO"/>
        </w:rPr>
        <w:t>II</w:t>
      </w:r>
      <w:r w:rsidR="00285D59" w:rsidRPr="00285D59">
        <w:rPr>
          <w:rtl/>
          <w:lang w:bidi="ar-JO"/>
        </w:rPr>
        <w:t xml:space="preserve"> من المادة</w:t>
      </w:r>
      <w:r w:rsidR="00285D59">
        <w:rPr>
          <w:rFonts w:hint="cs"/>
          <w:rtl/>
          <w:lang w:bidi="ar-JO"/>
        </w:rPr>
        <w:t> </w:t>
      </w:r>
      <w:r w:rsidR="00285D59" w:rsidRPr="00ED4791">
        <w:rPr>
          <w:b/>
          <w:bCs/>
          <w:lang w:bidi="ar-JO"/>
        </w:rPr>
        <w:t>9</w:t>
      </w:r>
      <w:r w:rsidR="00285D59" w:rsidRPr="00285D59">
        <w:rPr>
          <w:rtl/>
          <w:lang w:bidi="ar-JO"/>
        </w:rPr>
        <w:t>؛</w:t>
      </w:r>
    </w:p>
    <w:p w:rsidR="00285D59" w:rsidRPr="00285D59" w:rsidRDefault="00285D59" w:rsidP="00285D59">
      <w:pPr>
        <w:rPr>
          <w:rtl/>
          <w:lang w:bidi="ar-EG"/>
        </w:rPr>
      </w:pPr>
      <w:r w:rsidRPr="00285D59">
        <w:rPr>
          <w:i/>
          <w:iCs/>
          <w:rtl/>
          <w:lang w:bidi="ar-JO"/>
        </w:rPr>
        <w:t>ب)</w:t>
      </w:r>
      <w:r w:rsidRPr="00285D59">
        <w:rPr>
          <w:rtl/>
          <w:lang w:bidi="ar-JO"/>
        </w:rPr>
        <w:tab/>
        <w:t>أن هناك نظماً عدة غير مستقرة بالنسبة إلى الأرض يجري التخطيط لإقامتها وإعمالها في إطار الخدمة الثابتة الساتلية</w:t>
      </w:r>
      <w:r w:rsidR="004457AE">
        <w:rPr>
          <w:rFonts w:hint="cs"/>
          <w:rtl/>
          <w:lang w:bidi="ar-JO"/>
        </w:rPr>
        <w:t> </w:t>
      </w:r>
      <w:r w:rsidR="004457AE" w:rsidRPr="00B4605A">
        <w:t>(FSS)</w:t>
      </w:r>
      <w:r w:rsidRPr="00285D59">
        <w:rPr>
          <w:rtl/>
          <w:lang w:bidi="ar-JO"/>
        </w:rPr>
        <w:t xml:space="preserve"> في </w:t>
      </w:r>
      <w:r w:rsidR="00ED2C71">
        <w:rPr>
          <w:rtl/>
          <w:lang w:bidi="ar-JO"/>
        </w:rPr>
        <w:t>نطاقات</w:t>
      </w:r>
      <w:r w:rsidRPr="00285D59">
        <w:rPr>
          <w:rtl/>
          <w:lang w:bidi="ar-JO"/>
        </w:rPr>
        <w:t xml:space="preserve"> التردد </w:t>
      </w:r>
      <w:r w:rsidRPr="00285D59">
        <w:rPr>
          <w:lang w:bidi="ar-JO"/>
        </w:rPr>
        <w:t>GHz</w:t>
      </w:r>
      <w:r>
        <w:rPr>
          <w:lang w:bidi="ar-JO"/>
        </w:rPr>
        <w:t> </w:t>
      </w:r>
      <w:r w:rsidRPr="00285D59">
        <w:rPr>
          <w:lang w:bidi="ar-JO"/>
        </w:rPr>
        <w:t>13,25</w:t>
      </w:r>
      <w:r>
        <w:rPr>
          <w:lang w:bidi="ar-JO"/>
        </w:rPr>
        <w:noBreakHyphen/>
      </w:r>
      <w:r w:rsidRPr="00285D59">
        <w:rPr>
          <w:lang w:bidi="ar-JO"/>
        </w:rPr>
        <w:t>10,7</w:t>
      </w:r>
      <w:r w:rsidRPr="00285D59">
        <w:rPr>
          <w:rtl/>
          <w:lang w:bidi="ar-JO"/>
        </w:rPr>
        <w:t xml:space="preserve"> </w:t>
      </w:r>
      <w:r w:rsidRPr="00285D59">
        <w:rPr>
          <w:rtl/>
        </w:rPr>
        <w:t>و</w:t>
      </w:r>
      <w:r w:rsidRPr="00285D59">
        <w:rPr>
          <w:lang w:bidi="ar-JO"/>
        </w:rPr>
        <w:t>GHz</w:t>
      </w:r>
      <w:r>
        <w:rPr>
          <w:lang w:bidi="ar-JO"/>
        </w:rPr>
        <w:t> </w:t>
      </w:r>
      <w:r w:rsidRPr="00285D59">
        <w:rPr>
          <w:lang w:bidi="ar-JO"/>
        </w:rPr>
        <w:t>14,5</w:t>
      </w:r>
      <w:r>
        <w:rPr>
          <w:lang w:bidi="ar-JO"/>
        </w:rPr>
        <w:noBreakHyphen/>
      </w:r>
      <w:r w:rsidRPr="00285D59">
        <w:rPr>
          <w:lang w:bidi="ar-JO"/>
        </w:rPr>
        <w:t>13,75</w:t>
      </w:r>
      <w:r w:rsidRPr="00285D59">
        <w:rPr>
          <w:rtl/>
          <w:lang w:bidi="ar-JO"/>
        </w:rPr>
        <w:t xml:space="preserve"> </w:t>
      </w:r>
      <w:r w:rsidRPr="00285D59">
        <w:rPr>
          <w:rtl/>
        </w:rPr>
        <w:t>و</w:t>
      </w:r>
      <w:r w:rsidRPr="00285D59">
        <w:rPr>
          <w:lang w:bidi="ar-JO"/>
        </w:rPr>
        <w:t>GHz</w:t>
      </w:r>
      <w:r>
        <w:rPr>
          <w:lang w:bidi="ar-JO"/>
        </w:rPr>
        <w:t> </w:t>
      </w:r>
      <w:r w:rsidRPr="00285D59">
        <w:rPr>
          <w:lang w:bidi="ar-JO"/>
        </w:rPr>
        <w:t>17,7</w:t>
      </w:r>
      <w:r>
        <w:rPr>
          <w:lang w:bidi="ar-JO"/>
        </w:rPr>
        <w:noBreakHyphen/>
      </w:r>
      <w:r w:rsidRPr="00285D59">
        <w:rPr>
          <w:lang w:bidi="ar-JO"/>
        </w:rPr>
        <w:t>17,3</w:t>
      </w:r>
      <w:r w:rsidRPr="00285D59">
        <w:rPr>
          <w:rtl/>
          <w:lang w:bidi="ar-JO"/>
        </w:rPr>
        <w:t xml:space="preserve"> </w:t>
      </w:r>
      <w:r w:rsidRPr="00285D59">
        <w:rPr>
          <w:rtl/>
        </w:rPr>
        <w:t>و</w:t>
      </w:r>
      <w:r w:rsidRPr="00285D59">
        <w:rPr>
          <w:lang w:bidi="ar-JO"/>
        </w:rPr>
        <w:t>GHz</w:t>
      </w:r>
      <w:r>
        <w:rPr>
          <w:lang w:bidi="ar-JO"/>
        </w:rPr>
        <w:t> </w:t>
      </w:r>
      <w:r w:rsidRPr="00285D59">
        <w:rPr>
          <w:lang w:bidi="ar-JO"/>
        </w:rPr>
        <w:t>20,2</w:t>
      </w:r>
      <w:r>
        <w:rPr>
          <w:lang w:bidi="ar-JO"/>
        </w:rPr>
        <w:noBreakHyphen/>
      </w:r>
      <w:r w:rsidRPr="00285D59">
        <w:rPr>
          <w:lang w:bidi="ar-JO"/>
        </w:rPr>
        <w:t>17,7</w:t>
      </w:r>
      <w:r w:rsidRPr="00285D59">
        <w:rPr>
          <w:rtl/>
          <w:lang w:bidi="ar-JO"/>
        </w:rPr>
        <w:t xml:space="preserve"> </w:t>
      </w:r>
      <w:r w:rsidRPr="00285D59">
        <w:rPr>
          <w:rtl/>
        </w:rPr>
        <w:t>و</w:t>
      </w:r>
      <w:r w:rsidRPr="00285D59">
        <w:rPr>
          <w:lang w:bidi="ar-JO"/>
        </w:rPr>
        <w:t>GHz</w:t>
      </w:r>
      <w:r>
        <w:rPr>
          <w:lang w:bidi="ar-JO"/>
        </w:rPr>
        <w:t> </w:t>
      </w:r>
      <w:r w:rsidRPr="00285D59">
        <w:rPr>
          <w:lang w:bidi="ar-JO"/>
        </w:rPr>
        <w:t>30</w:t>
      </w:r>
      <w:r>
        <w:rPr>
          <w:lang w:bidi="ar-JO"/>
        </w:rPr>
        <w:noBreakHyphen/>
      </w:r>
      <w:r w:rsidRPr="00285D59">
        <w:rPr>
          <w:lang w:bidi="ar-JO"/>
        </w:rPr>
        <w:t>27,5</w:t>
      </w:r>
      <w:r w:rsidRPr="00285D59">
        <w:rPr>
          <w:rtl/>
          <w:lang w:bidi="ar-JO"/>
        </w:rPr>
        <w:t xml:space="preserve"> </w:t>
      </w:r>
      <w:r w:rsidRPr="00285D59">
        <w:rPr>
          <w:rFonts w:hint="cs"/>
          <w:rtl/>
          <w:lang w:bidi="ar-JO"/>
        </w:rPr>
        <w:t>التي تعمل فيها سواتلُ كثيرةٌ ذاتُ خصائصَ مداريةٍ واسعةِ التنوع؛</w:t>
      </w:r>
    </w:p>
    <w:p w:rsidR="00285D59" w:rsidRPr="00285D59" w:rsidRDefault="00285D59" w:rsidP="00D86C79">
      <w:pPr>
        <w:rPr>
          <w:rtl/>
          <w:lang w:bidi="ar-JO"/>
        </w:rPr>
      </w:pPr>
      <w:r w:rsidRPr="00285D59">
        <w:rPr>
          <w:i/>
          <w:iCs/>
          <w:rtl/>
          <w:lang w:bidi="ar-JO"/>
        </w:rPr>
        <w:t>ج)</w:t>
      </w:r>
      <w:r w:rsidRPr="00285D59">
        <w:rPr>
          <w:rtl/>
          <w:lang w:bidi="ar-JO"/>
        </w:rPr>
        <w:tab/>
        <w:t xml:space="preserve">أن المكتب استلم طلبات تنسيق تخص هذه النظم غير المستقرة بالنسبة إلى الأرض في الخدمة الثابتة الساتلية العاملة في </w:t>
      </w:r>
      <w:r w:rsidR="00ED2C71">
        <w:rPr>
          <w:rtl/>
          <w:lang w:bidi="ar-JO"/>
        </w:rPr>
        <w:t>نطاقات</w:t>
      </w:r>
      <w:r w:rsidRPr="00285D59">
        <w:rPr>
          <w:rtl/>
          <w:lang w:bidi="ar-JO"/>
        </w:rPr>
        <w:t xml:space="preserve"> التردد المذكورة في "</w:t>
      </w:r>
      <w:r w:rsidRPr="00285D59">
        <w:rPr>
          <w:i/>
          <w:iCs/>
          <w:rtl/>
          <w:lang w:bidi="ar-JO"/>
        </w:rPr>
        <w:t>إذ</w:t>
      </w:r>
      <w:r w:rsidR="00D86C79">
        <w:rPr>
          <w:rFonts w:hint="cs"/>
          <w:i/>
          <w:iCs/>
          <w:rtl/>
          <w:lang w:bidi="ar-JO"/>
        </w:rPr>
        <w:t> </w:t>
      </w:r>
      <w:r w:rsidRPr="00285D59">
        <w:rPr>
          <w:i/>
          <w:iCs/>
          <w:rtl/>
          <w:lang w:bidi="ar-JO"/>
        </w:rPr>
        <w:t>يضع</w:t>
      </w:r>
      <w:r w:rsidR="00D86C79">
        <w:rPr>
          <w:rFonts w:hint="cs"/>
          <w:i/>
          <w:iCs/>
          <w:rtl/>
          <w:lang w:bidi="ar-JO"/>
        </w:rPr>
        <w:t> </w:t>
      </w:r>
      <w:r w:rsidRPr="00285D59">
        <w:rPr>
          <w:i/>
          <w:iCs/>
          <w:rtl/>
          <w:lang w:bidi="ar-JO"/>
        </w:rPr>
        <w:t>في</w:t>
      </w:r>
      <w:r w:rsidR="00D86C79">
        <w:rPr>
          <w:rFonts w:hint="cs"/>
          <w:i/>
          <w:iCs/>
          <w:rtl/>
          <w:lang w:bidi="ar-JO"/>
        </w:rPr>
        <w:t> </w:t>
      </w:r>
      <w:r w:rsidRPr="00285D59">
        <w:rPr>
          <w:i/>
          <w:iCs/>
          <w:rtl/>
          <w:lang w:bidi="ar-JO"/>
        </w:rPr>
        <w:t>اعتباره</w:t>
      </w:r>
      <w:r w:rsidR="00D86C79">
        <w:rPr>
          <w:rFonts w:hint="cs"/>
          <w:i/>
          <w:iCs/>
          <w:rtl/>
          <w:lang w:bidi="ar-JO"/>
        </w:rPr>
        <w:t> </w:t>
      </w:r>
      <w:r w:rsidRPr="00285D59">
        <w:rPr>
          <w:i/>
          <w:iCs/>
          <w:rtl/>
          <w:lang w:bidi="ar-JO"/>
        </w:rPr>
        <w:t>ب)</w:t>
      </w:r>
      <w:r w:rsidRPr="00285D59">
        <w:rPr>
          <w:rtl/>
          <w:lang w:bidi="ar-JO"/>
        </w:rPr>
        <w:t>"؛</w:t>
      </w:r>
    </w:p>
    <w:p w:rsidR="00285D59" w:rsidRPr="00285D59" w:rsidRDefault="00285D59" w:rsidP="008C1488">
      <w:pPr>
        <w:rPr>
          <w:rtl/>
          <w:lang w:bidi="ar-EG"/>
        </w:rPr>
      </w:pPr>
      <w:r w:rsidRPr="00285D59">
        <w:rPr>
          <w:i/>
          <w:iCs/>
          <w:rtl/>
          <w:lang w:bidi="ar-JO"/>
        </w:rPr>
        <w:t>د</w:t>
      </w:r>
      <w:r w:rsidR="00ED4791">
        <w:rPr>
          <w:rFonts w:hint="cs"/>
          <w:i/>
          <w:iCs/>
          <w:rtl/>
          <w:lang w:bidi="ar-JO"/>
        </w:rPr>
        <w:t> </w:t>
      </w:r>
      <w:r w:rsidRPr="00285D59">
        <w:rPr>
          <w:i/>
          <w:iCs/>
          <w:rtl/>
          <w:lang w:bidi="ar-JO"/>
        </w:rPr>
        <w:t>)</w:t>
      </w:r>
      <w:r w:rsidRPr="00285D59">
        <w:rPr>
          <w:rtl/>
          <w:lang w:bidi="ar-JO"/>
        </w:rPr>
        <w:tab/>
      </w:r>
      <w:r w:rsidRPr="008C1488">
        <w:rPr>
          <w:spacing w:val="6"/>
          <w:rtl/>
          <w:lang w:bidi="ar-JO"/>
        </w:rPr>
        <w:t>أنه يرد في تقرير مدير قطاع الاتصالات الراديوية في الاتحاد المرفوع إلى المؤتمر العالمي للاتصالات الراديوية لعام</w:t>
      </w:r>
      <w:r w:rsidRPr="008C1488">
        <w:rPr>
          <w:rFonts w:hint="cs"/>
          <w:spacing w:val="6"/>
          <w:rtl/>
          <w:lang w:bidi="ar-JO"/>
        </w:rPr>
        <w:t> </w:t>
      </w:r>
      <w:r w:rsidRPr="008C1488">
        <w:rPr>
          <w:spacing w:val="6"/>
          <w:lang w:val="en-GB" w:bidi="ar-JO"/>
        </w:rPr>
        <w:t>2015</w:t>
      </w:r>
      <w:r w:rsidR="008C1488">
        <w:rPr>
          <w:rFonts w:hint="cs"/>
          <w:rtl/>
          <w:lang w:bidi="ar-JO"/>
        </w:rPr>
        <w:t> </w:t>
      </w:r>
      <w:r w:rsidRPr="00285D59">
        <w:rPr>
          <w:lang w:val="en-GB" w:bidi="ar-JO"/>
        </w:rPr>
        <w:t>(</w:t>
      </w:r>
      <w:r w:rsidRPr="00285D59">
        <w:rPr>
          <w:lang w:bidi="ar-JO"/>
        </w:rPr>
        <w:t>WRC-15</w:t>
      </w:r>
      <w:r w:rsidRPr="00285D59">
        <w:rPr>
          <w:lang w:val="en-GB" w:bidi="ar-JO"/>
        </w:rPr>
        <w:t>)</w:t>
      </w:r>
      <w:r w:rsidRPr="00285D59">
        <w:rPr>
          <w:rtl/>
          <w:lang w:bidi="ar-JO"/>
        </w:rPr>
        <w:t xml:space="preserve"> أنه يتزايد التقدم إلى</w:t>
      </w:r>
      <w:r w:rsidR="003A4543">
        <w:rPr>
          <w:rFonts w:hint="cs"/>
          <w:rtl/>
          <w:lang w:bidi="ar-JO"/>
        </w:rPr>
        <w:t xml:space="preserve"> </w:t>
      </w:r>
      <w:r w:rsidRPr="00285D59">
        <w:rPr>
          <w:rtl/>
          <w:lang w:bidi="ar-JO"/>
        </w:rPr>
        <w:t>المكتب بطلبات للحصول على معلومات بشأن الطرائق والنهوج الممكن اتّباعها لإجراء التنسيق بين النظم غير المستقرة بالنسبة إلى ا</w:t>
      </w:r>
      <w:r w:rsidR="00D86C79">
        <w:rPr>
          <w:rtl/>
          <w:lang w:bidi="ar-JO"/>
        </w:rPr>
        <w:t>لأرض في الخدمة الثابتة الساتلية</w:t>
      </w:r>
      <w:r w:rsidR="00D86C79">
        <w:rPr>
          <w:rFonts w:hint="cs"/>
          <w:rtl/>
          <w:lang w:bidi="ar-EG"/>
        </w:rPr>
        <w:t>،</w:t>
      </w:r>
    </w:p>
    <w:p w:rsidR="00285D59" w:rsidRPr="00285D59" w:rsidRDefault="00285D59" w:rsidP="00285D59">
      <w:pPr>
        <w:pStyle w:val="Call"/>
        <w:rPr>
          <w:lang w:bidi="ar-JO"/>
        </w:rPr>
      </w:pPr>
      <w:r w:rsidRPr="00285D59">
        <w:rPr>
          <w:rtl/>
          <w:lang w:bidi="ar-JO"/>
        </w:rPr>
        <w:t>وإذ يضع في اعتباره كذلك</w:t>
      </w:r>
    </w:p>
    <w:p w:rsidR="00285D59" w:rsidRPr="00285D59" w:rsidRDefault="00ED4791" w:rsidP="00D86C79">
      <w:pPr>
        <w:rPr>
          <w:lang w:bidi="ar-JO"/>
        </w:rPr>
      </w:pPr>
      <w:r>
        <w:rPr>
          <w:rFonts w:hint="cs"/>
          <w:i/>
          <w:iCs/>
          <w:rtl/>
          <w:lang w:bidi="ar-JO"/>
        </w:rPr>
        <w:t> </w:t>
      </w:r>
      <w:r w:rsidR="00285D59" w:rsidRPr="00285D59">
        <w:rPr>
          <w:i/>
          <w:iCs/>
          <w:rtl/>
          <w:lang w:bidi="ar-JO"/>
        </w:rPr>
        <w:t>أ</w:t>
      </w:r>
      <w:r>
        <w:rPr>
          <w:rFonts w:hint="cs"/>
          <w:i/>
          <w:iCs/>
          <w:rtl/>
          <w:lang w:bidi="ar-JO"/>
        </w:rPr>
        <w:t> </w:t>
      </w:r>
      <w:r w:rsidR="00285D59" w:rsidRPr="00285D59">
        <w:rPr>
          <w:i/>
          <w:iCs/>
          <w:rtl/>
          <w:lang w:bidi="ar-JO"/>
        </w:rPr>
        <w:t>)</w:t>
      </w:r>
      <w:r w:rsidR="00285D59" w:rsidRPr="00285D59">
        <w:rPr>
          <w:rtl/>
          <w:lang w:bidi="ar-JO"/>
        </w:rPr>
        <w:tab/>
        <w:t>أنه قد يتعيَّن على الإدارات التي تشغِّل نظماً وشبكات غير مستقرة بالنسبة إلى الأرض في الخدمة الثابتة الساتلية أو</w:t>
      </w:r>
      <w:r w:rsidR="00D86C79">
        <w:rPr>
          <w:lang w:bidi="ar-JO"/>
        </w:rPr>
        <w:t> </w:t>
      </w:r>
      <w:r w:rsidR="00285D59" w:rsidRPr="00285D59">
        <w:rPr>
          <w:rtl/>
          <w:lang w:bidi="ar-JO"/>
        </w:rPr>
        <w:t>تزمع تشغيلها في ال</w:t>
      </w:r>
      <w:r w:rsidR="00ED2C71">
        <w:rPr>
          <w:rtl/>
          <w:lang w:bidi="ar-JO"/>
        </w:rPr>
        <w:t>نطاقات</w:t>
      </w:r>
      <w:r w:rsidR="00285D59" w:rsidRPr="00285D59">
        <w:rPr>
          <w:rtl/>
          <w:lang w:bidi="ar-JO"/>
        </w:rPr>
        <w:t xml:space="preserve"> المذكورة في "</w:t>
      </w:r>
      <w:r w:rsidR="00285D59" w:rsidRPr="00285D59">
        <w:rPr>
          <w:i/>
          <w:iCs/>
          <w:rtl/>
          <w:lang w:bidi="ar-JO"/>
        </w:rPr>
        <w:t>إذ</w:t>
      </w:r>
      <w:r w:rsidR="00D86C79">
        <w:rPr>
          <w:rFonts w:hint="cs"/>
          <w:i/>
          <w:iCs/>
          <w:rtl/>
          <w:lang w:bidi="ar-JO"/>
        </w:rPr>
        <w:t> </w:t>
      </w:r>
      <w:r w:rsidR="00285D59" w:rsidRPr="00285D59">
        <w:rPr>
          <w:i/>
          <w:iCs/>
          <w:rtl/>
          <w:lang w:bidi="ar-JO"/>
        </w:rPr>
        <w:t>يضع</w:t>
      </w:r>
      <w:r w:rsidR="00D86C79">
        <w:rPr>
          <w:rFonts w:hint="cs"/>
          <w:i/>
          <w:iCs/>
          <w:rtl/>
          <w:lang w:bidi="ar-JO"/>
        </w:rPr>
        <w:t> </w:t>
      </w:r>
      <w:r w:rsidR="00285D59" w:rsidRPr="00285D59">
        <w:rPr>
          <w:i/>
          <w:iCs/>
          <w:rtl/>
          <w:lang w:bidi="ar-JO"/>
        </w:rPr>
        <w:t>في</w:t>
      </w:r>
      <w:r w:rsidR="00D86C79">
        <w:rPr>
          <w:rFonts w:hint="cs"/>
          <w:i/>
          <w:iCs/>
          <w:rtl/>
          <w:lang w:bidi="ar-JO"/>
        </w:rPr>
        <w:t> </w:t>
      </w:r>
      <w:r w:rsidR="00285D59" w:rsidRPr="00285D59">
        <w:rPr>
          <w:i/>
          <w:iCs/>
          <w:rtl/>
          <w:lang w:bidi="ar-JO"/>
        </w:rPr>
        <w:t>اعتباره</w:t>
      </w:r>
      <w:r w:rsidR="00D86C79">
        <w:rPr>
          <w:rFonts w:hint="cs"/>
          <w:i/>
          <w:iCs/>
          <w:rtl/>
          <w:lang w:bidi="ar-JO"/>
        </w:rPr>
        <w:t> </w:t>
      </w:r>
      <w:r w:rsidR="00285D59" w:rsidRPr="00285D59">
        <w:rPr>
          <w:i/>
          <w:iCs/>
          <w:rtl/>
          <w:lang w:bidi="ar-JO"/>
        </w:rPr>
        <w:t>ب)</w:t>
      </w:r>
      <w:r w:rsidR="00285D59" w:rsidRPr="00285D59">
        <w:rPr>
          <w:rtl/>
          <w:lang w:bidi="ar-JO"/>
        </w:rPr>
        <w:t>" أن تتَّبع نهجاً تنسيقياً أكثر دينامية من خلال مزامنة المدارات، واستعمال نظم وتكنولوجيات تراعى بها جميع النظم غير المستقرة بالنسبة إلى الأرض في الخدمة الثابتة الساتلية في</w:t>
      </w:r>
      <w:r w:rsidR="00D86C79">
        <w:rPr>
          <w:lang w:bidi="ar-JO"/>
        </w:rPr>
        <w:t> </w:t>
      </w:r>
      <w:r w:rsidR="00285D59" w:rsidRPr="00285D59">
        <w:rPr>
          <w:rtl/>
          <w:lang w:bidi="ar-JO"/>
        </w:rPr>
        <w:t>الوقت الفعلي؛</w:t>
      </w:r>
    </w:p>
    <w:p w:rsidR="00285D59" w:rsidRPr="00285D59" w:rsidRDefault="00285D59" w:rsidP="00285D59">
      <w:pPr>
        <w:rPr>
          <w:rtl/>
          <w:lang w:bidi="ar-JO"/>
        </w:rPr>
      </w:pPr>
      <w:r w:rsidRPr="00285D59">
        <w:rPr>
          <w:i/>
          <w:iCs/>
          <w:rtl/>
          <w:lang w:bidi="ar-JO"/>
        </w:rPr>
        <w:t>ب)</w:t>
      </w:r>
      <w:r w:rsidRPr="00285D59">
        <w:rPr>
          <w:rtl/>
          <w:lang w:bidi="ar-JO"/>
        </w:rPr>
        <w:tab/>
        <w:t>أنه قد يكون من المستحسَن أن يُخوَّل مدير مكتب الاتصالات الراديوية صلاحية الدعوة إلى اجتماعات تنسيق متعددة الأطراف تكون المشاركة فيها طوعية من أجل تيسير إنجاز التنسيق بين الإدارات المبلِّغة،</w:t>
      </w:r>
    </w:p>
    <w:p w:rsidR="00D86C79" w:rsidRPr="00D86C79" w:rsidRDefault="00D86C79" w:rsidP="00D86C79">
      <w:pPr>
        <w:pStyle w:val="Call"/>
        <w:rPr>
          <w:lang w:bidi="ar-JO"/>
        </w:rPr>
      </w:pPr>
      <w:r w:rsidRPr="00D86C79">
        <w:rPr>
          <w:rtl/>
          <w:lang w:bidi="ar-JO"/>
        </w:rPr>
        <w:t>وإذ يدرك</w:t>
      </w:r>
    </w:p>
    <w:p w:rsidR="00D86C79" w:rsidRPr="00107E70" w:rsidRDefault="00ED4791" w:rsidP="00D86C79">
      <w:pPr>
        <w:rPr>
          <w:spacing w:val="-2"/>
          <w:lang w:bidi="ar-JO"/>
        </w:rPr>
      </w:pPr>
      <w:r>
        <w:rPr>
          <w:rFonts w:hint="cs"/>
          <w:i/>
          <w:iCs/>
          <w:spacing w:val="-6"/>
          <w:rtl/>
          <w:lang w:bidi="ar-JO"/>
        </w:rPr>
        <w:t> </w:t>
      </w:r>
      <w:r w:rsidR="00D86C79" w:rsidRPr="00D86C79">
        <w:rPr>
          <w:i/>
          <w:iCs/>
          <w:spacing w:val="-6"/>
          <w:rtl/>
          <w:lang w:bidi="ar-JO"/>
        </w:rPr>
        <w:t>أ</w:t>
      </w:r>
      <w:r>
        <w:rPr>
          <w:rFonts w:hint="cs"/>
          <w:i/>
          <w:iCs/>
          <w:spacing w:val="-6"/>
          <w:rtl/>
          <w:lang w:bidi="ar-JO"/>
        </w:rPr>
        <w:t> </w:t>
      </w:r>
      <w:r w:rsidR="00D86C79" w:rsidRPr="00D86C79">
        <w:rPr>
          <w:i/>
          <w:iCs/>
          <w:spacing w:val="-6"/>
          <w:rtl/>
          <w:lang w:bidi="ar-JO"/>
        </w:rPr>
        <w:t>)</w:t>
      </w:r>
      <w:r w:rsidR="00D86C79" w:rsidRPr="00D86C79">
        <w:rPr>
          <w:spacing w:val="-6"/>
          <w:rtl/>
          <w:lang w:bidi="ar-JO"/>
        </w:rPr>
        <w:tab/>
      </w:r>
      <w:r w:rsidR="00D86C79" w:rsidRPr="00107E70">
        <w:rPr>
          <w:spacing w:val="-2"/>
          <w:rtl/>
          <w:lang w:bidi="ar-JO"/>
        </w:rPr>
        <w:t>أن ثمة نظماً كثيرة غير مستقرة بالنسبة إلى الأرض في الخدمة الثابتة الساتلية يمكن أن تنشر سواتل في</w:t>
      </w:r>
      <w:r w:rsidR="00D86C79" w:rsidRPr="00107E70">
        <w:rPr>
          <w:rFonts w:hint="cs"/>
          <w:spacing w:val="-2"/>
          <w:rtl/>
          <w:lang w:bidi="ar-JO"/>
        </w:rPr>
        <w:t> </w:t>
      </w:r>
      <w:r w:rsidR="00D86C79" w:rsidRPr="00107E70">
        <w:rPr>
          <w:spacing w:val="-2"/>
          <w:rtl/>
          <w:lang w:bidi="ar-JO"/>
        </w:rPr>
        <w:t>فترة قصيرة نسبياً؛</w:t>
      </w:r>
    </w:p>
    <w:p w:rsidR="00D86C79" w:rsidRPr="00D86C79" w:rsidRDefault="00D86C79" w:rsidP="00D86C79">
      <w:pPr>
        <w:rPr>
          <w:spacing w:val="-6"/>
          <w:rtl/>
          <w:lang w:bidi="ar-JO"/>
        </w:rPr>
      </w:pPr>
      <w:r w:rsidRPr="00D86C79">
        <w:rPr>
          <w:i/>
          <w:iCs/>
          <w:spacing w:val="-6"/>
          <w:rtl/>
          <w:lang w:bidi="ar-JO"/>
        </w:rPr>
        <w:t>ب)</w:t>
      </w:r>
      <w:r w:rsidRPr="00D86C79">
        <w:rPr>
          <w:spacing w:val="-6"/>
          <w:rtl/>
          <w:lang w:bidi="ar-JO"/>
        </w:rPr>
        <w:tab/>
        <w:t>أنه يُحتاج إلى دراسة لتحديد المتطلبات التقنية واللوائح والإجراءات اللازمة لتيسير التنسيق وتقاسم التردد على أساس مشترك بين النظم غير</w:t>
      </w:r>
      <w:r>
        <w:rPr>
          <w:rFonts w:hint="cs"/>
          <w:spacing w:val="-6"/>
          <w:rtl/>
          <w:lang w:bidi="ar-JO"/>
        </w:rPr>
        <w:t> </w:t>
      </w:r>
      <w:r w:rsidRPr="00D86C79">
        <w:rPr>
          <w:spacing w:val="-6"/>
          <w:rtl/>
          <w:lang w:bidi="ar-JO"/>
        </w:rPr>
        <w:t xml:space="preserve">المستقرة بالنسبة إلى الأرض في الخدمة الثابتة الساتلية العاملة في </w:t>
      </w:r>
      <w:r w:rsidR="00ED2C71">
        <w:rPr>
          <w:spacing w:val="-6"/>
          <w:rtl/>
          <w:lang w:bidi="ar-JO"/>
        </w:rPr>
        <w:t>نطاقات</w:t>
      </w:r>
      <w:r w:rsidRPr="00D86C79">
        <w:rPr>
          <w:spacing w:val="-6"/>
          <w:rtl/>
          <w:lang w:bidi="ar-JO"/>
        </w:rPr>
        <w:t xml:space="preserve"> التردد المذكورة في</w:t>
      </w:r>
      <w:r>
        <w:rPr>
          <w:rFonts w:hint="cs"/>
          <w:spacing w:val="-6"/>
          <w:rtl/>
          <w:lang w:bidi="ar-JO"/>
        </w:rPr>
        <w:t> </w:t>
      </w:r>
      <w:r w:rsidRPr="00D86C79">
        <w:rPr>
          <w:spacing w:val="-6"/>
          <w:rtl/>
          <w:lang w:bidi="ar-JO"/>
        </w:rPr>
        <w:t>"</w:t>
      </w:r>
      <w:r w:rsidRPr="00D86C79">
        <w:rPr>
          <w:i/>
          <w:iCs/>
          <w:spacing w:val="-6"/>
          <w:rtl/>
          <w:lang w:bidi="ar-JO"/>
        </w:rPr>
        <w:t>إذ</w:t>
      </w:r>
      <w:r>
        <w:rPr>
          <w:rFonts w:hint="cs"/>
          <w:i/>
          <w:iCs/>
          <w:spacing w:val="-6"/>
          <w:rtl/>
          <w:lang w:bidi="ar-JO"/>
        </w:rPr>
        <w:t> </w:t>
      </w:r>
      <w:r w:rsidRPr="00D86C79">
        <w:rPr>
          <w:i/>
          <w:iCs/>
          <w:spacing w:val="-6"/>
          <w:rtl/>
          <w:lang w:bidi="ar-JO"/>
        </w:rPr>
        <w:t>يضع</w:t>
      </w:r>
      <w:r>
        <w:rPr>
          <w:rFonts w:hint="cs"/>
          <w:i/>
          <w:iCs/>
          <w:spacing w:val="-6"/>
          <w:rtl/>
          <w:lang w:bidi="ar-JO"/>
        </w:rPr>
        <w:t> </w:t>
      </w:r>
      <w:r w:rsidRPr="00D86C79">
        <w:rPr>
          <w:i/>
          <w:iCs/>
          <w:spacing w:val="-6"/>
          <w:rtl/>
          <w:lang w:bidi="ar-JO"/>
        </w:rPr>
        <w:t>في</w:t>
      </w:r>
      <w:r>
        <w:rPr>
          <w:rFonts w:hint="cs"/>
          <w:i/>
          <w:iCs/>
          <w:spacing w:val="-6"/>
          <w:rtl/>
          <w:lang w:bidi="ar-JO"/>
        </w:rPr>
        <w:t> </w:t>
      </w:r>
      <w:r w:rsidRPr="00D86C79">
        <w:rPr>
          <w:i/>
          <w:iCs/>
          <w:spacing w:val="-6"/>
          <w:rtl/>
          <w:lang w:bidi="ar-JO"/>
        </w:rPr>
        <w:t>اعتباره</w:t>
      </w:r>
      <w:r>
        <w:rPr>
          <w:rFonts w:hint="cs"/>
          <w:i/>
          <w:iCs/>
          <w:spacing w:val="-6"/>
          <w:rtl/>
          <w:lang w:bidi="ar-JO"/>
        </w:rPr>
        <w:t> </w:t>
      </w:r>
      <w:r w:rsidRPr="00D86C79">
        <w:rPr>
          <w:i/>
          <w:iCs/>
          <w:spacing w:val="-6"/>
          <w:rtl/>
          <w:lang w:bidi="ar-JO"/>
        </w:rPr>
        <w:t>ب)</w:t>
      </w:r>
      <w:r w:rsidRPr="00D86C79">
        <w:rPr>
          <w:spacing w:val="-6"/>
          <w:rtl/>
          <w:lang w:bidi="ar-JO"/>
        </w:rPr>
        <w:t>"؛</w:t>
      </w:r>
    </w:p>
    <w:p w:rsidR="00D86C79" w:rsidRPr="00D86C79" w:rsidRDefault="00D86C79" w:rsidP="00D86C79">
      <w:pPr>
        <w:rPr>
          <w:rtl/>
          <w:lang w:bidi="ar-JO"/>
        </w:rPr>
      </w:pPr>
      <w:r w:rsidRPr="00D86C79">
        <w:rPr>
          <w:i/>
          <w:iCs/>
          <w:rtl/>
          <w:lang w:bidi="ar-JO"/>
        </w:rPr>
        <w:t>ج)</w:t>
      </w:r>
      <w:r w:rsidRPr="00D86C79">
        <w:rPr>
          <w:rtl/>
          <w:lang w:bidi="ar-JO"/>
        </w:rPr>
        <w:tab/>
        <w:t>أن مقتضيات التنسيق المبيَّنة في</w:t>
      </w:r>
      <w:r>
        <w:rPr>
          <w:rFonts w:hint="cs"/>
          <w:rtl/>
          <w:lang w:bidi="ar-JO"/>
        </w:rPr>
        <w:t> </w:t>
      </w:r>
      <w:r w:rsidRPr="00D86C79">
        <w:rPr>
          <w:rtl/>
          <w:lang w:bidi="ar-JO"/>
        </w:rPr>
        <w:t xml:space="preserve">أحكام الأرقام </w:t>
      </w:r>
      <w:r w:rsidRPr="00D86C79">
        <w:rPr>
          <w:b/>
          <w:bCs/>
          <w:lang w:val="en-GB" w:bidi="ar-JO"/>
        </w:rPr>
        <w:t>7A.9</w:t>
      </w:r>
      <w:r w:rsidRPr="00D86C79">
        <w:rPr>
          <w:rtl/>
          <w:lang w:bidi="ar-JO"/>
        </w:rPr>
        <w:t xml:space="preserve"> </w:t>
      </w:r>
      <w:r w:rsidRPr="00D86C79">
        <w:rPr>
          <w:rtl/>
          <w:lang w:bidi="ar-EG"/>
        </w:rPr>
        <w:t>و</w:t>
      </w:r>
      <w:r w:rsidRPr="00D86C79">
        <w:rPr>
          <w:b/>
          <w:bCs/>
          <w:lang w:val="en-GB" w:bidi="ar-JO"/>
        </w:rPr>
        <w:t>7B.9</w:t>
      </w:r>
      <w:r w:rsidRPr="00D86C79">
        <w:rPr>
          <w:rtl/>
          <w:lang w:bidi="ar-EG"/>
        </w:rPr>
        <w:t xml:space="preserve"> و</w:t>
      </w:r>
      <w:r w:rsidRPr="00D86C79">
        <w:rPr>
          <w:b/>
          <w:bCs/>
          <w:lang w:val="en-GB" w:bidi="ar-JO"/>
        </w:rPr>
        <w:t>11A.9</w:t>
      </w:r>
      <w:r w:rsidRPr="00D86C79">
        <w:rPr>
          <w:rtl/>
          <w:lang w:bidi="ar-EG"/>
        </w:rPr>
        <w:t xml:space="preserve"> و</w:t>
      </w:r>
      <w:r w:rsidRPr="00D86C79">
        <w:rPr>
          <w:b/>
          <w:bCs/>
          <w:lang w:val="en-GB" w:bidi="ar-JO"/>
        </w:rPr>
        <w:t>12.9</w:t>
      </w:r>
      <w:r w:rsidRPr="00D86C79">
        <w:rPr>
          <w:rtl/>
          <w:lang w:bidi="ar-EG"/>
        </w:rPr>
        <w:t xml:space="preserve"> و</w:t>
      </w:r>
      <w:r w:rsidRPr="00D86C79">
        <w:rPr>
          <w:b/>
          <w:bCs/>
          <w:lang w:val="en-GB" w:bidi="ar-JO"/>
        </w:rPr>
        <w:t>12A.9</w:t>
      </w:r>
      <w:r w:rsidRPr="00D86C79">
        <w:rPr>
          <w:rtl/>
          <w:lang w:bidi="ar-EG"/>
        </w:rPr>
        <w:t xml:space="preserve"> و</w:t>
      </w:r>
      <w:r w:rsidRPr="00D86C79">
        <w:rPr>
          <w:b/>
          <w:bCs/>
          <w:lang w:val="en-GB" w:bidi="ar-JO"/>
        </w:rPr>
        <w:t>13.9</w:t>
      </w:r>
      <w:r w:rsidRPr="00D86C79">
        <w:rPr>
          <w:rtl/>
          <w:lang w:bidi="ar-EG"/>
        </w:rPr>
        <w:t xml:space="preserve"> و</w:t>
      </w:r>
      <w:r w:rsidRPr="00D86C79">
        <w:rPr>
          <w:b/>
          <w:bCs/>
          <w:lang w:val="en-GB" w:bidi="ar-JO"/>
        </w:rPr>
        <w:t>14.9</w:t>
      </w:r>
      <w:r w:rsidRPr="00D86C79">
        <w:rPr>
          <w:rtl/>
          <w:lang w:bidi="ar-EG"/>
        </w:rPr>
        <w:t xml:space="preserve"> </w:t>
      </w:r>
      <w:r w:rsidRPr="00D86C79">
        <w:rPr>
          <w:rtl/>
          <w:lang w:bidi="ar-JO"/>
        </w:rPr>
        <w:t>و</w:t>
      </w:r>
      <w:r w:rsidRPr="00D86C79">
        <w:rPr>
          <w:b/>
          <w:bCs/>
          <w:lang w:val="en-GB" w:bidi="ar-JO"/>
        </w:rPr>
        <w:t>15.9</w:t>
      </w:r>
      <w:r w:rsidRPr="00D86C79">
        <w:rPr>
          <w:rtl/>
          <w:lang w:bidi="ar-JO"/>
        </w:rPr>
        <w:t xml:space="preserve"> و</w:t>
      </w:r>
      <w:r w:rsidRPr="00D86C79">
        <w:rPr>
          <w:b/>
          <w:bCs/>
          <w:lang w:val="en-GB" w:bidi="ar-JO"/>
        </w:rPr>
        <w:t>16.9</w:t>
      </w:r>
      <w:r w:rsidRPr="00D86C79">
        <w:rPr>
          <w:rtl/>
          <w:lang w:bidi="ar-JO"/>
        </w:rPr>
        <w:t xml:space="preserve"> تنطبق على النظم غير المستقرة بالنسبة إلى الأرض في الخدمة الثابتة الساتلية العاملة في</w:t>
      </w:r>
      <w:r>
        <w:rPr>
          <w:rFonts w:hint="cs"/>
          <w:rtl/>
          <w:lang w:bidi="ar-JO"/>
        </w:rPr>
        <w:t> </w:t>
      </w:r>
      <w:r w:rsidRPr="00D86C79">
        <w:rPr>
          <w:rtl/>
          <w:lang w:bidi="ar-JO"/>
        </w:rPr>
        <w:t>بعض ال</w:t>
      </w:r>
      <w:r w:rsidR="00ED2C71">
        <w:rPr>
          <w:rtl/>
          <w:lang w:bidi="ar-JO"/>
        </w:rPr>
        <w:t>نطاقات</w:t>
      </w:r>
      <w:r w:rsidRPr="00D86C79">
        <w:rPr>
          <w:rtl/>
          <w:lang w:bidi="ar-JO"/>
        </w:rPr>
        <w:t>؛</w:t>
      </w:r>
    </w:p>
    <w:p w:rsidR="00D86C79" w:rsidRPr="00D86C79" w:rsidRDefault="00D86C79" w:rsidP="00107E70">
      <w:pPr>
        <w:rPr>
          <w:spacing w:val="-6"/>
          <w:rtl/>
          <w:lang w:bidi="ar-JO"/>
        </w:rPr>
      </w:pPr>
      <w:r w:rsidRPr="00D86C79">
        <w:rPr>
          <w:i/>
          <w:iCs/>
          <w:spacing w:val="-6"/>
          <w:rtl/>
          <w:lang w:bidi="ar-JO"/>
        </w:rPr>
        <w:t>د</w:t>
      </w:r>
      <w:r w:rsidR="00ED4791">
        <w:rPr>
          <w:rFonts w:hint="cs"/>
          <w:i/>
          <w:iCs/>
          <w:spacing w:val="-6"/>
          <w:rtl/>
          <w:lang w:bidi="ar-JO"/>
        </w:rPr>
        <w:t xml:space="preserve"> </w:t>
      </w:r>
      <w:r w:rsidRPr="00D86C79">
        <w:rPr>
          <w:i/>
          <w:iCs/>
          <w:spacing w:val="-6"/>
          <w:rtl/>
          <w:lang w:bidi="ar-JO"/>
        </w:rPr>
        <w:t>)</w:t>
      </w:r>
      <w:r w:rsidRPr="00D86C79">
        <w:rPr>
          <w:spacing w:val="-6"/>
          <w:rtl/>
          <w:lang w:bidi="ar-JO"/>
        </w:rPr>
        <w:tab/>
        <w:t xml:space="preserve">أن المادتين </w:t>
      </w:r>
      <w:r w:rsidRPr="00D86C79">
        <w:rPr>
          <w:b/>
          <w:bCs/>
          <w:spacing w:val="-6"/>
          <w:lang w:bidi="ar-JO"/>
        </w:rPr>
        <w:t>21</w:t>
      </w:r>
      <w:r w:rsidRPr="00D86C79">
        <w:rPr>
          <w:spacing w:val="-6"/>
          <w:rtl/>
          <w:lang w:bidi="ar-JO"/>
        </w:rPr>
        <w:t xml:space="preserve"> و</w:t>
      </w:r>
      <w:r w:rsidRPr="00D86C79">
        <w:rPr>
          <w:b/>
          <w:bCs/>
          <w:spacing w:val="-6"/>
          <w:lang w:bidi="ar-JO"/>
        </w:rPr>
        <w:t>22</w:t>
      </w:r>
      <w:r w:rsidRPr="00D86C79">
        <w:rPr>
          <w:spacing w:val="-6"/>
          <w:rtl/>
          <w:lang w:bidi="ar-JO"/>
        </w:rPr>
        <w:t xml:space="preserve"> تنصان على حدود للقدرة واجبة التطبيق على النظم غير المستقرة بالنسبة إلى الأرض في الخدمة الثابتة الساتلية للتكفل بحماية خدمات الأرض والشبكات المستقرة بالنسبة إلى الأرض في الخدمة الثابتة الساتلية والخدمة الإذاعية الساتلية</w:t>
      </w:r>
      <w:r w:rsidR="00107E70">
        <w:rPr>
          <w:rFonts w:hint="eastAsia"/>
          <w:spacing w:val="-6"/>
          <w:rtl/>
          <w:lang w:bidi="ar-JO"/>
        </w:rPr>
        <w:t> </w:t>
      </w:r>
      <w:r w:rsidR="00107E70" w:rsidRPr="00B4605A">
        <w:t>(BSS)</w:t>
      </w:r>
      <w:r w:rsidRPr="00D86C79">
        <w:rPr>
          <w:spacing w:val="-6"/>
          <w:rtl/>
          <w:lang w:bidi="ar-JO"/>
        </w:rPr>
        <w:t>؛</w:t>
      </w:r>
    </w:p>
    <w:p w:rsidR="00D86C79" w:rsidRPr="00D86C79" w:rsidRDefault="00D86C79" w:rsidP="00D86C79">
      <w:pPr>
        <w:rPr>
          <w:spacing w:val="-4"/>
          <w:rtl/>
          <w:lang w:bidi="ar-JO"/>
        </w:rPr>
      </w:pPr>
      <w:r w:rsidRPr="00ED2C71">
        <w:rPr>
          <w:i/>
          <w:iCs/>
          <w:spacing w:val="-4"/>
          <w:rtl/>
          <w:lang w:bidi="ar-JO"/>
        </w:rPr>
        <w:lastRenderedPageBreak/>
        <w:t>ه</w:t>
      </w:r>
      <w:r w:rsidR="00ED4791" w:rsidRPr="00ED2C71">
        <w:rPr>
          <w:rFonts w:hint="cs"/>
          <w:i/>
          <w:iCs/>
          <w:spacing w:val="-4"/>
          <w:rtl/>
          <w:lang w:bidi="ar-JO"/>
        </w:rPr>
        <w:t xml:space="preserve"> </w:t>
      </w:r>
      <w:r w:rsidRPr="00ED2C71">
        <w:rPr>
          <w:i/>
          <w:iCs/>
          <w:spacing w:val="-4"/>
          <w:rtl/>
          <w:lang w:bidi="ar-JO"/>
        </w:rPr>
        <w:t>)</w:t>
      </w:r>
      <w:r w:rsidRPr="00ED2C71">
        <w:rPr>
          <w:spacing w:val="-4"/>
          <w:rtl/>
          <w:lang w:bidi="ar-JO"/>
        </w:rPr>
        <w:tab/>
        <w:t>أن أحكام الرقم</w:t>
      </w:r>
      <w:r w:rsidRPr="00ED2C71">
        <w:rPr>
          <w:rFonts w:hint="cs"/>
          <w:spacing w:val="-4"/>
          <w:rtl/>
          <w:lang w:bidi="ar-JO"/>
        </w:rPr>
        <w:t> </w:t>
      </w:r>
      <w:r w:rsidRPr="00ED2C71">
        <w:rPr>
          <w:b/>
          <w:bCs/>
          <w:spacing w:val="-4"/>
          <w:lang w:bidi="ar-JO"/>
        </w:rPr>
        <w:t>2.22</w:t>
      </w:r>
      <w:r w:rsidRPr="00ED2C71">
        <w:rPr>
          <w:spacing w:val="-4"/>
          <w:rtl/>
          <w:lang w:bidi="ar-JO"/>
        </w:rPr>
        <w:t xml:space="preserve"> من لوائح الراديو تُلزم النظم غير المستقرة بالنسبة إلى الأرض في الخدمة الثابتة الساتلية، العاملة في</w:t>
      </w:r>
      <w:r w:rsidRPr="00ED2C71">
        <w:rPr>
          <w:rFonts w:hint="cs"/>
          <w:spacing w:val="-4"/>
          <w:rtl/>
          <w:lang w:bidi="ar-JO"/>
        </w:rPr>
        <w:t> </w:t>
      </w:r>
      <w:r w:rsidRPr="00ED2C71">
        <w:rPr>
          <w:spacing w:val="-4"/>
          <w:rtl/>
          <w:lang w:bidi="ar-JO"/>
        </w:rPr>
        <w:t xml:space="preserve">كثير من </w:t>
      </w:r>
      <w:r w:rsidR="00ED2C71">
        <w:rPr>
          <w:spacing w:val="-4"/>
          <w:rtl/>
          <w:lang w:bidi="ar-JO"/>
        </w:rPr>
        <w:t>نطاقات</w:t>
      </w:r>
      <w:r w:rsidRPr="00ED2C71">
        <w:rPr>
          <w:spacing w:val="-4"/>
          <w:rtl/>
          <w:lang w:bidi="ar-JO"/>
        </w:rPr>
        <w:t xml:space="preserve"> التردد الموزَّعة للخدمة الثابتة الساتلية، بما في ذلك بعض النطُق التي تخضع فيها النظم غير المستقرة بالنسبة إلى الأرض في</w:t>
      </w:r>
      <w:r w:rsidRPr="00ED2C71">
        <w:rPr>
          <w:rFonts w:hint="cs"/>
          <w:spacing w:val="-4"/>
          <w:rtl/>
          <w:lang w:bidi="ar-JO"/>
        </w:rPr>
        <w:t> </w:t>
      </w:r>
      <w:r w:rsidRPr="00ED2C71">
        <w:rPr>
          <w:spacing w:val="-4"/>
          <w:rtl/>
          <w:lang w:bidi="ar-JO"/>
        </w:rPr>
        <w:t>الخدمة الثابتة الساتلية إلى مقتضيات التنسيق المنصوص عليها في الرقم</w:t>
      </w:r>
      <w:r w:rsidRPr="00ED2C71">
        <w:rPr>
          <w:rFonts w:hint="cs"/>
          <w:spacing w:val="-4"/>
          <w:rtl/>
          <w:lang w:bidi="ar-JO"/>
        </w:rPr>
        <w:t> </w:t>
      </w:r>
      <w:r w:rsidRPr="00ED2C71">
        <w:rPr>
          <w:b/>
          <w:bCs/>
          <w:spacing w:val="-4"/>
          <w:lang w:bidi="ar-JO"/>
        </w:rPr>
        <w:t>12.9</w:t>
      </w:r>
      <w:r w:rsidRPr="00ED2C71">
        <w:rPr>
          <w:spacing w:val="-4"/>
          <w:rtl/>
          <w:lang w:bidi="ar-JO"/>
        </w:rPr>
        <w:t>، بعدم تسبيب تداخل غير مقبول على الشبكات المستقرة بالنسبة إلى الأرض في الخدمة الثابتة الساتلية وفي الخدمة الإذاعية الساتلية وأن لا</w:t>
      </w:r>
      <w:r w:rsidRPr="00ED2C71">
        <w:rPr>
          <w:rFonts w:hint="cs"/>
          <w:spacing w:val="-4"/>
          <w:rtl/>
          <w:lang w:bidi="ar-JO"/>
        </w:rPr>
        <w:t> </w:t>
      </w:r>
      <w:r w:rsidRPr="00ED2C71">
        <w:rPr>
          <w:spacing w:val="-4"/>
          <w:rtl/>
          <w:lang w:bidi="ar-JO"/>
        </w:rPr>
        <w:t>تطلب الحماية من هذه الشبكات؛</w:t>
      </w:r>
    </w:p>
    <w:p w:rsidR="00D86C79" w:rsidRDefault="00D86C79" w:rsidP="00D86C79">
      <w:pPr>
        <w:rPr>
          <w:rtl/>
          <w:lang w:bidi="ar-JO"/>
        </w:rPr>
      </w:pPr>
      <w:r w:rsidRPr="00D86C79">
        <w:rPr>
          <w:i/>
          <w:iCs/>
          <w:rtl/>
          <w:lang w:bidi="ar-JO"/>
        </w:rPr>
        <w:t>و</w:t>
      </w:r>
      <w:r w:rsidR="00ED4791">
        <w:rPr>
          <w:rFonts w:hint="cs"/>
          <w:i/>
          <w:iCs/>
          <w:rtl/>
          <w:lang w:bidi="ar-JO"/>
        </w:rPr>
        <w:t xml:space="preserve"> </w:t>
      </w:r>
      <w:r w:rsidRPr="00D86C79">
        <w:rPr>
          <w:i/>
          <w:iCs/>
          <w:rtl/>
          <w:lang w:bidi="ar-JO"/>
        </w:rPr>
        <w:t>)</w:t>
      </w:r>
      <w:r w:rsidRPr="00D86C79">
        <w:rPr>
          <w:rtl/>
          <w:lang w:bidi="ar-JO"/>
        </w:rPr>
        <w:tab/>
        <w:t xml:space="preserve">أن أحكام الرقمين </w:t>
      </w:r>
      <w:r w:rsidRPr="00D86C79">
        <w:rPr>
          <w:b/>
          <w:bCs/>
          <w:lang w:val="en-GB" w:bidi="ar-JO"/>
        </w:rPr>
        <w:t>523D.5</w:t>
      </w:r>
      <w:r w:rsidRPr="00D86C79">
        <w:rPr>
          <w:rtl/>
          <w:lang w:bidi="ar-JO"/>
        </w:rPr>
        <w:t xml:space="preserve"> </w:t>
      </w:r>
      <w:r w:rsidRPr="00D86C79">
        <w:rPr>
          <w:rtl/>
          <w:lang w:bidi="ar-EG"/>
        </w:rPr>
        <w:t>و</w:t>
      </w:r>
      <w:r w:rsidRPr="00D86C79">
        <w:rPr>
          <w:b/>
          <w:bCs/>
          <w:lang w:val="en-GB" w:bidi="ar-JO"/>
        </w:rPr>
        <w:t>535A.5</w:t>
      </w:r>
      <w:r w:rsidRPr="00D86C79">
        <w:rPr>
          <w:rtl/>
          <w:lang w:bidi="ar-JO"/>
        </w:rPr>
        <w:t xml:space="preserve"> تسري على النطاقين </w:t>
      </w:r>
      <w:r w:rsidRPr="00D86C79">
        <w:rPr>
          <w:lang w:bidi="ar-JO"/>
        </w:rPr>
        <w:t>GHz</w:t>
      </w:r>
      <w:r>
        <w:rPr>
          <w:lang w:bidi="ar-JO"/>
        </w:rPr>
        <w:t> </w:t>
      </w:r>
      <w:r w:rsidRPr="00D86C79">
        <w:rPr>
          <w:lang w:bidi="ar-JO"/>
        </w:rPr>
        <w:t>19,7</w:t>
      </w:r>
      <w:r>
        <w:rPr>
          <w:lang w:bidi="ar-JO"/>
        </w:rPr>
        <w:noBreakHyphen/>
      </w:r>
      <w:r w:rsidRPr="00D86C79">
        <w:rPr>
          <w:lang w:bidi="ar-JO"/>
        </w:rPr>
        <w:t>19,3</w:t>
      </w:r>
      <w:r w:rsidRPr="00D86C79">
        <w:rPr>
          <w:rtl/>
          <w:lang w:bidi="ar-JO"/>
        </w:rPr>
        <w:t xml:space="preserve"> </w:t>
      </w:r>
      <w:r w:rsidRPr="00D86C79">
        <w:rPr>
          <w:rtl/>
        </w:rPr>
        <w:t>و</w:t>
      </w:r>
      <w:r w:rsidRPr="00D86C79">
        <w:rPr>
          <w:lang w:bidi="ar-JO"/>
        </w:rPr>
        <w:t>GHz</w:t>
      </w:r>
      <w:r>
        <w:rPr>
          <w:lang w:bidi="ar-JO"/>
        </w:rPr>
        <w:t> </w:t>
      </w:r>
      <w:r w:rsidRPr="00D86C79">
        <w:rPr>
          <w:lang w:bidi="ar-JO"/>
        </w:rPr>
        <w:t>29,5</w:t>
      </w:r>
      <w:r>
        <w:rPr>
          <w:lang w:bidi="ar-JO"/>
        </w:rPr>
        <w:noBreakHyphen/>
      </w:r>
      <w:r w:rsidRPr="00D86C79">
        <w:rPr>
          <w:lang w:bidi="ar-JO"/>
        </w:rPr>
        <w:t>29,1</w:t>
      </w:r>
      <w:r w:rsidRPr="00D86C79">
        <w:rPr>
          <w:rtl/>
          <w:lang w:bidi="ar-JO"/>
        </w:rPr>
        <w:t xml:space="preserve"> </w:t>
      </w:r>
      <w:r w:rsidRPr="00D86C79">
        <w:rPr>
          <w:rFonts w:hint="cs"/>
          <w:rtl/>
          <w:lang w:bidi="ar-JO"/>
        </w:rPr>
        <w:t>على الترتيب؛</w:t>
      </w:r>
    </w:p>
    <w:p w:rsidR="00ED4791" w:rsidRPr="00ED4791" w:rsidRDefault="00ED4791" w:rsidP="00ED4791">
      <w:pPr>
        <w:rPr>
          <w:spacing w:val="-6"/>
          <w:rtl/>
        </w:rPr>
      </w:pPr>
      <w:r w:rsidRPr="00ED4791">
        <w:rPr>
          <w:rFonts w:hint="cs"/>
          <w:i/>
          <w:iCs/>
          <w:spacing w:val="-6"/>
          <w:rtl/>
        </w:rPr>
        <w:t>ز )</w:t>
      </w:r>
      <w:r w:rsidRPr="00ED4791">
        <w:rPr>
          <w:rFonts w:hint="cs"/>
          <w:spacing w:val="-6"/>
          <w:rtl/>
        </w:rPr>
        <w:tab/>
        <w:t xml:space="preserve">أن أحكام الرقمين </w:t>
      </w:r>
      <w:r w:rsidRPr="00ED2C71">
        <w:rPr>
          <w:b/>
          <w:bCs/>
          <w:spacing w:val="-6"/>
        </w:rPr>
        <w:t>502.5</w:t>
      </w:r>
      <w:r w:rsidRPr="00ED4791">
        <w:rPr>
          <w:rFonts w:hint="cs"/>
          <w:spacing w:val="-6"/>
          <w:rtl/>
        </w:rPr>
        <w:t xml:space="preserve"> و</w:t>
      </w:r>
      <w:r w:rsidRPr="00ED2C71">
        <w:rPr>
          <w:b/>
          <w:bCs/>
          <w:spacing w:val="-6"/>
        </w:rPr>
        <w:t>503.5</w:t>
      </w:r>
      <w:r w:rsidRPr="00ED4791">
        <w:rPr>
          <w:rFonts w:hint="cs"/>
          <w:spacing w:val="-6"/>
          <w:rtl/>
        </w:rPr>
        <w:t xml:space="preserve"> تسري على النظم غير المستقرة بالنسبة إلى الأرض العاملة في</w:t>
      </w:r>
      <w:r>
        <w:rPr>
          <w:rFonts w:hint="eastAsia"/>
          <w:spacing w:val="-6"/>
          <w:rtl/>
        </w:rPr>
        <w:t> </w:t>
      </w:r>
      <w:r w:rsidRPr="00ED4791">
        <w:rPr>
          <w:rFonts w:hint="cs"/>
          <w:spacing w:val="-6"/>
          <w:rtl/>
        </w:rPr>
        <w:t xml:space="preserve">النطاق </w:t>
      </w:r>
      <w:r w:rsidRPr="00ED4791">
        <w:rPr>
          <w:spacing w:val="-6"/>
        </w:rPr>
        <w:t>GHz</w:t>
      </w:r>
      <w:r>
        <w:rPr>
          <w:spacing w:val="-6"/>
        </w:rPr>
        <w:t> </w:t>
      </w:r>
      <w:r w:rsidRPr="00ED4791">
        <w:rPr>
          <w:spacing w:val="-6"/>
        </w:rPr>
        <w:t>14</w:t>
      </w:r>
      <w:r>
        <w:rPr>
          <w:spacing w:val="-6"/>
        </w:rPr>
        <w:noBreakHyphen/>
      </w:r>
      <w:r w:rsidRPr="00ED4791">
        <w:rPr>
          <w:spacing w:val="-6"/>
        </w:rPr>
        <w:t>13,75</w:t>
      </w:r>
      <w:r w:rsidRPr="00ED4791">
        <w:rPr>
          <w:rFonts w:hint="cs"/>
          <w:spacing w:val="-6"/>
          <w:rtl/>
        </w:rPr>
        <w:t>،</w:t>
      </w:r>
    </w:p>
    <w:p w:rsidR="00D86C79" w:rsidRPr="00D86C79" w:rsidRDefault="00D86C79" w:rsidP="00D86C79">
      <w:pPr>
        <w:pStyle w:val="Call"/>
        <w:rPr>
          <w:lang w:bidi="ar-JO"/>
        </w:rPr>
      </w:pPr>
      <w:r w:rsidRPr="00D86C79">
        <w:rPr>
          <w:rtl/>
          <w:lang w:bidi="ar-JO"/>
        </w:rPr>
        <w:t>يقرِّر دعوة قطاع الاتصالات الراديوية في الاتحاد</w:t>
      </w:r>
    </w:p>
    <w:p w:rsidR="00D86C79" w:rsidRPr="00D86C79" w:rsidRDefault="00D86C79" w:rsidP="00D86C79">
      <w:pPr>
        <w:rPr>
          <w:lang w:bidi="ar-JO"/>
        </w:rPr>
      </w:pPr>
      <w:r w:rsidRPr="00D86C79">
        <w:rPr>
          <w:rtl/>
          <w:lang w:bidi="ar-JO"/>
        </w:rPr>
        <w:t>إلى أن يجري دراسات بشأن فعالية الإجراءات المعمول بها حالياً للتنسيق بين النظم الساتلية غير المستقرة بالنسبة إلى الأرض في</w:t>
      </w:r>
      <w:r>
        <w:rPr>
          <w:rFonts w:hint="eastAsia"/>
          <w:rtl/>
          <w:lang w:bidi="ar-EG"/>
        </w:rPr>
        <w:t> </w:t>
      </w:r>
      <w:r w:rsidRPr="00D86C79">
        <w:rPr>
          <w:rtl/>
          <w:lang w:bidi="ar-JO"/>
        </w:rPr>
        <w:t xml:space="preserve">الخدمة الثابتة الساتلية العاملة في </w:t>
      </w:r>
      <w:r w:rsidR="00ED2C71">
        <w:rPr>
          <w:rtl/>
          <w:lang w:bidi="ar-JO"/>
        </w:rPr>
        <w:t>نطاقات</w:t>
      </w:r>
      <w:r w:rsidRPr="00D86C79">
        <w:rPr>
          <w:rtl/>
          <w:lang w:bidi="ar-JO"/>
        </w:rPr>
        <w:t xml:space="preserve"> التردد المذكورة في</w:t>
      </w:r>
      <w:r>
        <w:rPr>
          <w:rFonts w:hint="cs"/>
          <w:rtl/>
          <w:lang w:bidi="ar-JO"/>
        </w:rPr>
        <w:t> </w:t>
      </w:r>
      <w:r w:rsidRPr="00D86C79">
        <w:rPr>
          <w:rtl/>
          <w:lang w:bidi="ar-JO"/>
        </w:rPr>
        <w:t>"</w:t>
      </w:r>
      <w:r w:rsidRPr="00D86C79">
        <w:rPr>
          <w:i/>
          <w:iCs/>
          <w:rtl/>
          <w:lang w:bidi="ar-JO"/>
        </w:rPr>
        <w:t>إذ</w:t>
      </w:r>
      <w:r>
        <w:rPr>
          <w:rFonts w:hint="cs"/>
          <w:i/>
          <w:iCs/>
          <w:rtl/>
          <w:lang w:bidi="ar-JO"/>
        </w:rPr>
        <w:t> </w:t>
      </w:r>
      <w:r w:rsidRPr="00D86C79">
        <w:rPr>
          <w:i/>
          <w:iCs/>
          <w:rtl/>
          <w:lang w:bidi="ar-JO"/>
        </w:rPr>
        <w:t>يضع</w:t>
      </w:r>
      <w:r>
        <w:rPr>
          <w:rFonts w:hint="cs"/>
          <w:i/>
          <w:iCs/>
          <w:rtl/>
          <w:lang w:bidi="ar-JO"/>
        </w:rPr>
        <w:t> </w:t>
      </w:r>
      <w:r w:rsidRPr="00D86C79">
        <w:rPr>
          <w:i/>
          <w:iCs/>
          <w:rtl/>
          <w:lang w:bidi="ar-JO"/>
        </w:rPr>
        <w:t>في</w:t>
      </w:r>
      <w:r>
        <w:rPr>
          <w:rFonts w:hint="cs"/>
          <w:i/>
          <w:iCs/>
          <w:rtl/>
          <w:lang w:bidi="ar-JO"/>
        </w:rPr>
        <w:t> </w:t>
      </w:r>
      <w:r w:rsidRPr="00D86C79">
        <w:rPr>
          <w:i/>
          <w:iCs/>
          <w:rtl/>
          <w:lang w:bidi="ar-JO"/>
        </w:rPr>
        <w:t>اعتباره</w:t>
      </w:r>
      <w:r>
        <w:rPr>
          <w:rFonts w:hint="cs"/>
          <w:i/>
          <w:iCs/>
          <w:rtl/>
          <w:lang w:bidi="ar-JO"/>
        </w:rPr>
        <w:t> </w:t>
      </w:r>
      <w:r w:rsidRPr="00D86C79">
        <w:rPr>
          <w:i/>
          <w:iCs/>
          <w:rtl/>
          <w:lang w:bidi="ar-JO"/>
        </w:rPr>
        <w:t>ب)</w:t>
      </w:r>
      <w:r w:rsidRPr="00D86C79">
        <w:rPr>
          <w:rtl/>
          <w:lang w:bidi="ar-JO"/>
        </w:rPr>
        <w:t>" بغية تمييز الآليات الممكن تطبيقها لتيسير التنسيق وتقاسم الترددات على أساس مشترك بين النظم الساتلية غير المستقرة بالنسبة إلى الأرض في</w:t>
      </w:r>
      <w:r>
        <w:rPr>
          <w:rFonts w:hint="cs"/>
          <w:rtl/>
          <w:lang w:bidi="ar-JO"/>
        </w:rPr>
        <w:t> </w:t>
      </w:r>
      <w:r w:rsidRPr="00D86C79">
        <w:rPr>
          <w:rtl/>
          <w:lang w:bidi="ar-JO"/>
        </w:rPr>
        <w:t>الخدمة الثابتة الساتلية،</w:t>
      </w:r>
    </w:p>
    <w:p w:rsidR="00D86C79" w:rsidRPr="00D86C79" w:rsidRDefault="00D86C79" w:rsidP="00DB1603">
      <w:pPr>
        <w:pStyle w:val="Call"/>
        <w:rPr>
          <w:lang w:val="en-GB" w:bidi="ar-JO"/>
        </w:rPr>
      </w:pPr>
      <w:r w:rsidRPr="00D86C79">
        <w:rPr>
          <w:rtl/>
          <w:lang w:bidi="ar-JO"/>
        </w:rPr>
        <w:t>ويقرِّر كذلك أن يدعو المؤتمر العالمي للاتصالات الراديوية لعام</w:t>
      </w:r>
      <w:r>
        <w:rPr>
          <w:rFonts w:hint="cs"/>
          <w:rtl/>
          <w:lang w:bidi="ar-EG"/>
        </w:rPr>
        <w:t> </w:t>
      </w:r>
      <w:r w:rsidRPr="00D86C79">
        <w:rPr>
          <w:lang w:bidi="ar-JO"/>
        </w:rPr>
        <w:t>2019</w:t>
      </w:r>
      <w:r w:rsidRPr="00D86C79">
        <w:rPr>
          <w:rtl/>
          <w:lang w:bidi="ar-JO"/>
        </w:rPr>
        <w:t xml:space="preserve"> </w:t>
      </w:r>
      <w:r w:rsidRPr="00D86C79">
        <w:rPr>
          <w:lang w:val="en-GB" w:bidi="ar-JO"/>
        </w:rPr>
        <w:t>(WRC</w:t>
      </w:r>
      <w:r>
        <w:rPr>
          <w:lang w:val="en-GB" w:bidi="ar-JO"/>
        </w:rPr>
        <w:noBreakHyphen/>
      </w:r>
      <w:r w:rsidRPr="00D86C79">
        <w:rPr>
          <w:lang w:val="en-GB" w:bidi="ar-JO"/>
        </w:rPr>
        <w:t>19)</w:t>
      </w:r>
    </w:p>
    <w:p w:rsidR="00D86C79" w:rsidRPr="00DB1603" w:rsidRDefault="00D86C79" w:rsidP="00DB1603">
      <w:pPr>
        <w:rPr>
          <w:spacing w:val="-6"/>
        </w:rPr>
      </w:pPr>
      <w:r w:rsidRPr="00DB1603">
        <w:rPr>
          <w:spacing w:val="-6"/>
          <w:rtl/>
        </w:rPr>
        <w:t>إلى النظر، ضمن إطار البند</w:t>
      </w:r>
      <w:r w:rsidRPr="00DB1603">
        <w:rPr>
          <w:rFonts w:hint="cs"/>
          <w:spacing w:val="-6"/>
          <w:rtl/>
        </w:rPr>
        <w:t> </w:t>
      </w:r>
      <w:r w:rsidRPr="00DB1603">
        <w:rPr>
          <w:spacing w:val="-6"/>
        </w:rPr>
        <w:t>7</w:t>
      </w:r>
      <w:r w:rsidRPr="00DB1603">
        <w:rPr>
          <w:spacing w:val="-6"/>
          <w:rtl/>
        </w:rPr>
        <w:t xml:space="preserve"> من جدول الأعمال، في نتائج الدراسات الآنفة الذكر واتخاذ كل التدابير ذات الصلة التي قد يراها مناسبة</w:t>
      </w:r>
      <w:r w:rsidRPr="00DB1603">
        <w:rPr>
          <w:rFonts w:hint="cs"/>
          <w:spacing w:val="-6"/>
          <w:rtl/>
        </w:rPr>
        <w:t>،</w:t>
      </w:r>
    </w:p>
    <w:p w:rsidR="00D86C79" w:rsidRPr="00D86C79" w:rsidRDefault="00D86C79" w:rsidP="00D86C79">
      <w:pPr>
        <w:pStyle w:val="Call"/>
        <w:rPr>
          <w:lang w:bidi="ar-JO"/>
        </w:rPr>
      </w:pPr>
      <w:r w:rsidRPr="00D86C79">
        <w:rPr>
          <w:rtl/>
          <w:lang w:bidi="ar-JO"/>
        </w:rPr>
        <w:t>ويكل</w:t>
      </w:r>
      <w:r w:rsidRPr="00D86C79">
        <w:rPr>
          <w:rtl/>
          <w:lang w:bidi="ar-EG"/>
        </w:rPr>
        <w:t>ِّ</w:t>
      </w:r>
      <w:r w:rsidRPr="00D86C79">
        <w:rPr>
          <w:rtl/>
          <w:lang w:bidi="ar-JO"/>
        </w:rPr>
        <w:t>ف مدير مكتب الاتصالات الراديوية</w:t>
      </w:r>
    </w:p>
    <w:p w:rsidR="00D86C79" w:rsidRPr="00D86C79" w:rsidRDefault="00D86C79" w:rsidP="00DB1603">
      <w:r w:rsidRPr="00D86C79">
        <w:t>1</w:t>
      </w:r>
      <w:r w:rsidRPr="00D86C79">
        <w:rPr>
          <w:rtl/>
        </w:rPr>
        <w:tab/>
        <w:t>بأن يعقد، بناء</w:t>
      </w:r>
      <w:r w:rsidR="008C1488">
        <w:rPr>
          <w:rFonts w:hint="cs"/>
          <w:rtl/>
        </w:rPr>
        <w:t>ً</w:t>
      </w:r>
      <w:r w:rsidRPr="00D86C79">
        <w:rPr>
          <w:rtl/>
        </w:rPr>
        <w:t xml:space="preserve"> على طلب من الإدارة الـمُبلِّغة، اجتماعات متعددة الأطراف تكون المشاركة فيها طوعية ترمي إلى</w:t>
      </w:r>
      <w:r w:rsidRPr="00D86C79">
        <w:rPr>
          <w:rFonts w:hint="cs"/>
          <w:rtl/>
        </w:rPr>
        <w:t> </w:t>
      </w:r>
      <w:r w:rsidRPr="00D86C79">
        <w:rPr>
          <w:rtl/>
        </w:rPr>
        <w:t xml:space="preserve">تيسير إنجاز التنسيق بين النظم غير المستقرة بالنسبة إلى الأرض في الخدمة الثابتة الساتلية في </w:t>
      </w:r>
      <w:r w:rsidR="00ED2C71">
        <w:rPr>
          <w:rtl/>
        </w:rPr>
        <w:t>نطاقات</w:t>
      </w:r>
      <w:r w:rsidRPr="00D86C79">
        <w:rPr>
          <w:rtl/>
        </w:rPr>
        <w:t xml:space="preserve"> التردد المذكورة في</w:t>
      </w:r>
      <w:r w:rsidRPr="00D86C79">
        <w:rPr>
          <w:rFonts w:hint="cs"/>
          <w:rtl/>
        </w:rPr>
        <w:t> </w:t>
      </w:r>
      <w:r w:rsidRPr="00DB1603">
        <w:rPr>
          <w:rtl/>
        </w:rPr>
        <w:t>"</w:t>
      </w:r>
      <w:r w:rsidRPr="00DB1603">
        <w:rPr>
          <w:i/>
          <w:iCs/>
          <w:rtl/>
        </w:rPr>
        <w:t>إذ</w:t>
      </w:r>
      <w:r w:rsidRPr="00DB1603">
        <w:rPr>
          <w:rFonts w:hint="cs"/>
          <w:i/>
          <w:iCs/>
          <w:rtl/>
        </w:rPr>
        <w:t> </w:t>
      </w:r>
      <w:r w:rsidRPr="00DB1603">
        <w:rPr>
          <w:i/>
          <w:iCs/>
          <w:rtl/>
        </w:rPr>
        <w:t>يضع</w:t>
      </w:r>
      <w:r w:rsidRPr="00DB1603">
        <w:rPr>
          <w:rFonts w:hint="cs"/>
          <w:i/>
          <w:iCs/>
          <w:rtl/>
        </w:rPr>
        <w:t> </w:t>
      </w:r>
      <w:r w:rsidRPr="00DB1603">
        <w:rPr>
          <w:i/>
          <w:iCs/>
          <w:rtl/>
        </w:rPr>
        <w:t>في</w:t>
      </w:r>
      <w:r w:rsidRPr="00DB1603">
        <w:rPr>
          <w:rFonts w:hint="cs"/>
          <w:i/>
          <w:iCs/>
          <w:rtl/>
        </w:rPr>
        <w:t> </w:t>
      </w:r>
      <w:r w:rsidRPr="00DB1603">
        <w:rPr>
          <w:i/>
          <w:iCs/>
          <w:rtl/>
        </w:rPr>
        <w:t>اعتباره</w:t>
      </w:r>
      <w:r w:rsidRPr="00DB1603">
        <w:rPr>
          <w:rFonts w:hint="cs"/>
          <w:i/>
          <w:iCs/>
          <w:rtl/>
        </w:rPr>
        <w:t> </w:t>
      </w:r>
      <w:r w:rsidRPr="00DB1603">
        <w:rPr>
          <w:i/>
          <w:iCs/>
          <w:rtl/>
        </w:rPr>
        <w:t>ب)</w:t>
      </w:r>
      <w:r w:rsidRPr="00D86C79">
        <w:rPr>
          <w:rtl/>
        </w:rPr>
        <w:t>"، مع الإقرار بأن المشاركة في هذه الاجتماعات لن تضفي على النظم المعنية من النظم غير</w:t>
      </w:r>
      <w:r w:rsidR="00DB1603">
        <w:rPr>
          <w:rFonts w:hint="cs"/>
          <w:rtl/>
        </w:rPr>
        <w:t> </w:t>
      </w:r>
      <w:r w:rsidRPr="00D86C79">
        <w:rPr>
          <w:rtl/>
        </w:rPr>
        <w:t>المستقرة بالنسبة إلى</w:t>
      </w:r>
      <w:r w:rsidRPr="00D86C79">
        <w:rPr>
          <w:rFonts w:hint="cs"/>
          <w:rtl/>
        </w:rPr>
        <w:t> </w:t>
      </w:r>
      <w:r w:rsidRPr="00D86C79">
        <w:rPr>
          <w:rtl/>
        </w:rPr>
        <w:t>الأرض في</w:t>
      </w:r>
      <w:r w:rsidRPr="00D86C79">
        <w:rPr>
          <w:rFonts w:hint="cs"/>
          <w:rtl/>
        </w:rPr>
        <w:t> </w:t>
      </w:r>
      <w:r w:rsidRPr="00D86C79">
        <w:rPr>
          <w:rtl/>
        </w:rPr>
        <w:t>الخدمة الثابتة الساتلية أي صفة إضافية، غير</w:t>
      </w:r>
      <w:r w:rsidRPr="00D86C79">
        <w:rPr>
          <w:rFonts w:hint="cs"/>
          <w:rtl/>
        </w:rPr>
        <w:t> </w:t>
      </w:r>
      <w:r w:rsidRPr="00D86C79">
        <w:rPr>
          <w:rtl/>
        </w:rPr>
        <w:t>ما</w:t>
      </w:r>
      <w:r w:rsidRPr="00D86C79">
        <w:rPr>
          <w:rFonts w:hint="cs"/>
          <w:rtl/>
        </w:rPr>
        <w:t> </w:t>
      </w:r>
      <w:r w:rsidRPr="00D86C79">
        <w:rPr>
          <w:rtl/>
        </w:rPr>
        <w:t>تضفيه عليها لوائح الراديو، بالقياس إلى النظم غير</w:t>
      </w:r>
      <w:r w:rsidR="00DB1603">
        <w:rPr>
          <w:rFonts w:hint="cs"/>
          <w:rtl/>
        </w:rPr>
        <w:t> </w:t>
      </w:r>
      <w:r w:rsidRPr="00D86C79">
        <w:rPr>
          <w:rtl/>
        </w:rPr>
        <w:t>المستقرة بالنسبة إلى الأرض في</w:t>
      </w:r>
      <w:r w:rsidRPr="00D86C79">
        <w:rPr>
          <w:rFonts w:hint="cs"/>
          <w:rtl/>
        </w:rPr>
        <w:t> </w:t>
      </w:r>
      <w:r w:rsidRPr="00D86C79">
        <w:rPr>
          <w:rtl/>
        </w:rPr>
        <w:t>الخدمة الثابتة الساتلية التي لا</w:t>
      </w:r>
      <w:r w:rsidRPr="00D86C79">
        <w:rPr>
          <w:rFonts w:hint="cs"/>
          <w:rtl/>
        </w:rPr>
        <w:t> </w:t>
      </w:r>
      <w:r w:rsidRPr="00D86C79">
        <w:rPr>
          <w:rtl/>
        </w:rPr>
        <w:t>تشارك في</w:t>
      </w:r>
      <w:r w:rsidRPr="00D86C79">
        <w:rPr>
          <w:rFonts w:hint="cs"/>
          <w:rtl/>
        </w:rPr>
        <w:t> </w:t>
      </w:r>
      <w:r w:rsidRPr="00D86C79">
        <w:rPr>
          <w:rtl/>
        </w:rPr>
        <w:t>الاجتماع، وأن مشاركة الإدارات الـمبلِّغة والجهات التي تتولى التشغيل لديها تُعتبر أمراً طوعياً بصورة تامة؛</w:t>
      </w:r>
    </w:p>
    <w:p w:rsidR="00D86C79" w:rsidRPr="00D86C79" w:rsidRDefault="00D86C79" w:rsidP="00766DA4">
      <w:r w:rsidRPr="00D86C79">
        <w:t>2</w:t>
      </w:r>
      <w:r w:rsidRPr="00D86C79">
        <w:rPr>
          <w:rtl/>
        </w:rPr>
        <w:tab/>
        <w:t xml:space="preserve">بأن يضمِّن تقريرَ المدير المقدم إلى المؤتمر </w:t>
      </w:r>
      <w:r w:rsidRPr="00D86C79">
        <w:t>WRC</w:t>
      </w:r>
      <w:r w:rsidR="00766DA4">
        <w:noBreakHyphen/>
      </w:r>
      <w:r w:rsidRPr="00D86C79">
        <w:t>19</w:t>
      </w:r>
      <w:r w:rsidRPr="00D86C79">
        <w:rPr>
          <w:rtl/>
        </w:rPr>
        <w:t xml:space="preserve"> تقييماً لفعالية الاجتماعات المتعددة الأطراف المشار إليها في</w:t>
      </w:r>
      <w:r w:rsidRPr="00D86C79">
        <w:rPr>
          <w:rFonts w:hint="cs"/>
          <w:rtl/>
        </w:rPr>
        <w:t> </w:t>
      </w:r>
      <w:r w:rsidRPr="00D86C79">
        <w:rPr>
          <w:rtl/>
        </w:rPr>
        <w:t>"</w:t>
      </w:r>
      <w:r w:rsidRPr="00ED4791">
        <w:rPr>
          <w:i/>
          <w:iCs/>
          <w:rtl/>
        </w:rPr>
        <w:t>ويكلِّف</w:t>
      </w:r>
      <w:r w:rsidRPr="00D86C79">
        <w:rPr>
          <w:rtl/>
        </w:rPr>
        <w:t xml:space="preserve"> ... </w:t>
      </w:r>
      <w:r w:rsidRPr="00D86C79">
        <w:t>1</w:t>
      </w:r>
      <w:r w:rsidRPr="00D86C79">
        <w:rPr>
          <w:rtl/>
        </w:rPr>
        <w:t>" أعلاه؛</w:t>
      </w:r>
    </w:p>
    <w:p w:rsidR="00D86C79" w:rsidRPr="00D86C79" w:rsidRDefault="00D86C79" w:rsidP="00D86C79">
      <w:pPr>
        <w:rPr>
          <w:rtl/>
          <w:lang w:bidi="ar-JO"/>
        </w:rPr>
      </w:pPr>
      <w:r w:rsidRPr="00D86C79">
        <w:t>3</w:t>
      </w:r>
      <w:r w:rsidRPr="00D86C79">
        <w:rPr>
          <w:rtl/>
        </w:rPr>
        <w:tab/>
        <w:t>بأن يحيط لجان الدراسات التابعة لقطاع الاتصالات الراديوية في</w:t>
      </w:r>
      <w:r w:rsidRPr="00D86C79">
        <w:rPr>
          <w:rFonts w:hint="cs"/>
          <w:rtl/>
        </w:rPr>
        <w:t> </w:t>
      </w:r>
      <w:r w:rsidRPr="00D86C79">
        <w:rPr>
          <w:rtl/>
        </w:rPr>
        <w:t>الاتحاد علماً بهذا القرار وذلك بمثابة نشاط لقطاع</w:t>
      </w:r>
      <w:r w:rsidRPr="00D86C79">
        <w:rPr>
          <w:rFonts w:hint="cs"/>
          <w:rtl/>
        </w:rPr>
        <w:t> </w:t>
      </w:r>
      <w:r w:rsidRPr="00D86C79">
        <w:rPr>
          <w:rtl/>
        </w:rPr>
        <w:t>الاتصالات الراديوية،</w:t>
      </w:r>
    </w:p>
    <w:p w:rsidR="00285D59" w:rsidRDefault="00D86C79" w:rsidP="00D86C79">
      <w:pPr>
        <w:pStyle w:val="Call"/>
        <w:rPr>
          <w:lang w:bidi="ar-JO"/>
        </w:rPr>
      </w:pPr>
      <w:r w:rsidRPr="00D86C79">
        <w:rPr>
          <w:rtl/>
          <w:lang w:bidi="ar-JO"/>
        </w:rPr>
        <w:t>ويدعو الإدارات</w:t>
      </w:r>
    </w:p>
    <w:p w:rsidR="00D86C79" w:rsidRPr="00D86C79" w:rsidRDefault="00D86C79" w:rsidP="00D86C79">
      <w:r w:rsidRPr="00D86C79">
        <w:t>1</w:t>
      </w:r>
      <w:r w:rsidRPr="00D86C79">
        <w:rPr>
          <w:rtl/>
        </w:rPr>
        <w:tab/>
        <w:t>إلى المشاركة النشطة في الدراسات المعنية من خلال تقديم مساهمات إلى قطاع الاتصالات الراديوية في</w:t>
      </w:r>
      <w:r w:rsidRPr="00D86C79">
        <w:rPr>
          <w:rFonts w:hint="cs"/>
          <w:rtl/>
        </w:rPr>
        <w:t> </w:t>
      </w:r>
      <w:r w:rsidRPr="00D86C79">
        <w:rPr>
          <w:rtl/>
        </w:rPr>
        <w:t>الاتحاد؛</w:t>
      </w:r>
    </w:p>
    <w:p w:rsidR="00D86C79" w:rsidRPr="00D86C79" w:rsidRDefault="00D86C79" w:rsidP="00D86C79">
      <w:pPr>
        <w:rPr>
          <w:rtl/>
          <w:lang w:bidi="ar-EG"/>
        </w:rPr>
      </w:pPr>
      <w:r w:rsidRPr="00D86C79">
        <w:t>2</w:t>
      </w:r>
      <w:r w:rsidRPr="00D86C79">
        <w:rPr>
          <w:rtl/>
        </w:rPr>
        <w:tab/>
        <w:t>إلى المشاركة في الاجتماعات الطوعية التي قد يدعو إليها مدير مكتب الاتصالات الراديوية لتناول التنسيق وتقاسم التردد على أساس مشترك بين النظم غير</w:t>
      </w:r>
      <w:r w:rsidRPr="00D86C79">
        <w:rPr>
          <w:rFonts w:hint="cs"/>
          <w:rtl/>
        </w:rPr>
        <w:t> </w:t>
      </w:r>
      <w:r w:rsidRPr="00D86C79">
        <w:rPr>
          <w:rtl/>
        </w:rPr>
        <w:t>المستقرة بالنسبة إلى الأرض في</w:t>
      </w:r>
      <w:r w:rsidRPr="00D86C79">
        <w:rPr>
          <w:rFonts w:hint="cs"/>
          <w:rtl/>
        </w:rPr>
        <w:t> </w:t>
      </w:r>
      <w:r w:rsidRPr="00D86C79">
        <w:rPr>
          <w:rtl/>
        </w:rPr>
        <w:t>الخدمة الثابتة الساتلية في</w:t>
      </w:r>
      <w:r w:rsidRPr="00D86C79">
        <w:rPr>
          <w:rFonts w:hint="cs"/>
          <w:rtl/>
        </w:rPr>
        <w:t> </w:t>
      </w:r>
      <w:r w:rsidRPr="00D86C79">
        <w:rPr>
          <w:rtl/>
        </w:rPr>
        <w:t>ال</w:t>
      </w:r>
      <w:r w:rsidR="00ED2C71">
        <w:rPr>
          <w:rtl/>
        </w:rPr>
        <w:t>نطاقات</w:t>
      </w:r>
      <w:r w:rsidRPr="00D86C79">
        <w:rPr>
          <w:rtl/>
        </w:rPr>
        <w:t xml:space="preserve"> المذكورة في</w:t>
      </w:r>
      <w:r w:rsidRPr="00D86C79">
        <w:rPr>
          <w:rFonts w:hint="cs"/>
          <w:rtl/>
        </w:rPr>
        <w:t> </w:t>
      </w:r>
      <w:r w:rsidRPr="00D86C79">
        <w:rPr>
          <w:rtl/>
        </w:rPr>
        <w:t>"</w:t>
      </w:r>
      <w:r w:rsidRPr="00D86C79">
        <w:rPr>
          <w:i/>
          <w:iCs/>
          <w:rtl/>
        </w:rPr>
        <w:t>إذ</w:t>
      </w:r>
      <w:r w:rsidRPr="00D86C79">
        <w:rPr>
          <w:rFonts w:hint="cs"/>
          <w:i/>
          <w:iCs/>
          <w:rtl/>
        </w:rPr>
        <w:t> </w:t>
      </w:r>
      <w:r w:rsidRPr="00D86C79">
        <w:rPr>
          <w:i/>
          <w:iCs/>
          <w:rtl/>
        </w:rPr>
        <w:t>يضع</w:t>
      </w:r>
      <w:r w:rsidRPr="00D86C79">
        <w:rPr>
          <w:rFonts w:hint="cs"/>
          <w:i/>
          <w:iCs/>
          <w:rtl/>
        </w:rPr>
        <w:t> </w:t>
      </w:r>
      <w:r w:rsidRPr="00D86C79">
        <w:rPr>
          <w:i/>
          <w:iCs/>
          <w:rtl/>
        </w:rPr>
        <w:t>في</w:t>
      </w:r>
      <w:r w:rsidRPr="00D86C79">
        <w:rPr>
          <w:rFonts w:hint="cs"/>
          <w:i/>
          <w:iCs/>
          <w:rtl/>
        </w:rPr>
        <w:t> </w:t>
      </w:r>
      <w:r w:rsidRPr="00D86C79">
        <w:rPr>
          <w:i/>
          <w:iCs/>
          <w:rtl/>
        </w:rPr>
        <w:t>اعتباره</w:t>
      </w:r>
      <w:r w:rsidRPr="00D86C79">
        <w:rPr>
          <w:rFonts w:hint="cs"/>
          <w:i/>
          <w:iCs/>
          <w:rtl/>
        </w:rPr>
        <w:t> </w:t>
      </w:r>
      <w:r w:rsidRPr="00D86C79">
        <w:rPr>
          <w:i/>
          <w:iCs/>
          <w:rtl/>
        </w:rPr>
        <w:t>ب)</w:t>
      </w:r>
      <w:r w:rsidRPr="00D86C79">
        <w:rPr>
          <w:rtl/>
        </w:rPr>
        <w:t>"</w:t>
      </w:r>
      <w:r w:rsidR="00FC5284">
        <w:rPr>
          <w:rFonts w:hint="cs"/>
          <w:rtl/>
          <w:lang w:bidi="ar-EG"/>
        </w:rPr>
        <w:t>.</w:t>
      </w:r>
    </w:p>
    <w:p w:rsidR="00D86C79" w:rsidRDefault="00D86C79" w:rsidP="008E5917">
      <w:pPr>
        <w:pStyle w:val="Reasons"/>
        <w:rPr>
          <w:b w:val="0"/>
          <w:bCs w:val="0"/>
          <w:rtl/>
          <w:lang w:bidi="ar-JO"/>
        </w:rPr>
      </w:pPr>
      <w:r w:rsidRPr="00D86C79">
        <w:rPr>
          <w:rtl/>
        </w:rPr>
        <w:t xml:space="preserve">الأسباب: </w:t>
      </w:r>
      <w:r w:rsidRPr="00D86C79">
        <w:rPr>
          <w:b w:val="0"/>
          <w:bCs w:val="0"/>
          <w:rtl/>
          <w:lang w:bidi="ar-JO"/>
        </w:rPr>
        <w:t>دراسة الإجراءات المعمول بها حالياً للتنسيق بين النظم الساتلية غير</w:t>
      </w:r>
      <w:r>
        <w:rPr>
          <w:rFonts w:hint="cs"/>
          <w:b w:val="0"/>
          <w:bCs w:val="0"/>
          <w:rtl/>
          <w:lang w:bidi="ar-JO"/>
        </w:rPr>
        <w:t> </w:t>
      </w:r>
      <w:r w:rsidRPr="00D86C79">
        <w:rPr>
          <w:b w:val="0"/>
          <w:bCs w:val="0"/>
          <w:rtl/>
          <w:lang w:bidi="ar-JO"/>
        </w:rPr>
        <w:t>المستقرة بالنسبة إلى الأرض في</w:t>
      </w:r>
      <w:r>
        <w:rPr>
          <w:rFonts w:hint="cs"/>
          <w:b w:val="0"/>
          <w:bCs w:val="0"/>
          <w:rtl/>
          <w:lang w:bidi="ar-JO"/>
        </w:rPr>
        <w:t> </w:t>
      </w:r>
      <w:r w:rsidRPr="00D86C79">
        <w:rPr>
          <w:b w:val="0"/>
          <w:bCs w:val="0"/>
          <w:rtl/>
          <w:lang w:bidi="ar-JO"/>
        </w:rPr>
        <w:t>الخدمة الثابتة الساتلية وتزويد مدير مكتب الاتصالات الراديوية بآلية لعقد اجتماعات متعددة الأطراف تكون المشاركة فيها طوعية، بناء</w:t>
      </w:r>
      <w:r w:rsidR="008C1488">
        <w:rPr>
          <w:rFonts w:hint="cs"/>
          <w:b w:val="0"/>
          <w:bCs w:val="0"/>
          <w:rtl/>
          <w:lang w:bidi="ar-JO"/>
        </w:rPr>
        <w:t>ً</w:t>
      </w:r>
      <w:r w:rsidRPr="00D86C79">
        <w:rPr>
          <w:b w:val="0"/>
          <w:bCs w:val="0"/>
          <w:rtl/>
          <w:lang w:bidi="ar-JO"/>
        </w:rPr>
        <w:t xml:space="preserve"> على طلب من</w:t>
      </w:r>
      <w:r>
        <w:rPr>
          <w:rFonts w:hint="cs"/>
          <w:b w:val="0"/>
          <w:bCs w:val="0"/>
          <w:rtl/>
          <w:lang w:bidi="ar-JO"/>
        </w:rPr>
        <w:t> </w:t>
      </w:r>
      <w:r w:rsidRPr="00D86C79">
        <w:rPr>
          <w:b w:val="0"/>
          <w:bCs w:val="0"/>
          <w:rtl/>
          <w:lang w:bidi="ar-JO"/>
        </w:rPr>
        <w:t>إحدى الإدارات، بغية تيسير إنجاز التنسيق.</w:t>
      </w:r>
    </w:p>
    <w:p w:rsidR="00CD0FD6" w:rsidRPr="00CD0FD6" w:rsidRDefault="00CD0FD6" w:rsidP="00CD0FD6">
      <w:pPr>
        <w:pStyle w:val="Reasons"/>
        <w:spacing w:before="0"/>
        <w:rPr>
          <w:rtl/>
          <w:lang w:bidi="ar-JO"/>
        </w:rPr>
      </w:pPr>
    </w:p>
    <w:p w:rsidR="00D82F45" w:rsidRPr="00D82F45" w:rsidRDefault="00D82F45" w:rsidP="00CD0FD6">
      <w:pPr>
        <w:keepNext/>
        <w:spacing w:before="240"/>
        <w:jc w:val="center"/>
        <w:rPr>
          <w:rtl/>
        </w:rPr>
      </w:pPr>
      <w:bookmarkStart w:id="1" w:name="_GoBack"/>
      <w:bookmarkEnd w:id="1"/>
      <w:r>
        <w:rPr>
          <w:rtl/>
        </w:rPr>
        <w:t>___________</w:t>
      </w:r>
    </w:p>
    <w:sectPr w:rsidR="00D82F45" w:rsidRPr="00D82F45"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20497B" w:rsidRDefault="0020497B" w:rsidP="00FC5284">
    <w:pPr>
      <w:pStyle w:val="Footer"/>
    </w:pPr>
    <w:r>
      <w:fldChar w:fldCharType="begin"/>
    </w:r>
    <w:r w:rsidRPr="007B15B2">
      <w:instrText xml:space="preserve"> FILENAME \p \* MERGEFORMAT </w:instrText>
    </w:r>
    <w:r>
      <w:fldChar w:fldCharType="separate"/>
    </w:r>
    <w:r w:rsidR="00ED4791">
      <w:rPr>
        <w:noProof/>
      </w:rPr>
      <w:t>P:\ARA\ITU-R\CONF-R\CMR15\000\006ADD23ADD02ADD03A.docx</w:t>
    </w:r>
    <w:r>
      <w:fldChar w:fldCharType="end"/>
    </w:r>
    <w:r w:rsidRPr="007B15B2">
      <w:t xml:space="preserve">   (388238)</w:t>
    </w:r>
    <w:r w:rsidRPr="007B15B2">
      <w:tab/>
    </w:r>
    <w:r w:rsidRPr="00B12661">
      <w:fldChar w:fldCharType="begin"/>
    </w:r>
    <w:r w:rsidRPr="00B12661">
      <w:instrText xml:space="preserve"> savedate \@ dd.MM.yy </w:instrText>
    </w:r>
    <w:r w:rsidRPr="00B12661">
      <w:fldChar w:fldCharType="separate"/>
    </w:r>
    <w:r w:rsidR="00DD7DF5">
      <w:rPr>
        <w:noProof/>
      </w:rPr>
      <w:t>29.10.15</w:t>
    </w:r>
    <w:r w:rsidRPr="00B12661">
      <w:fldChar w:fldCharType="end"/>
    </w:r>
    <w:r w:rsidRPr="007B15B2">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7B15B2" w:rsidRDefault="00281F5F" w:rsidP="00BC4E2E">
    <w:pPr>
      <w:pStyle w:val="Footer"/>
    </w:pPr>
    <w:r>
      <w:fldChar w:fldCharType="begin"/>
    </w:r>
    <w:r w:rsidRPr="007B15B2">
      <w:instrText xml:space="preserve"> FILENAME \p \* MERGEFORMAT </w:instrText>
    </w:r>
    <w:r>
      <w:fldChar w:fldCharType="separate"/>
    </w:r>
    <w:r w:rsidR="00ED4791">
      <w:rPr>
        <w:noProof/>
      </w:rPr>
      <w:t>P:\ARA\ITU-R\CONF-R\CMR15\000\006ADD23ADD02ADD03A.docx</w:t>
    </w:r>
    <w:r>
      <w:fldChar w:fldCharType="end"/>
    </w:r>
    <w:r w:rsidRPr="007B15B2">
      <w:t xml:space="preserve">   (</w:t>
    </w:r>
    <w:r w:rsidR="00BC4E2E" w:rsidRPr="007B15B2">
      <w:t>388238</w:t>
    </w:r>
    <w:r w:rsidRPr="007B15B2">
      <w:t>)</w:t>
    </w:r>
    <w:r w:rsidRPr="007B15B2">
      <w:tab/>
    </w:r>
    <w:r w:rsidRPr="00B12661">
      <w:fldChar w:fldCharType="begin"/>
    </w:r>
    <w:r w:rsidRPr="00B12661">
      <w:instrText xml:space="preserve"> savedate \@ dd.MM.yy </w:instrText>
    </w:r>
    <w:r w:rsidRPr="00B12661">
      <w:fldChar w:fldCharType="separate"/>
    </w:r>
    <w:r w:rsidR="00DD7DF5">
      <w:rPr>
        <w:noProof/>
      </w:rPr>
      <w:t>29.10.15</w:t>
    </w:r>
    <w:r w:rsidRPr="00B12661">
      <w:fldChar w:fldCharType="end"/>
    </w:r>
    <w:r w:rsidRPr="007B15B2">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CD0FD6">
      <w:rPr>
        <w:rStyle w:val="PageNumber"/>
        <w:noProof/>
      </w:rPr>
      <w:t>4</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6(Add.23)(Add.2)(Add.3)-</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DCA5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C2B4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3621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3C96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AAAB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07E70"/>
    <w:rsid w:val="001464F2"/>
    <w:rsid w:val="001629EC"/>
    <w:rsid w:val="00167364"/>
    <w:rsid w:val="001903B2"/>
    <w:rsid w:val="001A0A0D"/>
    <w:rsid w:val="001E190C"/>
    <w:rsid w:val="001E54F6"/>
    <w:rsid w:val="001E5A8C"/>
    <w:rsid w:val="001F7E80"/>
    <w:rsid w:val="00201A0A"/>
    <w:rsid w:val="0020497B"/>
    <w:rsid w:val="002075D4"/>
    <w:rsid w:val="00211B2A"/>
    <w:rsid w:val="002333A0"/>
    <w:rsid w:val="002543CF"/>
    <w:rsid w:val="00255868"/>
    <w:rsid w:val="0026062E"/>
    <w:rsid w:val="00260F50"/>
    <w:rsid w:val="00261EF7"/>
    <w:rsid w:val="0027069F"/>
    <w:rsid w:val="00277869"/>
    <w:rsid w:val="00280E04"/>
    <w:rsid w:val="00281F5F"/>
    <w:rsid w:val="002843E4"/>
    <w:rsid w:val="00285D59"/>
    <w:rsid w:val="002919E1"/>
    <w:rsid w:val="00295917"/>
    <w:rsid w:val="00296071"/>
    <w:rsid w:val="002A4572"/>
    <w:rsid w:val="002A7E2E"/>
    <w:rsid w:val="002B16D8"/>
    <w:rsid w:val="002D5F64"/>
    <w:rsid w:val="002D6FBF"/>
    <w:rsid w:val="002E48BF"/>
    <w:rsid w:val="002E61C2"/>
    <w:rsid w:val="00300169"/>
    <w:rsid w:val="0033737F"/>
    <w:rsid w:val="00344237"/>
    <w:rsid w:val="00353652"/>
    <w:rsid w:val="003569E1"/>
    <w:rsid w:val="0036759E"/>
    <w:rsid w:val="003815E2"/>
    <w:rsid w:val="00381FAD"/>
    <w:rsid w:val="00382A66"/>
    <w:rsid w:val="00386515"/>
    <w:rsid w:val="003868F0"/>
    <w:rsid w:val="003923B1"/>
    <w:rsid w:val="003965FE"/>
    <w:rsid w:val="003A4543"/>
    <w:rsid w:val="003A6AB4"/>
    <w:rsid w:val="003B27AD"/>
    <w:rsid w:val="003B4F23"/>
    <w:rsid w:val="003C12F6"/>
    <w:rsid w:val="003C3A13"/>
    <w:rsid w:val="003E02EF"/>
    <w:rsid w:val="003E1608"/>
    <w:rsid w:val="003E1D90"/>
    <w:rsid w:val="00400CD4"/>
    <w:rsid w:val="004147B9"/>
    <w:rsid w:val="00422C04"/>
    <w:rsid w:val="00426144"/>
    <w:rsid w:val="004457AE"/>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57359"/>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1FC8"/>
    <w:rsid w:val="006D2674"/>
    <w:rsid w:val="006E38D0"/>
    <w:rsid w:val="006E465B"/>
    <w:rsid w:val="006F70BF"/>
    <w:rsid w:val="0070239F"/>
    <w:rsid w:val="00716B1D"/>
    <w:rsid w:val="007248EC"/>
    <w:rsid w:val="00731150"/>
    <w:rsid w:val="00736DCC"/>
    <w:rsid w:val="00741855"/>
    <w:rsid w:val="00742B73"/>
    <w:rsid w:val="00751251"/>
    <w:rsid w:val="007610E7"/>
    <w:rsid w:val="00764079"/>
    <w:rsid w:val="00766DA4"/>
    <w:rsid w:val="00770AA0"/>
    <w:rsid w:val="00771F7E"/>
    <w:rsid w:val="00773E9C"/>
    <w:rsid w:val="00776F6B"/>
    <w:rsid w:val="00777694"/>
    <w:rsid w:val="00786A7E"/>
    <w:rsid w:val="007A0802"/>
    <w:rsid w:val="007B15B2"/>
    <w:rsid w:val="007B1FCA"/>
    <w:rsid w:val="007B5B3A"/>
    <w:rsid w:val="007C2C12"/>
    <w:rsid w:val="007C3CFA"/>
    <w:rsid w:val="007E0E8B"/>
    <w:rsid w:val="007F08CA"/>
    <w:rsid w:val="007F7FC3"/>
    <w:rsid w:val="00807CBF"/>
    <w:rsid w:val="00810482"/>
    <w:rsid w:val="00817568"/>
    <w:rsid w:val="008204AC"/>
    <w:rsid w:val="008228CE"/>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C1488"/>
    <w:rsid w:val="008D4F14"/>
    <w:rsid w:val="008D6ACC"/>
    <w:rsid w:val="008D7AF0"/>
    <w:rsid w:val="008E32DD"/>
    <w:rsid w:val="008E5917"/>
    <w:rsid w:val="008F4626"/>
    <w:rsid w:val="009004DF"/>
    <w:rsid w:val="00904AA5"/>
    <w:rsid w:val="00905D21"/>
    <w:rsid w:val="009235BF"/>
    <w:rsid w:val="00951718"/>
    <w:rsid w:val="00954CCB"/>
    <w:rsid w:val="00960962"/>
    <w:rsid w:val="0096096A"/>
    <w:rsid w:val="00972CE0"/>
    <w:rsid w:val="00976D67"/>
    <w:rsid w:val="009A3D30"/>
    <w:rsid w:val="009B0BD8"/>
    <w:rsid w:val="009D6348"/>
    <w:rsid w:val="009E03AA"/>
    <w:rsid w:val="009E613F"/>
    <w:rsid w:val="009F042B"/>
    <w:rsid w:val="009F7BA0"/>
    <w:rsid w:val="00A03FD6"/>
    <w:rsid w:val="00A0472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1808"/>
    <w:rsid w:val="00B528DF"/>
    <w:rsid w:val="00B606BA"/>
    <w:rsid w:val="00B66817"/>
    <w:rsid w:val="00B71E3B"/>
    <w:rsid w:val="00B721D5"/>
    <w:rsid w:val="00B81CB5"/>
    <w:rsid w:val="00B8351F"/>
    <w:rsid w:val="00B86187"/>
    <w:rsid w:val="00B86C44"/>
    <w:rsid w:val="00B9727C"/>
    <w:rsid w:val="00BA610A"/>
    <w:rsid w:val="00BA7D44"/>
    <w:rsid w:val="00BB6DE9"/>
    <w:rsid w:val="00BC4E2E"/>
    <w:rsid w:val="00BD6EF3"/>
    <w:rsid w:val="00BE69C3"/>
    <w:rsid w:val="00C1165E"/>
    <w:rsid w:val="00C11AB9"/>
    <w:rsid w:val="00C22074"/>
    <w:rsid w:val="00C2377B"/>
    <w:rsid w:val="00C3693C"/>
    <w:rsid w:val="00C507BD"/>
    <w:rsid w:val="00C53F6F"/>
    <w:rsid w:val="00C5489D"/>
    <w:rsid w:val="00C71759"/>
    <w:rsid w:val="00C73627"/>
    <w:rsid w:val="00C8199C"/>
    <w:rsid w:val="00C84112"/>
    <w:rsid w:val="00C841EB"/>
    <w:rsid w:val="00C8665F"/>
    <w:rsid w:val="00C917B5"/>
    <w:rsid w:val="00C94DFA"/>
    <w:rsid w:val="00CA298C"/>
    <w:rsid w:val="00CB2BF9"/>
    <w:rsid w:val="00CB4300"/>
    <w:rsid w:val="00CB454E"/>
    <w:rsid w:val="00CB5EDA"/>
    <w:rsid w:val="00CC030E"/>
    <w:rsid w:val="00CC57D0"/>
    <w:rsid w:val="00CC68C4"/>
    <w:rsid w:val="00CC79A4"/>
    <w:rsid w:val="00CD0FD6"/>
    <w:rsid w:val="00CD0FDE"/>
    <w:rsid w:val="00CE0E68"/>
    <w:rsid w:val="00CE5BA4"/>
    <w:rsid w:val="00D22E53"/>
    <w:rsid w:val="00D25120"/>
    <w:rsid w:val="00D419CB"/>
    <w:rsid w:val="00D44350"/>
    <w:rsid w:val="00D44E3F"/>
    <w:rsid w:val="00D525F5"/>
    <w:rsid w:val="00D535D0"/>
    <w:rsid w:val="00D62C78"/>
    <w:rsid w:val="00D81703"/>
    <w:rsid w:val="00D82929"/>
    <w:rsid w:val="00D82F45"/>
    <w:rsid w:val="00D84214"/>
    <w:rsid w:val="00D85FEA"/>
    <w:rsid w:val="00D86C79"/>
    <w:rsid w:val="00D943E5"/>
    <w:rsid w:val="00D97B3F"/>
    <w:rsid w:val="00DA1AE0"/>
    <w:rsid w:val="00DB1603"/>
    <w:rsid w:val="00DC29DD"/>
    <w:rsid w:val="00DC7C0E"/>
    <w:rsid w:val="00DD7DF5"/>
    <w:rsid w:val="00DF2A6A"/>
    <w:rsid w:val="00DF3B72"/>
    <w:rsid w:val="00E10821"/>
    <w:rsid w:val="00E165ED"/>
    <w:rsid w:val="00E2489D"/>
    <w:rsid w:val="00E25C06"/>
    <w:rsid w:val="00E26520"/>
    <w:rsid w:val="00E27432"/>
    <w:rsid w:val="00E343A3"/>
    <w:rsid w:val="00E51BFA"/>
    <w:rsid w:val="00E621A3"/>
    <w:rsid w:val="00E77D29"/>
    <w:rsid w:val="00E833BC"/>
    <w:rsid w:val="00E8580E"/>
    <w:rsid w:val="00EA1B76"/>
    <w:rsid w:val="00EA77D7"/>
    <w:rsid w:val="00EC09B9"/>
    <w:rsid w:val="00ED048C"/>
    <w:rsid w:val="00ED2C71"/>
    <w:rsid w:val="00ED4791"/>
    <w:rsid w:val="00ED4B29"/>
    <w:rsid w:val="00EF38AF"/>
    <w:rsid w:val="00F055F8"/>
    <w:rsid w:val="00F10CB4"/>
    <w:rsid w:val="00F11B3D"/>
    <w:rsid w:val="00F14763"/>
    <w:rsid w:val="00F16212"/>
    <w:rsid w:val="00F16602"/>
    <w:rsid w:val="00F25B80"/>
    <w:rsid w:val="00F2685F"/>
    <w:rsid w:val="00F350C8"/>
    <w:rsid w:val="00F63973"/>
    <w:rsid w:val="00F80D40"/>
    <w:rsid w:val="00F8654D"/>
    <w:rsid w:val="00F900C9"/>
    <w:rsid w:val="00F92C96"/>
    <w:rsid w:val="00FA0D4E"/>
    <w:rsid w:val="00FB0753"/>
    <w:rsid w:val="00FB5CC8"/>
    <w:rsid w:val="00FB652F"/>
    <w:rsid w:val="00FC2CD0"/>
    <w:rsid w:val="00FC5284"/>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3401E26-06AD-4244-94CD-F32568C5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488"/>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8C1488"/>
    <w:pPr>
      <w:spacing w:before="180"/>
    </w:p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5951">
      <w:bodyDiv w:val="1"/>
      <w:marLeft w:val="0"/>
      <w:marRight w:val="0"/>
      <w:marTop w:val="0"/>
      <w:marBottom w:val="0"/>
      <w:divBdr>
        <w:top w:val="none" w:sz="0" w:space="0" w:color="auto"/>
        <w:left w:val="none" w:sz="0" w:space="0" w:color="auto"/>
        <w:bottom w:val="none" w:sz="0" w:space="0" w:color="auto"/>
        <w:right w:val="none" w:sz="0" w:space="0" w:color="auto"/>
      </w:divBdr>
    </w:div>
    <w:div w:id="45952946">
      <w:bodyDiv w:val="1"/>
      <w:marLeft w:val="0"/>
      <w:marRight w:val="0"/>
      <w:marTop w:val="0"/>
      <w:marBottom w:val="0"/>
      <w:divBdr>
        <w:top w:val="none" w:sz="0" w:space="0" w:color="auto"/>
        <w:left w:val="none" w:sz="0" w:space="0" w:color="auto"/>
        <w:bottom w:val="none" w:sz="0" w:space="0" w:color="auto"/>
        <w:right w:val="none" w:sz="0" w:space="0" w:color="auto"/>
      </w:divBdr>
    </w:div>
    <w:div w:id="250817015">
      <w:bodyDiv w:val="1"/>
      <w:marLeft w:val="0"/>
      <w:marRight w:val="0"/>
      <w:marTop w:val="0"/>
      <w:marBottom w:val="0"/>
      <w:divBdr>
        <w:top w:val="none" w:sz="0" w:space="0" w:color="auto"/>
        <w:left w:val="none" w:sz="0" w:space="0" w:color="auto"/>
        <w:bottom w:val="none" w:sz="0" w:space="0" w:color="auto"/>
        <w:right w:val="none" w:sz="0" w:space="0" w:color="auto"/>
      </w:divBdr>
    </w:div>
    <w:div w:id="252595487">
      <w:bodyDiv w:val="1"/>
      <w:marLeft w:val="0"/>
      <w:marRight w:val="0"/>
      <w:marTop w:val="0"/>
      <w:marBottom w:val="0"/>
      <w:divBdr>
        <w:top w:val="none" w:sz="0" w:space="0" w:color="auto"/>
        <w:left w:val="none" w:sz="0" w:space="0" w:color="auto"/>
        <w:bottom w:val="none" w:sz="0" w:space="0" w:color="auto"/>
        <w:right w:val="none" w:sz="0" w:space="0" w:color="auto"/>
      </w:divBdr>
    </w:div>
    <w:div w:id="276186226">
      <w:bodyDiv w:val="1"/>
      <w:marLeft w:val="0"/>
      <w:marRight w:val="0"/>
      <w:marTop w:val="0"/>
      <w:marBottom w:val="0"/>
      <w:divBdr>
        <w:top w:val="none" w:sz="0" w:space="0" w:color="auto"/>
        <w:left w:val="none" w:sz="0" w:space="0" w:color="auto"/>
        <w:bottom w:val="none" w:sz="0" w:space="0" w:color="auto"/>
        <w:right w:val="none" w:sz="0" w:space="0" w:color="auto"/>
      </w:divBdr>
    </w:div>
    <w:div w:id="293798550">
      <w:bodyDiv w:val="1"/>
      <w:marLeft w:val="0"/>
      <w:marRight w:val="0"/>
      <w:marTop w:val="0"/>
      <w:marBottom w:val="0"/>
      <w:divBdr>
        <w:top w:val="none" w:sz="0" w:space="0" w:color="auto"/>
        <w:left w:val="none" w:sz="0" w:space="0" w:color="auto"/>
        <w:bottom w:val="none" w:sz="0" w:space="0" w:color="auto"/>
        <w:right w:val="none" w:sz="0" w:space="0" w:color="auto"/>
      </w:divBdr>
    </w:div>
    <w:div w:id="337731724">
      <w:bodyDiv w:val="1"/>
      <w:marLeft w:val="0"/>
      <w:marRight w:val="0"/>
      <w:marTop w:val="0"/>
      <w:marBottom w:val="0"/>
      <w:divBdr>
        <w:top w:val="none" w:sz="0" w:space="0" w:color="auto"/>
        <w:left w:val="none" w:sz="0" w:space="0" w:color="auto"/>
        <w:bottom w:val="none" w:sz="0" w:space="0" w:color="auto"/>
        <w:right w:val="none" w:sz="0" w:space="0" w:color="auto"/>
      </w:divBdr>
    </w:div>
    <w:div w:id="395588355">
      <w:bodyDiv w:val="1"/>
      <w:marLeft w:val="0"/>
      <w:marRight w:val="0"/>
      <w:marTop w:val="0"/>
      <w:marBottom w:val="0"/>
      <w:divBdr>
        <w:top w:val="none" w:sz="0" w:space="0" w:color="auto"/>
        <w:left w:val="none" w:sz="0" w:space="0" w:color="auto"/>
        <w:bottom w:val="none" w:sz="0" w:space="0" w:color="auto"/>
        <w:right w:val="none" w:sz="0" w:space="0" w:color="auto"/>
      </w:divBdr>
    </w:div>
    <w:div w:id="419762397">
      <w:bodyDiv w:val="1"/>
      <w:marLeft w:val="0"/>
      <w:marRight w:val="0"/>
      <w:marTop w:val="0"/>
      <w:marBottom w:val="0"/>
      <w:divBdr>
        <w:top w:val="none" w:sz="0" w:space="0" w:color="auto"/>
        <w:left w:val="none" w:sz="0" w:space="0" w:color="auto"/>
        <w:bottom w:val="none" w:sz="0" w:space="0" w:color="auto"/>
        <w:right w:val="none" w:sz="0" w:space="0" w:color="auto"/>
      </w:divBdr>
    </w:div>
    <w:div w:id="473254115">
      <w:bodyDiv w:val="1"/>
      <w:marLeft w:val="0"/>
      <w:marRight w:val="0"/>
      <w:marTop w:val="0"/>
      <w:marBottom w:val="0"/>
      <w:divBdr>
        <w:top w:val="none" w:sz="0" w:space="0" w:color="auto"/>
        <w:left w:val="none" w:sz="0" w:space="0" w:color="auto"/>
        <w:bottom w:val="none" w:sz="0" w:space="0" w:color="auto"/>
        <w:right w:val="none" w:sz="0" w:space="0" w:color="auto"/>
      </w:divBdr>
    </w:div>
    <w:div w:id="530263926">
      <w:bodyDiv w:val="1"/>
      <w:marLeft w:val="0"/>
      <w:marRight w:val="0"/>
      <w:marTop w:val="0"/>
      <w:marBottom w:val="0"/>
      <w:divBdr>
        <w:top w:val="none" w:sz="0" w:space="0" w:color="auto"/>
        <w:left w:val="none" w:sz="0" w:space="0" w:color="auto"/>
        <w:bottom w:val="none" w:sz="0" w:space="0" w:color="auto"/>
        <w:right w:val="none" w:sz="0" w:space="0" w:color="auto"/>
      </w:divBdr>
    </w:div>
    <w:div w:id="565993497">
      <w:bodyDiv w:val="1"/>
      <w:marLeft w:val="0"/>
      <w:marRight w:val="0"/>
      <w:marTop w:val="0"/>
      <w:marBottom w:val="0"/>
      <w:divBdr>
        <w:top w:val="none" w:sz="0" w:space="0" w:color="auto"/>
        <w:left w:val="none" w:sz="0" w:space="0" w:color="auto"/>
        <w:bottom w:val="none" w:sz="0" w:space="0" w:color="auto"/>
        <w:right w:val="none" w:sz="0" w:space="0" w:color="auto"/>
      </w:divBdr>
    </w:div>
    <w:div w:id="570392361">
      <w:bodyDiv w:val="1"/>
      <w:marLeft w:val="0"/>
      <w:marRight w:val="0"/>
      <w:marTop w:val="0"/>
      <w:marBottom w:val="0"/>
      <w:divBdr>
        <w:top w:val="none" w:sz="0" w:space="0" w:color="auto"/>
        <w:left w:val="none" w:sz="0" w:space="0" w:color="auto"/>
        <w:bottom w:val="none" w:sz="0" w:space="0" w:color="auto"/>
        <w:right w:val="none" w:sz="0" w:space="0" w:color="auto"/>
      </w:divBdr>
    </w:div>
    <w:div w:id="626396126">
      <w:bodyDiv w:val="1"/>
      <w:marLeft w:val="0"/>
      <w:marRight w:val="0"/>
      <w:marTop w:val="0"/>
      <w:marBottom w:val="0"/>
      <w:divBdr>
        <w:top w:val="none" w:sz="0" w:space="0" w:color="auto"/>
        <w:left w:val="none" w:sz="0" w:space="0" w:color="auto"/>
        <w:bottom w:val="none" w:sz="0" w:space="0" w:color="auto"/>
        <w:right w:val="none" w:sz="0" w:space="0" w:color="auto"/>
      </w:divBdr>
    </w:div>
    <w:div w:id="830755717">
      <w:bodyDiv w:val="1"/>
      <w:marLeft w:val="0"/>
      <w:marRight w:val="0"/>
      <w:marTop w:val="0"/>
      <w:marBottom w:val="0"/>
      <w:divBdr>
        <w:top w:val="none" w:sz="0" w:space="0" w:color="auto"/>
        <w:left w:val="none" w:sz="0" w:space="0" w:color="auto"/>
        <w:bottom w:val="none" w:sz="0" w:space="0" w:color="auto"/>
        <w:right w:val="none" w:sz="0" w:space="0" w:color="auto"/>
      </w:divBdr>
    </w:div>
    <w:div w:id="927345980">
      <w:bodyDiv w:val="1"/>
      <w:marLeft w:val="0"/>
      <w:marRight w:val="0"/>
      <w:marTop w:val="0"/>
      <w:marBottom w:val="0"/>
      <w:divBdr>
        <w:top w:val="none" w:sz="0" w:space="0" w:color="auto"/>
        <w:left w:val="none" w:sz="0" w:space="0" w:color="auto"/>
        <w:bottom w:val="none" w:sz="0" w:space="0" w:color="auto"/>
        <w:right w:val="none" w:sz="0" w:space="0" w:color="auto"/>
      </w:divBdr>
    </w:div>
    <w:div w:id="999847883">
      <w:bodyDiv w:val="1"/>
      <w:marLeft w:val="0"/>
      <w:marRight w:val="0"/>
      <w:marTop w:val="0"/>
      <w:marBottom w:val="0"/>
      <w:divBdr>
        <w:top w:val="none" w:sz="0" w:space="0" w:color="auto"/>
        <w:left w:val="none" w:sz="0" w:space="0" w:color="auto"/>
        <w:bottom w:val="none" w:sz="0" w:space="0" w:color="auto"/>
        <w:right w:val="none" w:sz="0" w:space="0" w:color="auto"/>
      </w:divBdr>
    </w:div>
    <w:div w:id="1024526424">
      <w:bodyDiv w:val="1"/>
      <w:marLeft w:val="0"/>
      <w:marRight w:val="0"/>
      <w:marTop w:val="0"/>
      <w:marBottom w:val="0"/>
      <w:divBdr>
        <w:top w:val="none" w:sz="0" w:space="0" w:color="auto"/>
        <w:left w:val="none" w:sz="0" w:space="0" w:color="auto"/>
        <w:bottom w:val="none" w:sz="0" w:space="0" w:color="auto"/>
        <w:right w:val="none" w:sz="0" w:space="0" w:color="auto"/>
      </w:divBdr>
    </w:div>
    <w:div w:id="1057825624">
      <w:bodyDiv w:val="1"/>
      <w:marLeft w:val="0"/>
      <w:marRight w:val="0"/>
      <w:marTop w:val="0"/>
      <w:marBottom w:val="0"/>
      <w:divBdr>
        <w:top w:val="none" w:sz="0" w:space="0" w:color="auto"/>
        <w:left w:val="none" w:sz="0" w:space="0" w:color="auto"/>
        <w:bottom w:val="none" w:sz="0" w:space="0" w:color="auto"/>
        <w:right w:val="none" w:sz="0" w:space="0" w:color="auto"/>
      </w:divBdr>
    </w:div>
    <w:div w:id="1140612443">
      <w:bodyDiv w:val="1"/>
      <w:marLeft w:val="0"/>
      <w:marRight w:val="0"/>
      <w:marTop w:val="0"/>
      <w:marBottom w:val="0"/>
      <w:divBdr>
        <w:top w:val="none" w:sz="0" w:space="0" w:color="auto"/>
        <w:left w:val="none" w:sz="0" w:space="0" w:color="auto"/>
        <w:bottom w:val="none" w:sz="0" w:space="0" w:color="auto"/>
        <w:right w:val="none" w:sz="0" w:space="0" w:color="auto"/>
      </w:divBdr>
    </w:div>
    <w:div w:id="1260525806">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23379981">
      <w:bodyDiv w:val="1"/>
      <w:marLeft w:val="0"/>
      <w:marRight w:val="0"/>
      <w:marTop w:val="0"/>
      <w:marBottom w:val="0"/>
      <w:divBdr>
        <w:top w:val="none" w:sz="0" w:space="0" w:color="auto"/>
        <w:left w:val="none" w:sz="0" w:space="0" w:color="auto"/>
        <w:bottom w:val="none" w:sz="0" w:space="0" w:color="auto"/>
        <w:right w:val="none" w:sz="0" w:space="0" w:color="auto"/>
      </w:divBdr>
    </w:div>
    <w:div w:id="1524322693">
      <w:bodyDiv w:val="1"/>
      <w:marLeft w:val="0"/>
      <w:marRight w:val="0"/>
      <w:marTop w:val="0"/>
      <w:marBottom w:val="0"/>
      <w:divBdr>
        <w:top w:val="none" w:sz="0" w:space="0" w:color="auto"/>
        <w:left w:val="none" w:sz="0" w:space="0" w:color="auto"/>
        <w:bottom w:val="none" w:sz="0" w:space="0" w:color="auto"/>
        <w:right w:val="none" w:sz="0" w:space="0" w:color="auto"/>
      </w:divBdr>
    </w:div>
    <w:div w:id="1656759825">
      <w:bodyDiv w:val="1"/>
      <w:marLeft w:val="0"/>
      <w:marRight w:val="0"/>
      <w:marTop w:val="0"/>
      <w:marBottom w:val="0"/>
      <w:divBdr>
        <w:top w:val="none" w:sz="0" w:space="0" w:color="auto"/>
        <w:left w:val="none" w:sz="0" w:space="0" w:color="auto"/>
        <w:bottom w:val="none" w:sz="0" w:space="0" w:color="auto"/>
        <w:right w:val="none" w:sz="0" w:space="0" w:color="auto"/>
      </w:divBdr>
    </w:div>
    <w:div w:id="1663972578">
      <w:bodyDiv w:val="1"/>
      <w:marLeft w:val="0"/>
      <w:marRight w:val="0"/>
      <w:marTop w:val="0"/>
      <w:marBottom w:val="0"/>
      <w:divBdr>
        <w:top w:val="none" w:sz="0" w:space="0" w:color="auto"/>
        <w:left w:val="none" w:sz="0" w:space="0" w:color="auto"/>
        <w:bottom w:val="none" w:sz="0" w:space="0" w:color="auto"/>
        <w:right w:val="none" w:sz="0" w:space="0" w:color="auto"/>
      </w:divBdr>
    </w:div>
    <w:div w:id="1685936307">
      <w:bodyDiv w:val="1"/>
      <w:marLeft w:val="0"/>
      <w:marRight w:val="0"/>
      <w:marTop w:val="0"/>
      <w:marBottom w:val="0"/>
      <w:divBdr>
        <w:top w:val="none" w:sz="0" w:space="0" w:color="auto"/>
        <w:left w:val="none" w:sz="0" w:space="0" w:color="auto"/>
        <w:bottom w:val="none" w:sz="0" w:space="0" w:color="auto"/>
        <w:right w:val="none" w:sz="0" w:space="0" w:color="auto"/>
      </w:divBdr>
    </w:div>
    <w:div w:id="1805007504">
      <w:bodyDiv w:val="1"/>
      <w:marLeft w:val="0"/>
      <w:marRight w:val="0"/>
      <w:marTop w:val="0"/>
      <w:marBottom w:val="0"/>
      <w:divBdr>
        <w:top w:val="none" w:sz="0" w:space="0" w:color="auto"/>
        <w:left w:val="none" w:sz="0" w:space="0" w:color="auto"/>
        <w:bottom w:val="none" w:sz="0" w:space="0" w:color="auto"/>
        <w:right w:val="none" w:sz="0" w:space="0" w:color="auto"/>
      </w:divBdr>
    </w:div>
    <w:div w:id="1888836140">
      <w:bodyDiv w:val="1"/>
      <w:marLeft w:val="0"/>
      <w:marRight w:val="0"/>
      <w:marTop w:val="0"/>
      <w:marBottom w:val="0"/>
      <w:divBdr>
        <w:top w:val="none" w:sz="0" w:space="0" w:color="auto"/>
        <w:left w:val="none" w:sz="0" w:space="0" w:color="auto"/>
        <w:bottom w:val="none" w:sz="0" w:space="0" w:color="auto"/>
        <w:right w:val="none" w:sz="0" w:space="0" w:color="auto"/>
      </w:divBdr>
    </w:div>
    <w:div w:id="1925530558">
      <w:bodyDiv w:val="1"/>
      <w:marLeft w:val="0"/>
      <w:marRight w:val="0"/>
      <w:marTop w:val="0"/>
      <w:marBottom w:val="0"/>
      <w:divBdr>
        <w:top w:val="none" w:sz="0" w:space="0" w:color="auto"/>
        <w:left w:val="none" w:sz="0" w:space="0" w:color="auto"/>
        <w:bottom w:val="none" w:sz="0" w:space="0" w:color="auto"/>
        <w:right w:val="none" w:sz="0" w:space="0" w:color="auto"/>
      </w:divBdr>
    </w:div>
    <w:div w:id="2007708750">
      <w:bodyDiv w:val="1"/>
      <w:marLeft w:val="0"/>
      <w:marRight w:val="0"/>
      <w:marTop w:val="0"/>
      <w:marBottom w:val="0"/>
      <w:divBdr>
        <w:top w:val="none" w:sz="0" w:space="0" w:color="auto"/>
        <w:left w:val="none" w:sz="0" w:space="0" w:color="auto"/>
        <w:bottom w:val="none" w:sz="0" w:space="0" w:color="auto"/>
        <w:right w:val="none" w:sz="0" w:space="0" w:color="auto"/>
      </w:divBdr>
    </w:div>
    <w:div w:id="2033410712">
      <w:bodyDiv w:val="1"/>
      <w:marLeft w:val="0"/>
      <w:marRight w:val="0"/>
      <w:marTop w:val="0"/>
      <w:marBottom w:val="0"/>
      <w:divBdr>
        <w:top w:val="none" w:sz="0" w:space="0" w:color="auto"/>
        <w:left w:val="none" w:sz="0" w:space="0" w:color="auto"/>
        <w:bottom w:val="none" w:sz="0" w:space="0" w:color="auto"/>
        <w:right w:val="none" w:sz="0" w:space="0" w:color="auto"/>
      </w:divBdr>
    </w:div>
    <w:div w:id="203352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R15-WRC15-C-0006!A23-A2-A3!MSW-A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74B82-1F84-4117-8BA7-CBF49237E344}">
  <ds:schemaRef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996b2e75-67fd-4955-a3b0-5ab9934cb50b"/>
    <ds:schemaRef ds:uri="32a1a8c5-2265-4ebc-b7a0-2071e2c5c9bb"/>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45012C-7857-4598-91C6-47D5EDE0D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1530</Words>
  <Characters>7938</Characters>
  <Application>Microsoft Office Word</Application>
  <DocSecurity>0</DocSecurity>
  <Lines>149</Lines>
  <Paragraphs>91</Paragraphs>
  <ScaleCrop>false</ScaleCrop>
  <HeadingPairs>
    <vt:vector size="2" baseType="variant">
      <vt:variant>
        <vt:lpstr>Title</vt:lpstr>
      </vt:variant>
      <vt:variant>
        <vt:i4>1</vt:i4>
      </vt:variant>
    </vt:vector>
  </HeadingPairs>
  <TitlesOfParts>
    <vt:vector size="1" baseType="lpstr">
      <vt:lpstr>R15-WRC15-C-0006!A23-A2-A3!MSW-A</vt:lpstr>
    </vt:vector>
  </TitlesOfParts>
  <Manager>General Secretariat - Pool</Manager>
  <Company>International Telecommunication Union (ITU)</Company>
  <LinksUpToDate>false</LinksUpToDate>
  <CharactersWithSpaces>9377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R15-WRC15-C-0006!A23-A2-A3!MSW-A</dc:title>
  <dc:creator>Documents Proposals Manager (DPM)</dc:creator>
  <cp:keywords>DPM_v5.2015.10.15_prod</cp:keywords>
  <cp:lastModifiedBy>Awad, Samy</cp:lastModifiedBy>
  <cp:revision>16</cp:revision>
  <cp:lastPrinted>2011-11-07T13:53:00Z</cp:lastPrinted>
  <dcterms:created xsi:type="dcterms:W3CDTF">2015-10-29T16:55:00Z</dcterms:created>
  <dcterms:modified xsi:type="dcterms:W3CDTF">2015-10-29T20:01:00Z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