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F561E" w:rsidTr="0050008E">
        <w:trPr>
          <w:cantSplit/>
        </w:trPr>
        <w:tc>
          <w:tcPr>
            <w:tcW w:w="6911" w:type="dxa"/>
          </w:tcPr>
          <w:p w:rsidR="00BB1D82" w:rsidRPr="004F561E" w:rsidRDefault="00851625" w:rsidP="002A6F8F">
            <w:pPr>
              <w:spacing w:before="400" w:after="48" w:line="240" w:lineRule="atLeast"/>
              <w:rPr>
                <w:rFonts w:ascii="Verdana" w:hAnsi="Verdana"/>
                <w:b/>
                <w:bCs/>
                <w:sz w:val="20"/>
                <w:lang w:val="fr-CH"/>
              </w:rPr>
            </w:pPr>
            <w:bookmarkStart w:id="0" w:name="_GoBack"/>
            <w:bookmarkEnd w:id="0"/>
            <w:r w:rsidRPr="004F561E">
              <w:rPr>
                <w:rFonts w:ascii="Verdana" w:hAnsi="Verdana"/>
                <w:b/>
                <w:bCs/>
                <w:sz w:val="20"/>
                <w:lang w:val="fr-CH"/>
              </w:rPr>
              <w:t>Conférence mondiale des radiocommunications (CMR-15)</w:t>
            </w:r>
            <w:r w:rsidRPr="004F561E">
              <w:rPr>
                <w:rFonts w:ascii="Verdana" w:hAnsi="Verdana"/>
                <w:b/>
                <w:bCs/>
                <w:sz w:val="20"/>
                <w:lang w:val="fr-CH"/>
              </w:rPr>
              <w:br/>
            </w:r>
            <w:r w:rsidRPr="004F561E">
              <w:rPr>
                <w:rFonts w:ascii="Verdana" w:hAnsi="Verdana"/>
                <w:b/>
                <w:bCs/>
                <w:sz w:val="18"/>
                <w:szCs w:val="18"/>
                <w:lang w:val="fr-CH"/>
              </w:rPr>
              <w:t>Genève,</w:t>
            </w:r>
            <w:r w:rsidR="00E537FF" w:rsidRPr="004F561E">
              <w:rPr>
                <w:rFonts w:ascii="Verdana" w:hAnsi="Verdana"/>
                <w:b/>
                <w:bCs/>
                <w:sz w:val="18"/>
                <w:szCs w:val="18"/>
                <w:lang w:val="fr-CH"/>
              </w:rPr>
              <w:t xml:space="preserve"> </w:t>
            </w:r>
            <w:r w:rsidRPr="004F561E">
              <w:rPr>
                <w:rFonts w:ascii="Verdana" w:hAnsi="Verdana"/>
                <w:b/>
                <w:bCs/>
                <w:sz w:val="18"/>
                <w:szCs w:val="18"/>
                <w:lang w:val="fr-CH"/>
              </w:rPr>
              <w:t>2-27 novembre 2015</w:t>
            </w:r>
          </w:p>
        </w:tc>
        <w:tc>
          <w:tcPr>
            <w:tcW w:w="3120" w:type="dxa"/>
          </w:tcPr>
          <w:p w:rsidR="00BB1D82" w:rsidRPr="004F561E" w:rsidRDefault="002C28A4" w:rsidP="002C28A4">
            <w:pPr>
              <w:spacing w:before="0" w:line="240" w:lineRule="atLeast"/>
              <w:jc w:val="right"/>
              <w:rPr>
                <w:lang w:val="fr-CH"/>
              </w:rPr>
            </w:pPr>
            <w:bookmarkStart w:id="1" w:name="ditulogo"/>
            <w:bookmarkEnd w:id="1"/>
            <w:r w:rsidRPr="004F561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F561E" w:rsidTr="0050008E">
        <w:trPr>
          <w:cantSplit/>
        </w:trPr>
        <w:tc>
          <w:tcPr>
            <w:tcW w:w="6911" w:type="dxa"/>
            <w:tcBorders>
              <w:bottom w:val="single" w:sz="12" w:space="0" w:color="auto"/>
            </w:tcBorders>
          </w:tcPr>
          <w:p w:rsidR="00BB1D82" w:rsidRPr="004F561E" w:rsidRDefault="002C28A4" w:rsidP="00BB1D82">
            <w:pPr>
              <w:spacing w:before="0" w:after="48" w:line="240" w:lineRule="atLeast"/>
              <w:rPr>
                <w:b/>
                <w:smallCaps/>
                <w:szCs w:val="24"/>
                <w:lang w:val="fr-CH"/>
              </w:rPr>
            </w:pPr>
            <w:bookmarkStart w:id="2" w:name="dhead"/>
            <w:r w:rsidRPr="004F561E">
              <w:rPr>
                <w:rFonts w:ascii="Verdana" w:hAnsi="Verdana"/>
                <w:b/>
                <w:bCs/>
                <w:sz w:val="20"/>
                <w:lang w:val="fr-CH"/>
              </w:rPr>
              <w:t>UNION INTERNATIONALE DES TÉLÉCOMMUNICATIONS</w:t>
            </w:r>
          </w:p>
        </w:tc>
        <w:tc>
          <w:tcPr>
            <w:tcW w:w="3120" w:type="dxa"/>
            <w:tcBorders>
              <w:bottom w:val="single" w:sz="12" w:space="0" w:color="auto"/>
            </w:tcBorders>
          </w:tcPr>
          <w:p w:rsidR="00BB1D82" w:rsidRPr="004F561E" w:rsidRDefault="00BB1D82" w:rsidP="00BB1D82">
            <w:pPr>
              <w:spacing w:before="0" w:line="240" w:lineRule="atLeast"/>
              <w:rPr>
                <w:rFonts w:ascii="Verdana" w:hAnsi="Verdana"/>
                <w:szCs w:val="24"/>
                <w:lang w:val="fr-CH"/>
              </w:rPr>
            </w:pPr>
          </w:p>
        </w:tc>
      </w:tr>
      <w:tr w:rsidR="00BB1D82" w:rsidRPr="004F561E" w:rsidTr="00BB1D82">
        <w:trPr>
          <w:cantSplit/>
        </w:trPr>
        <w:tc>
          <w:tcPr>
            <w:tcW w:w="6911" w:type="dxa"/>
            <w:tcBorders>
              <w:top w:val="single" w:sz="12" w:space="0" w:color="auto"/>
            </w:tcBorders>
          </w:tcPr>
          <w:p w:rsidR="00BB1D82" w:rsidRPr="004F561E"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4F561E" w:rsidRDefault="00BB1D82" w:rsidP="00BB1D82">
            <w:pPr>
              <w:spacing w:before="0" w:line="240" w:lineRule="atLeast"/>
              <w:rPr>
                <w:rFonts w:ascii="Verdana" w:hAnsi="Verdana"/>
                <w:sz w:val="20"/>
                <w:lang w:val="fr-CH"/>
              </w:rPr>
            </w:pPr>
          </w:p>
        </w:tc>
      </w:tr>
      <w:tr w:rsidR="00BB1D82" w:rsidRPr="004F561E" w:rsidTr="00BB1D82">
        <w:trPr>
          <w:cantSplit/>
        </w:trPr>
        <w:tc>
          <w:tcPr>
            <w:tcW w:w="6911" w:type="dxa"/>
            <w:shd w:val="clear" w:color="auto" w:fill="auto"/>
          </w:tcPr>
          <w:p w:rsidR="00BB1D82" w:rsidRPr="004F561E" w:rsidRDefault="006D4724" w:rsidP="00BA5BD0">
            <w:pPr>
              <w:spacing w:before="0"/>
              <w:rPr>
                <w:rFonts w:ascii="Verdana" w:hAnsi="Verdana"/>
                <w:b/>
                <w:sz w:val="20"/>
                <w:lang w:val="fr-CH"/>
              </w:rPr>
            </w:pPr>
            <w:r w:rsidRPr="004F561E">
              <w:rPr>
                <w:rFonts w:ascii="Verdana" w:hAnsi="Verdana"/>
                <w:b/>
                <w:sz w:val="20"/>
                <w:lang w:val="fr-CH"/>
              </w:rPr>
              <w:t>SÉANCE PLÉNIÈRE</w:t>
            </w:r>
          </w:p>
        </w:tc>
        <w:tc>
          <w:tcPr>
            <w:tcW w:w="3120" w:type="dxa"/>
            <w:shd w:val="clear" w:color="auto" w:fill="auto"/>
          </w:tcPr>
          <w:p w:rsidR="00BB1D82" w:rsidRPr="004F561E" w:rsidRDefault="006D4724" w:rsidP="00BA5BD0">
            <w:pPr>
              <w:spacing w:before="0"/>
              <w:rPr>
                <w:rFonts w:ascii="Verdana" w:hAnsi="Verdana"/>
                <w:sz w:val="20"/>
                <w:lang w:val="fr-CH"/>
              </w:rPr>
            </w:pPr>
            <w:r w:rsidRPr="004F561E">
              <w:rPr>
                <w:rFonts w:ascii="Verdana" w:eastAsia="SimSun" w:hAnsi="Verdana" w:cs="Traditional Arabic"/>
                <w:b/>
                <w:sz w:val="20"/>
                <w:lang w:val="fr-CH"/>
              </w:rPr>
              <w:t>Addendum 4 au</w:t>
            </w:r>
            <w:r w:rsidRPr="004F561E">
              <w:rPr>
                <w:rFonts w:ascii="Verdana" w:eastAsia="SimSun" w:hAnsi="Verdana" w:cs="Traditional Arabic"/>
                <w:b/>
                <w:sz w:val="20"/>
                <w:lang w:val="fr-CH"/>
              </w:rPr>
              <w:br/>
              <w:t>Document 6</w:t>
            </w:r>
            <w:r w:rsidR="00BB1D82" w:rsidRPr="004F561E">
              <w:rPr>
                <w:rFonts w:ascii="Verdana" w:hAnsi="Verdana"/>
                <w:b/>
                <w:sz w:val="20"/>
                <w:lang w:val="fr-CH"/>
              </w:rPr>
              <w:t>-</w:t>
            </w:r>
            <w:r w:rsidRPr="004F561E">
              <w:rPr>
                <w:rFonts w:ascii="Verdana" w:hAnsi="Verdana"/>
                <w:b/>
                <w:sz w:val="20"/>
                <w:lang w:val="fr-CH"/>
              </w:rPr>
              <w:t>F</w:t>
            </w:r>
          </w:p>
        </w:tc>
      </w:tr>
      <w:bookmarkEnd w:id="2"/>
      <w:tr w:rsidR="00690C7B" w:rsidRPr="004F561E" w:rsidTr="00BB1D82">
        <w:trPr>
          <w:cantSplit/>
        </w:trPr>
        <w:tc>
          <w:tcPr>
            <w:tcW w:w="6911" w:type="dxa"/>
            <w:shd w:val="clear" w:color="auto" w:fill="auto"/>
          </w:tcPr>
          <w:p w:rsidR="00690C7B" w:rsidRPr="004F561E" w:rsidRDefault="00690C7B" w:rsidP="00BA5BD0">
            <w:pPr>
              <w:spacing w:before="0"/>
              <w:rPr>
                <w:rFonts w:ascii="Verdana" w:hAnsi="Verdana"/>
                <w:b/>
                <w:sz w:val="20"/>
                <w:lang w:val="fr-CH"/>
              </w:rPr>
            </w:pPr>
          </w:p>
        </w:tc>
        <w:tc>
          <w:tcPr>
            <w:tcW w:w="3120" w:type="dxa"/>
            <w:shd w:val="clear" w:color="auto" w:fill="auto"/>
          </w:tcPr>
          <w:p w:rsidR="00690C7B" w:rsidRPr="004F561E" w:rsidRDefault="00690C7B" w:rsidP="00BA5BD0">
            <w:pPr>
              <w:spacing w:before="0"/>
              <w:rPr>
                <w:rFonts w:ascii="Verdana" w:hAnsi="Verdana"/>
                <w:b/>
                <w:sz w:val="20"/>
                <w:lang w:val="fr-CH"/>
              </w:rPr>
            </w:pPr>
            <w:r w:rsidRPr="004F561E">
              <w:rPr>
                <w:rFonts w:ascii="Verdana" w:hAnsi="Verdana"/>
                <w:b/>
                <w:sz w:val="20"/>
                <w:lang w:val="fr-CH"/>
              </w:rPr>
              <w:t>5 octobre 2015</w:t>
            </w:r>
          </w:p>
        </w:tc>
      </w:tr>
      <w:tr w:rsidR="00690C7B" w:rsidRPr="004F561E" w:rsidTr="00BB1D82">
        <w:trPr>
          <w:cantSplit/>
        </w:trPr>
        <w:tc>
          <w:tcPr>
            <w:tcW w:w="6911" w:type="dxa"/>
          </w:tcPr>
          <w:p w:rsidR="00690C7B" w:rsidRPr="004F561E" w:rsidRDefault="00690C7B" w:rsidP="00BA5BD0">
            <w:pPr>
              <w:spacing w:before="0" w:after="48"/>
              <w:rPr>
                <w:rFonts w:ascii="Verdana" w:hAnsi="Verdana"/>
                <w:b/>
                <w:smallCaps/>
                <w:sz w:val="20"/>
                <w:lang w:val="fr-CH"/>
              </w:rPr>
            </w:pPr>
          </w:p>
        </w:tc>
        <w:tc>
          <w:tcPr>
            <w:tcW w:w="3120" w:type="dxa"/>
          </w:tcPr>
          <w:p w:rsidR="00690C7B" w:rsidRPr="004F561E" w:rsidRDefault="00690C7B" w:rsidP="00BA5BD0">
            <w:pPr>
              <w:spacing w:before="0"/>
              <w:rPr>
                <w:rFonts w:ascii="Verdana" w:hAnsi="Verdana"/>
                <w:b/>
                <w:sz w:val="20"/>
                <w:lang w:val="fr-CH"/>
              </w:rPr>
            </w:pPr>
            <w:r w:rsidRPr="004F561E">
              <w:rPr>
                <w:rFonts w:ascii="Verdana" w:hAnsi="Verdana"/>
                <w:b/>
                <w:sz w:val="20"/>
                <w:lang w:val="fr-CH"/>
              </w:rPr>
              <w:t>Original: anglais</w:t>
            </w:r>
          </w:p>
        </w:tc>
      </w:tr>
      <w:tr w:rsidR="00690C7B" w:rsidRPr="004F561E" w:rsidTr="00C11970">
        <w:trPr>
          <w:cantSplit/>
        </w:trPr>
        <w:tc>
          <w:tcPr>
            <w:tcW w:w="10031" w:type="dxa"/>
            <w:gridSpan w:val="2"/>
          </w:tcPr>
          <w:p w:rsidR="00690C7B" w:rsidRPr="004F561E" w:rsidRDefault="00690C7B" w:rsidP="00BA5BD0">
            <w:pPr>
              <w:spacing w:before="0"/>
              <w:rPr>
                <w:rFonts w:ascii="Verdana" w:hAnsi="Verdana"/>
                <w:b/>
                <w:sz w:val="20"/>
                <w:lang w:val="fr-CH"/>
              </w:rPr>
            </w:pPr>
          </w:p>
        </w:tc>
      </w:tr>
      <w:tr w:rsidR="00690C7B" w:rsidRPr="004F561E" w:rsidTr="0050008E">
        <w:trPr>
          <w:cantSplit/>
        </w:trPr>
        <w:tc>
          <w:tcPr>
            <w:tcW w:w="10031" w:type="dxa"/>
            <w:gridSpan w:val="2"/>
          </w:tcPr>
          <w:p w:rsidR="00690C7B" w:rsidRPr="004F561E" w:rsidRDefault="00690C7B" w:rsidP="00690C7B">
            <w:pPr>
              <w:pStyle w:val="Source"/>
              <w:rPr>
                <w:lang w:val="fr-CH"/>
              </w:rPr>
            </w:pPr>
            <w:bookmarkStart w:id="3" w:name="dsource" w:colFirst="0" w:colLast="0"/>
            <w:r w:rsidRPr="004F561E">
              <w:rPr>
                <w:lang w:val="fr-CH"/>
              </w:rPr>
              <w:t>Etats-Unis d'Amérique</w:t>
            </w:r>
          </w:p>
        </w:tc>
      </w:tr>
      <w:tr w:rsidR="00690C7B" w:rsidRPr="004F561E" w:rsidTr="0050008E">
        <w:trPr>
          <w:cantSplit/>
        </w:trPr>
        <w:tc>
          <w:tcPr>
            <w:tcW w:w="10031" w:type="dxa"/>
            <w:gridSpan w:val="2"/>
          </w:tcPr>
          <w:p w:rsidR="00690C7B" w:rsidRPr="004F561E" w:rsidRDefault="00690C7B" w:rsidP="00C62F77">
            <w:pPr>
              <w:pStyle w:val="Title1"/>
              <w:rPr>
                <w:lang w:val="fr-CH"/>
              </w:rPr>
            </w:pPr>
            <w:bookmarkStart w:id="4" w:name="dtitle1" w:colFirst="0" w:colLast="0"/>
            <w:bookmarkEnd w:id="3"/>
            <w:r w:rsidRPr="004F561E">
              <w:rPr>
                <w:lang w:val="fr-CH"/>
              </w:rPr>
              <w:t>Propos</w:t>
            </w:r>
            <w:r w:rsidR="00C62F77" w:rsidRPr="004F561E">
              <w:rPr>
                <w:lang w:val="fr-CH"/>
              </w:rPr>
              <w:t>itions pour les travaux de la conférence</w:t>
            </w:r>
          </w:p>
        </w:tc>
      </w:tr>
      <w:tr w:rsidR="00690C7B" w:rsidRPr="004F561E" w:rsidTr="0050008E">
        <w:trPr>
          <w:cantSplit/>
        </w:trPr>
        <w:tc>
          <w:tcPr>
            <w:tcW w:w="10031" w:type="dxa"/>
            <w:gridSpan w:val="2"/>
          </w:tcPr>
          <w:p w:rsidR="00690C7B" w:rsidRPr="004F561E" w:rsidRDefault="00690C7B" w:rsidP="00690C7B">
            <w:pPr>
              <w:pStyle w:val="Title2"/>
              <w:rPr>
                <w:lang w:val="fr-CH"/>
              </w:rPr>
            </w:pPr>
            <w:bookmarkStart w:id="5" w:name="dtitle2" w:colFirst="0" w:colLast="0"/>
            <w:bookmarkEnd w:id="4"/>
          </w:p>
        </w:tc>
      </w:tr>
      <w:tr w:rsidR="00690C7B" w:rsidRPr="004F561E" w:rsidTr="0050008E">
        <w:trPr>
          <w:cantSplit/>
        </w:trPr>
        <w:tc>
          <w:tcPr>
            <w:tcW w:w="10031" w:type="dxa"/>
            <w:gridSpan w:val="2"/>
          </w:tcPr>
          <w:p w:rsidR="00690C7B" w:rsidRPr="004F561E" w:rsidRDefault="00690C7B" w:rsidP="00690C7B">
            <w:pPr>
              <w:pStyle w:val="Agendaitem"/>
            </w:pPr>
            <w:bookmarkStart w:id="6" w:name="dtitle3" w:colFirst="0" w:colLast="0"/>
            <w:bookmarkEnd w:id="5"/>
            <w:r w:rsidRPr="004F561E">
              <w:t>Point 1.4 de l'ordre du jour</w:t>
            </w:r>
          </w:p>
        </w:tc>
      </w:tr>
    </w:tbl>
    <w:bookmarkEnd w:id="6"/>
    <w:p w:rsidR="001C0E40" w:rsidRPr="004F561E" w:rsidRDefault="00FC3B12" w:rsidP="00F67C4D">
      <w:pPr>
        <w:rPr>
          <w:lang w:val="fr-CH"/>
        </w:rPr>
      </w:pPr>
      <w:r w:rsidRPr="004F561E">
        <w:rPr>
          <w:lang w:val="fr-CH"/>
        </w:rPr>
        <w:t>1.4</w:t>
      </w:r>
      <w:r w:rsidRPr="004F561E">
        <w:rPr>
          <w:lang w:val="fr-CH"/>
        </w:rPr>
        <w:tab/>
        <w:t>envisager une nouvelle attribution possible au service d'amateur à titre secondaire dans la bande 5 250-5 450 kHz, conformément à la Résolution </w:t>
      </w:r>
      <w:r w:rsidRPr="004F561E">
        <w:rPr>
          <w:rFonts w:ascii="Times New Roman Bold" w:hAnsi="Times New Roman Bold" w:cs="Times New Roman Bold"/>
          <w:b/>
          <w:lang w:val="fr-CH"/>
        </w:rPr>
        <w:t>649 (CMR</w:t>
      </w:r>
      <w:r w:rsidRPr="004F561E">
        <w:rPr>
          <w:rFonts w:ascii="Times New Roman Bold" w:hAnsi="Times New Roman Bold" w:cs="Times New Roman Bold"/>
          <w:b/>
          <w:lang w:val="fr-CH"/>
        </w:rPr>
        <w:noBreakHyphen/>
        <w:t>12)</w:t>
      </w:r>
      <w:r w:rsidRPr="004F561E">
        <w:rPr>
          <w:lang w:val="fr-CH"/>
        </w:rPr>
        <w:t>;</w:t>
      </w:r>
    </w:p>
    <w:p w:rsidR="00FC3B12" w:rsidRPr="004F561E" w:rsidRDefault="00D60C95" w:rsidP="00F66F52">
      <w:pPr>
        <w:pStyle w:val="Headingb"/>
        <w:rPr>
          <w:lang w:val="fr-CH"/>
        </w:rPr>
      </w:pPr>
      <w:r w:rsidRPr="004F561E">
        <w:rPr>
          <w:lang w:val="fr-CH"/>
        </w:rPr>
        <w:t>Rappel</w:t>
      </w:r>
    </w:p>
    <w:p w:rsidR="004F561E" w:rsidRDefault="004F561E" w:rsidP="00F66F52">
      <w:pPr>
        <w:rPr>
          <w:lang w:val="fr-CH"/>
        </w:rPr>
      </w:pPr>
      <w:r>
        <w:rPr>
          <w:lang w:val="fr-CH"/>
        </w:rPr>
        <w:t>Ce point de l’ordre du jour concerne la possibilité de faire une att</w:t>
      </w:r>
      <w:r w:rsidR="00A7072E">
        <w:rPr>
          <w:lang w:val="fr-CH"/>
        </w:rPr>
        <w:t>ribution au service d’amateur à </w:t>
      </w:r>
      <w:r>
        <w:rPr>
          <w:lang w:val="fr-CH"/>
        </w:rPr>
        <w:t>titre secondaire dans la bande 5</w:t>
      </w:r>
      <w:r w:rsidR="00E40E48">
        <w:rPr>
          <w:lang w:val="fr-CH"/>
        </w:rPr>
        <w:t> </w:t>
      </w:r>
      <w:r>
        <w:rPr>
          <w:lang w:val="fr-CH"/>
        </w:rPr>
        <w:t>250-5</w:t>
      </w:r>
      <w:r w:rsidR="00E40E48">
        <w:rPr>
          <w:lang w:val="fr-CH"/>
        </w:rPr>
        <w:t> </w:t>
      </w:r>
      <w:r>
        <w:rPr>
          <w:lang w:val="fr-CH"/>
        </w:rPr>
        <w:t>450 kHz. Compte tenu des caractéristiques de propagation dans la bande des ondes décamétriques aux fréquences au voisinage de 5</w:t>
      </w:r>
      <w:r w:rsidR="00E40E48">
        <w:rPr>
          <w:lang w:val="fr-CH"/>
        </w:rPr>
        <w:t> </w:t>
      </w:r>
      <w:r>
        <w:rPr>
          <w:lang w:val="fr-CH"/>
        </w:rPr>
        <w:t xml:space="preserve">300 kHz et </w:t>
      </w:r>
      <w:r w:rsidR="00E40E48">
        <w:rPr>
          <w:lang w:val="fr-CH"/>
        </w:rPr>
        <w:t>vu</w:t>
      </w:r>
      <w:r>
        <w:rPr>
          <w:lang w:val="fr-CH"/>
        </w:rPr>
        <w:t xml:space="preserve"> l’utilisation de cette bande par les services existants pour les secours en cas de catastrophe, les </w:t>
      </w:r>
      <w:r w:rsidR="00E40E48">
        <w:rPr>
          <w:lang w:val="fr-CH"/>
        </w:rPr>
        <w:t>opérations d’urgence</w:t>
      </w:r>
      <w:r>
        <w:rPr>
          <w:lang w:val="fr-CH"/>
        </w:rPr>
        <w:t xml:space="preserve"> et les </w:t>
      </w:r>
      <w:r w:rsidR="00E40E48">
        <w:rPr>
          <w:lang w:val="fr-CH"/>
        </w:rPr>
        <w:t>interventions en cas d’incident majeur</w:t>
      </w:r>
      <w:r>
        <w:rPr>
          <w:lang w:val="fr-CH"/>
        </w:rPr>
        <w:t>, la protect</w:t>
      </w:r>
      <w:r w:rsidR="00A7072E">
        <w:rPr>
          <w:lang w:val="fr-CH"/>
        </w:rPr>
        <w:t>ion des services existants dans </w:t>
      </w:r>
      <w:r>
        <w:rPr>
          <w:lang w:val="fr-CH"/>
        </w:rPr>
        <w:t xml:space="preserve">cette bande doit être assurée si l’on fait une attribution au </w:t>
      </w:r>
      <w:r w:rsidR="00A7072E">
        <w:rPr>
          <w:lang w:val="fr-CH"/>
        </w:rPr>
        <w:t>service d’amateur dans la bande </w:t>
      </w:r>
      <w:r>
        <w:rPr>
          <w:lang w:val="fr-CH"/>
        </w:rPr>
        <w:t>5</w:t>
      </w:r>
      <w:r w:rsidR="00E40E48">
        <w:rPr>
          <w:lang w:val="fr-CH"/>
        </w:rPr>
        <w:t> </w:t>
      </w:r>
      <w:r w:rsidR="0017265B">
        <w:rPr>
          <w:lang w:val="fr-CH"/>
        </w:rPr>
        <w:t>250</w:t>
      </w:r>
      <w:r w:rsidR="0017265B">
        <w:rPr>
          <w:lang w:val="fr-CH"/>
        </w:rPr>
        <w:noBreakHyphen/>
      </w:r>
      <w:r>
        <w:rPr>
          <w:lang w:val="fr-CH"/>
        </w:rPr>
        <w:t>5</w:t>
      </w:r>
      <w:r w:rsidR="00E40E48">
        <w:rPr>
          <w:lang w:val="fr-CH"/>
        </w:rPr>
        <w:t> </w:t>
      </w:r>
      <w:r w:rsidR="00DE4334">
        <w:rPr>
          <w:lang w:val="fr-CH"/>
        </w:rPr>
        <w:t>45</w:t>
      </w:r>
      <w:r>
        <w:rPr>
          <w:lang w:val="fr-CH"/>
        </w:rPr>
        <w:t>0 kHz.</w:t>
      </w:r>
    </w:p>
    <w:p w:rsidR="003A583E" w:rsidRPr="004F561E" w:rsidRDefault="004F561E" w:rsidP="00F66F52">
      <w:pPr>
        <w:rPr>
          <w:lang w:val="fr-CH"/>
        </w:rPr>
      </w:pPr>
      <w:r>
        <w:rPr>
          <w:lang w:val="fr-CH"/>
        </w:rPr>
        <w:t>La gamme 5</w:t>
      </w:r>
      <w:r w:rsidR="00E40E48">
        <w:rPr>
          <w:lang w:val="fr-CH"/>
        </w:rPr>
        <w:t> </w:t>
      </w:r>
      <w:r>
        <w:rPr>
          <w:lang w:val="fr-CH"/>
        </w:rPr>
        <w:t>250-5</w:t>
      </w:r>
      <w:r w:rsidR="00E40E48">
        <w:rPr>
          <w:lang w:val="fr-CH"/>
        </w:rPr>
        <w:t> </w:t>
      </w:r>
      <w:r>
        <w:rPr>
          <w:lang w:val="fr-CH"/>
        </w:rPr>
        <w:t>450 kHz est déjà attribuée au service fixe, au service mobile (sauf mobile aéronautique) et au service de radiolocalisation</w:t>
      </w:r>
      <w:r>
        <w:rPr>
          <w:rStyle w:val="FootnoteReference"/>
          <w:lang w:val="fr-CH"/>
        </w:rPr>
        <w:footnoteReference w:id="1"/>
      </w:r>
      <w:r>
        <w:rPr>
          <w:lang w:val="fr-CH"/>
        </w:rPr>
        <w:t>. L’expérience ayant montré que l’exploitation du service d’amateur est incompatible avec la radiolocalisation en ondes décamétriques, la gamme 5</w:t>
      </w:r>
      <w:r w:rsidR="00E40E48">
        <w:rPr>
          <w:lang w:val="fr-CH"/>
        </w:rPr>
        <w:t> </w:t>
      </w:r>
      <w:r>
        <w:rPr>
          <w:lang w:val="fr-CH"/>
        </w:rPr>
        <w:t>250-5</w:t>
      </w:r>
      <w:r w:rsidR="00E40E48">
        <w:rPr>
          <w:lang w:val="fr-CH"/>
        </w:rPr>
        <w:t> </w:t>
      </w:r>
      <w:r>
        <w:rPr>
          <w:lang w:val="fr-CH"/>
        </w:rPr>
        <w:t xml:space="preserve">275 kHz ne </w:t>
      </w:r>
      <w:r w:rsidR="00E40E48">
        <w:rPr>
          <w:lang w:val="fr-CH"/>
        </w:rPr>
        <w:t>peut</w:t>
      </w:r>
      <w:r>
        <w:rPr>
          <w:lang w:val="fr-CH"/>
        </w:rPr>
        <w:t xml:space="preserve"> pas </w:t>
      </w:r>
      <w:r w:rsidR="00E40E48">
        <w:rPr>
          <w:lang w:val="fr-CH"/>
        </w:rPr>
        <w:t xml:space="preserve">être utilisée </w:t>
      </w:r>
      <w:r>
        <w:rPr>
          <w:lang w:val="fr-CH"/>
        </w:rPr>
        <w:t>pour traiter ce point de l’ordre du jour.</w:t>
      </w:r>
      <w:r w:rsidR="003B1FCB">
        <w:rPr>
          <w:lang w:val="fr-CH"/>
        </w:rPr>
        <w:t xml:space="preserve"> Cette bande est actuellemen</w:t>
      </w:r>
      <w:r w:rsidR="00E40E48">
        <w:rPr>
          <w:lang w:val="fr-CH"/>
        </w:rPr>
        <w:t>t utilisée par l</w:t>
      </w:r>
      <w:r w:rsidR="003B1FCB">
        <w:rPr>
          <w:lang w:val="fr-CH"/>
        </w:rPr>
        <w:t>es services fixe et mobile pour appuyer directement le</w:t>
      </w:r>
      <w:r w:rsidR="00DE4334">
        <w:rPr>
          <w:lang w:val="fr-CH"/>
        </w:rPr>
        <w:t>s opérations liées au</w:t>
      </w:r>
      <w:r w:rsidR="003B1FCB">
        <w:rPr>
          <w:lang w:val="fr-CH"/>
        </w:rPr>
        <w:t xml:space="preserve"> maintien de l’ordre, les secours en cas de catastrophe</w:t>
      </w:r>
      <w:r w:rsidR="00E40E48">
        <w:rPr>
          <w:lang w:val="fr-CH"/>
        </w:rPr>
        <w:t>,</w:t>
      </w:r>
      <w:r w:rsidR="003B1FCB">
        <w:rPr>
          <w:lang w:val="fr-CH"/>
        </w:rPr>
        <w:t xml:space="preserve"> les opérations d’urgence</w:t>
      </w:r>
      <w:r w:rsidR="00E40E48" w:rsidRPr="00E40E48">
        <w:rPr>
          <w:lang w:val="fr-CH"/>
        </w:rPr>
        <w:t xml:space="preserve"> </w:t>
      </w:r>
      <w:r w:rsidR="00E40E48">
        <w:rPr>
          <w:lang w:val="fr-CH"/>
        </w:rPr>
        <w:t>et les interventions en cas d’incident majeur</w:t>
      </w:r>
      <w:r w:rsidR="003B1FCB">
        <w:rPr>
          <w:lang w:val="fr-CH"/>
        </w:rPr>
        <w:t>. L’utilisation de cette bande par le service d’amateur est par conséquent incompatible. Certaines administrations accordent aux titulaires de licences dans le service d’amateur certains droits dans la gamme 5</w:t>
      </w:r>
      <w:r w:rsidR="00E40E48">
        <w:rPr>
          <w:lang w:val="fr-CH"/>
        </w:rPr>
        <w:t> </w:t>
      </w:r>
      <w:r w:rsidR="003B1FCB">
        <w:rPr>
          <w:lang w:val="fr-CH"/>
        </w:rPr>
        <w:t>275-5</w:t>
      </w:r>
      <w:r w:rsidR="00E40E48">
        <w:rPr>
          <w:lang w:val="fr-CH"/>
        </w:rPr>
        <w:t> </w:t>
      </w:r>
      <w:r w:rsidR="003B1FCB">
        <w:rPr>
          <w:lang w:val="fr-CH"/>
        </w:rPr>
        <w:t xml:space="preserve">450 kHz au titre du numéro 4.4 du RR, </w:t>
      </w:r>
      <w:r w:rsidR="00E40E48">
        <w:rPr>
          <w:lang w:val="fr-CH"/>
        </w:rPr>
        <w:t xml:space="preserve">leur </w:t>
      </w:r>
      <w:r w:rsidR="003B1FCB">
        <w:rPr>
          <w:lang w:val="fr-CH"/>
        </w:rPr>
        <w:t>permettant dans certains cas d’opérer sur des canaux discrets et</w:t>
      </w:r>
      <w:r w:rsidR="00DE4334">
        <w:rPr>
          <w:lang w:val="fr-CH"/>
        </w:rPr>
        <w:t>,</w:t>
      </w:r>
      <w:r w:rsidR="003B1FCB">
        <w:rPr>
          <w:lang w:val="fr-CH"/>
        </w:rPr>
        <w:t xml:space="preserve"> dans d’autres</w:t>
      </w:r>
      <w:r w:rsidR="00DE4334">
        <w:rPr>
          <w:lang w:val="fr-CH"/>
        </w:rPr>
        <w:t>,</w:t>
      </w:r>
      <w:r w:rsidR="003B1FCB">
        <w:rPr>
          <w:lang w:val="fr-CH"/>
        </w:rPr>
        <w:t xml:space="preserve"> d’accéder à une bande de fréquences.</w:t>
      </w:r>
    </w:p>
    <w:p w:rsidR="00FC3B12" w:rsidRPr="004F561E" w:rsidRDefault="00FC3B12" w:rsidP="00F66F52">
      <w:pPr>
        <w:pStyle w:val="Headingb"/>
        <w:rPr>
          <w:lang w:val="fr-CH"/>
        </w:rPr>
      </w:pPr>
      <w:r w:rsidRPr="004F561E">
        <w:rPr>
          <w:lang w:val="fr-CH"/>
        </w:rPr>
        <w:lastRenderedPageBreak/>
        <w:t>Propos</w:t>
      </w:r>
      <w:r w:rsidR="00E7391D" w:rsidRPr="004F561E">
        <w:rPr>
          <w:lang w:val="fr-CH"/>
        </w:rPr>
        <w:t>itions</w:t>
      </w:r>
    </w:p>
    <w:p w:rsidR="00FC3B12" w:rsidRPr="004F561E" w:rsidRDefault="00A7072E" w:rsidP="0017265B">
      <w:pPr>
        <w:rPr>
          <w:lang w:val="fr-CH"/>
        </w:rPr>
      </w:pPr>
      <w:r>
        <w:rPr>
          <w:lang w:val="fr-CH"/>
        </w:rPr>
        <w:t>E</w:t>
      </w:r>
      <w:r w:rsidR="003B1FCB">
        <w:rPr>
          <w:lang w:val="fr-CH"/>
        </w:rPr>
        <w:t>tant donné que l’utilisation de cette bande par le service d’amateur serait incompatible avec l</w:t>
      </w:r>
      <w:r w:rsidR="00E40E48">
        <w:rPr>
          <w:lang w:val="fr-CH"/>
        </w:rPr>
        <w:t>’exploitation d</w:t>
      </w:r>
      <w:r w:rsidR="003B1FCB">
        <w:rPr>
          <w:lang w:val="fr-CH"/>
        </w:rPr>
        <w:t>es services existants et l’utilisation actuelle de cette bande pour les secours en cas de catastrophe</w:t>
      </w:r>
      <w:r w:rsidR="00E40E48">
        <w:rPr>
          <w:lang w:val="fr-CH"/>
        </w:rPr>
        <w:t>,</w:t>
      </w:r>
      <w:r w:rsidR="003B1FCB">
        <w:rPr>
          <w:lang w:val="fr-CH"/>
        </w:rPr>
        <w:t xml:space="preserve"> les opérations d’urgence</w:t>
      </w:r>
      <w:r w:rsidR="00E40E48" w:rsidRPr="00E40E48">
        <w:rPr>
          <w:lang w:val="fr-CH"/>
        </w:rPr>
        <w:t xml:space="preserve"> </w:t>
      </w:r>
      <w:r w:rsidR="00E40E48">
        <w:rPr>
          <w:lang w:val="fr-CH"/>
        </w:rPr>
        <w:t>et les interventions en cas d’incident majeur</w:t>
      </w:r>
      <w:r>
        <w:rPr>
          <w:lang w:val="fr-CH"/>
        </w:rPr>
        <w:t>, les E</w:t>
      </w:r>
      <w:r w:rsidR="003B1FCB">
        <w:rPr>
          <w:lang w:val="fr-CH"/>
        </w:rPr>
        <w:t>tats-Unis proposent de n’apporter aucune modification en ce qui concerne la bande 5</w:t>
      </w:r>
      <w:r w:rsidR="00E40E48">
        <w:rPr>
          <w:lang w:val="fr-CH"/>
        </w:rPr>
        <w:t> </w:t>
      </w:r>
      <w:r w:rsidR="003B1FCB">
        <w:rPr>
          <w:lang w:val="fr-CH"/>
        </w:rPr>
        <w:t>240-5</w:t>
      </w:r>
      <w:r w:rsidR="00E40E48">
        <w:rPr>
          <w:lang w:val="fr-CH"/>
        </w:rPr>
        <w:t> </w:t>
      </w:r>
      <w:r w:rsidR="003B1FCB">
        <w:rPr>
          <w:lang w:val="fr-CH"/>
        </w:rPr>
        <w:t>450 kHz.</w:t>
      </w:r>
    </w:p>
    <w:p w:rsidR="004A6A8C" w:rsidRPr="004F561E" w:rsidRDefault="00FC3B12" w:rsidP="00F66F52">
      <w:pPr>
        <w:pStyle w:val="ArtNo"/>
        <w:rPr>
          <w:lang w:val="fr-CH"/>
        </w:rPr>
      </w:pPr>
      <w:r w:rsidRPr="004F561E">
        <w:rPr>
          <w:lang w:val="fr-CH"/>
        </w:rPr>
        <w:t xml:space="preserve">ARTICLE </w:t>
      </w:r>
      <w:r w:rsidRPr="004F561E">
        <w:rPr>
          <w:rStyle w:val="href"/>
          <w:color w:val="000000"/>
          <w:lang w:val="fr-CH"/>
        </w:rPr>
        <w:t>5</w:t>
      </w:r>
    </w:p>
    <w:p w:rsidR="004A6A8C" w:rsidRPr="004F561E" w:rsidRDefault="00FC3B12" w:rsidP="00F66F52">
      <w:pPr>
        <w:pStyle w:val="Arttitle"/>
        <w:rPr>
          <w:lang w:val="fr-CH"/>
        </w:rPr>
      </w:pPr>
      <w:r w:rsidRPr="004F561E">
        <w:rPr>
          <w:lang w:val="fr-CH"/>
        </w:rPr>
        <w:t>Attribution des bandes de fréquences</w:t>
      </w:r>
    </w:p>
    <w:p w:rsidR="004A6A8C" w:rsidRPr="004F561E" w:rsidRDefault="00FC3B12" w:rsidP="0017265B">
      <w:pPr>
        <w:pStyle w:val="Section1"/>
        <w:keepNext/>
        <w:rPr>
          <w:lang w:val="fr-CH"/>
        </w:rPr>
      </w:pPr>
      <w:r w:rsidRPr="004F561E">
        <w:rPr>
          <w:lang w:val="fr-CH"/>
        </w:rPr>
        <w:t>Section IV – Tableau d'attribution des bandes de fréquences</w:t>
      </w:r>
      <w:r w:rsidRPr="004F561E">
        <w:rPr>
          <w:lang w:val="fr-CH"/>
        </w:rPr>
        <w:br/>
      </w:r>
      <w:r w:rsidRPr="0017265B">
        <w:rPr>
          <w:b w:val="0"/>
          <w:bCs/>
          <w:lang w:val="fr-CH"/>
        </w:rPr>
        <w:t xml:space="preserve">(Voir le numéro </w:t>
      </w:r>
      <w:r w:rsidRPr="0017265B">
        <w:rPr>
          <w:lang w:val="fr-CH"/>
        </w:rPr>
        <w:t>2.1</w:t>
      </w:r>
      <w:r w:rsidRPr="0017265B">
        <w:rPr>
          <w:b w:val="0"/>
          <w:bCs/>
          <w:lang w:val="fr-CH"/>
        </w:rPr>
        <w:t>)</w:t>
      </w:r>
      <w:r w:rsidRPr="0017265B">
        <w:rPr>
          <w:b w:val="0"/>
          <w:bCs/>
          <w:color w:val="000000"/>
          <w:lang w:val="fr-CH"/>
        </w:rPr>
        <w:br/>
      </w:r>
    </w:p>
    <w:p w:rsidR="00BF79AA" w:rsidRPr="004F561E" w:rsidRDefault="00FC3B12" w:rsidP="00F66F52">
      <w:pPr>
        <w:pStyle w:val="Proposal"/>
        <w:rPr>
          <w:lang w:val="fr-CH"/>
        </w:rPr>
      </w:pPr>
      <w:r w:rsidRPr="004F561E">
        <w:rPr>
          <w:u w:val="single"/>
          <w:lang w:val="fr-CH"/>
        </w:rPr>
        <w:t>NOC</w:t>
      </w:r>
      <w:r w:rsidRPr="004F561E">
        <w:rPr>
          <w:lang w:val="fr-CH"/>
        </w:rPr>
        <w:tab/>
        <w:t>USA/6A4/1</w:t>
      </w:r>
    </w:p>
    <w:p w:rsidR="004A6A8C" w:rsidRPr="004F561E" w:rsidRDefault="00FC3B12" w:rsidP="00F66F52">
      <w:pPr>
        <w:pStyle w:val="Tabletitle"/>
        <w:rPr>
          <w:lang w:val="fr-CH"/>
        </w:rPr>
      </w:pPr>
      <w:r w:rsidRPr="004F561E">
        <w:rPr>
          <w:lang w:val="fr-CH"/>
        </w:rPr>
        <w:t>5 003-7 450 kHz</w:t>
      </w:r>
    </w:p>
    <w:tbl>
      <w:tblPr>
        <w:tblW w:w="0" w:type="auto"/>
        <w:jc w:val="center"/>
        <w:tblLayout w:type="fixed"/>
        <w:tblCellMar>
          <w:left w:w="107" w:type="dxa"/>
          <w:right w:w="107" w:type="dxa"/>
        </w:tblCellMar>
        <w:tblLook w:val="0000" w:firstRow="0" w:lastRow="0" w:firstColumn="0" w:lastColumn="0" w:noHBand="0" w:noVBand="0"/>
      </w:tblPr>
      <w:tblGrid>
        <w:gridCol w:w="3121"/>
        <w:gridCol w:w="3118"/>
        <w:gridCol w:w="3119"/>
      </w:tblGrid>
      <w:tr w:rsidR="004A6A8C" w:rsidRPr="004F561E" w:rsidTr="00FC3B12">
        <w:trPr>
          <w:cantSplit/>
          <w:jc w:val="center"/>
        </w:trPr>
        <w:tc>
          <w:tcPr>
            <w:tcW w:w="9358" w:type="dxa"/>
            <w:gridSpan w:val="3"/>
            <w:tcBorders>
              <w:top w:val="single" w:sz="6" w:space="0" w:color="auto"/>
              <w:left w:val="single" w:sz="6" w:space="0" w:color="auto"/>
              <w:bottom w:val="single" w:sz="6" w:space="0" w:color="auto"/>
              <w:right w:val="single" w:sz="6" w:space="0" w:color="auto"/>
            </w:tcBorders>
          </w:tcPr>
          <w:p w:rsidR="004A6A8C" w:rsidRPr="004F561E" w:rsidRDefault="00FC3B12" w:rsidP="00F66F52">
            <w:pPr>
              <w:pStyle w:val="Tablehead"/>
              <w:rPr>
                <w:color w:val="000000"/>
                <w:sz w:val="18"/>
                <w:szCs w:val="18"/>
                <w:lang w:val="fr-CH"/>
              </w:rPr>
            </w:pPr>
            <w:r w:rsidRPr="004F561E">
              <w:rPr>
                <w:color w:val="000000"/>
                <w:sz w:val="18"/>
                <w:szCs w:val="18"/>
                <w:lang w:val="fr-CH"/>
              </w:rPr>
              <w:t>Attribution aux services</w:t>
            </w:r>
          </w:p>
        </w:tc>
      </w:tr>
      <w:tr w:rsidR="004A6A8C" w:rsidRPr="004F561E" w:rsidTr="00FC3B12">
        <w:trPr>
          <w:cantSplit/>
          <w:jc w:val="center"/>
        </w:trPr>
        <w:tc>
          <w:tcPr>
            <w:tcW w:w="3121" w:type="dxa"/>
            <w:tcBorders>
              <w:top w:val="single" w:sz="6" w:space="0" w:color="auto"/>
              <w:left w:val="single" w:sz="6" w:space="0" w:color="auto"/>
              <w:bottom w:val="single" w:sz="6" w:space="0" w:color="auto"/>
              <w:right w:val="single" w:sz="6" w:space="0" w:color="auto"/>
            </w:tcBorders>
          </w:tcPr>
          <w:p w:rsidR="004A6A8C" w:rsidRPr="004F561E" w:rsidRDefault="00FC3B12" w:rsidP="00F66F52">
            <w:pPr>
              <w:pStyle w:val="Tablehead"/>
              <w:rPr>
                <w:color w:val="000000"/>
                <w:sz w:val="18"/>
                <w:szCs w:val="18"/>
                <w:lang w:val="fr-CH"/>
              </w:rPr>
            </w:pPr>
            <w:r w:rsidRPr="004F561E">
              <w:rPr>
                <w:color w:val="000000"/>
                <w:sz w:val="18"/>
                <w:szCs w:val="18"/>
                <w:lang w:val="fr-CH"/>
              </w:rPr>
              <w:t>Région 1</w:t>
            </w:r>
          </w:p>
        </w:tc>
        <w:tc>
          <w:tcPr>
            <w:tcW w:w="3118" w:type="dxa"/>
            <w:tcBorders>
              <w:top w:val="single" w:sz="6" w:space="0" w:color="auto"/>
              <w:left w:val="single" w:sz="6" w:space="0" w:color="auto"/>
              <w:bottom w:val="single" w:sz="6" w:space="0" w:color="auto"/>
              <w:right w:val="single" w:sz="6" w:space="0" w:color="auto"/>
            </w:tcBorders>
          </w:tcPr>
          <w:p w:rsidR="004A6A8C" w:rsidRPr="004F561E" w:rsidRDefault="00FC3B12" w:rsidP="00F66F52">
            <w:pPr>
              <w:pStyle w:val="Tablehead"/>
              <w:rPr>
                <w:color w:val="000000"/>
                <w:sz w:val="18"/>
                <w:szCs w:val="18"/>
                <w:lang w:val="fr-CH"/>
              </w:rPr>
            </w:pPr>
            <w:r w:rsidRPr="004F561E">
              <w:rPr>
                <w:color w:val="000000"/>
                <w:sz w:val="18"/>
                <w:szCs w:val="18"/>
                <w:lang w:val="fr-CH"/>
              </w:rPr>
              <w:t>Région 2</w:t>
            </w:r>
          </w:p>
        </w:tc>
        <w:tc>
          <w:tcPr>
            <w:tcW w:w="3119" w:type="dxa"/>
            <w:tcBorders>
              <w:top w:val="single" w:sz="6" w:space="0" w:color="auto"/>
              <w:left w:val="single" w:sz="6" w:space="0" w:color="auto"/>
              <w:bottom w:val="single" w:sz="6" w:space="0" w:color="auto"/>
              <w:right w:val="single" w:sz="6" w:space="0" w:color="auto"/>
            </w:tcBorders>
          </w:tcPr>
          <w:p w:rsidR="004A6A8C" w:rsidRPr="004F561E" w:rsidRDefault="00FC3B12" w:rsidP="00F66F52">
            <w:pPr>
              <w:pStyle w:val="Tablehead"/>
              <w:rPr>
                <w:color w:val="000000"/>
                <w:sz w:val="18"/>
                <w:szCs w:val="18"/>
                <w:lang w:val="fr-CH"/>
              </w:rPr>
            </w:pPr>
            <w:r w:rsidRPr="004F561E">
              <w:rPr>
                <w:color w:val="000000"/>
                <w:sz w:val="18"/>
                <w:szCs w:val="18"/>
                <w:lang w:val="fr-CH"/>
              </w:rPr>
              <w:t>Région 3</w:t>
            </w:r>
          </w:p>
        </w:tc>
      </w:tr>
      <w:tr w:rsidR="004A6A8C" w:rsidRPr="004F561E" w:rsidTr="00FC3B12">
        <w:trPr>
          <w:cantSplit/>
          <w:jc w:val="center"/>
        </w:trPr>
        <w:tc>
          <w:tcPr>
            <w:tcW w:w="3121" w:type="dxa"/>
            <w:tcBorders>
              <w:top w:val="single" w:sz="6" w:space="0" w:color="auto"/>
              <w:left w:val="single" w:sz="6" w:space="0" w:color="auto"/>
              <w:right w:val="single" w:sz="6" w:space="0" w:color="auto"/>
            </w:tcBorders>
          </w:tcPr>
          <w:p w:rsidR="004A6A8C" w:rsidRPr="004F561E" w:rsidRDefault="00FC3B12" w:rsidP="00F66F52">
            <w:pPr>
              <w:pStyle w:val="TableTextS5"/>
              <w:rPr>
                <w:rStyle w:val="Tablefreq"/>
                <w:szCs w:val="18"/>
                <w:lang w:val="fr-CH"/>
              </w:rPr>
            </w:pPr>
            <w:r w:rsidRPr="004F561E">
              <w:rPr>
                <w:rStyle w:val="Tablefreq"/>
                <w:szCs w:val="18"/>
                <w:lang w:val="fr-CH"/>
              </w:rPr>
              <w:t>5 250-5 275</w:t>
            </w:r>
          </w:p>
          <w:p w:rsidR="004A6A8C" w:rsidRPr="004F561E" w:rsidRDefault="00FC3B12" w:rsidP="00F66F52">
            <w:pPr>
              <w:pStyle w:val="TableTextS5"/>
              <w:spacing w:before="20" w:after="20"/>
              <w:rPr>
                <w:color w:val="000000"/>
                <w:sz w:val="18"/>
                <w:szCs w:val="18"/>
                <w:lang w:val="fr-CH"/>
              </w:rPr>
            </w:pPr>
            <w:r w:rsidRPr="004F561E">
              <w:rPr>
                <w:color w:val="000000"/>
                <w:sz w:val="18"/>
                <w:szCs w:val="18"/>
                <w:lang w:val="fr-CH"/>
              </w:rPr>
              <w:t>FIXE</w:t>
            </w:r>
          </w:p>
          <w:p w:rsidR="004A6A8C" w:rsidRPr="004F561E" w:rsidRDefault="00FC3B12" w:rsidP="00F66F52">
            <w:pPr>
              <w:pStyle w:val="Tabletext"/>
              <w:spacing w:before="20" w:after="20"/>
              <w:ind w:left="284" w:hanging="284"/>
              <w:rPr>
                <w:color w:val="000000"/>
                <w:sz w:val="18"/>
                <w:szCs w:val="18"/>
                <w:lang w:val="fr-CH"/>
              </w:rPr>
            </w:pPr>
            <w:r w:rsidRPr="004F561E">
              <w:rPr>
                <w:color w:val="000000"/>
                <w:sz w:val="18"/>
                <w:szCs w:val="18"/>
                <w:lang w:val="fr-CH"/>
              </w:rPr>
              <w:t xml:space="preserve">MOBILE sauf mobile </w:t>
            </w:r>
            <w:r w:rsidRPr="004F561E">
              <w:rPr>
                <w:color w:val="000000"/>
                <w:sz w:val="18"/>
                <w:szCs w:val="18"/>
                <w:lang w:val="fr-CH"/>
              </w:rPr>
              <w:br/>
              <w:t>aéronautique</w:t>
            </w:r>
          </w:p>
          <w:p w:rsidR="004A6A8C" w:rsidRPr="004F561E" w:rsidRDefault="00FC3B12" w:rsidP="00F66F52">
            <w:pPr>
              <w:pStyle w:val="TableTextS5"/>
              <w:spacing w:before="20" w:after="20"/>
              <w:rPr>
                <w:color w:val="000000"/>
                <w:sz w:val="18"/>
                <w:szCs w:val="18"/>
                <w:lang w:val="fr-CH"/>
              </w:rPr>
            </w:pPr>
            <w:r w:rsidRPr="004F561E">
              <w:rPr>
                <w:color w:val="000000"/>
                <w:sz w:val="18"/>
                <w:szCs w:val="18"/>
                <w:lang w:val="fr-CH"/>
              </w:rPr>
              <w:t xml:space="preserve">Radiolocalisation 5.132A </w:t>
            </w:r>
          </w:p>
        </w:tc>
        <w:tc>
          <w:tcPr>
            <w:tcW w:w="3118" w:type="dxa"/>
            <w:tcBorders>
              <w:top w:val="single" w:sz="6" w:space="0" w:color="auto"/>
              <w:left w:val="single" w:sz="6" w:space="0" w:color="auto"/>
              <w:right w:val="single" w:sz="6" w:space="0" w:color="auto"/>
            </w:tcBorders>
          </w:tcPr>
          <w:p w:rsidR="004A6A8C" w:rsidRPr="004F561E" w:rsidRDefault="00FC3B12" w:rsidP="00F66F52">
            <w:pPr>
              <w:pStyle w:val="TableTextS5"/>
              <w:keepNext/>
              <w:keepLines/>
              <w:rPr>
                <w:rStyle w:val="Tablefreq"/>
                <w:szCs w:val="18"/>
                <w:lang w:val="fr-CH"/>
              </w:rPr>
            </w:pPr>
            <w:r w:rsidRPr="004F561E">
              <w:rPr>
                <w:rStyle w:val="Tablefreq"/>
                <w:szCs w:val="18"/>
                <w:lang w:val="fr-CH"/>
              </w:rPr>
              <w:t>5 250-5 275</w:t>
            </w:r>
          </w:p>
          <w:p w:rsidR="004A6A8C" w:rsidRPr="004F561E" w:rsidRDefault="00FC3B12" w:rsidP="00F66F52">
            <w:pPr>
              <w:pStyle w:val="TableTextS5"/>
              <w:spacing w:before="20" w:after="20"/>
              <w:rPr>
                <w:color w:val="000000"/>
                <w:sz w:val="18"/>
                <w:szCs w:val="18"/>
                <w:lang w:val="fr-CH"/>
              </w:rPr>
            </w:pPr>
            <w:r w:rsidRPr="004F561E">
              <w:rPr>
                <w:color w:val="000000"/>
                <w:sz w:val="18"/>
                <w:szCs w:val="18"/>
                <w:lang w:val="fr-CH"/>
              </w:rPr>
              <w:t>FIXE</w:t>
            </w:r>
          </w:p>
          <w:p w:rsidR="004A6A8C" w:rsidRPr="004F561E" w:rsidRDefault="00FC3B12" w:rsidP="00F66F52">
            <w:pPr>
              <w:pStyle w:val="Tabletext"/>
              <w:spacing w:before="20" w:after="20"/>
              <w:ind w:left="284" w:hanging="284"/>
              <w:rPr>
                <w:color w:val="000000"/>
                <w:sz w:val="18"/>
                <w:szCs w:val="18"/>
                <w:lang w:val="fr-CH"/>
              </w:rPr>
            </w:pPr>
            <w:r w:rsidRPr="004F561E">
              <w:rPr>
                <w:color w:val="000000"/>
                <w:sz w:val="18"/>
                <w:szCs w:val="18"/>
                <w:lang w:val="fr-CH"/>
              </w:rPr>
              <w:t xml:space="preserve">MOBILE sauf mobile </w:t>
            </w:r>
            <w:r w:rsidRPr="004F561E">
              <w:rPr>
                <w:color w:val="000000"/>
                <w:sz w:val="18"/>
                <w:szCs w:val="18"/>
                <w:lang w:val="fr-CH"/>
              </w:rPr>
              <w:br/>
              <w:t>aéronautique</w:t>
            </w:r>
          </w:p>
          <w:p w:rsidR="004A6A8C" w:rsidRPr="004F561E" w:rsidRDefault="00FC3B12" w:rsidP="00F66F52">
            <w:pPr>
              <w:pStyle w:val="TableTextS5"/>
              <w:spacing w:before="20" w:after="20"/>
              <w:rPr>
                <w:color w:val="000000"/>
                <w:sz w:val="18"/>
                <w:szCs w:val="18"/>
                <w:lang w:val="fr-CH"/>
              </w:rPr>
            </w:pPr>
            <w:r w:rsidRPr="004F561E">
              <w:rPr>
                <w:color w:val="000000"/>
                <w:sz w:val="18"/>
                <w:szCs w:val="18"/>
                <w:lang w:val="fr-CH"/>
              </w:rPr>
              <w:t>RADIOLOCALISATION 5.132A</w:t>
            </w:r>
          </w:p>
        </w:tc>
        <w:tc>
          <w:tcPr>
            <w:tcW w:w="3119" w:type="dxa"/>
            <w:tcBorders>
              <w:top w:val="single" w:sz="6" w:space="0" w:color="auto"/>
              <w:left w:val="single" w:sz="6" w:space="0" w:color="auto"/>
              <w:right w:val="single" w:sz="6" w:space="0" w:color="auto"/>
            </w:tcBorders>
          </w:tcPr>
          <w:p w:rsidR="004A6A8C" w:rsidRPr="004F561E" w:rsidRDefault="00FC3B12" w:rsidP="00F66F52">
            <w:pPr>
              <w:pStyle w:val="TableTextS5"/>
              <w:keepNext/>
              <w:keepLines/>
              <w:rPr>
                <w:rStyle w:val="Tablefreq"/>
                <w:szCs w:val="18"/>
                <w:lang w:val="fr-CH"/>
              </w:rPr>
            </w:pPr>
            <w:r w:rsidRPr="004F561E">
              <w:rPr>
                <w:rStyle w:val="Tablefreq"/>
                <w:szCs w:val="18"/>
                <w:lang w:val="fr-CH"/>
              </w:rPr>
              <w:t>5 250-5 275</w:t>
            </w:r>
          </w:p>
          <w:p w:rsidR="004A6A8C" w:rsidRPr="004F561E" w:rsidRDefault="00FC3B12" w:rsidP="00F66F52">
            <w:pPr>
              <w:pStyle w:val="TableTextS5"/>
              <w:spacing w:before="20" w:after="20"/>
              <w:rPr>
                <w:color w:val="000000"/>
                <w:sz w:val="18"/>
                <w:szCs w:val="18"/>
                <w:lang w:val="fr-CH"/>
              </w:rPr>
            </w:pPr>
            <w:r w:rsidRPr="004F561E">
              <w:rPr>
                <w:color w:val="000000"/>
                <w:sz w:val="18"/>
                <w:szCs w:val="18"/>
                <w:lang w:val="fr-CH"/>
              </w:rPr>
              <w:t>FIXE</w:t>
            </w:r>
          </w:p>
          <w:p w:rsidR="004A6A8C" w:rsidRPr="004F561E" w:rsidRDefault="00FC3B12" w:rsidP="00F66F52">
            <w:pPr>
              <w:pStyle w:val="Tabletext"/>
              <w:spacing w:before="20" w:after="20"/>
              <w:ind w:left="284" w:hanging="284"/>
              <w:rPr>
                <w:color w:val="000000"/>
                <w:sz w:val="18"/>
                <w:szCs w:val="18"/>
                <w:lang w:val="fr-CH"/>
              </w:rPr>
            </w:pPr>
            <w:r w:rsidRPr="004F561E">
              <w:rPr>
                <w:color w:val="000000"/>
                <w:sz w:val="18"/>
                <w:szCs w:val="18"/>
                <w:lang w:val="fr-CH"/>
              </w:rPr>
              <w:t xml:space="preserve">MOBILE sauf mobile </w:t>
            </w:r>
            <w:r w:rsidRPr="004F561E">
              <w:rPr>
                <w:color w:val="000000"/>
                <w:sz w:val="18"/>
                <w:szCs w:val="18"/>
                <w:lang w:val="fr-CH"/>
              </w:rPr>
              <w:br/>
              <w:t>aéronautique</w:t>
            </w:r>
          </w:p>
          <w:p w:rsidR="004A6A8C" w:rsidRPr="004F561E" w:rsidRDefault="00FC3B12" w:rsidP="00F66F52">
            <w:pPr>
              <w:pStyle w:val="TableTextS5"/>
              <w:spacing w:before="20" w:after="20"/>
              <w:rPr>
                <w:color w:val="000000"/>
                <w:sz w:val="18"/>
                <w:szCs w:val="18"/>
                <w:lang w:val="fr-CH"/>
              </w:rPr>
            </w:pPr>
            <w:r w:rsidRPr="004F561E">
              <w:rPr>
                <w:color w:val="000000"/>
                <w:sz w:val="18"/>
                <w:szCs w:val="18"/>
                <w:lang w:val="fr-CH"/>
              </w:rPr>
              <w:t>Radiolocalisation 5.132A</w:t>
            </w:r>
          </w:p>
        </w:tc>
      </w:tr>
      <w:tr w:rsidR="004A6A8C" w:rsidRPr="004F561E" w:rsidTr="00FC3B12">
        <w:trPr>
          <w:cantSplit/>
          <w:jc w:val="center"/>
        </w:trPr>
        <w:tc>
          <w:tcPr>
            <w:tcW w:w="3121" w:type="dxa"/>
            <w:tcBorders>
              <w:left w:val="single" w:sz="6" w:space="0" w:color="auto"/>
              <w:bottom w:val="single" w:sz="4" w:space="0" w:color="auto"/>
              <w:right w:val="single" w:sz="6" w:space="0" w:color="auto"/>
            </w:tcBorders>
          </w:tcPr>
          <w:p w:rsidR="004A6A8C" w:rsidRPr="004F561E" w:rsidRDefault="00FC3B12" w:rsidP="00F66F52">
            <w:pPr>
              <w:pStyle w:val="TableTextS5"/>
              <w:rPr>
                <w:rStyle w:val="Tablefreq"/>
                <w:b w:val="0"/>
                <w:bCs/>
                <w:szCs w:val="18"/>
                <w:lang w:val="fr-CH"/>
              </w:rPr>
            </w:pPr>
            <w:r w:rsidRPr="004F561E">
              <w:rPr>
                <w:b/>
                <w:bCs/>
                <w:color w:val="000000"/>
                <w:sz w:val="18"/>
                <w:szCs w:val="18"/>
                <w:lang w:val="fr-CH"/>
              </w:rPr>
              <w:t>5.133A</w:t>
            </w:r>
          </w:p>
        </w:tc>
        <w:tc>
          <w:tcPr>
            <w:tcW w:w="3118" w:type="dxa"/>
            <w:tcBorders>
              <w:left w:val="single" w:sz="6" w:space="0" w:color="auto"/>
              <w:bottom w:val="single" w:sz="4" w:space="0" w:color="auto"/>
              <w:right w:val="single" w:sz="6" w:space="0" w:color="auto"/>
            </w:tcBorders>
          </w:tcPr>
          <w:p w:rsidR="004A6A8C" w:rsidRPr="004F561E" w:rsidRDefault="002C4112" w:rsidP="00F66F52">
            <w:pPr>
              <w:pStyle w:val="TableTextS5"/>
              <w:keepNext/>
              <w:keepLines/>
              <w:rPr>
                <w:rStyle w:val="Tablefreq"/>
                <w:szCs w:val="18"/>
                <w:lang w:val="fr-CH"/>
              </w:rPr>
            </w:pPr>
          </w:p>
        </w:tc>
        <w:tc>
          <w:tcPr>
            <w:tcW w:w="3119" w:type="dxa"/>
            <w:tcBorders>
              <w:left w:val="single" w:sz="6" w:space="0" w:color="auto"/>
              <w:bottom w:val="single" w:sz="4" w:space="0" w:color="auto"/>
              <w:right w:val="single" w:sz="6" w:space="0" w:color="auto"/>
            </w:tcBorders>
          </w:tcPr>
          <w:p w:rsidR="004A6A8C" w:rsidRPr="004F561E" w:rsidRDefault="002C4112" w:rsidP="00F66F52">
            <w:pPr>
              <w:pStyle w:val="TableTextS5"/>
              <w:keepNext/>
              <w:keepLines/>
              <w:rPr>
                <w:rStyle w:val="Tablefreq"/>
                <w:szCs w:val="18"/>
                <w:lang w:val="fr-CH"/>
              </w:rPr>
            </w:pPr>
          </w:p>
        </w:tc>
      </w:tr>
      <w:tr w:rsidR="004A6A8C" w:rsidRPr="004F561E" w:rsidTr="00FC3B12">
        <w:trPr>
          <w:cantSplit/>
          <w:jc w:val="center"/>
        </w:trPr>
        <w:tc>
          <w:tcPr>
            <w:tcW w:w="9358" w:type="dxa"/>
            <w:gridSpan w:val="3"/>
            <w:tcBorders>
              <w:top w:val="single" w:sz="4" w:space="0" w:color="auto"/>
              <w:left w:val="single" w:sz="6" w:space="0" w:color="auto"/>
              <w:bottom w:val="single" w:sz="6" w:space="0" w:color="auto"/>
              <w:right w:val="single" w:sz="6" w:space="0" w:color="auto"/>
            </w:tcBorders>
          </w:tcPr>
          <w:p w:rsidR="004A6A8C" w:rsidRPr="004F561E" w:rsidRDefault="00FC3B12" w:rsidP="00F66F52">
            <w:pPr>
              <w:pStyle w:val="TableTextS5"/>
              <w:rPr>
                <w:color w:val="000000"/>
                <w:sz w:val="18"/>
                <w:szCs w:val="18"/>
                <w:lang w:val="fr-CH"/>
              </w:rPr>
            </w:pPr>
            <w:r w:rsidRPr="004F561E">
              <w:rPr>
                <w:rStyle w:val="Tablefreq"/>
                <w:szCs w:val="18"/>
                <w:lang w:val="fr-CH"/>
              </w:rPr>
              <w:t>5 275-5 450</w:t>
            </w:r>
            <w:r w:rsidRPr="004F561E">
              <w:rPr>
                <w:color w:val="000000"/>
                <w:sz w:val="18"/>
                <w:szCs w:val="18"/>
                <w:lang w:val="fr-CH"/>
              </w:rPr>
              <w:tab/>
              <w:t>FIXE</w:t>
            </w:r>
          </w:p>
          <w:p w:rsidR="004A6A8C" w:rsidRPr="004F561E" w:rsidRDefault="00FC3B12" w:rsidP="00F66F52">
            <w:pPr>
              <w:pStyle w:val="TableTextS5"/>
              <w:spacing w:before="20" w:after="20"/>
              <w:rPr>
                <w:b/>
                <w:color w:val="000000"/>
                <w:sz w:val="18"/>
                <w:szCs w:val="18"/>
                <w:lang w:val="fr-CH"/>
              </w:rPr>
            </w:pPr>
            <w:r w:rsidRPr="004F561E">
              <w:rPr>
                <w:color w:val="000000"/>
                <w:sz w:val="18"/>
                <w:szCs w:val="18"/>
                <w:lang w:val="fr-CH"/>
              </w:rPr>
              <w:tab/>
            </w:r>
            <w:r w:rsidRPr="004F561E">
              <w:rPr>
                <w:color w:val="000000"/>
                <w:sz w:val="18"/>
                <w:szCs w:val="18"/>
                <w:lang w:val="fr-CH"/>
              </w:rPr>
              <w:tab/>
            </w:r>
            <w:r w:rsidRPr="004F561E">
              <w:rPr>
                <w:color w:val="000000"/>
                <w:sz w:val="18"/>
                <w:szCs w:val="18"/>
                <w:lang w:val="fr-CH"/>
              </w:rPr>
              <w:tab/>
            </w:r>
            <w:r w:rsidRPr="004F561E">
              <w:rPr>
                <w:color w:val="000000"/>
                <w:sz w:val="18"/>
                <w:szCs w:val="18"/>
                <w:lang w:val="fr-CH"/>
              </w:rPr>
              <w:tab/>
              <w:t>MOBILE sauf mobile aéronautique</w:t>
            </w:r>
          </w:p>
        </w:tc>
      </w:tr>
    </w:tbl>
    <w:p w:rsidR="00BF79AA" w:rsidRPr="004F561E" w:rsidRDefault="00FC3B12" w:rsidP="00F66F52">
      <w:pPr>
        <w:pStyle w:val="Reasons"/>
        <w:rPr>
          <w:lang w:val="fr-CH"/>
        </w:rPr>
      </w:pPr>
      <w:r w:rsidRPr="004F561E">
        <w:rPr>
          <w:b/>
          <w:lang w:val="fr-CH"/>
        </w:rPr>
        <w:t>Motifs:</w:t>
      </w:r>
      <w:r w:rsidRPr="004F561E">
        <w:rPr>
          <w:lang w:val="fr-CH"/>
        </w:rPr>
        <w:tab/>
      </w:r>
      <w:r w:rsidR="003B1FCB">
        <w:rPr>
          <w:lang w:val="fr-CH"/>
        </w:rPr>
        <w:t xml:space="preserve">L’expérience a montré que </w:t>
      </w:r>
      <w:r w:rsidR="00E40E48">
        <w:rPr>
          <w:lang w:val="fr-CH"/>
        </w:rPr>
        <w:t>le partage dans la bande d’ondes décamétriques n’est pas possible entre le service d’amateur et le service de radiolocalisation et entre le service d’amateur et les services fixe et mobile qui sont déjà très utilisés pour le</w:t>
      </w:r>
      <w:r w:rsidR="00B46AFC">
        <w:rPr>
          <w:lang w:val="fr-CH"/>
        </w:rPr>
        <w:t>s opérations de</w:t>
      </w:r>
      <w:r w:rsidR="00E40E48">
        <w:rPr>
          <w:lang w:val="fr-CH"/>
        </w:rPr>
        <w:t xml:space="preserve"> maintien de l’ordre, les secours en cas de catastrophe, les opérations d’urgence et les interventions en cas d’incident majeur.</w:t>
      </w:r>
    </w:p>
    <w:p w:rsidR="00BF79AA" w:rsidRPr="004F561E" w:rsidRDefault="00FC3B12" w:rsidP="00F66F52">
      <w:pPr>
        <w:pStyle w:val="Proposal"/>
        <w:rPr>
          <w:lang w:val="fr-CH"/>
        </w:rPr>
      </w:pPr>
      <w:r w:rsidRPr="004F561E">
        <w:rPr>
          <w:lang w:val="fr-CH"/>
        </w:rPr>
        <w:t>SUP</w:t>
      </w:r>
      <w:r w:rsidRPr="004F561E">
        <w:rPr>
          <w:lang w:val="fr-CH"/>
        </w:rPr>
        <w:tab/>
        <w:t>USA/6A4/2</w:t>
      </w:r>
    </w:p>
    <w:p w:rsidR="00DD4258" w:rsidRPr="004F561E" w:rsidRDefault="00FC3B12" w:rsidP="00F66F52">
      <w:pPr>
        <w:pStyle w:val="ResNo"/>
        <w:rPr>
          <w:lang w:val="fr-CH"/>
        </w:rPr>
      </w:pPr>
      <w:r w:rsidRPr="004F561E">
        <w:rPr>
          <w:lang w:val="fr-CH"/>
        </w:rPr>
        <w:t xml:space="preserve">RÉSOLUTION </w:t>
      </w:r>
      <w:r w:rsidRPr="004F561E">
        <w:rPr>
          <w:rFonts w:eastAsia="Arial Unicode MS"/>
          <w:lang w:val="fr-CH"/>
        </w:rPr>
        <w:t>649 (CMR-12)</w:t>
      </w:r>
    </w:p>
    <w:p w:rsidR="00DD4258" w:rsidRPr="004F561E" w:rsidRDefault="00FC3B12" w:rsidP="00F66F52">
      <w:pPr>
        <w:pStyle w:val="Restitle"/>
        <w:rPr>
          <w:lang w:val="fr-CH"/>
        </w:rPr>
      </w:pPr>
      <w:r w:rsidRPr="004F561E">
        <w:rPr>
          <w:lang w:val="fr-CH"/>
        </w:rPr>
        <w:t xml:space="preserve">Attribution possible à titre secondaire au service </w:t>
      </w:r>
      <w:r w:rsidRPr="004F561E">
        <w:rPr>
          <w:lang w:val="fr-CH"/>
        </w:rPr>
        <w:br/>
        <w:t>d'amateur au voisinage de 5 300 kHz</w:t>
      </w:r>
    </w:p>
    <w:p w:rsidR="00FC3B12" w:rsidRDefault="00FC3B12" w:rsidP="00F66F52">
      <w:pPr>
        <w:pStyle w:val="Reasons"/>
        <w:rPr>
          <w:lang w:val="fr-CH"/>
        </w:rPr>
      </w:pPr>
      <w:r w:rsidRPr="004F561E">
        <w:rPr>
          <w:b/>
          <w:lang w:val="fr-CH"/>
        </w:rPr>
        <w:t>Motifs:</w:t>
      </w:r>
      <w:r w:rsidRPr="004F561E">
        <w:rPr>
          <w:lang w:val="fr-CH"/>
        </w:rPr>
        <w:tab/>
      </w:r>
      <w:r w:rsidR="00AB6059">
        <w:rPr>
          <w:lang w:val="fr-CH"/>
        </w:rPr>
        <w:t>Décou</w:t>
      </w:r>
      <w:r w:rsidR="00E40E48">
        <w:rPr>
          <w:lang w:val="fr-CH"/>
        </w:rPr>
        <w:t>le</w:t>
      </w:r>
      <w:r w:rsidR="00AB6059">
        <w:rPr>
          <w:lang w:val="fr-CH"/>
        </w:rPr>
        <w:t xml:space="preserve"> de l’incompatibilité d’une attribution au service d’amateur</w:t>
      </w:r>
      <w:r w:rsidR="00A56A1B">
        <w:rPr>
          <w:lang w:val="fr-CH"/>
        </w:rPr>
        <w:t xml:space="preserve"> avec les services existants</w:t>
      </w:r>
      <w:r w:rsidRPr="004F561E">
        <w:rPr>
          <w:lang w:val="fr-CH"/>
        </w:rPr>
        <w:t>.</w:t>
      </w:r>
    </w:p>
    <w:p w:rsidR="0017265B" w:rsidRDefault="0017265B" w:rsidP="0032202E">
      <w:pPr>
        <w:pStyle w:val="Reasons"/>
      </w:pPr>
    </w:p>
    <w:p w:rsidR="00F66F52" w:rsidRPr="004F561E" w:rsidRDefault="0017265B" w:rsidP="00A56A1B">
      <w:pPr>
        <w:jc w:val="center"/>
        <w:rPr>
          <w:lang w:val="fr-CH"/>
        </w:rPr>
      </w:pPr>
      <w:r>
        <w:t>______________</w:t>
      </w:r>
    </w:p>
    <w:sectPr w:rsidR="00F66F52" w:rsidRPr="004F561E">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C4112">
      <w:rPr>
        <w:noProof/>
        <w:lang w:val="en-US"/>
      </w:rPr>
      <w:t>P:\FRA\ITU-R\CONF-R\CMR15\000\006ADD04F.docx</w:t>
    </w:r>
    <w:r>
      <w:fldChar w:fldCharType="end"/>
    </w:r>
    <w:r>
      <w:rPr>
        <w:lang w:val="en-US"/>
      </w:rPr>
      <w:tab/>
    </w:r>
    <w:r>
      <w:fldChar w:fldCharType="begin"/>
    </w:r>
    <w:r>
      <w:instrText xml:space="preserve"> SAVEDATE \@ DD.MM.YY </w:instrText>
    </w:r>
    <w:r>
      <w:fldChar w:fldCharType="separate"/>
    </w:r>
    <w:r w:rsidR="002C4112">
      <w:rPr>
        <w:noProof/>
      </w:rPr>
      <w:t>18.10.15</w:t>
    </w:r>
    <w:r>
      <w:fldChar w:fldCharType="end"/>
    </w:r>
    <w:r>
      <w:rPr>
        <w:lang w:val="en-US"/>
      </w:rPr>
      <w:tab/>
    </w:r>
    <w:r>
      <w:fldChar w:fldCharType="begin"/>
    </w:r>
    <w:r>
      <w:instrText xml:space="preserve"> PRINTDATE \@ DD.MM.YY </w:instrText>
    </w:r>
    <w:r>
      <w:fldChar w:fldCharType="separate"/>
    </w:r>
    <w:r w:rsidR="002C4112">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C4112">
      <w:rPr>
        <w:lang w:val="en-US"/>
      </w:rPr>
      <w:t>P:\FRA\ITU-R\CONF-R\CMR15\000\006ADD04F.docx</w:t>
    </w:r>
    <w:r>
      <w:fldChar w:fldCharType="end"/>
    </w:r>
    <w:r w:rsidR="002219C3">
      <w:t xml:space="preserve"> (387600)</w:t>
    </w:r>
    <w:r>
      <w:rPr>
        <w:lang w:val="en-US"/>
      </w:rPr>
      <w:tab/>
    </w:r>
    <w:r>
      <w:fldChar w:fldCharType="begin"/>
    </w:r>
    <w:r>
      <w:instrText xml:space="preserve"> SAVEDATE \@ DD.MM.YY </w:instrText>
    </w:r>
    <w:r>
      <w:fldChar w:fldCharType="separate"/>
    </w:r>
    <w:r w:rsidR="002C4112">
      <w:t>18.10.15</w:t>
    </w:r>
    <w:r>
      <w:fldChar w:fldCharType="end"/>
    </w:r>
    <w:r>
      <w:rPr>
        <w:lang w:val="en-US"/>
      </w:rPr>
      <w:tab/>
    </w:r>
    <w:r>
      <w:fldChar w:fldCharType="begin"/>
    </w:r>
    <w:r>
      <w:instrText xml:space="preserve"> PRINTDATE \@ DD.MM.YY </w:instrText>
    </w:r>
    <w:r>
      <w:fldChar w:fldCharType="separate"/>
    </w:r>
    <w:r w:rsidR="002C4112">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C4112">
      <w:rPr>
        <w:lang w:val="en-US"/>
      </w:rPr>
      <w:t>P:\FRA\ITU-R\CONF-R\CMR15\000\006ADD04F.docx</w:t>
    </w:r>
    <w:r>
      <w:fldChar w:fldCharType="end"/>
    </w:r>
    <w:r w:rsidR="002219C3">
      <w:t xml:space="preserve"> (387600)</w:t>
    </w:r>
    <w:r>
      <w:rPr>
        <w:lang w:val="en-US"/>
      </w:rPr>
      <w:tab/>
    </w:r>
    <w:r>
      <w:fldChar w:fldCharType="begin"/>
    </w:r>
    <w:r>
      <w:instrText xml:space="preserve"> SAVEDATE \@ DD.MM.YY </w:instrText>
    </w:r>
    <w:r>
      <w:fldChar w:fldCharType="separate"/>
    </w:r>
    <w:r w:rsidR="002C4112">
      <w:t>18.10.15</w:t>
    </w:r>
    <w:r>
      <w:fldChar w:fldCharType="end"/>
    </w:r>
    <w:r>
      <w:rPr>
        <w:lang w:val="en-US"/>
      </w:rPr>
      <w:tab/>
    </w:r>
    <w:r>
      <w:fldChar w:fldCharType="begin"/>
    </w:r>
    <w:r>
      <w:instrText xml:space="preserve"> PRINTDATE \@ DD.MM.YY </w:instrText>
    </w:r>
    <w:r>
      <w:fldChar w:fldCharType="separate"/>
    </w:r>
    <w:r w:rsidR="002C4112">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4F561E" w:rsidRPr="004F561E" w:rsidRDefault="004F561E" w:rsidP="00A56A1B">
      <w:pPr>
        <w:pStyle w:val="FootnoteText"/>
        <w:rPr>
          <w:lang w:val="fr-CH"/>
        </w:rPr>
      </w:pPr>
      <w:r>
        <w:rPr>
          <w:rStyle w:val="FootnoteReference"/>
        </w:rPr>
        <w:footnoteRef/>
      </w:r>
      <w:r w:rsidR="00A7072E">
        <w:tab/>
      </w:r>
      <w:r>
        <w:rPr>
          <w:lang w:val="fr-CH"/>
        </w:rPr>
        <w:t>L'attribution au service de radiolocalisation dans la bande 5</w:t>
      </w:r>
      <w:r w:rsidR="00E40E48">
        <w:rPr>
          <w:lang w:val="fr-CH"/>
        </w:rPr>
        <w:t> </w:t>
      </w:r>
      <w:r>
        <w:rPr>
          <w:lang w:val="fr-CH"/>
        </w:rPr>
        <w:t>250</w:t>
      </w:r>
      <w:r w:rsidR="00A56A1B">
        <w:rPr>
          <w:lang w:val="fr-CH"/>
        </w:rPr>
        <w:t>-</w:t>
      </w:r>
      <w:r>
        <w:rPr>
          <w:lang w:val="fr-CH"/>
        </w:rPr>
        <w:t>5</w:t>
      </w:r>
      <w:r w:rsidR="00E40E48">
        <w:rPr>
          <w:lang w:val="fr-CH"/>
        </w:rPr>
        <w:t> </w:t>
      </w:r>
      <w:r>
        <w:rPr>
          <w:lang w:val="fr-CH"/>
        </w:rPr>
        <w:t>275 kHz est entrée en vigueur le 1er janvier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C3" w:rsidRDefault="002219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C4112">
      <w:rPr>
        <w:noProof/>
      </w:rPr>
      <w:t>2</w:t>
    </w:r>
    <w:r>
      <w:fldChar w:fldCharType="end"/>
    </w:r>
  </w:p>
  <w:p w:rsidR="004F1F8E" w:rsidRDefault="004F1F8E" w:rsidP="002C28A4">
    <w:pPr>
      <w:pStyle w:val="Header"/>
    </w:pPr>
    <w:r>
      <w:t>CMR1</w:t>
    </w:r>
    <w:r w:rsidR="002C28A4">
      <w:t>5</w:t>
    </w:r>
    <w:r>
      <w:t>/</w:t>
    </w:r>
    <w:r w:rsidR="006A4B45">
      <w:t>6(Add.4)-</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C3" w:rsidRDefault="00221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7265B"/>
    <w:rsid w:val="0018169B"/>
    <w:rsid w:val="0019352B"/>
    <w:rsid w:val="001960D0"/>
    <w:rsid w:val="001A44BD"/>
    <w:rsid w:val="001F17E8"/>
    <w:rsid w:val="00204306"/>
    <w:rsid w:val="002219C3"/>
    <w:rsid w:val="00232FD2"/>
    <w:rsid w:val="0026554E"/>
    <w:rsid w:val="002A4622"/>
    <w:rsid w:val="002A6F8F"/>
    <w:rsid w:val="002B17E5"/>
    <w:rsid w:val="002C0EBF"/>
    <w:rsid w:val="002C28A4"/>
    <w:rsid w:val="002C4112"/>
    <w:rsid w:val="00315AFE"/>
    <w:rsid w:val="003606A6"/>
    <w:rsid w:val="0036650C"/>
    <w:rsid w:val="00393ACD"/>
    <w:rsid w:val="003A583E"/>
    <w:rsid w:val="003B1FCB"/>
    <w:rsid w:val="003E112B"/>
    <w:rsid w:val="003E1D1C"/>
    <w:rsid w:val="003E7B05"/>
    <w:rsid w:val="00466211"/>
    <w:rsid w:val="004834A9"/>
    <w:rsid w:val="00491748"/>
    <w:rsid w:val="004D01FC"/>
    <w:rsid w:val="004E28C3"/>
    <w:rsid w:val="004F1F8E"/>
    <w:rsid w:val="004F561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56A1B"/>
    <w:rsid w:val="00A606C3"/>
    <w:rsid w:val="00A7072E"/>
    <w:rsid w:val="00A83B09"/>
    <w:rsid w:val="00A84541"/>
    <w:rsid w:val="00AB6059"/>
    <w:rsid w:val="00AE36A0"/>
    <w:rsid w:val="00B00294"/>
    <w:rsid w:val="00B26431"/>
    <w:rsid w:val="00B46AFC"/>
    <w:rsid w:val="00B64FD0"/>
    <w:rsid w:val="00BA5BD0"/>
    <w:rsid w:val="00BB1D82"/>
    <w:rsid w:val="00BE5080"/>
    <w:rsid w:val="00BF26E7"/>
    <w:rsid w:val="00BF79AA"/>
    <w:rsid w:val="00C53FCA"/>
    <w:rsid w:val="00C62F77"/>
    <w:rsid w:val="00C76BAF"/>
    <w:rsid w:val="00C814B9"/>
    <w:rsid w:val="00CA0EFE"/>
    <w:rsid w:val="00CD516F"/>
    <w:rsid w:val="00D119A7"/>
    <w:rsid w:val="00D25FBA"/>
    <w:rsid w:val="00D32B28"/>
    <w:rsid w:val="00D42954"/>
    <w:rsid w:val="00D60C95"/>
    <w:rsid w:val="00D66EAC"/>
    <w:rsid w:val="00D730DF"/>
    <w:rsid w:val="00D772F0"/>
    <w:rsid w:val="00D77BDC"/>
    <w:rsid w:val="00DC402B"/>
    <w:rsid w:val="00DE0932"/>
    <w:rsid w:val="00DE37AF"/>
    <w:rsid w:val="00DE4334"/>
    <w:rsid w:val="00E03A27"/>
    <w:rsid w:val="00E049F1"/>
    <w:rsid w:val="00E37A25"/>
    <w:rsid w:val="00E40E48"/>
    <w:rsid w:val="00E537FF"/>
    <w:rsid w:val="00E57AD9"/>
    <w:rsid w:val="00E6539B"/>
    <w:rsid w:val="00E70A31"/>
    <w:rsid w:val="00E7391D"/>
    <w:rsid w:val="00EA3F38"/>
    <w:rsid w:val="00EA5AB6"/>
    <w:rsid w:val="00EC7615"/>
    <w:rsid w:val="00ED16AA"/>
    <w:rsid w:val="00EF662E"/>
    <w:rsid w:val="00F148F1"/>
    <w:rsid w:val="00F66F52"/>
    <w:rsid w:val="00FA3BBF"/>
    <w:rsid w:val="00FC3B12"/>
    <w:rsid w:val="00FC41F8"/>
    <w:rsid w:val="00FD117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AB9D267-B22D-4070-ACDC-D339EF30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C3B1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0DE9A1C-4B5C-4089-9359-E2A6720746EE}">
  <ds:schemaRefs>
    <ds:schemaRef ds:uri="32a1a8c5-2265-4ebc-b7a0-2071e2c5c9bb"/>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996b2e75-67fd-4955-a3b0-5ab9934cb50b"/>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8F1F4049-F617-45D2-9FDD-258D96AF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547</Words>
  <Characters>3051</Characters>
  <Application>Microsoft Office Word</Application>
  <DocSecurity>0</DocSecurity>
  <Lines>88</Lines>
  <Paragraphs>45</Paragraphs>
  <ScaleCrop>false</ScaleCrop>
  <HeadingPairs>
    <vt:vector size="2" baseType="variant">
      <vt:variant>
        <vt:lpstr>Title</vt:lpstr>
      </vt:variant>
      <vt:variant>
        <vt:i4>1</vt:i4>
      </vt:variant>
    </vt:vector>
  </HeadingPairs>
  <TitlesOfParts>
    <vt:vector size="1" baseType="lpstr">
      <vt:lpstr>R15-WRC15-C-0006!A4!MSW-F</vt:lpstr>
    </vt:vector>
  </TitlesOfParts>
  <Manager>Secrétariat général - Pool</Manager>
  <Company>Union internationale des télécommunications (UIT)</Company>
  <LinksUpToDate>false</LinksUpToDate>
  <CharactersWithSpaces>3563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R15-WRC15-C-0006!A4!MSW-F</dc:title>
  <dc:subject>Conférence mondiale des radiocommunications - 2015</dc:subject>
  <dc:creator>Documents Proposals Manager (DPM)</dc:creator>
  <cp:keywords>DPM_v5.2015.9.16_prod</cp:keywords>
  <dc:description/>
  <cp:lastModifiedBy>Royer, Veronique</cp:lastModifiedBy>
  <cp:revision>15</cp:revision>
  <cp:lastPrinted>2015-10-18T07:10:00Z</cp:lastPrinted>
  <dcterms:created xsi:type="dcterms:W3CDTF">2015-10-15T13:52:00Z</dcterms:created>
  <dcterms:modified xsi:type="dcterms:W3CDTF">2015-10-18T07:11:00Z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