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55"/>
        <w:gridCol w:w="3176"/>
      </w:tblGrid>
      <w:tr w:rsidR="0090121B" w:rsidRPr="0002785D" w:rsidTr="00005105">
        <w:trPr>
          <w:cantSplit/>
        </w:trPr>
        <w:tc>
          <w:tcPr>
            <w:tcW w:w="6855" w:type="dxa"/>
          </w:tcPr>
          <w:p w:rsidR="0090121B" w:rsidRPr="00544D29"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76"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443DB50" wp14:editId="1A41733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05105">
        <w:trPr>
          <w:cantSplit/>
        </w:trPr>
        <w:tc>
          <w:tcPr>
            <w:tcW w:w="6855"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76"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05105">
        <w:trPr>
          <w:cantSplit/>
        </w:trPr>
        <w:tc>
          <w:tcPr>
            <w:tcW w:w="685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76"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05105">
        <w:trPr>
          <w:cantSplit/>
        </w:trPr>
        <w:tc>
          <w:tcPr>
            <w:tcW w:w="6855"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76" w:type="dxa"/>
            <w:shd w:val="clear" w:color="auto" w:fill="auto"/>
          </w:tcPr>
          <w:p w:rsidR="0090121B" w:rsidRPr="00544D29" w:rsidRDefault="00AE658F" w:rsidP="0045384C">
            <w:pPr>
              <w:spacing w:before="0"/>
              <w:rPr>
                <w:rFonts w:ascii="Verdana" w:hAnsi="Verdana"/>
                <w:sz w:val="20"/>
              </w:rPr>
            </w:pPr>
            <w:r w:rsidRPr="00544D29">
              <w:rPr>
                <w:rFonts w:ascii="Verdana" w:eastAsia="SimSun" w:hAnsi="Verdana" w:cs="Traditional Arabic"/>
                <w:b/>
                <w:sz w:val="20"/>
              </w:rPr>
              <w:t>Addéndum 10 al</w:t>
            </w:r>
            <w:r w:rsidRPr="00544D29">
              <w:rPr>
                <w:rFonts w:ascii="Verdana" w:eastAsia="SimSun" w:hAnsi="Verdana" w:cs="Traditional Arabic"/>
                <w:b/>
                <w:sz w:val="20"/>
              </w:rPr>
              <w:br/>
              <w:t>Documento 7(Add.1)</w:t>
            </w:r>
            <w:r w:rsidR="0090121B" w:rsidRPr="00544D29">
              <w:rPr>
                <w:rFonts w:ascii="Verdana" w:hAnsi="Verdana"/>
                <w:b/>
                <w:sz w:val="20"/>
              </w:rPr>
              <w:t>-</w:t>
            </w:r>
            <w:r w:rsidRPr="00544D29">
              <w:rPr>
                <w:rFonts w:ascii="Verdana" w:hAnsi="Verdana"/>
                <w:b/>
                <w:sz w:val="20"/>
              </w:rPr>
              <w:t>S</w:t>
            </w:r>
          </w:p>
        </w:tc>
      </w:tr>
      <w:bookmarkEnd w:id="1"/>
      <w:tr w:rsidR="000A5B9A" w:rsidRPr="0002785D" w:rsidTr="00005105">
        <w:trPr>
          <w:cantSplit/>
        </w:trPr>
        <w:tc>
          <w:tcPr>
            <w:tcW w:w="6855" w:type="dxa"/>
            <w:shd w:val="clear" w:color="auto" w:fill="auto"/>
          </w:tcPr>
          <w:p w:rsidR="000A5B9A" w:rsidRPr="00544D29" w:rsidRDefault="000A5B9A" w:rsidP="0045384C">
            <w:pPr>
              <w:spacing w:before="0" w:after="48"/>
              <w:rPr>
                <w:rFonts w:ascii="Verdana" w:hAnsi="Verdana"/>
                <w:b/>
                <w:smallCaps/>
                <w:sz w:val="20"/>
              </w:rPr>
            </w:pPr>
          </w:p>
        </w:tc>
        <w:tc>
          <w:tcPr>
            <w:tcW w:w="3176"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005105">
        <w:trPr>
          <w:cantSplit/>
        </w:trPr>
        <w:tc>
          <w:tcPr>
            <w:tcW w:w="6855" w:type="dxa"/>
          </w:tcPr>
          <w:p w:rsidR="000A5B9A" w:rsidRPr="0002785D" w:rsidRDefault="000A5B9A" w:rsidP="0045384C">
            <w:pPr>
              <w:spacing w:before="0" w:after="48"/>
              <w:rPr>
                <w:rFonts w:ascii="Verdana" w:hAnsi="Verdana"/>
                <w:b/>
                <w:smallCaps/>
                <w:sz w:val="20"/>
                <w:lang w:val="en-US"/>
              </w:rPr>
            </w:pPr>
          </w:p>
        </w:tc>
        <w:tc>
          <w:tcPr>
            <w:tcW w:w="3176"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544D29" w:rsidRDefault="000A5B9A" w:rsidP="000A5B9A">
            <w:pPr>
              <w:pStyle w:val="Source"/>
            </w:pPr>
            <w:bookmarkStart w:id="2" w:name="dsource" w:colFirst="0" w:colLast="0"/>
            <w:r w:rsidRPr="00544D29">
              <w:t>Estados Miembros de la Comisión Interamericana de Telecomunicaciones (CITEL)</w:t>
            </w:r>
          </w:p>
        </w:tc>
      </w:tr>
      <w:tr w:rsidR="000A5B9A" w:rsidRPr="0002785D" w:rsidTr="0050008E">
        <w:trPr>
          <w:cantSplit/>
        </w:trPr>
        <w:tc>
          <w:tcPr>
            <w:tcW w:w="10031" w:type="dxa"/>
            <w:gridSpan w:val="2"/>
          </w:tcPr>
          <w:p w:rsidR="000A5B9A" w:rsidRPr="00544D29" w:rsidRDefault="000A5B9A" w:rsidP="000A5B9A">
            <w:pPr>
              <w:pStyle w:val="Title1"/>
            </w:pPr>
            <w:bookmarkStart w:id="3" w:name="dtitle1" w:colFirst="0" w:colLast="0"/>
            <w:bookmarkEnd w:id="2"/>
            <w:r w:rsidRPr="00544D29">
              <w:t>Propuestas para los trabajos de la Conferencia</w:t>
            </w:r>
          </w:p>
        </w:tc>
      </w:tr>
      <w:tr w:rsidR="000A5B9A" w:rsidRPr="0002785D" w:rsidTr="0050008E">
        <w:trPr>
          <w:cantSplit/>
        </w:trPr>
        <w:tc>
          <w:tcPr>
            <w:tcW w:w="10031" w:type="dxa"/>
            <w:gridSpan w:val="2"/>
          </w:tcPr>
          <w:p w:rsidR="000A5B9A" w:rsidRPr="00544D29"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4E62DD" w:rsidP="00C26A0A">
      <w:r w:rsidRPr="00211854">
        <w:t>1.1</w:t>
      </w:r>
      <w:r w:rsidRPr="00211854">
        <w:tab/>
      </w:r>
      <w:r w:rsidRPr="00211854">
        <w:t>examinar atribuciones adicionales de espectro al servicio móvil a título primario e identificar bandas de frecuencias adicionales para las telecomunicaciones móviles internacionales (IMT) así como las disposiciones transitorias conexas, para facilitar el d</w:t>
      </w:r>
      <w:r w:rsidRPr="00211854">
        <w:t xml:space="preserve">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63A65" w:rsidRDefault="00363A65" w:rsidP="009144C9"/>
    <w:p w:rsidR="006633AB" w:rsidRDefault="006633AB" w:rsidP="006633AB">
      <w:pPr>
        <w:pStyle w:val="Headingb"/>
      </w:pPr>
      <w:r>
        <w:t>Antecedentes</w:t>
      </w:r>
    </w:p>
    <w:p w:rsidR="006633AB" w:rsidRDefault="006633AB" w:rsidP="006633AB">
      <w:r>
        <w:t>Los estudios indican que la compartición entre el SETS (activo) y las RLAN en la banda 5</w:t>
      </w:r>
      <w:r>
        <w:t> </w:t>
      </w:r>
      <w:r>
        <w:t>350</w:t>
      </w:r>
      <w:r>
        <w:noBreakHyphen/>
      </w:r>
      <w:r>
        <w:t>5</w:t>
      </w:r>
      <w:r>
        <w:t> </w:t>
      </w:r>
      <w:r>
        <w:t>470 MHz sólo podría ser viable si se adoptan medidas de mitigación eficaces. En ese sentido, se presentaron al UIT-R estudios adicionales para examinar las posibles medidas de mitigación como la selección dinámica de frecuencias, la consulta de bases de datos y otras medidas para responder a la posible compartición entre el SETS (activo) y las RLAN. Hasta el momento no se han identificado medidas eficaces de mitigación. Se observa asimismo que el proyecto de texto de la RPC contiene solamente un único método de no hacer cambios para responder al punto del orden del día para la banda de frecuencias 5</w:t>
      </w:r>
      <w:r>
        <w:t> </w:t>
      </w:r>
      <w:r>
        <w:t>350-5</w:t>
      </w:r>
      <w:r>
        <w:t> </w:t>
      </w:r>
      <w:r>
        <w:t>470 MHz.</w:t>
      </w:r>
    </w:p>
    <w:p w:rsidR="006633AB" w:rsidRDefault="006633AB" w:rsidP="006633AB">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4E62DD" w:rsidP="00D44B91">
      <w:pPr>
        <w:pStyle w:val="ArtNo"/>
      </w:pPr>
      <w:r w:rsidRPr="00245062">
        <w:lastRenderedPageBreak/>
        <w:t xml:space="preserve">ARTÍCULO </w:t>
      </w:r>
      <w:r w:rsidRPr="00245062">
        <w:rPr>
          <w:rStyle w:val="href"/>
        </w:rPr>
        <w:t>5</w:t>
      </w:r>
    </w:p>
    <w:p w:rsidR="00F008F3" w:rsidRPr="00F63BD5" w:rsidRDefault="004E62DD" w:rsidP="00D44B91">
      <w:pPr>
        <w:pStyle w:val="Arttitle"/>
      </w:pPr>
      <w:r w:rsidRPr="00245062">
        <w:t>Atribuciones de frecuencia</w:t>
      </w:r>
    </w:p>
    <w:p w:rsidR="00F008F3" w:rsidRPr="00245062" w:rsidRDefault="004E62DD" w:rsidP="00417F4D">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C36B2" w:rsidRDefault="004E62DD">
      <w:pPr>
        <w:pStyle w:val="Proposal"/>
      </w:pPr>
      <w:r>
        <w:rPr>
          <w:u w:val="single"/>
        </w:rPr>
        <w:t>NOC</w:t>
      </w:r>
      <w:r w:rsidR="00544D29">
        <w:tab/>
        <w:t>IAP/7A1</w:t>
      </w:r>
      <w:r>
        <w:t>/17</w:t>
      </w:r>
    </w:p>
    <w:p w:rsidR="00F008F3" w:rsidRPr="004D72B7" w:rsidRDefault="004E62DD" w:rsidP="00F008F3">
      <w:pPr>
        <w:pStyle w:val="Tabletitle"/>
      </w:pPr>
      <w:r w:rsidRPr="004D72B7">
        <w:t>4</w:t>
      </w:r>
      <w:r w:rsidRPr="00F63BD5">
        <w:t> </w:t>
      </w:r>
      <w:r w:rsidRPr="004D72B7">
        <w:t>800-5</w:t>
      </w:r>
      <w:r w:rsidRPr="00F63BD5">
        <w:t> </w:t>
      </w:r>
      <w:r w:rsidRPr="004D72B7">
        <w:t>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4E62DD" w:rsidP="004C7C9D">
            <w:pPr>
              <w:pStyle w:val="Tablehead"/>
              <w:rPr>
                <w:color w:val="000000"/>
              </w:rPr>
            </w:pPr>
            <w:r w:rsidRPr="00245062">
              <w:rPr>
                <w:color w:val="000000"/>
              </w:rPr>
              <w:t>Atribución a los servicios</w:t>
            </w:r>
          </w:p>
        </w:tc>
      </w:tr>
      <w:tr w:rsidR="00F008F3" w:rsidRPr="0024506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4E62DD" w:rsidP="004C7C9D">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4E62DD" w:rsidP="004C7C9D">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4E62DD" w:rsidP="004C7C9D">
            <w:pPr>
              <w:pStyle w:val="Tablehead"/>
              <w:rPr>
                <w:color w:val="000000"/>
              </w:rPr>
            </w:pPr>
            <w:r w:rsidRPr="00245062">
              <w:rPr>
                <w:color w:val="000000"/>
              </w:rPr>
              <w:t>Región 3</w:t>
            </w:r>
          </w:p>
        </w:tc>
      </w:tr>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71678E" w:rsidRDefault="004E62DD" w:rsidP="004C7C9D">
            <w:pPr>
              <w:pStyle w:val="TableTextS5"/>
              <w:tabs>
                <w:tab w:val="clear" w:pos="170"/>
                <w:tab w:val="clear" w:pos="567"/>
                <w:tab w:val="clear" w:pos="737"/>
                <w:tab w:val="clear" w:pos="2977"/>
                <w:tab w:val="clear" w:pos="3266"/>
                <w:tab w:val="left" w:pos="3005"/>
              </w:tabs>
              <w:spacing w:before="14" w:after="14"/>
              <w:rPr>
                <w:rStyle w:val="Artref10pt"/>
              </w:rPr>
            </w:pPr>
            <w:r w:rsidRPr="00245062">
              <w:rPr>
                <w:rStyle w:val="Tablefreq"/>
              </w:rPr>
              <w:t>5 350-5 460</w:t>
            </w:r>
            <w:r w:rsidRPr="00245062">
              <w:rPr>
                <w:color w:val="000000"/>
              </w:rPr>
              <w:tab/>
              <w:t xml:space="preserve">EXPLORACIÓN DE LA TIERRA POR SATÉLITE (activo)  </w:t>
            </w:r>
            <w:r w:rsidRPr="0071678E">
              <w:rPr>
                <w:rStyle w:val="Artref10pt"/>
              </w:rPr>
              <w:t>5.448B</w:t>
            </w:r>
          </w:p>
          <w:p w:rsidR="00CD0AFB" w:rsidRPr="00245062" w:rsidRDefault="004E62DD" w:rsidP="00CD0AFB">
            <w:pPr>
              <w:pStyle w:val="TableTextS5"/>
              <w:tabs>
                <w:tab w:val="clear" w:pos="170"/>
                <w:tab w:val="clear" w:pos="567"/>
                <w:tab w:val="clear" w:pos="737"/>
                <w:tab w:val="clear" w:pos="2977"/>
                <w:tab w:val="clear" w:pos="3266"/>
                <w:tab w:val="left" w:pos="3005"/>
              </w:tabs>
              <w:spacing w:before="14" w:after="14"/>
              <w:rPr>
                <w:color w:val="000000"/>
              </w:rPr>
            </w:pPr>
            <w:r w:rsidRPr="00245062">
              <w:rPr>
                <w:rStyle w:val="Artref"/>
                <w:color w:val="000000"/>
              </w:rPr>
              <w:tab/>
            </w:r>
            <w:r w:rsidRPr="00245062">
              <w:rPr>
                <w:color w:val="000000"/>
              </w:rPr>
              <w:t xml:space="preserve">RADIOLOCALIZACIÓN  </w:t>
            </w:r>
            <w:r w:rsidRPr="00245062">
              <w:rPr>
                <w:rStyle w:val="Artref"/>
                <w:color w:val="000000"/>
              </w:rPr>
              <w:t>5.448D</w:t>
            </w:r>
          </w:p>
          <w:p w:rsidR="00CD0AFB" w:rsidRPr="00245062" w:rsidRDefault="004E62DD" w:rsidP="00CD0AFB">
            <w:pPr>
              <w:pStyle w:val="TableTextS5"/>
              <w:tabs>
                <w:tab w:val="clear" w:pos="170"/>
                <w:tab w:val="clear" w:pos="567"/>
                <w:tab w:val="clear" w:pos="737"/>
                <w:tab w:val="clear" w:pos="2977"/>
                <w:tab w:val="clear" w:pos="3266"/>
                <w:tab w:val="left" w:pos="3005"/>
              </w:tabs>
              <w:spacing w:before="14" w:after="14"/>
              <w:rPr>
                <w:color w:val="000000"/>
              </w:rPr>
            </w:pPr>
            <w:r w:rsidRPr="00245062">
              <w:rPr>
                <w:color w:val="000000"/>
              </w:rPr>
              <w:tab/>
              <w:t xml:space="preserve">RADIONAVEGACIÓN AERONÁUTICA  </w:t>
            </w:r>
            <w:r w:rsidRPr="00245062">
              <w:rPr>
                <w:rStyle w:val="Artref"/>
                <w:color w:val="000000"/>
              </w:rPr>
              <w:t>5.449</w:t>
            </w:r>
          </w:p>
          <w:p w:rsidR="00F008F3" w:rsidRPr="00245062" w:rsidRDefault="004E62DD" w:rsidP="00CD0AFB">
            <w:pPr>
              <w:pStyle w:val="TableTextS5"/>
              <w:tabs>
                <w:tab w:val="clear" w:pos="170"/>
                <w:tab w:val="clear" w:pos="567"/>
                <w:tab w:val="clear" w:pos="737"/>
                <w:tab w:val="clear" w:pos="2977"/>
                <w:tab w:val="clear" w:pos="3266"/>
                <w:tab w:val="left" w:pos="3005"/>
              </w:tabs>
              <w:spacing w:before="14" w:after="14"/>
              <w:rPr>
                <w:color w:val="000000"/>
              </w:rPr>
            </w:pPr>
            <w:r w:rsidRPr="00245062">
              <w:rPr>
                <w:color w:val="000000"/>
              </w:rPr>
              <w:tab/>
            </w:r>
            <w:r w:rsidRPr="00245062">
              <w:rPr>
                <w:color w:val="000000"/>
              </w:rPr>
              <w:t xml:space="preserve">INVESTIGACIÓN ESPACIAL (activo)  </w:t>
            </w:r>
            <w:r w:rsidRPr="00245062">
              <w:rPr>
                <w:rStyle w:val="Artref"/>
                <w:color w:val="000000"/>
              </w:rPr>
              <w:t>5.448C</w:t>
            </w:r>
          </w:p>
        </w:tc>
      </w:tr>
      <w:tr w:rsidR="00F008F3" w:rsidRPr="0024506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71678E" w:rsidRDefault="004E62DD" w:rsidP="004C7C9D">
            <w:pPr>
              <w:pStyle w:val="TableTextS5"/>
              <w:tabs>
                <w:tab w:val="clear" w:pos="170"/>
                <w:tab w:val="clear" w:pos="567"/>
                <w:tab w:val="clear" w:pos="737"/>
                <w:tab w:val="clear" w:pos="2977"/>
                <w:tab w:val="clear" w:pos="3266"/>
                <w:tab w:val="left" w:pos="3005"/>
              </w:tabs>
              <w:spacing w:before="14" w:after="14"/>
              <w:rPr>
                <w:rStyle w:val="Artref10pt"/>
              </w:rPr>
            </w:pPr>
            <w:r w:rsidRPr="00640906">
              <w:rPr>
                <w:rStyle w:val="Tablefreq"/>
              </w:rPr>
              <w:t>5 460-5 470</w:t>
            </w:r>
            <w:r w:rsidRPr="00640906">
              <w:rPr>
                <w:color w:val="000000"/>
              </w:rPr>
              <w:tab/>
              <w:t xml:space="preserve">RADIONAVEGACIÓN  </w:t>
            </w:r>
            <w:r w:rsidRPr="0071678E">
              <w:rPr>
                <w:rStyle w:val="Artref10pt"/>
              </w:rPr>
              <w:t>5.449</w:t>
            </w:r>
          </w:p>
          <w:p w:rsidR="00F008F3" w:rsidRPr="00640906" w:rsidRDefault="004E62DD" w:rsidP="004C7C9D">
            <w:pPr>
              <w:pStyle w:val="TableTextS5"/>
              <w:tabs>
                <w:tab w:val="clear" w:pos="170"/>
                <w:tab w:val="clear" w:pos="567"/>
                <w:tab w:val="clear" w:pos="737"/>
                <w:tab w:val="clear" w:pos="2977"/>
                <w:tab w:val="clear" w:pos="3266"/>
                <w:tab w:val="left" w:pos="3005"/>
              </w:tabs>
              <w:spacing w:before="14" w:after="14"/>
              <w:rPr>
                <w:color w:val="000000"/>
              </w:rPr>
            </w:pPr>
            <w:r w:rsidRPr="00640906">
              <w:rPr>
                <w:rStyle w:val="Artref"/>
                <w:color w:val="000000"/>
              </w:rPr>
              <w:tab/>
            </w:r>
            <w:r w:rsidRPr="00640906">
              <w:rPr>
                <w:color w:val="000000"/>
              </w:rPr>
              <w:t>EXPLORACIÓN DE LA TIERRA POR SATÉLITE (activo)</w:t>
            </w:r>
          </w:p>
          <w:p w:rsidR="00F008F3" w:rsidRPr="00640906" w:rsidRDefault="004E62DD" w:rsidP="004C7C9D">
            <w:pPr>
              <w:pStyle w:val="TableTextS5"/>
              <w:tabs>
                <w:tab w:val="clear" w:pos="170"/>
                <w:tab w:val="clear" w:pos="567"/>
                <w:tab w:val="clear" w:pos="737"/>
                <w:tab w:val="clear" w:pos="2977"/>
                <w:tab w:val="clear" w:pos="3266"/>
                <w:tab w:val="left" w:pos="3005"/>
              </w:tabs>
              <w:spacing w:before="14" w:after="14"/>
              <w:rPr>
                <w:color w:val="000000"/>
              </w:rPr>
            </w:pPr>
            <w:r w:rsidRPr="00640906">
              <w:rPr>
                <w:color w:val="000000"/>
              </w:rPr>
              <w:tab/>
              <w:t>INVESTIGACIÓN ESPACIAL (activo)</w:t>
            </w:r>
          </w:p>
          <w:p w:rsidR="00F008F3" w:rsidRPr="00640906" w:rsidRDefault="004E62DD" w:rsidP="004C7C9D">
            <w:pPr>
              <w:pStyle w:val="TableTextS5"/>
              <w:tabs>
                <w:tab w:val="clear" w:pos="170"/>
                <w:tab w:val="clear" w:pos="567"/>
                <w:tab w:val="clear" w:pos="737"/>
                <w:tab w:val="clear" w:pos="2977"/>
                <w:tab w:val="clear" w:pos="3266"/>
                <w:tab w:val="left" w:pos="3005"/>
              </w:tabs>
              <w:spacing w:before="14" w:after="14"/>
              <w:rPr>
                <w:color w:val="000000"/>
              </w:rPr>
            </w:pPr>
            <w:r w:rsidRPr="00640906">
              <w:rPr>
                <w:color w:val="000000"/>
              </w:rPr>
              <w:tab/>
              <w:t xml:space="preserve">RADIOLOCALIZACIÓN  </w:t>
            </w:r>
            <w:r w:rsidRPr="00640906">
              <w:rPr>
                <w:rStyle w:val="Artref"/>
                <w:color w:val="000000"/>
              </w:rPr>
              <w:t>5.448D</w:t>
            </w:r>
          </w:p>
          <w:p w:rsidR="00F008F3" w:rsidRPr="00640906" w:rsidRDefault="004E62DD" w:rsidP="004C7C9D">
            <w:pPr>
              <w:pStyle w:val="TableTextS5"/>
              <w:tabs>
                <w:tab w:val="clear" w:pos="170"/>
                <w:tab w:val="clear" w:pos="567"/>
                <w:tab w:val="clear" w:pos="737"/>
              </w:tabs>
              <w:spacing w:before="14" w:after="14"/>
              <w:rPr>
                <w:rStyle w:val="Artref"/>
                <w:color w:val="000000"/>
              </w:rPr>
            </w:pPr>
            <w:r w:rsidRPr="00640906">
              <w:rPr>
                <w:color w:val="000000"/>
              </w:rPr>
              <w:tab/>
            </w:r>
            <w:r w:rsidRPr="00640906">
              <w:rPr>
                <w:rStyle w:val="Artref"/>
                <w:color w:val="000000"/>
              </w:rPr>
              <w:t>5.448B</w:t>
            </w:r>
          </w:p>
        </w:tc>
      </w:tr>
    </w:tbl>
    <w:p w:rsidR="002C36B2" w:rsidRDefault="004E62DD" w:rsidP="006633AB">
      <w:pPr>
        <w:pStyle w:val="Reasons"/>
      </w:pPr>
      <w:r>
        <w:rPr>
          <w:b/>
        </w:rPr>
        <w:t>Motivos:</w:t>
      </w:r>
      <w:r>
        <w:tab/>
      </w:r>
      <w:r w:rsidR="006633AB" w:rsidRPr="006633AB">
        <w:t>No introducir cambios en el Cuadro de Atribución de Bandas de Frecuencias en la banda 5</w:t>
      </w:r>
      <w:r w:rsidR="006633AB">
        <w:t> </w:t>
      </w:r>
      <w:r w:rsidR="006633AB" w:rsidRPr="006633AB">
        <w:t>350-5</w:t>
      </w:r>
      <w:r w:rsidR="006633AB">
        <w:t> </w:t>
      </w:r>
      <w:r w:rsidR="006633AB" w:rsidRPr="006633AB">
        <w:t>470 MHz puesto que no se han identificado medidas eficaces de mitigación para permitir la compartición entre el SETS (activo) y las RLAN.</w:t>
      </w:r>
    </w:p>
    <w:p w:rsidR="00544D29" w:rsidRDefault="00544D29" w:rsidP="0032202E">
      <w:pPr>
        <w:pStyle w:val="Reasons"/>
      </w:pPr>
      <w:bookmarkStart w:id="6" w:name="_GoBack"/>
      <w:bookmarkEnd w:id="6"/>
    </w:p>
    <w:p w:rsidR="00544D29" w:rsidRDefault="00544D29">
      <w:pPr>
        <w:jc w:val="center"/>
      </w:pPr>
      <w:r>
        <w:t>______________</w:t>
      </w:r>
    </w:p>
    <w:sectPr w:rsidR="00544D2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E62DD">
      <w:rPr>
        <w:noProof/>
      </w:rPr>
      <w:t>13.10.15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44D29" w:rsidRDefault="00544D29" w:rsidP="00544D29">
    <w:pPr>
      <w:pStyle w:val="Footer"/>
    </w:pPr>
    <w:fldSimple w:instr=" FILENAME \p  \* MERGEFORMAT ">
      <w:r>
        <w:t>P:\ESP\ITU-R\CONF-R\CMR15\000\007ADD01ADD10S.docx</w:t>
      </w:r>
    </w:fldSimple>
    <w:r>
      <w:t xml:space="preserve"> (387582)</w:t>
    </w:r>
    <w:r>
      <w:tab/>
    </w:r>
    <w:r>
      <w:fldChar w:fldCharType="begin"/>
    </w:r>
    <w:r>
      <w:instrText xml:space="preserve"> SAVEDATE \@ DD.MM.YY </w:instrText>
    </w:r>
    <w:r>
      <w:fldChar w:fldCharType="separate"/>
    </w:r>
    <w:r w:rsidR="004E62DD">
      <w:t>13.10.15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44D29" w:rsidRDefault="00544D29" w:rsidP="00544D29">
    <w:pPr>
      <w:pStyle w:val="Footer"/>
    </w:pPr>
    <w:r>
      <w:fldChar w:fldCharType="begin"/>
    </w:r>
    <w:r>
      <w:instrText xml:space="preserve"> FILENAME \p  \* MERGEFORMAT </w:instrText>
    </w:r>
    <w:r>
      <w:fldChar w:fldCharType="separate"/>
    </w:r>
    <w:r>
      <w:t>P:\ESP\ITU-R\CONF-R\CMR15\000\007ADD01ADD10S.docx</w:t>
    </w:r>
    <w:r>
      <w:fldChar w:fldCharType="end"/>
    </w:r>
    <w:r>
      <w:t xml:space="preserve"> (387582)</w:t>
    </w:r>
    <w:r>
      <w:tab/>
    </w:r>
    <w:r>
      <w:fldChar w:fldCharType="begin"/>
    </w:r>
    <w:r>
      <w:instrText xml:space="preserve"> SAVEDATE \@ DD.MM.YY </w:instrText>
    </w:r>
    <w:r>
      <w:fldChar w:fldCharType="separate"/>
    </w:r>
    <w:r w:rsidR="004E62DD">
      <w:t>13.10.15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62DD">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105"/>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36B2"/>
    <w:rsid w:val="002C5D6C"/>
    <w:rsid w:val="002E701F"/>
    <w:rsid w:val="003248A9"/>
    <w:rsid w:val="00324FFA"/>
    <w:rsid w:val="0032680B"/>
    <w:rsid w:val="00363A65"/>
    <w:rsid w:val="003B1E8C"/>
    <w:rsid w:val="003C2508"/>
    <w:rsid w:val="003D0AA3"/>
    <w:rsid w:val="00440B3A"/>
    <w:rsid w:val="0045384C"/>
    <w:rsid w:val="00454553"/>
    <w:rsid w:val="004B124A"/>
    <w:rsid w:val="004E62DD"/>
    <w:rsid w:val="005133B5"/>
    <w:rsid w:val="00532097"/>
    <w:rsid w:val="00544D29"/>
    <w:rsid w:val="0058350F"/>
    <w:rsid w:val="00583C7E"/>
    <w:rsid w:val="005D46FB"/>
    <w:rsid w:val="005F2605"/>
    <w:rsid w:val="005F3B0E"/>
    <w:rsid w:val="005F559C"/>
    <w:rsid w:val="00662BA0"/>
    <w:rsid w:val="006633AB"/>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DCF438-278A-497E-9F4C-EDF6B0BF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R15-WRC15-C-0007!A1-A10!MSW-S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0E1DC76-1D3F-4C19-9B30-CECF0C730142}">
  <ds:schemaRefs>
    <ds:schemaRef ds:uri="http://purl.org/dc/terms/"/>
    <ds:schemaRef ds:uri="996b2e75-67fd-4955-a3b0-5ab9934cb50b"/>
    <ds:schemaRef ds:uri="http://purl.org/dc/dcmitype/"/>
    <ds:schemaRef ds:uri="http://schemas.microsoft.com/office/2006/documentManagement/types"/>
    <ds:schemaRef ds:uri="http://www.w3.org/XML/1998/namespace"/>
    <ds:schemaRef ds:uri="32a1a8c5-2265-4ebc-b7a0-2071e2c5c9bb"/>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2BAE372-52E6-4033-921E-38278CE8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338</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R15-WRC15-C-0007!A1-A10!MSW-S</vt:lpstr>
    </vt:vector>
  </TitlesOfParts>
  <Manager>Secretaría General - Pool</Manager>
  <Company>Unión Internacional de Telecomunicaciones (UIT)</Company>
  <LinksUpToDate>false</LinksUpToDate>
  <CharactersWithSpaces>2292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R15-WRC15-C-0007!A1-A10!MSW-S</dc:title>
  <dc:subject>Conferencia Mundial de Radiocomunicaciones - 2015</dc:subject>
  <dc:creator>Documents Proposals Manager (DPM)</dc:creator>
  <cp:keywords>DPM_v5.2015.10.8_prod</cp:keywords>
  <dc:description/>
  <cp:lastModifiedBy>Spanish</cp:lastModifiedBy>
  <cp:revision>3</cp:revision>
  <cp:lastPrinted>2003-02-19T20:20:00Z</cp:lastPrinted>
  <dcterms:created xsi:type="dcterms:W3CDTF">2015-10-13T09:20:00Z</dcterms:created>
  <dcterms:modified xsi:type="dcterms:W3CDTF">2015-10-13T09:47:00Z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