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2B0090"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C97642" w:rsidRDefault="00C97642" w:rsidP="008937F0">
      <w:pPr>
        <w:rPr>
          <w:lang w:val="en-US"/>
        </w:rPr>
      </w:pPr>
    </w:p>
    <w:p w:rsidR="00F72766" w:rsidRPr="00F72766" w:rsidRDefault="00F72766" w:rsidP="00F72766">
      <w:pPr>
        <w:pStyle w:val="Headingb"/>
        <w:rPr>
          <w:lang w:val="en-US"/>
        </w:rPr>
      </w:pPr>
      <w:r w:rsidRPr="00F72766">
        <w:rPr>
          <w:lang w:val="en-US"/>
        </w:rPr>
        <w:t>Background</w:t>
      </w:r>
    </w:p>
    <w:p w:rsidR="00F72766" w:rsidRPr="00E43E8D" w:rsidRDefault="00F72766" w:rsidP="00F72766">
      <w:pPr>
        <w:rPr>
          <w:lang w:eastAsia="x-none"/>
        </w:rPr>
      </w:pPr>
      <w:r w:rsidRPr="00E43E8D">
        <w:t>The 2012 World Radiocommunication Conference (WRC-12) recognized a need for additional radio spectrum to support the increasing mobile data traffic, and placed consideration of additional spectrum allocations for terrestrial mobile broadband applications on the agenda for WRC-15.</w:t>
      </w:r>
      <w:r w:rsidR="00C97642">
        <w:t xml:space="preserve"> </w:t>
      </w:r>
      <w:r w:rsidRPr="00E43E8D">
        <w:rPr>
          <w:lang w:eastAsia="x-none"/>
        </w:rPr>
        <w:t>Joint Task Group (JTG) 4-5-6-7 considered spectrum requirements for IMT/terrestrial mobile broadband applications and developed sharing and compatibility studies, taking into account protection requirements of other services from concerned ITU-R Working Parties.</w:t>
      </w:r>
    </w:p>
    <w:p w:rsidR="00F72766" w:rsidRPr="00E43E8D" w:rsidRDefault="00F72766" w:rsidP="009617EE">
      <w:r w:rsidRPr="00E43E8D">
        <w:t>The bands 1 164-1 215 MHz, 1 215-1 300 MHz and 1 559-1 610 MHz, are actively used for radionavigation-satellite services (RNSS) in all three ITU Regions.</w:t>
      </w:r>
      <w:r w:rsidR="00C97642">
        <w:t xml:space="preserve"> </w:t>
      </w:r>
      <w:r w:rsidRPr="00E43E8D">
        <w:t>Operators plan or currently operate several global and regional non-geostationary satellite RNSS systems, including GPS, GLONASS, Beidou, QZSS, Galileo, and IRNSS, as well as a number of geostationary-orbit satellite networks that provide space-based augmentation services within these bands.</w:t>
      </w:r>
      <w:r w:rsidR="00C97642">
        <w:t xml:space="preserve"> </w:t>
      </w:r>
      <w:r w:rsidRPr="00E43E8D">
        <w:t>Operators deploy RNSS receivers and applications by the hundreds of millions worldwide, and are pervasive in every facet of everyday life.</w:t>
      </w:r>
      <w:r w:rsidR="00C97642">
        <w:t xml:space="preserve"> </w:t>
      </w:r>
      <w:r w:rsidRPr="00E43E8D">
        <w:t>People use RNSS receivers for safety-of-life applications (including in the Global Navigation Satellite System (GNSS)) and other applications for precision surveying, construction, agriculture, and mining, environmental monitoring (including earthquake and tsunami monitoring)</w:t>
      </w:r>
      <w:r w:rsidR="002F08B5">
        <w:t>, precision timing applications</w:t>
      </w:r>
      <w:r w:rsidRPr="00E43E8D">
        <w:t xml:space="preserve"> </w:t>
      </w:r>
      <w:r w:rsidR="009617EE">
        <w:t xml:space="preserve">– </w:t>
      </w:r>
      <w:r w:rsidRPr="00E43E8D">
        <w:t>often within or in conjunction with mobile broadband devices and other handsets.</w:t>
      </w:r>
      <w:r w:rsidR="00C97642">
        <w:t xml:space="preserve"> </w:t>
      </w:r>
      <w:r w:rsidRPr="00E43E8D">
        <w:t>RNSS shares its allocations at 1</w:t>
      </w:r>
      <w:r w:rsidRPr="00E43E8D">
        <w:rPr>
          <w:b/>
        </w:rPr>
        <w:t> </w:t>
      </w:r>
      <w:r w:rsidRPr="00E43E8D">
        <w:t>559-1</w:t>
      </w:r>
      <w:r w:rsidRPr="00E43E8D">
        <w:rPr>
          <w:b/>
        </w:rPr>
        <w:t> </w:t>
      </w:r>
      <w:r w:rsidRPr="00E43E8D">
        <w:t>610 MHz and, 1</w:t>
      </w:r>
      <w:r w:rsidRPr="00E43E8D">
        <w:rPr>
          <w:b/>
        </w:rPr>
        <w:t> </w:t>
      </w:r>
      <w:r w:rsidRPr="00E43E8D">
        <w:t>164-1</w:t>
      </w:r>
      <w:r w:rsidRPr="00E43E8D">
        <w:rPr>
          <w:b/>
        </w:rPr>
        <w:t> </w:t>
      </w:r>
      <w:r w:rsidRPr="00E43E8D">
        <w:t>215</w:t>
      </w:r>
      <w:r w:rsidR="009617EE">
        <w:t> </w:t>
      </w:r>
      <w:r w:rsidRPr="00E43E8D">
        <w:t>MHz with the aeronautical radionavigation service (ARNS), which is a safety service.</w:t>
      </w:r>
    </w:p>
    <w:p w:rsidR="00F72766" w:rsidRPr="00E43E8D" w:rsidRDefault="00F72766" w:rsidP="00F72766">
      <w:pPr>
        <w:rPr>
          <w:bCs/>
        </w:rPr>
      </w:pPr>
      <w:r w:rsidRPr="00E43E8D">
        <w:t>There is a long history of protecting RNSS operations in the ITU.</w:t>
      </w:r>
      <w:r w:rsidR="00C97642">
        <w:t xml:space="preserve"> </w:t>
      </w:r>
      <w:r w:rsidRPr="00E43E8D">
        <w:t>Multiple RNSS systems and networks transmit signals around-the-clock across all three ITU Regions and radiate across the entire surface of the Earth.</w:t>
      </w:r>
      <w:r w:rsidR="00C97642">
        <w:t xml:space="preserve"> </w:t>
      </w:r>
      <w:r w:rsidRPr="00E43E8D">
        <w:t xml:space="preserve">RNSS systems and networks are operational at all times in all locations </w:t>
      </w:r>
      <w:r w:rsidRPr="00E43E8D">
        <w:lastRenderedPageBreak/>
        <w:t>on Earth.</w:t>
      </w:r>
      <w:r w:rsidR="00C97642">
        <w:t xml:space="preserve"> </w:t>
      </w:r>
      <w:r w:rsidRPr="00E43E8D">
        <w:t>RNSS signals, which are transmitted from RNSS satellite constellations, are very low-power and use spread-spectrum modulation techniques, which makes the signals difficult to detect. Special processing is required of RNSS receivers to detect and extract these low power signals from the background noise.</w:t>
      </w:r>
      <w:r w:rsidR="00C97642">
        <w:t xml:space="preserve"> </w:t>
      </w:r>
      <w:r w:rsidRPr="00E43E8D">
        <w:t>If a high-power signal in the same frequency band, or an adjacent band, is transmitted in proximity to a RNSS receiver, it could desensitize the RNSS receiver, including to the degree that the RNSS receiver is unable to extract the RNSS signal transmitted by the RNSS satellites.</w:t>
      </w:r>
    </w:p>
    <w:p w:rsidR="00F72766" w:rsidRPr="00E43E8D" w:rsidRDefault="00F72766" w:rsidP="009617EE">
      <w:r w:rsidRPr="00E43E8D">
        <w:t>Studies in the ITU in preparation for WRC-2000 concluded that even relatively weak signals from mobile-satellite service satellites in geostationary orbit would not be able to be provided on a co-frequency basis with the RNSS and ARNS in the 1 559-1 610 MHz band.</w:t>
      </w:r>
      <w:r w:rsidR="00C97642">
        <w:t xml:space="preserve"> </w:t>
      </w:r>
      <w:r w:rsidRPr="00E43E8D">
        <w:t>CPM-99 concluded, in Section 2.2.1.3 of the CPM Report for WRC-2000, that “although studies were not carried out on every different type of RNSS receiver used in all the numerous applications of RNSS, it was nevertheless possible to conclude that sharing between ARNS/R</w:t>
      </w:r>
      <w:r>
        <w:t>NSS and MSS (space-to-Earth) is</w:t>
      </w:r>
      <w:r w:rsidR="009617EE">
        <w:t xml:space="preserve"> </w:t>
      </w:r>
      <w:r w:rsidRPr="00E43E8D">
        <w:t>not feasible in any portion of the 1</w:t>
      </w:r>
      <w:r w:rsidRPr="00E43E8D">
        <w:rPr>
          <w:b/>
        </w:rPr>
        <w:t> </w:t>
      </w:r>
      <w:r w:rsidRPr="00E43E8D">
        <w:t>559-1</w:t>
      </w:r>
      <w:r w:rsidRPr="00E43E8D">
        <w:rPr>
          <w:b/>
        </w:rPr>
        <w:t> </w:t>
      </w:r>
      <w:r w:rsidRPr="00E43E8D">
        <w:t>567 MHz band.”</w:t>
      </w:r>
      <w:r w:rsidR="00C97642">
        <w:t xml:space="preserve"> </w:t>
      </w:r>
      <w:r>
        <w:t>WRC-2000 declined to add a co</w:t>
      </w:r>
      <w:r>
        <w:noBreakHyphen/>
      </w:r>
      <w:r w:rsidRPr="00E43E8D">
        <w:t>primary MSS allocation to a portion of the RNSS band.</w:t>
      </w:r>
      <w:r w:rsidR="00C97642">
        <w:t xml:space="preserve"> </w:t>
      </w:r>
      <w:r w:rsidRPr="00E43E8D">
        <w:t>To protect RNSS in the 1</w:t>
      </w:r>
      <w:r w:rsidRPr="00E43E8D">
        <w:rPr>
          <w:b/>
        </w:rPr>
        <w:t> </w:t>
      </w:r>
      <w:r w:rsidRPr="00E43E8D">
        <w:t>164-1</w:t>
      </w:r>
      <w:r w:rsidRPr="00E43E8D">
        <w:rPr>
          <w:b/>
        </w:rPr>
        <w:t> </w:t>
      </w:r>
      <w:r w:rsidRPr="00E43E8D">
        <w:t>215</w:t>
      </w:r>
      <w:r w:rsidR="009617EE">
        <w:t> </w:t>
      </w:r>
      <w:r w:rsidRPr="00E43E8D">
        <w:t xml:space="preserve">MHz band, WRC-12 modified Resolution </w:t>
      </w:r>
      <w:r w:rsidRPr="00F72766">
        <w:rPr>
          <w:bCs/>
        </w:rPr>
        <w:t>417</w:t>
      </w:r>
      <w:r w:rsidRPr="00E43E8D">
        <w:t xml:space="preserve"> to include strict power limits on high-powered terrestrial transmitters in the adjacent aeronautical radionavigation service band at 960-1</w:t>
      </w:r>
      <w:r w:rsidRPr="00E43E8D">
        <w:rPr>
          <w:b/>
        </w:rPr>
        <w:t> </w:t>
      </w:r>
      <w:r w:rsidRPr="00E43E8D">
        <w:t>164</w:t>
      </w:r>
      <w:r w:rsidR="009617EE">
        <w:t> </w:t>
      </w:r>
      <w:proofErr w:type="spellStart"/>
      <w:r w:rsidRPr="00E43E8D">
        <w:t>MHz.</w:t>
      </w:r>
      <w:proofErr w:type="spellEnd"/>
      <w:r w:rsidRPr="00E43E8D">
        <w:t xml:space="preserve"> </w:t>
      </w:r>
    </w:p>
    <w:p w:rsidR="00F72766" w:rsidRPr="00E43E8D" w:rsidRDefault="00F72766" w:rsidP="00F72766">
      <w:r w:rsidRPr="00E43E8D">
        <w:t xml:space="preserve">Although all the RNSS allocations are in bands that have </w:t>
      </w:r>
      <w:r w:rsidR="00C97642" w:rsidRPr="00E43E8D">
        <w:t>favourable</w:t>
      </w:r>
      <w:r w:rsidRPr="00E43E8D">
        <w:t xml:space="preserve"> propagation and other characteristics for terrestrial mobile broadband, the ITU did not study the u</w:t>
      </w:r>
      <w:r>
        <w:t>se of these or adjacent bands.</w:t>
      </w:r>
    </w:p>
    <w:p w:rsidR="00F72766" w:rsidRPr="00F72766" w:rsidRDefault="00F72766" w:rsidP="009617EE">
      <w:pPr>
        <w:rPr>
          <w:b/>
          <w:lang w:val="en-US"/>
        </w:rPr>
      </w:pPr>
      <w:r w:rsidRPr="00E43E8D">
        <w:t>Due to the vital and global role of the RNSS, the sensitive nature of RNSS receivers and previous in-band and adjacent band ITU-R studies showing the infeasibili</w:t>
      </w:r>
      <w:r>
        <w:t>ty of sharing/compatibility, no </w:t>
      </w:r>
      <w:r w:rsidRPr="00E43E8D">
        <w:t>allocation to the mobile service or identification for IMT should be considered in the bands 1</w:t>
      </w:r>
      <w:r w:rsidRPr="00E43E8D">
        <w:rPr>
          <w:b/>
        </w:rPr>
        <w:t> </w:t>
      </w:r>
      <w:r w:rsidRPr="00E43E8D">
        <w:t>164-1</w:t>
      </w:r>
      <w:r w:rsidRPr="00E43E8D">
        <w:rPr>
          <w:b/>
        </w:rPr>
        <w:t> </w:t>
      </w:r>
      <w:r w:rsidRPr="00E43E8D">
        <w:t>215 MHz, 1</w:t>
      </w:r>
      <w:r w:rsidRPr="00E43E8D">
        <w:rPr>
          <w:b/>
        </w:rPr>
        <w:t> </w:t>
      </w:r>
      <w:r w:rsidRPr="00E43E8D">
        <w:t>215-1</w:t>
      </w:r>
      <w:r w:rsidRPr="00E43E8D">
        <w:rPr>
          <w:b/>
        </w:rPr>
        <w:t> </w:t>
      </w:r>
      <w:r w:rsidRPr="00E43E8D">
        <w:t>300 MHz and 1</w:t>
      </w:r>
      <w:r w:rsidRPr="00E43E8D">
        <w:rPr>
          <w:b/>
        </w:rPr>
        <w:t> </w:t>
      </w:r>
      <w:r w:rsidRPr="00E43E8D">
        <w:t>559-1</w:t>
      </w:r>
      <w:r w:rsidRPr="00E43E8D">
        <w:rPr>
          <w:b/>
        </w:rPr>
        <w:t> </w:t>
      </w:r>
      <w:r w:rsidRPr="00E43E8D">
        <w:t>610 MHz. Furthermore, any proposed new use of a band adjacent to any of these RNSS bands would need to include regulations that would ensure that terrestrial mobile broadband systems did not cause harmful interference to RNSS receivers (e.g.</w:t>
      </w:r>
      <w:r w:rsidR="009617EE">
        <w:t> </w:t>
      </w:r>
      <w:proofErr w:type="spellStart"/>
      <w:r w:rsidRPr="00E43E8D">
        <w:t>guardbands</w:t>
      </w:r>
      <w:proofErr w:type="spellEnd"/>
      <w:r w:rsidRPr="00E43E8D">
        <w:t>, power limits, etc.)</w:t>
      </w:r>
    </w:p>
    <w:p w:rsidR="00F72766" w:rsidRPr="00C97642" w:rsidRDefault="00F72766" w:rsidP="00F72766">
      <w:pPr>
        <w:pStyle w:val="Headingb"/>
        <w:rPr>
          <w:lang w:val="en-GB"/>
        </w:rPr>
      </w:pPr>
      <w:r w:rsidRPr="00C97642">
        <w:rPr>
          <w:lang w:val="en-GB"/>
        </w:rPr>
        <w:t>Proposals</w:t>
      </w:r>
    </w:p>
    <w:p w:rsidR="00187BD9" w:rsidRPr="00F72766" w:rsidRDefault="00187BD9" w:rsidP="00187BD9">
      <w:pPr>
        <w:tabs>
          <w:tab w:val="clear" w:pos="1134"/>
          <w:tab w:val="clear" w:pos="1871"/>
          <w:tab w:val="clear" w:pos="2268"/>
        </w:tabs>
        <w:overflowPunct/>
        <w:autoSpaceDE/>
        <w:autoSpaceDN/>
        <w:adjustRightInd/>
        <w:spacing w:before="0"/>
        <w:textAlignment w:val="auto"/>
        <w:rPr>
          <w:lang w:val="en-US"/>
        </w:rPr>
      </w:pPr>
      <w:r w:rsidRPr="00F72766">
        <w:rPr>
          <w:lang w:val="en-US"/>
        </w:rPr>
        <w:br w:type="page"/>
      </w:r>
    </w:p>
    <w:p w:rsidR="009B463A" w:rsidRDefault="002B0090"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2B0090" w:rsidP="009B463A">
      <w:pPr>
        <w:pStyle w:val="Arttitle"/>
        <w:rPr>
          <w:lang w:val="en-US"/>
        </w:rPr>
      </w:pPr>
      <w:bookmarkStart w:id="10" w:name="_Toc327956583"/>
      <w:r w:rsidRPr="006D07BF">
        <w:t>Frequency</w:t>
      </w:r>
      <w:r>
        <w:t xml:space="preserve"> allocations</w:t>
      </w:r>
      <w:bookmarkEnd w:id="10"/>
    </w:p>
    <w:p w:rsidR="009B463A" w:rsidRPr="00B25B23" w:rsidRDefault="002B009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147F2" w:rsidRDefault="002B0090" w:rsidP="00F72766">
      <w:pPr>
        <w:pStyle w:val="Proposal"/>
      </w:pPr>
      <w:r>
        <w:rPr>
          <w:u w:val="single"/>
        </w:rPr>
        <w:t>NOC</w:t>
      </w:r>
      <w:r>
        <w:tab/>
        <w:t>IAP/7A1/2</w:t>
      </w:r>
    </w:p>
    <w:p w:rsidR="009B463A" w:rsidRPr="00D41CE2" w:rsidRDefault="002B0090" w:rsidP="009B463A">
      <w:pPr>
        <w:pStyle w:val="Tabletitle"/>
      </w:pPr>
      <w:r w:rsidRPr="00D41CE2">
        <w:t>890-1 300</w:t>
      </w:r>
      <w:r>
        <w:t>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D41CE2"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41CE2" w:rsidRDefault="002B0090" w:rsidP="00477577">
            <w:pPr>
              <w:pStyle w:val="Tablehead"/>
            </w:pPr>
            <w:r w:rsidRPr="00D41CE2">
              <w:t>Allocation to services</w:t>
            </w:r>
          </w:p>
        </w:tc>
      </w:tr>
      <w:tr w:rsidR="009B463A" w:rsidRPr="00D41CE2"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D41CE2" w:rsidRDefault="002B0090" w:rsidP="00477577">
            <w:pPr>
              <w:pStyle w:val="Tablehead"/>
            </w:pPr>
            <w:r w:rsidRPr="00D41CE2">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D41CE2" w:rsidRDefault="002B0090" w:rsidP="00477577">
            <w:pPr>
              <w:pStyle w:val="Tablehead"/>
            </w:pPr>
            <w:r w:rsidRPr="00D41CE2">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D41CE2" w:rsidRDefault="002B0090" w:rsidP="00477577">
            <w:pPr>
              <w:pStyle w:val="Tablehead"/>
            </w:pPr>
            <w:r w:rsidRPr="00D41CE2">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2B0090" w:rsidP="00477577">
            <w:pPr>
              <w:pStyle w:val="TableTextS5"/>
              <w:rPr>
                <w:color w:val="000000"/>
              </w:rPr>
            </w:pPr>
            <w:r w:rsidRPr="005279B9">
              <w:rPr>
                <w:rStyle w:val="Tablefreq"/>
              </w:rPr>
              <w:t>1 164-1 215</w:t>
            </w:r>
            <w:r>
              <w:rPr>
                <w:color w:val="000000"/>
              </w:rPr>
              <w:tab/>
              <w:t xml:space="preserve">AERONAUTICAL  RADIONAVIGATION  </w:t>
            </w:r>
            <w:r>
              <w:rPr>
                <w:rStyle w:val="Artref"/>
                <w:color w:val="000000"/>
                <w:lang w:val="en-AU"/>
              </w:rPr>
              <w:t>5.328</w:t>
            </w:r>
          </w:p>
          <w:p w:rsidR="009B463A" w:rsidRDefault="002B0090" w:rsidP="00477577">
            <w:pPr>
              <w:pStyle w:val="TableTextS5"/>
              <w:tabs>
                <w:tab w:val="clear" w:pos="170"/>
                <w:tab w:val="clear" w:pos="567"/>
                <w:tab w:val="clear" w:pos="737"/>
              </w:tabs>
              <w:rPr>
                <w:color w:val="000000"/>
                <w:lang w:val="en-AU"/>
              </w:rPr>
            </w:pPr>
            <w:r>
              <w:rPr>
                <w:color w:val="000000"/>
              </w:rPr>
              <w:tab/>
              <w:t xml:space="preserve">RADIONAVIGATION-SATELLITE (space-to-Earth) (space-to-space)  </w:t>
            </w:r>
            <w:r>
              <w:rPr>
                <w:color w:val="000000"/>
              </w:rPr>
              <w:tab/>
            </w:r>
            <w:r>
              <w:rPr>
                <w:color w:val="000000"/>
              </w:rPr>
              <w:tab/>
            </w:r>
            <w:r>
              <w:rPr>
                <w:rStyle w:val="Artref"/>
                <w:color w:val="000000"/>
                <w:lang w:val="en-AU"/>
              </w:rPr>
              <w:t>5.328B</w:t>
            </w:r>
          </w:p>
          <w:p w:rsidR="009B463A" w:rsidRDefault="002B0090" w:rsidP="00477577">
            <w:pPr>
              <w:pStyle w:val="TableTextS5"/>
              <w:tabs>
                <w:tab w:val="clear" w:pos="170"/>
                <w:tab w:val="clear" w:pos="567"/>
                <w:tab w:val="clear" w:pos="737"/>
              </w:tabs>
              <w:rPr>
                <w:rStyle w:val="Tablefreq"/>
                <w:color w:val="000000"/>
                <w:lang w:val="fr-FR"/>
              </w:rPr>
            </w:pPr>
            <w:r>
              <w:rPr>
                <w:color w:val="000000"/>
              </w:rPr>
              <w:tab/>
            </w:r>
            <w:r>
              <w:rPr>
                <w:rStyle w:val="Artref"/>
                <w:color w:val="000000"/>
              </w:rPr>
              <w:t>5.328A</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2B0090" w:rsidP="00477577">
            <w:pPr>
              <w:pStyle w:val="TableTextS5"/>
              <w:rPr>
                <w:color w:val="000000"/>
                <w:lang w:val="en-AU"/>
              </w:rPr>
            </w:pPr>
            <w:r w:rsidRPr="005279B9">
              <w:rPr>
                <w:rStyle w:val="Tablefreq"/>
              </w:rPr>
              <w:t>1 215-1 240</w:t>
            </w:r>
            <w:r>
              <w:rPr>
                <w:color w:val="000000"/>
                <w:lang w:val="en-AU"/>
              </w:rPr>
              <w:tab/>
              <w:t>EARTH EXPLORATION-SATELLITE (active)</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RADIOLOCATION</w:t>
            </w:r>
          </w:p>
          <w:p w:rsidR="009B463A" w:rsidRDefault="002B0090" w:rsidP="00477577">
            <w:pPr>
              <w:pStyle w:val="TableTextS5"/>
              <w:rPr>
                <w:color w:val="000000"/>
                <w:lang w:val="en-US"/>
              </w:rPr>
            </w:pPr>
            <w:r>
              <w:rPr>
                <w:color w:val="000000"/>
                <w:lang w:val="en-US"/>
              </w:rPr>
              <w:tab/>
            </w:r>
            <w:r>
              <w:rPr>
                <w:color w:val="000000"/>
                <w:lang w:val="en-US"/>
              </w:rPr>
              <w:tab/>
            </w:r>
            <w:r>
              <w:rPr>
                <w:color w:val="000000"/>
                <w:lang w:val="en-US"/>
              </w:rPr>
              <w:tab/>
            </w:r>
            <w:r>
              <w:rPr>
                <w:color w:val="000000"/>
                <w:lang w:val="en-US"/>
              </w:rPr>
              <w:tab/>
              <w:t xml:space="preserve">RADIONAVIGATION-SATELLITE (space-to-Earth) (space-to-space)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rStyle w:val="Artref"/>
                <w:color w:val="000000"/>
              </w:rPr>
              <w:t>5.328B</w:t>
            </w:r>
            <w:r>
              <w:rPr>
                <w:color w:val="000000"/>
              </w:rPr>
              <w:t xml:space="preserve">  </w:t>
            </w:r>
            <w:r>
              <w:rPr>
                <w:rStyle w:val="Artref"/>
                <w:color w:val="000000"/>
                <w:lang w:val="en-US"/>
              </w:rPr>
              <w:t>5.329</w:t>
            </w:r>
            <w:r>
              <w:rPr>
                <w:color w:val="000000"/>
              </w:rPr>
              <w:t xml:space="preserve">  </w:t>
            </w:r>
            <w:r>
              <w:rPr>
                <w:rStyle w:val="Artref"/>
                <w:color w:val="000000"/>
                <w:lang w:val="en-US"/>
              </w:rPr>
              <w:t>5.329A</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(active)</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5.330</w:t>
            </w:r>
            <w:r>
              <w:rPr>
                <w:color w:val="000000"/>
                <w:lang w:val="en-AU"/>
              </w:rPr>
              <w:t xml:space="preserve">  </w:t>
            </w:r>
            <w:r>
              <w:rPr>
                <w:rStyle w:val="Artref"/>
                <w:color w:val="000000"/>
                <w:lang w:val="en-AU"/>
              </w:rPr>
              <w:t>5.331</w:t>
            </w:r>
            <w:r>
              <w:rPr>
                <w:color w:val="000000"/>
                <w:lang w:val="en-AU"/>
              </w:rPr>
              <w:t xml:space="preserve">  </w:t>
            </w:r>
            <w:r>
              <w:rPr>
                <w:rStyle w:val="Artref"/>
                <w:color w:val="000000"/>
                <w:lang w:val="en-AU"/>
              </w:rPr>
              <w:t>5.332</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2B0090" w:rsidP="00477577">
            <w:pPr>
              <w:pStyle w:val="TableTextS5"/>
              <w:rPr>
                <w:color w:val="000000"/>
                <w:lang w:val="en-AU"/>
              </w:rPr>
            </w:pPr>
            <w:r w:rsidRPr="005279B9">
              <w:rPr>
                <w:rStyle w:val="Tablefreq"/>
              </w:rPr>
              <w:t>1 240-1 300</w:t>
            </w:r>
            <w:r>
              <w:rPr>
                <w:color w:val="000000"/>
                <w:lang w:val="en-AU"/>
              </w:rPr>
              <w:tab/>
              <w:t>EARTH EXPLORATION-SATELLITE (active)</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RADIOLOCATION</w:t>
            </w:r>
          </w:p>
          <w:p w:rsidR="009B463A" w:rsidRDefault="002B0090" w:rsidP="00477577">
            <w:pPr>
              <w:pStyle w:val="TableTextS5"/>
              <w:rPr>
                <w:color w:val="000000"/>
                <w:lang w:val="en-US"/>
              </w:rPr>
            </w:pPr>
            <w:r>
              <w:rPr>
                <w:color w:val="000000"/>
                <w:lang w:val="en-US"/>
              </w:rPr>
              <w:tab/>
            </w:r>
            <w:r>
              <w:rPr>
                <w:color w:val="000000"/>
                <w:lang w:val="en-US"/>
              </w:rPr>
              <w:tab/>
            </w:r>
            <w:r>
              <w:rPr>
                <w:color w:val="000000"/>
                <w:lang w:val="en-US"/>
              </w:rPr>
              <w:tab/>
            </w:r>
            <w:r>
              <w:rPr>
                <w:color w:val="000000"/>
                <w:lang w:val="en-US"/>
              </w:rPr>
              <w:tab/>
              <w:t xml:space="preserve">RADIONAVIGATION-SATELLITE  (space-to-Earth) (space-to-space)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rStyle w:val="Artref"/>
                <w:color w:val="000000"/>
              </w:rPr>
              <w:t>5.328B</w:t>
            </w:r>
            <w:r>
              <w:rPr>
                <w:color w:val="000000"/>
                <w:lang w:val="en-US"/>
              </w:rPr>
              <w:t xml:space="preserve">  </w:t>
            </w:r>
            <w:r>
              <w:rPr>
                <w:rStyle w:val="Artref"/>
                <w:color w:val="000000"/>
                <w:lang w:val="en-US"/>
              </w:rPr>
              <w:t>5.329</w:t>
            </w:r>
            <w:r>
              <w:rPr>
                <w:color w:val="000000"/>
              </w:rPr>
              <w:t xml:space="preserve">  </w:t>
            </w:r>
            <w:r>
              <w:rPr>
                <w:rStyle w:val="Artref"/>
                <w:color w:val="000000"/>
                <w:lang w:val="en-US"/>
              </w:rPr>
              <w:t>5.329A</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(active)</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Amateur</w:t>
            </w:r>
          </w:p>
          <w:p w:rsidR="009B463A" w:rsidRDefault="002B009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rPr>
              <w:t>5.282</w:t>
            </w:r>
            <w:r>
              <w:rPr>
                <w:color w:val="000000"/>
              </w:rPr>
              <w:t xml:space="preserve">  </w:t>
            </w:r>
            <w:r>
              <w:rPr>
                <w:rStyle w:val="Artref"/>
                <w:color w:val="000000"/>
              </w:rPr>
              <w:t>5.330</w:t>
            </w:r>
            <w:r>
              <w:rPr>
                <w:color w:val="000000"/>
              </w:rPr>
              <w:t xml:space="preserve">  </w:t>
            </w:r>
            <w:r>
              <w:rPr>
                <w:rStyle w:val="Artref"/>
                <w:color w:val="000000"/>
              </w:rPr>
              <w:t>5.331</w:t>
            </w:r>
            <w:r>
              <w:rPr>
                <w:color w:val="000000"/>
              </w:rPr>
              <w:t xml:space="preserve">  </w:t>
            </w:r>
            <w:r>
              <w:rPr>
                <w:rStyle w:val="Artref"/>
                <w:color w:val="000000"/>
              </w:rPr>
              <w:t>5.332</w:t>
            </w:r>
            <w:r>
              <w:rPr>
                <w:color w:val="000000"/>
              </w:rPr>
              <w:t xml:space="preserve">  </w:t>
            </w:r>
            <w:r>
              <w:rPr>
                <w:rStyle w:val="Artref"/>
                <w:color w:val="000000"/>
              </w:rPr>
              <w:t>5.335</w:t>
            </w:r>
            <w:r>
              <w:rPr>
                <w:color w:val="000000"/>
              </w:rPr>
              <w:t xml:space="preserve">  </w:t>
            </w:r>
            <w:r>
              <w:rPr>
                <w:rStyle w:val="Artref"/>
                <w:color w:val="000000"/>
              </w:rPr>
              <w:t>5.335A</w:t>
            </w:r>
          </w:p>
        </w:tc>
      </w:tr>
    </w:tbl>
    <w:p w:rsidR="003147F2" w:rsidRDefault="002B0090">
      <w:pPr>
        <w:pStyle w:val="Reasons"/>
      </w:pPr>
      <w:r>
        <w:rPr>
          <w:b/>
        </w:rPr>
        <w:t>Reasons:</w:t>
      </w:r>
      <w:r>
        <w:tab/>
      </w:r>
      <w:r w:rsidR="00F72766" w:rsidRPr="00E43E8D">
        <w:rPr>
          <w:bCs/>
          <w:szCs w:val="24"/>
        </w:rPr>
        <w:t>An allocation to the mobile service and designation for IMT should not be considered for the bands 1 164-1 215 MHz, 1 215-1 300 MHz and 1 559-1 610 MHz due to the incompatibility of RNSS with mobile services</w:t>
      </w:r>
      <w:r w:rsidR="00F72766" w:rsidRPr="007B3275">
        <w:rPr>
          <w:bCs/>
          <w:sz w:val="22"/>
          <w:szCs w:val="22"/>
        </w:rPr>
        <w:t>.</w:t>
      </w:r>
    </w:p>
    <w:p w:rsidR="003147F2" w:rsidRDefault="002B0090" w:rsidP="002B0090">
      <w:pPr>
        <w:pStyle w:val="Proposal"/>
      </w:pPr>
      <w:r>
        <w:rPr>
          <w:u w:val="single"/>
        </w:rPr>
        <w:t>NOC</w:t>
      </w:r>
      <w:r>
        <w:tab/>
        <w:t>IAP/7A1/3</w:t>
      </w:r>
    </w:p>
    <w:p w:rsidR="009B463A" w:rsidRDefault="002B0090" w:rsidP="00EB6F5E">
      <w:pPr>
        <w:pStyle w:val="Tabletitle"/>
        <w:keepLines w:val="0"/>
        <w:rPr>
          <w:lang w:val="en-AU"/>
        </w:rPr>
      </w:pPr>
      <w:r>
        <w:rPr>
          <w:lang w:val="en-AU"/>
        </w:rPr>
        <w:t>1</w:t>
      </w:r>
      <w:r w:rsidRPr="005B494F">
        <w:t> </w:t>
      </w:r>
      <w:r w:rsidRPr="000D6B03">
        <w:t>525</w:t>
      </w:r>
      <w:r>
        <w:rPr>
          <w:lang w:val="en-AU"/>
        </w:rPr>
        <w:t>-1</w:t>
      </w:r>
      <w:r w:rsidRPr="005B494F">
        <w:t> </w:t>
      </w:r>
      <w:r>
        <w:rPr>
          <w:lang w:val="en-AU"/>
        </w:rPr>
        <w:t>610 MHz</w:t>
      </w:r>
    </w:p>
    <w:tbl>
      <w:tblP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trPr>
        <w:tc>
          <w:tcPr>
            <w:tcW w:w="9304" w:type="dxa"/>
            <w:gridSpan w:val="3"/>
            <w:tcBorders>
              <w:top w:val="single" w:sz="4" w:space="0" w:color="auto"/>
              <w:left w:val="single" w:sz="6" w:space="0" w:color="auto"/>
              <w:bottom w:val="single" w:sz="4" w:space="0" w:color="auto"/>
              <w:right w:val="single" w:sz="6" w:space="0" w:color="auto"/>
            </w:tcBorders>
            <w:hideMark/>
          </w:tcPr>
          <w:p w:rsidR="009B463A" w:rsidRPr="002B657C" w:rsidRDefault="002B0090" w:rsidP="00477577">
            <w:pPr>
              <w:pStyle w:val="Tablehead"/>
            </w:pPr>
            <w:r w:rsidRPr="002B657C">
              <w:t>Allocation to services</w:t>
            </w:r>
          </w:p>
        </w:tc>
      </w:tr>
      <w:tr w:rsidR="009B463A" w:rsidTr="00477577">
        <w:trPr>
          <w:cantSplit/>
        </w:trPr>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2B0090"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2B0090" w:rsidP="00477577">
            <w:pPr>
              <w:pStyle w:val="Tablehead"/>
            </w:pPr>
            <w:r w:rsidRPr="002B657C">
              <w:t>Region 2</w:t>
            </w:r>
          </w:p>
        </w:tc>
        <w:tc>
          <w:tcPr>
            <w:tcW w:w="3102" w:type="dxa"/>
            <w:tcBorders>
              <w:top w:val="single" w:sz="4" w:space="0" w:color="auto"/>
              <w:left w:val="single" w:sz="6" w:space="0" w:color="auto"/>
              <w:bottom w:val="single" w:sz="4" w:space="0" w:color="auto"/>
              <w:right w:val="single" w:sz="6" w:space="0" w:color="auto"/>
            </w:tcBorders>
            <w:hideMark/>
          </w:tcPr>
          <w:p w:rsidR="009B463A" w:rsidRPr="002B657C" w:rsidRDefault="002B0090" w:rsidP="00477577">
            <w:pPr>
              <w:pStyle w:val="Tablehead"/>
            </w:pPr>
            <w:r w:rsidRPr="002B657C">
              <w:t>Region 3</w:t>
            </w:r>
          </w:p>
        </w:tc>
      </w:tr>
      <w:tr w:rsidR="009B463A" w:rsidTr="00477577">
        <w:trPr>
          <w:cantSplit/>
        </w:trPr>
        <w:tc>
          <w:tcPr>
            <w:tcW w:w="9304" w:type="dxa"/>
            <w:gridSpan w:val="3"/>
            <w:tcBorders>
              <w:top w:val="single" w:sz="6" w:space="0" w:color="auto"/>
              <w:left w:val="single" w:sz="6" w:space="0" w:color="auto"/>
              <w:bottom w:val="single" w:sz="6" w:space="0" w:color="auto"/>
              <w:right w:val="single" w:sz="6" w:space="0" w:color="auto"/>
            </w:tcBorders>
          </w:tcPr>
          <w:p w:rsidR="009B463A" w:rsidRPr="008A2589" w:rsidRDefault="002B0090" w:rsidP="00477577">
            <w:pPr>
              <w:pStyle w:val="TableTextS5"/>
              <w:tabs>
                <w:tab w:val="clear" w:pos="170"/>
                <w:tab w:val="clear" w:pos="567"/>
                <w:tab w:val="clear" w:pos="737"/>
              </w:tabs>
              <w:rPr>
                <w:color w:val="000000"/>
                <w:lang w:val="en-US"/>
              </w:rPr>
            </w:pPr>
            <w:r w:rsidRPr="005279B9">
              <w:rPr>
                <w:rStyle w:val="Tablefreq"/>
              </w:rPr>
              <w:t>1 559-1 610</w:t>
            </w:r>
            <w:r>
              <w:rPr>
                <w:color w:val="000000"/>
              </w:rPr>
              <w:tab/>
              <w:t>AERONAUTICAL RADIONAVIGATION</w:t>
            </w:r>
          </w:p>
          <w:p w:rsidR="009B463A" w:rsidRDefault="002B0090" w:rsidP="006E0D3A">
            <w:pPr>
              <w:pStyle w:val="TableTextS5"/>
              <w:tabs>
                <w:tab w:val="clear" w:pos="170"/>
                <w:tab w:val="clear" w:pos="567"/>
                <w:tab w:val="clear" w:pos="737"/>
              </w:tabs>
              <w:rPr>
                <w:color w:val="000000"/>
              </w:rPr>
            </w:pPr>
            <w:r>
              <w:rPr>
                <w:color w:val="000000"/>
              </w:rPr>
              <w:tab/>
              <w:t xml:space="preserve">RADIONAVIGATION-SATELLITE (space-to-Earth) (space-to-space)  </w:t>
            </w:r>
            <w:r>
              <w:rPr>
                <w:color w:val="000000"/>
              </w:rPr>
              <w:tab/>
            </w:r>
            <w:r w:rsidR="006E0D3A">
              <w:rPr>
                <w:color w:val="000000"/>
              </w:rPr>
              <w:tab/>
            </w:r>
            <w:r>
              <w:rPr>
                <w:color w:val="000000"/>
              </w:rPr>
              <w:t xml:space="preserve">5.208B  </w:t>
            </w:r>
            <w:r>
              <w:rPr>
                <w:rStyle w:val="Artref"/>
                <w:color w:val="000000"/>
              </w:rPr>
              <w:t>5.328B</w:t>
            </w:r>
            <w:r>
              <w:rPr>
                <w:color w:val="000000"/>
              </w:rPr>
              <w:t xml:space="preserve">  </w:t>
            </w:r>
            <w:r>
              <w:rPr>
                <w:rStyle w:val="Artref"/>
                <w:color w:val="000000"/>
              </w:rPr>
              <w:t>5.329A</w:t>
            </w:r>
          </w:p>
          <w:p w:rsidR="009B463A" w:rsidRPr="00F5119C" w:rsidRDefault="002B0090" w:rsidP="00477577">
            <w:pPr>
              <w:pStyle w:val="TableTextS5"/>
              <w:rPr>
                <w:rStyle w:val="Tablefreq"/>
              </w:rPr>
            </w:pPr>
            <w:r>
              <w:rPr>
                <w:color w:val="000000"/>
              </w:rPr>
              <w:tab/>
            </w:r>
            <w:r>
              <w:rPr>
                <w:color w:val="000000"/>
              </w:rPr>
              <w:tab/>
            </w:r>
            <w:r>
              <w:rPr>
                <w:color w:val="000000"/>
              </w:rPr>
              <w:tab/>
            </w:r>
            <w:r>
              <w:rPr>
                <w:color w:val="000000"/>
              </w:rPr>
              <w:tab/>
            </w:r>
            <w:r>
              <w:rPr>
                <w:rStyle w:val="Artref"/>
                <w:color w:val="000000"/>
              </w:rPr>
              <w:t>5.341</w:t>
            </w:r>
            <w:r>
              <w:rPr>
                <w:color w:val="000000"/>
              </w:rPr>
              <w:t xml:space="preserve">  </w:t>
            </w:r>
            <w:r>
              <w:rPr>
                <w:rStyle w:val="Artref"/>
                <w:color w:val="000000"/>
              </w:rPr>
              <w:t>5.362B</w:t>
            </w:r>
            <w:r>
              <w:rPr>
                <w:color w:val="000000"/>
              </w:rPr>
              <w:t xml:space="preserve">  </w:t>
            </w:r>
            <w:r>
              <w:rPr>
                <w:rStyle w:val="Artref"/>
                <w:color w:val="000000"/>
              </w:rPr>
              <w:t>5.362C</w:t>
            </w:r>
          </w:p>
        </w:tc>
      </w:tr>
    </w:tbl>
    <w:p w:rsidR="003147F2" w:rsidRDefault="002B0090">
      <w:pPr>
        <w:pStyle w:val="Reasons"/>
        <w:rPr>
          <w:szCs w:val="24"/>
        </w:rPr>
      </w:pPr>
      <w:r>
        <w:rPr>
          <w:b/>
        </w:rPr>
        <w:t>Reasons:</w:t>
      </w:r>
      <w:r>
        <w:tab/>
      </w:r>
      <w:r w:rsidR="00F72766" w:rsidRPr="00E43E8D">
        <w:rPr>
          <w:szCs w:val="24"/>
        </w:rPr>
        <w:t xml:space="preserve">To ensure the continued </w:t>
      </w:r>
      <w:bookmarkStart w:id="11" w:name="_GoBack"/>
      <w:bookmarkEnd w:id="11"/>
      <w:r w:rsidR="00F72766" w:rsidRPr="00E43E8D">
        <w:rPr>
          <w:szCs w:val="24"/>
        </w:rPr>
        <w:t>operation of RNSS systems around the world.</w:t>
      </w:r>
    </w:p>
    <w:p w:rsidR="00F72766" w:rsidRDefault="00F72766" w:rsidP="0032202E">
      <w:pPr>
        <w:pStyle w:val="Reasons"/>
      </w:pPr>
    </w:p>
    <w:p w:rsidR="00F72766" w:rsidRDefault="00F72766">
      <w:pPr>
        <w:jc w:val="center"/>
      </w:pPr>
      <w:r>
        <w:t>______________</w:t>
      </w:r>
    </w:p>
    <w:sectPr w:rsidR="00F7276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0090">
      <w:rPr>
        <w:noProof/>
        <w:lang w:val="en-US"/>
      </w:rPr>
      <w:t>Y:\APP\BR\POOL\WRC-15\DOC (Contributions)\1-100\007ADD01ADD02E.docx</w:t>
    </w:r>
    <w:r>
      <w:fldChar w:fldCharType="end"/>
    </w:r>
    <w:r w:rsidRPr="0041348E">
      <w:rPr>
        <w:lang w:val="en-US"/>
      </w:rPr>
      <w:tab/>
    </w:r>
    <w:r>
      <w:fldChar w:fldCharType="begin"/>
    </w:r>
    <w:r>
      <w:instrText xml:space="preserve"> SAVEDATE \@ DD.MM.YY </w:instrText>
    </w:r>
    <w:r>
      <w:fldChar w:fldCharType="separate"/>
    </w:r>
    <w:r w:rsidR="009617EE">
      <w:rPr>
        <w:noProof/>
      </w:rPr>
      <w:t>07.10.15</w:t>
    </w:r>
    <w:r>
      <w:fldChar w:fldCharType="end"/>
    </w:r>
    <w:r w:rsidRPr="0041348E">
      <w:rPr>
        <w:lang w:val="en-US"/>
      </w:rPr>
      <w:tab/>
    </w:r>
    <w:r>
      <w:fldChar w:fldCharType="begin"/>
    </w:r>
    <w:r>
      <w:instrText xml:space="preserve"> PRINTDATE \@ DD.MM.YY </w:instrText>
    </w:r>
    <w:r>
      <w:fldChar w:fldCharType="separate"/>
    </w:r>
    <w:r w:rsidR="002B0090">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2" w:rsidRPr="0041348E" w:rsidRDefault="00C97642" w:rsidP="00C9764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P:\ENG\ITU-R\CONF-R\CMR15\000\007ADD01ADD02E.docx</w:t>
    </w:r>
    <w:r>
      <w:fldChar w:fldCharType="end"/>
    </w:r>
    <w:r>
      <w:t xml:space="preserve"> (387574)</w:t>
    </w:r>
    <w:r w:rsidRPr="0041348E">
      <w:rPr>
        <w:lang w:val="en-US"/>
      </w:rPr>
      <w:tab/>
    </w:r>
    <w:r>
      <w:fldChar w:fldCharType="begin"/>
    </w:r>
    <w:r>
      <w:instrText xml:space="preserve"> SAVEDATE \@ DD.MM.YY </w:instrText>
    </w:r>
    <w:r>
      <w:fldChar w:fldCharType="separate"/>
    </w:r>
    <w:r w:rsidR="009617EE">
      <w:t>07.10.15</w:t>
    </w:r>
    <w:r>
      <w:fldChar w:fldCharType="end"/>
    </w:r>
    <w:r w:rsidRPr="0041348E">
      <w:rPr>
        <w:lang w:val="en-US"/>
      </w:rPr>
      <w:tab/>
    </w:r>
    <w:r>
      <w:fldChar w:fldCharType="begin"/>
    </w:r>
    <w:r>
      <w:instrText xml:space="preserve"> PRINTDATE \@ DD.MM.YY </w:instrText>
    </w:r>
    <w:r>
      <w:fldChar w:fldCharType="separate"/>
    </w:r>
    <w:r>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97642">
      <w:rPr>
        <w:lang w:val="en-US"/>
      </w:rPr>
      <w:t>P:\ENG\ITU-R\CONF-R\CMR15\000\007ADD01ADD02E.docx</w:t>
    </w:r>
    <w:r>
      <w:fldChar w:fldCharType="end"/>
    </w:r>
    <w:r w:rsidR="00C97642">
      <w:t xml:space="preserve"> (387574)</w:t>
    </w:r>
    <w:r w:rsidRPr="0041348E">
      <w:rPr>
        <w:lang w:val="en-US"/>
      </w:rPr>
      <w:tab/>
    </w:r>
    <w:r>
      <w:fldChar w:fldCharType="begin"/>
    </w:r>
    <w:r>
      <w:instrText xml:space="preserve"> SAVEDATE \@ DD.MM.YY </w:instrText>
    </w:r>
    <w:r>
      <w:fldChar w:fldCharType="separate"/>
    </w:r>
    <w:r w:rsidR="009617EE">
      <w:t>07.10.15</w:t>
    </w:r>
    <w:r>
      <w:fldChar w:fldCharType="end"/>
    </w:r>
    <w:r w:rsidRPr="0041348E">
      <w:rPr>
        <w:lang w:val="en-US"/>
      </w:rPr>
      <w:tab/>
    </w:r>
    <w:r>
      <w:fldChar w:fldCharType="begin"/>
    </w:r>
    <w:r>
      <w:instrText xml:space="preserve"> PRINTDATE \@ DD.MM.YY </w:instrText>
    </w:r>
    <w:r>
      <w:fldChar w:fldCharType="separate"/>
    </w:r>
    <w:r w:rsidR="002B0090">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617EE">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0090"/>
    <w:rsid w:val="002B349C"/>
    <w:rsid w:val="002D58BE"/>
    <w:rsid w:val="002F08B5"/>
    <w:rsid w:val="003147F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0D3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937F0"/>
    <w:rsid w:val="008B43F2"/>
    <w:rsid w:val="008B6CFF"/>
    <w:rsid w:val="008D5782"/>
    <w:rsid w:val="009274B4"/>
    <w:rsid w:val="00934EA2"/>
    <w:rsid w:val="00944A5C"/>
    <w:rsid w:val="00952A66"/>
    <w:rsid w:val="009617EE"/>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642"/>
    <w:rsid w:val="00C97C68"/>
    <w:rsid w:val="00CA1A47"/>
    <w:rsid w:val="00CB44E5"/>
    <w:rsid w:val="00CC247A"/>
    <w:rsid w:val="00CE388F"/>
    <w:rsid w:val="00CE5E47"/>
    <w:rsid w:val="00CF020F"/>
    <w:rsid w:val="00CF2B5B"/>
    <w:rsid w:val="00D14CE0"/>
    <w:rsid w:val="00D268B3"/>
    <w:rsid w:val="00D362D5"/>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7276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B4F138-E68A-4BD3-8B22-61988C9F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1FE525D3-6CA7-4171-8678-E6FD71D2BA44}">
  <ds:schemaRefs>
    <ds:schemaRef ds:uri="http://schemas.microsoft.com/office/2006/documentManagement/types"/>
    <ds:schemaRef ds:uri="http://purl.org/dc/elements/1.1/"/>
    <ds:schemaRef ds:uri="http://purl.org/dc/dcmitype/"/>
    <ds:schemaRef ds:uri="http://purl.org/dc/terms/"/>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78EF82-A1DD-4FD6-8D26-9F047E5A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3</Pages>
  <Words>897</Words>
  <Characters>5412</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R15-WRC15-C-0007!A1-A2!MSW-E</vt:lpstr>
    </vt:vector>
  </TitlesOfParts>
  <Manager>General Secretariat - Pool</Manager>
  <Company>International Telecommunication Union (ITU)</Company>
  <LinksUpToDate>false</LinksUpToDate>
  <CharactersWithSpaces>6263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R15-WRC15-C-0007!A1-A2!MSW-E</dc:title>
  <dc:subject>World Radiocommunication Conference - 2015</dc:subject>
  <dc:creator>Documents Proposals Manager (DPM)</dc:creator>
  <cp:keywords>DPM_v5.2015.9.16_prod</cp:keywords>
  <dc:description>Uploaded on 2015.07.06</dc:description>
  <cp:lastModifiedBy>Turnbull, Karen</cp:lastModifiedBy>
  <cp:revision>7</cp:revision>
  <cp:lastPrinted>2015-10-05T14:29:00Z</cp:lastPrinted>
  <dcterms:created xsi:type="dcterms:W3CDTF">2015-10-07T08:43:00Z</dcterms:created>
  <dcterms:modified xsi:type="dcterms:W3CDTF">2015-10-09T09:53:00Z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