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17"/>
        <w:gridCol w:w="3214"/>
      </w:tblGrid>
      <w:tr w:rsidR="0090121B" w:rsidRPr="0002785D" w:rsidTr="00681F4B">
        <w:trPr>
          <w:cantSplit/>
        </w:trPr>
        <w:tc>
          <w:tcPr>
            <w:tcW w:w="6817" w:type="dxa"/>
          </w:tcPr>
          <w:p w:rsidR="0090121B" w:rsidRPr="00571523"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214"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009F5181" wp14:editId="7B06854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681F4B">
        <w:trPr>
          <w:cantSplit/>
        </w:trPr>
        <w:tc>
          <w:tcPr>
            <w:tcW w:w="6817"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214"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681F4B">
        <w:trPr>
          <w:cantSplit/>
        </w:trPr>
        <w:tc>
          <w:tcPr>
            <w:tcW w:w="6817"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214"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681F4B">
        <w:trPr>
          <w:cantSplit/>
        </w:trPr>
        <w:tc>
          <w:tcPr>
            <w:tcW w:w="6817"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214" w:type="dxa"/>
            <w:shd w:val="clear" w:color="auto" w:fill="auto"/>
          </w:tcPr>
          <w:p w:rsidR="0090121B" w:rsidRPr="00571523" w:rsidRDefault="00AE658F" w:rsidP="0045384C">
            <w:pPr>
              <w:spacing w:before="0"/>
              <w:rPr>
                <w:rFonts w:ascii="Verdana" w:hAnsi="Verdana"/>
                <w:sz w:val="20"/>
              </w:rPr>
            </w:pPr>
            <w:r w:rsidRPr="00571523">
              <w:rPr>
                <w:rFonts w:ascii="Verdana" w:eastAsia="SimSun" w:hAnsi="Verdana" w:cs="Traditional Arabic"/>
                <w:b/>
                <w:sz w:val="20"/>
              </w:rPr>
              <w:t>Addéndum 4 al</w:t>
            </w:r>
            <w:r w:rsidRPr="00571523">
              <w:rPr>
                <w:rFonts w:ascii="Verdana" w:eastAsia="SimSun" w:hAnsi="Verdana" w:cs="Traditional Arabic"/>
                <w:b/>
                <w:sz w:val="20"/>
              </w:rPr>
              <w:br/>
              <w:t>Documento 7(Add.1)</w:t>
            </w:r>
            <w:r w:rsidR="0090121B" w:rsidRPr="00571523">
              <w:rPr>
                <w:rFonts w:ascii="Verdana" w:hAnsi="Verdana"/>
                <w:b/>
                <w:sz w:val="20"/>
              </w:rPr>
              <w:t>-</w:t>
            </w:r>
            <w:r w:rsidRPr="00571523">
              <w:rPr>
                <w:rFonts w:ascii="Verdana" w:hAnsi="Verdana"/>
                <w:b/>
                <w:sz w:val="20"/>
              </w:rPr>
              <w:t>S</w:t>
            </w:r>
          </w:p>
        </w:tc>
      </w:tr>
      <w:bookmarkEnd w:id="1"/>
      <w:tr w:rsidR="000A5B9A" w:rsidRPr="0002785D" w:rsidTr="00681F4B">
        <w:trPr>
          <w:cantSplit/>
        </w:trPr>
        <w:tc>
          <w:tcPr>
            <w:tcW w:w="6817" w:type="dxa"/>
            <w:shd w:val="clear" w:color="auto" w:fill="auto"/>
          </w:tcPr>
          <w:p w:rsidR="000A5B9A" w:rsidRPr="00571523" w:rsidRDefault="000A5B9A" w:rsidP="0045384C">
            <w:pPr>
              <w:spacing w:before="0" w:after="48"/>
              <w:rPr>
                <w:rFonts w:ascii="Verdana" w:hAnsi="Verdana"/>
                <w:b/>
                <w:smallCaps/>
                <w:sz w:val="20"/>
              </w:rPr>
            </w:pPr>
          </w:p>
        </w:tc>
        <w:tc>
          <w:tcPr>
            <w:tcW w:w="3214"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29 de septiembre de 2015</w:t>
            </w:r>
          </w:p>
        </w:tc>
      </w:tr>
      <w:tr w:rsidR="000A5B9A" w:rsidRPr="0002785D" w:rsidTr="00681F4B">
        <w:trPr>
          <w:cantSplit/>
        </w:trPr>
        <w:tc>
          <w:tcPr>
            <w:tcW w:w="6817" w:type="dxa"/>
          </w:tcPr>
          <w:p w:rsidR="000A5B9A" w:rsidRPr="0002785D" w:rsidRDefault="000A5B9A" w:rsidP="0045384C">
            <w:pPr>
              <w:spacing w:before="0" w:after="48"/>
              <w:rPr>
                <w:rFonts w:ascii="Verdana" w:hAnsi="Verdana"/>
                <w:b/>
                <w:smallCaps/>
                <w:sz w:val="20"/>
                <w:lang w:val="en-US"/>
              </w:rPr>
            </w:pPr>
          </w:p>
        </w:tc>
        <w:tc>
          <w:tcPr>
            <w:tcW w:w="3214"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571523" w:rsidRDefault="000A5B9A" w:rsidP="000A5B9A">
            <w:pPr>
              <w:pStyle w:val="Source"/>
            </w:pPr>
            <w:bookmarkStart w:id="2" w:name="dsource" w:colFirst="0" w:colLast="0"/>
            <w:r w:rsidRPr="00571523">
              <w:t>Estados Miembros de la Comisión Interamericana de Telecomunicaciones (CITEL)</w:t>
            </w:r>
          </w:p>
        </w:tc>
      </w:tr>
      <w:tr w:rsidR="000A5B9A" w:rsidRPr="0002785D" w:rsidTr="0050008E">
        <w:trPr>
          <w:cantSplit/>
        </w:trPr>
        <w:tc>
          <w:tcPr>
            <w:tcW w:w="10031" w:type="dxa"/>
            <w:gridSpan w:val="2"/>
          </w:tcPr>
          <w:p w:rsidR="000A5B9A" w:rsidRPr="00571523" w:rsidRDefault="00571523" w:rsidP="000A5B9A">
            <w:pPr>
              <w:pStyle w:val="Title1"/>
            </w:pPr>
            <w:bookmarkStart w:id="3" w:name="dtitle1" w:colFirst="0" w:colLast="0"/>
            <w:bookmarkEnd w:id="2"/>
            <w:r w:rsidRPr="00571523">
              <w:t>Propuestas para los trabajos de la Conferencia</w:t>
            </w:r>
          </w:p>
        </w:tc>
      </w:tr>
      <w:tr w:rsidR="000A5B9A" w:rsidRPr="0002785D" w:rsidTr="0050008E">
        <w:trPr>
          <w:cantSplit/>
        </w:trPr>
        <w:tc>
          <w:tcPr>
            <w:tcW w:w="10031" w:type="dxa"/>
            <w:gridSpan w:val="2"/>
          </w:tcPr>
          <w:p w:rsidR="000A5B9A" w:rsidRPr="00571523"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1.1 del orden del día</w:t>
            </w:r>
          </w:p>
        </w:tc>
      </w:tr>
    </w:tbl>
    <w:bookmarkEnd w:id="5"/>
    <w:p w:rsidR="001C0E40" w:rsidRDefault="004A6B5F" w:rsidP="00C26A0A">
      <w:r w:rsidRPr="00211854">
        <w:t>1.1</w:t>
      </w:r>
      <w:r w:rsidRPr="00211854">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211854">
        <w:rPr>
          <w:b/>
          <w:bCs/>
        </w:rPr>
        <w:t>233 (CMR</w:t>
      </w:r>
      <w:r>
        <w:rPr>
          <w:b/>
          <w:bCs/>
        </w:rPr>
        <w:noBreakHyphen/>
      </w:r>
      <w:r w:rsidRPr="00211854">
        <w:rPr>
          <w:b/>
          <w:bCs/>
        </w:rPr>
        <w:t>12)</w:t>
      </w:r>
      <w:r w:rsidRPr="00211854">
        <w:t>;</w:t>
      </w:r>
    </w:p>
    <w:p w:rsidR="003C0132" w:rsidRPr="00C26A0A" w:rsidRDefault="003C0132" w:rsidP="00C26A0A"/>
    <w:p w:rsidR="00571523" w:rsidRPr="00836FBB" w:rsidRDefault="00571523" w:rsidP="00836FBB">
      <w:pPr>
        <w:pStyle w:val="headingb0"/>
      </w:pPr>
      <w:r w:rsidRPr="00836FBB">
        <w:t>Antecedentes</w:t>
      </w:r>
    </w:p>
    <w:p w:rsidR="00571523" w:rsidRPr="00455E68" w:rsidRDefault="00571523" w:rsidP="00783F4B">
      <w:pPr>
        <w:spacing w:before="240"/>
        <w:ind w:right="102"/>
        <w:rPr>
          <w:szCs w:val="24"/>
          <w:lang w:val="es-UY"/>
        </w:rPr>
      </w:pPr>
      <w:r w:rsidRPr="00455E68">
        <w:rPr>
          <w:szCs w:val="24"/>
          <w:lang w:val="es-UY"/>
        </w:rPr>
        <w:t>La banda 1</w:t>
      </w:r>
      <w:r w:rsidR="00783F4B">
        <w:rPr>
          <w:szCs w:val="24"/>
          <w:lang w:val="es-UY"/>
        </w:rPr>
        <w:t> </w:t>
      </w:r>
      <w:r w:rsidRPr="00455E68">
        <w:rPr>
          <w:szCs w:val="24"/>
          <w:lang w:val="es-UY"/>
        </w:rPr>
        <w:t>435 MHz – 1</w:t>
      </w:r>
      <w:r w:rsidR="00783F4B">
        <w:rPr>
          <w:szCs w:val="24"/>
          <w:lang w:val="es-UY"/>
        </w:rPr>
        <w:t> </w:t>
      </w:r>
      <w:r w:rsidRPr="00455E68">
        <w:rPr>
          <w:szCs w:val="24"/>
          <w:lang w:val="es-UY"/>
        </w:rPr>
        <w:t>525 MHz (y sus</w:t>
      </w:r>
      <w:r w:rsidR="008160A2">
        <w:rPr>
          <w:szCs w:val="24"/>
          <w:lang w:val="es-UY"/>
        </w:rPr>
        <w:t xml:space="preserve"> </w:t>
      </w:r>
      <w:r w:rsidRPr="00455E68">
        <w:rPr>
          <w:szCs w:val="24"/>
          <w:lang w:val="es-UY"/>
        </w:rPr>
        <w:t xml:space="preserve">sub conjuntos de bandas) ha sido identificada como </w:t>
      </w:r>
      <w:r w:rsidR="008160A2">
        <w:rPr>
          <w:szCs w:val="24"/>
          <w:lang w:val="es-UY"/>
        </w:rPr>
        <w:t>«</w:t>
      </w:r>
      <w:r w:rsidRPr="00455E68">
        <w:rPr>
          <w:szCs w:val="24"/>
          <w:lang w:val="es-UY"/>
        </w:rPr>
        <w:t>un idóneo rango de frecuencias</w:t>
      </w:r>
      <w:r w:rsidR="008160A2">
        <w:rPr>
          <w:szCs w:val="24"/>
          <w:lang w:val="es-UY"/>
        </w:rPr>
        <w:t>»</w:t>
      </w:r>
      <w:r w:rsidRPr="00455E68">
        <w:rPr>
          <w:szCs w:val="24"/>
          <w:lang w:val="es-UY"/>
        </w:rPr>
        <w:t xml:space="preserve"> para IMT; también ha sido citada en estudios de compartición con el Grupo Mixto de Tareas Especiales JTG 4-5-6-7 en preparación para</w:t>
      </w:r>
      <w:r w:rsidR="008160A2">
        <w:rPr>
          <w:szCs w:val="24"/>
          <w:lang w:val="es-UY"/>
        </w:rPr>
        <w:t xml:space="preserve"> </w:t>
      </w:r>
      <w:r w:rsidRPr="00455E68">
        <w:rPr>
          <w:szCs w:val="24"/>
          <w:lang w:val="es-UY"/>
        </w:rPr>
        <w:t>la Conferencia Mundial de Radio</w:t>
      </w:r>
      <w:r w:rsidR="008160A2">
        <w:rPr>
          <w:szCs w:val="24"/>
          <w:lang w:val="es-UY"/>
        </w:rPr>
        <w:t xml:space="preserve"> </w:t>
      </w:r>
      <w:r w:rsidRPr="00455E68">
        <w:rPr>
          <w:szCs w:val="24"/>
          <w:lang w:val="es-UY"/>
        </w:rPr>
        <w:t>2015.</w:t>
      </w:r>
      <w:r w:rsidR="008160A2">
        <w:rPr>
          <w:szCs w:val="24"/>
          <w:lang w:val="es-UY"/>
        </w:rPr>
        <w:t xml:space="preserve"> </w:t>
      </w:r>
      <w:r w:rsidRPr="00455E68">
        <w:rPr>
          <w:szCs w:val="24"/>
          <w:lang w:val="es-UY"/>
        </w:rPr>
        <w:t>La</w:t>
      </w:r>
      <w:r w:rsidR="008160A2">
        <w:rPr>
          <w:szCs w:val="24"/>
          <w:lang w:val="es-UY"/>
        </w:rPr>
        <w:t xml:space="preserve"> </w:t>
      </w:r>
      <w:r w:rsidRPr="00455E68">
        <w:rPr>
          <w:szCs w:val="24"/>
          <w:lang w:val="es-UY"/>
        </w:rPr>
        <w:t>banda ha sido y sigue siendo utilizada ampliamente en los Estados Unidos y en otras Ad</w:t>
      </w:r>
      <w:r w:rsidRPr="00455E68">
        <w:rPr>
          <w:spacing w:val="-2"/>
          <w:szCs w:val="24"/>
          <w:lang w:val="es-UY"/>
        </w:rPr>
        <w:t>m</w:t>
      </w:r>
      <w:r w:rsidRPr="00455E68">
        <w:rPr>
          <w:spacing w:val="1"/>
          <w:szCs w:val="24"/>
          <w:lang w:val="es-UY"/>
        </w:rPr>
        <w:t>i</w:t>
      </w:r>
      <w:r w:rsidRPr="00455E68">
        <w:rPr>
          <w:szCs w:val="24"/>
          <w:lang w:val="es-UY"/>
        </w:rPr>
        <w:t>nistr</w:t>
      </w:r>
      <w:r w:rsidRPr="00455E68">
        <w:rPr>
          <w:spacing w:val="-1"/>
          <w:szCs w:val="24"/>
          <w:lang w:val="es-UY"/>
        </w:rPr>
        <w:t>a</w:t>
      </w:r>
      <w:r w:rsidRPr="00455E68">
        <w:rPr>
          <w:szCs w:val="24"/>
          <w:lang w:val="es-UY"/>
        </w:rPr>
        <w:t>ciones</w:t>
      </w:r>
      <w:r w:rsidR="008160A2">
        <w:rPr>
          <w:szCs w:val="24"/>
          <w:lang w:val="es-UY"/>
        </w:rPr>
        <w:t xml:space="preserve"> </w:t>
      </w:r>
      <w:r w:rsidRPr="00455E68">
        <w:rPr>
          <w:szCs w:val="24"/>
          <w:lang w:val="es-UY"/>
        </w:rPr>
        <w:t xml:space="preserve">de la Región 2 </w:t>
      </w:r>
      <w:r w:rsidRPr="00455E68">
        <w:rPr>
          <w:spacing w:val="-1"/>
          <w:szCs w:val="24"/>
          <w:lang w:val="es-UY"/>
        </w:rPr>
        <w:t>para</w:t>
      </w:r>
      <w:r w:rsidR="008160A2">
        <w:rPr>
          <w:spacing w:val="-1"/>
          <w:szCs w:val="24"/>
          <w:lang w:val="es-UY"/>
        </w:rPr>
        <w:t xml:space="preserve"> </w:t>
      </w:r>
      <w:r w:rsidRPr="00455E68">
        <w:rPr>
          <w:szCs w:val="24"/>
          <w:lang w:val="es-UY"/>
        </w:rPr>
        <w:t>tel</w:t>
      </w:r>
      <w:r w:rsidRPr="00455E68">
        <w:rPr>
          <w:spacing w:val="-1"/>
          <w:szCs w:val="24"/>
          <w:lang w:val="es-UY"/>
        </w:rPr>
        <w:t>e</w:t>
      </w:r>
      <w:r w:rsidRPr="00455E68">
        <w:rPr>
          <w:spacing w:val="-2"/>
          <w:szCs w:val="24"/>
          <w:lang w:val="es-UY"/>
        </w:rPr>
        <w:t>m</w:t>
      </w:r>
      <w:r w:rsidRPr="00455E68">
        <w:rPr>
          <w:szCs w:val="24"/>
          <w:lang w:val="es-UY"/>
        </w:rPr>
        <w:t>etría aer</w:t>
      </w:r>
      <w:r w:rsidRPr="00455E68">
        <w:rPr>
          <w:spacing w:val="-1"/>
          <w:szCs w:val="24"/>
          <w:lang w:val="es-UY"/>
        </w:rPr>
        <w:t>o</w:t>
      </w:r>
      <w:r w:rsidRPr="00455E68">
        <w:rPr>
          <w:szCs w:val="24"/>
          <w:lang w:val="es-UY"/>
        </w:rPr>
        <w:t>náuti</w:t>
      </w:r>
      <w:r w:rsidRPr="00455E68">
        <w:rPr>
          <w:spacing w:val="-1"/>
          <w:szCs w:val="24"/>
          <w:lang w:val="es-UY"/>
        </w:rPr>
        <w:t>c</w:t>
      </w:r>
      <w:r w:rsidRPr="00455E68">
        <w:rPr>
          <w:szCs w:val="24"/>
          <w:lang w:val="es-UY"/>
        </w:rPr>
        <w:t xml:space="preserve">a </w:t>
      </w:r>
      <w:r w:rsidRPr="00455E68">
        <w:rPr>
          <w:spacing w:val="-2"/>
          <w:szCs w:val="24"/>
          <w:lang w:val="es-UY"/>
        </w:rPr>
        <w:t>m</w:t>
      </w:r>
      <w:r w:rsidRPr="00455E68">
        <w:rPr>
          <w:spacing w:val="1"/>
          <w:szCs w:val="24"/>
          <w:lang w:val="es-UY"/>
        </w:rPr>
        <w:t>ó</w:t>
      </w:r>
      <w:r w:rsidRPr="00455E68">
        <w:rPr>
          <w:szCs w:val="24"/>
          <w:lang w:val="es-UY"/>
        </w:rPr>
        <w:t xml:space="preserve">vil (es decir </w:t>
      </w:r>
      <w:r w:rsidR="00783F4B">
        <w:rPr>
          <w:szCs w:val="24"/>
          <w:lang w:val="es-UY"/>
        </w:rPr>
        <w:t>«</w:t>
      </w:r>
      <w:r w:rsidRPr="00455E68">
        <w:rPr>
          <w:szCs w:val="24"/>
          <w:lang w:val="es-UY"/>
        </w:rPr>
        <w:t>AMT</w:t>
      </w:r>
      <w:r w:rsidR="00783F4B">
        <w:rPr>
          <w:szCs w:val="24"/>
          <w:lang w:val="es-UY"/>
        </w:rPr>
        <w:t>»</w:t>
      </w:r>
      <w:r w:rsidR="00783F4B" w:rsidRPr="00455E68">
        <w:rPr>
          <w:szCs w:val="24"/>
          <w:lang w:val="es-UY"/>
        </w:rPr>
        <w:t>,</w:t>
      </w:r>
      <w:r w:rsidRPr="00455E68">
        <w:rPr>
          <w:szCs w:val="24"/>
          <w:lang w:val="es-UY"/>
        </w:rPr>
        <w:t xml:space="preserve"> o </w:t>
      </w:r>
      <w:r w:rsidR="00783F4B">
        <w:rPr>
          <w:szCs w:val="24"/>
          <w:lang w:val="es-UY"/>
        </w:rPr>
        <w:t>«</w:t>
      </w:r>
      <w:r w:rsidRPr="00455E68">
        <w:rPr>
          <w:szCs w:val="24"/>
          <w:lang w:val="es-UY"/>
        </w:rPr>
        <w:t>vuelos de prueba</w:t>
      </w:r>
      <w:r w:rsidR="00783F4B">
        <w:rPr>
          <w:szCs w:val="24"/>
          <w:lang w:val="es-UY"/>
        </w:rPr>
        <w:t>»</w:t>
      </w:r>
      <w:r w:rsidRPr="00455E68">
        <w:rPr>
          <w:szCs w:val="24"/>
          <w:lang w:val="es-UY"/>
        </w:rPr>
        <w:t>); de la misma manera, los Estados Unidos no tiene ninguna intención de implementar IMT en la banda 1</w:t>
      </w:r>
      <w:r w:rsidR="00783F4B">
        <w:rPr>
          <w:szCs w:val="24"/>
          <w:lang w:val="es-UY"/>
        </w:rPr>
        <w:t> </w:t>
      </w:r>
      <w:r w:rsidRPr="00455E68">
        <w:rPr>
          <w:szCs w:val="24"/>
          <w:lang w:val="es-UY"/>
        </w:rPr>
        <w:t>427-1</w:t>
      </w:r>
      <w:r w:rsidR="00783F4B">
        <w:rPr>
          <w:szCs w:val="24"/>
          <w:lang w:val="es-UY"/>
        </w:rPr>
        <w:t> </w:t>
      </w:r>
      <w:r w:rsidRPr="00455E68">
        <w:rPr>
          <w:szCs w:val="24"/>
          <w:lang w:val="es-UY"/>
        </w:rPr>
        <w:t>525 MHz ni porciones de esta para la identificación IMT.</w:t>
      </w:r>
    </w:p>
    <w:p w:rsidR="00571523" w:rsidRPr="00455E68" w:rsidRDefault="00571523" w:rsidP="008160A2">
      <w:pPr>
        <w:ind w:right="101"/>
        <w:rPr>
          <w:szCs w:val="24"/>
          <w:lang w:val="es-UY"/>
        </w:rPr>
      </w:pPr>
      <w:r w:rsidRPr="00455E68">
        <w:rPr>
          <w:szCs w:val="24"/>
          <w:lang w:val="es-UY"/>
        </w:rPr>
        <w:t>La banda 1</w:t>
      </w:r>
      <w:r w:rsidR="008160A2">
        <w:rPr>
          <w:szCs w:val="24"/>
          <w:lang w:val="es-UY"/>
        </w:rPr>
        <w:t> 435-</w:t>
      </w:r>
      <w:r w:rsidRPr="00455E68">
        <w:rPr>
          <w:szCs w:val="24"/>
          <w:lang w:val="es-UY"/>
        </w:rPr>
        <w:t>1</w:t>
      </w:r>
      <w:r w:rsidR="008160A2">
        <w:rPr>
          <w:szCs w:val="24"/>
          <w:lang w:val="es-UY"/>
        </w:rPr>
        <w:t> </w:t>
      </w:r>
      <w:r w:rsidRPr="00455E68">
        <w:rPr>
          <w:szCs w:val="24"/>
          <w:lang w:val="es-UY"/>
        </w:rPr>
        <w:t>525 MHz es</w:t>
      </w:r>
      <w:r w:rsidR="008160A2">
        <w:rPr>
          <w:szCs w:val="24"/>
          <w:lang w:val="es-UY"/>
        </w:rPr>
        <w:t xml:space="preserve"> </w:t>
      </w:r>
      <w:r w:rsidRPr="00455E68">
        <w:rPr>
          <w:szCs w:val="24"/>
          <w:lang w:val="es-UY"/>
        </w:rPr>
        <w:t>esencial para la investigación</w:t>
      </w:r>
      <w:r w:rsidR="008160A2">
        <w:rPr>
          <w:szCs w:val="24"/>
          <w:lang w:val="es-UY"/>
        </w:rPr>
        <w:t xml:space="preserve"> </w:t>
      </w:r>
      <w:r w:rsidRPr="00455E68">
        <w:rPr>
          <w:szCs w:val="24"/>
          <w:lang w:val="es-UY"/>
        </w:rPr>
        <w:t>aeroe</w:t>
      </w:r>
      <w:r w:rsidRPr="00455E68">
        <w:rPr>
          <w:spacing w:val="-1"/>
          <w:szCs w:val="24"/>
          <w:lang w:val="es-UY"/>
        </w:rPr>
        <w:t>s</w:t>
      </w:r>
      <w:r w:rsidRPr="00455E68">
        <w:rPr>
          <w:szCs w:val="24"/>
          <w:lang w:val="es-UY"/>
        </w:rPr>
        <w:t>pacial y el</w:t>
      </w:r>
      <w:r w:rsidR="008160A2">
        <w:rPr>
          <w:szCs w:val="24"/>
          <w:lang w:val="es-UY"/>
        </w:rPr>
        <w:t xml:space="preserve"> </w:t>
      </w:r>
      <w:r w:rsidR="00783F4B">
        <w:rPr>
          <w:szCs w:val="24"/>
          <w:lang w:val="es-UY"/>
        </w:rPr>
        <w:t>desarrollo y para</w:t>
      </w:r>
      <w:r w:rsidRPr="00455E68">
        <w:rPr>
          <w:szCs w:val="24"/>
          <w:lang w:val="es-UY"/>
        </w:rPr>
        <w:t>, la certificación de aeronaves antes de su uso comercial. La utilización de la banda en tiempo real libre de interferencia es esencial para proteger aeronaves de prueba, cargas, tripulaciones y personas y propiedad ubicada debajo del espacio aéreo para vuelos de prueba. El</w:t>
      </w:r>
      <w:r w:rsidR="008160A2">
        <w:rPr>
          <w:szCs w:val="24"/>
          <w:lang w:val="es-UY"/>
        </w:rPr>
        <w:t xml:space="preserve"> uso continuado de banda 1 435-</w:t>
      </w:r>
      <w:r w:rsidRPr="00455E68">
        <w:rPr>
          <w:szCs w:val="24"/>
          <w:lang w:val="es-UY"/>
        </w:rPr>
        <w:t>1</w:t>
      </w:r>
      <w:r w:rsidR="008160A2">
        <w:rPr>
          <w:szCs w:val="24"/>
          <w:lang w:val="es-UY"/>
        </w:rPr>
        <w:t> </w:t>
      </w:r>
      <w:r w:rsidRPr="00455E68">
        <w:rPr>
          <w:szCs w:val="24"/>
          <w:lang w:val="es-UY"/>
        </w:rPr>
        <w:t>525 MHz a manera de estar libre de interferencias es esencial para la industria manufacturera aeroespacial y sus numerosos proveedores en Región 2, incluidas las Ad</w:t>
      </w:r>
      <w:r w:rsidRPr="00455E68">
        <w:rPr>
          <w:spacing w:val="-2"/>
          <w:szCs w:val="24"/>
          <w:lang w:val="es-UY"/>
        </w:rPr>
        <w:t>m</w:t>
      </w:r>
      <w:r w:rsidRPr="00455E68">
        <w:rPr>
          <w:spacing w:val="1"/>
          <w:szCs w:val="24"/>
          <w:lang w:val="es-UY"/>
        </w:rPr>
        <w:t>i</w:t>
      </w:r>
      <w:r w:rsidRPr="00455E68">
        <w:rPr>
          <w:szCs w:val="24"/>
          <w:lang w:val="es-UY"/>
        </w:rPr>
        <w:t>nistraci</w:t>
      </w:r>
      <w:r w:rsidRPr="00455E68">
        <w:rPr>
          <w:spacing w:val="1"/>
          <w:szCs w:val="24"/>
          <w:lang w:val="es-UY"/>
        </w:rPr>
        <w:t>o</w:t>
      </w:r>
      <w:r w:rsidRPr="00455E68">
        <w:rPr>
          <w:szCs w:val="24"/>
          <w:lang w:val="es-UY"/>
        </w:rPr>
        <w:t>nes tanto en</w:t>
      </w:r>
      <w:r w:rsidR="008160A2">
        <w:rPr>
          <w:szCs w:val="24"/>
          <w:lang w:val="es-UY"/>
        </w:rPr>
        <w:t xml:space="preserve"> </w:t>
      </w:r>
      <w:r w:rsidRPr="00455E68">
        <w:rPr>
          <w:szCs w:val="24"/>
          <w:lang w:val="es-UY"/>
        </w:rPr>
        <w:t>Norte como en Sur A</w:t>
      </w:r>
      <w:r w:rsidRPr="00455E68">
        <w:rPr>
          <w:spacing w:val="-2"/>
          <w:szCs w:val="24"/>
          <w:lang w:val="es-UY"/>
        </w:rPr>
        <w:t>m</w:t>
      </w:r>
      <w:r w:rsidRPr="00455E68">
        <w:rPr>
          <w:szCs w:val="24"/>
          <w:lang w:val="es-UY"/>
        </w:rPr>
        <w:t>érica.</w:t>
      </w:r>
      <w:r w:rsidR="008160A2">
        <w:rPr>
          <w:szCs w:val="24"/>
          <w:lang w:val="es-UY"/>
        </w:rPr>
        <w:t xml:space="preserve"> </w:t>
      </w:r>
    </w:p>
    <w:p w:rsidR="00571523" w:rsidRPr="00455E68" w:rsidRDefault="00571523" w:rsidP="008160A2">
      <w:pPr>
        <w:ind w:right="101"/>
        <w:rPr>
          <w:szCs w:val="24"/>
          <w:lang w:val="es-UY"/>
        </w:rPr>
      </w:pPr>
      <w:r w:rsidRPr="00455E68">
        <w:rPr>
          <w:szCs w:val="24"/>
          <w:lang w:val="es-UY"/>
        </w:rPr>
        <w:t xml:space="preserve">La nota al pie 5.343 indica que </w:t>
      </w:r>
      <w:r w:rsidR="008160A2">
        <w:rPr>
          <w:szCs w:val="24"/>
          <w:lang w:val="es-UY"/>
        </w:rPr>
        <w:t>«</w:t>
      </w:r>
      <w:r w:rsidRPr="00455E68">
        <w:rPr>
          <w:szCs w:val="24"/>
          <w:lang w:val="es-UY"/>
        </w:rPr>
        <w:t>en la Región 2, el uso</w:t>
      </w:r>
      <w:r w:rsidR="008160A2">
        <w:rPr>
          <w:szCs w:val="24"/>
          <w:lang w:val="es-UY"/>
        </w:rPr>
        <w:t xml:space="preserve"> </w:t>
      </w:r>
      <w:r w:rsidRPr="00455E68">
        <w:rPr>
          <w:szCs w:val="24"/>
          <w:lang w:val="es-UY"/>
        </w:rPr>
        <w:t>de la banda 1</w:t>
      </w:r>
      <w:r w:rsidR="008160A2">
        <w:rPr>
          <w:szCs w:val="24"/>
          <w:lang w:val="es-UY"/>
        </w:rPr>
        <w:t> </w:t>
      </w:r>
      <w:r w:rsidRPr="00455E68">
        <w:rPr>
          <w:szCs w:val="24"/>
          <w:lang w:val="es-UY"/>
        </w:rPr>
        <w:t>435-1</w:t>
      </w:r>
      <w:r w:rsidR="008160A2">
        <w:rPr>
          <w:szCs w:val="24"/>
          <w:lang w:val="es-UY"/>
        </w:rPr>
        <w:t> </w:t>
      </w:r>
      <w:r w:rsidRPr="00455E68">
        <w:rPr>
          <w:szCs w:val="24"/>
          <w:lang w:val="es-UY"/>
        </w:rPr>
        <w:t>535 MHz para el servicio aeronáutico móvil para telemetría tiene prioridad por encima de otros usos de servicio móvil</w:t>
      </w:r>
      <w:r w:rsidR="008160A2">
        <w:rPr>
          <w:szCs w:val="24"/>
          <w:lang w:val="es-UY"/>
        </w:rPr>
        <w:t>»</w:t>
      </w:r>
      <w:r w:rsidR="008160A2" w:rsidRPr="00455E68">
        <w:rPr>
          <w:szCs w:val="24"/>
          <w:lang w:val="es-UY"/>
        </w:rPr>
        <w:t>.</w:t>
      </w:r>
    </w:p>
    <w:p w:rsidR="00571523" w:rsidRPr="00455E68" w:rsidRDefault="00571523" w:rsidP="00571523">
      <w:pPr>
        <w:ind w:right="101"/>
        <w:rPr>
          <w:szCs w:val="24"/>
          <w:lang w:val="es-UY"/>
        </w:rPr>
      </w:pPr>
      <w:r w:rsidRPr="00455E68">
        <w:rPr>
          <w:szCs w:val="24"/>
          <w:lang w:val="es-UY"/>
        </w:rPr>
        <w:t>CITEL proponen retener este pie de página en la</w:t>
      </w:r>
      <w:r w:rsidR="008160A2">
        <w:rPr>
          <w:szCs w:val="24"/>
          <w:lang w:val="es-UY"/>
        </w:rPr>
        <w:t xml:space="preserve"> </w:t>
      </w:r>
      <w:r w:rsidRPr="00455E68">
        <w:rPr>
          <w:szCs w:val="24"/>
          <w:lang w:val="es-UY"/>
        </w:rPr>
        <w:t>Región 2 para poder proteger aspectos de la seguridad de vuelos de operaciones AMT tanto de interferencia nacional como transfronteriza.</w:t>
      </w:r>
    </w:p>
    <w:p w:rsidR="00571523" w:rsidRPr="00455E68" w:rsidRDefault="00571523" w:rsidP="00571523">
      <w:pPr>
        <w:ind w:right="101"/>
        <w:rPr>
          <w:szCs w:val="24"/>
          <w:lang w:val="es-UY"/>
        </w:rPr>
      </w:pPr>
      <w:r w:rsidRPr="00455E68">
        <w:rPr>
          <w:szCs w:val="24"/>
          <w:lang w:val="es-UY"/>
        </w:rPr>
        <w:lastRenderedPageBreak/>
        <w:t>La 5.343 es importante para evitar</w:t>
      </w:r>
      <w:r w:rsidR="008160A2">
        <w:rPr>
          <w:szCs w:val="24"/>
          <w:lang w:val="es-UY"/>
        </w:rPr>
        <w:t xml:space="preserve"> </w:t>
      </w:r>
      <w:r w:rsidRPr="00455E68">
        <w:rPr>
          <w:szCs w:val="24"/>
          <w:lang w:val="es-UY"/>
        </w:rPr>
        <w:t>las interferencias transfronterizas hasta y desde las operaciones de vuelos de prueba en la Región 2.</w:t>
      </w:r>
      <w:r w:rsidR="008160A2">
        <w:rPr>
          <w:szCs w:val="24"/>
          <w:lang w:val="es-UY"/>
        </w:rPr>
        <w:t xml:space="preserve"> </w:t>
      </w:r>
      <w:r w:rsidRPr="00455E68">
        <w:rPr>
          <w:szCs w:val="24"/>
          <w:lang w:val="es-UY"/>
        </w:rPr>
        <w:t>El pie de página no impide que las administraciones implementen cualquier sistema móvil dentro</w:t>
      </w:r>
      <w:r w:rsidR="008160A2">
        <w:rPr>
          <w:szCs w:val="24"/>
          <w:lang w:val="es-UY"/>
        </w:rPr>
        <w:t xml:space="preserve"> </w:t>
      </w:r>
      <w:r w:rsidRPr="00455E68">
        <w:rPr>
          <w:szCs w:val="24"/>
          <w:lang w:val="es-UY"/>
        </w:rPr>
        <w:t>de su territorio; en lugar de ello, garantiza que en áreas transfronterizas sensibles las administraciones tomen debida cuenta de las operaciones bien establecidas de AMT.</w:t>
      </w:r>
    </w:p>
    <w:p w:rsidR="00571523" w:rsidRPr="00836FBB" w:rsidRDefault="00571523" w:rsidP="00836FBB">
      <w:pPr>
        <w:pStyle w:val="headingb0"/>
      </w:pPr>
      <w:r w:rsidRPr="00836FBB">
        <w:t>Propuestas</w:t>
      </w:r>
    </w:p>
    <w:p w:rsidR="00F008F3" w:rsidRPr="00245062" w:rsidRDefault="004A6B5F" w:rsidP="00D44B91">
      <w:pPr>
        <w:pStyle w:val="ArtNo"/>
      </w:pPr>
      <w:bookmarkStart w:id="6" w:name="_GoBack"/>
      <w:bookmarkEnd w:id="6"/>
      <w:r w:rsidRPr="00245062">
        <w:t xml:space="preserve">ARTÍCULO </w:t>
      </w:r>
      <w:r w:rsidRPr="00245062">
        <w:rPr>
          <w:rStyle w:val="href"/>
        </w:rPr>
        <w:t>5</w:t>
      </w:r>
    </w:p>
    <w:p w:rsidR="00F008F3" w:rsidRPr="00F63BD5" w:rsidRDefault="004A6B5F" w:rsidP="00D44B91">
      <w:pPr>
        <w:pStyle w:val="Arttitle"/>
      </w:pPr>
      <w:r w:rsidRPr="00245062">
        <w:t>Atribuciones de frecuencia</w:t>
      </w:r>
    </w:p>
    <w:p w:rsidR="00F008F3" w:rsidRPr="00245062" w:rsidRDefault="004A6B5F" w:rsidP="00417F4D">
      <w:pPr>
        <w:pStyle w:val="Section1"/>
      </w:pPr>
      <w:r w:rsidRPr="00245062">
        <w:t>Sección IV – 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84131C" w:rsidRDefault="004A6B5F">
      <w:pPr>
        <w:pStyle w:val="Proposal"/>
      </w:pPr>
      <w:r>
        <w:rPr>
          <w:u w:val="single"/>
        </w:rPr>
        <w:t>NOC</w:t>
      </w:r>
      <w:r w:rsidR="00571523">
        <w:tab/>
        <w:t>IAP/7A1</w:t>
      </w:r>
      <w:r>
        <w:t>/9</w:t>
      </w:r>
    </w:p>
    <w:p w:rsidR="00FC0D9F" w:rsidRPr="00245062" w:rsidRDefault="004A6B5F" w:rsidP="00F008F3">
      <w:pPr>
        <w:pStyle w:val="Note"/>
        <w:spacing w:before="120"/>
        <w:rPr>
          <w:color w:val="000000"/>
          <w:szCs w:val="24"/>
        </w:rPr>
      </w:pPr>
      <w:r w:rsidRPr="00563728">
        <w:rPr>
          <w:rStyle w:val="Artdef"/>
          <w:szCs w:val="24"/>
        </w:rPr>
        <w:t>5.343</w:t>
      </w:r>
      <w:r w:rsidRPr="00563728">
        <w:rPr>
          <w:rStyle w:val="Artdef"/>
          <w:szCs w:val="24"/>
        </w:rPr>
        <w:tab/>
      </w:r>
      <w:r w:rsidRPr="00245062">
        <w:rPr>
          <w:color w:val="000000"/>
          <w:szCs w:val="24"/>
        </w:rPr>
        <w:t>En la Región 2, la utilización de la banda 1 435-1 535 MHz por el servicio móvil aeronáutico para la telemedida aeronáutica tiene prioridad sobre otros usos por el servicio móvil.</w:t>
      </w:r>
    </w:p>
    <w:p w:rsidR="0084131C" w:rsidRDefault="004A6B5F">
      <w:pPr>
        <w:pStyle w:val="Reasons"/>
        <w:rPr>
          <w:szCs w:val="24"/>
          <w:lang w:val="es-UY"/>
        </w:rPr>
      </w:pPr>
      <w:r>
        <w:rPr>
          <w:b/>
        </w:rPr>
        <w:t>Motivos:</w:t>
      </w:r>
      <w:r>
        <w:tab/>
      </w:r>
      <w:r w:rsidRPr="00585865">
        <w:rPr>
          <w:szCs w:val="22"/>
          <w:lang w:val="es-UY"/>
        </w:rPr>
        <w:t>No se consideraron las modificaciones al Estatus del reglamento AMT en los estudios</w:t>
      </w:r>
      <w:r w:rsidRPr="00585865">
        <w:rPr>
          <w:szCs w:val="24"/>
          <w:lang w:val="es-UY"/>
        </w:rPr>
        <w:t xml:space="preserve"> UIT-R.</w:t>
      </w:r>
      <w:r w:rsidR="008160A2">
        <w:rPr>
          <w:szCs w:val="24"/>
          <w:lang w:val="es-UY"/>
        </w:rPr>
        <w:t xml:space="preserve"> </w:t>
      </w:r>
      <w:r w:rsidRPr="00585865">
        <w:rPr>
          <w:szCs w:val="24"/>
          <w:lang w:val="es-UY"/>
        </w:rPr>
        <w:t xml:space="preserve">Modificar la No. </w:t>
      </w:r>
      <w:r w:rsidRPr="00623EDA">
        <w:rPr>
          <w:szCs w:val="24"/>
          <w:lang w:val="es-UY"/>
        </w:rPr>
        <w:t>5.343</w:t>
      </w:r>
      <w:r w:rsidRPr="00585865">
        <w:rPr>
          <w:szCs w:val="24"/>
          <w:lang w:val="es-UY"/>
        </w:rPr>
        <w:t xml:space="preserve"> podría alterar arreglos de coordinación existentes en los países de la Región 2.</w:t>
      </w:r>
    </w:p>
    <w:p w:rsidR="004A6B5F" w:rsidRDefault="004A6B5F">
      <w:pPr>
        <w:pStyle w:val="Reasons"/>
        <w:rPr>
          <w:szCs w:val="24"/>
          <w:lang w:val="es-UY"/>
        </w:rPr>
      </w:pPr>
    </w:p>
    <w:p w:rsidR="004A6B5F" w:rsidRDefault="004A6B5F">
      <w:pPr>
        <w:jc w:val="center"/>
      </w:pPr>
      <w:r>
        <w:t>______________</w:t>
      </w:r>
    </w:p>
    <w:sectPr w:rsidR="004A6B5F">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3C0132">
      <w:rPr>
        <w:noProof/>
      </w:rPr>
      <w:t>12.10.15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8160A2" w:rsidRDefault="00864C57" w:rsidP="008160A2">
    <w:pPr>
      <w:pStyle w:val="Footer"/>
    </w:pPr>
    <w:r>
      <w:fldChar w:fldCharType="begin"/>
    </w:r>
    <w:r>
      <w:instrText xml:space="preserve"> FILENAME \p  \* MERGEFORMAT </w:instrText>
    </w:r>
    <w:r>
      <w:fldChar w:fldCharType="separate"/>
    </w:r>
    <w:r w:rsidR="008160A2">
      <w:t>P:\ESP\ITU-R\CONF-R\CMR15\000\007ADD01ADD04S.docx</w:t>
    </w:r>
    <w:r>
      <w:fldChar w:fldCharType="end"/>
    </w:r>
    <w:r w:rsidR="008160A2">
      <w:t xml:space="preserve"> (387576)</w:t>
    </w:r>
    <w:r w:rsidR="008160A2">
      <w:tab/>
    </w:r>
    <w:r w:rsidR="008160A2">
      <w:fldChar w:fldCharType="begin"/>
    </w:r>
    <w:r w:rsidR="008160A2">
      <w:instrText xml:space="preserve"> SAVEDATE \@ DD.MM.YY </w:instrText>
    </w:r>
    <w:r w:rsidR="008160A2">
      <w:fldChar w:fldCharType="separate"/>
    </w:r>
    <w:r w:rsidR="003C0132">
      <w:t>12.10.15</w:t>
    </w:r>
    <w:r w:rsidR="008160A2">
      <w:fldChar w:fldCharType="end"/>
    </w:r>
    <w:r w:rsidR="008160A2">
      <w:tab/>
    </w:r>
    <w:r w:rsidR="008160A2">
      <w:fldChar w:fldCharType="begin"/>
    </w:r>
    <w:r w:rsidR="008160A2">
      <w:instrText xml:space="preserve"> PRINTDATE \@ DD.MM.YY </w:instrText>
    </w:r>
    <w:r w:rsidR="008160A2">
      <w:fldChar w:fldCharType="separate"/>
    </w:r>
    <w:r w:rsidR="008160A2">
      <w:t>19.02.03</w:t>
    </w:r>
    <w:r w:rsidR="008160A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0A2" w:rsidRPr="008160A2" w:rsidRDefault="008160A2" w:rsidP="008160A2">
    <w:pPr>
      <w:pStyle w:val="Footer"/>
    </w:pPr>
    <w:fldSimple w:instr=" FILENAME \p  \* MERGEFORMAT ">
      <w:r>
        <w:t>P:\ESP\ITU-R\CONF-R\CMR15\000\007ADD01ADD04S.docx</w:t>
      </w:r>
    </w:fldSimple>
    <w:r>
      <w:t xml:space="preserve"> (387576)</w:t>
    </w:r>
    <w:r>
      <w:tab/>
    </w:r>
    <w:r>
      <w:fldChar w:fldCharType="begin"/>
    </w:r>
    <w:r>
      <w:instrText xml:space="preserve"> SAVEDATE \@ DD.MM.YY </w:instrText>
    </w:r>
    <w:r>
      <w:fldChar w:fldCharType="separate"/>
    </w:r>
    <w:r w:rsidR="003C0132">
      <w:t>12.10.15</w:t>
    </w:r>
    <w:r>
      <w:fldChar w:fldCharType="end"/>
    </w:r>
    <w:r>
      <w:tab/>
    </w:r>
    <w:r>
      <w:fldChar w:fldCharType="begin"/>
    </w:r>
    <w:r>
      <w:instrText xml:space="preserve"> PRINTDATE \@ DD.MM.YY </w:instrText>
    </w:r>
    <w:r>
      <w:fldChar w:fldCharType="separate"/>
    </w:r>
    <w:r>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64C57">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7(Add.1)(Add.4)-</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74022"/>
    <w:rsid w:val="003B1E8C"/>
    <w:rsid w:val="003C0132"/>
    <w:rsid w:val="003C2508"/>
    <w:rsid w:val="003D0AA3"/>
    <w:rsid w:val="00440B3A"/>
    <w:rsid w:val="0045384C"/>
    <w:rsid w:val="00454553"/>
    <w:rsid w:val="004A6B5F"/>
    <w:rsid w:val="004B124A"/>
    <w:rsid w:val="005133B5"/>
    <w:rsid w:val="00532097"/>
    <w:rsid w:val="00571523"/>
    <w:rsid w:val="0058350F"/>
    <w:rsid w:val="00583C7E"/>
    <w:rsid w:val="005D46FB"/>
    <w:rsid w:val="005F2605"/>
    <w:rsid w:val="005F3B0E"/>
    <w:rsid w:val="005F559C"/>
    <w:rsid w:val="00662BA0"/>
    <w:rsid w:val="00681F4B"/>
    <w:rsid w:val="00692AAE"/>
    <w:rsid w:val="006D6E67"/>
    <w:rsid w:val="006E1A13"/>
    <w:rsid w:val="00701C20"/>
    <w:rsid w:val="00702F3D"/>
    <w:rsid w:val="0070518E"/>
    <w:rsid w:val="007354E9"/>
    <w:rsid w:val="00765578"/>
    <w:rsid w:val="0077084A"/>
    <w:rsid w:val="00783F4B"/>
    <w:rsid w:val="007952C7"/>
    <w:rsid w:val="007C0B95"/>
    <w:rsid w:val="007C2317"/>
    <w:rsid w:val="007D330A"/>
    <w:rsid w:val="008160A2"/>
    <w:rsid w:val="00836FBB"/>
    <w:rsid w:val="0084131C"/>
    <w:rsid w:val="00864C57"/>
    <w:rsid w:val="00866AE6"/>
    <w:rsid w:val="008750A8"/>
    <w:rsid w:val="008E5AF2"/>
    <w:rsid w:val="0090121B"/>
    <w:rsid w:val="009144C9"/>
    <w:rsid w:val="0094091F"/>
    <w:rsid w:val="00973754"/>
    <w:rsid w:val="009C0BED"/>
    <w:rsid w:val="009E11EC"/>
    <w:rsid w:val="00A118DB"/>
    <w:rsid w:val="00A4450C"/>
    <w:rsid w:val="00AA5E6C"/>
    <w:rsid w:val="00AE5677"/>
    <w:rsid w:val="00AE658F"/>
    <w:rsid w:val="00AF2F78"/>
    <w:rsid w:val="00B239FA"/>
    <w:rsid w:val="00B52D55"/>
    <w:rsid w:val="00B8288C"/>
    <w:rsid w:val="00BE2E80"/>
    <w:rsid w:val="00BE5EDD"/>
    <w:rsid w:val="00BE6A1F"/>
    <w:rsid w:val="00C126C4"/>
    <w:rsid w:val="00C63EB5"/>
    <w:rsid w:val="00CC01E0"/>
    <w:rsid w:val="00CD5FEE"/>
    <w:rsid w:val="00CE60D2"/>
    <w:rsid w:val="00CE7431"/>
    <w:rsid w:val="00D0288A"/>
    <w:rsid w:val="00D72A5D"/>
    <w:rsid w:val="00DC629B"/>
    <w:rsid w:val="00E05BFF"/>
    <w:rsid w:val="00E262F1"/>
    <w:rsid w:val="00E3176A"/>
    <w:rsid w:val="00E54754"/>
    <w:rsid w:val="00E56BD3"/>
    <w:rsid w:val="00E71D14"/>
    <w:rsid w:val="00E95DBC"/>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2242400-FBD3-465F-984A-24177A1A6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paragraph" w:customStyle="1" w:styleId="headingb0">
    <w:name w:val="heading_b"/>
    <w:basedOn w:val="Heading3"/>
    <w:next w:val="Normal"/>
    <w:rsid w:val="00571523"/>
    <w:pPr>
      <w:tabs>
        <w:tab w:val="left" w:pos="567"/>
        <w:tab w:val="left" w:pos="1701"/>
        <w:tab w:val="left" w:pos="2835"/>
      </w:tabs>
      <w:spacing w:before="160"/>
      <w:ind w:left="0" w:firstLine="0"/>
      <w:outlineLvl w:val="9"/>
    </w:pPr>
    <w:rPr>
      <w:b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R15-WRC15-C-0007!A1-A4!MSW-S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7F82D1-CD63-4C50-9F2B-059135B3C704}">
  <ds:schemaRefs>
    <ds:schemaRef ds:uri="http://purl.org/dc/terms/"/>
    <ds:schemaRef ds:uri="http://schemas.microsoft.com/office/2006/documentManagement/types"/>
    <ds:schemaRef ds:uri="http://schemas.microsoft.com/office/2006/metadata/properties"/>
    <ds:schemaRef ds:uri="996b2e75-67fd-4955-a3b0-5ab9934cb50b"/>
    <ds:schemaRef ds:uri="http://www.w3.org/XML/1998/namespace"/>
    <ds:schemaRef ds:uri="http://schemas.microsoft.com/office/infopath/2007/PartnerControls"/>
    <ds:schemaRef ds:uri="http://purl.org/dc/elements/1.1/"/>
    <ds:schemaRef ds:uri="http://schemas.openxmlformats.org/package/2006/metadata/core-properties"/>
    <ds:schemaRef ds:uri="32a1a8c5-2265-4ebc-b7a0-2071e2c5c9bb"/>
    <ds:schemaRef ds:uri="http://purl.org/dc/dcmitype/"/>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D60B1E08-D30B-4088-B677-29AF8D029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524</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R15-WRC15-C-0007!A1-A4!MSW-S</vt:lpstr>
    </vt:vector>
  </TitlesOfParts>
  <Manager>Secretaría General - Pool</Manager>
  <Company>Unión Internacional de Telecomunicaciones (UIT)</Company>
  <LinksUpToDate>false</LinksUpToDate>
  <CharactersWithSpaces>3371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R15-WRC15-C-0007!A1-A4!MSW-S</dc:title>
  <dc:subject>Conferencia Mundial de Radiocomunicaciones - 2015</dc:subject>
  <dc:creator>Documents Proposals Manager (DPM)</dc:creator>
  <cp:keywords>DPM_v5.2015.9.16_prod</cp:keywords>
  <dc:description/>
  <cp:lastModifiedBy>Spanish</cp:lastModifiedBy>
  <cp:revision>7</cp:revision>
  <cp:lastPrinted>2003-02-19T20:20:00Z</cp:lastPrinted>
  <dcterms:created xsi:type="dcterms:W3CDTF">2015-10-12T07:17:00Z</dcterms:created>
  <dcterms:modified xsi:type="dcterms:W3CDTF">2015-10-13T06:36:00Z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