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7F4C57" w:rsidRDefault="006D4724" w:rsidP="00BA5BD0">
            <w:pPr>
              <w:spacing w:before="0"/>
              <w:rPr>
                <w:rFonts w:ascii="Verdana" w:hAnsi="Verdana"/>
                <w:sz w:val="20"/>
                <w:lang w:val="fr-CH"/>
              </w:rPr>
            </w:pPr>
            <w:r w:rsidRPr="007F4C57">
              <w:rPr>
                <w:rFonts w:ascii="Verdana" w:eastAsia="SimSun" w:hAnsi="Verdana" w:cs="Traditional Arabic"/>
                <w:b/>
                <w:sz w:val="20"/>
                <w:lang w:val="fr-CH"/>
              </w:rPr>
              <w:t>Addendum 8 au</w:t>
            </w:r>
            <w:r w:rsidRPr="007F4C57">
              <w:rPr>
                <w:rFonts w:ascii="Verdana" w:eastAsia="SimSun" w:hAnsi="Verdana" w:cs="Traditional Arabic"/>
                <w:b/>
                <w:sz w:val="20"/>
                <w:lang w:val="fr-CH"/>
              </w:rPr>
              <w:br/>
              <w:t>Document 7(Add.1)</w:t>
            </w:r>
            <w:r w:rsidR="00BB1D82" w:rsidRPr="007F4C57">
              <w:rPr>
                <w:rFonts w:ascii="Verdana" w:hAnsi="Verdana"/>
                <w:b/>
                <w:sz w:val="20"/>
                <w:lang w:val="fr-CH"/>
              </w:rPr>
              <w:t>-</w:t>
            </w:r>
            <w:r w:rsidRPr="007F4C57">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7F4C57"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7F4C57" w:rsidRDefault="00690C7B" w:rsidP="00690C7B">
            <w:pPr>
              <w:pStyle w:val="Source"/>
              <w:rPr>
                <w:lang w:val="fr-CH"/>
              </w:rPr>
            </w:pPr>
            <w:bookmarkStart w:id="2" w:name="dsource" w:colFirst="0" w:colLast="0"/>
            <w:r w:rsidRPr="007F4C57">
              <w:rPr>
                <w:lang w:val="fr-CH"/>
              </w:rPr>
              <w:t>Etats Membres de la Commission interaméricaine des télécommunications (CITEL)</w:t>
            </w:r>
          </w:p>
        </w:tc>
      </w:tr>
      <w:tr w:rsidR="00690C7B" w:rsidRPr="00151456" w:rsidTr="0050008E">
        <w:trPr>
          <w:cantSplit/>
        </w:trPr>
        <w:tc>
          <w:tcPr>
            <w:tcW w:w="10031" w:type="dxa"/>
            <w:gridSpan w:val="2"/>
          </w:tcPr>
          <w:p w:rsidR="00690C7B" w:rsidRPr="00151456" w:rsidRDefault="00690C7B" w:rsidP="00151456">
            <w:pPr>
              <w:pStyle w:val="Title1"/>
              <w:rPr>
                <w:lang w:val="fr-CH"/>
              </w:rPr>
            </w:pPr>
            <w:bookmarkStart w:id="3" w:name="dtitle1" w:colFirst="0" w:colLast="0"/>
            <w:bookmarkEnd w:id="2"/>
            <w:r w:rsidRPr="00151456">
              <w:rPr>
                <w:lang w:val="fr-CH"/>
              </w:rPr>
              <w:t>Propos</w:t>
            </w:r>
            <w:r w:rsidR="00151456" w:rsidRPr="00151456">
              <w:rPr>
                <w:lang w:val="fr-CH"/>
              </w:rPr>
              <w:t>ITIONS POUR LES TRAVAUX DE LA CONFERENCE</w:t>
            </w:r>
          </w:p>
        </w:tc>
      </w:tr>
      <w:tr w:rsidR="00690C7B" w:rsidRPr="00151456" w:rsidTr="0050008E">
        <w:trPr>
          <w:cantSplit/>
        </w:trPr>
        <w:tc>
          <w:tcPr>
            <w:tcW w:w="10031" w:type="dxa"/>
            <w:gridSpan w:val="2"/>
          </w:tcPr>
          <w:p w:rsidR="00690C7B" w:rsidRPr="00151456"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1.1 de l'ordre du jour</w:t>
            </w:r>
          </w:p>
        </w:tc>
      </w:tr>
    </w:tbl>
    <w:bookmarkEnd w:id="5"/>
    <w:p w:rsidR="001C0E40" w:rsidRPr="0000257F" w:rsidRDefault="00E039A7" w:rsidP="0000257F">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rsidR="007F4C57" w:rsidRPr="00C31B43" w:rsidRDefault="00151456" w:rsidP="005E464F">
      <w:pPr>
        <w:pStyle w:val="Headingb"/>
        <w:rPr>
          <w:lang w:val="fr-CH"/>
        </w:rPr>
      </w:pPr>
      <w:r w:rsidRPr="00C31B43">
        <w:rPr>
          <w:lang w:val="fr-CH"/>
        </w:rPr>
        <w:t>Considérations générales</w:t>
      </w:r>
    </w:p>
    <w:p w:rsidR="007F4C57" w:rsidRPr="00880C50" w:rsidRDefault="00151456" w:rsidP="005E464F">
      <w:pPr>
        <w:rPr>
          <w:lang w:val="fr-CH"/>
        </w:rPr>
      </w:pPr>
      <w:r w:rsidRPr="009C0F71">
        <w:rPr>
          <w:lang w:val="fr-CH"/>
        </w:rPr>
        <w:t>Du fait de l’exis</w:t>
      </w:r>
      <w:r w:rsidR="009C0F71" w:rsidRPr="009C0F71">
        <w:rPr>
          <w:lang w:val="fr-CH"/>
        </w:rPr>
        <w:t>t</w:t>
      </w:r>
      <w:r w:rsidRPr="009C0F71">
        <w:rPr>
          <w:lang w:val="fr-CH"/>
        </w:rPr>
        <w:t>ence d’un vaste réseau de stations terriennes</w:t>
      </w:r>
      <w:r w:rsidR="009C0F71" w:rsidRPr="009C0F71">
        <w:rPr>
          <w:lang w:val="fr-CH"/>
        </w:rPr>
        <w:t xml:space="preserve"> dans la Ré</w:t>
      </w:r>
      <w:r w:rsidR="007F4C57" w:rsidRPr="009C0F71">
        <w:rPr>
          <w:lang w:val="fr-CH"/>
        </w:rPr>
        <w:t xml:space="preserve">gion 2, </w:t>
      </w:r>
      <w:r w:rsidR="009C0F71" w:rsidRPr="009C0F71">
        <w:rPr>
          <w:lang w:val="fr-CH"/>
        </w:rPr>
        <w:t xml:space="preserve">il s’avère impossible d’attribuer la bande </w:t>
      </w:r>
      <w:r w:rsidR="007F4C57" w:rsidRPr="009C0F71">
        <w:rPr>
          <w:lang w:val="fr-CH"/>
        </w:rPr>
        <w:t>3</w:t>
      </w:r>
      <w:r w:rsidR="003243B9">
        <w:rPr>
          <w:lang w:val="fr-CH"/>
        </w:rPr>
        <w:t xml:space="preserve"> </w:t>
      </w:r>
      <w:r w:rsidR="007F4C57" w:rsidRPr="009C0F71">
        <w:rPr>
          <w:lang w:val="fr-CH"/>
        </w:rPr>
        <w:t>600-4</w:t>
      </w:r>
      <w:r w:rsidR="003243B9">
        <w:rPr>
          <w:lang w:val="fr-CH"/>
        </w:rPr>
        <w:t xml:space="preserve"> </w:t>
      </w:r>
      <w:r w:rsidR="007F4C57" w:rsidRPr="009C0F71">
        <w:rPr>
          <w:lang w:val="fr-CH"/>
        </w:rPr>
        <w:t xml:space="preserve">200 MHz </w:t>
      </w:r>
      <w:r w:rsidR="00880C50">
        <w:rPr>
          <w:lang w:val="fr-CH"/>
        </w:rPr>
        <w:t xml:space="preserve">dans cette Région. </w:t>
      </w:r>
      <w:r w:rsidR="00880C50" w:rsidRPr="00880C50">
        <w:rPr>
          <w:lang w:val="fr-CH"/>
        </w:rPr>
        <w:t xml:space="preserve">La bande </w:t>
      </w:r>
      <w:r w:rsidR="007F4C57" w:rsidRPr="00880C50">
        <w:rPr>
          <w:rFonts w:eastAsia="???"/>
          <w:lang w:val="fr-CH"/>
        </w:rPr>
        <w:t>C</w:t>
      </w:r>
      <w:r w:rsidR="00880C50" w:rsidRPr="00880C50">
        <w:rPr>
          <w:rFonts w:eastAsia="???"/>
          <w:lang w:val="fr-CH"/>
        </w:rPr>
        <w:t xml:space="preserve">, y compris la bande </w:t>
      </w:r>
      <w:r w:rsidR="007F4C57" w:rsidRPr="00880C50">
        <w:rPr>
          <w:rFonts w:eastAsia="???"/>
          <w:lang w:val="fr-CH"/>
        </w:rPr>
        <w:t xml:space="preserve">C </w:t>
      </w:r>
      <w:r w:rsidR="00880C50" w:rsidRPr="00880C50">
        <w:rPr>
          <w:rFonts w:eastAsia="???"/>
          <w:lang w:val="fr-CH"/>
        </w:rPr>
        <w:t>étendue</w:t>
      </w:r>
      <w:r w:rsidR="005E464F">
        <w:rPr>
          <w:rFonts w:eastAsia="???"/>
          <w:lang w:val="fr-CH"/>
        </w:rPr>
        <w:t>,</w:t>
      </w:r>
      <w:r w:rsidR="00880C50" w:rsidRPr="00880C50">
        <w:rPr>
          <w:rFonts w:eastAsia="???"/>
          <w:lang w:val="fr-CH"/>
        </w:rPr>
        <w:t xml:space="preserve"> présente un intérêt particulier pour d’autres régions </w:t>
      </w:r>
      <w:r w:rsidR="00880C50">
        <w:rPr>
          <w:rFonts w:eastAsia="???"/>
          <w:lang w:val="fr-CH"/>
        </w:rPr>
        <w:t xml:space="preserve">qui ont une vaste </w:t>
      </w:r>
      <w:r w:rsidR="005E464F">
        <w:rPr>
          <w:rFonts w:eastAsia="???"/>
          <w:lang w:val="fr-CH"/>
        </w:rPr>
        <w:t>superficie</w:t>
      </w:r>
      <w:r w:rsidR="00880C50">
        <w:rPr>
          <w:rFonts w:eastAsia="???"/>
          <w:lang w:val="fr-CH"/>
        </w:rPr>
        <w:t xml:space="preserve"> continentale. </w:t>
      </w:r>
      <w:r w:rsidR="00880C50" w:rsidRPr="003956D0">
        <w:rPr>
          <w:rFonts w:eastAsia="???"/>
          <w:lang w:val="fr-CH"/>
        </w:rPr>
        <w:t>L’Asie du Sud</w:t>
      </w:r>
      <w:r w:rsidR="003956D0">
        <w:rPr>
          <w:rFonts w:eastAsia="???"/>
          <w:lang w:val="fr-CH"/>
        </w:rPr>
        <w:t>,</w:t>
      </w:r>
      <w:r w:rsidR="003956D0" w:rsidRPr="003956D0">
        <w:rPr>
          <w:rFonts w:eastAsia="???"/>
          <w:lang w:val="fr-CH"/>
        </w:rPr>
        <w:t xml:space="preserve"> qui présente des</w:t>
      </w:r>
      <w:r w:rsidR="003956D0">
        <w:rPr>
          <w:rFonts w:eastAsia="???"/>
          <w:lang w:val="fr-CH"/>
        </w:rPr>
        <w:t xml:space="preserve"> </w:t>
      </w:r>
      <w:r w:rsidR="003956D0" w:rsidRPr="003956D0">
        <w:rPr>
          <w:rFonts w:eastAsia="???"/>
          <w:lang w:val="fr-CH"/>
        </w:rPr>
        <w:t>conditions météorologiques</w:t>
      </w:r>
      <w:r w:rsidR="005E464F">
        <w:rPr>
          <w:rFonts w:eastAsia="???"/>
          <w:lang w:val="fr-CH"/>
        </w:rPr>
        <w:t xml:space="preserve"> similaires</w:t>
      </w:r>
      <w:r w:rsidR="00880C50" w:rsidRPr="003956D0">
        <w:rPr>
          <w:rFonts w:eastAsia="???"/>
          <w:lang w:val="fr-CH"/>
        </w:rPr>
        <w:t xml:space="preserve"> </w:t>
      </w:r>
      <w:r w:rsidR="003956D0">
        <w:rPr>
          <w:rFonts w:eastAsia="???"/>
          <w:lang w:val="fr-CH"/>
        </w:rPr>
        <w:t>(précipitations importantes)</w:t>
      </w:r>
      <w:r w:rsidR="005E464F">
        <w:rPr>
          <w:rFonts w:eastAsia="???"/>
          <w:lang w:val="fr-CH"/>
        </w:rPr>
        <w:t>,</w:t>
      </w:r>
      <w:r w:rsidR="003956D0">
        <w:rPr>
          <w:rFonts w:eastAsia="???"/>
          <w:lang w:val="fr-CH"/>
        </w:rPr>
        <w:t xml:space="preserve"> est une autre région du monde où la bande </w:t>
      </w:r>
      <w:r w:rsidR="007F4C57" w:rsidRPr="003956D0">
        <w:rPr>
          <w:rFonts w:eastAsia="???"/>
          <w:lang w:val="fr-CH"/>
        </w:rPr>
        <w:t xml:space="preserve">C </w:t>
      </w:r>
      <w:r w:rsidR="003956D0">
        <w:rPr>
          <w:rFonts w:eastAsia="???"/>
          <w:lang w:val="fr-CH"/>
        </w:rPr>
        <w:t>est très largement utilisée.</w:t>
      </w:r>
    </w:p>
    <w:p w:rsidR="007F4C57" w:rsidRPr="003956D0" w:rsidRDefault="003956D0" w:rsidP="00C31B43">
      <w:pPr>
        <w:rPr>
          <w:rFonts w:eastAsia="???"/>
          <w:lang w:val="fr-CH"/>
        </w:rPr>
      </w:pPr>
      <w:r w:rsidRPr="003956D0">
        <w:rPr>
          <w:rFonts w:eastAsia="???"/>
          <w:lang w:val="fr-CH"/>
        </w:rPr>
        <w:t xml:space="preserve">La bande </w:t>
      </w:r>
      <w:r w:rsidR="007F4C57" w:rsidRPr="003956D0">
        <w:rPr>
          <w:rFonts w:eastAsia="???"/>
          <w:lang w:val="fr-CH"/>
        </w:rPr>
        <w:t>C</w:t>
      </w:r>
      <w:r w:rsidRPr="003956D0">
        <w:rPr>
          <w:rFonts w:eastAsia="???"/>
          <w:lang w:val="fr-CH"/>
        </w:rPr>
        <w:t xml:space="preserve"> est largement utilisée dans la Ré</w:t>
      </w:r>
      <w:r w:rsidR="007F4C57" w:rsidRPr="003956D0">
        <w:rPr>
          <w:rFonts w:eastAsia="???"/>
          <w:lang w:val="fr-CH"/>
        </w:rPr>
        <w:t xml:space="preserve">gion 2, </w:t>
      </w:r>
      <w:r w:rsidRPr="003956D0">
        <w:rPr>
          <w:rFonts w:eastAsia="???"/>
          <w:lang w:val="fr-CH"/>
        </w:rPr>
        <w:t>en raison</w:t>
      </w:r>
      <w:r w:rsidR="005E464F">
        <w:rPr>
          <w:rFonts w:eastAsia="???"/>
          <w:lang w:val="fr-CH"/>
        </w:rPr>
        <w:t xml:space="preserve"> d'une part</w:t>
      </w:r>
      <w:r w:rsidRPr="003956D0">
        <w:rPr>
          <w:rFonts w:eastAsia="???"/>
          <w:lang w:val="fr-CH"/>
        </w:rPr>
        <w:t xml:space="preserve"> des caractéristiques climatiques de cette </w:t>
      </w:r>
      <w:r w:rsidR="005E464F">
        <w:rPr>
          <w:rFonts w:eastAsia="???"/>
          <w:lang w:val="fr-CH"/>
        </w:rPr>
        <w:t>région et des</w:t>
      </w:r>
      <w:r>
        <w:rPr>
          <w:rFonts w:eastAsia="???"/>
          <w:lang w:val="fr-CH"/>
        </w:rPr>
        <w:t xml:space="preserve"> dimensions de sa </w:t>
      </w:r>
      <w:r w:rsidR="005E464F">
        <w:rPr>
          <w:rFonts w:eastAsia="???"/>
          <w:lang w:val="fr-CH"/>
        </w:rPr>
        <w:t>superficie</w:t>
      </w:r>
      <w:r>
        <w:rPr>
          <w:rFonts w:eastAsia="???"/>
          <w:lang w:val="fr-CH"/>
        </w:rPr>
        <w:t xml:space="preserve"> continentale et</w:t>
      </w:r>
      <w:r w:rsidR="005E464F">
        <w:rPr>
          <w:rFonts w:eastAsia="???"/>
          <w:lang w:val="fr-CH"/>
        </w:rPr>
        <w:t xml:space="preserve"> d'autre part de</w:t>
      </w:r>
      <w:r>
        <w:rPr>
          <w:rFonts w:eastAsia="???"/>
          <w:lang w:val="fr-CH"/>
        </w:rPr>
        <w:t xml:space="preserve"> l’absence d’infrastructure de télécommunicatio</w:t>
      </w:r>
      <w:r w:rsidR="005E464F">
        <w:rPr>
          <w:rFonts w:eastAsia="???"/>
          <w:lang w:val="fr-CH"/>
        </w:rPr>
        <w:t>n dans plusieurs parties de la R</w:t>
      </w:r>
      <w:r>
        <w:rPr>
          <w:rFonts w:eastAsia="???"/>
          <w:lang w:val="fr-CH"/>
        </w:rPr>
        <w:t xml:space="preserve">égion. </w:t>
      </w:r>
      <w:r w:rsidRPr="003956D0">
        <w:rPr>
          <w:rFonts w:eastAsia="???"/>
          <w:lang w:val="fr-CH"/>
        </w:rPr>
        <w:t>Lorsqu’il n’y a pas encore de réseaux à fibres optiques</w:t>
      </w:r>
      <w:r>
        <w:rPr>
          <w:rFonts w:eastAsia="???"/>
          <w:lang w:val="fr-CH"/>
        </w:rPr>
        <w:t>, l’utilisation de la bande</w:t>
      </w:r>
      <w:r w:rsidRPr="003956D0">
        <w:rPr>
          <w:rFonts w:eastAsia="???"/>
          <w:lang w:val="fr-CH"/>
        </w:rPr>
        <w:t xml:space="preserve"> </w:t>
      </w:r>
      <w:r w:rsidR="007F4C57" w:rsidRPr="003956D0">
        <w:rPr>
          <w:rFonts w:eastAsia="???"/>
          <w:lang w:val="fr-CH"/>
        </w:rPr>
        <w:t xml:space="preserve">C </w:t>
      </w:r>
      <w:r>
        <w:rPr>
          <w:rFonts w:eastAsia="???"/>
          <w:lang w:val="fr-CH"/>
        </w:rPr>
        <w:t xml:space="preserve">est essentielle. </w:t>
      </w:r>
      <w:r w:rsidR="005E464F">
        <w:rPr>
          <w:rFonts w:eastAsia="???"/>
          <w:lang w:val="fr-CH"/>
        </w:rPr>
        <w:t>On exploite en effet d</w:t>
      </w:r>
      <w:r>
        <w:rPr>
          <w:rFonts w:eastAsia="???"/>
          <w:lang w:val="fr-CH"/>
        </w:rPr>
        <w:t>ans cette bande des milliers de stations terriennes émettant des signaux</w:t>
      </w:r>
      <w:r w:rsidR="005E464F">
        <w:rPr>
          <w:rFonts w:eastAsia="???"/>
          <w:lang w:val="fr-CH"/>
        </w:rPr>
        <w:t xml:space="preserve"> en amont</w:t>
      </w:r>
      <w:r>
        <w:rPr>
          <w:rFonts w:eastAsia="???"/>
          <w:lang w:val="fr-CH"/>
        </w:rPr>
        <w:t xml:space="preserve"> qui sont associées à des réseaux fournissant des services essentiels pour les institutions publiques (fonctions liées à l’ordre et à la sécurité publics, catastrophes</w:t>
      </w:r>
      <w:r w:rsidR="005E464F">
        <w:rPr>
          <w:rFonts w:eastAsia="???"/>
          <w:lang w:val="fr-CH"/>
        </w:rPr>
        <w:t xml:space="preserve"> naturelles, programmes de télé</w:t>
      </w:r>
      <w:r>
        <w:rPr>
          <w:rFonts w:eastAsia="???"/>
          <w:lang w:val="fr-CH"/>
        </w:rPr>
        <w:t>enseignement à vocation sociale, services de cy</w:t>
      </w:r>
      <w:r w:rsidR="005E464F">
        <w:rPr>
          <w:rFonts w:eastAsia="???"/>
          <w:lang w:val="fr-CH"/>
        </w:rPr>
        <w:t>ber</w:t>
      </w:r>
      <w:r>
        <w:rPr>
          <w:rFonts w:eastAsia="???"/>
          <w:lang w:val="fr-CH"/>
        </w:rPr>
        <w:t>gouvernement, etc.) dont bénéficient des millions de citoyens. Ces bandes sont aussi utilisées par les opérateurs commerciaux de réseaux publics (D</w:t>
      </w:r>
      <w:r w:rsidR="007F4C57" w:rsidRPr="003956D0">
        <w:rPr>
          <w:rFonts w:eastAsia="???"/>
          <w:lang w:val="fr-CH"/>
        </w:rPr>
        <w:t xml:space="preserve">TH, Internet, VOIP, </w:t>
      </w:r>
      <w:r>
        <w:rPr>
          <w:rFonts w:eastAsia="???"/>
          <w:lang w:val="fr-CH"/>
        </w:rPr>
        <w:t>raccordements cellulaires)</w:t>
      </w:r>
      <w:r w:rsidR="00C31B43">
        <w:rPr>
          <w:rFonts w:eastAsia="???"/>
          <w:lang w:val="fr-CH"/>
        </w:rPr>
        <w:t xml:space="preserve"> qui</w:t>
      </w:r>
      <w:r w:rsidR="007F4C57" w:rsidRPr="003956D0">
        <w:rPr>
          <w:rFonts w:eastAsia="???"/>
          <w:lang w:val="fr-CH"/>
        </w:rPr>
        <w:t xml:space="preserve"> </w:t>
      </w:r>
      <w:r w:rsidR="005E464F">
        <w:rPr>
          <w:rFonts w:eastAsia="???"/>
          <w:lang w:val="fr-CH"/>
        </w:rPr>
        <w:t>comptent</w:t>
      </w:r>
      <w:r>
        <w:rPr>
          <w:rFonts w:eastAsia="???"/>
          <w:lang w:val="fr-CH"/>
        </w:rPr>
        <w:t xml:space="preserve"> des millions d’utilisateurs privés</w:t>
      </w:r>
      <w:r w:rsidR="007F4C57" w:rsidRPr="003956D0">
        <w:rPr>
          <w:rFonts w:eastAsia="???"/>
          <w:lang w:val="fr-CH"/>
        </w:rPr>
        <w:t>.</w:t>
      </w:r>
    </w:p>
    <w:p w:rsidR="003A583E" w:rsidRPr="007F4C57" w:rsidRDefault="00C31B43" w:rsidP="005E464F">
      <w:pPr>
        <w:rPr>
          <w:lang w:val="fr-CH"/>
        </w:rPr>
      </w:pPr>
      <w:r>
        <w:rPr>
          <w:color w:val="000000"/>
        </w:rPr>
        <w:t>E</w:t>
      </w:r>
      <w:r w:rsidR="00E039A7">
        <w:rPr>
          <w:color w:val="000000"/>
        </w:rPr>
        <w:t>tant</w:t>
      </w:r>
      <w:r w:rsidR="007F4C57">
        <w:rPr>
          <w:color w:val="000000"/>
        </w:rPr>
        <w:t xml:space="preserve"> donné qu'ils permettent d'assurer une large couverture, les satellites fonctionnant dans ces bandes</w:t>
      </w:r>
      <w:r w:rsidR="005E464F">
        <w:rPr>
          <w:color w:val="000000"/>
        </w:rPr>
        <w:t xml:space="preserve"> de fréquences</w:t>
      </w:r>
      <w:r w:rsidR="007F4C57">
        <w:rPr>
          <w:color w:val="000000"/>
        </w:rPr>
        <w:t xml:space="preserve"> ont été largement utilisés pour les opérations de secours en cas de catastrophe. En cas de catastrophe majeure (tsunamis, tremblements de terre, ouragans, etc.)</w:t>
      </w:r>
      <w:r w:rsidR="005E464F">
        <w:rPr>
          <w:color w:val="000000"/>
        </w:rPr>
        <w:t xml:space="preserve"> qui</w:t>
      </w:r>
      <w:r w:rsidR="007F4C57">
        <w:rPr>
          <w:color w:val="000000"/>
          <w:lang w:val="fr-CH"/>
        </w:rPr>
        <w:t xml:space="preserve"> a partiellement ou totalement détruit l'infrastructure des télécommunications «filaire», il ne reste plus que les services de radiocommunication, et en particulier les réseaux fonctionnant dans le SFS pour les </w:t>
      </w:r>
      <w:r w:rsidR="007F4C57">
        <w:rPr>
          <w:color w:val="000000"/>
          <w:lang w:val="fr-CH"/>
        </w:rPr>
        <w:lastRenderedPageBreak/>
        <w:t>opérations de se</w:t>
      </w:r>
      <w:r w:rsidR="005E464F">
        <w:rPr>
          <w:color w:val="000000"/>
          <w:lang w:val="fr-CH"/>
        </w:rPr>
        <w:t>cours en cas de catastrophe</w:t>
      </w:r>
      <w:r w:rsidR="007F4C57">
        <w:rPr>
          <w:color w:val="000000"/>
          <w:lang w:val="fr-CH"/>
        </w:rPr>
        <w:t xml:space="preserve"> et assurer les liaisons vitales nécessaires entre les éq</w:t>
      </w:r>
      <w:r w:rsidR="005E464F">
        <w:rPr>
          <w:color w:val="000000"/>
          <w:lang w:val="fr-CH"/>
        </w:rPr>
        <w:t>uipes de secours sur place, les pouvoirs publics</w:t>
      </w:r>
      <w:r w:rsidR="007F4C57">
        <w:rPr>
          <w:color w:val="000000"/>
          <w:lang w:val="fr-CH"/>
        </w:rPr>
        <w:t xml:space="preserve"> et les services de soins de santé. Les réseaux à satellite utilisant des stations terriennes à </w:t>
      </w:r>
      <w:r w:rsidR="00410B46">
        <w:rPr>
          <w:color w:val="000000"/>
          <w:lang w:val="fr-CH"/>
        </w:rPr>
        <w:t xml:space="preserve">très </w:t>
      </w:r>
      <w:r w:rsidR="007F4C57">
        <w:rPr>
          <w:color w:val="000000"/>
          <w:lang w:val="fr-CH"/>
        </w:rPr>
        <w:t xml:space="preserve">petite ouverture, par exemple les </w:t>
      </w:r>
      <w:r w:rsidR="005E464F">
        <w:rPr>
          <w:color w:val="000000"/>
          <w:lang w:val="fr-CH"/>
        </w:rPr>
        <w:t>microstations</w:t>
      </w:r>
      <w:r w:rsidR="007F4C57">
        <w:rPr>
          <w:lang w:val="fr-CH"/>
        </w:rPr>
        <w:t xml:space="preserve"> VSAT fixes</w:t>
      </w:r>
      <w:r w:rsidR="007F4C57">
        <w:rPr>
          <w:color w:val="000000"/>
          <w:lang w:val="fr-CH"/>
        </w:rPr>
        <w:t xml:space="preserve"> et transportables, constituent l'une des solutions les plus efficaces pour fournir des services de télécommunication d'urgence aux fins des opérations de secours. Les systèmes fonctionnant dans le SFS jouent non seulement un rôle crucial pendant les opérations de secours, mais sont aussi extrêmement importants bien avant qu'une catastrophe ne survienne, dans la mesure où ils permettent d'alerter toutes les personnes concernées.</w:t>
      </w:r>
    </w:p>
    <w:p w:rsidR="007F4C57" w:rsidRPr="00410B46" w:rsidRDefault="00410B46" w:rsidP="005E464F">
      <w:pPr>
        <w:rPr>
          <w:rFonts w:eastAsia="???"/>
          <w:lang w:val="fr-CH"/>
        </w:rPr>
      </w:pPr>
      <w:r w:rsidRPr="00410B46">
        <w:rPr>
          <w:rFonts w:eastAsia="???"/>
          <w:lang w:val="fr-CH"/>
        </w:rPr>
        <w:t xml:space="preserve">De nombreux systèmes à satellites sont exploités dans la région où le réseau de stations terriennes déployées dans la bande </w:t>
      </w:r>
      <w:r w:rsidR="007F4C57" w:rsidRPr="00410B46">
        <w:rPr>
          <w:rFonts w:eastAsia="???"/>
          <w:lang w:val="fr-CH"/>
        </w:rPr>
        <w:t>3</w:t>
      </w:r>
      <w:r w:rsidR="00C31B43">
        <w:rPr>
          <w:rFonts w:eastAsia="???"/>
          <w:lang w:val="fr-CH"/>
        </w:rPr>
        <w:t xml:space="preserve"> </w:t>
      </w:r>
      <w:r w:rsidR="007F4C57" w:rsidRPr="00410B46">
        <w:rPr>
          <w:rFonts w:eastAsia="???"/>
          <w:lang w:val="fr-CH"/>
        </w:rPr>
        <w:t>600-4</w:t>
      </w:r>
      <w:r w:rsidR="00C31B43">
        <w:rPr>
          <w:rFonts w:eastAsia="???"/>
          <w:lang w:val="fr-CH"/>
        </w:rPr>
        <w:t xml:space="preserve"> </w:t>
      </w:r>
      <w:r w:rsidR="007F4C57" w:rsidRPr="00410B46">
        <w:rPr>
          <w:rFonts w:eastAsia="???"/>
          <w:lang w:val="fr-CH"/>
        </w:rPr>
        <w:t xml:space="preserve">200 MHz </w:t>
      </w:r>
      <w:r>
        <w:rPr>
          <w:rFonts w:eastAsia="???"/>
          <w:lang w:val="fr-CH"/>
        </w:rPr>
        <w:t>fait qu’il est impossible pour les administrations d’envisager l’utilisation de cette bande de fréquences pour le service mobile</w:t>
      </w:r>
      <w:r w:rsidR="007F4C57" w:rsidRPr="00410B46">
        <w:rPr>
          <w:rFonts w:eastAsia="???"/>
          <w:lang w:val="fr-CH"/>
        </w:rPr>
        <w:t>.</w:t>
      </w:r>
    </w:p>
    <w:p w:rsidR="007F4C57" w:rsidRPr="00410B46" w:rsidRDefault="00410B46" w:rsidP="00C31B43">
      <w:pPr>
        <w:rPr>
          <w:rFonts w:eastAsia="???"/>
          <w:lang w:val="fr-CH"/>
        </w:rPr>
      </w:pPr>
      <w:r w:rsidRPr="00410B46">
        <w:rPr>
          <w:rFonts w:eastAsia="???"/>
          <w:lang w:val="fr-CH"/>
        </w:rPr>
        <w:t xml:space="preserve">La disponibilité du SFS doit donc être protégée contre les brouillages qui pourraient être causés par les services </w:t>
      </w:r>
      <w:r>
        <w:rPr>
          <w:rFonts w:eastAsia="???"/>
          <w:lang w:val="fr-CH"/>
        </w:rPr>
        <w:t xml:space="preserve">large bande dans les situations suivantes : canaux adjacents dans le segment </w:t>
      </w:r>
      <w:r w:rsidR="007F4C57" w:rsidRPr="00410B46">
        <w:rPr>
          <w:rFonts w:eastAsia="???"/>
          <w:lang w:val="fr-CH"/>
        </w:rPr>
        <w:t>3</w:t>
      </w:r>
      <w:r w:rsidR="00C31B43">
        <w:rPr>
          <w:rFonts w:eastAsia="???"/>
          <w:lang w:val="fr-CH"/>
        </w:rPr>
        <w:t xml:space="preserve"> </w:t>
      </w:r>
      <w:r w:rsidR="007F4C57" w:rsidRPr="00410B46">
        <w:rPr>
          <w:rFonts w:eastAsia="???"/>
          <w:lang w:val="fr-CH"/>
        </w:rPr>
        <w:t>400-3</w:t>
      </w:r>
      <w:r w:rsidR="00C31B43">
        <w:rPr>
          <w:rFonts w:eastAsia="???"/>
          <w:lang w:val="fr-CH"/>
        </w:rPr>
        <w:t> </w:t>
      </w:r>
      <w:r w:rsidR="007F4C57" w:rsidRPr="00410B46">
        <w:rPr>
          <w:rFonts w:eastAsia="???"/>
          <w:lang w:val="fr-CH"/>
        </w:rPr>
        <w:t>600 MHz segment</w:t>
      </w:r>
      <w:r>
        <w:rPr>
          <w:rFonts w:eastAsia="???"/>
          <w:lang w:val="fr-CH"/>
        </w:rPr>
        <w:t xml:space="preserve"> et même canal dans le segment </w:t>
      </w:r>
      <w:r w:rsidR="007F4C57" w:rsidRPr="00410B46">
        <w:rPr>
          <w:rFonts w:eastAsia="???"/>
          <w:lang w:val="fr-CH"/>
        </w:rPr>
        <w:t>3</w:t>
      </w:r>
      <w:r w:rsidR="00C31B43">
        <w:rPr>
          <w:rFonts w:eastAsia="???"/>
          <w:lang w:val="fr-CH"/>
        </w:rPr>
        <w:t xml:space="preserve"> </w:t>
      </w:r>
      <w:r w:rsidR="007F4C57" w:rsidRPr="00410B46">
        <w:rPr>
          <w:rFonts w:eastAsia="???"/>
          <w:lang w:val="fr-CH"/>
        </w:rPr>
        <w:t>600-4</w:t>
      </w:r>
      <w:r w:rsidR="00C31B43">
        <w:rPr>
          <w:rFonts w:eastAsia="???"/>
          <w:lang w:val="fr-CH"/>
        </w:rPr>
        <w:t xml:space="preserve"> 200 MHz.</w:t>
      </w:r>
    </w:p>
    <w:p w:rsidR="007F4C57" w:rsidRPr="00410B46" w:rsidRDefault="00410B46" w:rsidP="005E464F">
      <w:pPr>
        <w:rPr>
          <w:rFonts w:eastAsia="???"/>
          <w:lang w:val="fr-CH"/>
        </w:rPr>
      </w:pPr>
      <w:r w:rsidRPr="00410B46">
        <w:rPr>
          <w:rFonts w:eastAsia="???"/>
          <w:lang w:val="fr-CH"/>
        </w:rPr>
        <w:t xml:space="preserve">Les dernières études menées par l’UIT–R visaient à évaluer s’il était possible sur le plan technique de mettre en œuvre des systèmes IMT évolués dans la bande </w:t>
      </w:r>
      <w:r w:rsidR="007F4C57" w:rsidRPr="00410B46">
        <w:rPr>
          <w:rFonts w:eastAsia="???"/>
          <w:lang w:val="fr-CH"/>
        </w:rPr>
        <w:t>3 400-4 200 MHz</w:t>
      </w:r>
      <w:r>
        <w:rPr>
          <w:rFonts w:eastAsia="???"/>
          <w:lang w:val="fr-CH"/>
        </w:rPr>
        <w:t xml:space="preserve"> en utilisant les dernières caractéristiques des IMT évoluées communiquées par le GT</w:t>
      </w:r>
      <w:r w:rsidR="007F4C57" w:rsidRPr="00410B46">
        <w:rPr>
          <w:rFonts w:eastAsia="???"/>
          <w:lang w:val="fr-CH"/>
        </w:rPr>
        <w:t xml:space="preserve">5D </w:t>
      </w:r>
      <w:r>
        <w:rPr>
          <w:rFonts w:eastAsia="???"/>
          <w:lang w:val="fr-CH"/>
        </w:rPr>
        <w:t>au GAM. Il ressort de ces études de partage, qui font apparaître que des distances de séparation de plusieurs dizaines de kilomètres sont nécessaires compte tenu de l’essor des stations terriennes du SFS, que toute coexistence est impossible.</w:t>
      </w:r>
    </w:p>
    <w:p w:rsidR="007F4C57" w:rsidRDefault="007F4C57" w:rsidP="00C31B43">
      <w:pPr>
        <w:pStyle w:val="Headingb"/>
        <w:rPr>
          <w:lang w:val="fr-CH"/>
        </w:rPr>
      </w:pPr>
      <w:r w:rsidRPr="002A15C1">
        <w:rPr>
          <w:lang w:val="fr-CH"/>
        </w:rPr>
        <w:t>Propos</w:t>
      </w:r>
      <w:r w:rsidR="00410B46">
        <w:rPr>
          <w:lang w:val="fr-CH"/>
        </w:rPr>
        <w:t>itions</w:t>
      </w:r>
    </w:p>
    <w:p w:rsidR="00C31B43" w:rsidRDefault="00C31B43" w:rsidP="00C31B43">
      <w:pPr>
        <w:rPr>
          <w:lang w:val="fr-CH"/>
        </w:rPr>
      </w:pPr>
      <w:r>
        <w:rPr>
          <w:lang w:val="fr-CH"/>
        </w:rPr>
        <w:br w:type="page"/>
      </w:r>
    </w:p>
    <w:p w:rsidR="004A6A8C" w:rsidRDefault="00E039A7" w:rsidP="00D94B99">
      <w:pPr>
        <w:pStyle w:val="ArtNo"/>
      </w:pPr>
      <w:r>
        <w:lastRenderedPageBreak/>
        <w:t xml:space="preserve">ARTICLE </w:t>
      </w:r>
      <w:r>
        <w:rPr>
          <w:rStyle w:val="href"/>
          <w:color w:val="000000"/>
        </w:rPr>
        <w:t>5</w:t>
      </w:r>
    </w:p>
    <w:p w:rsidR="004A6A8C" w:rsidRDefault="00E039A7" w:rsidP="00D94B99">
      <w:pPr>
        <w:pStyle w:val="Arttitle"/>
        <w:rPr>
          <w:lang w:val="fr-CH"/>
        </w:rPr>
      </w:pPr>
      <w:r>
        <w:rPr>
          <w:lang w:val="fr-CH"/>
        </w:rPr>
        <w:t>Attribution des bandes de fréquences</w:t>
      </w:r>
    </w:p>
    <w:p w:rsidR="004A6A8C" w:rsidRPr="00375EEA" w:rsidRDefault="00E039A7" w:rsidP="005E464F">
      <w:pPr>
        <w:pStyle w:val="Section1"/>
        <w:keepNext/>
      </w:pPr>
      <w:r>
        <w:t>Section IV –</w:t>
      </w:r>
      <w:r w:rsidRPr="00375EEA">
        <w:t xml:space="preserve"> Tableau d'attribution des bandes de fréquences</w:t>
      </w:r>
      <w:r w:rsidRPr="00375EEA">
        <w:br/>
      </w:r>
      <w:r w:rsidRPr="00260AE5">
        <w:t>(Voir le numéro 2.1)</w:t>
      </w:r>
      <w:r>
        <w:rPr>
          <w:b w:val="0"/>
          <w:color w:val="000000"/>
        </w:rPr>
        <w:br/>
      </w:r>
    </w:p>
    <w:p w:rsidR="00FE6C6A" w:rsidRDefault="00E039A7">
      <w:pPr>
        <w:pStyle w:val="Proposal"/>
      </w:pPr>
      <w:r>
        <w:rPr>
          <w:u w:val="single"/>
        </w:rPr>
        <w:t>NOC</w:t>
      </w:r>
      <w:r w:rsidR="007F4C57">
        <w:tab/>
        <w:t>IAP/7A1</w:t>
      </w:r>
      <w:r>
        <w:t>/15</w:t>
      </w:r>
    </w:p>
    <w:p w:rsidR="004A6A8C" w:rsidRDefault="00E039A7" w:rsidP="00D94B99">
      <w:pPr>
        <w:pStyle w:val="Tabletitle"/>
        <w:rPr>
          <w:color w:val="000000"/>
        </w:rPr>
      </w:pPr>
      <w:r>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11"/>
        <w:gridCol w:w="3118"/>
        <w:gridCol w:w="3269"/>
      </w:tblGrid>
      <w:tr w:rsidR="004A6A8C" w:rsidTr="00D94B99">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4A6A8C" w:rsidRDefault="00E039A7" w:rsidP="00D94B99">
            <w:pPr>
              <w:pStyle w:val="Tablehead"/>
              <w:rPr>
                <w:color w:val="000000"/>
              </w:rPr>
            </w:pPr>
            <w:r>
              <w:rPr>
                <w:color w:val="000000"/>
              </w:rPr>
              <w:t>Attribution aux services</w:t>
            </w:r>
          </w:p>
        </w:tc>
      </w:tr>
      <w:tr w:rsidR="004A6A8C" w:rsidTr="00CB1D97">
        <w:trPr>
          <w:cantSplit/>
          <w:jc w:val="center"/>
        </w:trPr>
        <w:tc>
          <w:tcPr>
            <w:tcW w:w="3111" w:type="dxa"/>
            <w:tcBorders>
              <w:top w:val="single" w:sz="6" w:space="0" w:color="auto"/>
              <w:left w:val="single" w:sz="6" w:space="0" w:color="auto"/>
              <w:bottom w:val="single" w:sz="6" w:space="0" w:color="auto"/>
              <w:right w:val="single" w:sz="6" w:space="0" w:color="auto"/>
            </w:tcBorders>
          </w:tcPr>
          <w:p w:rsidR="004A6A8C" w:rsidRDefault="00E039A7" w:rsidP="00D94B99">
            <w:pPr>
              <w:pStyle w:val="Tablehead"/>
              <w:rPr>
                <w:color w:val="000000"/>
              </w:rPr>
            </w:pPr>
            <w:r>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rsidR="004A6A8C" w:rsidRDefault="00E039A7" w:rsidP="00D94B99">
            <w:pPr>
              <w:pStyle w:val="Tablehead"/>
              <w:rPr>
                <w:color w:val="000000"/>
              </w:rPr>
            </w:pPr>
            <w:r>
              <w:rPr>
                <w:color w:val="000000"/>
              </w:rPr>
              <w:t>Région 2</w:t>
            </w:r>
          </w:p>
        </w:tc>
        <w:tc>
          <w:tcPr>
            <w:tcW w:w="3269" w:type="dxa"/>
            <w:tcBorders>
              <w:top w:val="single" w:sz="6" w:space="0" w:color="auto"/>
              <w:left w:val="single" w:sz="6" w:space="0" w:color="auto"/>
              <w:bottom w:val="single" w:sz="6" w:space="0" w:color="auto"/>
              <w:right w:val="single" w:sz="6" w:space="0" w:color="auto"/>
            </w:tcBorders>
          </w:tcPr>
          <w:p w:rsidR="004A6A8C" w:rsidRDefault="00E039A7" w:rsidP="00D94B99">
            <w:pPr>
              <w:pStyle w:val="Tablehead"/>
              <w:rPr>
                <w:color w:val="000000"/>
              </w:rPr>
            </w:pPr>
            <w:r>
              <w:rPr>
                <w:color w:val="000000"/>
              </w:rPr>
              <w:t>Région 3</w:t>
            </w:r>
          </w:p>
        </w:tc>
      </w:tr>
      <w:tr w:rsidR="004A6A8C" w:rsidTr="00CB1D97">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1" w:type="dxa"/>
            <w:tcBorders>
              <w:top w:val="nil"/>
              <w:left w:val="single" w:sz="4" w:space="0" w:color="auto"/>
              <w:bottom w:val="single" w:sz="4" w:space="0" w:color="auto"/>
              <w:right w:val="single" w:sz="6" w:space="0" w:color="auto"/>
            </w:tcBorders>
          </w:tcPr>
          <w:p w:rsidR="004A6A8C" w:rsidRPr="00D56DE3" w:rsidRDefault="001E2873" w:rsidP="00D94B99">
            <w:pPr>
              <w:pStyle w:val="TableTextS5"/>
              <w:spacing w:before="10" w:after="10"/>
              <w:ind w:left="300" w:right="130" w:hanging="170"/>
              <w:rPr>
                <w:rStyle w:val="Tablefreq"/>
                <w:b w:val="0"/>
                <w:color w:val="000000"/>
              </w:rPr>
            </w:pPr>
          </w:p>
        </w:tc>
        <w:tc>
          <w:tcPr>
            <w:tcW w:w="3118" w:type="dxa"/>
            <w:tcBorders>
              <w:top w:val="single" w:sz="4" w:space="0" w:color="auto"/>
              <w:left w:val="single" w:sz="6" w:space="0" w:color="auto"/>
              <w:bottom w:val="nil"/>
              <w:right w:val="single" w:sz="6" w:space="0" w:color="auto"/>
            </w:tcBorders>
          </w:tcPr>
          <w:p w:rsidR="004A6A8C" w:rsidRPr="004867BF" w:rsidRDefault="00E039A7" w:rsidP="00D94B99">
            <w:pPr>
              <w:pStyle w:val="TableTextS5"/>
              <w:spacing w:before="10" w:after="10"/>
              <w:ind w:left="300" w:right="130" w:hanging="170"/>
              <w:rPr>
                <w:color w:val="000000"/>
              </w:rPr>
            </w:pPr>
            <w:r w:rsidRPr="0046453D">
              <w:rPr>
                <w:rStyle w:val="Tablefreq"/>
              </w:rPr>
              <w:t>3 500-3 700</w:t>
            </w:r>
          </w:p>
          <w:p w:rsidR="004A6A8C" w:rsidRPr="004867BF" w:rsidRDefault="00E039A7" w:rsidP="00D94B99">
            <w:pPr>
              <w:pStyle w:val="TableTextS5"/>
              <w:spacing w:before="10" w:after="10"/>
              <w:ind w:left="300" w:right="130" w:hanging="170"/>
              <w:rPr>
                <w:color w:val="000000"/>
              </w:rPr>
            </w:pPr>
            <w:r w:rsidRPr="004867BF">
              <w:rPr>
                <w:color w:val="000000"/>
              </w:rPr>
              <w:t>FIXE</w:t>
            </w:r>
          </w:p>
          <w:p w:rsidR="004A6A8C" w:rsidRDefault="00E039A7" w:rsidP="00D94B99">
            <w:pPr>
              <w:pStyle w:val="TableTextS5"/>
              <w:spacing w:before="10" w:after="10"/>
              <w:ind w:left="300" w:right="130" w:hanging="170"/>
              <w:rPr>
                <w:color w:val="000000"/>
              </w:rPr>
            </w:pPr>
            <w:r>
              <w:rPr>
                <w:color w:val="000000"/>
              </w:rPr>
              <w:t>FIXE</w:t>
            </w:r>
            <w:r w:rsidRPr="003A7B14">
              <w:rPr>
                <w:color w:val="000000"/>
              </w:rPr>
              <w:t xml:space="preserve"> PAR SATELLITE (espace vers Terre</w:t>
            </w:r>
            <w:r>
              <w:rPr>
                <w:color w:val="000000"/>
              </w:rPr>
              <w:t>)</w:t>
            </w:r>
          </w:p>
          <w:p w:rsidR="004A6A8C" w:rsidRPr="002151BA" w:rsidRDefault="00E039A7" w:rsidP="00D94B99">
            <w:pPr>
              <w:pStyle w:val="TableTextS5"/>
              <w:spacing w:before="10" w:after="10"/>
              <w:ind w:left="300" w:right="130" w:hanging="170"/>
              <w:rPr>
                <w:color w:val="000000"/>
              </w:rPr>
            </w:pPr>
            <w:r>
              <w:rPr>
                <w:color w:val="000000"/>
              </w:rPr>
              <w:t xml:space="preserve">MOBILE sauf mobile </w:t>
            </w:r>
            <w:r>
              <w:rPr>
                <w:color w:val="000000"/>
              </w:rPr>
              <w:br/>
              <w:t>aéronautique</w:t>
            </w:r>
            <w:bookmarkStart w:id="6" w:name="_GoBack"/>
            <w:bookmarkEnd w:id="6"/>
          </w:p>
          <w:p w:rsidR="004A6A8C" w:rsidRDefault="00E039A7" w:rsidP="00D94B99">
            <w:pPr>
              <w:pStyle w:val="TableTextS5"/>
              <w:spacing w:before="10" w:after="10"/>
              <w:ind w:left="300" w:right="130" w:hanging="170"/>
              <w:rPr>
                <w:rStyle w:val="Tablefreq"/>
                <w:b w:val="0"/>
                <w:bCs/>
                <w:color w:val="000000"/>
              </w:rPr>
            </w:pPr>
            <w:r w:rsidRPr="003A7B14">
              <w:rPr>
                <w:color w:val="000000"/>
              </w:rPr>
              <w:t>Radiolocalisation</w:t>
            </w:r>
            <w:r w:rsidRPr="007D6EBE">
              <w:rPr>
                <w:color w:val="000000"/>
              </w:rPr>
              <w:t xml:space="preserve"> </w:t>
            </w:r>
            <w:r w:rsidRPr="004867BF">
              <w:rPr>
                <w:color w:val="000000"/>
              </w:rPr>
              <w:t xml:space="preserve"> </w:t>
            </w:r>
            <w:r w:rsidRPr="00880E98">
              <w:t>5.433</w:t>
            </w:r>
          </w:p>
        </w:tc>
        <w:tc>
          <w:tcPr>
            <w:tcW w:w="3269" w:type="dxa"/>
            <w:tcBorders>
              <w:top w:val="single" w:sz="4" w:space="0" w:color="auto"/>
              <w:left w:val="single" w:sz="6" w:space="0" w:color="auto"/>
              <w:bottom w:val="single" w:sz="4" w:space="0" w:color="auto"/>
              <w:right w:val="single" w:sz="6" w:space="0" w:color="auto"/>
            </w:tcBorders>
          </w:tcPr>
          <w:p w:rsidR="004A6A8C" w:rsidRDefault="001E2873" w:rsidP="00D94B99">
            <w:pPr>
              <w:pStyle w:val="TableTextS5"/>
              <w:spacing w:before="10" w:after="10"/>
              <w:ind w:left="300" w:right="130" w:hanging="170"/>
              <w:rPr>
                <w:rStyle w:val="Tablefreq"/>
                <w:b w:val="0"/>
                <w:bCs/>
                <w:color w:val="000000"/>
              </w:rPr>
            </w:pPr>
          </w:p>
        </w:tc>
      </w:tr>
      <w:tr w:rsidR="004A6A8C" w:rsidTr="00CB1D97">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1" w:type="dxa"/>
            <w:tcBorders>
              <w:top w:val="single" w:sz="4" w:space="0" w:color="auto"/>
              <w:left w:val="single" w:sz="4" w:space="0" w:color="auto"/>
              <w:bottom w:val="nil"/>
              <w:right w:val="single" w:sz="4" w:space="0" w:color="auto"/>
            </w:tcBorders>
          </w:tcPr>
          <w:p w:rsidR="004A6A8C" w:rsidRPr="004867BF" w:rsidRDefault="00E039A7" w:rsidP="00D94B99">
            <w:pPr>
              <w:pStyle w:val="TableTextS5"/>
              <w:spacing w:before="10" w:after="10"/>
              <w:ind w:left="300" w:right="130" w:hanging="170"/>
              <w:rPr>
                <w:color w:val="000000"/>
              </w:rPr>
            </w:pPr>
            <w:r w:rsidRPr="0046453D">
              <w:rPr>
                <w:rStyle w:val="Tablefreq"/>
              </w:rPr>
              <w:t>3 600-4 200</w:t>
            </w:r>
          </w:p>
          <w:p w:rsidR="004A6A8C" w:rsidRPr="004867BF" w:rsidRDefault="00E039A7" w:rsidP="00D94B99">
            <w:pPr>
              <w:pStyle w:val="TableTextS5"/>
              <w:spacing w:before="10" w:after="10"/>
              <w:ind w:left="300" w:right="130" w:hanging="170"/>
              <w:rPr>
                <w:color w:val="000000"/>
              </w:rPr>
            </w:pPr>
            <w:r>
              <w:rPr>
                <w:color w:val="000000"/>
              </w:rPr>
              <w:t>FIXE</w:t>
            </w:r>
          </w:p>
          <w:p w:rsidR="004A6A8C" w:rsidRPr="004867BF" w:rsidRDefault="00E039A7" w:rsidP="00D94B99">
            <w:pPr>
              <w:pStyle w:val="TableTextS5"/>
              <w:spacing w:before="10" w:after="10"/>
              <w:ind w:left="300" w:right="130" w:hanging="170"/>
              <w:rPr>
                <w:color w:val="000000"/>
              </w:rPr>
            </w:pPr>
            <w:r>
              <w:rPr>
                <w:color w:val="000000"/>
              </w:rPr>
              <w:t>FIXE</w:t>
            </w:r>
            <w:r w:rsidRPr="008015CA">
              <w:rPr>
                <w:color w:val="000000"/>
              </w:rPr>
              <w:t xml:space="preserve"> PAR SATELLITE</w:t>
            </w:r>
            <w:r w:rsidRPr="008015CA">
              <w:rPr>
                <w:color w:val="000000"/>
              </w:rPr>
              <w:br/>
              <w:t>(espace vers Terre</w:t>
            </w:r>
            <w:r w:rsidRPr="004867BF">
              <w:rPr>
                <w:color w:val="000000"/>
              </w:rPr>
              <w:t>)</w:t>
            </w:r>
          </w:p>
          <w:p w:rsidR="004A6A8C" w:rsidRDefault="00E039A7" w:rsidP="00D94B99">
            <w:pPr>
              <w:pStyle w:val="TableTextS5"/>
              <w:spacing w:before="10" w:after="10"/>
              <w:ind w:left="300" w:right="130" w:hanging="170"/>
              <w:rPr>
                <w:rStyle w:val="Tablefreq"/>
                <w:color w:val="000000"/>
              </w:rPr>
            </w:pPr>
            <w:r w:rsidRPr="004867BF">
              <w:rPr>
                <w:color w:val="000000"/>
              </w:rPr>
              <w:t>Mobile</w:t>
            </w:r>
          </w:p>
        </w:tc>
        <w:tc>
          <w:tcPr>
            <w:tcW w:w="3118" w:type="dxa"/>
            <w:tcBorders>
              <w:top w:val="nil"/>
              <w:left w:val="single" w:sz="4" w:space="0" w:color="auto"/>
              <w:bottom w:val="single" w:sz="4" w:space="0" w:color="auto"/>
              <w:right w:val="single" w:sz="6" w:space="0" w:color="auto"/>
            </w:tcBorders>
          </w:tcPr>
          <w:p w:rsidR="004A6A8C" w:rsidRDefault="001E2873" w:rsidP="00D94B99">
            <w:pPr>
              <w:pStyle w:val="TableTextS5"/>
              <w:spacing w:before="10" w:after="10"/>
              <w:ind w:left="300" w:right="130" w:hanging="170"/>
              <w:rPr>
                <w:rStyle w:val="Tablefreq"/>
                <w:color w:val="000000"/>
              </w:rPr>
            </w:pPr>
          </w:p>
        </w:tc>
        <w:tc>
          <w:tcPr>
            <w:tcW w:w="3269" w:type="dxa"/>
            <w:tcBorders>
              <w:top w:val="single" w:sz="4" w:space="0" w:color="auto"/>
              <w:left w:val="single" w:sz="6" w:space="0" w:color="auto"/>
              <w:bottom w:val="single" w:sz="4" w:space="0" w:color="auto"/>
              <w:right w:val="single" w:sz="6" w:space="0" w:color="auto"/>
            </w:tcBorders>
          </w:tcPr>
          <w:p w:rsidR="004A6A8C" w:rsidRPr="004867BF" w:rsidRDefault="00E039A7" w:rsidP="00D94B99">
            <w:pPr>
              <w:pStyle w:val="TableTextS5"/>
              <w:spacing w:before="10" w:after="10"/>
              <w:ind w:left="300" w:right="130" w:hanging="170"/>
              <w:rPr>
                <w:color w:val="000000"/>
              </w:rPr>
            </w:pPr>
            <w:r w:rsidRPr="0046453D">
              <w:rPr>
                <w:rStyle w:val="Tablefreq"/>
              </w:rPr>
              <w:t>3 600-3 700</w:t>
            </w:r>
          </w:p>
          <w:p w:rsidR="004A6A8C" w:rsidRPr="004867BF" w:rsidRDefault="00E039A7" w:rsidP="00D94B99">
            <w:pPr>
              <w:pStyle w:val="TableTextS5"/>
              <w:spacing w:before="10" w:after="10"/>
              <w:ind w:left="300" w:right="130" w:hanging="170"/>
              <w:rPr>
                <w:color w:val="000000"/>
              </w:rPr>
            </w:pPr>
            <w:r>
              <w:rPr>
                <w:color w:val="000000"/>
              </w:rPr>
              <w:t>FIXE</w:t>
            </w:r>
          </w:p>
          <w:p w:rsidR="004A6A8C" w:rsidRPr="004867BF" w:rsidRDefault="00E039A7" w:rsidP="00D94B99">
            <w:pPr>
              <w:pStyle w:val="TableTextS5"/>
              <w:spacing w:before="10" w:after="10"/>
              <w:ind w:left="300" w:right="130" w:hanging="170"/>
              <w:rPr>
                <w:color w:val="000000"/>
              </w:rPr>
            </w:pPr>
            <w:r w:rsidRPr="003A7B14">
              <w:rPr>
                <w:color w:val="000000"/>
              </w:rPr>
              <w:t>FIXE PAR SATELLITE (espace vers Terre</w:t>
            </w:r>
            <w:r w:rsidRPr="004867BF">
              <w:rPr>
                <w:color w:val="000000"/>
              </w:rPr>
              <w:t>)</w:t>
            </w:r>
          </w:p>
          <w:p w:rsidR="004A6A8C" w:rsidRPr="002151BA" w:rsidRDefault="00E039A7" w:rsidP="00D94B99">
            <w:pPr>
              <w:pStyle w:val="TableTextS5"/>
              <w:spacing w:before="10" w:after="10"/>
              <w:ind w:left="300" w:right="130" w:hanging="170"/>
              <w:rPr>
                <w:color w:val="000000"/>
              </w:rPr>
            </w:pPr>
            <w:r>
              <w:rPr>
                <w:color w:val="000000"/>
              </w:rPr>
              <w:t>MOBILE sauf mobile aéronautique</w:t>
            </w:r>
          </w:p>
          <w:p w:rsidR="004A6A8C" w:rsidRPr="004867BF" w:rsidRDefault="00E039A7" w:rsidP="00D94B99">
            <w:pPr>
              <w:pStyle w:val="TableTextS5"/>
              <w:spacing w:before="10" w:after="10"/>
              <w:ind w:left="300" w:right="130" w:hanging="170"/>
              <w:rPr>
                <w:color w:val="000000"/>
              </w:rPr>
            </w:pPr>
            <w:r w:rsidRPr="003A7B14">
              <w:rPr>
                <w:color w:val="000000"/>
              </w:rPr>
              <w:t>Radiolocalisation</w:t>
            </w:r>
          </w:p>
          <w:p w:rsidR="004A6A8C" w:rsidRPr="00880E98" w:rsidRDefault="00E039A7" w:rsidP="00D94B99">
            <w:pPr>
              <w:pStyle w:val="TableTextS5"/>
              <w:spacing w:before="10" w:after="10"/>
              <w:ind w:left="300" w:right="130" w:hanging="170"/>
            </w:pPr>
            <w:r w:rsidRPr="00880E98">
              <w:t>5.435</w:t>
            </w:r>
          </w:p>
        </w:tc>
      </w:tr>
      <w:tr w:rsidR="004A6A8C" w:rsidTr="00CB1D97">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1" w:type="dxa"/>
            <w:tcBorders>
              <w:top w:val="nil"/>
              <w:left w:val="single" w:sz="4" w:space="0" w:color="auto"/>
              <w:bottom w:val="single" w:sz="4" w:space="0" w:color="auto"/>
              <w:right w:val="single" w:sz="4" w:space="0" w:color="auto"/>
            </w:tcBorders>
          </w:tcPr>
          <w:p w:rsidR="004A6A8C" w:rsidRDefault="001E2873" w:rsidP="00D94B99">
            <w:pPr>
              <w:pStyle w:val="TableTextS5"/>
              <w:spacing w:before="10" w:after="10"/>
              <w:ind w:left="300" w:right="130" w:hanging="170"/>
              <w:rPr>
                <w:rStyle w:val="Tablefreq"/>
                <w:color w:val="000000"/>
              </w:rPr>
            </w:pPr>
          </w:p>
        </w:tc>
        <w:tc>
          <w:tcPr>
            <w:tcW w:w="6387" w:type="dxa"/>
            <w:gridSpan w:val="2"/>
            <w:tcBorders>
              <w:top w:val="single" w:sz="4" w:space="0" w:color="auto"/>
              <w:left w:val="single" w:sz="4" w:space="0" w:color="auto"/>
              <w:bottom w:val="single" w:sz="4" w:space="0" w:color="auto"/>
              <w:right w:val="single" w:sz="6" w:space="0" w:color="auto"/>
            </w:tcBorders>
          </w:tcPr>
          <w:p w:rsidR="004A6A8C" w:rsidRPr="004867BF" w:rsidRDefault="00E039A7" w:rsidP="00D94B99">
            <w:pPr>
              <w:pStyle w:val="TableTextS5"/>
              <w:spacing w:before="10" w:after="10"/>
              <w:ind w:left="300" w:right="130" w:hanging="170"/>
              <w:rPr>
                <w:color w:val="000000"/>
              </w:rPr>
            </w:pPr>
            <w:r w:rsidRPr="0046453D">
              <w:rPr>
                <w:rStyle w:val="Tablefreq"/>
              </w:rPr>
              <w:t>3 700-4 200</w:t>
            </w:r>
          </w:p>
          <w:p w:rsidR="004A6A8C" w:rsidRPr="004867BF" w:rsidRDefault="00E039A7" w:rsidP="00D94B99">
            <w:pPr>
              <w:pStyle w:val="TableTextS5"/>
              <w:tabs>
                <w:tab w:val="clear" w:pos="170"/>
                <w:tab w:val="left" w:pos="692"/>
              </w:tabs>
              <w:spacing w:before="10" w:after="10"/>
              <w:ind w:left="130" w:right="130"/>
              <w:rPr>
                <w:color w:val="000000"/>
              </w:rPr>
            </w:pPr>
            <w:r>
              <w:rPr>
                <w:color w:val="000000"/>
              </w:rPr>
              <w:t>FIXE</w:t>
            </w:r>
          </w:p>
          <w:p w:rsidR="004A6A8C" w:rsidRPr="003A7B14" w:rsidRDefault="00E039A7" w:rsidP="00D94B99">
            <w:pPr>
              <w:pStyle w:val="TableTextS5"/>
              <w:spacing w:before="10" w:after="10"/>
              <w:ind w:left="300" w:right="130" w:hanging="170"/>
              <w:rPr>
                <w:color w:val="000000"/>
              </w:rPr>
            </w:pPr>
            <w:r w:rsidRPr="003A7B14">
              <w:rPr>
                <w:color w:val="000000"/>
              </w:rPr>
              <w:t>FIXE PAR SATELLITE (espace vers Terre)</w:t>
            </w:r>
          </w:p>
          <w:p w:rsidR="004A6A8C" w:rsidRDefault="00E039A7" w:rsidP="00D94B99">
            <w:pPr>
              <w:pStyle w:val="TableTextS5"/>
              <w:spacing w:before="10" w:after="10"/>
              <w:ind w:left="130" w:right="130"/>
              <w:rPr>
                <w:rStyle w:val="Tablefreq"/>
                <w:color w:val="000000"/>
              </w:rPr>
            </w:pPr>
            <w:r>
              <w:rPr>
                <w:color w:val="000000"/>
              </w:rPr>
              <w:t>MOBILE sauf mobile aéronautique</w:t>
            </w:r>
          </w:p>
        </w:tc>
      </w:tr>
    </w:tbl>
    <w:p w:rsidR="005E464F" w:rsidRDefault="00E039A7" w:rsidP="005E464F">
      <w:pPr>
        <w:pStyle w:val="Reasons"/>
        <w:rPr>
          <w:szCs w:val="24"/>
          <w:lang w:val="fr-CH"/>
        </w:rPr>
      </w:pPr>
      <w:r w:rsidRPr="00410B46">
        <w:rPr>
          <w:b/>
          <w:lang w:val="fr-CH"/>
        </w:rPr>
        <w:t>Motifs:</w:t>
      </w:r>
      <w:r w:rsidRPr="00410B46">
        <w:rPr>
          <w:lang w:val="fr-CH"/>
        </w:rPr>
        <w:tab/>
      </w:r>
      <w:r w:rsidR="00410B46" w:rsidRPr="009C0F71">
        <w:rPr>
          <w:lang w:val="fr-CH"/>
        </w:rPr>
        <w:t>Du fait de l’existence d’un vaste réseau de stations terriennes dans la Région 2, il s’avère impossible d’attribuer la bande 3</w:t>
      </w:r>
      <w:r w:rsidR="00C31B43">
        <w:rPr>
          <w:lang w:val="fr-CH"/>
        </w:rPr>
        <w:t xml:space="preserve"> </w:t>
      </w:r>
      <w:r w:rsidR="00410B46" w:rsidRPr="009C0F71">
        <w:rPr>
          <w:lang w:val="fr-CH"/>
        </w:rPr>
        <w:t>600-4</w:t>
      </w:r>
      <w:r w:rsidR="00C31B43">
        <w:rPr>
          <w:lang w:val="fr-CH"/>
        </w:rPr>
        <w:t xml:space="preserve"> </w:t>
      </w:r>
      <w:r w:rsidR="00410B46" w:rsidRPr="009C0F71">
        <w:rPr>
          <w:lang w:val="fr-CH"/>
        </w:rPr>
        <w:t xml:space="preserve">200 MHz </w:t>
      </w:r>
      <w:r w:rsidR="005E464F">
        <w:rPr>
          <w:lang w:val="fr-CH"/>
        </w:rPr>
        <w:t xml:space="preserve">au service mobile </w:t>
      </w:r>
      <w:r w:rsidR="00410B46">
        <w:rPr>
          <w:lang w:val="fr-CH"/>
        </w:rPr>
        <w:t>dans cette Région</w:t>
      </w:r>
      <w:r w:rsidR="00CB1D97" w:rsidRPr="00410B46">
        <w:rPr>
          <w:szCs w:val="24"/>
          <w:lang w:val="fr-CH"/>
        </w:rPr>
        <w:t xml:space="preserve">. </w:t>
      </w:r>
    </w:p>
    <w:p w:rsidR="00CB1D97" w:rsidRPr="005E464F" w:rsidRDefault="005E464F" w:rsidP="005E464F">
      <w:pPr>
        <w:pStyle w:val="Reasons"/>
        <w:rPr>
          <w:szCs w:val="24"/>
          <w:lang w:val="fr-CH"/>
        </w:rPr>
      </w:pPr>
      <w:r>
        <w:rPr>
          <w:lang w:val="fr-CH"/>
        </w:rPr>
        <w:t>Dans la R</w:t>
      </w:r>
      <w:r w:rsidR="00885ABC" w:rsidRPr="00885ABC">
        <w:rPr>
          <w:lang w:val="fr-CH"/>
        </w:rPr>
        <w:t>égion Amériques, cette bande est largement utilisée par les systèmes à satellites</w:t>
      </w:r>
      <w:r>
        <w:rPr>
          <w:lang w:val="fr-CH"/>
        </w:rPr>
        <w:t xml:space="preserve"> actuellement</w:t>
      </w:r>
      <w:r w:rsidR="00885ABC" w:rsidRPr="00885ABC">
        <w:rPr>
          <w:lang w:val="fr-CH"/>
        </w:rPr>
        <w:t xml:space="preserve"> exploités et un nombre important de station</w:t>
      </w:r>
      <w:r w:rsidR="00885ABC">
        <w:rPr>
          <w:lang w:val="fr-CH"/>
        </w:rPr>
        <w:t>s</w:t>
      </w:r>
      <w:r w:rsidR="00885ABC" w:rsidRPr="00885ABC">
        <w:rPr>
          <w:lang w:val="fr-CH"/>
        </w:rPr>
        <w:t xml:space="preserve"> terrienne</w:t>
      </w:r>
      <w:r w:rsidR="00885ABC">
        <w:rPr>
          <w:lang w:val="fr-CH"/>
        </w:rPr>
        <w:t>s</w:t>
      </w:r>
      <w:r w:rsidR="00885ABC" w:rsidRPr="00885ABC">
        <w:rPr>
          <w:lang w:val="fr-CH"/>
        </w:rPr>
        <w:t xml:space="preserve"> </w:t>
      </w:r>
      <w:r w:rsidR="00885ABC">
        <w:rPr>
          <w:lang w:val="fr-CH"/>
        </w:rPr>
        <w:t xml:space="preserve">sont déployées sur l’ensemble du territoire. </w:t>
      </w:r>
      <w:r w:rsidR="00885ABC" w:rsidRPr="00885ABC">
        <w:rPr>
          <w:lang w:val="fr-CH"/>
        </w:rPr>
        <w:t xml:space="preserve">Des projets ont également été élaborés concernant de nouveaux satellites qui ont été récemment placés en orbite </w:t>
      </w:r>
      <w:r w:rsidR="00885ABC">
        <w:rPr>
          <w:lang w:val="fr-CH"/>
        </w:rPr>
        <w:t>et il exis</w:t>
      </w:r>
      <w:r>
        <w:rPr>
          <w:lang w:val="fr-CH"/>
        </w:rPr>
        <w:t>te d’autres projets relatifs au lancement futur</w:t>
      </w:r>
      <w:r w:rsidR="00885ABC">
        <w:rPr>
          <w:lang w:val="fr-CH"/>
        </w:rPr>
        <w:t xml:space="preserve"> de satellites pour lesquels on envisage d’utiliser la bande C et la bande </w:t>
      </w:r>
      <w:r w:rsidR="00CB1D97" w:rsidRPr="00885ABC">
        <w:rPr>
          <w:lang w:val="fr-CH"/>
        </w:rPr>
        <w:t>C</w:t>
      </w:r>
      <w:r w:rsidR="00885ABC">
        <w:rPr>
          <w:lang w:val="fr-CH"/>
        </w:rPr>
        <w:t xml:space="preserve"> étendue, de sorte qu’il est</w:t>
      </w:r>
      <w:r>
        <w:rPr>
          <w:lang w:val="fr-CH"/>
        </w:rPr>
        <w:t>,</w:t>
      </w:r>
      <w:r w:rsidR="00885ABC">
        <w:rPr>
          <w:lang w:val="fr-CH"/>
        </w:rPr>
        <w:t xml:space="preserve"> pour ainsi dire</w:t>
      </w:r>
      <w:r>
        <w:rPr>
          <w:lang w:val="fr-CH"/>
        </w:rPr>
        <w:t>,</w:t>
      </w:r>
      <w:r w:rsidR="00885ABC">
        <w:rPr>
          <w:lang w:val="fr-CH"/>
        </w:rPr>
        <w:t xml:space="preserve"> impossible d’identifier la bande</w:t>
      </w:r>
      <w:r w:rsidR="00CB1D97" w:rsidRPr="00885ABC">
        <w:rPr>
          <w:lang w:val="fr-CH"/>
        </w:rPr>
        <w:t xml:space="preserve"> 3</w:t>
      </w:r>
      <w:r w:rsidR="00C31B43">
        <w:rPr>
          <w:lang w:val="fr-CH"/>
        </w:rPr>
        <w:t xml:space="preserve"> </w:t>
      </w:r>
      <w:r w:rsidR="00CB1D97" w:rsidRPr="00885ABC">
        <w:rPr>
          <w:lang w:val="fr-CH"/>
        </w:rPr>
        <w:t>600-4</w:t>
      </w:r>
      <w:r w:rsidR="00C31B43">
        <w:rPr>
          <w:lang w:val="fr-CH"/>
        </w:rPr>
        <w:t xml:space="preserve"> </w:t>
      </w:r>
      <w:r w:rsidR="00CB1D97" w:rsidRPr="00885ABC">
        <w:rPr>
          <w:lang w:val="fr-CH"/>
        </w:rPr>
        <w:t xml:space="preserve">200 MHz </w:t>
      </w:r>
      <w:r w:rsidR="00885ABC">
        <w:rPr>
          <w:lang w:val="fr-CH"/>
        </w:rPr>
        <w:t>pour les IMT dans la région.</w:t>
      </w:r>
    </w:p>
    <w:p w:rsidR="00FE6C6A" w:rsidRPr="00CB1D97" w:rsidRDefault="00CB1D97" w:rsidP="00CB1D97">
      <w:pPr>
        <w:jc w:val="center"/>
      </w:pPr>
      <w:r>
        <w:t>______________</w:t>
      </w:r>
    </w:p>
    <w:sectPr w:rsidR="00FE6C6A" w:rsidRPr="00CB1D97">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
    <w:altName w:val="Batang"/>
    <w:panose1 w:val="00000000000000000000"/>
    <w:charset w:val="81"/>
    <w:family w:val="roman"/>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1E2873">
      <w:rPr>
        <w:noProof/>
        <w:lang w:val="en-US"/>
      </w:rPr>
      <w:t>P:\FRA\ITU-R\CONF-R\CMR15\000\007ADD01ADD08F.docx</w:t>
    </w:r>
    <w:r>
      <w:fldChar w:fldCharType="end"/>
    </w:r>
    <w:r>
      <w:rPr>
        <w:lang w:val="en-US"/>
      </w:rPr>
      <w:tab/>
    </w:r>
    <w:r>
      <w:fldChar w:fldCharType="begin"/>
    </w:r>
    <w:r>
      <w:instrText xml:space="preserve"> SAVEDATE \@ DD.MM.YY </w:instrText>
    </w:r>
    <w:r>
      <w:fldChar w:fldCharType="separate"/>
    </w:r>
    <w:r w:rsidR="001E2873">
      <w:rPr>
        <w:noProof/>
      </w:rPr>
      <w:t>12.10.15</w:t>
    </w:r>
    <w:r>
      <w:fldChar w:fldCharType="end"/>
    </w:r>
    <w:r>
      <w:rPr>
        <w:lang w:val="en-US"/>
      </w:rPr>
      <w:tab/>
    </w:r>
    <w:r>
      <w:fldChar w:fldCharType="begin"/>
    </w:r>
    <w:r>
      <w:instrText xml:space="preserve"> PRINTDATE \@ DD.MM.YY </w:instrText>
    </w:r>
    <w:r>
      <w:fldChar w:fldCharType="separate"/>
    </w:r>
    <w:r w:rsidR="001E2873">
      <w:rPr>
        <w:noProof/>
      </w:rPr>
      <w:t>12.10.15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1E2873">
      <w:rPr>
        <w:lang w:val="en-US"/>
      </w:rPr>
      <w:t>P:\FRA\ITU-R\CONF-R\CMR15\000\007ADD01ADD08F.docx</w:t>
    </w:r>
    <w:r>
      <w:fldChar w:fldCharType="end"/>
    </w:r>
    <w:r w:rsidR="00AA6AF8">
      <w:t xml:space="preserve"> (387580)</w:t>
    </w:r>
    <w:r>
      <w:rPr>
        <w:lang w:val="en-US"/>
      </w:rPr>
      <w:tab/>
    </w:r>
    <w:r>
      <w:fldChar w:fldCharType="begin"/>
    </w:r>
    <w:r>
      <w:instrText xml:space="preserve"> SAVEDATE \@ DD.MM.YY </w:instrText>
    </w:r>
    <w:r>
      <w:fldChar w:fldCharType="separate"/>
    </w:r>
    <w:r w:rsidR="001E2873">
      <w:t>12.10.15</w:t>
    </w:r>
    <w:r>
      <w:fldChar w:fldCharType="end"/>
    </w:r>
    <w:r>
      <w:rPr>
        <w:lang w:val="en-US"/>
      </w:rPr>
      <w:tab/>
    </w:r>
    <w:r>
      <w:fldChar w:fldCharType="begin"/>
    </w:r>
    <w:r>
      <w:instrText xml:space="preserve"> PRINTDATE \@ DD.MM.YY </w:instrText>
    </w:r>
    <w:r>
      <w:fldChar w:fldCharType="separate"/>
    </w:r>
    <w:r w:rsidR="001E2873">
      <w:t>12.10.15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1E2873">
      <w:rPr>
        <w:lang w:val="en-US"/>
      </w:rPr>
      <w:t>P:\FRA\ITU-R\CONF-R\CMR15\000\007ADD01ADD08F.docx</w:t>
    </w:r>
    <w:r>
      <w:fldChar w:fldCharType="end"/>
    </w:r>
    <w:r w:rsidR="00AA6AF8">
      <w:t xml:space="preserve"> (387580)</w:t>
    </w:r>
    <w:r>
      <w:rPr>
        <w:lang w:val="en-US"/>
      </w:rPr>
      <w:tab/>
    </w:r>
    <w:r>
      <w:fldChar w:fldCharType="begin"/>
    </w:r>
    <w:r>
      <w:instrText xml:space="preserve"> SAVEDATE \@ DD.MM.YY </w:instrText>
    </w:r>
    <w:r>
      <w:fldChar w:fldCharType="separate"/>
    </w:r>
    <w:r w:rsidR="001E2873">
      <w:t>12.10.15</w:t>
    </w:r>
    <w:r>
      <w:fldChar w:fldCharType="end"/>
    </w:r>
    <w:r>
      <w:rPr>
        <w:lang w:val="en-US"/>
      </w:rPr>
      <w:tab/>
    </w:r>
    <w:r>
      <w:fldChar w:fldCharType="begin"/>
    </w:r>
    <w:r>
      <w:instrText xml:space="preserve"> PRINTDATE \@ DD.MM.YY </w:instrText>
    </w:r>
    <w:r>
      <w:fldChar w:fldCharType="separate"/>
    </w:r>
    <w:r w:rsidR="001E2873">
      <w:t>12.10.15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1E2873">
      <w:rPr>
        <w:noProof/>
      </w:rPr>
      <w:t>2</w:t>
    </w:r>
    <w:r>
      <w:fldChar w:fldCharType="end"/>
    </w:r>
  </w:p>
  <w:p w:rsidR="004F1F8E" w:rsidRDefault="004F1F8E" w:rsidP="002C28A4">
    <w:pPr>
      <w:pStyle w:val="Header"/>
    </w:pPr>
    <w:r>
      <w:t>CMR1</w:t>
    </w:r>
    <w:r w:rsidR="002C28A4">
      <w:t>5</w:t>
    </w:r>
    <w:r>
      <w:t>/</w:t>
    </w:r>
    <w:r w:rsidR="006A4B45">
      <w:t>7(Add.1)(Add.8)-</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3BAC034-9809-4107-8EED-AF6D73EB420C}"/>
    <w:docVar w:name="dgnword-eventsink" w:val="399392016"/>
  </w:docVars>
  <w:rsids>
    <w:rsidRoot w:val="00BB1D82"/>
    <w:rsid w:val="00007EC7"/>
    <w:rsid w:val="00010B43"/>
    <w:rsid w:val="00016648"/>
    <w:rsid w:val="0003522F"/>
    <w:rsid w:val="00080E2C"/>
    <w:rsid w:val="000A4755"/>
    <w:rsid w:val="000B2E0C"/>
    <w:rsid w:val="000B3D0C"/>
    <w:rsid w:val="001167B9"/>
    <w:rsid w:val="001267A0"/>
    <w:rsid w:val="00151456"/>
    <w:rsid w:val="0015203F"/>
    <w:rsid w:val="00160C64"/>
    <w:rsid w:val="00174911"/>
    <w:rsid w:val="0018169B"/>
    <w:rsid w:val="0019352B"/>
    <w:rsid w:val="001960D0"/>
    <w:rsid w:val="001E2873"/>
    <w:rsid w:val="001F17E8"/>
    <w:rsid w:val="00204306"/>
    <w:rsid w:val="00232FD2"/>
    <w:rsid w:val="0026554E"/>
    <w:rsid w:val="002A15C1"/>
    <w:rsid w:val="002A4622"/>
    <w:rsid w:val="002A6F8F"/>
    <w:rsid w:val="002B17E5"/>
    <w:rsid w:val="002C0EBF"/>
    <w:rsid w:val="002C28A4"/>
    <w:rsid w:val="00315AFE"/>
    <w:rsid w:val="003243B9"/>
    <w:rsid w:val="003606A6"/>
    <w:rsid w:val="0036650C"/>
    <w:rsid w:val="00393ACD"/>
    <w:rsid w:val="003956D0"/>
    <w:rsid w:val="003A583E"/>
    <w:rsid w:val="003E112B"/>
    <w:rsid w:val="003E1D1C"/>
    <w:rsid w:val="003E7B05"/>
    <w:rsid w:val="00410B46"/>
    <w:rsid w:val="00466211"/>
    <w:rsid w:val="004834A9"/>
    <w:rsid w:val="004D01FC"/>
    <w:rsid w:val="004E28C3"/>
    <w:rsid w:val="004F1F8E"/>
    <w:rsid w:val="00512A32"/>
    <w:rsid w:val="00586CF2"/>
    <w:rsid w:val="005C3768"/>
    <w:rsid w:val="005C6C3F"/>
    <w:rsid w:val="005E464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7F4C57"/>
    <w:rsid w:val="00851625"/>
    <w:rsid w:val="00863C0A"/>
    <w:rsid w:val="00880C50"/>
    <w:rsid w:val="00885ABC"/>
    <w:rsid w:val="008A3120"/>
    <w:rsid w:val="008D41BE"/>
    <w:rsid w:val="008D58D3"/>
    <w:rsid w:val="00923064"/>
    <w:rsid w:val="00930FFD"/>
    <w:rsid w:val="00936D25"/>
    <w:rsid w:val="00941EA5"/>
    <w:rsid w:val="00964700"/>
    <w:rsid w:val="00966C16"/>
    <w:rsid w:val="0098732F"/>
    <w:rsid w:val="009A045F"/>
    <w:rsid w:val="009C0F71"/>
    <w:rsid w:val="009C7E7C"/>
    <w:rsid w:val="00A00473"/>
    <w:rsid w:val="00A03C9B"/>
    <w:rsid w:val="00A37105"/>
    <w:rsid w:val="00A606C3"/>
    <w:rsid w:val="00A83B09"/>
    <w:rsid w:val="00A84541"/>
    <w:rsid w:val="00AA6AF8"/>
    <w:rsid w:val="00AE36A0"/>
    <w:rsid w:val="00B00294"/>
    <w:rsid w:val="00B64FD0"/>
    <w:rsid w:val="00BA5BD0"/>
    <w:rsid w:val="00BB1D82"/>
    <w:rsid w:val="00BF26E7"/>
    <w:rsid w:val="00C31B43"/>
    <w:rsid w:val="00C53FCA"/>
    <w:rsid w:val="00C76BAF"/>
    <w:rsid w:val="00C814B9"/>
    <w:rsid w:val="00CB1D97"/>
    <w:rsid w:val="00CD516F"/>
    <w:rsid w:val="00D119A7"/>
    <w:rsid w:val="00D25FBA"/>
    <w:rsid w:val="00D32B28"/>
    <w:rsid w:val="00D42954"/>
    <w:rsid w:val="00D66EAC"/>
    <w:rsid w:val="00D730DF"/>
    <w:rsid w:val="00D772F0"/>
    <w:rsid w:val="00D77BDC"/>
    <w:rsid w:val="00DC402B"/>
    <w:rsid w:val="00DE0932"/>
    <w:rsid w:val="00E039A7"/>
    <w:rsid w:val="00E03A27"/>
    <w:rsid w:val="00E049F1"/>
    <w:rsid w:val="00E37A25"/>
    <w:rsid w:val="00E537FF"/>
    <w:rsid w:val="00E6539B"/>
    <w:rsid w:val="00E70A31"/>
    <w:rsid w:val="00EA3F38"/>
    <w:rsid w:val="00EA5AB6"/>
    <w:rsid w:val="00EC7615"/>
    <w:rsid w:val="00ED16AA"/>
    <w:rsid w:val="00EE4B25"/>
    <w:rsid w:val="00EF662E"/>
    <w:rsid w:val="00EF7197"/>
    <w:rsid w:val="00F148F1"/>
    <w:rsid w:val="00FA3BBF"/>
    <w:rsid w:val="00FC41F8"/>
    <w:rsid w:val="00FE6C6A"/>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BC7E2D8-E16A-4462-9B24-A7BAD22B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R15-WRC15-C-0007!A1-A8!MSW-F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85677-5FF5-44D5-BA71-2FEEDF0FD3A5}">
  <ds:schemaRefs>
    <ds:schemaRef ds:uri="http://schemas.microsoft.com/office/2006/metadata/properties"/>
    <ds:schemaRef ds:uri="32a1a8c5-2265-4ebc-b7a0-2071e2c5c9bb"/>
    <ds:schemaRef ds:uri="http://schemas.microsoft.com/office/2006/documentManagement/types"/>
    <ds:schemaRef ds:uri="996b2e75-67fd-4955-a3b0-5ab9934cb50b"/>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876</Words>
  <Characters>4995</Characters>
  <Application>Microsoft Office Word</Application>
  <DocSecurity>0</DocSecurity>
  <Lines>115</Lines>
  <Paragraphs>49</Paragraphs>
  <ScaleCrop>false</ScaleCrop>
  <HeadingPairs>
    <vt:vector size="2" baseType="variant">
      <vt:variant>
        <vt:lpstr>Title</vt:lpstr>
      </vt:variant>
      <vt:variant>
        <vt:i4>1</vt:i4>
      </vt:variant>
    </vt:vector>
  </HeadingPairs>
  <TitlesOfParts>
    <vt:vector size="1" baseType="lpstr">
      <vt:lpstr>R15-WRC15-C-0007!A1-A8!MSW-F</vt:lpstr>
    </vt:vector>
  </TitlesOfParts>
  <Manager>Secrétariat général - Pool</Manager>
  <Company>Union internationale des télécommunications (UIT)</Company>
  <LinksUpToDate>false</LinksUpToDate>
  <CharactersWithSpaces>5826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R15-WRC15-C-0007!A1-A8!MSW-F</dc:title>
  <dc:subject>Conférence mondiale des radiocommunications - 2015</dc:subject>
  <dc:creator>Documents Proposals Manager (DPM)</dc:creator>
  <cp:keywords>DPM_v5.2015.9.16_prod</cp:keywords>
  <dc:description/>
  <cp:lastModifiedBy>Jones, Jacqueline</cp:lastModifiedBy>
  <cp:revision>6</cp:revision>
  <cp:lastPrinted>2015-10-12T21:25:00Z</cp:lastPrinted>
  <dcterms:created xsi:type="dcterms:W3CDTF">2015-10-09T14:23:00Z</dcterms:created>
  <dcterms:modified xsi:type="dcterms:W3CDTF">2015-10-12T21:25:00Z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