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C825E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10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825E5" w:rsidRDefault="000A5B9A" w:rsidP="000A5B9A">
            <w:pPr>
              <w:pStyle w:val="Source"/>
            </w:pPr>
            <w:bookmarkStart w:id="2" w:name="dsource" w:colFirst="0" w:colLast="0"/>
            <w:r w:rsidRPr="00C825E5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825E5" w:rsidRDefault="0083414E" w:rsidP="000A5B9A">
            <w:pPr>
              <w:pStyle w:val="Title1"/>
            </w:pPr>
            <w:bookmarkStart w:id="3" w:name="dtitle1" w:colFirst="0" w:colLast="0"/>
            <w:bookmarkEnd w:id="2"/>
            <w:r w:rsidRPr="00AD4725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825E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1.10 del orden del día</w:t>
            </w:r>
          </w:p>
        </w:tc>
      </w:tr>
    </w:tbl>
    <w:bookmarkEnd w:id="5"/>
    <w:p w:rsidR="001C0E40" w:rsidRDefault="00357FBF" w:rsidP="002A0567">
      <w:r w:rsidRPr="00211854">
        <w:t>1.10</w:t>
      </w:r>
      <w:r w:rsidRPr="00211854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211854">
        <w:rPr>
          <w:b/>
          <w:bCs/>
        </w:rPr>
        <w:t>234 (CMR-12)</w:t>
      </w:r>
      <w:r w:rsidRPr="00211854">
        <w:t>;</w:t>
      </w:r>
    </w:p>
    <w:p w:rsidR="00497C42" w:rsidRPr="002A0567" w:rsidRDefault="00497C42" w:rsidP="002A0567"/>
    <w:p w:rsidR="00C825E5" w:rsidRPr="004E7F74" w:rsidRDefault="00C825E5" w:rsidP="00497C42">
      <w:pPr>
        <w:pStyle w:val="Headingb"/>
        <w:rPr>
          <w:lang w:val="es-ES"/>
        </w:rPr>
      </w:pPr>
      <w:r w:rsidRPr="004E7F74">
        <w:rPr>
          <w:lang w:val="es-ES"/>
        </w:rPr>
        <w:t>Antecedentes</w:t>
      </w:r>
    </w:p>
    <w:p w:rsidR="00C825E5" w:rsidRPr="009C3BAA" w:rsidRDefault="00C825E5" w:rsidP="00C825E5">
      <w:pPr>
        <w:rPr>
          <w:lang w:val="es-ES"/>
        </w:rPr>
      </w:pPr>
      <w:r w:rsidRPr="009C3BAA">
        <w:rPr>
          <w:lang w:val="es-ES"/>
        </w:rPr>
        <w:t xml:space="preserve">La CMR-12 adoptó el punto 1.10 del orden del día a fin de considerar atribuciones adicionales a los servicios móviles por satélite (SMS) tomando en cuenta los estudios del UIT-R de acuerdo con la Resolución </w:t>
      </w:r>
      <w:r w:rsidRPr="00357FBF">
        <w:rPr>
          <w:bCs/>
          <w:lang w:val="es-ES"/>
        </w:rPr>
        <w:t>234 (CMR-12).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 xml:space="preserve">La Resolución </w:t>
      </w:r>
      <w:r w:rsidRPr="00357FBF">
        <w:rPr>
          <w:bCs/>
          <w:lang w:val="es-ES"/>
        </w:rPr>
        <w:t>234 (CMR-12)</w:t>
      </w:r>
      <w:r w:rsidRPr="009C3BAA">
        <w:rPr>
          <w:lang w:val="es-ES"/>
        </w:rPr>
        <w:t xml:space="preserve"> invita al UIT-R a completar, para la CMR-15, los estudios de compartición y compatibilidad hacia atribuciones adicionales para los servicios móviles por satélite en los sentidos Tierra-espacio y espacio-Tierra en partes de las bandas entre 22 GHz y 26 GHz, garantizando al mismo tiempo la protección de los servicios existentes en esas bandas, así como teniendo en cuenta los números </w:t>
      </w:r>
      <w:r w:rsidRPr="00357FBF">
        <w:rPr>
          <w:bCs/>
          <w:lang w:val="es-ES"/>
        </w:rPr>
        <w:t>5.340 y 5.149</w:t>
      </w:r>
      <w:r w:rsidRPr="009C3BAA">
        <w:rPr>
          <w:lang w:val="es-ES"/>
        </w:rPr>
        <w:t>.</w:t>
      </w:r>
    </w:p>
    <w:p w:rsidR="00C825E5" w:rsidRPr="009C3BAA" w:rsidRDefault="00C825E5" w:rsidP="00C825E5">
      <w:pPr>
        <w:rPr>
          <w:lang w:val="es-ES"/>
        </w:rPr>
      </w:pPr>
      <w:r w:rsidRPr="009C3BAA">
        <w:rPr>
          <w:lang w:val="es-ES"/>
        </w:rPr>
        <w:t>La CAMR-92 adoptó varias atribuciones de SMS.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>Sin embargo, las CMR-97 y CMR-2000 realizaron modificaciones y suprimieron algunas de estas atribuciones de SMS porque compartir con otros servicios era difícil, o porque las condiciones de uso de SMS en algunas bandas no eran prácticas.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>La CMR-12 consideró posibles atribuciones nuevas de SMS en el rango de 4 a 16 GHz según el punto 1.25 de la orden del día, pero los estudios del UIT-R y la CMR-12 determinaron que la compartición de terminales móviles pequeños con los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>servicios existentes en este rango necesitaría de medidas reglamentarias complejas.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>Por lo tanto, no se produjo ninguna atribución de SMS.</w:t>
      </w:r>
      <w:r w:rsidR="00B23F63">
        <w:rPr>
          <w:lang w:val="es-ES"/>
        </w:rPr>
        <w:t xml:space="preserve"> </w:t>
      </w:r>
      <w:r w:rsidRPr="009C3BAA">
        <w:rPr>
          <w:lang w:val="es-ES"/>
        </w:rPr>
        <w:t>Sin embargo, la CMR-12 acordó incluir el punto 1.10 en el orden del día para la CMR-15, para considerar posibles atribuciones de SMS en el rango de 22 a 26 GHz.</w:t>
      </w:r>
    </w:p>
    <w:p w:rsidR="00C825E5" w:rsidRPr="009C3BAA" w:rsidRDefault="00C825E5" w:rsidP="00C825E5">
      <w:pPr>
        <w:rPr>
          <w:lang w:val="es-ES"/>
        </w:rPr>
      </w:pPr>
      <w:r w:rsidRPr="009C3BAA">
        <w:rPr>
          <w:lang w:val="es-ES"/>
        </w:rPr>
        <w:t xml:space="preserve">Los estudios de compartición bajo este punto de la orden del día asumieron las características para operación de las redes SMS a través de condiciones locales de propagación atmosférica. El trabajo en proceso del UIT-R para este punto de la orden del día indica que la compartición entre los </w:t>
      </w:r>
      <w:r w:rsidRPr="009C3BAA">
        <w:rPr>
          <w:lang w:val="es-ES"/>
        </w:rPr>
        <w:lastRenderedPageBreak/>
        <w:t>diferentes servicios actualmente atribuidos al rango de 22 a 26 GHz y los sistemas de SMS no sería ni factible ni práctica.</w:t>
      </w:r>
    </w:p>
    <w:p w:rsidR="00C825E5" w:rsidRDefault="00C825E5" w:rsidP="00497C42">
      <w:pPr>
        <w:pStyle w:val="Headingb"/>
        <w:rPr>
          <w:caps/>
          <w:lang w:val="it-IT"/>
        </w:rPr>
      </w:pPr>
      <w:r w:rsidRPr="00523932">
        <w:rPr>
          <w:lang w:val="it-IT"/>
        </w:rPr>
        <w:t>Propuestas</w:t>
      </w:r>
    </w:p>
    <w:p w:rsidR="00F008F3" w:rsidRPr="00245062" w:rsidRDefault="00357FBF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57FBF" w:rsidP="00D44B91">
      <w:pPr>
        <w:pStyle w:val="Arttitle"/>
      </w:pPr>
      <w:r w:rsidRPr="00245062">
        <w:t>Atribuciones de frecuencia</w:t>
      </w:r>
    </w:p>
    <w:p w:rsidR="00CF17EE" w:rsidRDefault="00357FBF" w:rsidP="00C825E5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497C42" w:rsidRDefault="00497C42" w:rsidP="00497C42">
      <w:pPr>
        <w:pStyle w:val="Proposal"/>
      </w:pPr>
      <w:r>
        <w:rPr>
          <w:u w:val="single"/>
        </w:rPr>
        <w:t>NOC</w:t>
      </w:r>
      <w:r>
        <w:tab/>
        <w:t>IAP/7A10/1</w:t>
      </w:r>
    </w:p>
    <w:p w:rsidR="00F008F3" w:rsidRPr="00245062" w:rsidRDefault="00357FBF" w:rsidP="004D72B7">
      <w:pPr>
        <w:pStyle w:val="Tabletitle"/>
      </w:pPr>
      <w:r w:rsidRPr="00245062">
        <w:t>22-24,75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B6356C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B6356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B6356C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B6356C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B6356C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22-22,21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5.149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22,21-22,5</w:t>
            </w:r>
            <w:r w:rsidRPr="00245062">
              <w:rPr>
                <w:color w:val="000000"/>
              </w:rPr>
              <w:tab/>
              <w:t>EXPLORACIÓN DE LA TIERRA POR SATÉLITE (pasivo)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RADIOASTRONOMÍA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(pasivo)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5.149</w:t>
            </w:r>
            <w:bookmarkStart w:id="6" w:name="_GoBack"/>
            <w:r w:rsidRPr="00245062">
              <w:rPr>
                <w:color w:val="000000"/>
              </w:rPr>
              <w:t xml:space="preserve">  </w:t>
            </w:r>
            <w:bookmarkEnd w:id="6"/>
            <w:r w:rsidRPr="00245062">
              <w:rPr>
                <w:rStyle w:val="Artref"/>
                <w:color w:val="000000"/>
              </w:rPr>
              <w:t>5.532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22,5-22,55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</w:tc>
      </w:tr>
      <w:tr w:rsidR="00B6356C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6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22,55-23,15</w:t>
            </w:r>
            <w:r w:rsidRPr="00245062">
              <w:rPr>
                <w:color w:val="000000"/>
              </w:rPr>
              <w:tab/>
              <w:t>FIJO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ENTRE SATÉLITES  5.338A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(Tierra-espacio) 5.532A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5.149</w:t>
            </w:r>
          </w:p>
        </w:tc>
      </w:tr>
      <w:tr w:rsidR="00B6356C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6C" w:rsidRPr="00245062" w:rsidRDefault="00357FBF" w:rsidP="00730F18">
            <w:pPr>
              <w:pStyle w:val="TableTextS5"/>
              <w:spacing w:before="0" w:after="30"/>
              <w:rPr>
                <w:bCs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23,15-23,55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bCs/>
                <w:color w:val="000000"/>
              </w:rPr>
              <w:t>FIJO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bCs/>
                <w:color w:val="000000"/>
              </w:rPr>
            </w:pP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  <w:t>ENTRE SATÉLITES  5.338A</w:t>
            </w:r>
          </w:p>
          <w:p w:rsidR="00B6356C" w:rsidRPr="00245062" w:rsidRDefault="00357FBF" w:rsidP="00730F18">
            <w:pPr>
              <w:pStyle w:val="TableTextS5"/>
              <w:spacing w:before="0" w:after="30"/>
              <w:rPr>
                <w:b/>
                <w:color w:val="000000"/>
              </w:rPr>
            </w:pP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</w:r>
            <w:r w:rsidRPr="00245062">
              <w:rPr>
                <w:bCs/>
                <w:color w:val="000000"/>
              </w:rPr>
              <w:tab/>
              <w:t>MÓVIL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23,55-23,6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23,6-24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EXPLORACIÓN DE LA TIERRA POR SATÉLITE (pasivo)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RADIOASTRONOMÍA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(pasivo)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5.340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24-24,05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 POR SATÉLITE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5.150</w:t>
            </w:r>
          </w:p>
        </w:tc>
      </w:tr>
      <w:tr w:rsidR="00F008F3" w:rsidRPr="00245062" w:rsidTr="00B6356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24,05-24,25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Exploración de la Tierra por satélite (activo)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5.150</w:t>
            </w:r>
          </w:p>
        </w:tc>
      </w:tr>
      <w:tr w:rsidR="00F008F3" w:rsidRPr="00245062" w:rsidTr="00B6356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rStyle w:val="Tablefreq"/>
              </w:rPr>
            </w:pPr>
            <w:r w:rsidRPr="00245062">
              <w:rPr>
                <w:rStyle w:val="Tablefreq"/>
              </w:rPr>
              <w:t>24,25-24,45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24,25-24,45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24,25-24,45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lastRenderedPageBreak/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</w:tc>
      </w:tr>
      <w:tr w:rsidR="00F008F3" w:rsidRPr="00245062" w:rsidTr="00B6356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lastRenderedPageBreak/>
              <w:t>24,45-24,65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24,45-24,65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24,45-24,65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RADIONAVEGACIÓN</w:t>
            </w:r>
          </w:p>
        </w:tc>
      </w:tr>
      <w:tr w:rsidR="00F008F3" w:rsidRPr="00245062" w:rsidTr="00B6356C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BF7FD3" w:rsidP="00730F18">
            <w:pPr>
              <w:pStyle w:val="TableTextS5"/>
              <w:spacing w:before="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5.533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5.533</w:t>
            </w:r>
          </w:p>
        </w:tc>
      </w:tr>
      <w:tr w:rsidR="00934F8C" w:rsidRPr="00245062" w:rsidTr="00B6356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F8C" w:rsidRPr="00245062" w:rsidRDefault="00357FBF" w:rsidP="00730F18">
            <w:pPr>
              <w:pStyle w:val="TableTextS5"/>
              <w:spacing w:before="0" w:after="30"/>
              <w:rPr>
                <w:rStyle w:val="Tablefreq"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24,65-24,75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ind w:left="151" w:hanging="151"/>
              <w:rPr>
                <w:color w:val="000000"/>
              </w:rPr>
            </w:pPr>
            <w:r w:rsidRPr="00245062">
              <w:rPr>
                <w:color w:val="000000"/>
              </w:rPr>
              <w:t xml:space="preserve">FIJO POR SATÉLITE </w:t>
            </w:r>
            <w:r w:rsidRPr="00245062">
              <w:rPr>
                <w:color w:val="000000"/>
              </w:rPr>
              <w:br/>
              <w:t xml:space="preserve">(Tierra-espacio) </w:t>
            </w:r>
            <w:r w:rsidRPr="00245062">
              <w:t>5.532B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F8C" w:rsidRPr="00245062" w:rsidRDefault="00357FBF" w:rsidP="00730F18">
            <w:pPr>
              <w:pStyle w:val="TableTextS5"/>
              <w:spacing w:before="0" w:after="30"/>
              <w:rPr>
                <w:rStyle w:val="Tablefreq"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24,65-24,75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RADIOLOCALIZACIÓN POR</w:t>
            </w:r>
            <w:r w:rsidRPr="00245062">
              <w:rPr>
                <w:color w:val="000000"/>
              </w:rPr>
              <w:br/>
              <w:t>SATÉLITE (Tierra-espacio)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F8C" w:rsidRPr="00245062" w:rsidRDefault="00357FBF" w:rsidP="00730F18">
            <w:pPr>
              <w:pStyle w:val="TableTextS5"/>
              <w:spacing w:before="0" w:after="30"/>
              <w:rPr>
                <w:rStyle w:val="Tablefreq"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24,65-24,75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ind w:left="186" w:hanging="186"/>
              <w:rPr>
                <w:color w:val="000000"/>
              </w:rPr>
            </w:pPr>
            <w:r w:rsidRPr="00245062">
              <w:rPr>
                <w:color w:val="000000"/>
              </w:rPr>
              <w:t xml:space="preserve">FIJO POR SATÉLITE </w:t>
            </w:r>
            <w:r w:rsidRPr="00245062">
              <w:rPr>
                <w:color w:val="000000"/>
              </w:rPr>
              <w:br/>
              <w:t xml:space="preserve">(Tierra-espacio) </w:t>
            </w:r>
            <w:r w:rsidRPr="00245062">
              <w:t>5.532B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ENTRE SATÉLITES</w:t>
            </w:r>
          </w:p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</w:tc>
      </w:tr>
      <w:tr w:rsidR="00934F8C" w:rsidRPr="00245062" w:rsidTr="00B6356C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8C" w:rsidRPr="00245062" w:rsidRDefault="00BF7FD3" w:rsidP="00730F18">
            <w:pPr>
              <w:pStyle w:val="TableTextS5"/>
              <w:spacing w:before="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8C" w:rsidRPr="00245062" w:rsidRDefault="00BF7FD3" w:rsidP="00730F18">
            <w:pPr>
              <w:pStyle w:val="TableTextS5"/>
              <w:spacing w:before="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8C" w:rsidRPr="00245062" w:rsidRDefault="00357FBF" w:rsidP="00730F18">
            <w:pPr>
              <w:pStyle w:val="TableTextS5"/>
              <w:spacing w:before="0" w:after="3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5.533</w:t>
            </w:r>
          </w:p>
        </w:tc>
      </w:tr>
    </w:tbl>
    <w:p w:rsidR="008364BC" w:rsidRDefault="008364BC" w:rsidP="00C825E5">
      <w:pPr>
        <w:pStyle w:val="Tabletitle"/>
        <w:spacing w:before="120"/>
      </w:pPr>
    </w:p>
    <w:p w:rsidR="00F008F3" w:rsidRPr="00245062" w:rsidRDefault="00357FBF" w:rsidP="00C825E5">
      <w:pPr>
        <w:pStyle w:val="Tabletitle"/>
        <w:spacing w:before="120"/>
      </w:pPr>
      <w:r w:rsidRPr="00245062"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791C35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791C35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791C35" w:rsidRPr="00245062" w:rsidTr="00791C35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24,75-25,25</w:t>
            </w:r>
          </w:p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791C35" w:rsidRPr="00245062" w:rsidRDefault="00357FBF" w:rsidP="00791C35">
            <w:pPr>
              <w:pStyle w:val="TableTextS5"/>
              <w:spacing w:before="30" w:after="30"/>
              <w:ind w:left="152" w:hanging="152"/>
              <w:rPr>
                <w:color w:val="000000"/>
              </w:rPr>
            </w:pPr>
            <w:r w:rsidRPr="00245062">
              <w:rPr>
                <w:color w:val="000000"/>
              </w:rPr>
              <w:t xml:space="preserve">FIJO POR SATÉLITE </w:t>
            </w:r>
            <w:r w:rsidRPr="00245062">
              <w:rPr>
                <w:color w:val="000000"/>
              </w:rPr>
              <w:br/>
              <w:t xml:space="preserve">(Tierra-espacio) </w:t>
            </w:r>
            <w:r w:rsidRPr="00245062">
              <w:rPr>
                <w:rStyle w:val="Artref"/>
                <w:color w:val="000000"/>
              </w:rPr>
              <w:t>5.532B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24,75-25,25</w:t>
            </w:r>
          </w:p>
          <w:p w:rsidR="00791C35" w:rsidRPr="00245062" w:rsidRDefault="00357FBF" w:rsidP="00791C35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FIJO POR SATÉLITE</w:t>
            </w:r>
            <w:r w:rsidRPr="00245062">
              <w:rPr>
                <w:color w:val="000000"/>
              </w:rPr>
              <w:br/>
              <w:t xml:space="preserve">(Tierra-espacio)  </w:t>
            </w:r>
            <w:r w:rsidRPr="00245062">
              <w:rPr>
                <w:rStyle w:val="Artref"/>
                <w:color w:val="000000"/>
              </w:rPr>
              <w:t>5.535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24,75-25,25</w:t>
            </w:r>
          </w:p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791C35" w:rsidRPr="00245062" w:rsidRDefault="00357FBF" w:rsidP="00791C35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FIJO POR SATÉLITE</w:t>
            </w:r>
            <w:r w:rsidRPr="00245062">
              <w:rPr>
                <w:color w:val="000000"/>
              </w:rPr>
              <w:br/>
              <w:t xml:space="preserve">(Tierra-espacio)  </w:t>
            </w:r>
            <w:r w:rsidRPr="00245062">
              <w:rPr>
                <w:rStyle w:val="Artref"/>
                <w:color w:val="000000"/>
              </w:rPr>
              <w:t>5.535</w:t>
            </w:r>
          </w:p>
          <w:p w:rsidR="00791C35" w:rsidRPr="00245062" w:rsidRDefault="00357FBF" w:rsidP="00F37D43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</w:tc>
      </w:tr>
      <w:tr w:rsidR="00F008F3" w:rsidRPr="00245062" w:rsidTr="00791C35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25,25-25,5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ENTRE SATÉLITES  </w:t>
            </w:r>
            <w:r w:rsidRPr="00245062">
              <w:rPr>
                <w:rStyle w:val="Artref"/>
                <w:color w:val="000000"/>
              </w:rPr>
              <w:t>5.536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ind w:left="3266" w:hanging="3266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Frecuencias patrón y señales horarias por satélite (Tierra-espacio)</w:t>
            </w:r>
          </w:p>
        </w:tc>
      </w:tr>
      <w:tr w:rsidR="00F008F3" w:rsidRPr="00245062" w:rsidTr="00791C35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57FBF" w:rsidP="008078CB">
            <w:pPr>
              <w:pStyle w:val="TableTextS5"/>
              <w:spacing w:before="30" w:after="30" w:line="220" w:lineRule="exact"/>
              <w:ind w:left="3266" w:hanging="3266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25,5-27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spacing w:val="-2"/>
              </w:rPr>
              <w:t>EXPLORACIÓN DE LA TIERRA POR SATÉLITE (espacio-Tierra</w:t>
            </w:r>
            <w:r w:rsidRPr="00CA1912">
              <w:t xml:space="preserve">) </w:t>
            </w:r>
            <w:r w:rsidRPr="0071678E">
              <w:rPr>
                <w:rStyle w:val="Artref10pt"/>
              </w:rPr>
              <w:t>5.536B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ENTRE SATÉLITES  </w:t>
            </w:r>
            <w:r w:rsidRPr="00245062">
              <w:rPr>
                <w:rStyle w:val="Artref"/>
                <w:color w:val="000000"/>
              </w:rPr>
              <w:t>5.536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F008F3" w:rsidRPr="00245062" w:rsidRDefault="00357FBF" w:rsidP="008078C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t>INVESTIGACIÓN ESPACIAL (espacio-Tierra</w:t>
            </w:r>
            <w:r w:rsidRPr="00245062">
              <w:rPr>
                <w:color w:val="000000"/>
              </w:rPr>
              <w:t xml:space="preserve">)  </w:t>
            </w:r>
            <w:r w:rsidRPr="0071678E">
              <w:rPr>
                <w:rStyle w:val="Artref10pt"/>
              </w:rPr>
              <w:t>5.536C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ind w:left="3266" w:hanging="3266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t>Frecuencias patrón y señales horarias por satélite (Tierra-espacio</w:t>
            </w:r>
            <w:r w:rsidRPr="00245062">
              <w:rPr>
                <w:color w:val="000000"/>
              </w:rPr>
              <w:t>)</w:t>
            </w:r>
          </w:p>
          <w:p w:rsidR="00F008F3" w:rsidRPr="00245062" w:rsidRDefault="00357FBF" w:rsidP="008078CB">
            <w:pPr>
              <w:pStyle w:val="TableTextS5"/>
              <w:spacing w:before="30" w:after="30" w:line="220" w:lineRule="exact"/>
              <w:ind w:left="3266" w:hanging="3266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5.536A</w:t>
            </w:r>
          </w:p>
        </w:tc>
      </w:tr>
    </w:tbl>
    <w:p w:rsidR="00CF17EE" w:rsidRDefault="00357FBF">
      <w:pPr>
        <w:pStyle w:val="Reasons"/>
      </w:pPr>
      <w:r>
        <w:rPr>
          <w:b/>
        </w:rPr>
        <w:t>Motivos:</w:t>
      </w:r>
      <w:r>
        <w:tab/>
      </w:r>
      <w:r w:rsidR="00C825E5" w:rsidRPr="00C825E5">
        <w:t>La compartición con servicios existentes o no es factible o requeriría limitantes técnicas y operativas que harían su uso impráctico para los SMS. Además, las condiciones específicas de propagación atmosférica alrededor de los 24 GHz crean dificultades adicionales para la compartición.</w:t>
      </w:r>
    </w:p>
    <w:p w:rsidR="00CF17EE" w:rsidRDefault="00357FBF">
      <w:pPr>
        <w:pStyle w:val="Proposal"/>
      </w:pPr>
      <w:r>
        <w:t>SUP</w:t>
      </w:r>
      <w:r>
        <w:tab/>
        <w:t>IAP/7A10/2</w:t>
      </w:r>
    </w:p>
    <w:p w:rsidR="005B24B5" w:rsidRPr="00D14182" w:rsidRDefault="00357FBF" w:rsidP="005B24B5">
      <w:pPr>
        <w:pStyle w:val="ResNo"/>
      </w:pPr>
      <w:bookmarkStart w:id="7" w:name="_Toc328141337"/>
      <w:r w:rsidRPr="00D14182">
        <w:t xml:space="preserve">RESOLUCIÓN </w:t>
      </w:r>
      <w:r w:rsidRPr="00D14182">
        <w:rPr>
          <w:rStyle w:val="href"/>
        </w:rPr>
        <w:t>234</w:t>
      </w:r>
      <w:r w:rsidRPr="00D14182">
        <w:t xml:space="preserve"> (CMR-12)</w:t>
      </w:r>
      <w:bookmarkEnd w:id="7"/>
    </w:p>
    <w:p w:rsidR="005B24B5" w:rsidRPr="00D14182" w:rsidRDefault="00357FBF" w:rsidP="002C2173">
      <w:pPr>
        <w:pStyle w:val="Restitle"/>
      </w:pPr>
      <w:bookmarkStart w:id="8" w:name="_Toc328141338"/>
      <w:r w:rsidRPr="00D14182">
        <w:t xml:space="preserve">Atribuciones adicionales a título primario al servicio móvil </w:t>
      </w:r>
      <w:r w:rsidRPr="00D14182">
        <w:br/>
        <w:t>por satélite en las bandas de 22 GHz a 26 GHz</w:t>
      </w:r>
      <w:bookmarkEnd w:id="8"/>
    </w:p>
    <w:p w:rsidR="00C825E5" w:rsidRDefault="00357FBF" w:rsidP="0032202E">
      <w:pPr>
        <w:pStyle w:val="Reasons"/>
      </w:pPr>
      <w:r>
        <w:rPr>
          <w:b/>
        </w:rPr>
        <w:t>Motivos:</w:t>
      </w:r>
      <w:r>
        <w:tab/>
      </w:r>
      <w:r w:rsidR="00C825E5" w:rsidRPr="00C825E5">
        <w:t>Esto es consecuente con la propuesta arriba indicada de dejar el Artículo 5 sin cambios bajo el punto 1.10 del orden del día de la CMR-15.</w:t>
      </w:r>
    </w:p>
    <w:p w:rsidR="00C825E5" w:rsidRDefault="00C825E5">
      <w:pPr>
        <w:jc w:val="center"/>
      </w:pPr>
      <w:r>
        <w:t>______________</w:t>
      </w:r>
    </w:p>
    <w:sectPr w:rsidR="00C825E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7C42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3F" w:rsidRDefault="00F07B3F" w:rsidP="00F07B3F">
    <w:pPr>
      <w:pStyle w:val="Footer"/>
    </w:pPr>
    <w:fldSimple w:instr=" FILENAME \p  \* MERGEFORMAT ">
      <w:r>
        <w:t>P:\ESP\ITU-R\CONF-R\CMR15\000\007ADD10S.docx</w:t>
      </w:r>
    </w:fldSimple>
    <w:r>
      <w:t xml:space="preserve"> (387379)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97C42">
      <w:t>14.10.15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3F" w:rsidRDefault="00BF7FD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07B3F">
      <w:t>P:\ESP\ITU-R\CONF-R\CMR15\000\007ADD10S.docx</w:t>
    </w:r>
    <w:r>
      <w:fldChar w:fldCharType="end"/>
    </w:r>
    <w:r w:rsidR="00F07B3F">
      <w:t xml:space="preserve"> (387379)</w:t>
    </w:r>
    <w:r w:rsidR="00F07B3F">
      <w:tab/>
    </w:r>
    <w:r w:rsidR="00F07B3F">
      <w:fldChar w:fldCharType="begin"/>
    </w:r>
    <w:r w:rsidR="00F07B3F">
      <w:instrText xml:space="preserve"> SAVEDATE \@ DD.MM.YY </w:instrText>
    </w:r>
    <w:r w:rsidR="00F07B3F">
      <w:fldChar w:fldCharType="separate"/>
    </w:r>
    <w:r w:rsidR="00497C42">
      <w:t>14.10.15</w:t>
    </w:r>
    <w:r w:rsidR="00F07B3F">
      <w:fldChar w:fldCharType="end"/>
    </w:r>
    <w:r w:rsidR="00F07B3F">
      <w:tab/>
    </w:r>
    <w:r w:rsidR="00F07B3F">
      <w:fldChar w:fldCharType="begin"/>
    </w:r>
    <w:r w:rsidR="00F07B3F">
      <w:instrText xml:space="preserve"> PRINTDATE \@ DD.MM.YY </w:instrText>
    </w:r>
    <w:r w:rsidR="00F07B3F">
      <w:fldChar w:fldCharType="separate"/>
    </w:r>
    <w:r w:rsidR="00F07B3F">
      <w:t>19.02.03</w:t>
    </w:r>
    <w:r w:rsidR="00F07B3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7FD3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7FBF"/>
    <w:rsid w:val="00363A65"/>
    <w:rsid w:val="003B1E8C"/>
    <w:rsid w:val="003C2508"/>
    <w:rsid w:val="003D0AA3"/>
    <w:rsid w:val="00440B3A"/>
    <w:rsid w:val="0045384C"/>
    <w:rsid w:val="00454553"/>
    <w:rsid w:val="00497C42"/>
    <w:rsid w:val="004B124A"/>
    <w:rsid w:val="005133B5"/>
    <w:rsid w:val="00532097"/>
    <w:rsid w:val="0055411A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414E"/>
    <w:rsid w:val="008364BC"/>
    <w:rsid w:val="00866AE6"/>
    <w:rsid w:val="0087259A"/>
    <w:rsid w:val="008750A8"/>
    <w:rsid w:val="008D4816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23F63"/>
    <w:rsid w:val="00B52D55"/>
    <w:rsid w:val="00B8288C"/>
    <w:rsid w:val="00BE2E80"/>
    <w:rsid w:val="00BE5EDD"/>
    <w:rsid w:val="00BE6A1F"/>
    <w:rsid w:val="00BF7FD3"/>
    <w:rsid w:val="00C126C4"/>
    <w:rsid w:val="00C63EB5"/>
    <w:rsid w:val="00C825E5"/>
    <w:rsid w:val="00CC01E0"/>
    <w:rsid w:val="00CD5FEE"/>
    <w:rsid w:val="00CE60D2"/>
    <w:rsid w:val="00CE7431"/>
    <w:rsid w:val="00CF17EE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07B3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A2DBBFC-6992-454D-A44F-2730837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ArtNoChar">
    <w:name w:val="Art_No Char"/>
    <w:link w:val="ArtNo"/>
    <w:locked/>
    <w:rsid w:val="00C825E5"/>
    <w:rPr>
      <w:rFonts w:ascii="Times New Roman" w:hAnsi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R15-WRC15-C-0007!A10!MSW-S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699AD-2E04-4E38-9A90-CD979617B1A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5E3D7A-E5D6-4564-97FC-4DFD8E31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R15-WRC15-C-0007!A10!MSW-S</vt:lpstr>
    </vt:vector>
  </TitlesOfParts>
  <Manager>Secretaría General - Pool</Manager>
  <Company>Unión Internacional de Telecomunicaciones (UIT)</Company>
  <LinksUpToDate>false</LinksUpToDate>
  <CharactersWithSpaces>5359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R15-WRC15-C-0007!A10!MSW-S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12</cp:revision>
  <cp:lastPrinted>2003-02-19T20:20:00Z</cp:lastPrinted>
  <dcterms:created xsi:type="dcterms:W3CDTF">2015-10-14T12:05:00Z</dcterms:created>
  <dcterms:modified xsi:type="dcterms:W3CDTF">2015-10-15T07:38:00Z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